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28D3" w:rsidRPr="00184423" w:rsidP="005728D3" w14:paraId="0D5B3756" w14:textId="77777777">
      <w:pPr>
        <w:spacing w:line="276" w:lineRule="auto"/>
        <w:jc w:val="center"/>
      </w:pPr>
      <w:r w:rsidRPr="00184423">
        <w:t>National Credit Union Administration</w:t>
      </w:r>
    </w:p>
    <w:p w:rsidR="001A03E7" w:rsidRPr="004430CC" w:rsidP="005728D3" w14:paraId="1DCE678F" w14:textId="07A4FC68">
      <w:pPr>
        <w:spacing w:line="276" w:lineRule="auto"/>
        <w:jc w:val="center"/>
        <w:rPr>
          <w:b/>
        </w:rPr>
      </w:pPr>
      <w:r w:rsidRPr="004430CC">
        <w:rPr>
          <w:b/>
        </w:rPr>
        <w:t>SUPPORTING STATEMENT</w:t>
      </w:r>
    </w:p>
    <w:p w:rsidR="004430CC" w:rsidRPr="00551F4E" w:rsidP="005728D3" w14:paraId="5F73D39B" w14:textId="77777777">
      <w:pPr>
        <w:spacing w:line="276" w:lineRule="auto"/>
        <w:jc w:val="center"/>
      </w:pPr>
    </w:p>
    <w:p w:rsidR="00551F4E" w:rsidRPr="00551F4E" w:rsidP="00551F4E" w14:paraId="70254471" w14:textId="6B0A0174">
      <w:pPr>
        <w:pStyle w:val="BodyText"/>
        <w:rPr>
          <w:rFonts w:ascii="Times New Roman" w:hAnsi="Times New Roman" w:cs="Times New Roman"/>
          <w:bCs/>
        </w:rPr>
      </w:pPr>
      <w:r w:rsidRPr="00551F4E">
        <w:rPr>
          <w:rFonts w:ascii="Times New Roman" w:hAnsi="Times New Roman" w:cs="Times New Roman"/>
          <w:bCs/>
        </w:rPr>
        <w:t>OMB No. 3133-0024</w:t>
      </w:r>
    </w:p>
    <w:p w:rsidR="00753B95" w:rsidRPr="00551F4E" w:rsidP="005728D3" w14:paraId="1267A800" w14:textId="6F38C688">
      <w:pPr>
        <w:spacing w:line="276" w:lineRule="auto"/>
        <w:jc w:val="center"/>
        <w:rPr>
          <w:bCs/>
        </w:rPr>
      </w:pPr>
      <w:r w:rsidRPr="00551F4E">
        <w:rPr>
          <w:bCs/>
        </w:rPr>
        <w:t xml:space="preserve">Mergers of Federally-Insured Credit Unions; </w:t>
      </w:r>
    </w:p>
    <w:p w:rsidR="005728D3" w:rsidRPr="004430CC" w:rsidP="005728D3" w14:paraId="2DA4D3AE" w14:textId="77777777">
      <w:pPr>
        <w:spacing w:line="276" w:lineRule="auto"/>
        <w:jc w:val="center"/>
      </w:pPr>
      <w:r w:rsidRPr="004430CC">
        <w:t>Voluntary Termination or Conversion of Insured Status</w:t>
      </w:r>
    </w:p>
    <w:p w:rsidR="008155FD" w:rsidP="008155FD" w14:paraId="27597F39" w14:textId="2D0B7ED4">
      <w:pPr>
        <w:spacing w:line="276" w:lineRule="auto"/>
        <w:jc w:val="center"/>
      </w:pPr>
      <w:r w:rsidRPr="004430CC">
        <w:t>12 CFR Part 708b</w:t>
      </w:r>
    </w:p>
    <w:p w:rsidR="004430CC" w:rsidRPr="004430CC" w:rsidP="008155FD" w14:paraId="2D0D6109" w14:textId="77777777">
      <w:pPr>
        <w:spacing w:line="276" w:lineRule="auto"/>
        <w:jc w:val="center"/>
      </w:pPr>
    </w:p>
    <w:p w:rsidR="00D05C04" w:rsidRPr="00753B95" w:rsidP="00B536A7" w14:paraId="62CCE90C" w14:textId="77777777">
      <w:pPr>
        <w:tabs>
          <w:tab w:val="left" w:pos="720"/>
        </w:tabs>
        <w:ind w:left="720" w:hanging="720"/>
        <w:rPr>
          <w:b/>
        </w:rPr>
      </w:pPr>
      <w:r>
        <w:rPr>
          <w:b/>
        </w:rPr>
        <w:t>A.</w:t>
      </w:r>
      <w:r>
        <w:rPr>
          <w:b/>
        </w:rPr>
        <w:tab/>
      </w:r>
      <w:r w:rsidRPr="00753B95">
        <w:rPr>
          <w:b/>
        </w:rPr>
        <w:t>Justification</w:t>
      </w:r>
    </w:p>
    <w:p w:rsidR="00D05C04" w:rsidRPr="00753B95" w:rsidP="00B536A7" w14:paraId="6A156293" w14:textId="77777777">
      <w:pPr>
        <w:tabs>
          <w:tab w:val="left" w:pos="720"/>
        </w:tabs>
        <w:ind w:left="720" w:hanging="720"/>
      </w:pPr>
    </w:p>
    <w:p w:rsidR="0061487C" w:rsidRPr="00753B95" w:rsidP="00B536A7" w14:paraId="51738CD9" w14:textId="52FA438D">
      <w:pPr>
        <w:tabs>
          <w:tab w:val="left" w:pos="720"/>
        </w:tabs>
        <w:ind w:left="720" w:hanging="720"/>
        <w:rPr>
          <w:b/>
        </w:rPr>
      </w:pPr>
      <w:r w:rsidRPr="00753B95">
        <w:rPr>
          <w:b/>
        </w:rPr>
        <w:t>1.</w:t>
      </w:r>
      <w:r w:rsidR="00027E19">
        <w:tab/>
      </w:r>
      <w:r w:rsidRPr="00753B95" w:rsidR="0098730C">
        <w:rPr>
          <w:b/>
        </w:rPr>
        <w:t>C</w:t>
      </w:r>
      <w:r w:rsidRPr="00753B95">
        <w:rPr>
          <w:b/>
        </w:rPr>
        <w:t>ircumstances that make the coll</w:t>
      </w:r>
      <w:r w:rsidR="00027E19">
        <w:rPr>
          <w:b/>
        </w:rPr>
        <w:t>ection of information necessary</w:t>
      </w:r>
      <w:r w:rsidR="004430CC">
        <w:rPr>
          <w:b/>
        </w:rPr>
        <w:t>.</w:t>
      </w:r>
    </w:p>
    <w:p w:rsidR="0061487C" w:rsidRPr="00753B95" w:rsidP="00B536A7" w14:paraId="58EF4CCD" w14:textId="77777777">
      <w:pPr>
        <w:tabs>
          <w:tab w:val="left" w:pos="720"/>
        </w:tabs>
        <w:ind w:left="720" w:hanging="720"/>
      </w:pPr>
    </w:p>
    <w:p w:rsidR="00202708" w:rsidRPr="00753B95" w:rsidP="00B536A7" w14:paraId="6F624ADB" w14:textId="77777777">
      <w:pPr>
        <w:pStyle w:val="NoSpacing"/>
        <w:tabs>
          <w:tab w:val="left" w:pos="720"/>
        </w:tabs>
        <w:ind w:left="720" w:hanging="720"/>
      </w:pPr>
      <w:r>
        <w:tab/>
      </w:r>
      <w:r w:rsidRPr="00753B95" w:rsidR="001344D6">
        <w:t xml:space="preserve">The Federal Credit Union Act </w:t>
      </w:r>
      <w:r w:rsidRPr="00753B95" w:rsidR="00DF2C1A">
        <w:t xml:space="preserve">requires written approval of the NCUA Board before one or more federally-insured credit unions merge or before a federally-insured credit union converts to nonfederal (private) share insurance or terminates federal share insurance and </w:t>
      </w:r>
      <w:r w:rsidRPr="00753B95" w:rsidR="001344D6">
        <w:t xml:space="preserve">authorizes the NCUA Board to prescribe rules regarding mergers of federally-insured credit unions and changes in insured status </w:t>
      </w:r>
      <w:r w:rsidR="008155FD">
        <w:t>(</w:t>
      </w:r>
      <w:r w:rsidRPr="00753B95" w:rsidR="001344D6">
        <w:t xml:space="preserve">12 U.S.C. </w:t>
      </w:r>
      <w:r w:rsidRPr="00753B95" w:rsidR="00C857B7">
        <w:t>§§</w:t>
      </w:r>
      <w:r w:rsidRPr="00753B95" w:rsidR="001344D6">
        <w:t>1752(7), 1766(a), 1785(b)</w:t>
      </w:r>
      <w:r w:rsidRPr="00753B95" w:rsidR="0004169B">
        <w:t xml:space="preserve"> and </w:t>
      </w:r>
      <w:r w:rsidRPr="00753B95" w:rsidR="001344D6">
        <w:t>(c),</w:t>
      </w:r>
      <w:r w:rsidRPr="00753B95" w:rsidR="0004169B">
        <w:t xml:space="preserve"> 1786(a), (c), and (d),</w:t>
      </w:r>
      <w:r w:rsidRPr="00753B95" w:rsidR="001344D6">
        <w:t xml:space="preserve"> and 1789(a)</w:t>
      </w:r>
      <w:r w:rsidR="008155FD">
        <w:t>)</w:t>
      </w:r>
      <w:r w:rsidRPr="00753B95" w:rsidR="001344D6">
        <w:t xml:space="preserve">.  Part 708b of NCUA’s rules sets forth the procedural and disclosure requirements for mergers of federally-insured credit unions, conversions from federal share insurance to nonfederal insurance, and federal share insurance terminations. </w:t>
      </w:r>
      <w:r w:rsidRPr="00753B95" w:rsidR="00DF2C1A">
        <w:t xml:space="preserve"> </w:t>
      </w:r>
    </w:p>
    <w:p w:rsidR="007F4ED7" w:rsidRPr="00753B95" w:rsidP="00B536A7" w14:paraId="28DEB377" w14:textId="77777777">
      <w:pPr>
        <w:pStyle w:val="NoSpacing"/>
        <w:tabs>
          <w:tab w:val="left" w:pos="720"/>
        </w:tabs>
        <w:ind w:left="720" w:hanging="720"/>
      </w:pPr>
    </w:p>
    <w:p w:rsidR="0098730C" w:rsidRPr="00753B95" w:rsidP="00B536A7" w14:paraId="0297921C" w14:textId="4C95332D">
      <w:pPr>
        <w:pStyle w:val="NoSpacing"/>
        <w:tabs>
          <w:tab w:val="left" w:pos="720"/>
        </w:tabs>
        <w:ind w:left="720" w:hanging="720"/>
        <w:rPr>
          <w:b/>
        </w:rPr>
      </w:pPr>
      <w:r w:rsidRPr="00753B95">
        <w:rPr>
          <w:b/>
        </w:rPr>
        <w:t>2.</w:t>
      </w:r>
      <w:r w:rsidR="00027E19">
        <w:tab/>
      </w:r>
      <w:r w:rsidR="00027E19">
        <w:rPr>
          <w:b/>
        </w:rPr>
        <w:t>P</w:t>
      </w:r>
      <w:r w:rsidRPr="00753B95">
        <w:rPr>
          <w:b/>
        </w:rPr>
        <w:t xml:space="preserve">urpose </w:t>
      </w:r>
      <w:r w:rsidR="00B536A7">
        <w:rPr>
          <w:b/>
        </w:rPr>
        <w:t>and use of the i</w:t>
      </w:r>
      <w:r w:rsidR="00027E19">
        <w:rPr>
          <w:b/>
        </w:rPr>
        <w:t>nformation</w:t>
      </w:r>
      <w:r w:rsidR="00B536A7">
        <w:rPr>
          <w:b/>
        </w:rPr>
        <w:t xml:space="preserve"> collected.</w:t>
      </w:r>
    </w:p>
    <w:p w:rsidR="00202708" w:rsidRPr="00753B95" w:rsidP="00B536A7" w14:paraId="0BCCE04A" w14:textId="77777777">
      <w:pPr>
        <w:pStyle w:val="NoSpacing"/>
        <w:tabs>
          <w:tab w:val="left" w:pos="720"/>
        </w:tabs>
        <w:ind w:left="720" w:hanging="720"/>
      </w:pPr>
    </w:p>
    <w:p w:rsidR="00A11628" w:rsidRPr="0084030C" w:rsidP="00B536A7" w14:paraId="4DC53F7D" w14:textId="3C07F39E">
      <w:pPr>
        <w:pStyle w:val="NoSpacing"/>
        <w:tabs>
          <w:tab w:val="left" w:pos="720"/>
        </w:tabs>
        <w:ind w:left="720" w:hanging="720"/>
      </w:pPr>
      <w:r>
        <w:tab/>
      </w:r>
      <w:r w:rsidRPr="00753B95" w:rsidR="00DF2C1A">
        <w:t>Part 708b</w:t>
      </w:r>
      <w:r w:rsidRPr="00753B95" w:rsidR="00202708">
        <w:t xml:space="preserve"> is designed to ensure NCUA has sufficient information </w:t>
      </w:r>
      <w:r w:rsidR="00F220F2">
        <w:t xml:space="preserve">to determine </w:t>
      </w:r>
      <w:r w:rsidRPr="00753B95" w:rsidR="00202708">
        <w:t>whether to approve a proposed merger, share insurance conversion, or share insurance termination.  It further ensures that members of credit unions have sufficient and accurate information to exercise their vote properly concerning a proposed merger, insurance conversion, or insurance termination.  The rule also protects the property interests of members who may lose their federal share insurance due to a merger, share insurance conversion, or share insurance termination</w:t>
      </w:r>
      <w:r w:rsidR="00CF6886">
        <w:t>.</w:t>
      </w:r>
      <w:r>
        <w:t xml:space="preserve">  The form</w:t>
      </w:r>
      <w:r w:rsidR="008606FF">
        <w:t>s</w:t>
      </w:r>
      <w:r>
        <w:t xml:space="preserve"> and format</w:t>
      </w:r>
      <w:r w:rsidR="008606FF">
        <w:t>s</w:t>
      </w:r>
      <w:r>
        <w:t xml:space="preserve"> necessary to comply with the requirements of part 708b are codified as subpart C.</w:t>
      </w:r>
    </w:p>
    <w:p w:rsidR="00D05C04" w:rsidRPr="00753B95" w:rsidP="00B536A7" w14:paraId="23218F9F" w14:textId="77777777">
      <w:pPr>
        <w:tabs>
          <w:tab w:val="left" w:pos="720"/>
        </w:tabs>
        <w:ind w:left="720" w:hanging="720"/>
      </w:pPr>
    </w:p>
    <w:p w:rsidR="00027E19" w:rsidRPr="00027E19" w:rsidP="00B536A7" w14:paraId="598F7C8F" w14:textId="4E416D2A">
      <w:pPr>
        <w:tabs>
          <w:tab w:val="left" w:pos="720"/>
        </w:tabs>
        <w:ind w:left="720" w:hanging="720"/>
      </w:pPr>
      <w:r>
        <w:rPr>
          <w:b/>
        </w:rPr>
        <w:t>3.</w:t>
      </w:r>
      <w:r>
        <w:rPr>
          <w:b/>
        </w:rPr>
        <w:tab/>
      </w:r>
      <w:r w:rsidR="00B536A7">
        <w:rPr>
          <w:b/>
        </w:rPr>
        <w:t>Use of information t</w:t>
      </w:r>
      <w:r w:rsidRPr="00027E19">
        <w:rPr>
          <w:b/>
        </w:rPr>
        <w:t>echnology</w:t>
      </w:r>
      <w:r w:rsidR="00B536A7">
        <w:rPr>
          <w:b/>
        </w:rPr>
        <w:t>.</w:t>
      </w:r>
    </w:p>
    <w:p w:rsidR="00323E48" w:rsidRPr="00753B95" w:rsidP="00B536A7" w14:paraId="70AA63D2" w14:textId="77777777">
      <w:pPr>
        <w:tabs>
          <w:tab w:val="left" w:pos="720"/>
        </w:tabs>
        <w:ind w:left="720" w:hanging="720"/>
      </w:pPr>
    </w:p>
    <w:p w:rsidR="008E4492" w:rsidRPr="003A5A09" w:rsidP="008E4492" w14:paraId="7F1649B2" w14:textId="77777777">
      <w:pPr>
        <w:ind w:left="720"/>
        <w:rPr>
          <w:color w:val="000000"/>
        </w:rPr>
      </w:pPr>
      <w:r w:rsidRPr="003A5A09">
        <w:rPr>
          <w:color w:val="000000"/>
        </w:rPr>
        <w:t>The NCUA</w:t>
      </w:r>
      <w:r>
        <w:rPr>
          <w:color w:val="000000"/>
        </w:rPr>
        <w:t xml:space="preserve"> is working on enhancing</w:t>
      </w:r>
      <w:r w:rsidRPr="003A5A09">
        <w:rPr>
          <w:color w:val="000000"/>
        </w:rPr>
        <w:t xml:space="preserve"> technology for submitting merger applications, enabling Credit Unions to use a web-based system. This new </w:t>
      </w:r>
      <w:r>
        <w:rPr>
          <w:color w:val="000000"/>
        </w:rPr>
        <w:t>system</w:t>
      </w:r>
      <w:r w:rsidRPr="003A5A09">
        <w:rPr>
          <w:color w:val="000000"/>
        </w:rPr>
        <w:t xml:space="preserve"> will </w:t>
      </w:r>
      <w:r>
        <w:rPr>
          <w:color w:val="000000"/>
        </w:rPr>
        <w:t>track</w:t>
      </w:r>
      <w:r w:rsidRPr="003A5A09">
        <w:rPr>
          <w:color w:val="000000"/>
        </w:rPr>
        <w:t xml:space="preserve"> the workflow of the merger process, allowing credit unions to track their applications from start to finish.</w:t>
      </w:r>
    </w:p>
    <w:p w:rsidR="008E4492" w:rsidP="00B536A7" w14:paraId="68CE88BD" w14:textId="77777777">
      <w:pPr>
        <w:ind w:left="720"/>
      </w:pPr>
    </w:p>
    <w:p w:rsidR="00B37292" w:rsidP="00B536A7" w14:paraId="18299B9D" w14:textId="6DE033E0">
      <w:pPr>
        <w:ind w:left="720"/>
      </w:pPr>
      <w:r>
        <w:t>Currently, f</w:t>
      </w:r>
      <w:r w:rsidRPr="00753B95" w:rsidR="00F92873">
        <w:t>orms and formats for a credit union to use in communicating with its members and with NCUA about mergers and share insurance conversions</w:t>
      </w:r>
      <w:r w:rsidRPr="00753B95" w:rsidR="00DF2C1A">
        <w:t xml:space="preserve"> and terminations</w:t>
      </w:r>
      <w:r w:rsidRPr="00753B95" w:rsidR="00F92873">
        <w:t xml:space="preserve"> are available electronically from NCUA’s website.</w:t>
      </w:r>
      <w:r w:rsidR="008155FD">
        <w:t xml:space="preserve">  Forms are designed to be fillable</w:t>
      </w:r>
      <w:r>
        <w:t xml:space="preserve"> to support electronic completion and submissions</w:t>
      </w:r>
      <w:r w:rsidR="008155FD">
        <w:t>.</w:t>
      </w:r>
      <w:r w:rsidR="00B536A7">
        <w:t xml:space="preserve">  </w:t>
      </w:r>
    </w:p>
    <w:p w:rsidR="00B37292" w:rsidP="00B536A7" w14:paraId="1555FB19" w14:textId="77777777">
      <w:pPr>
        <w:ind w:left="720"/>
      </w:pPr>
    </w:p>
    <w:p w:rsidR="00323E48" w:rsidP="00B536A7" w14:paraId="643FB9F0" w14:textId="1AFA748D">
      <w:pPr>
        <w:ind w:left="720"/>
      </w:pPr>
      <w:r w:rsidRPr="00753B95">
        <w:t>Credit unions may use electronic voting processes in obtaining the votes of their members on whether to approve a merger.</w:t>
      </w:r>
    </w:p>
    <w:p w:rsidR="00B37292" w:rsidP="00B536A7" w14:paraId="4B57AC08" w14:textId="77777777">
      <w:pPr>
        <w:ind w:left="720"/>
      </w:pPr>
    </w:p>
    <w:p w:rsidR="00CA2BEC" w:rsidP="00B536A7" w14:paraId="490FF15F" w14:textId="63CD047C">
      <w:pPr>
        <w:tabs>
          <w:tab w:val="left" w:pos="720"/>
        </w:tabs>
        <w:ind w:left="720" w:hanging="720"/>
      </w:pPr>
      <w:r>
        <w:tab/>
      </w:r>
      <w:r w:rsidR="00B37292">
        <w:t>Once the new merger application technology is implement</w:t>
      </w:r>
      <w:r w:rsidR="004E573E">
        <w:t>ed</w:t>
      </w:r>
      <w:r w:rsidR="00B37292">
        <w:t>, the existing fillable forms will be replaced by an integrated merger application tool. This tool will allow credit unions to complete and submit merger applications entirely within the system, eliminating the need for some of the separate fillable forms</w:t>
      </w:r>
      <w:r>
        <w:t>.</w:t>
      </w:r>
    </w:p>
    <w:p w:rsidR="00CA2BEC" w:rsidP="00B536A7" w14:paraId="6BFC95FA" w14:textId="77777777">
      <w:pPr>
        <w:tabs>
          <w:tab w:val="left" w:pos="720"/>
        </w:tabs>
        <w:ind w:left="720" w:hanging="720"/>
      </w:pPr>
    </w:p>
    <w:p w:rsidR="00D05C04" w:rsidRPr="00753B95" w:rsidP="00B536A7" w14:paraId="035BCCFF" w14:textId="54127987">
      <w:pPr>
        <w:tabs>
          <w:tab w:val="left" w:pos="720"/>
        </w:tabs>
        <w:ind w:left="720" w:hanging="720"/>
        <w:rPr>
          <w:b/>
        </w:rPr>
      </w:pPr>
      <w:r w:rsidRPr="00753B95">
        <w:rPr>
          <w:b/>
        </w:rPr>
        <w:t>4.</w:t>
      </w:r>
      <w:r w:rsidR="00027E19">
        <w:rPr>
          <w:b/>
        </w:rPr>
        <w:tab/>
        <w:t>D</w:t>
      </w:r>
      <w:r w:rsidRPr="00753B95">
        <w:rPr>
          <w:b/>
        </w:rPr>
        <w:t>uplication</w:t>
      </w:r>
      <w:r w:rsidR="00B536A7">
        <w:rPr>
          <w:b/>
        </w:rPr>
        <w:t xml:space="preserve"> of information.</w:t>
      </w:r>
    </w:p>
    <w:p w:rsidR="00DF2C1A" w:rsidRPr="00753B95" w:rsidP="00027E19" w14:paraId="73D3F806" w14:textId="77777777">
      <w:pPr>
        <w:ind w:left="540" w:hanging="540"/>
        <w:rPr>
          <w:b/>
        </w:rPr>
      </w:pPr>
    </w:p>
    <w:p w:rsidR="00DF2C1A" w:rsidRPr="00753B95" w:rsidP="00B536A7" w14:paraId="25DEF086" w14:textId="77777777">
      <w:pPr>
        <w:widowControl w:val="0"/>
        <w:ind w:left="720" w:hanging="720"/>
      </w:pPr>
      <w:r>
        <w:tab/>
      </w:r>
      <w:r w:rsidRPr="00753B95">
        <w:t xml:space="preserve">The collection of information is unique to the circumstances of each credit union.  The information is self-generated and is not available from any other government agency or other source. </w:t>
      </w:r>
    </w:p>
    <w:p w:rsidR="00DF2C1A" w:rsidRPr="00753B95" w:rsidP="00027E19" w14:paraId="74BDFF58" w14:textId="77777777">
      <w:pPr>
        <w:widowControl w:val="0"/>
        <w:ind w:left="540" w:hanging="540"/>
      </w:pPr>
    </w:p>
    <w:p w:rsidR="00DF2C1A" w:rsidRPr="00753B95" w:rsidP="00B536A7" w14:paraId="37F9DBCA" w14:textId="685E7CF7">
      <w:pPr>
        <w:widowControl w:val="0"/>
        <w:ind w:left="720" w:hanging="720"/>
        <w:rPr>
          <w:b/>
        </w:rPr>
      </w:pPr>
      <w:r>
        <w:rPr>
          <w:b/>
        </w:rPr>
        <w:t>5.</w:t>
      </w:r>
      <w:r>
        <w:rPr>
          <w:b/>
        </w:rPr>
        <w:tab/>
        <w:t xml:space="preserve">Effect </w:t>
      </w:r>
      <w:r w:rsidR="00B536A7">
        <w:rPr>
          <w:b/>
        </w:rPr>
        <w:t>to reduce burden on small e</w:t>
      </w:r>
      <w:r>
        <w:rPr>
          <w:b/>
        </w:rPr>
        <w:t>ntities</w:t>
      </w:r>
      <w:r w:rsidR="00B536A7">
        <w:rPr>
          <w:b/>
        </w:rPr>
        <w:t>.</w:t>
      </w:r>
    </w:p>
    <w:p w:rsidR="00DF2C1A" w:rsidRPr="00753B95" w:rsidP="00027E19" w14:paraId="0771A1F0" w14:textId="77777777">
      <w:pPr>
        <w:widowControl w:val="0"/>
        <w:ind w:left="540" w:hanging="540"/>
      </w:pPr>
    </w:p>
    <w:p w:rsidR="00DF2C1A" w:rsidRPr="00753B95" w:rsidP="00B536A7" w14:paraId="2D5E2797" w14:textId="77777777">
      <w:pPr>
        <w:widowControl w:val="0"/>
        <w:ind w:left="720" w:hanging="720"/>
      </w:pPr>
      <w:r>
        <w:tab/>
      </w:r>
      <w:r w:rsidRPr="00753B95">
        <w:t xml:space="preserve">This collection does not have a significant impact on a substantial number of small credit unions.  For the most part, in a merger transaction a small credit union merges into a larger credit union.  The larger credit union provides substantial assistance to the smaller credit union alleviating the economic burden.  Share insurance conversion transactions are rare, </w:t>
      </w:r>
      <w:r w:rsidR="00FD5E62">
        <w:t>four during the last year</w:t>
      </w:r>
      <w:r w:rsidRPr="00753B95">
        <w:t xml:space="preserve">, and under Part 708b NCUA supplies the forms and format of the application.  NCUA has not had a voluntary </w:t>
      </w:r>
      <w:r w:rsidRPr="00144F67">
        <w:t>share insurance termination in decades</w:t>
      </w:r>
      <w:r w:rsidRPr="00753B95">
        <w:t>.</w:t>
      </w:r>
    </w:p>
    <w:p w:rsidR="00DF2C1A" w:rsidRPr="00753B95" w:rsidP="00027E19" w14:paraId="10219690" w14:textId="77777777">
      <w:pPr>
        <w:widowControl w:val="0"/>
        <w:ind w:left="540" w:hanging="540"/>
      </w:pPr>
    </w:p>
    <w:p w:rsidR="00DF2C1A" w:rsidRPr="00753B95" w:rsidP="00B536A7" w14:paraId="7399C975" w14:textId="77C923AF">
      <w:pPr>
        <w:widowControl w:val="0"/>
        <w:ind w:left="720" w:hanging="720"/>
        <w:rPr>
          <w:b/>
        </w:rPr>
      </w:pPr>
      <w:r>
        <w:rPr>
          <w:b/>
        </w:rPr>
        <w:t>6.</w:t>
      </w:r>
      <w:r>
        <w:rPr>
          <w:b/>
        </w:rPr>
        <w:tab/>
      </w:r>
      <w:r w:rsidRPr="00753B95">
        <w:rPr>
          <w:b/>
        </w:rPr>
        <w:t xml:space="preserve">Consequences </w:t>
      </w:r>
      <w:r w:rsidR="00B536A7">
        <w:rPr>
          <w:b/>
        </w:rPr>
        <w:t>of not conducting the c</w:t>
      </w:r>
      <w:r>
        <w:rPr>
          <w:b/>
        </w:rPr>
        <w:t>ollection</w:t>
      </w:r>
      <w:r w:rsidR="00B536A7">
        <w:rPr>
          <w:b/>
        </w:rPr>
        <w:t>.</w:t>
      </w:r>
    </w:p>
    <w:p w:rsidR="00DF2C1A" w:rsidRPr="00753B95" w:rsidP="00027E19" w14:paraId="6DD281B7" w14:textId="77777777">
      <w:pPr>
        <w:widowControl w:val="0"/>
        <w:ind w:left="540" w:hanging="540"/>
      </w:pPr>
    </w:p>
    <w:p w:rsidR="00DF2C1A" w:rsidRPr="00753B95" w:rsidP="00B536A7" w14:paraId="3FC73F31" w14:textId="77777777">
      <w:pPr>
        <w:widowControl w:val="0"/>
        <w:ind w:left="720" w:hanging="720"/>
      </w:pPr>
      <w:r>
        <w:tab/>
      </w:r>
      <w:r w:rsidRPr="00753B95">
        <w:t xml:space="preserve">If the information collection occurred less frequently, NCUA would be unable to determine whether to approve the proposed merger or share insurance conversion.  Also, the credit union’s members would not have sufficient information to evaluate the proposal. </w:t>
      </w:r>
    </w:p>
    <w:p w:rsidR="00DF2C1A" w:rsidRPr="00753B95" w:rsidP="00027E19" w14:paraId="59D0226D" w14:textId="77777777">
      <w:pPr>
        <w:widowControl w:val="0"/>
        <w:ind w:left="540" w:hanging="540"/>
      </w:pPr>
    </w:p>
    <w:p w:rsidR="00DF2C1A" w:rsidRPr="00753B95" w:rsidP="00B536A7" w14:paraId="20C59175" w14:textId="2E5DCA53">
      <w:pPr>
        <w:widowControl w:val="0"/>
        <w:ind w:left="720" w:hanging="720"/>
        <w:rPr>
          <w:b/>
        </w:rPr>
      </w:pPr>
      <w:r>
        <w:rPr>
          <w:b/>
        </w:rPr>
        <w:t>7.</w:t>
      </w:r>
      <w:r>
        <w:rPr>
          <w:b/>
        </w:rPr>
        <w:tab/>
        <w:t>I</w:t>
      </w:r>
      <w:r w:rsidR="00B536A7">
        <w:rPr>
          <w:b/>
        </w:rPr>
        <w:t>nconsistencies with g</w:t>
      </w:r>
      <w:r>
        <w:rPr>
          <w:b/>
        </w:rPr>
        <w:t xml:space="preserve">uidelines </w:t>
      </w:r>
      <w:r w:rsidR="00B536A7">
        <w:rPr>
          <w:b/>
        </w:rPr>
        <w:t xml:space="preserve">in </w:t>
      </w:r>
      <w:r w:rsidRPr="00753B95">
        <w:rPr>
          <w:b/>
        </w:rPr>
        <w:t>5 CF</w:t>
      </w:r>
      <w:r>
        <w:rPr>
          <w:b/>
        </w:rPr>
        <w:t>R §1320.5(d)(2)</w:t>
      </w:r>
      <w:r w:rsidR="00B536A7">
        <w:rPr>
          <w:b/>
        </w:rPr>
        <w:t>.</w:t>
      </w:r>
    </w:p>
    <w:p w:rsidR="00DF2C1A" w:rsidRPr="00753B95" w:rsidP="00B536A7" w14:paraId="5669F185" w14:textId="77777777">
      <w:pPr>
        <w:widowControl w:val="0"/>
        <w:ind w:left="720" w:hanging="720"/>
      </w:pPr>
    </w:p>
    <w:p w:rsidR="00DF2C1A" w:rsidRPr="00753B95" w:rsidP="00B536A7" w14:paraId="3963681D" w14:textId="571240F8">
      <w:pPr>
        <w:widowControl w:val="0"/>
        <w:ind w:left="720" w:hanging="720"/>
      </w:pPr>
      <w:r>
        <w:tab/>
      </w:r>
      <w:r w:rsidR="008606FF">
        <w:t>There are no special circumstances.  This collection is consistent with the guidelines in 5 CFR 1320.5(d)(2).</w:t>
      </w:r>
    </w:p>
    <w:p w:rsidR="00DF2C1A" w:rsidRPr="00753B95" w:rsidP="00B536A7" w14:paraId="359DF07C" w14:textId="77777777">
      <w:pPr>
        <w:widowControl w:val="0"/>
        <w:ind w:left="720" w:hanging="720"/>
      </w:pPr>
    </w:p>
    <w:p w:rsidR="00DF2C1A" w:rsidRPr="00753B95" w:rsidP="00B536A7" w14:paraId="071F979F" w14:textId="3A06EDB4">
      <w:pPr>
        <w:widowControl w:val="0"/>
        <w:tabs>
          <w:tab w:val="left" w:pos="-1440"/>
        </w:tabs>
        <w:ind w:left="720" w:hanging="720"/>
        <w:rPr>
          <w:b/>
        </w:rPr>
      </w:pPr>
      <w:r>
        <w:rPr>
          <w:b/>
        </w:rPr>
        <w:t>8.</w:t>
      </w:r>
      <w:r>
        <w:rPr>
          <w:b/>
        </w:rPr>
        <w:tab/>
      </w:r>
      <w:r w:rsidR="00B536A7">
        <w:rPr>
          <w:b/>
        </w:rPr>
        <w:t xml:space="preserve">Efforts to consult with persons outside </w:t>
      </w:r>
      <w:r>
        <w:rPr>
          <w:b/>
        </w:rPr>
        <w:t>the Agency</w:t>
      </w:r>
      <w:r w:rsidR="00B536A7">
        <w:rPr>
          <w:b/>
        </w:rPr>
        <w:t>.</w:t>
      </w:r>
    </w:p>
    <w:p w:rsidR="00167F72" w:rsidRPr="00D62FCD" w:rsidP="00D62FCD" w14:paraId="79CEADE4" w14:textId="2000E8EE">
      <w:pPr>
        <w:widowControl w:val="0"/>
        <w:tabs>
          <w:tab w:val="left" w:pos="720"/>
        </w:tabs>
      </w:pPr>
    </w:p>
    <w:p w:rsidR="001409B4" w:rsidRPr="001409B4" w:rsidP="001409B4" w14:paraId="5248523F" w14:textId="2B6BD7FA">
      <w:pPr>
        <w:pStyle w:val="ListParagraph"/>
        <w:rPr>
          <w:sz w:val="24"/>
          <w:szCs w:val="24"/>
        </w:rPr>
      </w:pPr>
      <w:r w:rsidRPr="001409B4">
        <w:rPr>
          <w:sz w:val="24"/>
          <w:szCs w:val="24"/>
        </w:rPr>
        <w:t xml:space="preserve">A 60-day notice was published in the </w:t>
      </w:r>
      <w:r w:rsidRPr="001409B4">
        <w:rPr>
          <w:i/>
          <w:sz w:val="24"/>
          <w:szCs w:val="24"/>
        </w:rPr>
        <w:t>Federal Register</w:t>
      </w:r>
      <w:r w:rsidRPr="001409B4">
        <w:rPr>
          <w:sz w:val="24"/>
          <w:szCs w:val="24"/>
        </w:rPr>
        <w:t xml:space="preserve"> on </w:t>
      </w:r>
      <w:r w:rsidR="006B5FD8">
        <w:rPr>
          <w:sz w:val="24"/>
          <w:szCs w:val="24"/>
        </w:rPr>
        <w:t>February</w:t>
      </w:r>
      <w:r w:rsidRPr="001409B4">
        <w:rPr>
          <w:sz w:val="24"/>
          <w:szCs w:val="24"/>
        </w:rPr>
        <w:t xml:space="preserve"> </w:t>
      </w:r>
      <w:r w:rsidR="006B5FD8">
        <w:rPr>
          <w:sz w:val="24"/>
          <w:szCs w:val="24"/>
        </w:rPr>
        <w:t>2</w:t>
      </w:r>
      <w:r w:rsidRPr="001409B4">
        <w:rPr>
          <w:sz w:val="24"/>
          <w:szCs w:val="24"/>
        </w:rPr>
        <w:t>, 202</w:t>
      </w:r>
      <w:r w:rsidR="006B5FD8">
        <w:rPr>
          <w:sz w:val="24"/>
          <w:szCs w:val="24"/>
        </w:rPr>
        <w:t>6</w:t>
      </w:r>
      <w:r w:rsidRPr="001409B4">
        <w:rPr>
          <w:sz w:val="24"/>
          <w:szCs w:val="24"/>
        </w:rPr>
        <w:t xml:space="preserve">, at </w:t>
      </w:r>
      <w:r w:rsidR="006B5FD8">
        <w:rPr>
          <w:sz w:val="24"/>
          <w:szCs w:val="24"/>
        </w:rPr>
        <w:t>91</w:t>
      </w:r>
      <w:r w:rsidRPr="001409B4">
        <w:rPr>
          <w:sz w:val="24"/>
          <w:szCs w:val="24"/>
        </w:rPr>
        <w:t xml:space="preserve"> FR 4</w:t>
      </w:r>
      <w:r w:rsidR="006B5FD8">
        <w:rPr>
          <w:sz w:val="24"/>
          <w:szCs w:val="24"/>
        </w:rPr>
        <w:t>637</w:t>
      </w:r>
      <w:r w:rsidRPr="001409B4">
        <w:rPr>
          <w:sz w:val="24"/>
          <w:szCs w:val="24"/>
        </w:rPr>
        <w:t>, soliciting comments from the public</w:t>
      </w:r>
      <w:r w:rsidR="006B5FD8">
        <w:rPr>
          <w:sz w:val="24"/>
          <w:szCs w:val="24"/>
        </w:rPr>
        <w:t xml:space="preserve">.  </w:t>
      </w:r>
      <w:r w:rsidRPr="009F594F">
        <w:rPr>
          <w:sz w:val="24"/>
          <w:szCs w:val="24"/>
        </w:rPr>
        <w:t>No comments were received in response to the initial 60-day notice.</w:t>
      </w:r>
    </w:p>
    <w:p w:rsidR="00B14E32" w:rsidP="001409B4" w14:paraId="0AD65079" w14:textId="3B880C42">
      <w:pPr>
        <w:widowControl w:val="0"/>
        <w:tabs>
          <w:tab w:val="left" w:pos="720"/>
        </w:tabs>
        <w:ind w:left="720" w:hanging="720"/>
        <w:rPr>
          <w:b/>
        </w:rPr>
      </w:pPr>
    </w:p>
    <w:p w:rsidR="00D05C04" w:rsidRPr="00753B95" w:rsidP="00B536A7" w14:paraId="3D00C04E" w14:textId="067D2A8E">
      <w:pPr>
        <w:ind w:left="720" w:hanging="720"/>
        <w:rPr>
          <w:b/>
        </w:rPr>
      </w:pPr>
      <w:r w:rsidRPr="00753B95">
        <w:rPr>
          <w:b/>
        </w:rPr>
        <w:t>9.</w:t>
      </w:r>
      <w:r w:rsidR="00B536A7">
        <w:rPr>
          <w:b/>
        </w:rPr>
        <w:tab/>
        <w:t>Payment or g</w:t>
      </w:r>
      <w:r w:rsidR="00027E19">
        <w:rPr>
          <w:b/>
        </w:rPr>
        <w:t>ift</w:t>
      </w:r>
      <w:r w:rsidR="00B536A7">
        <w:rPr>
          <w:b/>
        </w:rPr>
        <w:t>s to r</w:t>
      </w:r>
      <w:r w:rsidRPr="00753B95">
        <w:rPr>
          <w:b/>
        </w:rPr>
        <w:t>espondents</w:t>
      </w:r>
      <w:r w:rsidR="00B536A7">
        <w:rPr>
          <w:b/>
        </w:rPr>
        <w:t>.</w:t>
      </w:r>
    </w:p>
    <w:p w:rsidR="0088606D" w:rsidRPr="00753B95" w:rsidP="00B536A7" w14:paraId="60DE471A" w14:textId="77777777">
      <w:pPr>
        <w:ind w:left="720" w:hanging="720"/>
      </w:pPr>
    </w:p>
    <w:p w:rsidR="00D05C04" w:rsidRPr="00753B95" w:rsidP="00B536A7" w14:paraId="4A5A9752" w14:textId="287D38E8">
      <w:pPr>
        <w:ind w:left="720" w:hanging="720"/>
      </w:pPr>
      <w:r>
        <w:tab/>
      </w:r>
      <w:r w:rsidR="002E4F2B">
        <w:t xml:space="preserve">No </w:t>
      </w:r>
      <w:r w:rsidRPr="00753B95" w:rsidR="001D3C24">
        <w:t>payment or gift to respondents</w:t>
      </w:r>
      <w:r w:rsidR="002E4F2B">
        <w:t xml:space="preserve"> are made</w:t>
      </w:r>
      <w:r w:rsidR="003349A4">
        <w:t>.</w:t>
      </w:r>
    </w:p>
    <w:p w:rsidR="00D05C04" w:rsidRPr="00753B95" w:rsidP="00B536A7" w14:paraId="106C0DB1" w14:textId="77777777">
      <w:pPr>
        <w:ind w:left="720" w:hanging="720"/>
      </w:pPr>
    </w:p>
    <w:p w:rsidR="00D05C04" w:rsidRPr="00753B95" w:rsidP="00B536A7" w14:paraId="1C55FE2B" w14:textId="361358B1">
      <w:pPr>
        <w:ind w:left="720" w:hanging="720"/>
        <w:rPr>
          <w:b/>
        </w:rPr>
      </w:pPr>
      <w:r w:rsidRPr="00753B95">
        <w:rPr>
          <w:b/>
        </w:rPr>
        <w:t>10.</w:t>
      </w:r>
      <w:r w:rsidR="00B536A7">
        <w:rPr>
          <w:b/>
        </w:rPr>
        <w:tab/>
        <w:t>Assurance of c</w:t>
      </w:r>
      <w:r w:rsidR="00027E19">
        <w:rPr>
          <w:b/>
        </w:rPr>
        <w:t>onfidentiality</w:t>
      </w:r>
      <w:r w:rsidR="00B536A7">
        <w:rPr>
          <w:b/>
        </w:rPr>
        <w:t>.</w:t>
      </w:r>
      <w:r w:rsidRPr="00753B95">
        <w:rPr>
          <w:b/>
        </w:rPr>
        <w:t xml:space="preserve"> </w:t>
      </w:r>
    </w:p>
    <w:p w:rsidR="00D05C04" w:rsidRPr="00753B95" w:rsidP="00B536A7" w14:paraId="2A047A4F" w14:textId="77777777">
      <w:pPr>
        <w:ind w:left="720" w:hanging="720"/>
      </w:pPr>
    </w:p>
    <w:p w:rsidR="0098332B" w:rsidRPr="00753B95" w:rsidP="00B536A7" w14:paraId="08D4F581" w14:textId="05FAC8E8">
      <w:pPr>
        <w:ind w:left="720" w:hanging="720"/>
      </w:pPr>
      <w:r>
        <w:tab/>
      </w:r>
      <w:r w:rsidRPr="000574EB" w:rsidR="001A1AC3">
        <w:t>Converting credit unions and merging credit unions must identify themselves to NCUA per federal statute.  NCUA does not reveal any information in a credit union’s conversion or merger materials unless required under the Freedom of Information Act.</w:t>
      </w:r>
    </w:p>
    <w:p w:rsidR="00D05C04" w:rsidRPr="00753B95" w:rsidP="00B536A7" w14:paraId="6CDB104E" w14:textId="77777777">
      <w:pPr>
        <w:ind w:left="720" w:hanging="720"/>
      </w:pPr>
    </w:p>
    <w:p w:rsidR="00D05C04" w:rsidRPr="00753B95" w:rsidP="00B536A7" w14:paraId="2B0D7440" w14:textId="2A19E628">
      <w:pPr>
        <w:ind w:left="720" w:hanging="720"/>
        <w:rPr>
          <w:b/>
        </w:rPr>
      </w:pPr>
      <w:r w:rsidRPr="00753B95">
        <w:rPr>
          <w:b/>
        </w:rPr>
        <w:t>11.</w:t>
      </w:r>
      <w:r w:rsidR="00027E19">
        <w:rPr>
          <w:b/>
        </w:rPr>
        <w:tab/>
        <w:t>Q</w:t>
      </w:r>
      <w:r w:rsidRPr="00753B95">
        <w:rPr>
          <w:b/>
        </w:rPr>
        <w:t>uestion</w:t>
      </w:r>
      <w:r w:rsidR="00B536A7">
        <w:rPr>
          <w:b/>
        </w:rPr>
        <w:t>s of a sensitive n</w:t>
      </w:r>
      <w:r w:rsidRPr="00753B95">
        <w:rPr>
          <w:b/>
        </w:rPr>
        <w:t>ature</w:t>
      </w:r>
      <w:r w:rsidR="00B536A7">
        <w:rPr>
          <w:b/>
        </w:rPr>
        <w:t>.</w:t>
      </w:r>
    </w:p>
    <w:p w:rsidR="00D05C04" w:rsidRPr="00753B95" w:rsidP="00B536A7" w14:paraId="3E319517" w14:textId="77777777">
      <w:pPr>
        <w:ind w:left="720" w:hanging="720"/>
      </w:pPr>
    </w:p>
    <w:p w:rsidR="00D05C04" w:rsidRPr="00753B95" w:rsidP="00B536A7" w14:paraId="0F316508" w14:textId="77777777">
      <w:pPr>
        <w:ind w:left="720" w:hanging="720"/>
      </w:pPr>
      <w:r>
        <w:tab/>
      </w:r>
      <w:r w:rsidR="002E4F2B">
        <w:t>No personally identifiable information (PII) is collected.</w:t>
      </w:r>
    </w:p>
    <w:p w:rsidR="00D05C04" w:rsidRPr="00753B95" w:rsidP="00B536A7" w14:paraId="74FD96EE" w14:textId="77777777">
      <w:pPr>
        <w:ind w:left="720" w:hanging="720"/>
      </w:pPr>
    </w:p>
    <w:p w:rsidR="00027E19" w:rsidP="00B536A7" w14:paraId="3F941D0D" w14:textId="6D53C1E2">
      <w:pPr>
        <w:ind w:left="720" w:hanging="720"/>
        <w:rPr>
          <w:b/>
        </w:rPr>
      </w:pPr>
      <w:r w:rsidRPr="00753B95">
        <w:rPr>
          <w:b/>
        </w:rPr>
        <w:t>12.</w:t>
      </w:r>
      <w:r>
        <w:rPr>
          <w:b/>
        </w:rPr>
        <w:tab/>
      </w:r>
      <w:r w:rsidR="00B536A7">
        <w:rPr>
          <w:b/>
        </w:rPr>
        <w:t>Burden of information c</w:t>
      </w:r>
      <w:r>
        <w:rPr>
          <w:b/>
        </w:rPr>
        <w:t>ollection</w:t>
      </w:r>
      <w:r w:rsidR="00B536A7">
        <w:rPr>
          <w:b/>
        </w:rPr>
        <w:t>.</w:t>
      </w:r>
    </w:p>
    <w:p w:rsidR="00A236DE" w:rsidRPr="00753B95" w:rsidP="00B536A7" w14:paraId="302B477A" w14:textId="77777777">
      <w:pPr>
        <w:ind w:left="720" w:hanging="720"/>
      </w:pPr>
    </w:p>
    <w:p w:rsidR="00940951" w:rsidRPr="00753B95" w:rsidP="00B536A7" w14:paraId="0761DF4D" w14:textId="50941B13">
      <w:pPr>
        <w:ind w:left="720" w:hanging="720"/>
      </w:pPr>
      <w:r>
        <w:tab/>
      </w:r>
      <w:r w:rsidRPr="00753B95">
        <w:t xml:space="preserve">The </w:t>
      </w:r>
      <w:r w:rsidRPr="00753B95" w:rsidR="00650EA0">
        <w:t xml:space="preserve">categories of burden for credit unions complying with Part 708b </w:t>
      </w:r>
      <w:r w:rsidRPr="00753B95" w:rsidR="0004169B">
        <w:t xml:space="preserve">may </w:t>
      </w:r>
      <w:r w:rsidRPr="00753B95" w:rsidR="00650EA0">
        <w:t>include</w:t>
      </w:r>
      <w:r w:rsidRPr="00753B95">
        <w:t xml:space="preserve"> the following:</w:t>
      </w:r>
    </w:p>
    <w:p w:rsidR="009739E0" w:rsidRPr="00753B95" w:rsidP="00B536A7" w14:paraId="50C0477E" w14:textId="77777777">
      <w:pPr>
        <w:ind w:left="720" w:hanging="720"/>
      </w:pPr>
    </w:p>
    <w:p w:rsidR="00940951" w:rsidRPr="00753B95" w:rsidP="00B14E32" w14:paraId="5516C8FB" w14:textId="710D18AD">
      <w:pPr>
        <w:pStyle w:val="NoSpacing"/>
        <w:ind w:left="720"/>
      </w:pPr>
      <w:r w:rsidRPr="00753B95">
        <w:rPr>
          <w:b/>
          <w:u w:val="single"/>
        </w:rPr>
        <w:t>Mergers</w:t>
      </w:r>
      <w:r w:rsidRPr="00B14E32" w:rsidR="00B14E32">
        <w:rPr>
          <w:b/>
        </w:rPr>
        <w:t>:</w:t>
      </w:r>
      <w:r w:rsidR="00B14E32">
        <w:rPr>
          <w:b/>
        </w:rPr>
        <w:t xml:space="preserve"> </w:t>
      </w:r>
      <w:r w:rsidRPr="00B14E32" w:rsidR="00B14E32">
        <w:rPr>
          <w:b/>
        </w:rPr>
        <w:t xml:space="preserve"> </w:t>
      </w:r>
      <w:r w:rsidRPr="00753B95">
        <w:t xml:space="preserve">Each year, there are approximately </w:t>
      </w:r>
      <w:r w:rsidRPr="000E0FF7" w:rsidR="00E75E30">
        <w:t>160</w:t>
      </w:r>
      <w:r w:rsidRPr="00457D5B">
        <w:t xml:space="preserve"> merger</w:t>
      </w:r>
      <w:r w:rsidRPr="00753B95">
        <w:t>s involving one or more</w:t>
      </w:r>
      <w:r w:rsidR="00B87625">
        <w:t xml:space="preserve"> federally-insured credit union</w:t>
      </w:r>
      <w:r w:rsidR="00005ABC">
        <w:t>s</w:t>
      </w:r>
      <w:r w:rsidRPr="00753B95">
        <w:t>.  NCUA estimates it will take the two merging credit unions approximately 3</w:t>
      </w:r>
      <w:r w:rsidR="00095BFE">
        <w:t>3</w:t>
      </w:r>
      <w:r w:rsidRPr="00753B95">
        <w:t xml:space="preserve"> hours between them to</w:t>
      </w:r>
      <w:r w:rsidR="00196BDF">
        <w:t>:</w:t>
      </w:r>
    </w:p>
    <w:p w:rsidR="00B14E32" w:rsidP="00B536A7" w14:paraId="6B4F1D37" w14:textId="77777777">
      <w:pPr>
        <w:pStyle w:val="NoSpacing"/>
        <w:ind w:left="720" w:hanging="720"/>
        <w:sectPr w:rsidSect="00B14E32">
          <w:footerReference w:type="default" r:id="rId5"/>
          <w:pgSz w:w="12240" w:h="15840"/>
          <w:pgMar w:top="1440" w:right="1440" w:bottom="1440" w:left="1440" w:header="720" w:footer="720" w:gutter="0"/>
          <w:cols w:space="720"/>
          <w:docGrid w:linePitch="360"/>
        </w:sectPr>
      </w:pPr>
    </w:p>
    <w:p w:rsidR="00940951" w:rsidP="00B536A7" w14:paraId="66292637" w14:textId="12FF6840">
      <w:pPr>
        <w:pStyle w:val="NoSpacing"/>
        <w:ind w:left="720" w:hanging="720"/>
      </w:pPr>
    </w:p>
    <w:p w:rsidR="00B14E32" w:rsidP="00B536A7" w14:paraId="5DB3D6F2" w14:textId="77777777">
      <w:pPr>
        <w:pStyle w:val="NoSpacing"/>
        <w:ind w:left="720" w:hanging="720"/>
        <w:sectPr w:rsidSect="00B14E32">
          <w:type w:val="continuous"/>
          <w:pgSz w:w="12240" w:h="15840"/>
          <w:pgMar w:top="1440" w:right="1440" w:bottom="1440" w:left="810" w:header="720" w:footer="720" w:gutter="0"/>
          <w:cols w:space="720"/>
          <w:docGrid w:linePitch="360"/>
        </w:sectPr>
      </w:pPr>
    </w:p>
    <w:p w:rsidR="00524F36" w:rsidP="00940951" w14:paraId="22F895D7" w14:textId="190B4764">
      <w:pPr>
        <w:pStyle w:val="NoSpacing"/>
      </w:pPr>
    </w:p>
    <w:tbl>
      <w:tblPr>
        <w:tblW w:w="10500" w:type="dxa"/>
        <w:tblLook w:val="04A0"/>
      </w:tblPr>
      <w:tblGrid>
        <w:gridCol w:w="1079"/>
        <w:gridCol w:w="1872"/>
        <w:gridCol w:w="949"/>
        <w:gridCol w:w="1400"/>
        <w:gridCol w:w="1141"/>
        <w:gridCol w:w="1120"/>
        <w:gridCol w:w="1480"/>
        <w:gridCol w:w="1460"/>
      </w:tblGrid>
      <w:tr w14:paraId="55EA3400" w14:textId="77777777" w:rsidTr="00551F4E">
        <w:tblPrEx>
          <w:tblW w:w="10500" w:type="dxa"/>
          <w:tblLook w:val="04A0"/>
        </w:tblPrEx>
        <w:trPr>
          <w:trHeight w:val="280"/>
        </w:trPr>
        <w:tc>
          <w:tcPr>
            <w:tcW w:w="10500" w:type="dxa"/>
            <w:gridSpan w:val="8"/>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551F4E" w:rsidRPr="00551F4E" w14:paraId="6D078E47" w14:textId="77777777">
            <w:pPr>
              <w:jc w:val="center"/>
              <w:rPr>
                <w:rFonts w:ascii="Arial" w:hAnsi="Arial" w:cs="Arial"/>
                <w:b/>
                <w:bCs/>
                <w:color w:val="000000"/>
                <w:sz w:val="16"/>
                <w:szCs w:val="16"/>
              </w:rPr>
            </w:pPr>
            <w:r w:rsidRPr="00551F4E">
              <w:rPr>
                <w:rFonts w:ascii="Arial" w:hAnsi="Arial" w:cs="Arial"/>
                <w:b/>
                <w:bCs/>
                <w:color w:val="000000"/>
                <w:sz w:val="16"/>
                <w:szCs w:val="16"/>
              </w:rPr>
              <w:t>MERGERS</w:t>
            </w:r>
          </w:p>
        </w:tc>
      </w:tr>
      <w:tr w14:paraId="3CF6BE20" w14:textId="77777777" w:rsidTr="00551F4E">
        <w:tblPrEx>
          <w:tblW w:w="10500" w:type="dxa"/>
          <w:tblLook w:val="04A0"/>
        </w:tblPrEx>
        <w:trPr>
          <w:trHeight w:val="850"/>
        </w:trPr>
        <w:tc>
          <w:tcPr>
            <w:tcW w:w="960" w:type="dxa"/>
            <w:tcBorders>
              <w:top w:val="nil"/>
              <w:left w:val="single" w:sz="4" w:space="0" w:color="auto"/>
              <w:bottom w:val="single" w:sz="4" w:space="0" w:color="auto"/>
              <w:right w:val="single" w:sz="4" w:space="0" w:color="auto"/>
            </w:tcBorders>
            <w:shd w:val="clear" w:color="auto" w:fill="C6D9F0" w:themeFill="text2" w:themeFillTint="33"/>
            <w:vAlign w:val="center"/>
            <w:hideMark/>
          </w:tcPr>
          <w:p w:rsidR="00551F4E" w:rsidRPr="00551F4E" w14:paraId="14D9C7BC" w14:textId="77777777">
            <w:pPr>
              <w:jc w:val="center"/>
              <w:rPr>
                <w:rFonts w:ascii="Arial" w:hAnsi="Arial" w:cs="Arial"/>
                <w:b/>
                <w:bCs/>
                <w:color w:val="000000"/>
                <w:sz w:val="16"/>
                <w:szCs w:val="16"/>
              </w:rPr>
            </w:pPr>
            <w:r w:rsidRPr="00551F4E">
              <w:rPr>
                <w:rFonts w:ascii="Arial" w:hAnsi="Arial" w:cs="Arial"/>
                <w:b/>
                <w:bCs/>
                <w:color w:val="000000"/>
                <w:sz w:val="16"/>
                <w:szCs w:val="16"/>
              </w:rPr>
              <w:t>12 CFR Section</w:t>
            </w:r>
          </w:p>
        </w:tc>
        <w:tc>
          <w:tcPr>
            <w:tcW w:w="2120" w:type="dxa"/>
            <w:tcBorders>
              <w:top w:val="nil"/>
              <w:left w:val="nil"/>
              <w:bottom w:val="single" w:sz="4" w:space="0" w:color="auto"/>
              <w:right w:val="single" w:sz="4" w:space="0" w:color="auto"/>
            </w:tcBorders>
            <w:shd w:val="clear" w:color="auto" w:fill="C6D9F0" w:themeFill="text2" w:themeFillTint="33"/>
            <w:vAlign w:val="center"/>
            <w:hideMark/>
          </w:tcPr>
          <w:p w:rsidR="00551F4E" w:rsidRPr="00551F4E" w14:paraId="01D021B6" w14:textId="77777777">
            <w:pPr>
              <w:jc w:val="center"/>
              <w:rPr>
                <w:rFonts w:ascii="Arial" w:hAnsi="Arial" w:cs="Arial"/>
                <w:b/>
                <w:bCs/>
                <w:color w:val="000000"/>
                <w:sz w:val="16"/>
                <w:szCs w:val="16"/>
              </w:rPr>
            </w:pPr>
            <w:r w:rsidRPr="00551F4E">
              <w:rPr>
                <w:rFonts w:ascii="Arial" w:hAnsi="Arial" w:cs="Arial"/>
                <w:b/>
                <w:bCs/>
                <w:color w:val="000000"/>
                <w:sz w:val="16"/>
                <w:szCs w:val="16"/>
              </w:rPr>
              <w:t>Information Collection</w:t>
            </w:r>
          </w:p>
        </w:tc>
        <w:tc>
          <w:tcPr>
            <w:tcW w:w="960" w:type="dxa"/>
            <w:tcBorders>
              <w:top w:val="nil"/>
              <w:left w:val="nil"/>
              <w:bottom w:val="single" w:sz="4" w:space="0" w:color="auto"/>
              <w:right w:val="single" w:sz="4" w:space="0" w:color="auto"/>
            </w:tcBorders>
            <w:shd w:val="clear" w:color="auto" w:fill="C6D9F0" w:themeFill="text2" w:themeFillTint="33"/>
            <w:vAlign w:val="center"/>
            <w:hideMark/>
          </w:tcPr>
          <w:p w:rsidR="00551F4E" w:rsidRPr="00551F4E" w14:paraId="28A9EF40" w14:textId="77777777">
            <w:pPr>
              <w:jc w:val="center"/>
              <w:rPr>
                <w:rFonts w:ascii="Arial" w:hAnsi="Arial" w:cs="Arial"/>
                <w:b/>
                <w:bCs/>
                <w:color w:val="000000"/>
                <w:sz w:val="16"/>
                <w:szCs w:val="16"/>
              </w:rPr>
            </w:pPr>
            <w:r w:rsidRPr="00551F4E">
              <w:rPr>
                <w:rFonts w:ascii="Arial" w:hAnsi="Arial" w:cs="Arial"/>
                <w:b/>
                <w:bCs/>
                <w:color w:val="000000"/>
                <w:sz w:val="16"/>
                <w:szCs w:val="16"/>
              </w:rPr>
              <w:t>Burden Type</w:t>
            </w:r>
          </w:p>
        </w:tc>
        <w:tc>
          <w:tcPr>
            <w:tcW w:w="1400" w:type="dxa"/>
            <w:tcBorders>
              <w:top w:val="nil"/>
              <w:left w:val="nil"/>
              <w:bottom w:val="single" w:sz="4" w:space="0" w:color="auto"/>
              <w:right w:val="single" w:sz="4" w:space="0" w:color="auto"/>
            </w:tcBorders>
            <w:shd w:val="clear" w:color="auto" w:fill="C6D9F0" w:themeFill="text2" w:themeFillTint="33"/>
            <w:vAlign w:val="center"/>
            <w:hideMark/>
          </w:tcPr>
          <w:p w:rsidR="00551F4E" w:rsidRPr="00551F4E" w14:paraId="1A4C4392" w14:textId="77777777">
            <w:pPr>
              <w:jc w:val="center"/>
              <w:rPr>
                <w:rFonts w:ascii="Arial" w:hAnsi="Arial" w:cs="Arial"/>
                <w:b/>
                <w:bCs/>
                <w:color w:val="000000"/>
                <w:sz w:val="16"/>
                <w:szCs w:val="16"/>
              </w:rPr>
            </w:pPr>
            <w:r w:rsidRPr="00551F4E">
              <w:rPr>
                <w:rFonts w:ascii="Arial" w:hAnsi="Arial" w:cs="Arial"/>
                <w:b/>
                <w:bCs/>
                <w:color w:val="000000"/>
                <w:sz w:val="16"/>
                <w:szCs w:val="16"/>
              </w:rPr>
              <w:t># of Annual Respondents</w:t>
            </w:r>
          </w:p>
        </w:tc>
        <w:tc>
          <w:tcPr>
            <w:tcW w:w="1000" w:type="dxa"/>
            <w:tcBorders>
              <w:top w:val="nil"/>
              <w:left w:val="nil"/>
              <w:bottom w:val="single" w:sz="4" w:space="0" w:color="auto"/>
              <w:right w:val="single" w:sz="4" w:space="0" w:color="auto"/>
            </w:tcBorders>
            <w:shd w:val="clear" w:color="auto" w:fill="C6D9F0" w:themeFill="text2" w:themeFillTint="33"/>
            <w:vAlign w:val="center"/>
            <w:hideMark/>
          </w:tcPr>
          <w:p w:rsidR="00551F4E" w:rsidRPr="00551F4E" w14:paraId="7AC8EFEF" w14:textId="77777777">
            <w:pPr>
              <w:jc w:val="center"/>
              <w:rPr>
                <w:rFonts w:ascii="Arial" w:hAnsi="Arial" w:cs="Arial"/>
                <w:b/>
                <w:bCs/>
                <w:color w:val="000000"/>
                <w:sz w:val="16"/>
                <w:szCs w:val="16"/>
              </w:rPr>
            </w:pPr>
            <w:r w:rsidRPr="00551F4E">
              <w:rPr>
                <w:rFonts w:ascii="Arial" w:hAnsi="Arial" w:cs="Arial"/>
                <w:b/>
                <w:bCs/>
                <w:color w:val="000000"/>
                <w:sz w:val="16"/>
                <w:szCs w:val="16"/>
              </w:rPr>
              <w:t># of Responses per Respondent</w:t>
            </w:r>
          </w:p>
        </w:tc>
        <w:tc>
          <w:tcPr>
            <w:tcW w:w="1120" w:type="dxa"/>
            <w:tcBorders>
              <w:top w:val="nil"/>
              <w:left w:val="nil"/>
              <w:bottom w:val="single" w:sz="4" w:space="0" w:color="auto"/>
              <w:right w:val="single" w:sz="4" w:space="0" w:color="auto"/>
            </w:tcBorders>
            <w:shd w:val="clear" w:color="auto" w:fill="C6D9F0" w:themeFill="text2" w:themeFillTint="33"/>
            <w:vAlign w:val="center"/>
            <w:hideMark/>
          </w:tcPr>
          <w:p w:rsidR="00551F4E" w:rsidRPr="00551F4E" w14:paraId="09A99100" w14:textId="77777777">
            <w:pPr>
              <w:jc w:val="center"/>
              <w:rPr>
                <w:rFonts w:ascii="Arial" w:hAnsi="Arial" w:cs="Arial"/>
                <w:b/>
                <w:bCs/>
                <w:color w:val="000000"/>
                <w:sz w:val="16"/>
                <w:szCs w:val="16"/>
              </w:rPr>
            </w:pPr>
            <w:r w:rsidRPr="00551F4E">
              <w:rPr>
                <w:rFonts w:ascii="Arial" w:hAnsi="Arial" w:cs="Arial"/>
                <w:b/>
                <w:bCs/>
                <w:color w:val="000000"/>
                <w:sz w:val="16"/>
                <w:szCs w:val="16"/>
              </w:rPr>
              <w:t>Annual # of Responses</w:t>
            </w:r>
          </w:p>
        </w:tc>
        <w:tc>
          <w:tcPr>
            <w:tcW w:w="1480" w:type="dxa"/>
            <w:tcBorders>
              <w:top w:val="nil"/>
              <w:left w:val="nil"/>
              <w:bottom w:val="single" w:sz="4" w:space="0" w:color="auto"/>
              <w:right w:val="single" w:sz="4" w:space="0" w:color="auto"/>
            </w:tcBorders>
            <w:shd w:val="clear" w:color="auto" w:fill="C6D9F0" w:themeFill="text2" w:themeFillTint="33"/>
            <w:vAlign w:val="center"/>
            <w:hideMark/>
          </w:tcPr>
          <w:p w:rsidR="00551F4E" w:rsidRPr="00551F4E" w14:paraId="492C5323" w14:textId="77777777">
            <w:pPr>
              <w:jc w:val="center"/>
              <w:rPr>
                <w:rFonts w:ascii="Arial" w:hAnsi="Arial" w:cs="Arial"/>
                <w:b/>
                <w:bCs/>
                <w:color w:val="000000"/>
                <w:sz w:val="16"/>
                <w:szCs w:val="16"/>
              </w:rPr>
            </w:pPr>
            <w:r w:rsidRPr="00551F4E">
              <w:rPr>
                <w:rFonts w:ascii="Arial" w:hAnsi="Arial" w:cs="Arial"/>
                <w:b/>
                <w:bCs/>
                <w:color w:val="000000"/>
                <w:sz w:val="16"/>
                <w:szCs w:val="16"/>
              </w:rPr>
              <w:t>Hours per Response</w:t>
            </w:r>
          </w:p>
        </w:tc>
        <w:tc>
          <w:tcPr>
            <w:tcW w:w="1460" w:type="dxa"/>
            <w:tcBorders>
              <w:top w:val="nil"/>
              <w:left w:val="nil"/>
              <w:bottom w:val="single" w:sz="4" w:space="0" w:color="auto"/>
              <w:right w:val="single" w:sz="4" w:space="0" w:color="auto"/>
            </w:tcBorders>
            <w:shd w:val="clear" w:color="auto" w:fill="C6D9F0" w:themeFill="text2" w:themeFillTint="33"/>
            <w:vAlign w:val="center"/>
            <w:hideMark/>
          </w:tcPr>
          <w:p w:rsidR="00551F4E" w:rsidRPr="00551F4E" w14:paraId="447E5103" w14:textId="77777777">
            <w:pPr>
              <w:jc w:val="center"/>
              <w:rPr>
                <w:rFonts w:ascii="Arial" w:hAnsi="Arial" w:cs="Arial"/>
                <w:b/>
                <w:bCs/>
                <w:color w:val="000000"/>
                <w:sz w:val="16"/>
                <w:szCs w:val="16"/>
              </w:rPr>
            </w:pPr>
            <w:r w:rsidRPr="00551F4E">
              <w:rPr>
                <w:rFonts w:ascii="Arial" w:hAnsi="Arial" w:cs="Arial"/>
                <w:b/>
                <w:bCs/>
                <w:color w:val="000000"/>
                <w:sz w:val="16"/>
                <w:szCs w:val="16"/>
              </w:rPr>
              <w:t>Total Annual Burden Hours</w:t>
            </w:r>
          </w:p>
        </w:tc>
      </w:tr>
      <w:tr w14:paraId="36CB2896" w14:textId="77777777" w:rsidTr="00551F4E">
        <w:tblPrEx>
          <w:tblW w:w="10500" w:type="dxa"/>
          <w:tblLook w:val="04A0"/>
        </w:tblPrEx>
        <w:trPr>
          <w:trHeight w:val="400"/>
        </w:trPr>
        <w:tc>
          <w:tcPr>
            <w:tcW w:w="960" w:type="dxa"/>
            <w:tcBorders>
              <w:top w:val="nil"/>
              <w:left w:val="single" w:sz="4" w:space="0" w:color="auto"/>
              <w:bottom w:val="single" w:sz="4" w:space="0" w:color="auto"/>
              <w:right w:val="single" w:sz="4" w:space="0" w:color="auto"/>
            </w:tcBorders>
            <w:vAlign w:val="center"/>
            <w:hideMark/>
          </w:tcPr>
          <w:p w:rsidR="00551F4E" w:rsidRPr="00551F4E" w14:paraId="60E8A9E4" w14:textId="77777777">
            <w:pPr>
              <w:rPr>
                <w:rFonts w:ascii="Arial" w:hAnsi="Arial" w:cs="Arial"/>
                <w:color w:val="000000"/>
                <w:sz w:val="16"/>
                <w:szCs w:val="16"/>
              </w:rPr>
            </w:pPr>
            <w:r w:rsidRPr="00551F4E">
              <w:rPr>
                <w:rFonts w:ascii="Arial" w:hAnsi="Arial" w:cs="Arial"/>
                <w:color w:val="000000"/>
                <w:sz w:val="16"/>
                <w:szCs w:val="16"/>
              </w:rPr>
              <w:t>708b.103</w:t>
            </w:r>
          </w:p>
        </w:tc>
        <w:tc>
          <w:tcPr>
            <w:tcW w:w="2120" w:type="dxa"/>
            <w:tcBorders>
              <w:top w:val="nil"/>
              <w:left w:val="nil"/>
              <w:bottom w:val="single" w:sz="4" w:space="0" w:color="auto"/>
              <w:right w:val="single" w:sz="4" w:space="0" w:color="auto"/>
            </w:tcBorders>
            <w:vAlign w:val="center"/>
            <w:hideMark/>
          </w:tcPr>
          <w:p w:rsidR="00551F4E" w:rsidRPr="00551F4E" w14:paraId="58CA689E" w14:textId="77777777">
            <w:pPr>
              <w:rPr>
                <w:rFonts w:ascii="Arial" w:hAnsi="Arial" w:cs="Arial"/>
                <w:color w:val="000000"/>
                <w:sz w:val="16"/>
                <w:szCs w:val="16"/>
              </w:rPr>
            </w:pPr>
            <w:r w:rsidRPr="00551F4E">
              <w:rPr>
                <w:rFonts w:ascii="Arial" w:hAnsi="Arial" w:cs="Arial"/>
                <w:color w:val="000000"/>
                <w:sz w:val="16"/>
                <w:szCs w:val="16"/>
              </w:rPr>
              <w:t>Prepare the required merger documents</w:t>
            </w:r>
          </w:p>
        </w:tc>
        <w:tc>
          <w:tcPr>
            <w:tcW w:w="960" w:type="dxa"/>
            <w:tcBorders>
              <w:top w:val="nil"/>
              <w:left w:val="nil"/>
              <w:bottom w:val="single" w:sz="4" w:space="0" w:color="auto"/>
              <w:right w:val="single" w:sz="4" w:space="0" w:color="auto"/>
            </w:tcBorders>
            <w:vAlign w:val="center"/>
            <w:hideMark/>
          </w:tcPr>
          <w:p w:rsidR="00551F4E" w:rsidRPr="00551F4E" w14:paraId="681C589A" w14:textId="77777777">
            <w:pPr>
              <w:rPr>
                <w:rFonts w:ascii="Arial" w:hAnsi="Arial" w:cs="Arial"/>
                <w:color w:val="000000"/>
                <w:sz w:val="16"/>
                <w:szCs w:val="16"/>
              </w:rPr>
            </w:pPr>
            <w:r w:rsidRPr="00551F4E">
              <w:rPr>
                <w:rFonts w:ascii="Arial" w:hAnsi="Arial" w:cs="Arial"/>
                <w:color w:val="000000"/>
                <w:sz w:val="16"/>
                <w:szCs w:val="16"/>
              </w:rPr>
              <w:t>Reporting</w:t>
            </w:r>
          </w:p>
        </w:tc>
        <w:tc>
          <w:tcPr>
            <w:tcW w:w="1400" w:type="dxa"/>
            <w:tcBorders>
              <w:top w:val="nil"/>
              <w:left w:val="nil"/>
              <w:bottom w:val="single" w:sz="4" w:space="0" w:color="auto"/>
              <w:right w:val="single" w:sz="4" w:space="0" w:color="auto"/>
            </w:tcBorders>
            <w:noWrap/>
            <w:vAlign w:val="center"/>
            <w:hideMark/>
          </w:tcPr>
          <w:p w:rsidR="00551F4E" w:rsidRPr="000E0FF7" w14:paraId="227FF8AB" w14:textId="77777777">
            <w:pPr>
              <w:jc w:val="center"/>
              <w:rPr>
                <w:rFonts w:ascii="Arial" w:hAnsi="Arial" w:cs="Arial"/>
                <w:color w:val="000000"/>
                <w:sz w:val="16"/>
                <w:szCs w:val="16"/>
              </w:rPr>
            </w:pPr>
            <w:r w:rsidRPr="000E0FF7">
              <w:rPr>
                <w:rFonts w:ascii="Arial" w:hAnsi="Arial" w:cs="Arial"/>
                <w:color w:val="000000"/>
                <w:sz w:val="16"/>
                <w:szCs w:val="16"/>
              </w:rPr>
              <w:t>160</w:t>
            </w:r>
          </w:p>
        </w:tc>
        <w:tc>
          <w:tcPr>
            <w:tcW w:w="1000" w:type="dxa"/>
            <w:tcBorders>
              <w:top w:val="nil"/>
              <w:left w:val="nil"/>
              <w:bottom w:val="single" w:sz="4" w:space="0" w:color="auto"/>
              <w:right w:val="single" w:sz="4" w:space="0" w:color="auto"/>
            </w:tcBorders>
            <w:noWrap/>
            <w:vAlign w:val="center"/>
            <w:hideMark/>
          </w:tcPr>
          <w:p w:rsidR="00551F4E" w:rsidRPr="00551F4E" w14:paraId="2273811A"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120" w:type="dxa"/>
            <w:tcBorders>
              <w:top w:val="nil"/>
              <w:left w:val="nil"/>
              <w:bottom w:val="single" w:sz="4" w:space="0" w:color="auto"/>
              <w:right w:val="single" w:sz="4" w:space="0" w:color="auto"/>
            </w:tcBorders>
            <w:noWrap/>
            <w:vAlign w:val="center"/>
            <w:hideMark/>
          </w:tcPr>
          <w:p w:rsidR="00551F4E" w:rsidRPr="00551F4E" w14:paraId="442C9923" w14:textId="77777777">
            <w:pPr>
              <w:jc w:val="center"/>
              <w:rPr>
                <w:rFonts w:ascii="Arial" w:hAnsi="Arial" w:cs="Arial"/>
                <w:color w:val="000000"/>
                <w:sz w:val="16"/>
                <w:szCs w:val="16"/>
              </w:rPr>
            </w:pPr>
            <w:r w:rsidRPr="00551F4E">
              <w:rPr>
                <w:rFonts w:ascii="Arial" w:hAnsi="Arial" w:cs="Arial"/>
                <w:color w:val="000000"/>
                <w:sz w:val="16"/>
                <w:szCs w:val="16"/>
              </w:rPr>
              <w:t>160</w:t>
            </w:r>
          </w:p>
        </w:tc>
        <w:tc>
          <w:tcPr>
            <w:tcW w:w="1480" w:type="dxa"/>
            <w:tcBorders>
              <w:top w:val="nil"/>
              <w:left w:val="nil"/>
              <w:bottom w:val="single" w:sz="4" w:space="0" w:color="auto"/>
              <w:right w:val="single" w:sz="4" w:space="0" w:color="auto"/>
            </w:tcBorders>
            <w:noWrap/>
            <w:vAlign w:val="center"/>
            <w:hideMark/>
          </w:tcPr>
          <w:p w:rsidR="00551F4E" w:rsidRPr="00551F4E" w14:paraId="7DFBB39F" w14:textId="77777777">
            <w:pPr>
              <w:jc w:val="center"/>
              <w:rPr>
                <w:rFonts w:ascii="Arial" w:hAnsi="Arial" w:cs="Arial"/>
                <w:color w:val="000000"/>
                <w:sz w:val="16"/>
                <w:szCs w:val="16"/>
              </w:rPr>
            </w:pPr>
            <w:r w:rsidRPr="00551F4E">
              <w:rPr>
                <w:rFonts w:ascii="Arial" w:hAnsi="Arial" w:cs="Arial"/>
                <w:color w:val="000000"/>
                <w:sz w:val="16"/>
                <w:szCs w:val="16"/>
              </w:rPr>
              <w:t>15</w:t>
            </w:r>
          </w:p>
        </w:tc>
        <w:tc>
          <w:tcPr>
            <w:tcW w:w="1460" w:type="dxa"/>
            <w:tcBorders>
              <w:top w:val="nil"/>
              <w:left w:val="nil"/>
              <w:bottom w:val="single" w:sz="4" w:space="0" w:color="auto"/>
              <w:right w:val="single" w:sz="4" w:space="0" w:color="auto"/>
            </w:tcBorders>
            <w:noWrap/>
            <w:vAlign w:val="center"/>
            <w:hideMark/>
          </w:tcPr>
          <w:p w:rsidR="00551F4E" w:rsidRPr="00551F4E" w14:paraId="3C26C7C8" w14:textId="77777777">
            <w:pPr>
              <w:jc w:val="center"/>
              <w:rPr>
                <w:rFonts w:ascii="Arial" w:hAnsi="Arial" w:cs="Arial"/>
                <w:color w:val="000000"/>
                <w:sz w:val="16"/>
                <w:szCs w:val="16"/>
              </w:rPr>
            </w:pPr>
            <w:r w:rsidRPr="00551F4E">
              <w:rPr>
                <w:rFonts w:ascii="Arial" w:hAnsi="Arial" w:cs="Arial"/>
                <w:color w:val="000000"/>
                <w:sz w:val="16"/>
                <w:szCs w:val="16"/>
              </w:rPr>
              <w:t>2400</w:t>
            </w:r>
          </w:p>
        </w:tc>
      </w:tr>
      <w:tr w14:paraId="6E965A0C" w14:textId="77777777" w:rsidTr="00551F4E">
        <w:tblPrEx>
          <w:tblW w:w="10500" w:type="dxa"/>
          <w:tblLook w:val="04A0"/>
        </w:tblPrEx>
        <w:trPr>
          <w:trHeight w:val="600"/>
        </w:trPr>
        <w:tc>
          <w:tcPr>
            <w:tcW w:w="960" w:type="dxa"/>
            <w:tcBorders>
              <w:top w:val="nil"/>
              <w:left w:val="single" w:sz="4" w:space="0" w:color="auto"/>
              <w:bottom w:val="single" w:sz="4" w:space="0" w:color="auto"/>
              <w:right w:val="single" w:sz="4" w:space="0" w:color="auto"/>
            </w:tcBorders>
            <w:vAlign w:val="center"/>
            <w:hideMark/>
          </w:tcPr>
          <w:p w:rsidR="00551F4E" w:rsidRPr="00551F4E" w14:paraId="2AE0CFAC" w14:textId="77777777">
            <w:pPr>
              <w:rPr>
                <w:rFonts w:ascii="Arial" w:hAnsi="Arial" w:cs="Arial"/>
                <w:color w:val="000000"/>
                <w:sz w:val="16"/>
                <w:szCs w:val="16"/>
              </w:rPr>
            </w:pPr>
            <w:r w:rsidRPr="00551F4E">
              <w:rPr>
                <w:rFonts w:ascii="Arial" w:hAnsi="Arial" w:cs="Arial"/>
                <w:color w:val="000000"/>
                <w:sz w:val="16"/>
                <w:szCs w:val="16"/>
              </w:rPr>
              <w:t>708b.104</w:t>
            </w:r>
          </w:p>
        </w:tc>
        <w:tc>
          <w:tcPr>
            <w:tcW w:w="2120" w:type="dxa"/>
            <w:tcBorders>
              <w:top w:val="nil"/>
              <w:left w:val="nil"/>
              <w:bottom w:val="single" w:sz="4" w:space="0" w:color="auto"/>
              <w:right w:val="single" w:sz="4" w:space="0" w:color="auto"/>
            </w:tcBorders>
            <w:vAlign w:val="center"/>
            <w:hideMark/>
          </w:tcPr>
          <w:p w:rsidR="00551F4E" w:rsidRPr="00551F4E" w14:paraId="0D8BB069" w14:textId="77777777">
            <w:pPr>
              <w:rPr>
                <w:rFonts w:ascii="Arial" w:hAnsi="Arial" w:cs="Arial"/>
                <w:color w:val="000000"/>
                <w:sz w:val="16"/>
                <w:szCs w:val="16"/>
              </w:rPr>
            </w:pPr>
            <w:r w:rsidRPr="00551F4E">
              <w:rPr>
                <w:rFonts w:ascii="Arial" w:hAnsi="Arial" w:cs="Arial"/>
                <w:color w:val="000000"/>
                <w:sz w:val="16"/>
                <w:szCs w:val="16"/>
              </w:rPr>
              <w:t>Collect and submit the required information to NCUA</w:t>
            </w:r>
          </w:p>
        </w:tc>
        <w:tc>
          <w:tcPr>
            <w:tcW w:w="960" w:type="dxa"/>
            <w:tcBorders>
              <w:top w:val="nil"/>
              <w:left w:val="nil"/>
              <w:bottom w:val="single" w:sz="4" w:space="0" w:color="auto"/>
              <w:right w:val="single" w:sz="4" w:space="0" w:color="auto"/>
            </w:tcBorders>
            <w:vAlign w:val="center"/>
            <w:hideMark/>
          </w:tcPr>
          <w:p w:rsidR="00551F4E" w:rsidRPr="00551F4E" w14:paraId="42FB6517" w14:textId="77777777">
            <w:pPr>
              <w:rPr>
                <w:rFonts w:ascii="Arial" w:hAnsi="Arial" w:cs="Arial"/>
                <w:color w:val="000000"/>
                <w:sz w:val="16"/>
                <w:szCs w:val="16"/>
              </w:rPr>
            </w:pPr>
            <w:r w:rsidRPr="00551F4E">
              <w:rPr>
                <w:rFonts w:ascii="Arial" w:hAnsi="Arial" w:cs="Arial"/>
                <w:color w:val="000000"/>
                <w:sz w:val="16"/>
                <w:szCs w:val="16"/>
              </w:rPr>
              <w:t>Reporting</w:t>
            </w:r>
          </w:p>
        </w:tc>
        <w:tc>
          <w:tcPr>
            <w:tcW w:w="1400" w:type="dxa"/>
            <w:tcBorders>
              <w:top w:val="nil"/>
              <w:left w:val="nil"/>
              <w:bottom w:val="single" w:sz="4" w:space="0" w:color="auto"/>
              <w:right w:val="single" w:sz="4" w:space="0" w:color="auto"/>
            </w:tcBorders>
            <w:noWrap/>
            <w:vAlign w:val="center"/>
            <w:hideMark/>
          </w:tcPr>
          <w:p w:rsidR="00551F4E" w:rsidRPr="000E0FF7" w14:paraId="4161FEFE" w14:textId="77777777">
            <w:pPr>
              <w:jc w:val="center"/>
              <w:rPr>
                <w:rFonts w:ascii="Arial" w:hAnsi="Arial" w:cs="Arial"/>
                <w:color w:val="000000"/>
                <w:sz w:val="16"/>
                <w:szCs w:val="16"/>
              </w:rPr>
            </w:pPr>
            <w:r w:rsidRPr="000E0FF7">
              <w:rPr>
                <w:rFonts w:ascii="Arial" w:hAnsi="Arial" w:cs="Arial"/>
                <w:color w:val="000000"/>
                <w:sz w:val="16"/>
                <w:szCs w:val="16"/>
              </w:rPr>
              <w:t>160</w:t>
            </w:r>
          </w:p>
        </w:tc>
        <w:tc>
          <w:tcPr>
            <w:tcW w:w="1000" w:type="dxa"/>
            <w:tcBorders>
              <w:top w:val="nil"/>
              <w:left w:val="nil"/>
              <w:bottom w:val="single" w:sz="4" w:space="0" w:color="auto"/>
              <w:right w:val="single" w:sz="4" w:space="0" w:color="auto"/>
            </w:tcBorders>
            <w:noWrap/>
            <w:vAlign w:val="center"/>
            <w:hideMark/>
          </w:tcPr>
          <w:p w:rsidR="00551F4E" w:rsidRPr="00551F4E" w14:paraId="678035BB"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120" w:type="dxa"/>
            <w:tcBorders>
              <w:top w:val="nil"/>
              <w:left w:val="nil"/>
              <w:bottom w:val="single" w:sz="4" w:space="0" w:color="auto"/>
              <w:right w:val="single" w:sz="4" w:space="0" w:color="auto"/>
            </w:tcBorders>
            <w:noWrap/>
            <w:vAlign w:val="center"/>
            <w:hideMark/>
          </w:tcPr>
          <w:p w:rsidR="00551F4E" w:rsidRPr="00551F4E" w14:paraId="3C9A3082" w14:textId="77777777">
            <w:pPr>
              <w:jc w:val="center"/>
              <w:rPr>
                <w:rFonts w:ascii="Arial" w:hAnsi="Arial" w:cs="Arial"/>
                <w:color w:val="000000"/>
                <w:sz w:val="16"/>
                <w:szCs w:val="16"/>
              </w:rPr>
            </w:pPr>
            <w:r w:rsidRPr="00551F4E">
              <w:rPr>
                <w:rFonts w:ascii="Arial" w:hAnsi="Arial" w:cs="Arial"/>
                <w:color w:val="000000"/>
                <w:sz w:val="16"/>
                <w:szCs w:val="16"/>
              </w:rPr>
              <w:t>160</w:t>
            </w:r>
          </w:p>
        </w:tc>
        <w:tc>
          <w:tcPr>
            <w:tcW w:w="1480" w:type="dxa"/>
            <w:tcBorders>
              <w:top w:val="nil"/>
              <w:left w:val="nil"/>
              <w:bottom w:val="single" w:sz="4" w:space="0" w:color="auto"/>
              <w:right w:val="single" w:sz="4" w:space="0" w:color="auto"/>
            </w:tcBorders>
            <w:noWrap/>
            <w:vAlign w:val="center"/>
            <w:hideMark/>
          </w:tcPr>
          <w:p w:rsidR="00551F4E" w:rsidRPr="00551F4E" w14:paraId="0243C272" w14:textId="77777777">
            <w:pPr>
              <w:jc w:val="center"/>
              <w:rPr>
                <w:rFonts w:ascii="Arial" w:hAnsi="Arial" w:cs="Arial"/>
                <w:color w:val="000000"/>
                <w:sz w:val="16"/>
                <w:szCs w:val="16"/>
              </w:rPr>
            </w:pPr>
            <w:r w:rsidRPr="00551F4E">
              <w:rPr>
                <w:rFonts w:ascii="Arial" w:hAnsi="Arial" w:cs="Arial"/>
                <w:color w:val="000000"/>
                <w:sz w:val="16"/>
                <w:szCs w:val="16"/>
              </w:rPr>
              <w:t>5</w:t>
            </w:r>
          </w:p>
        </w:tc>
        <w:tc>
          <w:tcPr>
            <w:tcW w:w="1460" w:type="dxa"/>
            <w:tcBorders>
              <w:top w:val="nil"/>
              <w:left w:val="nil"/>
              <w:bottom w:val="single" w:sz="4" w:space="0" w:color="auto"/>
              <w:right w:val="single" w:sz="4" w:space="0" w:color="auto"/>
            </w:tcBorders>
            <w:noWrap/>
            <w:vAlign w:val="center"/>
            <w:hideMark/>
          </w:tcPr>
          <w:p w:rsidR="00551F4E" w:rsidRPr="00551F4E" w14:paraId="7C87535F" w14:textId="77777777">
            <w:pPr>
              <w:jc w:val="center"/>
              <w:rPr>
                <w:rFonts w:ascii="Arial" w:hAnsi="Arial" w:cs="Arial"/>
                <w:color w:val="000000"/>
                <w:sz w:val="16"/>
                <w:szCs w:val="16"/>
              </w:rPr>
            </w:pPr>
            <w:r w:rsidRPr="00551F4E">
              <w:rPr>
                <w:rFonts w:ascii="Arial" w:hAnsi="Arial" w:cs="Arial"/>
                <w:color w:val="000000"/>
                <w:sz w:val="16"/>
                <w:szCs w:val="16"/>
              </w:rPr>
              <w:t>800</w:t>
            </w:r>
          </w:p>
        </w:tc>
      </w:tr>
      <w:tr w14:paraId="47CFD4A7" w14:textId="77777777" w:rsidTr="00551F4E">
        <w:tblPrEx>
          <w:tblW w:w="10500" w:type="dxa"/>
          <w:tblLook w:val="04A0"/>
        </w:tblPrEx>
        <w:trPr>
          <w:trHeight w:val="600"/>
        </w:trPr>
        <w:tc>
          <w:tcPr>
            <w:tcW w:w="960" w:type="dxa"/>
            <w:tcBorders>
              <w:top w:val="nil"/>
              <w:left w:val="single" w:sz="4" w:space="0" w:color="auto"/>
              <w:bottom w:val="single" w:sz="4" w:space="0" w:color="auto"/>
              <w:right w:val="single" w:sz="4" w:space="0" w:color="auto"/>
            </w:tcBorders>
            <w:vAlign w:val="center"/>
            <w:hideMark/>
          </w:tcPr>
          <w:p w:rsidR="00551F4E" w:rsidRPr="00551F4E" w14:paraId="19097CEA" w14:textId="77777777">
            <w:pPr>
              <w:rPr>
                <w:rFonts w:ascii="Arial" w:hAnsi="Arial" w:cs="Arial"/>
                <w:color w:val="000000"/>
                <w:sz w:val="16"/>
                <w:szCs w:val="16"/>
              </w:rPr>
            </w:pPr>
            <w:r w:rsidRPr="00551F4E">
              <w:rPr>
                <w:rFonts w:ascii="Arial" w:hAnsi="Arial" w:cs="Arial"/>
                <w:color w:val="000000"/>
                <w:sz w:val="16"/>
                <w:szCs w:val="16"/>
              </w:rPr>
              <w:t>708b.106, 708b.303(a) and (b)</w:t>
            </w:r>
          </w:p>
        </w:tc>
        <w:tc>
          <w:tcPr>
            <w:tcW w:w="2120" w:type="dxa"/>
            <w:tcBorders>
              <w:top w:val="nil"/>
              <w:left w:val="nil"/>
              <w:bottom w:val="single" w:sz="4" w:space="0" w:color="auto"/>
              <w:right w:val="single" w:sz="4" w:space="0" w:color="auto"/>
            </w:tcBorders>
            <w:vAlign w:val="center"/>
            <w:hideMark/>
          </w:tcPr>
          <w:p w:rsidR="00551F4E" w:rsidRPr="00551F4E" w14:paraId="1C09EEE8" w14:textId="77777777">
            <w:pPr>
              <w:rPr>
                <w:rFonts w:ascii="Arial" w:hAnsi="Arial" w:cs="Arial"/>
                <w:color w:val="000000"/>
                <w:sz w:val="16"/>
                <w:szCs w:val="16"/>
              </w:rPr>
            </w:pPr>
            <w:r w:rsidRPr="00551F4E">
              <w:rPr>
                <w:rFonts w:ascii="Arial" w:hAnsi="Arial" w:cs="Arial"/>
                <w:color w:val="000000"/>
                <w:sz w:val="16"/>
                <w:szCs w:val="16"/>
              </w:rPr>
              <w:t>Notify members of the proposed merger an send them the ballot</w:t>
            </w:r>
          </w:p>
        </w:tc>
        <w:tc>
          <w:tcPr>
            <w:tcW w:w="960" w:type="dxa"/>
            <w:tcBorders>
              <w:top w:val="nil"/>
              <w:left w:val="nil"/>
              <w:bottom w:val="single" w:sz="4" w:space="0" w:color="auto"/>
              <w:right w:val="single" w:sz="4" w:space="0" w:color="auto"/>
            </w:tcBorders>
            <w:vAlign w:val="center"/>
            <w:hideMark/>
          </w:tcPr>
          <w:p w:rsidR="00551F4E" w:rsidRPr="00551F4E" w14:paraId="441F0236" w14:textId="77777777">
            <w:pPr>
              <w:rPr>
                <w:rFonts w:ascii="Arial" w:hAnsi="Arial" w:cs="Arial"/>
                <w:color w:val="000000"/>
                <w:sz w:val="16"/>
                <w:szCs w:val="16"/>
              </w:rPr>
            </w:pPr>
            <w:r w:rsidRPr="00551F4E">
              <w:rPr>
                <w:rFonts w:ascii="Arial" w:hAnsi="Arial" w:cs="Arial"/>
                <w:color w:val="000000"/>
                <w:sz w:val="16"/>
                <w:szCs w:val="16"/>
              </w:rPr>
              <w:t>Third-party disclosure</w:t>
            </w:r>
          </w:p>
        </w:tc>
        <w:tc>
          <w:tcPr>
            <w:tcW w:w="1400" w:type="dxa"/>
            <w:tcBorders>
              <w:top w:val="nil"/>
              <w:left w:val="nil"/>
              <w:bottom w:val="single" w:sz="4" w:space="0" w:color="auto"/>
              <w:right w:val="single" w:sz="4" w:space="0" w:color="auto"/>
            </w:tcBorders>
            <w:noWrap/>
            <w:vAlign w:val="center"/>
            <w:hideMark/>
          </w:tcPr>
          <w:p w:rsidR="00551F4E" w:rsidRPr="000E0FF7" w14:paraId="74A4B9D7" w14:textId="77777777">
            <w:pPr>
              <w:jc w:val="center"/>
              <w:rPr>
                <w:rFonts w:ascii="Arial" w:hAnsi="Arial" w:cs="Arial"/>
                <w:color w:val="000000"/>
                <w:sz w:val="16"/>
                <w:szCs w:val="16"/>
              </w:rPr>
            </w:pPr>
            <w:r w:rsidRPr="000E0FF7">
              <w:rPr>
                <w:rFonts w:ascii="Arial" w:hAnsi="Arial" w:cs="Arial"/>
                <w:color w:val="000000"/>
                <w:sz w:val="16"/>
                <w:szCs w:val="16"/>
              </w:rPr>
              <w:t>160</w:t>
            </w:r>
          </w:p>
        </w:tc>
        <w:tc>
          <w:tcPr>
            <w:tcW w:w="1000" w:type="dxa"/>
            <w:tcBorders>
              <w:top w:val="nil"/>
              <w:left w:val="nil"/>
              <w:bottom w:val="single" w:sz="4" w:space="0" w:color="auto"/>
              <w:right w:val="single" w:sz="4" w:space="0" w:color="auto"/>
            </w:tcBorders>
            <w:noWrap/>
            <w:vAlign w:val="center"/>
            <w:hideMark/>
          </w:tcPr>
          <w:p w:rsidR="00551F4E" w:rsidRPr="00551F4E" w14:paraId="6E7A6058"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120" w:type="dxa"/>
            <w:tcBorders>
              <w:top w:val="nil"/>
              <w:left w:val="nil"/>
              <w:bottom w:val="single" w:sz="4" w:space="0" w:color="auto"/>
              <w:right w:val="single" w:sz="4" w:space="0" w:color="auto"/>
            </w:tcBorders>
            <w:noWrap/>
            <w:vAlign w:val="center"/>
            <w:hideMark/>
          </w:tcPr>
          <w:p w:rsidR="00551F4E" w:rsidRPr="00551F4E" w14:paraId="67CEF7E4" w14:textId="77777777">
            <w:pPr>
              <w:jc w:val="center"/>
              <w:rPr>
                <w:rFonts w:ascii="Arial" w:hAnsi="Arial" w:cs="Arial"/>
                <w:color w:val="000000"/>
                <w:sz w:val="16"/>
                <w:szCs w:val="16"/>
              </w:rPr>
            </w:pPr>
            <w:r w:rsidRPr="00551F4E">
              <w:rPr>
                <w:rFonts w:ascii="Arial" w:hAnsi="Arial" w:cs="Arial"/>
                <w:color w:val="000000"/>
                <w:sz w:val="16"/>
                <w:szCs w:val="16"/>
              </w:rPr>
              <w:t>160</w:t>
            </w:r>
          </w:p>
        </w:tc>
        <w:tc>
          <w:tcPr>
            <w:tcW w:w="1480" w:type="dxa"/>
            <w:tcBorders>
              <w:top w:val="nil"/>
              <w:left w:val="nil"/>
              <w:bottom w:val="single" w:sz="4" w:space="0" w:color="auto"/>
              <w:right w:val="single" w:sz="4" w:space="0" w:color="auto"/>
            </w:tcBorders>
            <w:noWrap/>
            <w:vAlign w:val="center"/>
            <w:hideMark/>
          </w:tcPr>
          <w:p w:rsidR="00551F4E" w:rsidRPr="00551F4E" w14:paraId="0A08E3A3" w14:textId="77777777">
            <w:pPr>
              <w:jc w:val="center"/>
              <w:rPr>
                <w:rFonts w:ascii="Arial" w:hAnsi="Arial" w:cs="Arial"/>
                <w:color w:val="000000"/>
                <w:sz w:val="16"/>
                <w:szCs w:val="16"/>
              </w:rPr>
            </w:pPr>
            <w:r w:rsidRPr="00551F4E">
              <w:rPr>
                <w:rFonts w:ascii="Arial" w:hAnsi="Arial" w:cs="Arial"/>
                <w:color w:val="000000"/>
                <w:sz w:val="16"/>
                <w:szCs w:val="16"/>
              </w:rPr>
              <w:t>7</w:t>
            </w:r>
          </w:p>
        </w:tc>
        <w:tc>
          <w:tcPr>
            <w:tcW w:w="1460" w:type="dxa"/>
            <w:tcBorders>
              <w:top w:val="nil"/>
              <w:left w:val="nil"/>
              <w:bottom w:val="single" w:sz="4" w:space="0" w:color="auto"/>
              <w:right w:val="single" w:sz="4" w:space="0" w:color="auto"/>
            </w:tcBorders>
            <w:noWrap/>
            <w:vAlign w:val="center"/>
            <w:hideMark/>
          </w:tcPr>
          <w:p w:rsidR="00551F4E" w:rsidRPr="00551F4E" w14:paraId="121196B8" w14:textId="77777777">
            <w:pPr>
              <w:jc w:val="center"/>
              <w:rPr>
                <w:rFonts w:ascii="Arial" w:hAnsi="Arial" w:cs="Arial"/>
                <w:color w:val="000000"/>
                <w:sz w:val="16"/>
                <w:szCs w:val="16"/>
              </w:rPr>
            </w:pPr>
            <w:r w:rsidRPr="00551F4E">
              <w:rPr>
                <w:rFonts w:ascii="Arial" w:hAnsi="Arial" w:cs="Arial"/>
                <w:color w:val="000000"/>
                <w:sz w:val="16"/>
                <w:szCs w:val="16"/>
              </w:rPr>
              <w:t>1120</w:t>
            </w:r>
          </w:p>
        </w:tc>
      </w:tr>
      <w:tr w14:paraId="1354005B" w14:textId="77777777" w:rsidTr="00551F4E">
        <w:tblPrEx>
          <w:tblW w:w="10500" w:type="dxa"/>
          <w:tblLook w:val="04A0"/>
        </w:tblPrEx>
        <w:trPr>
          <w:trHeight w:val="400"/>
        </w:trPr>
        <w:tc>
          <w:tcPr>
            <w:tcW w:w="960" w:type="dxa"/>
            <w:tcBorders>
              <w:top w:val="nil"/>
              <w:left w:val="single" w:sz="4" w:space="0" w:color="auto"/>
              <w:bottom w:val="single" w:sz="4" w:space="0" w:color="auto"/>
              <w:right w:val="single" w:sz="4" w:space="0" w:color="auto"/>
            </w:tcBorders>
            <w:vAlign w:val="center"/>
            <w:hideMark/>
          </w:tcPr>
          <w:p w:rsidR="00551F4E" w:rsidRPr="00551F4E" w14:paraId="0B1DF345" w14:textId="77777777">
            <w:pPr>
              <w:rPr>
                <w:rFonts w:ascii="Arial" w:hAnsi="Arial" w:cs="Arial"/>
                <w:color w:val="000000"/>
                <w:sz w:val="16"/>
                <w:szCs w:val="16"/>
              </w:rPr>
            </w:pPr>
            <w:r w:rsidRPr="00551F4E">
              <w:rPr>
                <w:rFonts w:ascii="Arial" w:hAnsi="Arial" w:cs="Arial"/>
                <w:color w:val="000000"/>
                <w:sz w:val="16"/>
                <w:szCs w:val="16"/>
              </w:rPr>
              <w:t>708b.107, 708b.303(c)</w:t>
            </w:r>
          </w:p>
        </w:tc>
        <w:tc>
          <w:tcPr>
            <w:tcW w:w="2120" w:type="dxa"/>
            <w:tcBorders>
              <w:top w:val="nil"/>
              <w:left w:val="nil"/>
              <w:bottom w:val="single" w:sz="4" w:space="0" w:color="auto"/>
              <w:right w:val="single" w:sz="4" w:space="0" w:color="auto"/>
            </w:tcBorders>
            <w:vAlign w:val="center"/>
            <w:hideMark/>
          </w:tcPr>
          <w:p w:rsidR="00551F4E" w:rsidRPr="00551F4E" w14:paraId="170A676D" w14:textId="77777777">
            <w:pPr>
              <w:rPr>
                <w:rFonts w:ascii="Arial" w:hAnsi="Arial" w:cs="Arial"/>
                <w:color w:val="000000"/>
                <w:sz w:val="16"/>
                <w:szCs w:val="16"/>
              </w:rPr>
            </w:pPr>
            <w:r w:rsidRPr="00551F4E">
              <w:rPr>
                <w:rFonts w:ascii="Arial" w:hAnsi="Arial" w:cs="Arial"/>
                <w:color w:val="000000"/>
                <w:sz w:val="16"/>
                <w:szCs w:val="16"/>
              </w:rPr>
              <w:t>Notify NCUA of the results of the merger vote</w:t>
            </w:r>
          </w:p>
        </w:tc>
        <w:tc>
          <w:tcPr>
            <w:tcW w:w="960" w:type="dxa"/>
            <w:tcBorders>
              <w:top w:val="nil"/>
              <w:left w:val="nil"/>
              <w:bottom w:val="single" w:sz="4" w:space="0" w:color="auto"/>
              <w:right w:val="single" w:sz="4" w:space="0" w:color="auto"/>
            </w:tcBorders>
            <w:vAlign w:val="center"/>
            <w:hideMark/>
          </w:tcPr>
          <w:p w:rsidR="00551F4E" w:rsidRPr="00551F4E" w14:paraId="052E6D69" w14:textId="77777777">
            <w:pPr>
              <w:rPr>
                <w:rFonts w:ascii="Arial" w:hAnsi="Arial" w:cs="Arial"/>
                <w:color w:val="000000"/>
                <w:sz w:val="16"/>
                <w:szCs w:val="16"/>
              </w:rPr>
            </w:pPr>
            <w:r w:rsidRPr="00551F4E">
              <w:rPr>
                <w:rFonts w:ascii="Arial" w:hAnsi="Arial" w:cs="Arial"/>
                <w:color w:val="000000"/>
                <w:sz w:val="16"/>
                <w:szCs w:val="16"/>
              </w:rPr>
              <w:t>Reporting</w:t>
            </w:r>
          </w:p>
        </w:tc>
        <w:tc>
          <w:tcPr>
            <w:tcW w:w="1400" w:type="dxa"/>
            <w:tcBorders>
              <w:top w:val="nil"/>
              <w:left w:val="nil"/>
              <w:bottom w:val="single" w:sz="4" w:space="0" w:color="auto"/>
              <w:right w:val="single" w:sz="4" w:space="0" w:color="auto"/>
            </w:tcBorders>
            <w:noWrap/>
            <w:vAlign w:val="center"/>
            <w:hideMark/>
          </w:tcPr>
          <w:p w:rsidR="00551F4E" w:rsidRPr="000E0FF7" w14:paraId="6127FA15" w14:textId="77777777">
            <w:pPr>
              <w:jc w:val="center"/>
              <w:rPr>
                <w:rFonts w:ascii="Arial" w:hAnsi="Arial" w:cs="Arial"/>
                <w:color w:val="000000"/>
                <w:sz w:val="16"/>
                <w:szCs w:val="16"/>
              </w:rPr>
            </w:pPr>
            <w:r w:rsidRPr="000E0FF7">
              <w:rPr>
                <w:rFonts w:ascii="Arial" w:hAnsi="Arial" w:cs="Arial"/>
                <w:color w:val="000000"/>
                <w:sz w:val="16"/>
                <w:szCs w:val="16"/>
              </w:rPr>
              <w:t>160</w:t>
            </w:r>
          </w:p>
        </w:tc>
        <w:tc>
          <w:tcPr>
            <w:tcW w:w="1000" w:type="dxa"/>
            <w:tcBorders>
              <w:top w:val="nil"/>
              <w:left w:val="nil"/>
              <w:bottom w:val="single" w:sz="4" w:space="0" w:color="auto"/>
              <w:right w:val="single" w:sz="4" w:space="0" w:color="auto"/>
            </w:tcBorders>
            <w:noWrap/>
            <w:vAlign w:val="center"/>
            <w:hideMark/>
          </w:tcPr>
          <w:p w:rsidR="00551F4E" w:rsidRPr="00551F4E" w14:paraId="55B1E686"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120" w:type="dxa"/>
            <w:tcBorders>
              <w:top w:val="nil"/>
              <w:left w:val="nil"/>
              <w:bottom w:val="single" w:sz="4" w:space="0" w:color="auto"/>
              <w:right w:val="single" w:sz="4" w:space="0" w:color="auto"/>
            </w:tcBorders>
            <w:noWrap/>
            <w:vAlign w:val="center"/>
            <w:hideMark/>
          </w:tcPr>
          <w:p w:rsidR="00551F4E" w:rsidRPr="00551F4E" w14:paraId="24E575ED" w14:textId="77777777">
            <w:pPr>
              <w:jc w:val="center"/>
              <w:rPr>
                <w:rFonts w:ascii="Arial" w:hAnsi="Arial" w:cs="Arial"/>
                <w:color w:val="000000"/>
                <w:sz w:val="16"/>
                <w:szCs w:val="16"/>
              </w:rPr>
            </w:pPr>
            <w:r w:rsidRPr="00551F4E">
              <w:rPr>
                <w:rFonts w:ascii="Arial" w:hAnsi="Arial" w:cs="Arial"/>
                <w:color w:val="000000"/>
                <w:sz w:val="16"/>
                <w:szCs w:val="16"/>
              </w:rPr>
              <w:t>160</w:t>
            </w:r>
          </w:p>
        </w:tc>
        <w:tc>
          <w:tcPr>
            <w:tcW w:w="1480" w:type="dxa"/>
            <w:tcBorders>
              <w:top w:val="nil"/>
              <w:left w:val="nil"/>
              <w:bottom w:val="single" w:sz="4" w:space="0" w:color="auto"/>
              <w:right w:val="single" w:sz="4" w:space="0" w:color="auto"/>
            </w:tcBorders>
            <w:noWrap/>
            <w:vAlign w:val="center"/>
            <w:hideMark/>
          </w:tcPr>
          <w:p w:rsidR="00551F4E" w:rsidRPr="00551F4E" w14:paraId="11E9D75F"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460" w:type="dxa"/>
            <w:tcBorders>
              <w:top w:val="nil"/>
              <w:left w:val="nil"/>
              <w:bottom w:val="single" w:sz="4" w:space="0" w:color="auto"/>
              <w:right w:val="single" w:sz="4" w:space="0" w:color="auto"/>
            </w:tcBorders>
            <w:noWrap/>
            <w:vAlign w:val="center"/>
            <w:hideMark/>
          </w:tcPr>
          <w:p w:rsidR="00551F4E" w:rsidRPr="00551F4E" w14:paraId="52F81BEC" w14:textId="77777777">
            <w:pPr>
              <w:jc w:val="center"/>
              <w:rPr>
                <w:rFonts w:ascii="Arial" w:hAnsi="Arial" w:cs="Arial"/>
                <w:color w:val="000000"/>
                <w:sz w:val="16"/>
                <w:szCs w:val="16"/>
              </w:rPr>
            </w:pPr>
            <w:r w:rsidRPr="00551F4E">
              <w:rPr>
                <w:rFonts w:ascii="Arial" w:hAnsi="Arial" w:cs="Arial"/>
                <w:color w:val="000000"/>
                <w:sz w:val="16"/>
                <w:szCs w:val="16"/>
              </w:rPr>
              <w:t>160</w:t>
            </w:r>
          </w:p>
        </w:tc>
      </w:tr>
      <w:tr w14:paraId="56AC96F0" w14:textId="77777777" w:rsidTr="00551F4E">
        <w:tblPrEx>
          <w:tblW w:w="10500" w:type="dxa"/>
          <w:tblLook w:val="04A0"/>
        </w:tblPrEx>
        <w:trPr>
          <w:trHeight w:val="400"/>
        </w:trPr>
        <w:tc>
          <w:tcPr>
            <w:tcW w:w="960" w:type="dxa"/>
            <w:tcBorders>
              <w:top w:val="nil"/>
              <w:left w:val="single" w:sz="4" w:space="0" w:color="auto"/>
              <w:bottom w:val="single" w:sz="4" w:space="0" w:color="auto"/>
              <w:right w:val="single" w:sz="4" w:space="0" w:color="auto"/>
            </w:tcBorders>
            <w:vAlign w:val="center"/>
            <w:hideMark/>
          </w:tcPr>
          <w:p w:rsidR="00551F4E" w:rsidRPr="00551F4E" w14:paraId="189E71D0" w14:textId="77777777">
            <w:pPr>
              <w:rPr>
                <w:rFonts w:ascii="Arial" w:hAnsi="Arial" w:cs="Arial"/>
                <w:color w:val="000000"/>
                <w:sz w:val="16"/>
                <w:szCs w:val="16"/>
              </w:rPr>
            </w:pPr>
            <w:r w:rsidRPr="00551F4E">
              <w:rPr>
                <w:rFonts w:ascii="Arial" w:hAnsi="Arial" w:cs="Arial"/>
                <w:color w:val="000000"/>
                <w:sz w:val="16"/>
                <w:szCs w:val="16"/>
              </w:rPr>
              <w:t>708b.108</w:t>
            </w:r>
          </w:p>
        </w:tc>
        <w:tc>
          <w:tcPr>
            <w:tcW w:w="2120" w:type="dxa"/>
            <w:tcBorders>
              <w:top w:val="nil"/>
              <w:left w:val="nil"/>
              <w:bottom w:val="single" w:sz="4" w:space="0" w:color="auto"/>
              <w:right w:val="single" w:sz="4" w:space="0" w:color="auto"/>
            </w:tcBorders>
            <w:vAlign w:val="center"/>
            <w:hideMark/>
          </w:tcPr>
          <w:p w:rsidR="00551F4E" w:rsidRPr="00551F4E" w14:paraId="1180E85F" w14:textId="77777777">
            <w:pPr>
              <w:rPr>
                <w:rFonts w:ascii="Arial" w:hAnsi="Arial" w:cs="Arial"/>
                <w:color w:val="000000"/>
                <w:sz w:val="16"/>
                <w:szCs w:val="16"/>
              </w:rPr>
            </w:pPr>
            <w:r w:rsidRPr="00551F4E">
              <w:rPr>
                <w:rFonts w:ascii="Arial" w:hAnsi="Arial" w:cs="Arial"/>
                <w:color w:val="000000"/>
                <w:sz w:val="16"/>
                <w:szCs w:val="16"/>
              </w:rPr>
              <w:t>Notify NCUA of the merger's completion</w:t>
            </w:r>
          </w:p>
        </w:tc>
        <w:tc>
          <w:tcPr>
            <w:tcW w:w="960" w:type="dxa"/>
            <w:tcBorders>
              <w:top w:val="nil"/>
              <w:left w:val="nil"/>
              <w:bottom w:val="single" w:sz="4" w:space="0" w:color="auto"/>
              <w:right w:val="single" w:sz="4" w:space="0" w:color="auto"/>
            </w:tcBorders>
            <w:vAlign w:val="center"/>
            <w:hideMark/>
          </w:tcPr>
          <w:p w:rsidR="00551F4E" w:rsidRPr="00551F4E" w14:paraId="195F33A5" w14:textId="77777777">
            <w:pPr>
              <w:rPr>
                <w:rFonts w:ascii="Arial" w:hAnsi="Arial" w:cs="Arial"/>
                <w:color w:val="000000"/>
                <w:sz w:val="16"/>
                <w:szCs w:val="16"/>
              </w:rPr>
            </w:pPr>
            <w:r w:rsidRPr="00551F4E">
              <w:rPr>
                <w:rFonts w:ascii="Arial" w:hAnsi="Arial" w:cs="Arial"/>
                <w:color w:val="000000"/>
                <w:sz w:val="16"/>
                <w:szCs w:val="16"/>
              </w:rPr>
              <w:t>Reporting</w:t>
            </w:r>
          </w:p>
        </w:tc>
        <w:tc>
          <w:tcPr>
            <w:tcW w:w="1400" w:type="dxa"/>
            <w:tcBorders>
              <w:top w:val="nil"/>
              <w:left w:val="nil"/>
              <w:bottom w:val="single" w:sz="4" w:space="0" w:color="auto"/>
              <w:right w:val="single" w:sz="4" w:space="0" w:color="auto"/>
            </w:tcBorders>
            <w:noWrap/>
            <w:vAlign w:val="center"/>
            <w:hideMark/>
          </w:tcPr>
          <w:p w:rsidR="00551F4E" w:rsidRPr="000E0FF7" w14:paraId="744CFE14" w14:textId="77777777">
            <w:pPr>
              <w:jc w:val="center"/>
              <w:rPr>
                <w:rFonts w:ascii="Arial" w:hAnsi="Arial" w:cs="Arial"/>
                <w:color w:val="000000"/>
                <w:sz w:val="16"/>
                <w:szCs w:val="16"/>
              </w:rPr>
            </w:pPr>
            <w:r w:rsidRPr="000E0FF7">
              <w:rPr>
                <w:rFonts w:ascii="Arial" w:hAnsi="Arial" w:cs="Arial"/>
                <w:color w:val="000000"/>
                <w:sz w:val="16"/>
                <w:szCs w:val="16"/>
              </w:rPr>
              <w:t>160</w:t>
            </w:r>
          </w:p>
        </w:tc>
        <w:tc>
          <w:tcPr>
            <w:tcW w:w="1000" w:type="dxa"/>
            <w:tcBorders>
              <w:top w:val="nil"/>
              <w:left w:val="nil"/>
              <w:bottom w:val="single" w:sz="4" w:space="0" w:color="auto"/>
              <w:right w:val="single" w:sz="4" w:space="0" w:color="auto"/>
            </w:tcBorders>
            <w:noWrap/>
            <w:vAlign w:val="center"/>
            <w:hideMark/>
          </w:tcPr>
          <w:p w:rsidR="00551F4E" w:rsidRPr="00551F4E" w14:paraId="48BC4DDC"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120" w:type="dxa"/>
            <w:tcBorders>
              <w:top w:val="nil"/>
              <w:left w:val="nil"/>
              <w:bottom w:val="single" w:sz="4" w:space="0" w:color="auto"/>
              <w:right w:val="single" w:sz="4" w:space="0" w:color="auto"/>
            </w:tcBorders>
            <w:noWrap/>
            <w:vAlign w:val="center"/>
            <w:hideMark/>
          </w:tcPr>
          <w:p w:rsidR="00551F4E" w:rsidRPr="00551F4E" w14:paraId="7B03CFDA" w14:textId="77777777">
            <w:pPr>
              <w:jc w:val="center"/>
              <w:rPr>
                <w:rFonts w:ascii="Arial" w:hAnsi="Arial" w:cs="Arial"/>
                <w:color w:val="000000"/>
                <w:sz w:val="16"/>
                <w:szCs w:val="16"/>
              </w:rPr>
            </w:pPr>
            <w:r w:rsidRPr="00551F4E">
              <w:rPr>
                <w:rFonts w:ascii="Arial" w:hAnsi="Arial" w:cs="Arial"/>
                <w:color w:val="000000"/>
                <w:sz w:val="16"/>
                <w:szCs w:val="16"/>
              </w:rPr>
              <w:t>160</w:t>
            </w:r>
          </w:p>
        </w:tc>
        <w:tc>
          <w:tcPr>
            <w:tcW w:w="1480" w:type="dxa"/>
            <w:tcBorders>
              <w:top w:val="nil"/>
              <w:left w:val="nil"/>
              <w:bottom w:val="single" w:sz="4" w:space="0" w:color="auto"/>
              <w:right w:val="single" w:sz="4" w:space="0" w:color="auto"/>
            </w:tcBorders>
            <w:noWrap/>
            <w:vAlign w:val="center"/>
            <w:hideMark/>
          </w:tcPr>
          <w:p w:rsidR="00551F4E" w:rsidRPr="00551F4E" w14:paraId="5C49E3B7"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460" w:type="dxa"/>
            <w:tcBorders>
              <w:top w:val="nil"/>
              <w:left w:val="nil"/>
              <w:bottom w:val="single" w:sz="4" w:space="0" w:color="auto"/>
              <w:right w:val="single" w:sz="4" w:space="0" w:color="auto"/>
            </w:tcBorders>
            <w:noWrap/>
            <w:vAlign w:val="center"/>
            <w:hideMark/>
          </w:tcPr>
          <w:p w:rsidR="00551F4E" w:rsidRPr="00551F4E" w14:paraId="19B1D7B2" w14:textId="77777777">
            <w:pPr>
              <w:jc w:val="center"/>
              <w:rPr>
                <w:rFonts w:ascii="Arial" w:hAnsi="Arial" w:cs="Arial"/>
                <w:color w:val="000000"/>
                <w:sz w:val="16"/>
                <w:szCs w:val="16"/>
              </w:rPr>
            </w:pPr>
            <w:r w:rsidRPr="00551F4E">
              <w:rPr>
                <w:rFonts w:ascii="Arial" w:hAnsi="Arial" w:cs="Arial"/>
                <w:color w:val="000000"/>
                <w:sz w:val="16"/>
                <w:szCs w:val="16"/>
              </w:rPr>
              <w:t>160</w:t>
            </w:r>
          </w:p>
        </w:tc>
      </w:tr>
      <w:tr w14:paraId="0A8929A3" w14:textId="77777777" w:rsidTr="00551F4E">
        <w:tblPrEx>
          <w:tblW w:w="10500" w:type="dxa"/>
          <w:tblLook w:val="04A0"/>
        </w:tblPrEx>
        <w:trPr>
          <w:trHeight w:val="800"/>
        </w:trPr>
        <w:tc>
          <w:tcPr>
            <w:tcW w:w="960" w:type="dxa"/>
            <w:tcBorders>
              <w:top w:val="nil"/>
              <w:left w:val="single" w:sz="4" w:space="0" w:color="auto"/>
              <w:bottom w:val="single" w:sz="4" w:space="0" w:color="auto"/>
              <w:right w:val="single" w:sz="4" w:space="0" w:color="auto"/>
            </w:tcBorders>
            <w:vAlign w:val="center"/>
            <w:hideMark/>
          </w:tcPr>
          <w:p w:rsidR="00551F4E" w:rsidRPr="00551F4E" w14:paraId="362755C5" w14:textId="77777777">
            <w:pPr>
              <w:rPr>
                <w:rFonts w:ascii="Arial" w:hAnsi="Arial" w:cs="Arial"/>
                <w:color w:val="000000"/>
                <w:sz w:val="16"/>
                <w:szCs w:val="16"/>
              </w:rPr>
            </w:pPr>
            <w:r w:rsidRPr="00551F4E">
              <w:rPr>
                <w:rFonts w:ascii="Arial" w:hAnsi="Arial" w:cs="Arial"/>
                <w:color w:val="000000"/>
                <w:sz w:val="16"/>
                <w:szCs w:val="16"/>
              </w:rPr>
              <w:t>708b.101(e)</w:t>
            </w:r>
          </w:p>
        </w:tc>
        <w:tc>
          <w:tcPr>
            <w:tcW w:w="2120" w:type="dxa"/>
            <w:tcBorders>
              <w:top w:val="nil"/>
              <w:left w:val="nil"/>
              <w:bottom w:val="single" w:sz="4" w:space="0" w:color="auto"/>
              <w:right w:val="single" w:sz="4" w:space="0" w:color="auto"/>
            </w:tcBorders>
            <w:vAlign w:val="center"/>
            <w:hideMark/>
          </w:tcPr>
          <w:p w:rsidR="00551F4E" w:rsidRPr="00551F4E" w14:paraId="1E124594" w14:textId="77777777">
            <w:pPr>
              <w:rPr>
                <w:rFonts w:ascii="Arial" w:hAnsi="Arial" w:cs="Arial"/>
                <w:color w:val="000000"/>
                <w:sz w:val="16"/>
                <w:szCs w:val="16"/>
              </w:rPr>
            </w:pPr>
            <w:r w:rsidRPr="00551F4E">
              <w:rPr>
                <w:rFonts w:ascii="Arial" w:hAnsi="Arial" w:cs="Arial"/>
                <w:color w:val="000000"/>
                <w:sz w:val="16"/>
                <w:szCs w:val="16"/>
              </w:rPr>
              <w:t>Notify members of the results of the merger and the possible effect on their insurance coverage</w:t>
            </w:r>
          </w:p>
        </w:tc>
        <w:tc>
          <w:tcPr>
            <w:tcW w:w="960" w:type="dxa"/>
            <w:tcBorders>
              <w:top w:val="nil"/>
              <w:left w:val="nil"/>
              <w:bottom w:val="single" w:sz="4" w:space="0" w:color="auto"/>
              <w:right w:val="single" w:sz="4" w:space="0" w:color="auto"/>
            </w:tcBorders>
            <w:vAlign w:val="center"/>
            <w:hideMark/>
          </w:tcPr>
          <w:p w:rsidR="00551F4E" w:rsidRPr="00551F4E" w14:paraId="3E03FE88" w14:textId="77777777">
            <w:pPr>
              <w:rPr>
                <w:rFonts w:ascii="Arial" w:hAnsi="Arial" w:cs="Arial"/>
                <w:color w:val="000000"/>
                <w:sz w:val="16"/>
                <w:szCs w:val="16"/>
              </w:rPr>
            </w:pPr>
            <w:r w:rsidRPr="00551F4E">
              <w:rPr>
                <w:rFonts w:ascii="Arial" w:hAnsi="Arial" w:cs="Arial"/>
                <w:color w:val="000000"/>
                <w:sz w:val="16"/>
                <w:szCs w:val="16"/>
              </w:rPr>
              <w:t>Third-party disclosure</w:t>
            </w:r>
          </w:p>
        </w:tc>
        <w:tc>
          <w:tcPr>
            <w:tcW w:w="1400" w:type="dxa"/>
            <w:tcBorders>
              <w:top w:val="nil"/>
              <w:left w:val="nil"/>
              <w:bottom w:val="single" w:sz="4" w:space="0" w:color="auto"/>
              <w:right w:val="single" w:sz="4" w:space="0" w:color="auto"/>
            </w:tcBorders>
            <w:noWrap/>
            <w:vAlign w:val="center"/>
            <w:hideMark/>
          </w:tcPr>
          <w:p w:rsidR="00551F4E" w:rsidRPr="000E0FF7" w14:paraId="3A4870FD" w14:textId="77777777">
            <w:pPr>
              <w:jc w:val="center"/>
              <w:rPr>
                <w:rFonts w:ascii="Arial" w:hAnsi="Arial" w:cs="Arial"/>
                <w:color w:val="000000"/>
                <w:sz w:val="16"/>
                <w:szCs w:val="16"/>
              </w:rPr>
            </w:pPr>
            <w:r w:rsidRPr="000E0FF7">
              <w:rPr>
                <w:rFonts w:ascii="Arial" w:hAnsi="Arial" w:cs="Arial"/>
                <w:color w:val="000000"/>
                <w:sz w:val="16"/>
                <w:szCs w:val="16"/>
              </w:rPr>
              <w:t>160</w:t>
            </w:r>
          </w:p>
        </w:tc>
        <w:tc>
          <w:tcPr>
            <w:tcW w:w="1000" w:type="dxa"/>
            <w:tcBorders>
              <w:top w:val="nil"/>
              <w:left w:val="nil"/>
              <w:bottom w:val="single" w:sz="4" w:space="0" w:color="auto"/>
              <w:right w:val="single" w:sz="4" w:space="0" w:color="auto"/>
            </w:tcBorders>
            <w:noWrap/>
            <w:vAlign w:val="center"/>
            <w:hideMark/>
          </w:tcPr>
          <w:p w:rsidR="00551F4E" w:rsidRPr="00551F4E" w14:paraId="08235BA0" w14:textId="77777777">
            <w:pPr>
              <w:jc w:val="center"/>
              <w:rPr>
                <w:rFonts w:ascii="Arial" w:hAnsi="Arial" w:cs="Arial"/>
                <w:color w:val="000000"/>
                <w:sz w:val="16"/>
                <w:szCs w:val="16"/>
              </w:rPr>
            </w:pPr>
            <w:r w:rsidRPr="00551F4E">
              <w:rPr>
                <w:rFonts w:ascii="Arial" w:hAnsi="Arial" w:cs="Arial"/>
                <w:color w:val="000000"/>
                <w:sz w:val="16"/>
                <w:szCs w:val="16"/>
              </w:rPr>
              <w:t>1</w:t>
            </w:r>
          </w:p>
        </w:tc>
        <w:tc>
          <w:tcPr>
            <w:tcW w:w="1120" w:type="dxa"/>
            <w:tcBorders>
              <w:top w:val="nil"/>
              <w:left w:val="nil"/>
              <w:bottom w:val="single" w:sz="4" w:space="0" w:color="auto"/>
              <w:right w:val="single" w:sz="4" w:space="0" w:color="auto"/>
            </w:tcBorders>
            <w:noWrap/>
            <w:vAlign w:val="center"/>
            <w:hideMark/>
          </w:tcPr>
          <w:p w:rsidR="00551F4E" w:rsidRPr="00551F4E" w14:paraId="4F7EC810" w14:textId="77777777">
            <w:pPr>
              <w:jc w:val="center"/>
              <w:rPr>
                <w:rFonts w:ascii="Arial" w:hAnsi="Arial" w:cs="Arial"/>
                <w:color w:val="000000"/>
                <w:sz w:val="16"/>
                <w:szCs w:val="16"/>
              </w:rPr>
            </w:pPr>
            <w:r w:rsidRPr="00551F4E">
              <w:rPr>
                <w:rFonts w:ascii="Arial" w:hAnsi="Arial" w:cs="Arial"/>
                <w:color w:val="000000"/>
                <w:sz w:val="16"/>
                <w:szCs w:val="16"/>
              </w:rPr>
              <w:t>160</w:t>
            </w:r>
          </w:p>
        </w:tc>
        <w:tc>
          <w:tcPr>
            <w:tcW w:w="1480" w:type="dxa"/>
            <w:tcBorders>
              <w:top w:val="nil"/>
              <w:left w:val="nil"/>
              <w:bottom w:val="single" w:sz="4" w:space="0" w:color="auto"/>
              <w:right w:val="single" w:sz="4" w:space="0" w:color="auto"/>
            </w:tcBorders>
            <w:noWrap/>
            <w:vAlign w:val="center"/>
            <w:hideMark/>
          </w:tcPr>
          <w:p w:rsidR="00551F4E" w:rsidRPr="00551F4E" w14:paraId="4DCDFDD4" w14:textId="77777777">
            <w:pPr>
              <w:jc w:val="center"/>
              <w:rPr>
                <w:rFonts w:ascii="Arial" w:hAnsi="Arial" w:cs="Arial"/>
                <w:color w:val="000000"/>
                <w:sz w:val="16"/>
                <w:szCs w:val="16"/>
              </w:rPr>
            </w:pPr>
            <w:r w:rsidRPr="00551F4E">
              <w:rPr>
                <w:rFonts w:ascii="Arial" w:hAnsi="Arial" w:cs="Arial"/>
                <w:color w:val="000000"/>
                <w:sz w:val="16"/>
                <w:szCs w:val="16"/>
              </w:rPr>
              <w:t>4</w:t>
            </w:r>
          </w:p>
        </w:tc>
        <w:tc>
          <w:tcPr>
            <w:tcW w:w="1460" w:type="dxa"/>
            <w:tcBorders>
              <w:top w:val="nil"/>
              <w:left w:val="nil"/>
              <w:bottom w:val="single" w:sz="4" w:space="0" w:color="auto"/>
              <w:right w:val="single" w:sz="4" w:space="0" w:color="auto"/>
            </w:tcBorders>
            <w:noWrap/>
            <w:vAlign w:val="center"/>
            <w:hideMark/>
          </w:tcPr>
          <w:p w:rsidR="00551F4E" w:rsidRPr="00551F4E" w14:paraId="728F9D0E" w14:textId="77777777">
            <w:pPr>
              <w:jc w:val="center"/>
              <w:rPr>
                <w:rFonts w:ascii="Arial" w:hAnsi="Arial" w:cs="Arial"/>
                <w:color w:val="000000"/>
                <w:sz w:val="16"/>
                <w:szCs w:val="16"/>
              </w:rPr>
            </w:pPr>
            <w:r w:rsidRPr="00551F4E">
              <w:rPr>
                <w:rFonts w:ascii="Arial" w:hAnsi="Arial" w:cs="Arial"/>
                <w:color w:val="000000"/>
                <w:sz w:val="16"/>
                <w:szCs w:val="16"/>
              </w:rPr>
              <w:t>640</w:t>
            </w:r>
          </w:p>
        </w:tc>
      </w:tr>
      <w:tr w14:paraId="3ED9C618" w14:textId="77777777" w:rsidTr="00DA6579">
        <w:tblPrEx>
          <w:tblW w:w="10500" w:type="dxa"/>
          <w:tblLook w:val="04A0"/>
        </w:tblPrEx>
        <w:trPr>
          <w:trHeight w:val="280"/>
        </w:trPr>
        <w:tc>
          <w:tcPr>
            <w:tcW w:w="4040" w:type="dxa"/>
            <w:gridSpan w:val="3"/>
            <w:tcBorders>
              <w:top w:val="single" w:sz="4" w:space="0" w:color="auto"/>
              <w:left w:val="single" w:sz="4" w:space="0" w:color="auto"/>
              <w:bottom w:val="single" w:sz="4" w:space="0" w:color="auto"/>
              <w:right w:val="single" w:sz="4" w:space="0" w:color="auto"/>
            </w:tcBorders>
            <w:vAlign w:val="center"/>
            <w:hideMark/>
          </w:tcPr>
          <w:p w:rsidR="00551F4E" w:rsidRPr="00551F4E" w14:paraId="4B0EF5F5" w14:textId="77777777">
            <w:pPr>
              <w:jc w:val="right"/>
              <w:rPr>
                <w:rFonts w:ascii="Arial" w:hAnsi="Arial" w:cs="Arial"/>
                <w:b/>
                <w:bCs/>
                <w:color w:val="000000"/>
                <w:sz w:val="16"/>
                <w:szCs w:val="16"/>
              </w:rPr>
            </w:pPr>
            <w:r w:rsidRPr="00551F4E">
              <w:rPr>
                <w:rFonts w:ascii="Arial" w:hAnsi="Arial" w:cs="Arial"/>
                <w:b/>
                <w:bCs/>
                <w:color w:val="000000"/>
                <w:sz w:val="16"/>
                <w:szCs w:val="16"/>
              </w:rPr>
              <w:t>TOTAL</w:t>
            </w:r>
          </w:p>
        </w:tc>
        <w:tc>
          <w:tcPr>
            <w:tcW w:w="1400" w:type="dxa"/>
            <w:tcBorders>
              <w:top w:val="nil"/>
              <w:left w:val="nil"/>
              <w:bottom w:val="single" w:sz="4" w:space="0" w:color="auto"/>
              <w:right w:val="single" w:sz="4" w:space="0" w:color="auto"/>
            </w:tcBorders>
            <w:noWrap/>
            <w:vAlign w:val="center"/>
            <w:hideMark/>
          </w:tcPr>
          <w:p w:rsidR="00551F4E" w:rsidRPr="00551F4E" w14:paraId="17FE8422" w14:textId="77777777">
            <w:pPr>
              <w:jc w:val="center"/>
              <w:rPr>
                <w:rFonts w:ascii="Arial" w:hAnsi="Arial" w:cs="Arial"/>
                <w:color w:val="000000"/>
                <w:sz w:val="16"/>
                <w:szCs w:val="16"/>
              </w:rPr>
            </w:pPr>
            <w:r w:rsidRPr="00551F4E">
              <w:rPr>
                <w:rFonts w:ascii="Arial" w:hAnsi="Arial" w:cs="Arial"/>
                <w:color w:val="000000"/>
                <w:sz w:val="16"/>
                <w:szCs w:val="16"/>
              </w:rPr>
              <w:t>160</w:t>
            </w:r>
          </w:p>
        </w:tc>
        <w:tc>
          <w:tcPr>
            <w:tcW w:w="1000" w:type="dxa"/>
            <w:tcBorders>
              <w:top w:val="nil"/>
              <w:left w:val="nil"/>
              <w:bottom w:val="single" w:sz="4" w:space="0" w:color="auto"/>
              <w:right w:val="single" w:sz="4" w:space="0" w:color="auto"/>
            </w:tcBorders>
            <w:shd w:val="clear" w:color="auto" w:fill="262626" w:themeFill="text1" w:themeFillTint="D9"/>
            <w:noWrap/>
            <w:vAlign w:val="center"/>
            <w:hideMark/>
          </w:tcPr>
          <w:p w:rsidR="00551F4E" w:rsidRPr="00551F4E" w14:paraId="1A1FD4CF" w14:textId="2DCE3604">
            <w:pPr>
              <w:jc w:val="center"/>
              <w:rPr>
                <w:rFonts w:ascii="Arial" w:hAnsi="Arial" w:cs="Arial"/>
                <w:color w:val="000000"/>
                <w:sz w:val="16"/>
                <w:szCs w:val="16"/>
              </w:rPr>
            </w:pPr>
          </w:p>
        </w:tc>
        <w:tc>
          <w:tcPr>
            <w:tcW w:w="1120" w:type="dxa"/>
            <w:tcBorders>
              <w:top w:val="nil"/>
              <w:left w:val="nil"/>
              <w:bottom w:val="single" w:sz="4" w:space="0" w:color="auto"/>
              <w:right w:val="single" w:sz="4" w:space="0" w:color="auto"/>
            </w:tcBorders>
            <w:noWrap/>
            <w:vAlign w:val="center"/>
            <w:hideMark/>
          </w:tcPr>
          <w:p w:rsidR="00551F4E" w:rsidRPr="00551F4E" w14:paraId="5233D57A" w14:textId="77777777">
            <w:pPr>
              <w:jc w:val="center"/>
              <w:rPr>
                <w:rFonts w:ascii="Arial" w:hAnsi="Arial" w:cs="Arial"/>
                <w:color w:val="000000"/>
                <w:sz w:val="16"/>
                <w:szCs w:val="16"/>
              </w:rPr>
            </w:pPr>
            <w:r w:rsidRPr="00551F4E">
              <w:rPr>
                <w:rFonts w:ascii="Arial" w:hAnsi="Arial" w:cs="Arial"/>
                <w:color w:val="000000"/>
                <w:sz w:val="16"/>
                <w:szCs w:val="16"/>
              </w:rPr>
              <w:t>960</w:t>
            </w:r>
          </w:p>
        </w:tc>
        <w:tc>
          <w:tcPr>
            <w:tcW w:w="1480" w:type="dxa"/>
            <w:tcBorders>
              <w:top w:val="nil"/>
              <w:left w:val="nil"/>
              <w:bottom w:val="single" w:sz="4" w:space="0" w:color="auto"/>
              <w:right w:val="single" w:sz="4" w:space="0" w:color="auto"/>
            </w:tcBorders>
            <w:shd w:val="clear" w:color="auto" w:fill="262626" w:themeFill="text1" w:themeFillTint="D9"/>
            <w:noWrap/>
            <w:vAlign w:val="center"/>
            <w:hideMark/>
          </w:tcPr>
          <w:p w:rsidR="00551F4E" w:rsidRPr="00551F4E" w14:paraId="29917FB7" w14:textId="77777777">
            <w:pPr>
              <w:jc w:val="center"/>
              <w:rPr>
                <w:rFonts w:ascii="Arial" w:hAnsi="Arial" w:cs="Arial"/>
                <w:color w:val="000000"/>
                <w:sz w:val="16"/>
                <w:szCs w:val="16"/>
              </w:rPr>
            </w:pPr>
            <w:r w:rsidRPr="00551F4E">
              <w:rPr>
                <w:rFonts w:ascii="Arial" w:hAnsi="Arial" w:cs="Arial"/>
                <w:color w:val="000000"/>
                <w:sz w:val="16"/>
                <w:szCs w:val="16"/>
              </w:rPr>
              <w:t> </w:t>
            </w:r>
          </w:p>
        </w:tc>
        <w:tc>
          <w:tcPr>
            <w:tcW w:w="1460" w:type="dxa"/>
            <w:tcBorders>
              <w:top w:val="nil"/>
              <w:left w:val="nil"/>
              <w:bottom w:val="single" w:sz="4" w:space="0" w:color="auto"/>
              <w:right w:val="single" w:sz="4" w:space="0" w:color="auto"/>
            </w:tcBorders>
            <w:noWrap/>
            <w:vAlign w:val="center"/>
            <w:hideMark/>
          </w:tcPr>
          <w:p w:rsidR="00551F4E" w:rsidRPr="00551F4E" w14:paraId="4DDD5384" w14:textId="77777777">
            <w:pPr>
              <w:jc w:val="center"/>
              <w:rPr>
                <w:rFonts w:ascii="Arial" w:hAnsi="Arial" w:cs="Arial"/>
                <w:color w:val="000000"/>
                <w:sz w:val="16"/>
                <w:szCs w:val="16"/>
              </w:rPr>
            </w:pPr>
            <w:r w:rsidRPr="00551F4E">
              <w:rPr>
                <w:rFonts w:ascii="Arial" w:hAnsi="Arial" w:cs="Arial"/>
                <w:color w:val="000000"/>
                <w:sz w:val="16"/>
                <w:szCs w:val="16"/>
              </w:rPr>
              <w:t>5280</w:t>
            </w:r>
          </w:p>
        </w:tc>
      </w:tr>
    </w:tbl>
    <w:p w:rsidR="00524F36" w:rsidP="00940951" w14:paraId="4F7E1405" w14:textId="77777777">
      <w:pPr>
        <w:pStyle w:val="NoSpacing"/>
      </w:pPr>
    </w:p>
    <w:p w:rsidR="00E31E47" w:rsidRPr="00E31E47" w:rsidP="00940951" w14:paraId="72D90669" w14:textId="316E5068">
      <w:pPr>
        <w:pStyle w:val="NoSpacing"/>
      </w:pPr>
      <w:r w:rsidRPr="00E31E47">
        <w:t>In cases where the continuing credit union is privately insured, the required merger documents include those discussing the insurance conversion.</w:t>
      </w:r>
    </w:p>
    <w:p w:rsidR="00E31E47" w:rsidP="00940951" w14:paraId="0AD7EEFF" w14:textId="77777777">
      <w:pPr>
        <w:pStyle w:val="NoSpacing"/>
        <w:rPr>
          <w:u w:val="single"/>
        </w:rPr>
      </w:pPr>
    </w:p>
    <w:p w:rsidR="00B41267" w:rsidP="00B41267" w14:paraId="49972DCD" w14:textId="39E1345A">
      <w:pPr>
        <w:pStyle w:val="NoSpacing"/>
      </w:pPr>
      <w:r w:rsidRPr="00B41267">
        <w:rPr>
          <w:b/>
          <w:u w:val="single"/>
        </w:rPr>
        <w:t>Share Insurance Conversions</w:t>
      </w:r>
      <w:r w:rsidR="00B14E32">
        <w:rPr>
          <w:b/>
        </w:rPr>
        <w:t xml:space="preserve">:  </w:t>
      </w:r>
      <w:r>
        <w:t xml:space="preserve">Approximately </w:t>
      </w:r>
      <w:r w:rsidR="00BE6449">
        <w:t xml:space="preserve">two </w:t>
      </w:r>
      <w:r w:rsidRPr="00753B95">
        <w:t xml:space="preserve">credit unions each year engage in share insurance conversions outside of the merger context.  NCUA estimates there will be minimal burden in the form of collections of information, since </w:t>
      </w:r>
      <w:r w:rsidRPr="00A52969">
        <w:t>NCUA provides forms and form language in the regulation</w:t>
      </w:r>
      <w:r w:rsidRPr="00753B95">
        <w:t xml:space="preserve">.  </w:t>
      </w:r>
    </w:p>
    <w:p w:rsidR="000711AD" w:rsidRPr="00753B95" w:rsidP="00B41267" w14:paraId="46EDA858" w14:textId="77777777">
      <w:pPr>
        <w:pStyle w:val="NoSpacing"/>
      </w:pPr>
    </w:p>
    <w:p w:rsidR="000711AD" w:rsidP="00B41267" w14:paraId="4CDC56C4" w14:textId="77777777">
      <w:pPr>
        <w:pStyle w:val="NoSpacing"/>
        <w:sectPr w:rsidSect="00B14E32">
          <w:type w:val="continuous"/>
          <w:pgSz w:w="12240" w:h="15840"/>
          <w:pgMar w:top="1440" w:right="1440" w:bottom="1440" w:left="1440" w:header="720" w:footer="720" w:gutter="0"/>
          <w:cols w:space="720"/>
          <w:docGrid w:linePitch="360"/>
        </w:sectPr>
      </w:pPr>
    </w:p>
    <w:tbl>
      <w:tblPr>
        <w:tblW w:w="10029" w:type="dxa"/>
        <w:tblInd w:w="-5" w:type="dxa"/>
        <w:tblLook w:val="04A0"/>
      </w:tblPr>
      <w:tblGrid>
        <w:gridCol w:w="1124"/>
        <w:gridCol w:w="2749"/>
        <w:gridCol w:w="987"/>
        <w:gridCol w:w="1365"/>
        <w:gridCol w:w="1079"/>
        <w:gridCol w:w="1143"/>
        <w:gridCol w:w="937"/>
        <w:gridCol w:w="778"/>
      </w:tblGrid>
      <w:tr w14:paraId="0B3E50B0" w14:textId="77777777" w:rsidTr="0094771C">
        <w:tblPrEx>
          <w:tblW w:w="10029" w:type="dxa"/>
          <w:tblInd w:w="-5" w:type="dxa"/>
          <w:tblLook w:val="04A0"/>
        </w:tblPrEx>
        <w:trPr>
          <w:trHeight w:val="300"/>
        </w:trPr>
        <w:tc>
          <w:tcPr>
            <w:tcW w:w="10029" w:type="dxa"/>
            <w:gridSpan w:val="8"/>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711AD" w:rsidRPr="00334E75" w14:paraId="158E32C4" w14:textId="77777777">
            <w:pPr>
              <w:jc w:val="center"/>
              <w:rPr>
                <w:rFonts w:ascii="Arial Rounded MT Bold" w:hAnsi="Arial Rounded MT Bold" w:cs="Calibri"/>
                <w:color w:val="000000"/>
                <w:sz w:val="22"/>
                <w:szCs w:val="22"/>
              </w:rPr>
            </w:pPr>
            <w:r w:rsidRPr="00334E75">
              <w:rPr>
                <w:rFonts w:ascii="Arial Rounded MT Bold" w:hAnsi="Arial Rounded MT Bold" w:cs="Calibri"/>
                <w:color w:val="000000"/>
                <w:sz w:val="22"/>
                <w:szCs w:val="22"/>
              </w:rPr>
              <w:t>Share Insurance Conversions</w:t>
            </w:r>
          </w:p>
        </w:tc>
      </w:tr>
      <w:tr w14:paraId="650DD8D9" w14:textId="77777777" w:rsidTr="0094771C">
        <w:tblPrEx>
          <w:tblW w:w="10029" w:type="dxa"/>
          <w:tblInd w:w="-5" w:type="dxa"/>
          <w:tblLook w:val="04A0"/>
        </w:tblPrEx>
        <w:trPr>
          <w:trHeight w:val="540"/>
        </w:trPr>
        <w:tc>
          <w:tcPr>
            <w:tcW w:w="1124" w:type="dxa"/>
            <w:tcBorders>
              <w:top w:val="nil"/>
              <w:left w:val="single" w:sz="4" w:space="0" w:color="auto"/>
              <w:bottom w:val="single" w:sz="4" w:space="0" w:color="auto"/>
              <w:right w:val="single" w:sz="4" w:space="0" w:color="auto"/>
            </w:tcBorders>
            <w:shd w:val="clear" w:color="auto" w:fill="C6D9F0" w:themeFill="text2" w:themeFillTint="33"/>
            <w:vAlign w:val="center"/>
            <w:hideMark/>
          </w:tcPr>
          <w:p w:rsidR="000711AD" w:rsidRPr="00334E75" w14:paraId="70AA2E5A" w14:textId="77777777">
            <w:pPr>
              <w:jc w:val="center"/>
              <w:rPr>
                <w:rFonts w:ascii="Arial" w:hAnsi="Arial" w:cs="Arial"/>
                <w:color w:val="000000"/>
                <w:sz w:val="16"/>
                <w:szCs w:val="16"/>
              </w:rPr>
            </w:pPr>
            <w:r w:rsidRPr="00334E75">
              <w:rPr>
                <w:rFonts w:ascii="Arial" w:hAnsi="Arial" w:cs="Arial"/>
                <w:color w:val="000000"/>
                <w:sz w:val="16"/>
                <w:szCs w:val="16"/>
              </w:rPr>
              <w:t>12 CFR</w:t>
            </w:r>
          </w:p>
        </w:tc>
        <w:tc>
          <w:tcPr>
            <w:tcW w:w="2749" w:type="dxa"/>
            <w:tcBorders>
              <w:top w:val="nil"/>
              <w:left w:val="nil"/>
              <w:bottom w:val="single" w:sz="4" w:space="0" w:color="auto"/>
              <w:right w:val="single" w:sz="4" w:space="0" w:color="auto"/>
            </w:tcBorders>
            <w:shd w:val="clear" w:color="auto" w:fill="C6D9F0" w:themeFill="text2" w:themeFillTint="33"/>
            <w:vAlign w:val="center"/>
            <w:hideMark/>
          </w:tcPr>
          <w:p w:rsidR="000711AD" w:rsidRPr="00334E75" w14:paraId="4BC1184C" w14:textId="77777777">
            <w:pPr>
              <w:jc w:val="center"/>
              <w:rPr>
                <w:rFonts w:ascii="Arial" w:hAnsi="Arial" w:cs="Arial"/>
                <w:color w:val="000000"/>
                <w:sz w:val="16"/>
                <w:szCs w:val="16"/>
              </w:rPr>
            </w:pPr>
            <w:r w:rsidRPr="00334E75">
              <w:rPr>
                <w:rFonts w:ascii="Arial" w:hAnsi="Arial" w:cs="Arial"/>
                <w:color w:val="000000"/>
                <w:sz w:val="16"/>
                <w:szCs w:val="16"/>
              </w:rPr>
              <w:t>Information Collection</w:t>
            </w:r>
          </w:p>
        </w:tc>
        <w:tc>
          <w:tcPr>
            <w:tcW w:w="987" w:type="dxa"/>
            <w:tcBorders>
              <w:top w:val="nil"/>
              <w:left w:val="nil"/>
              <w:bottom w:val="single" w:sz="4" w:space="0" w:color="auto"/>
              <w:right w:val="nil"/>
            </w:tcBorders>
            <w:shd w:val="clear" w:color="auto" w:fill="C6D9F0" w:themeFill="text2" w:themeFillTint="33"/>
            <w:vAlign w:val="center"/>
            <w:hideMark/>
          </w:tcPr>
          <w:p w:rsidR="000711AD" w:rsidRPr="00334E75" w14:paraId="49CE0123" w14:textId="77777777">
            <w:pPr>
              <w:jc w:val="center"/>
              <w:rPr>
                <w:rFonts w:ascii="Arial" w:hAnsi="Arial" w:cs="Arial"/>
                <w:color w:val="000000"/>
                <w:sz w:val="16"/>
                <w:szCs w:val="16"/>
              </w:rPr>
            </w:pPr>
            <w:r w:rsidRPr="00334E75">
              <w:rPr>
                <w:rFonts w:ascii="Arial" w:hAnsi="Arial" w:cs="Arial"/>
                <w:color w:val="000000"/>
                <w:sz w:val="16"/>
                <w:szCs w:val="16"/>
              </w:rPr>
              <w:t>Burden Type</w:t>
            </w:r>
          </w:p>
        </w:tc>
        <w:tc>
          <w:tcPr>
            <w:tcW w:w="1365" w:type="dxa"/>
            <w:tcBorders>
              <w:top w:val="nil"/>
              <w:left w:val="single" w:sz="4" w:space="0" w:color="auto"/>
              <w:bottom w:val="single" w:sz="4" w:space="0" w:color="auto"/>
              <w:right w:val="nil"/>
            </w:tcBorders>
            <w:shd w:val="clear" w:color="auto" w:fill="C6D9F0" w:themeFill="text2" w:themeFillTint="33"/>
            <w:vAlign w:val="center"/>
            <w:hideMark/>
          </w:tcPr>
          <w:p w:rsidR="000711AD" w:rsidRPr="00334E75" w:rsidP="000711AD" w14:paraId="7F0E7A45" w14:textId="250AB899">
            <w:pPr>
              <w:ind w:left="-107" w:right="32" w:hanging="58"/>
              <w:jc w:val="center"/>
              <w:rPr>
                <w:rFonts w:ascii="Arial" w:hAnsi="Arial" w:cs="Arial"/>
                <w:color w:val="000000"/>
                <w:sz w:val="16"/>
                <w:szCs w:val="16"/>
              </w:rPr>
            </w:pPr>
            <w:r w:rsidRPr="00334E75">
              <w:rPr>
                <w:rFonts w:ascii="Arial" w:hAnsi="Arial" w:cs="Arial"/>
                <w:color w:val="000000"/>
                <w:sz w:val="16"/>
                <w:szCs w:val="16"/>
              </w:rPr>
              <w:t># Annual Respondents</w:t>
            </w:r>
          </w:p>
        </w:tc>
        <w:tc>
          <w:tcPr>
            <w:tcW w:w="924" w:type="dxa"/>
            <w:tcBorders>
              <w:top w:val="nil"/>
              <w:left w:val="single" w:sz="4" w:space="0" w:color="auto"/>
              <w:bottom w:val="single" w:sz="4" w:space="0" w:color="auto"/>
              <w:right w:val="nil"/>
            </w:tcBorders>
            <w:shd w:val="clear" w:color="auto" w:fill="C6D9F0" w:themeFill="text2" w:themeFillTint="33"/>
            <w:vAlign w:val="center"/>
            <w:hideMark/>
          </w:tcPr>
          <w:p w:rsidR="000711AD" w:rsidRPr="00334E75" w14:paraId="6975B21C" w14:textId="77777777">
            <w:pPr>
              <w:jc w:val="center"/>
              <w:rPr>
                <w:rFonts w:ascii="Arial" w:hAnsi="Arial" w:cs="Arial"/>
                <w:color w:val="000000"/>
                <w:sz w:val="16"/>
                <w:szCs w:val="16"/>
              </w:rPr>
            </w:pPr>
            <w:r w:rsidRPr="00334E75">
              <w:rPr>
                <w:rFonts w:ascii="Arial" w:hAnsi="Arial" w:cs="Arial"/>
                <w:color w:val="000000"/>
                <w:sz w:val="16"/>
                <w:szCs w:val="16"/>
              </w:rPr>
              <w:t># Responses per Respondent</w:t>
            </w:r>
          </w:p>
        </w:tc>
        <w:tc>
          <w:tcPr>
            <w:tcW w:w="1143" w:type="dxa"/>
            <w:tcBorders>
              <w:top w:val="nil"/>
              <w:left w:val="single" w:sz="4" w:space="0" w:color="auto"/>
              <w:bottom w:val="single" w:sz="4" w:space="0" w:color="auto"/>
              <w:right w:val="nil"/>
            </w:tcBorders>
            <w:shd w:val="clear" w:color="auto" w:fill="C6D9F0" w:themeFill="text2" w:themeFillTint="33"/>
            <w:vAlign w:val="center"/>
            <w:hideMark/>
          </w:tcPr>
          <w:p w:rsidR="000711AD" w:rsidRPr="00334E75" w14:paraId="633EBE8D" w14:textId="77777777">
            <w:pPr>
              <w:jc w:val="center"/>
              <w:rPr>
                <w:rFonts w:ascii="Arial" w:hAnsi="Arial" w:cs="Arial"/>
                <w:color w:val="000000"/>
                <w:sz w:val="16"/>
                <w:szCs w:val="16"/>
              </w:rPr>
            </w:pPr>
            <w:r w:rsidRPr="00334E75">
              <w:rPr>
                <w:rFonts w:ascii="Arial" w:hAnsi="Arial" w:cs="Arial"/>
                <w:color w:val="000000"/>
                <w:sz w:val="16"/>
                <w:szCs w:val="16"/>
              </w:rPr>
              <w:t>Annual # Responses</w:t>
            </w:r>
          </w:p>
        </w:tc>
        <w:tc>
          <w:tcPr>
            <w:tcW w:w="927" w:type="dxa"/>
            <w:tcBorders>
              <w:top w:val="nil"/>
              <w:left w:val="single" w:sz="4" w:space="0" w:color="auto"/>
              <w:bottom w:val="single" w:sz="4" w:space="0" w:color="auto"/>
              <w:right w:val="nil"/>
            </w:tcBorders>
            <w:shd w:val="clear" w:color="auto" w:fill="C6D9F0" w:themeFill="text2" w:themeFillTint="33"/>
            <w:vAlign w:val="center"/>
            <w:hideMark/>
          </w:tcPr>
          <w:p w:rsidR="000711AD" w:rsidRPr="00334E75" w14:paraId="79211404" w14:textId="77777777">
            <w:pPr>
              <w:jc w:val="center"/>
              <w:rPr>
                <w:rFonts w:ascii="Arial" w:hAnsi="Arial" w:cs="Arial"/>
                <w:color w:val="000000"/>
                <w:sz w:val="16"/>
                <w:szCs w:val="16"/>
              </w:rPr>
            </w:pPr>
            <w:r w:rsidRPr="00334E75">
              <w:rPr>
                <w:rFonts w:ascii="Arial" w:hAnsi="Arial" w:cs="Arial"/>
                <w:color w:val="000000"/>
                <w:sz w:val="16"/>
                <w:szCs w:val="16"/>
              </w:rPr>
              <w:t>Hours per Response</w:t>
            </w:r>
          </w:p>
        </w:tc>
        <w:tc>
          <w:tcPr>
            <w:tcW w:w="810" w:type="dxa"/>
            <w:tcBorders>
              <w:top w:val="nil"/>
              <w:left w:val="single" w:sz="4" w:space="0" w:color="auto"/>
              <w:bottom w:val="single" w:sz="4" w:space="0" w:color="auto"/>
              <w:right w:val="single" w:sz="4" w:space="0" w:color="auto"/>
            </w:tcBorders>
            <w:shd w:val="clear" w:color="auto" w:fill="C6D9F0" w:themeFill="text2" w:themeFillTint="33"/>
            <w:vAlign w:val="center"/>
            <w:hideMark/>
          </w:tcPr>
          <w:p w:rsidR="000711AD" w:rsidRPr="00334E75" w14:paraId="0509D3C5" w14:textId="77777777">
            <w:pPr>
              <w:jc w:val="center"/>
              <w:rPr>
                <w:rFonts w:ascii="Arial" w:hAnsi="Arial" w:cs="Arial"/>
                <w:color w:val="000000"/>
                <w:sz w:val="16"/>
                <w:szCs w:val="16"/>
              </w:rPr>
            </w:pPr>
            <w:r w:rsidRPr="00334E75">
              <w:rPr>
                <w:rFonts w:ascii="Arial" w:hAnsi="Arial" w:cs="Arial"/>
                <w:color w:val="000000"/>
                <w:sz w:val="16"/>
                <w:szCs w:val="16"/>
              </w:rPr>
              <w:t>Total Annual Burden Hours</w:t>
            </w:r>
          </w:p>
        </w:tc>
      </w:tr>
      <w:tr w14:paraId="6C379468" w14:textId="77777777" w:rsidTr="0094771C">
        <w:tblPrEx>
          <w:tblW w:w="10029" w:type="dxa"/>
          <w:tblInd w:w="-5" w:type="dxa"/>
          <w:tblLook w:val="04A0"/>
        </w:tblPrEx>
        <w:trPr>
          <w:trHeight w:val="510"/>
        </w:trPr>
        <w:tc>
          <w:tcPr>
            <w:tcW w:w="1124" w:type="dxa"/>
            <w:tcBorders>
              <w:top w:val="nil"/>
              <w:left w:val="single" w:sz="4" w:space="0" w:color="auto"/>
              <w:bottom w:val="single" w:sz="4" w:space="0" w:color="auto"/>
              <w:right w:val="single" w:sz="4" w:space="0" w:color="auto"/>
            </w:tcBorders>
            <w:vAlign w:val="center"/>
            <w:hideMark/>
          </w:tcPr>
          <w:p w:rsidR="000711AD" w:rsidRPr="00334E75" w14:paraId="5F44E415" w14:textId="77777777">
            <w:pPr>
              <w:rPr>
                <w:rFonts w:ascii="Arial" w:hAnsi="Arial" w:cs="Arial"/>
                <w:color w:val="000000"/>
                <w:sz w:val="16"/>
                <w:szCs w:val="16"/>
              </w:rPr>
            </w:pPr>
            <w:r w:rsidRPr="00334E75">
              <w:rPr>
                <w:rFonts w:ascii="Arial" w:hAnsi="Arial" w:cs="Arial"/>
                <w:color w:val="000000"/>
                <w:sz w:val="16"/>
                <w:szCs w:val="16"/>
              </w:rPr>
              <w:t>708b.203(a), 708b.301(a)</w:t>
            </w:r>
          </w:p>
        </w:tc>
        <w:tc>
          <w:tcPr>
            <w:tcW w:w="2749" w:type="dxa"/>
            <w:tcBorders>
              <w:top w:val="nil"/>
              <w:left w:val="nil"/>
              <w:bottom w:val="single" w:sz="4" w:space="0" w:color="auto"/>
              <w:right w:val="single" w:sz="4" w:space="0" w:color="auto"/>
            </w:tcBorders>
            <w:vAlign w:val="center"/>
            <w:hideMark/>
          </w:tcPr>
          <w:p w:rsidR="000711AD" w:rsidRPr="00334E75" w14:paraId="70EEDF01" w14:textId="77777777">
            <w:pPr>
              <w:rPr>
                <w:rFonts w:ascii="Arial" w:hAnsi="Arial" w:cs="Arial"/>
                <w:color w:val="000000"/>
                <w:sz w:val="16"/>
                <w:szCs w:val="16"/>
              </w:rPr>
            </w:pPr>
            <w:r w:rsidRPr="00334E75">
              <w:rPr>
                <w:rFonts w:ascii="Arial" w:hAnsi="Arial" w:cs="Arial"/>
                <w:color w:val="000000"/>
                <w:sz w:val="16"/>
                <w:szCs w:val="16"/>
              </w:rPr>
              <w:t>Prepare the required conversion documents and submit the required information to NCUA</w:t>
            </w:r>
          </w:p>
        </w:tc>
        <w:tc>
          <w:tcPr>
            <w:tcW w:w="987" w:type="dxa"/>
            <w:tcBorders>
              <w:top w:val="nil"/>
              <w:left w:val="nil"/>
              <w:bottom w:val="single" w:sz="4" w:space="0" w:color="auto"/>
              <w:right w:val="single" w:sz="4" w:space="0" w:color="auto"/>
            </w:tcBorders>
            <w:vAlign w:val="center"/>
            <w:hideMark/>
          </w:tcPr>
          <w:p w:rsidR="000711AD" w:rsidRPr="00334E75" w14:paraId="16EE205A" w14:textId="77777777">
            <w:pPr>
              <w:rPr>
                <w:rFonts w:ascii="Arial" w:hAnsi="Arial" w:cs="Arial"/>
                <w:color w:val="000000"/>
                <w:sz w:val="16"/>
                <w:szCs w:val="16"/>
              </w:rPr>
            </w:pPr>
            <w:r w:rsidRPr="00334E75">
              <w:rPr>
                <w:rFonts w:ascii="Arial" w:hAnsi="Arial" w:cs="Arial"/>
                <w:color w:val="000000"/>
                <w:sz w:val="16"/>
                <w:szCs w:val="16"/>
              </w:rPr>
              <w:t>Reporting</w:t>
            </w:r>
          </w:p>
        </w:tc>
        <w:tc>
          <w:tcPr>
            <w:tcW w:w="1365" w:type="dxa"/>
            <w:tcBorders>
              <w:top w:val="nil"/>
              <w:left w:val="nil"/>
              <w:bottom w:val="single" w:sz="4" w:space="0" w:color="auto"/>
              <w:right w:val="single" w:sz="4" w:space="0" w:color="auto"/>
            </w:tcBorders>
            <w:vAlign w:val="center"/>
            <w:hideMark/>
          </w:tcPr>
          <w:p w:rsidR="000711AD" w:rsidRPr="00334E75" w14:paraId="485BE141" w14:textId="037EE390">
            <w:pPr>
              <w:jc w:val="right"/>
              <w:rPr>
                <w:rFonts w:ascii="Arial" w:hAnsi="Arial" w:cs="Arial"/>
                <w:color w:val="000000"/>
                <w:sz w:val="16"/>
                <w:szCs w:val="16"/>
              </w:rPr>
            </w:pPr>
            <w:r>
              <w:rPr>
                <w:rFonts w:ascii="Arial" w:hAnsi="Arial" w:cs="Arial"/>
                <w:color w:val="000000"/>
                <w:sz w:val="16"/>
                <w:szCs w:val="16"/>
              </w:rPr>
              <w:t>2</w:t>
            </w:r>
          </w:p>
        </w:tc>
        <w:tc>
          <w:tcPr>
            <w:tcW w:w="924" w:type="dxa"/>
            <w:tcBorders>
              <w:top w:val="nil"/>
              <w:left w:val="nil"/>
              <w:bottom w:val="single" w:sz="4" w:space="0" w:color="auto"/>
              <w:right w:val="single" w:sz="4" w:space="0" w:color="auto"/>
            </w:tcBorders>
            <w:vAlign w:val="center"/>
            <w:hideMark/>
          </w:tcPr>
          <w:p w:rsidR="000711AD" w:rsidRPr="00334E75" w14:paraId="07DD5C2C" w14:textId="77777777">
            <w:pPr>
              <w:jc w:val="right"/>
              <w:rPr>
                <w:rFonts w:ascii="Arial" w:hAnsi="Arial" w:cs="Arial"/>
                <w:color w:val="000000"/>
                <w:sz w:val="16"/>
                <w:szCs w:val="16"/>
              </w:rPr>
            </w:pPr>
            <w:r w:rsidRPr="00334E75">
              <w:rPr>
                <w:rFonts w:ascii="Arial" w:hAnsi="Arial" w:cs="Arial"/>
                <w:color w:val="000000"/>
                <w:sz w:val="16"/>
                <w:szCs w:val="16"/>
              </w:rPr>
              <w:t>1</w:t>
            </w:r>
          </w:p>
        </w:tc>
        <w:tc>
          <w:tcPr>
            <w:tcW w:w="1143" w:type="dxa"/>
            <w:tcBorders>
              <w:top w:val="nil"/>
              <w:left w:val="nil"/>
              <w:bottom w:val="single" w:sz="4" w:space="0" w:color="auto"/>
              <w:right w:val="single" w:sz="4" w:space="0" w:color="auto"/>
            </w:tcBorders>
            <w:vAlign w:val="center"/>
            <w:hideMark/>
          </w:tcPr>
          <w:p w:rsidR="000711AD" w:rsidRPr="00334E75" w14:paraId="5225CA7E" w14:textId="35ECB439">
            <w:pPr>
              <w:jc w:val="right"/>
              <w:rPr>
                <w:rFonts w:ascii="Arial" w:hAnsi="Arial" w:cs="Arial"/>
                <w:color w:val="000000"/>
                <w:sz w:val="16"/>
                <w:szCs w:val="16"/>
              </w:rPr>
            </w:pPr>
            <w:r>
              <w:rPr>
                <w:rFonts w:ascii="Arial" w:hAnsi="Arial" w:cs="Arial"/>
                <w:color w:val="000000"/>
                <w:sz w:val="16"/>
                <w:szCs w:val="16"/>
              </w:rPr>
              <w:t>2</w:t>
            </w:r>
          </w:p>
        </w:tc>
        <w:tc>
          <w:tcPr>
            <w:tcW w:w="927" w:type="dxa"/>
            <w:tcBorders>
              <w:top w:val="nil"/>
              <w:left w:val="nil"/>
              <w:bottom w:val="single" w:sz="4" w:space="0" w:color="auto"/>
              <w:right w:val="single" w:sz="4" w:space="0" w:color="auto"/>
            </w:tcBorders>
            <w:vAlign w:val="center"/>
            <w:hideMark/>
          </w:tcPr>
          <w:p w:rsidR="000711AD" w:rsidRPr="00334E75" w14:paraId="0ED61AB2" w14:textId="77777777">
            <w:pPr>
              <w:jc w:val="right"/>
              <w:rPr>
                <w:rFonts w:ascii="Arial" w:hAnsi="Arial" w:cs="Arial"/>
                <w:color w:val="000000"/>
                <w:sz w:val="16"/>
                <w:szCs w:val="16"/>
              </w:rPr>
            </w:pPr>
            <w:r w:rsidRPr="00334E75">
              <w:rPr>
                <w:rFonts w:ascii="Arial" w:hAnsi="Arial" w:cs="Arial"/>
                <w:color w:val="000000"/>
                <w:sz w:val="16"/>
                <w:szCs w:val="16"/>
              </w:rPr>
              <w:t>4</w:t>
            </w:r>
          </w:p>
        </w:tc>
        <w:tc>
          <w:tcPr>
            <w:tcW w:w="810" w:type="dxa"/>
            <w:tcBorders>
              <w:top w:val="nil"/>
              <w:left w:val="nil"/>
              <w:bottom w:val="single" w:sz="4" w:space="0" w:color="auto"/>
              <w:right w:val="single" w:sz="4" w:space="0" w:color="auto"/>
            </w:tcBorders>
            <w:vAlign w:val="center"/>
            <w:hideMark/>
          </w:tcPr>
          <w:p w:rsidR="000711AD" w:rsidRPr="00334E75" w14:paraId="46CAC6C0" w14:textId="54CACF4A">
            <w:pPr>
              <w:jc w:val="right"/>
              <w:rPr>
                <w:rFonts w:ascii="Arial" w:hAnsi="Arial" w:cs="Arial"/>
                <w:color w:val="000000"/>
                <w:sz w:val="16"/>
                <w:szCs w:val="16"/>
              </w:rPr>
            </w:pPr>
            <w:r>
              <w:rPr>
                <w:rFonts w:ascii="Arial" w:hAnsi="Arial" w:cs="Arial"/>
                <w:color w:val="000000"/>
                <w:sz w:val="16"/>
                <w:szCs w:val="16"/>
              </w:rPr>
              <w:t>8</w:t>
            </w:r>
          </w:p>
        </w:tc>
      </w:tr>
      <w:tr w14:paraId="713E7B97" w14:textId="77777777" w:rsidTr="0094771C">
        <w:tblPrEx>
          <w:tblW w:w="10029" w:type="dxa"/>
          <w:tblInd w:w="-5" w:type="dxa"/>
          <w:tblLook w:val="04A0"/>
        </w:tblPrEx>
        <w:trPr>
          <w:trHeight w:val="765"/>
        </w:trPr>
        <w:tc>
          <w:tcPr>
            <w:tcW w:w="1124" w:type="dxa"/>
            <w:tcBorders>
              <w:top w:val="nil"/>
              <w:left w:val="single" w:sz="4" w:space="0" w:color="auto"/>
              <w:bottom w:val="single" w:sz="4" w:space="0" w:color="auto"/>
              <w:right w:val="single" w:sz="4" w:space="0" w:color="auto"/>
            </w:tcBorders>
            <w:vAlign w:val="center"/>
            <w:hideMark/>
          </w:tcPr>
          <w:p w:rsidR="000711AD" w:rsidRPr="00334E75" w14:paraId="2B453FC3" w14:textId="77777777">
            <w:pPr>
              <w:rPr>
                <w:rFonts w:ascii="Arial" w:hAnsi="Arial" w:cs="Arial"/>
                <w:color w:val="000000"/>
                <w:sz w:val="16"/>
                <w:szCs w:val="16"/>
              </w:rPr>
            </w:pPr>
            <w:r w:rsidRPr="00334E75">
              <w:rPr>
                <w:rFonts w:ascii="Arial" w:hAnsi="Arial" w:cs="Arial"/>
                <w:color w:val="000000"/>
                <w:sz w:val="16"/>
                <w:szCs w:val="16"/>
              </w:rPr>
              <w:t>708b.204(a), 708b.301(b) and (c)</w:t>
            </w:r>
          </w:p>
        </w:tc>
        <w:tc>
          <w:tcPr>
            <w:tcW w:w="2749" w:type="dxa"/>
            <w:tcBorders>
              <w:top w:val="nil"/>
              <w:left w:val="nil"/>
              <w:bottom w:val="single" w:sz="4" w:space="0" w:color="auto"/>
              <w:right w:val="single" w:sz="4" w:space="0" w:color="auto"/>
            </w:tcBorders>
            <w:vAlign w:val="center"/>
            <w:hideMark/>
          </w:tcPr>
          <w:p w:rsidR="000711AD" w:rsidRPr="00334E75" w14:paraId="1AABD78F" w14:textId="77777777">
            <w:pPr>
              <w:rPr>
                <w:rFonts w:ascii="Arial" w:hAnsi="Arial" w:cs="Arial"/>
                <w:color w:val="000000"/>
                <w:sz w:val="16"/>
                <w:szCs w:val="16"/>
              </w:rPr>
            </w:pPr>
            <w:r w:rsidRPr="00334E75">
              <w:rPr>
                <w:rFonts w:ascii="Arial" w:hAnsi="Arial" w:cs="Arial"/>
                <w:color w:val="000000"/>
                <w:sz w:val="16"/>
                <w:szCs w:val="16"/>
              </w:rPr>
              <w:t>Notify members of the proposed conversion and send them the ballot</w:t>
            </w:r>
          </w:p>
        </w:tc>
        <w:tc>
          <w:tcPr>
            <w:tcW w:w="987" w:type="dxa"/>
            <w:tcBorders>
              <w:top w:val="nil"/>
              <w:left w:val="nil"/>
              <w:bottom w:val="single" w:sz="4" w:space="0" w:color="auto"/>
              <w:right w:val="single" w:sz="4" w:space="0" w:color="auto"/>
            </w:tcBorders>
            <w:vAlign w:val="center"/>
            <w:hideMark/>
          </w:tcPr>
          <w:p w:rsidR="000711AD" w:rsidRPr="00334E75" w14:paraId="4D7959DF" w14:textId="77777777">
            <w:pPr>
              <w:rPr>
                <w:rFonts w:ascii="Arial" w:hAnsi="Arial" w:cs="Arial"/>
                <w:color w:val="000000"/>
                <w:sz w:val="16"/>
                <w:szCs w:val="16"/>
              </w:rPr>
            </w:pPr>
            <w:r w:rsidRPr="00334E75">
              <w:rPr>
                <w:rFonts w:ascii="Arial" w:hAnsi="Arial" w:cs="Arial"/>
                <w:color w:val="000000"/>
                <w:sz w:val="16"/>
                <w:szCs w:val="16"/>
              </w:rPr>
              <w:t>Third-party disclosure</w:t>
            </w:r>
          </w:p>
        </w:tc>
        <w:tc>
          <w:tcPr>
            <w:tcW w:w="1365" w:type="dxa"/>
            <w:tcBorders>
              <w:top w:val="nil"/>
              <w:left w:val="nil"/>
              <w:bottom w:val="single" w:sz="4" w:space="0" w:color="auto"/>
              <w:right w:val="single" w:sz="4" w:space="0" w:color="auto"/>
            </w:tcBorders>
            <w:vAlign w:val="center"/>
            <w:hideMark/>
          </w:tcPr>
          <w:p w:rsidR="000711AD" w:rsidRPr="00334E75" w14:paraId="4379A072" w14:textId="037F28E5">
            <w:pPr>
              <w:jc w:val="right"/>
              <w:rPr>
                <w:rFonts w:ascii="Arial" w:hAnsi="Arial" w:cs="Arial"/>
                <w:color w:val="000000"/>
                <w:sz w:val="16"/>
                <w:szCs w:val="16"/>
              </w:rPr>
            </w:pPr>
            <w:r>
              <w:rPr>
                <w:rFonts w:ascii="Arial" w:hAnsi="Arial" w:cs="Arial"/>
                <w:color w:val="000000"/>
                <w:sz w:val="16"/>
                <w:szCs w:val="16"/>
              </w:rPr>
              <w:t>2</w:t>
            </w:r>
          </w:p>
        </w:tc>
        <w:tc>
          <w:tcPr>
            <w:tcW w:w="924" w:type="dxa"/>
            <w:tcBorders>
              <w:top w:val="nil"/>
              <w:left w:val="nil"/>
              <w:bottom w:val="single" w:sz="4" w:space="0" w:color="auto"/>
              <w:right w:val="single" w:sz="4" w:space="0" w:color="auto"/>
            </w:tcBorders>
            <w:vAlign w:val="center"/>
            <w:hideMark/>
          </w:tcPr>
          <w:p w:rsidR="000711AD" w:rsidRPr="00334E75" w14:paraId="2C0D067D" w14:textId="77777777">
            <w:pPr>
              <w:jc w:val="right"/>
              <w:rPr>
                <w:rFonts w:ascii="Arial" w:hAnsi="Arial" w:cs="Arial"/>
                <w:color w:val="000000"/>
                <w:sz w:val="16"/>
                <w:szCs w:val="16"/>
              </w:rPr>
            </w:pPr>
            <w:r w:rsidRPr="00334E75">
              <w:rPr>
                <w:rFonts w:ascii="Arial" w:hAnsi="Arial" w:cs="Arial"/>
                <w:color w:val="000000"/>
                <w:sz w:val="16"/>
                <w:szCs w:val="16"/>
              </w:rPr>
              <w:t>1</w:t>
            </w:r>
          </w:p>
        </w:tc>
        <w:tc>
          <w:tcPr>
            <w:tcW w:w="1143" w:type="dxa"/>
            <w:tcBorders>
              <w:top w:val="nil"/>
              <w:left w:val="nil"/>
              <w:bottom w:val="single" w:sz="4" w:space="0" w:color="auto"/>
              <w:right w:val="single" w:sz="4" w:space="0" w:color="auto"/>
            </w:tcBorders>
            <w:vAlign w:val="center"/>
            <w:hideMark/>
          </w:tcPr>
          <w:p w:rsidR="000711AD" w:rsidRPr="00334E75" w14:paraId="0ABEB16B" w14:textId="405098F5">
            <w:pPr>
              <w:jc w:val="right"/>
              <w:rPr>
                <w:rFonts w:ascii="Arial" w:hAnsi="Arial" w:cs="Arial"/>
                <w:color w:val="000000"/>
                <w:sz w:val="16"/>
                <w:szCs w:val="16"/>
              </w:rPr>
            </w:pPr>
            <w:r>
              <w:rPr>
                <w:rFonts w:ascii="Arial" w:hAnsi="Arial" w:cs="Arial"/>
                <w:color w:val="000000"/>
                <w:sz w:val="16"/>
                <w:szCs w:val="16"/>
              </w:rPr>
              <w:t>2</w:t>
            </w:r>
          </w:p>
        </w:tc>
        <w:tc>
          <w:tcPr>
            <w:tcW w:w="927" w:type="dxa"/>
            <w:tcBorders>
              <w:top w:val="nil"/>
              <w:left w:val="nil"/>
              <w:bottom w:val="single" w:sz="4" w:space="0" w:color="auto"/>
              <w:right w:val="single" w:sz="4" w:space="0" w:color="auto"/>
            </w:tcBorders>
            <w:vAlign w:val="center"/>
            <w:hideMark/>
          </w:tcPr>
          <w:p w:rsidR="000711AD" w:rsidRPr="00334E75" w14:paraId="50A91EB3" w14:textId="77777777">
            <w:pPr>
              <w:jc w:val="right"/>
              <w:rPr>
                <w:rFonts w:ascii="Arial" w:hAnsi="Arial" w:cs="Arial"/>
                <w:color w:val="000000"/>
                <w:sz w:val="16"/>
                <w:szCs w:val="16"/>
              </w:rPr>
            </w:pPr>
            <w:r w:rsidRPr="00334E75">
              <w:rPr>
                <w:rFonts w:ascii="Arial" w:hAnsi="Arial" w:cs="Arial"/>
                <w:color w:val="000000"/>
                <w:sz w:val="16"/>
                <w:szCs w:val="16"/>
              </w:rPr>
              <w:t>7</w:t>
            </w:r>
          </w:p>
        </w:tc>
        <w:tc>
          <w:tcPr>
            <w:tcW w:w="810" w:type="dxa"/>
            <w:tcBorders>
              <w:top w:val="nil"/>
              <w:left w:val="nil"/>
              <w:bottom w:val="single" w:sz="4" w:space="0" w:color="auto"/>
              <w:right w:val="single" w:sz="4" w:space="0" w:color="auto"/>
            </w:tcBorders>
            <w:vAlign w:val="center"/>
            <w:hideMark/>
          </w:tcPr>
          <w:p w:rsidR="000711AD" w:rsidRPr="00334E75" w14:paraId="030BA826" w14:textId="6F08B895">
            <w:pPr>
              <w:jc w:val="right"/>
              <w:rPr>
                <w:rFonts w:ascii="Arial" w:hAnsi="Arial" w:cs="Arial"/>
                <w:color w:val="000000"/>
                <w:sz w:val="16"/>
                <w:szCs w:val="16"/>
              </w:rPr>
            </w:pPr>
            <w:r>
              <w:rPr>
                <w:rFonts w:ascii="Arial" w:hAnsi="Arial" w:cs="Arial"/>
                <w:color w:val="000000"/>
                <w:sz w:val="16"/>
                <w:szCs w:val="16"/>
              </w:rPr>
              <w:t>14</w:t>
            </w:r>
          </w:p>
        </w:tc>
      </w:tr>
      <w:tr w14:paraId="7F5E5F06" w14:textId="77777777" w:rsidTr="0094771C">
        <w:tblPrEx>
          <w:tblW w:w="10029" w:type="dxa"/>
          <w:tblInd w:w="-5" w:type="dxa"/>
          <w:tblLook w:val="04A0"/>
        </w:tblPrEx>
        <w:trPr>
          <w:trHeight w:val="765"/>
        </w:trPr>
        <w:tc>
          <w:tcPr>
            <w:tcW w:w="1124" w:type="dxa"/>
            <w:tcBorders>
              <w:top w:val="nil"/>
              <w:left w:val="single" w:sz="4" w:space="0" w:color="auto"/>
              <w:bottom w:val="single" w:sz="4" w:space="0" w:color="auto"/>
              <w:right w:val="single" w:sz="4" w:space="0" w:color="auto"/>
            </w:tcBorders>
            <w:vAlign w:val="center"/>
            <w:hideMark/>
          </w:tcPr>
          <w:p w:rsidR="000711AD" w:rsidRPr="00334E75" w14:paraId="05183C22" w14:textId="77777777">
            <w:pPr>
              <w:rPr>
                <w:rFonts w:ascii="Arial" w:hAnsi="Arial" w:cs="Arial"/>
                <w:color w:val="000000"/>
                <w:sz w:val="16"/>
                <w:szCs w:val="16"/>
              </w:rPr>
            </w:pPr>
            <w:r w:rsidRPr="00334E75">
              <w:rPr>
                <w:rFonts w:ascii="Arial" w:hAnsi="Arial" w:cs="Arial"/>
                <w:color w:val="000000"/>
                <w:sz w:val="16"/>
                <w:szCs w:val="16"/>
              </w:rPr>
              <w:t>708b.206(b)</w:t>
            </w:r>
          </w:p>
        </w:tc>
        <w:tc>
          <w:tcPr>
            <w:tcW w:w="2749" w:type="dxa"/>
            <w:tcBorders>
              <w:top w:val="nil"/>
              <w:left w:val="nil"/>
              <w:bottom w:val="single" w:sz="4" w:space="0" w:color="auto"/>
              <w:right w:val="single" w:sz="4" w:space="0" w:color="auto"/>
            </w:tcBorders>
            <w:vAlign w:val="center"/>
            <w:hideMark/>
          </w:tcPr>
          <w:p w:rsidR="000711AD" w:rsidRPr="00334E75" w14:paraId="0DC79A87" w14:textId="77777777">
            <w:pPr>
              <w:rPr>
                <w:rFonts w:ascii="Arial" w:hAnsi="Arial" w:cs="Arial"/>
                <w:color w:val="000000"/>
                <w:sz w:val="16"/>
                <w:szCs w:val="16"/>
              </w:rPr>
            </w:pPr>
            <w:r w:rsidRPr="00334E75">
              <w:rPr>
                <w:rFonts w:ascii="Arial" w:hAnsi="Arial" w:cs="Arial"/>
                <w:color w:val="000000"/>
                <w:sz w:val="16"/>
                <w:szCs w:val="16"/>
              </w:rPr>
              <w:t>Provide the required insurance disclosures in other communication that the credit union plans to send its members</w:t>
            </w:r>
          </w:p>
        </w:tc>
        <w:tc>
          <w:tcPr>
            <w:tcW w:w="987" w:type="dxa"/>
            <w:tcBorders>
              <w:top w:val="nil"/>
              <w:left w:val="nil"/>
              <w:bottom w:val="single" w:sz="4" w:space="0" w:color="auto"/>
              <w:right w:val="single" w:sz="4" w:space="0" w:color="auto"/>
            </w:tcBorders>
            <w:vAlign w:val="center"/>
            <w:hideMark/>
          </w:tcPr>
          <w:p w:rsidR="000711AD" w:rsidRPr="00334E75" w14:paraId="3D7FED08" w14:textId="77777777">
            <w:pPr>
              <w:rPr>
                <w:rFonts w:ascii="Arial" w:hAnsi="Arial" w:cs="Arial"/>
                <w:color w:val="000000"/>
                <w:sz w:val="16"/>
                <w:szCs w:val="16"/>
              </w:rPr>
            </w:pPr>
            <w:r w:rsidRPr="00334E75">
              <w:rPr>
                <w:rFonts w:ascii="Arial" w:hAnsi="Arial" w:cs="Arial"/>
                <w:color w:val="000000"/>
                <w:sz w:val="16"/>
                <w:szCs w:val="16"/>
              </w:rPr>
              <w:t>Third-party disclosure</w:t>
            </w:r>
          </w:p>
        </w:tc>
        <w:tc>
          <w:tcPr>
            <w:tcW w:w="1365" w:type="dxa"/>
            <w:tcBorders>
              <w:top w:val="nil"/>
              <w:left w:val="nil"/>
              <w:bottom w:val="single" w:sz="4" w:space="0" w:color="auto"/>
              <w:right w:val="single" w:sz="4" w:space="0" w:color="auto"/>
            </w:tcBorders>
            <w:vAlign w:val="center"/>
            <w:hideMark/>
          </w:tcPr>
          <w:p w:rsidR="000711AD" w:rsidRPr="00334E75" w14:paraId="6FB52A63" w14:textId="3C9E1434">
            <w:pPr>
              <w:jc w:val="right"/>
              <w:rPr>
                <w:rFonts w:ascii="Arial" w:hAnsi="Arial" w:cs="Arial"/>
                <w:color w:val="000000"/>
                <w:sz w:val="16"/>
                <w:szCs w:val="16"/>
              </w:rPr>
            </w:pPr>
            <w:r>
              <w:rPr>
                <w:rFonts w:ascii="Arial" w:hAnsi="Arial" w:cs="Arial"/>
                <w:color w:val="000000"/>
                <w:sz w:val="16"/>
                <w:szCs w:val="16"/>
              </w:rPr>
              <w:t>2</w:t>
            </w:r>
          </w:p>
        </w:tc>
        <w:tc>
          <w:tcPr>
            <w:tcW w:w="924" w:type="dxa"/>
            <w:tcBorders>
              <w:top w:val="nil"/>
              <w:left w:val="nil"/>
              <w:bottom w:val="single" w:sz="4" w:space="0" w:color="auto"/>
              <w:right w:val="single" w:sz="4" w:space="0" w:color="auto"/>
            </w:tcBorders>
            <w:vAlign w:val="center"/>
            <w:hideMark/>
          </w:tcPr>
          <w:p w:rsidR="000711AD" w:rsidRPr="00334E75" w14:paraId="14281A0B" w14:textId="77777777">
            <w:pPr>
              <w:jc w:val="right"/>
              <w:rPr>
                <w:rFonts w:ascii="Arial" w:hAnsi="Arial" w:cs="Arial"/>
                <w:color w:val="000000"/>
                <w:sz w:val="16"/>
                <w:szCs w:val="16"/>
              </w:rPr>
            </w:pPr>
            <w:r w:rsidRPr="00334E75">
              <w:rPr>
                <w:rFonts w:ascii="Arial" w:hAnsi="Arial" w:cs="Arial"/>
                <w:color w:val="000000"/>
                <w:sz w:val="16"/>
                <w:szCs w:val="16"/>
              </w:rPr>
              <w:t>1</w:t>
            </w:r>
          </w:p>
        </w:tc>
        <w:tc>
          <w:tcPr>
            <w:tcW w:w="1143" w:type="dxa"/>
            <w:tcBorders>
              <w:top w:val="nil"/>
              <w:left w:val="nil"/>
              <w:bottom w:val="single" w:sz="4" w:space="0" w:color="auto"/>
              <w:right w:val="single" w:sz="4" w:space="0" w:color="auto"/>
            </w:tcBorders>
            <w:vAlign w:val="center"/>
            <w:hideMark/>
          </w:tcPr>
          <w:p w:rsidR="000711AD" w:rsidRPr="00334E75" w14:paraId="617BD80F" w14:textId="1779F445">
            <w:pPr>
              <w:jc w:val="right"/>
              <w:rPr>
                <w:rFonts w:ascii="Arial" w:hAnsi="Arial" w:cs="Arial"/>
                <w:color w:val="000000"/>
                <w:sz w:val="16"/>
                <w:szCs w:val="16"/>
              </w:rPr>
            </w:pPr>
            <w:r>
              <w:rPr>
                <w:rFonts w:ascii="Arial" w:hAnsi="Arial" w:cs="Arial"/>
                <w:color w:val="000000"/>
                <w:sz w:val="16"/>
                <w:szCs w:val="16"/>
              </w:rPr>
              <w:t>2</w:t>
            </w:r>
          </w:p>
        </w:tc>
        <w:tc>
          <w:tcPr>
            <w:tcW w:w="927" w:type="dxa"/>
            <w:tcBorders>
              <w:top w:val="nil"/>
              <w:left w:val="nil"/>
              <w:bottom w:val="single" w:sz="4" w:space="0" w:color="auto"/>
              <w:right w:val="single" w:sz="4" w:space="0" w:color="auto"/>
            </w:tcBorders>
            <w:vAlign w:val="center"/>
            <w:hideMark/>
          </w:tcPr>
          <w:p w:rsidR="000711AD" w:rsidRPr="00334E75" w14:paraId="671C9CE6" w14:textId="77777777">
            <w:pPr>
              <w:jc w:val="right"/>
              <w:rPr>
                <w:rFonts w:ascii="Arial" w:hAnsi="Arial" w:cs="Arial"/>
                <w:color w:val="000000"/>
                <w:sz w:val="16"/>
                <w:szCs w:val="16"/>
              </w:rPr>
            </w:pPr>
            <w:r w:rsidRPr="00334E75">
              <w:rPr>
                <w:rFonts w:ascii="Arial" w:hAnsi="Arial" w:cs="Arial"/>
                <w:color w:val="000000"/>
                <w:sz w:val="16"/>
                <w:szCs w:val="16"/>
              </w:rPr>
              <w:t>2</w:t>
            </w:r>
          </w:p>
        </w:tc>
        <w:tc>
          <w:tcPr>
            <w:tcW w:w="810" w:type="dxa"/>
            <w:tcBorders>
              <w:top w:val="nil"/>
              <w:left w:val="nil"/>
              <w:bottom w:val="single" w:sz="4" w:space="0" w:color="auto"/>
              <w:right w:val="single" w:sz="4" w:space="0" w:color="auto"/>
            </w:tcBorders>
            <w:vAlign w:val="center"/>
            <w:hideMark/>
          </w:tcPr>
          <w:p w:rsidR="000711AD" w:rsidRPr="00334E75" w14:paraId="4FBC2182" w14:textId="3C9CCBB1">
            <w:pPr>
              <w:jc w:val="right"/>
              <w:rPr>
                <w:rFonts w:ascii="Arial" w:hAnsi="Arial" w:cs="Arial"/>
                <w:color w:val="000000"/>
                <w:sz w:val="16"/>
                <w:szCs w:val="16"/>
              </w:rPr>
            </w:pPr>
            <w:r>
              <w:rPr>
                <w:rFonts w:ascii="Arial" w:hAnsi="Arial" w:cs="Arial"/>
                <w:color w:val="000000"/>
                <w:sz w:val="16"/>
                <w:szCs w:val="16"/>
              </w:rPr>
              <w:t>4</w:t>
            </w:r>
          </w:p>
        </w:tc>
      </w:tr>
      <w:tr w14:paraId="42FA5A25" w14:textId="77777777" w:rsidTr="0094771C">
        <w:tblPrEx>
          <w:tblW w:w="10029" w:type="dxa"/>
          <w:tblInd w:w="-5" w:type="dxa"/>
          <w:tblLook w:val="04A0"/>
        </w:tblPrEx>
        <w:trPr>
          <w:trHeight w:val="315"/>
        </w:trPr>
        <w:tc>
          <w:tcPr>
            <w:tcW w:w="1124" w:type="dxa"/>
            <w:tcBorders>
              <w:top w:val="nil"/>
              <w:left w:val="single" w:sz="4" w:space="0" w:color="auto"/>
              <w:bottom w:val="single" w:sz="4" w:space="0" w:color="auto"/>
              <w:right w:val="single" w:sz="4" w:space="0" w:color="auto"/>
            </w:tcBorders>
            <w:vAlign w:val="center"/>
            <w:hideMark/>
          </w:tcPr>
          <w:p w:rsidR="000711AD" w:rsidRPr="00334E75" w14:paraId="62707179" w14:textId="77777777">
            <w:pPr>
              <w:rPr>
                <w:rFonts w:ascii="Arial" w:hAnsi="Arial" w:cs="Arial"/>
                <w:color w:val="000000"/>
                <w:sz w:val="16"/>
                <w:szCs w:val="16"/>
              </w:rPr>
            </w:pPr>
            <w:r w:rsidRPr="00334E75">
              <w:rPr>
                <w:rFonts w:ascii="Arial" w:hAnsi="Arial" w:cs="Arial"/>
                <w:color w:val="000000"/>
                <w:sz w:val="16"/>
                <w:szCs w:val="16"/>
              </w:rPr>
              <w:t>708b.301(d)</w:t>
            </w:r>
          </w:p>
        </w:tc>
        <w:tc>
          <w:tcPr>
            <w:tcW w:w="2749" w:type="dxa"/>
            <w:tcBorders>
              <w:top w:val="nil"/>
              <w:left w:val="nil"/>
              <w:bottom w:val="single" w:sz="4" w:space="0" w:color="auto"/>
              <w:right w:val="single" w:sz="4" w:space="0" w:color="auto"/>
            </w:tcBorders>
            <w:vAlign w:val="center"/>
            <w:hideMark/>
          </w:tcPr>
          <w:p w:rsidR="000711AD" w:rsidRPr="00334E75" w14:paraId="0EBE1862" w14:textId="77777777">
            <w:pPr>
              <w:rPr>
                <w:rFonts w:ascii="Arial" w:hAnsi="Arial" w:cs="Arial"/>
                <w:color w:val="000000"/>
                <w:sz w:val="16"/>
                <w:szCs w:val="16"/>
              </w:rPr>
            </w:pPr>
            <w:r w:rsidRPr="00334E75">
              <w:rPr>
                <w:rFonts w:ascii="Arial" w:hAnsi="Arial" w:cs="Arial"/>
                <w:color w:val="000000"/>
                <w:sz w:val="16"/>
                <w:szCs w:val="16"/>
              </w:rPr>
              <w:t>Notify NCUA of the results of the conversion vote</w:t>
            </w:r>
          </w:p>
        </w:tc>
        <w:tc>
          <w:tcPr>
            <w:tcW w:w="987" w:type="dxa"/>
            <w:tcBorders>
              <w:top w:val="nil"/>
              <w:left w:val="nil"/>
              <w:bottom w:val="single" w:sz="4" w:space="0" w:color="auto"/>
              <w:right w:val="single" w:sz="4" w:space="0" w:color="auto"/>
            </w:tcBorders>
            <w:vAlign w:val="center"/>
            <w:hideMark/>
          </w:tcPr>
          <w:p w:rsidR="000711AD" w:rsidRPr="00334E75" w14:paraId="2DBA30E2" w14:textId="77777777">
            <w:pPr>
              <w:rPr>
                <w:rFonts w:ascii="Arial" w:hAnsi="Arial" w:cs="Arial"/>
                <w:color w:val="000000"/>
                <w:sz w:val="16"/>
                <w:szCs w:val="16"/>
              </w:rPr>
            </w:pPr>
            <w:r w:rsidRPr="00334E75">
              <w:rPr>
                <w:rFonts w:ascii="Arial" w:hAnsi="Arial" w:cs="Arial"/>
                <w:color w:val="000000"/>
                <w:sz w:val="16"/>
                <w:szCs w:val="16"/>
              </w:rPr>
              <w:t>Reporting</w:t>
            </w:r>
          </w:p>
        </w:tc>
        <w:tc>
          <w:tcPr>
            <w:tcW w:w="1365" w:type="dxa"/>
            <w:tcBorders>
              <w:top w:val="nil"/>
              <w:left w:val="nil"/>
              <w:bottom w:val="single" w:sz="4" w:space="0" w:color="auto"/>
              <w:right w:val="single" w:sz="4" w:space="0" w:color="auto"/>
            </w:tcBorders>
            <w:vAlign w:val="center"/>
            <w:hideMark/>
          </w:tcPr>
          <w:p w:rsidR="000711AD" w:rsidRPr="00334E75" w14:paraId="5AF21A4D" w14:textId="663F09DC">
            <w:pPr>
              <w:jc w:val="right"/>
              <w:rPr>
                <w:rFonts w:ascii="Arial" w:hAnsi="Arial" w:cs="Arial"/>
                <w:color w:val="000000"/>
                <w:sz w:val="16"/>
                <w:szCs w:val="16"/>
              </w:rPr>
            </w:pPr>
            <w:r>
              <w:rPr>
                <w:rFonts w:ascii="Arial" w:hAnsi="Arial" w:cs="Arial"/>
                <w:color w:val="000000"/>
                <w:sz w:val="16"/>
                <w:szCs w:val="16"/>
              </w:rPr>
              <w:t>2</w:t>
            </w:r>
          </w:p>
        </w:tc>
        <w:tc>
          <w:tcPr>
            <w:tcW w:w="924" w:type="dxa"/>
            <w:tcBorders>
              <w:top w:val="nil"/>
              <w:left w:val="nil"/>
              <w:bottom w:val="single" w:sz="4" w:space="0" w:color="auto"/>
              <w:right w:val="single" w:sz="4" w:space="0" w:color="auto"/>
            </w:tcBorders>
            <w:vAlign w:val="center"/>
            <w:hideMark/>
          </w:tcPr>
          <w:p w:rsidR="000711AD" w:rsidRPr="00334E75" w14:paraId="14E7F1C3" w14:textId="77777777">
            <w:pPr>
              <w:jc w:val="right"/>
              <w:rPr>
                <w:rFonts w:ascii="Arial" w:hAnsi="Arial" w:cs="Arial"/>
                <w:color w:val="000000"/>
                <w:sz w:val="16"/>
                <w:szCs w:val="16"/>
              </w:rPr>
            </w:pPr>
            <w:r w:rsidRPr="00334E75">
              <w:rPr>
                <w:rFonts w:ascii="Arial" w:hAnsi="Arial" w:cs="Arial"/>
                <w:color w:val="000000"/>
                <w:sz w:val="16"/>
                <w:szCs w:val="16"/>
              </w:rPr>
              <w:t>1</w:t>
            </w:r>
          </w:p>
        </w:tc>
        <w:tc>
          <w:tcPr>
            <w:tcW w:w="1143" w:type="dxa"/>
            <w:tcBorders>
              <w:top w:val="nil"/>
              <w:left w:val="nil"/>
              <w:bottom w:val="single" w:sz="4" w:space="0" w:color="auto"/>
              <w:right w:val="single" w:sz="4" w:space="0" w:color="auto"/>
            </w:tcBorders>
            <w:vAlign w:val="center"/>
            <w:hideMark/>
          </w:tcPr>
          <w:p w:rsidR="000711AD" w:rsidRPr="00334E75" w14:paraId="21328DFF" w14:textId="1B6A1E7B">
            <w:pPr>
              <w:jc w:val="right"/>
              <w:rPr>
                <w:rFonts w:ascii="Arial" w:hAnsi="Arial" w:cs="Arial"/>
                <w:color w:val="000000"/>
                <w:sz w:val="16"/>
                <w:szCs w:val="16"/>
              </w:rPr>
            </w:pPr>
            <w:r>
              <w:rPr>
                <w:rFonts w:ascii="Arial" w:hAnsi="Arial" w:cs="Arial"/>
                <w:color w:val="000000"/>
                <w:sz w:val="16"/>
                <w:szCs w:val="16"/>
              </w:rPr>
              <w:t>2</w:t>
            </w:r>
          </w:p>
        </w:tc>
        <w:tc>
          <w:tcPr>
            <w:tcW w:w="927" w:type="dxa"/>
            <w:tcBorders>
              <w:top w:val="nil"/>
              <w:left w:val="nil"/>
              <w:bottom w:val="single" w:sz="4" w:space="0" w:color="auto"/>
              <w:right w:val="single" w:sz="4" w:space="0" w:color="auto"/>
            </w:tcBorders>
            <w:vAlign w:val="center"/>
            <w:hideMark/>
          </w:tcPr>
          <w:p w:rsidR="000711AD" w:rsidRPr="00334E75" w14:paraId="2B7E4668" w14:textId="77777777">
            <w:pPr>
              <w:jc w:val="right"/>
              <w:rPr>
                <w:rFonts w:ascii="Arial" w:hAnsi="Arial" w:cs="Arial"/>
                <w:color w:val="000000"/>
                <w:sz w:val="16"/>
                <w:szCs w:val="16"/>
              </w:rPr>
            </w:pPr>
            <w:r w:rsidRPr="00334E75">
              <w:rPr>
                <w:rFonts w:ascii="Arial" w:hAnsi="Arial" w:cs="Arial"/>
                <w:color w:val="000000"/>
                <w:sz w:val="16"/>
                <w:szCs w:val="16"/>
              </w:rPr>
              <w:t>1</w:t>
            </w:r>
          </w:p>
        </w:tc>
        <w:tc>
          <w:tcPr>
            <w:tcW w:w="810" w:type="dxa"/>
            <w:tcBorders>
              <w:top w:val="nil"/>
              <w:left w:val="nil"/>
              <w:bottom w:val="single" w:sz="4" w:space="0" w:color="auto"/>
              <w:right w:val="single" w:sz="4" w:space="0" w:color="auto"/>
            </w:tcBorders>
            <w:vAlign w:val="center"/>
            <w:hideMark/>
          </w:tcPr>
          <w:p w:rsidR="000711AD" w:rsidRPr="00334E75" w14:paraId="265FC44C" w14:textId="51201B31">
            <w:pPr>
              <w:jc w:val="right"/>
              <w:rPr>
                <w:rFonts w:ascii="Arial" w:hAnsi="Arial" w:cs="Arial"/>
                <w:color w:val="000000"/>
                <w:sz w:val="16"/>
                <w:szCs w:val="16"/>
              </w:rPr>
            </w:pPr>
            <w:r>
              <w:rPr>
                <w:rFonts w:ascii="Arial" w:hAnsi="Arial" w:cs="Arial"/>
                <w:color w:val="000000"/>
                <w:sz w:val="16"/>
                <w:szCs w:val="16"/>
              </w:rPr>
              <w:t>2</w:t>
            </w:r>
          </w:p>
        </w:tc>
      </w:tr>
      <w:tr w14:paraId="16EF99FA" w14:textId="77777777" w:rsidTr="0094771C">
        <w:tblPrEx>
          <w:tblW w:w="10029" w:type="dxa"/>
          <w:tblInd w:w="-5" w:type="dxa"/>
          <w:tblLook w:val="04A0"/>
        </w:tblPrEx>
        <w:trPr>
          <w:trHeight w:val="525"/>
        </w:trPr>
        <w:tc>
          <w:tcPr>
            <w:tcW w:w="1124" w:type="dxa"/>
            <w:tcBorders>
              <w:top w:val="nil"/>
              <w:left w:val="single" w:sz="4" w:space="0" w:color="auto"/>
              <w:bottom w:val="single" w:sz="8" w:space="0" w:color="auto"/>
              <w:right w:val="single" w:sz="4" w:space="0" w:color="auto"/>
            </w:tcBorders>
            <w:vAlign w:val="center"/>
            <w:hideMark/>
          </w:tcPr>
          <w:p w:rsidR="000711AD" w:rsidRPr="00334E75" w14:paraId="196122AC" w14:textId="77777777">
            <w:pPr>
              <w:rPr>
                <w:rFonts w:ascii="Arial" w:hAnsi="Arial" w:cs="Arial"/>
                <w:color w:val="000000"/>
                <w:sz w:val="16"/>
                <w:szCs w:val="16"/>
              </w:rPr>
            </w:pPr>
            <w:r w:rsidRPr="00334E75">
              <w:rPr>
                <w:rFonts w:ascii="Arial" w:hAnsi="Arial" w:cs="Arial"/>
                <w:color w:val="000000"/>
                <w:sz w:val="16"/>
                <w:szCs w:val="16"/>
              </w:rPr>
              <w:t>708b.204(c)</w:t>
            </w:r>
          </w:p>
        </w:tc>
        <w:tc>
          <w:tcPr>
            <w:tcW w:w="2749" w:type="dxa"/>
            <w:tcBorders>
              <w:top w:val="nil"/>
              <w:left w:val="nil"/>
              <w:bottom w:val="single" w:sz="8" w:space="0" w:color="auto"/>
              <w:right w:val="single" w:sz="4" w:space="0" w:color="auto"/>
            </w:tcBorders>
            <w:vAlign w:val="center"/>
            <w:hideMark/>
          </w:tcPr>
          <w:p w:rsidR="000711AD" w:rsidRPr="00334E75" w14:paraId="3E7BE32C" w14:textId="77777777">
            <w:pPr>
              <w:rPr>
                <w:rFonts w:ascii="Arial" w:hAnsi="Arial" w:cs="Arial"/>
                <w:color w:val="000000"/>
                <w:sz w:val="16"/>
                <w:szCs w:val="16"/>
              </w:rPr>
            </w:pPr>
            <w:r w:rsidRPr="00334E75">
              <w:rPr>
                <w:rFonts w:ascii="Arial" w:hAnsi="Arial" w:cs="Arial"/>
                <w:color w:val="000000"/>
                <w:sz w:val="16"/>
                <w:szCs w:val="16"/>
              </w:rPr>
              <w:t>Provide members notice of conversion of insurance</w:t>
            </w:r>
          </w:p>
        </w:tc>
        <w:tc>
          <w:tcPr>
            <w:tcW w:w="987" w:type="dxa"/>
            <w:tcBorders>
              <w:top w:val="nil"/>
              <w:left w:val="nil"/>
              <w:bottom w:val="single" w:sz="8" w:space="0" w:color="auto"/>
              <w:right w:val="single" w:sz="4" w:space="0" w:color="auto"/>
            </w:tcBorders>
            <w:vAlign w:val="center"/>
            <w:hideMark/>
          </w:tcPr>
          <w:p w:rsidR="000711AD" w:rsidRPr="00334E75" w14:paraId="31C6DBC9" w14:textId="77777777">
            <w:pPr>
              <w:rPr>
                <w:rFonts w:ascii="Arial" w:hAnsi="Arial" w:cs="Arial"/>
                <w:color w:val="000000"/>
                <w:sz w:val="16"/>
                <w:szCs w:val="16"/>
              </w:rPr>
            </w:pPr>
            <w:r w:rsidRPr="00334E75">
              <w:rPr>
                <w:rFonts w:ascii="Arial" w:hAnsi="Arial" w:cs="Arial"/>
                <w:color w:val="000000"/>
                <w:sz w:val="16"/>
                <w:szCs w:val="16"/>
              </w:rPr>
              <w:t>Third-party disclosure</w:t>
            </w:r>
          </w:p>
        </w:tc>
        <w:tc>
          <w:tcPr>
            <w:tcW w:w="1365" w:type="dxa"/>
            <w:tcBorders>
              <w:top w:val="nil"/>
              <w:left w:val="nil"/>
              <w:bottom w:val="single" w:sz="8" w:space="0" w:color="auto"/>
              <w:right w:val="single" w:sz="4" w:space="0" w:color="auto"/>
            </w:tcBorders>
            <w:vAlign w:val="center"/>
            <w:hideMark/>
          </w:tcPr>
          <w:p w:rsidR="000711AD" w:rsidRPr="00334E75" w14:paraId="34EA8ED4" w14:textId="57BFFDB7">
            <w:pPr>
              <w:jc w:val="right"/>
              <w:rPr>
                <w:rFonts w:ascii="Arial" w:hAnsi="Arial" w:cs="Arial"/>
                <w:color w:val="000000"/>
                <w:sz w:val="16"/>
                <w:szCs w:val="16"/>
              </w:rPr>
            </w:pPr>
            <w:r>
              <w:rPr>
                <w:rFonts w:ascii="Arial" w:hAnsi="Arial" w:cs="Arial"/>
                <w:color w:val="000000"/>
                <w:sz w:val="16"/>
                <w:szCs w:val="16"/>
              </w:rPr>
              <w:t>2</w:t>
            </w:r>
          </w:p>
        </w:tc>
        <w:tc>
          <w:tcPr>
            <w:tcW w:w="924" w:type="dxa"/>
            <w:tcBorders>
              <w:top w:val="nil"/>
              <w:left w:val="nil"/>
              <w:bottom w:val="single" w:sz="8" w:space="0" w:color="auto"/>
              <w:right w:val="single" w:sz="4" w:space="0" w:color="auto"/>
            </w:tcBorders>
            <w:vAlign w:val="center"/>
            <w:hideMark/>
          </w:tcPr>
          <w:p w:rsidR="000711AD" w:rsidRPr="00334E75" w14:paraId="25762891" w14:textId="77777777">
            <w:pPr>
              <w:jc w:val="right"/>
              <w:rPr>
                <w:rFonts w:ascii="Arial" w:hAnsi="Arial" w:cs="Arial"/>
                <w:color w:val="000000"/>
                <w:sz w:val="16"/>
                <w:szCs w:val="16"/>
              </w:rPr>
            </w:pPr>
            <w:r w:rsidRPr="00334E75">
              <w:rPr>
                <w:rFonts w:ascii="Arial" w:hAnsi="Arial" w:cs="Arial"/>
                <w:color w:val="000000"/>
                <w:sz w:val="16"/>
                <w:szCs w:val="16"/>
              </w:rPr>
              <w:t>1</w:t>
            </w:r>
          </w:p>
        </w:tc>
        <w:tc>
          <w:tcPr>
            <w:tcW w:w="1143" w:type="dxa"/>
            <w:tcBorders>
              <w:top w:val="nil"/>
              <w:left w:val="nil"/>
              <w:bottom w:val="single" w:sz="8" w:space="0" w:color="auto"/>
              <w:right w:val="single" w:sz="4" w:space="0" w:color="auto"/>
            </w:tcBorders>
            <w:vAlign w:val="center"/>
            <w:hideMark/>
          </w:tcPr>
          <w:p w:rsidR="000711AD" w:rsidRPr="00334E75" w14:paraId="40FF1C71" w14:textId="7B754A4A">
            <w:pPr>
              <w:jc w:val="right"/>
              <w:rPr>
                <w:rFonts w:ascii="Arial" w:hAnsi="Arial" w:cs="Arial"/>
                <w:color w:val="000000"/>
                <w:sz w:val="16"/>
                <w:szCs w:val="16"/>
              </w:rPr>
            </w:pPr>
            <w:r>
              <w:rPr>
                <w:rFonts w:ascii="Arial" w:hAnsi="Arial" w:cs="Arial"/>
                <w:color w:val="000000"/>
                <w:sz w:val="16"/>
                <w:szCs w:val="16"/>
              </w:rPr>
              <w:t>2</w:t>
            </w:r>
          </w:p>
        </w:tc>
        <w:tc>
          <w:tcPr>
            <w:tcW w:w="927" w:type="dxa"/>
            <w:tcBorders>
              <w:top w:val="nil"/>
              <w:left w:val="nil"/>
              <w:bottom w:val="single" w:sz="8" w:space="0" w:color="auto"/>
              <w:right w:val="single" w:sz="4" w:space="0" w:color="auto"/>
            </w:tcBorders>
            <w:vAlign w:val="center"/>
            <w:hideMark/>
          </w:tcPr>
          <w:p w:rsidR="000711AD" w:rsidRPr="00334E75" w14:paraId="15F2E5C2" w14:textId="77777777">
            <w:pPr>
              <w:jc w:val="right"/>
              <w:rPr>
                <w:rFonts w:ascii="Arial" w:hAnsi="Arial" w:cs="Arial"/>
                <w:color w:val="000000"/>
                <w:sz w:val="16"/>
                <w:szCs w:val="16"/>
              </w:rPr>
            </w:pPr>
            <w:r w:rsidRPr="00334E75">
              <w:rPr>
                <w:rFonts w:ascii="Arial" w:hAnsi="Arial" w:cs="Arial"/>
                <w:color w:val="000000"/>
                <w:sz w:val="16"/>
                <w:szCs w:val="16"/>
              </w:rPr>
              <w:t>1</w:t>
            </w:r>
          </w:p>
        </w:tc>
        <w:tc>
          <w:tcPr>
            <w:tcW w:w="810" w:type="dxa"/>
            <w:tcBorders>
              <w:top w:val="nil"/>
              <w:left w:val="nil"/>
              <w:bottom w:val="single" w:sz="8" w:space="0" w:color="auto"/>
              <w:right w:val="single" w:sz="4" w:space="0" w:color="auto"/>
            </w:tcBorders>
            <w:vAlign w:val="center"/>
            <w:hideMark/>
          </w:tcPr>
          <w:p w:rsidR="000711AD" w:rsidRPr="00334E75" w14:paraId="2264FAA0" w14:textId="5DAFFFE7">
            <w:pPr>
              <w:jc w:val="right"/>
              <w:rPr>
                <w:rFonts w:ascii="Arial" w:hAnsi="Arial" w:cs="Arial"/>
                <w:color w:val="000000"/>
                <w:sz w:val="16"/>
                <w:szCs w:val="16"/>
              </w:rPr>
            </w:pPr>
            <w:r>
              <w:rPr>
                <w:rFonts w:ascii="Arial" w:hAnsi="Arial" w:cs="Arial"/>
                <w:color w:val="000000"/>
                <w:sz w:val="16"/>
                <w:szCs w:val="16"/>
              </w:rPr>
              <w:t>2</w:t>
            </w:r>
          </w:p>
        </w:tc>
      </w:tr>
      <w:tr w14:paraId="4C6C2F32" w14:textId="77777777" w:rsidTr="00DA6579">
        <w:tblPrEx>
          <w:tblW w:w="10029" w:type="dxa"/>
          <w:tblInd w:w="-5" w:type="dxa"/>
          <w:tblLook w:val="04A0"/>
        </w:tblPrEx>
        <w:trPr>
          <w:trHeight w:val="375"/>
        </w:trPr>
        <w:tc>
          <w:tcPr>
            <w:tcW w:w="4860" w:type="dxa"/>
            <w:gridSpan w:val="3"/>
            <w:tcBorders>
              <w:top w:val="single" w:sz="8" w:space="0" w:color="auto"/>
              <w:left w:val="single" w:sz="4" w:space="0" w:color="auto"/>
              <w:bottom w:val="single" w:sz="4" w:space="0" w:color="auto"/>
              <w:right w:val="single" w:sz="4" w:space="0" w:color="000000"/>
            </w:tcBorders>
            <w:noWrap/>
            <w:vAlign w:val="center"/>
            <w:hideMark/>
          </w:tcPr>
          <w:p w:rsidR="000711AD" w:rsidRPr="00334E75" w14:paraId="00F2DB19" w14:textId="77777777">
            <w:pPr>
              <w:jc w:val="right"/>
              <w:rPr>
                <w:rFonts w:ascii="Arial" w:hAnsi="Arial" w:cs="Arial"/>
                <w:color w:val="000000"/>
                <w:sz w:val="16"/>
                <w:szCs w:val="16"/>
              </w:rPr>
            </w:pPr>
            <w:r w:rsidRPr="00334E75">
              <w:rPr>
                <w:rFonts w:ascii="Arial" w:hAnsi="Arial" w:cs="Arial"/>
                <w:color w:val="000000"/>
                <w:sz w:val="16"/>
                <w:szCs w:val="16"/>
              </w:rPr>
              <w:t>TOTAL</w:t>
            </w:r>
          </w:p>
        </w:tc>
        <w:tc>
          <w:tcPr>
            <w:tcW w:w="1365" w:type="dxa"/>
            <w:tcBorders>
              <w:top w:val="nil"/>
              <w:left w:val="nil"/>
              <w:bottom w:val="single" w:sz="4" w:space="0" w:color="auto"/>
              <w:right w:val="single" w:sz="4" w:space="0" w:color="auto"/>
            </w:tcBorders>
            <w:noWrap/>
            <w:vAlign w:val="center"/>
            <w:hideMark/>
          </w:tcPr>
          <w:p w:rsidR="000711AD" w:rsidRPr="00334E75" w14:paraId="7FCC084C" w14:textId="43F9270C">
            <w:pPr>
              <w:jc w:val="right"/>
              <w:rPr>
                <w:rFonts w:ascii="Arial" w:hAnsi="Arial" w:cs="Arial"/>
                <w:color w:val="000000"/>
                <w:sz w:val="16"/>
                <w:szCs w:val="16"/>
              </w:rPr>
            </w:pPr>
            <w:r>
              <w:rPr>
                <w:rFonts w:ascii="Arial" w:hAnsi="Arial" w:cs="Arial"/>
                <w:color w:val="000000"/>
                <w:sz w:val="16"/>
                <w:szCs w:val="16"/>
              </w:rPr>
              <w:t>2</w:t>
            </w:r>
          </w:p>
        </w:tc>
        <w:tc>
          <w:tcPr>
            <w:tcW w:w="924" w:type="dxa"/>
            <w:tcBorders>
              <w:top w:val="nil"/>
              <w:left w:val="nil"/>
              <w:bottom w:val="single" w:sz="4" w:space="0" w:color="auto"/>
              <w:right w:val="single" w:sz="4" w:space="0" w:color="auto"/>
            </w:tcBorders>
            <w:shd w:val="clear" w:color="auto" w:fill="262626" w:themeFill="text1" w:themeFillTint="D9"/>
            <w:noWrap/>
            <w:vAlign w:val="center"/>
            <w:hideMark/>
          </w:tcPr>
          <w:p w:rsidR="000711AD" w:rsidRPr="00334E75" w14:paraId="516750FB" w14:textId="5AFB005B">
            <w:pPr>
              <w:jc w:val="right"/>
              <w:rPr>
                <w:rFonts w:ascii="Arial" w:hAnsi="Arial" w:cs="Arial"/>
                <w:color w:val="000000"/>
                <w:sz w:val="16"/>
                <w:szCs w:val="16"/>
              </w:rPr>
            </w:pPr>
          </w:p>
        </w:tc>
        <w:tc>
          <w:tcPr>
            <w:tcW w:w="1143" w:type="dxa"/>
            <w:tcBorders>
              <w:top w:val="nil"/>
              <w:left w:val="nil"/>
              <w:bottom w:val="single" w:sz="4" w:space="0" w:color="auto"/>
              <w:right w:val="single" w:sz="4" w:space="0" w:color="auto"/>
            </w:tcBorders>
            <w:noWrap/>
            <w:vAlign w:val="center"/>
            <w:hideMark/>
          </w:tcPr>
          <w:p w:rsidR="000711AD" w:rsidRPr="00334E75" w14:paraId="039A9EDB" w14:textId="36B37645">
            <w:pPr>
              <w:jc w:val="right"/>
              <w:rPr>
                <w:rFonts w:ascii="Arial" w:hAnsi="Arial" w:cs="Arial"/>
                <w:color w:val="000000"/>
                <w:sz w:val="16"/>
                <w:szCs w:val="16"/>
              </w:rPr>
            </w:pPr>
          </w:p>
        </w:tc>
        <w:tc>
          <w:tcPr>
            <w:tcW w:w="927" w:type="dxa"/>
            <w:tcBorders>
              <w:top w:val="nil"/>
              <w:left w:val="nil"/>
              <w:bottom w:val="single" w:sz="4" w:space="0" w:color="auto"/>
              <w:right w:val="single" w:sz="4" w:space="0" w:color="auto"/>
            </w:tcBorders>
            <w:shd w:val="clear" w:color="auto" w:fill="262626" w:themeFill="text1" w:themeFillTint="D9"/>
            <w:noWrap/>
            <w:vAlign w:val="center"/>
            <w:hideMark/>
          </w:tcPr>
          <w:p w:rsidR="000711AD" w:rsidRPr="00334E75" w14:paraId="5DCCD9B9" w14:textId="6A499925">
            <w:pPr>
              <w:jc w:val="right"/>
              <w:rPr>
                <w:rFonts w:ascii="Arial" w:hAnsi="Arial" w:cs="Arial"/>
                <w:color w:val="000000"/>
                <w:sz w:val="16"/>
                <w:szCs w:val="16"/>
              </w:rPr>
            </w:pPr>
          </w:p>
        </w:tc>
        <w:tc>
          <w:tcPr>
            <w:tcW w:w="810" w:type="dxa"/>
            <w:tcBorders>
              <w:top w:val="nil"/>
              <w:left w:val="nil"/>
              <w:bottom w:val="single" w:sz="4" w:space="0" w:color="auto"/>
              <w:right w:val="single" w:sz="4" w:space="0" w:color="auto"/>
            </w:tcBorders>
            <w:vAlign w:val="center"/>
            <w:hideMark/>
          </w:tcPr>
          <w:p w:rsidR="000711AD" w:rsidRPr="0094771C" w14:paraId="16C987D2" w14:textId="03059F44">
            <w:pPr>
              <w:jc w:val="right"/>
              <w:rPr>
                <w:rFonts w:ascii="Arial" w:hAnsi="Arial" w:cs="Arial"/>
                <w:color w:val="000000"/>
                <w:sz w:val="16"/>
                <w:szCs w:val="16"/>
              </w:rPr>
            </w:pPr>
            <w:r>
              <w:rPr>
                <w:rFonts w:ascii="Arial" w:hAnsi="Arial" w:cs="Arial"/>
                <w:color w:val="000000"/>
                <w:sz w:val="16"/>
                <w:szCs w:val="16"/>
              </w:rPr>
              <w:t>30</w:t>
            </w:r>
          </w:p>
        </w:tc>
      </w:tr>
    </w:tbl>
    <w:p w:rsidR="000711AD" w:rsidP="00B41267" w14:paraId="356A1541" w14:textId="02029D54">
      <w:pPr>
        <w:pStyle w:val="NoSpacing"/>
      </w:pPr>
    </w:p>
    <w:p w:rsidR="000711AD" w:rsidP="00B41267" w14:paraId="20103418" w14:textId="77777777">
      <w:pPr>
        <w:pStyle w:val="NoSpacing"/>
      </w:pPr>
    </w:p>
    <w:p w:rsidR="00524F36" w:rsidP="00B41267" w14:paraId="4E68A189" w14:textId="02343DF7">
      <w:pPr>
        <w:pStyle w:val="NoSpacing"/>
        <w:sectPr w:rsidSect="00B14E32">
          <w:type w:val="continuous"/>
          <w:pgSz w:w="12240" w:h="15840"/>
          <w:pgMar w:top="1440" w:right="1440" w:bottom="1440" w:left="1440" w:header="720" w:footer="720" w:gutter="0"/>
          <w:cols w:space="720"/>
          <w:docGrid w:linePitch="360"/>
        </w:sectPr>
      </w:pPr>
    </w:p>
    <w:p w:rsidR="00940951" w:rsidRPr="00365E21" w:rsidP="00AD4A8E" w14:paraId="23F0A695" w14:textId="67037599">
      <w:pPr>
        <w:rPr>
          <w:b/>
          <w:u w:val="single"/>
        </w:rPr>
      </w:pPr>
      <w:r w:rsidRPr="00753B95">
        <w:rPr>
          <w:b/>
          <w:u w:val="single"/>
        </w:rPr>
        <w:t xml:space="preserve">Share Insurance </w:t>
      </w:r>
      <w:r w:rsidRPr="00AD4A8E">
        <w:rPr>
          <w:b/>
          <w:u w:val="single"/>
        </w:rPr>
        <w:t>Termination</w:t>
      </w:r>
      <w:r w:rsidRPr="00AD4A8E" w:rsidR="006D087C">
        <w:rPr>
          <w:b/>
          <w:u w:val="single"/>
        </w:rPr>
        <w:t>s</w:t>
      </w:r>
      <w:r w:rsidR="00365E21">
        <w:rPr>
          <w:b/>
        </w:rPr>
        <w:t xml:space="preserve">:  </w:t>
      </w:r>
      <w:r w:rsidRPr="00365E21" w:rsidR="00E31E47">
        <w:t>Currently</w:t>
      </w:r>
      <w:r w:rsidR="00E31E47">
        <w:t xml:space="preserve"> no credit unions have engaged in share insurance terminations.  If one or more credit unions does engage in a voluntary termination of insurance in the future, NCUA estimates there will be minimal burden in the form of collections of information on those credit unions.  </w:t>
      </w:r>
      <w:r w:rsidR="00A16C5D">
        <w:t xml:space="preserve">One respondent and response is being used as a placeholder associated with this information collection activity.  </w:t>
      </w:r>
      <w:r w:rsidR="00E31E47">
        <w:t xml:space="preserve">Since there has been no activity under this information collection, a </w:t>
      </w:r>
      <w:r w:rsidR="00A16C5D">
        <w:t>zero labor cost is being reported</w:t>
      </w:r>
      <w:r w:rsidR="00E31E47">
        <w:t xml:space="preserve">.  </w:t>
      </w:r>
    </w:p>
    <w:p w:rsidR="00365E21" w:rsidP="00940951" w14:paraId="0FE8091F" w14:textId="77777777">
      <w:pPr>
        <w:pStyle w:val="NoSpacing"/>
        <w:sectPr w:rsidSect="00B14E32">
          <w:type w:val="continuous"/>
          <w:pgSz w:w="12240" w:h="15840"/>
          <w:pgMar w:top="1440" w:right="1440" w:bottom="1440" w:left="1440" w:header="720" w:footer="720" w:gutter="0"/>
          <w:cols w:space="720"/>
          <w:docGrid w:linePitch="360"/>
        </w:sectPr>
      </w:pPr>
    </w:p>
    <w:p w:rsidR="0085137F" w:rsidP="00940951" w14:paraId="6233699C" w14:textId="05E4B66B">
      <w:pPr>
        <w:pStyle w:val="NoSpacing"/>
      </w:pPr>
    </w:p>
    <w:tbl>
      <w:tblPr>
        <w:tblW w:w="10800" w:type="dxa"/>
        <w:tblInd w:w="-905" w:type="dxa"/>
        <w:tblLook w:val="04A0"/>
      </w:tblPr>
      <w:tblGrid>
        <w:gridCol w:w="1275"/>
        <w:gridCol w:w="3179"/>
        <w:gridCol w:w="1216"/>
        <w:gridCol w:w="1159"/>
        <w:gridCol w:w="1079"/>
        <w:gridCol w:w="1017"/>
        <w:gridCol w:w="1080"/>
        <w:gridCol w:w="1080"/>
      </w:tblGrid>
      <w:tr w14:paraId="44F3CCCB" w14:textId="77777777" w:rsidTr="0094771C">
        <w:tblPrEx>
          <w:tblW w:w="10800" w:type="dxa"/>
          <w:tblInd w:w="-905" w:type="dxa"/>
          <w:tblLook w:val="04A0"/>
        </w:tblPrEx>
        <w:trPr>
          <w:trHeight w:val="300"/>
        </w:trPr>
        <w:tc>
          <w:tcPr>
            <w:tcW w:w="10800"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365E21" w14:paraId="49C92741" w14:textId="77777777">
            <w:pPr>
              <w:jc w:val="center"/>
              <w:rPr>
                <w:rFonts w:ascii="Arial Rounded MT Bold" w:hAnsi="Arial Rounded MT Bold" w:cs="Calibri"/>
                <w:color w:val="000000"/>
                <w:sz w:val="22"/>
                <w:szCs w:val="22"/>
              </w:rPr>
            </w:pPr>
            <w:r>
              <w:rPr>
                <w:rFonts w:ascii="Arial Rounded MT Bold" w:hAnsi="Arial Rounded MT Bold" w:cs="Calibri"/>
                <w:color w:val="000000"/>
                <w:sz w:val="22"/>
                <w:szCs w:val="22"/>
              </w:rPr>
              <w:t>Share Insurance Terminations</w:t>
            </w:r>
          </w:p>
        </w:tc>
      </w:tr>
      <w:tr w14:paraId="6F1160FF" w14:textId="77777777" w:rsidTr="0094771C">
        <w:tblPrEx>
          <w:tblW w:w="10800" w:type="dxa"/>
          <w:tblInd w:w="-905" w:type="dxa"/>
          <w:tblLook w:val="04A0"/>
        </w:tblPrEx>
        <w:trPr>
          <w:trHeight w:val="540"/>
        </w:trPr>
        <w:tc>
          <w:tcPr>
            <w:tcW w:w="1275" w:type="dxa"/>
            <w:tcBorders>
              <w:top w:val="nil"/>
              <w:left w:val="single" w:sz="4" w:space="0" w:color="auto"/>
              <w:bottom w:val="single" w:sz="4" w:space="0" w:color="auto"/>
              <w:right w:val="single" w:sz="4" w:space="0" w:color="auto"/>
            </w:tcBorders>
            <w:shd w:val="clear" w:color="auto" w:fill="C6D9F0" w:themeFill="text2" w:themeFillTint="33"/>
            <w:vAlign w:val="center"/>
            <w:hideMark/>
          </w:tcPr>
          <w:p w:rsidR="00365E21" w:rsidRPr="0094771C" w14:paraId="58045BF7" w14:textId="77777777">
            <w:pPr>
              <w:jc w:val="center"/>
              <w:rPr>
                <w:rFonts w:ascii="Arial" w:hAnsi="Arial" w:cs="Arial"/>
                <w:color w:val="000000"/>
                <w:sz w:val="16"/>
                <w:szCs w:val="16"/>
              </w:rPr>
            </w:pPr>
            <w:r w:rsidRPr="0094771C">
              <w:rPr>
                <w:rFonts w:ascii="Arial" w:hAnsi="Arial" w:cs="Arial"/>
                <w:color w:val="000000"/>
                <w:sz w:val="16"/>
                <w:szCs w:val="16"/>
              </w:rPr>
              <w:t>12 CFR</w:t>
            </w:r>
          </w:p>
        </w:tc>
        <w:tc>
          <w:tcPr>
            <w:tcW w:w="3179" w:type="dxa"/>
            <w:tcBorders>
              <w:top w:val="nil"/>
              <w:left w:val="nil"/>
              <w:bottom w:val="single" w:sz="4" w:space="0" w:color="auto"/>
              <w:right w:val="single" w:sz="4" w:space="0" w:color="auto"/>
            </w:tcBorders>
            <w:shd w:val="clear" w:color="auto" w:fill="C6D9F0" w:themeFill="text2" w:themeFillTint="33"/>
            <w:vAlign w:val="center"/>
            <w:hideMark/>
          </w:tcPr>
          <w:p w:rsidR="00365E21" w:rsidRPr="0094771C" w14:paraId="3A48F2DD" w14:textId="77777777">
            <w:pPr>
              <w:jc w:val="center"/>
              <w:rPr>
                <w:rFonts w:ascii="Arial" w:hAnsi="Arial" w:cs="Arial"/>
                <w:color w:val="000000"/>
                <w:sz w:val="16"/>
                <w:szCs w:val="16"/>
              </w:rPr>
            </w:pPr>
            <w:r w:rsidRPr="0094771C">
              <w:rPr>
                <w:rFonts w:ascii="Arial" w:hAnsi="Arial" w:cs="Arial"/>
                <w:color w:val="000000"/>
                <w:sz w:val="16"/>
                <w:szCs w:val="16"/>
              </w:rPr>
              <w:t>Information Collection</w:t>
            </w:r>
          </w:p>
        </w:tc>
        <w:tc>
          <w:tcPr>
            <w:tcW w:w="1216" w:type="dxa"/>
            <w:tcBorders>
              <w:top w:val="nil"/>
              <w:left w:val="nil"/>
              <w:bottom w:val="single" w:sz="4" w:space="0" w:color="auto"/>
              <w:right w:val="nil"/>
            </w:tcBorders>
            <w:shd w:val="clear" w:color="auto" w:fill="C6D9F0" w:themeFill="text2" w:themeFillTint="33"/>
            <w:vAlign w:val="center"/>
            <w:hideMark/>
          </w:tcPr>
          <w:p w:rsidR="00365E21" w:rsidRPr="0094771C" w14:paraId="1B99E3DA" w14:textId="77777777">
            <w:pPr>
              <w:jc w:val="center"/>
              <w:rPr>
                <w:rFonts w:ascii="Arial" w:hAnsi="Arial" w:cs="Arial"/>
                <w:color w:val="000000"/>
                <w:sz w:val="16"/>
                <w:szCs w:val="16"/>
              </w:rPr>
            </w:pPr>
            <w:r w:rsidRPr="0094771C">
              <w:rPr>
                <w:rFonts w:ascii="Arial" w:hAnsi="Arial" w:cs="Arial"/>
                <w:color w:val="000000"/>
                <w:sz w:val="16"/>
                <w:szCs w:val="16"/>
              </w:rPr>
              <w:t>Burden Type</w:t>
            </w:r>
          </w:p>
        </w:tc>
        <w:tc>
          <w:tcPr>
            <w:tcW w:w="990" w:type="dxa"/>
            <w:tcBorders>
              <w:top w:val="nil"/>
              <w:left w:val="single" w:sz="4" w:space="0" w:color="auto"/>
              <w:bottom w:val="single" w:sz="4" w:space="0" w:color="auto"/>
              <w:right w:val="nil"/>
            </w:tcBorders>
            <w:shd w:val="clear" w:color="auto" w:fill="C6D9F0" w:themeFill="text2" w:themeFillTint="33"/>
            <w:vAlign w:val="center"/>
            <w:hideMark/>
          </w:tcPr>
          <w:p w:rsidR="00365E21" w:rsidRPr="0094771C" w14:paraId="79C6D452" w14:textId="234CA263">
            <w:pPr>
              <w:jc w:val="center"/>
              <w:rPr>
                <w:rFonts w:ascii="Arial" w:hAnsi="Arial" w:cs="Arial"/>
                <w:color w:val="000000"/>
                <w:sz w:val="16"/>
                <w:szCs w:val="16"/>
              </w:rPr>
            </w:pPr>
            <w:r w:rsidRPr="0094771C">
              <w:rPr>
                <w:rFonts w:ascii="Arial" w:hAnsi="Arial" w:cs="Arial"/>
                <w:color w:val="000000"/>
                <w:sz w:val="16"/>
                <w:szCs w:val="16"/>
              </w:rPr>
              <w:t># Annual Respondents</w:t>
            </w:r>
          </w:p>
        </w:tc>
        <w:tc>
          <w:tcPr>
            <w:tcW w:w="990" w:type="dxa"/>
            <w:tcBorders>
              <w:top w:val="nil"/>
              <w:left w:val="single" w:sz="4" w:space="0" w:color="auto"/>
              <w:bottom w:val="single" w:sz="4" w:space="0" w:color="auto"/>
              <w:right w:val="nil"/>
            </w:tcBorders>
            <w:shd w:val="clear" w:color="auto" w:fill="C6D9F0" w:themeFill="text2" w:themeFillTint="33"/>
            <w:vAlign w:val="center"/>
            <w:hideMark/>
          </w:tcPr>
          <w:p w:rsidR="00365E21" w:rsidRPr="0094771C" w14:paraId="5BCC3B7C" w14:textId="77777777">
            <w:pPr>
              <w:jc w:val="center"/>
              <w:rPr>
                <w:rFonts w:ascii="Arial" w:hAnsi="Arial" w:cs="Arial"/>
                <w:color w:val="000000"/>
                <w:sz w:val="16"/>
                <w:szCs w:val="16"/>
              </w:rPr>
            </w:pPr>
            <w:r w:rsidRPr="0094771C">
              <w:rPr>
                <w:rFonts w:ascii="Arial" w:hAnsi="Arial" w:cs="Arial"/>
                <w:color w:val="000000"/>
                <w:sz w:val="16"/>
                <w:szCs w:val="16"/>
              </w:rPr>
              <w:t># Responses per Respondent</w:t>
            </w:r>
          </w:p>
        </w:tc>
        <w:tc>
          <w:tcPr>
            <w:tcW w:w="990" w:type="dxa"/>
            <w:tcBorders>
              <w:top w:val="nil"/>
              <w:left w:val="single" w:sz="4" w:space="0" w:color="auto"/>
              <w:bottom w:val="single" w:sz="4" w:space="0" w:color="auto"/>
              <w:right w:val="nil"/>
            </w:tcBorders>
            <w:shd w:val="clear" w:color="auto" w:fill="C6D9F0" w:themeFill="text2" w:themeFillTint="33"/>
            <w:vAlign w:val="center"/>
            <w:hideMark/>
          </w:tcPr>
          <w:p w:rsidR="00365E21" w:rsidRPr="0094771C" w14:paraId="4512DAE4" w14:textId="77777777">
            <w:pPr>
              <w:jc w:val="center"/>
              <w:rPr>
                <w:rFonts w:ascii="Arial" w:hAnsi="Arial" w:cs="Arial"/>
                <w:color w:val="000000"/>
                <w:sz w:val="16"/>
                <w:szCs w:val="16"/>
              </w:rPr>
            </w:pPr>
            <w:r w:rsidRPr="0094771C">
              <w:rPr>
                <w:rFonts w:ascii="Arial" w:hAnsi="Arial" w:cs="Arial"/>
                <w:color w:val="000000"/>
                <w:sz w:val="16"/>
                <w:szCs w:val="16"/>
              </w:rPr>
              <w:t>Annual # Responses</w:t>
            </w:r>
          </w:p>
        </w:tc>
        <w:tc>
          <w:tcPr>
            <w:tcW w:w="1080" w:type="dxa"/>
            <w:tcBorders>
              <w:top w:val="nil"/>
              <w:left w:val="single" w:sz="4" w:space="0" w:color="auto"/>
              <w:bottom w:val="single" w:sz="4" w:space="0" w:color="auto"/>
              <w:right w:val="nil"/>
            </w:tcBorders>
            <w:shd w:val="clear" w:color="auto" w:fill="C6D9F0" w:themeFill="text2" w:themeFillTint="33"/>
            <w:vAlign w:val="center"/>
            <w:hideMark/>
          </w:tcPr>
          <w:p w:rsidR="00365E21" w:rsidRPr="0094771C" w14:paraId="7F64244E" w14:textId="77777777">
            <w:pPr>
              <w:jc w:val="center"/>
              <w:rPr>
                <w:rFonts w:ascii="Arial" w:hAnsi="Arial" w:cs="Arial"/>
                <w:color w:val="000000"/>
                <w:sz w:val="16"/>
                <w:szCs w:val="16"/>
              </w:rPr>
            </w:pPr>
            <w:r w:rsidRPr="0094771C">
              <w:rPr>
                <w:rFonts w:ascii="Arial" w:hAnsi="Arial" w:cs="Arial"/>
                <w:color w:val="000000"/>
                <w:sz w:val="16"/>
                <w:szCs w:val="16"/>
              </w:rPr>
              <w:t>Hours per Response</w:t>
            </w:r>
          </w:p>
        </w:tc>
        <w:tc>
          <w:tcPr>
            <w:tcW w:w="1080" w:type="dxa"/>
            <w:tcBorders>
              <w:top w:val="nil"/>
              <w:left w:val="single" w:sz="4" w:space="0" w:color="auto"/>
              <w:bottom w:val="single" w:sz="4" w:space="0" w:color="auto"/>
              <w:right w:val="single" w:sz="4" w:space="0" w:color="auto"/>
            </w:tcBorders>
            <w:shd w:val="clear" w:color="auto" w:fill="C6D9F0" w:themeFill="text2" w:themeFillTint="33"/>
            <w:vAlign w:val="center"/>
            <w:hideMark/>
          </w:tcPr>
          <w:p w:rsidR="00365E21" w:rsidRPr="0094771C" w14:paraId="3FD1CF7A" w14:textId="77777777">
            <w:pPr>
              <w:jc w:val="center"/>
              <w:rPr>
                <w:rFonts w:ascii="Arial" w:hAnsi="Arial" w:cs="Arial"/>
                <w:color w:val="000000"/>
                <w:sz w:val="18"/>
                <w:szCs w:val="18"/>
              </w:rPr>
            </w:pPr>
            <w:r w:rsidRPr="0094771C">
              <w:rPr>
                <w:rFonts w:ascii="Arial" w:hAnsi="Arial" w:cs="Arial"/>
                <w:color w:val="000000"/>
                <w:sz w:val="18"/>
                <w:szCs w:val="18"/>
              </w:rPr>
              <w:t>Total Annual Burden Hours</w:t>
            </w:r>
          </w:p>
        </w:tc>
      </w:tr>
      <w:tr w14:paraId="7E56348C" w14:textId="77777777" w:rsidTr="0094771C">
        <w:tblPrEx>
          <w:tblW w:w="10800" w:type="dxa"/>
          <w:tblInd w:w="-905" w:type="dxa"/>
          <w:tblLook w:val="04A0"/>
        </w:tblPrEx>
        <w:trPr>
          <w:trHeight w:val="510"/>
        </w:trPr>
        <w:tc>
          <w:tcPr>
            <w:tcW w:w="1275" w:type="dxa"/>
            <w:tcBorders>
              <w:top w:val="nil"/>
              <w:left w:val="single" w:sz="4" w:space="0" w:color="auto"/>
              <w:bottom w:val="single" w:sz="4" w:space="0" w:color="auto"/>
              <w:right w:val="single" w:sz="4" w:space="0" w:color="auto"/>
            </w:tcBorders>
            <w:vAlign w:val="center"/>
            <w:hideMark/>
          </w:tcPr>
          <w:p w:rsidR="00365E21" w:rsidRPr="0094771C" w14:paraId="08C30323" w14:textId="77777777">
            <w:pPr>
              <w:rPr>
                <w:rFonts w:ascii="Arial" w:hAnsi="Arial" w:cs="Arial"/>
                <w:color w:val="000000"/>
                <w:sz w:val="16"/>
                <w:szCs w:val="16"/>
              </w:rPr>
            </w:pPr>
            <w:r w:rsidRPr="0094771C">
              <w:rPr>
                <w:rFonts w:ascii="Arial" w:hAnsi="Arial" w:cs="Arial"/>
                <w:color w:val="000000"/>
                <w:sz w:val="16"/>
                <w:szCs w:val="16"/>
              </w:rPr>
              <w:t>708b.201(d)</w:t>
            </w:r>
          </w:p>
        </w:tc>
        <w:tc>
          <w:tcPr>
            <w:tcW w:w="3179" w:type="dxa"/>
            <w:tcBorders>
              <w:top w:val="nil"/>
              <w:left w:val="nil"/>
              <w:bottom w:val="single" w:sz="4" w:space="0" w:color="auto"/>
              <w:right w:val="single" w:sz="4" w:space="0" w:color="auto"/>
            </w:tcBorders>
            <w:vAlign w:val="center"/>
            <w:hideMark/>
          </w:tcPr>
          <w:p w:rsidR="00365E21" w:rsidRPr="0094771C" w14:paraId="3C5C09CA" w14:textId="77777777">
            <w:pPr>
              <w:rPr>
                <w:rFonts w:ascii="Arial" w:hAnsi="Arial" w:cs="Arial"/>
                <w:color w:val="000000"/>
                <w:sz w:val="16"/>
                <w:szCs w:val="16"/>
              </w:rPr>
            </w:pPr>
            <w:r w:rsidRPr="0094771C">
              <w:rPr>
                <w:rFonts w:ascii="Arial" w:hAnsi="Arial" w:cs="Arial"/>
                <w:color w:val="000000"/>
                <w:sz w:val="16"/>
                <w:szCs w:val="16"/>
              </w:rPr>
              <w:t>Prepare the required termination documents and submit the required information to NCUA</w:t>
            </w:r>
          </w:p>
        </w:tc>
        <w:tc>
          <w:tcPr>
            <w:tcW w:w="1216" w:type="dxa"/>
            <w:tcBorders>
              <w:top w:val="nil"/>
              <w:left w:val="nil"/>
              <w:bottom w:val="single" w:sz="4" w:space="0" w:color="auto"/>
              <w:right w:val="single" w:sz="4" w:space="0" w:color="auto"/>
            </w:tcBorders>
            <w:vAlign w:val="center"/>
            <w:hideMark/>
          </w:tcPr>
          <w:p w:rsidR="00365E21" w:rsidRPr="0094771C" w14:paraId="31F06D70" w14:textId="77777777">
            <w:pPr>
              <w:rPr>
                <w:rFonts w:ascii="Arial" w:hAnsi="Arial" w:cs="Arial"/>
                <w:color w:val="000000"/>
                <w:sz w:val="16"/>
                <w:szCs w:val="16"/>
              </w:rPr>
            </w:pPr>
            <w:r w:rsidRPr="0094771C">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vAlign w:val="center"/>
            <w:hideMark/>
          </w:tcPr>
          <w:p w:rsidR="00365E21" w:rsidRPr="0094771C" w14:paraId="6FA34078"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64ED332D"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7AD141A7"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1080" w:type="dxa"/>
            <w:tcBorders>
              <w:top w:val="nil"/>
              <w:left w:val="nil"/>
              <w:bottom w:val="single" w:sz="4" w:space="0" w:color="auto"/>
              <w:right w:val="single" w:sz="4" w:space="0" w:color="auto"/>
            </w:tcBorders>
            <w:vAlign w:val="center"/>
            <w:hideMark/>
          </w:tcPr>
          <w:p w:rsidR="00365E21" w:rsidRPr="0094771C" w14:paraId="48D08A9F" w14:textId="77777777">
            <w:pPr>
              <w:jc w:val="right"/>
              <w:rPr>
                <w:rFonts w:ascii="Arial" w:hAnsi="Arial" w:cs="Arial"/>
                <w:color w:val="000000"/>
                <w:sz w:val="16"/>
                <w:szCs w:val="16"/>
              </w:rPr>
            </w:pPr>
            <w:r w:rsidRPr="0094771C">
              <w:rPr>
                <w:rFonts w:ascii="Arial" w:hAnsi="Arial" w:cs="Arial"/>
                <w:color w:val="000000"/>
                <w:sz w:val="16"/>
                <w:szCs w:val="16"/>
              </w:rPr>
              <w:t>4</w:t>
            </w:r>
          </w:p>
        </w:tc>
        <w:tc>
          <w:tcPr>
            <w:tcW w:w="1080" w:type="dxa"/>
            <w:tcBorders>
              <w:top w:val="nil"/>
              <w:left w:val="nil"/>
              <w:bottom w:val="single" w:sz="4" w:space="0" w:color="auto"/>
              <w:right w:val="single" w:sz="4" w:space="0" w:color="auto"/>
            </w:tcBorders>
            <w:vAlign w:val="center"/>
            <w:hideMark/>
          </w:tcPr>
          <w:p w:rsidR="00365E21" w:rsidRPr="0094771C" w14:paraId="0362BF6C" w14:textId="77777777">
            <w:pPr>
              <w:jc w:val="right"/>
              <w:rPr>
                <w:rFonts w:ascii="Arial" w:hAnsi="Arial" w:cs="Arial"/>
                <w:color w:val="000000"/>
                <w:sz w:val="16"/>
                <w:szCs w:val="16"/>
              </w:rPr>
            </w:pPr>
            <w:r w:rsidRPr="0094771C">
              <w:rPr>
                <w:rFonts w:ascii="Arial" w:hAnsi="Arial" w:cs="Arial"/>
                <w:color w:val="000000"/>
                <w:sz w:val="16"/>
                <w:szCs w:val="16"/>
              </w:rPr>
              <w:t>4</w:t>
            </w:r>
          </w:p>
        </w:tc>
      </w:tr>
      <w:tr w14:paraId="1C6632AD" w14:textId="77777777" w:rsidTr="0094771C">
        <w:tblPrEx>
          <w:tblW w:w="10800" w:type="dxa"/>
          <w:tblInd w:w="-905" w:type="dxa"/>
          <w:tblLook w:val="04A0"/>
        </w:tblPrEx>
        <w:trPr>
          <w:trHeight w:val="510"/>
        </w:trPr>
        <w:tc>
          <w:tcPr>
            <w:tcW w:w="1275" w:type="dxa"/>
            <w:tcBorders>
              <w:top w:val="nil"/>
              <w:left w:val="single" w:sz="4" w:space="0" w:color="auto"/>
              <w:bottom w:val="single" w:sz="4" w:space="0" w:color="auto"/>
              <w:right w:val="single" w:sz="4" w:space="0" w:color="auto"/>
            </w:tcBorders>
            <w:vAlign w:val="center"/>
            <w:hideMark/>
          </w:tcPr>
          <w:p w:rsidR="00365E21" w:rsidRPr="0094771C" w14:paraId="4C2AE667" w14:textId="77777777">
            <w:pPr>
              <w:rPr>
                <w:rFonts w:ascii="Arial" w:hAnsi="Arial" w:cs="Arial"/>
                <w:color w:val="000000"/>
                <w:sz w:val="16"/>
                <w:szCs w:val="16"/>
              </w:rPr>
            </w:pPr>
            <w:r w:rsidRPr="0094771C">
              <w:rPr>
                <w:rFonts w:ascii="Arial" w:hAnsi="Arial" w:cs="Arial"/>
                <w:color w:val="000000"/>
                <w:sz w:val="16"/>
                <w:szCs w:val="16"/>
              </w:rPr>
              <w:t>708b.202(a)</w:t>
            </w:r>
          </w:p>
        </w:tc>
        <w:tc>
          <w:tcPr>
            <w:tcW w:w="3179" w:type="dxa"/>
            <w:tcBorders>
              <w:top w:val="nil"/>
              <w:left w:val="nil"/>
              <w:bottom w:val="single" w:sz="4" w:space="0" w:color="auto"/>
              <w:right w:val="single" w:sz="4" w:space="0" w:color="auto"/>
            </w:tcBorders>
            <w:vAlign w:val="center"/>
            <w:hideMark/>
          </w:tcPr>
          <w:p w:rsidR="00365E21" w:rsidRPr="0094771C" w14:paraId="24D5EDE3" w14:textId="77777777">
            <w:pPr>
              <w:rPr>
                <w:rFonts w:ascii="Arial" w:hAnsi="Arial" w:cs="Arial"/>
                <w:color w:val="000000"/>
                <w:sz w:val="16"/>
                <w:szCs w:val="16"/>
              </w:rPr>
            </w:pPr>
            <w:r w:rsidRPr="0094771C">
              <w:rPr>
                <w:rFonts w:ascii="Arial" w:hAnsi="Arial" w:cs="Arial"/>
                <w:color w:val="000000"/>
                <w:sz w:val="16"/>
                <w:szCs w:val="16"/>
              </w:rPr>
              <w:t>Notify the members of the proposed termination and send them to ballot</w:t>
            </w:r>
          </w:p>
        </w:tc>
        <w:tc>
          <w:tcPr>
            <w:tcW w:w="1216" w:type="dxa"/>
            <w:tcBorders>
              <w:top w:val="nil"/>
              <w:left w:val="nil"/>
              <w:bottom w:val="single" w:sz="4" w:space="0" w:color="auto"/>
              <w:right w:val="single" w:sz="4" w:space="0" w:color="auto"/>
            </w:tcBorders>
            <w:vAlign w:val="center"/>
            <w:hideMark/>
          </w:tcPr>
          <w:p w:rsidR="00365E21" w:rsidRPr="0094771C" w14:paraId="3E13E998" w14:textId="77777777">
            <w:pPr>
              <w:rPr>
                <w:rFonts w:ascii="Arial" w:hAnsi="Arial" w:cs="Arial"/>
                <w:color w:val="000000"/>
                <w:sz w:val="16"/>
                <w:szCs w:val="16"/>
              </w:rPr>
            </w:pPr>
            <w:r w:rsidRPr="0094771C">
              <w:rPr>
                <w:rFonts w:ascii="Arial" w:hAnsi="Arial" w:cs="Arial"/>
                <w:color w:val="000000"/>
                <w:sz w:val="16"/>
                <w:szCs w:val="16"/>
              </w:rPr>
              <w:t>Third-party disclosure</w:t>
            </w:r>
          </w:p>
        </w:tc>
        <w:tc>
          <w:tcPr>
            <w:tcW w:w="990" w:type="dxa"/>
            <w:tcBorders>
              <w:top w:val="nil"/>
              <w:left w:val="nil"/>
              <w:bottom w:val="single" w:sz="4" w:space="0" w:color="auto"/>
              <w:right w:val="single" w:sz="4" w:space="0" w:color="auto"/>
            </w:tcBorders>
            <w:vAlign w:val="center"/>
            <w:hideMark/>
          </w:tcPr>
          <w:p w:rsidR="00365E21" w:rsidRPr="0094771C" w14:paraId="1CF534AD"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05F29D21"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4782AB04"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1080" w:type="dxa"/>
            <w:tcBorders>
              <w:top w:val="nil"/>
              <w:left w:val="nil"/>
              <w:bottom w:val="single" w:sz="4" w:space="0" w:color="auto"/>
              <w:right w:val="single" w:sz="4" w:space="0" w:color="auto"/>
            </w:tcBorders>
            <w:vAlign w:val="center"/>
            <w:hideMark/>
          </w:tcPr>
          <w:p w:rsidR="00365E21" w:rsidRPr="0094771C" w14:paraId="7AE7A2D9" w14:textId="77777777">
            <w:pPr>
              <w:jc w:val="right"/>
              <w:rPr>
                <w:rFonts w:ascii="Arial" w:hAnsi="Arial" w:cs="Arial"/>
                <w:color w:val="000000"/>
                <w:sz w:val="16"/>
                <w:szCs w:val="16"/>
              </w:rPr>
            </w:pPr>
            <w:r w:rsidRPr="0094771C">
              <w:rPr>
                <w:rFonts w:ascii="Arial" w:hAnsi="Arial" w:cs="Arial"/>
                <w:color w:val="000000"/>
                <w:sz w:val="16"/>
                <w:szCs w:val="16"/>
              </w:rPr>
              <w:t>4</w:t>
            </w:r>
          </w:p>
        </w:tc>
        <w:tc>
          <w:tcPr>
            <w:tcW w:w="1080" w:type="dxa"/>
            <w:tcBorders>
              <w:top w:val="nil"/>
              <w:left w:val="nil"/>
              <w:bottom w:val="single" w:sz="4" w:space="0" w:color="auto"/>
              <w:right w:val="single" w:sz="4" w:space="0" w:color="auto"/>
            </w:tcBorders>
            <w:vAlign w:val="center"/>
            <w:hideMark/>
          </w:tcPr>
          <w:p w:rsidR="00365E21" w:rsidRPr="0094771C" w14:paraId="235F5C57" w14:textId="77777777">
            <w:pPr>
              <w:jc w:val="right"/>
              <w:rPr>
                <w:rFonts w:ascii="Arial" w:hAnsi="Arial" w:cs="Arial"/>
                <w:color w:val="000000"/>
                <w:sz w:val="16"/>
                <w:szCs w:val="16"/>
              </w:rPr>
            </w:pPr>
            <w:r w:rsidRPr="0094771C">
              <w:rPr>
                <w:rFonts w:ascii="Arial" w:hAnsi="Arial" w:cs="Arial"/>
                <w:color w:val="000000"/>
                <w:sz w:val="16"/>
                <w:szCs w:val="16"/>
              </w:rPr>
              <w:t>4</w:t>
            </w:r>
          </w:p>
        </w:tc>
      </w:tr>
      <w:tr w14:paraId="62F218C8" w14:textId="77777777" w:rsidTr="0094771C">
        <w:tblPrEx>
          <w:tblW w:w="10800" w:type="dxa"/>
          <w:tblInd w:w="-905" w:type="dxa"/>
          <w:tblLook w:val="04A0"/>
        </w:tblPrEx>
        <w:trPr>
          <w:trHeight w:val="765"/>
        </w:trPr>
        <w:tc>
          <w:tcPr>
            <w:tcW w:w="1275" w:type="dxa"/>
            <w:tcBorders>
              <w:top w:val="nil"/>
              <w:left w:val="single" w:sz="4" w:space="0" w:color="auto"/>
              <w:bottom w:val="single" w:sz="4" w:space="0" w:color="auto"/>
              <w:right w:val="single" w:sz="4" w:space="0" w:color="auto"/>
            </w:tcBorders>
            <w:vAlign w:val="center"/>
            <w:hideMark/>
          </w:tcPr>
          <w:p w:rsidR="00365E21" w:rsidRPr="0094771C" w14:paraId="17B2CBC0" w14:textId="77777777">
            <w:pPr>
              <w:rPr>
                <w:rFonts w:ascii="Arial" w:hAnsi="Arial" w:cs="Arial"/>
                <w:color w:val="000000"/>
                <w:sz w:val="16"/>
                <w:szCs w:val="16"/>
              </w:rPr>
            </w:pPr>
            <w:r w:rsidRPr="0094771C">
              <w:rPr>
                <w:rFonts w:ascii="Arial" w:hAnsi="Arial" w:cs="Arial"/>
                <w:color w:val="000000"/>
                <w:sz w:val="16"/>
                <w:szCs w:val="16"/>
              </w:rPr>
              <w:t>708b.206(b)</w:t>
            </w:r>
          </w:p>
        </w:tc>
        <w:tc>
          <w:tcPr>
            <w:tcW w:w="3179" w:type="dxa"/>
            <w:tcBorders>
              <w:top w:val="nil"/>
              <w:left w:val="nil"/>
              <w:bottom w:val="single" w:sz="4" w:space="0" w:color="auto"/>
              <w:right w:val="single" w:sz="4" w:space="0" w:color="auto"/>
            </w:tcBorders>
            <w:vAlign w:val="center"/>
            <w:hideMark/>
          </w:tcPr>
          <w:p w:rsidR="00365E21" w:rsidRPr="0094771C" w14:paraId="413F415E" w14:textId="77777777">
            <w:pPr>
              <w:rPr>
                <w:rFonts w:ascii="Arial" w:hAnsi="Arial" w:cs="Arial"/>
                <w:color w:val="000000"/>
                <w:sz w:val="16"/>
                <w:szCs w:val="16"/>
              </w:rPr>
            </w:pPr>
            <w:r w:rsidRPr="0094771C">
              <w:rPr>
                <w:rFonts w:ascii="Arial" w:hAnsi="Arial" w:cs="Arial"/>
                <w:color w:val="000000"/>
                <w:sz w:val="16"/>
                <w:szCs w:val="16"/>
              </w:rPr>
              <w:t>Provide the required insurance disclosures in other communications that the credit union plans to send to its members</w:t>
            </w:r>
          </w:p>
        </w:tc>
        <w:tc>
          <w:tcPr>
            <w:tcW w:w="1216" w:type="dxa"/>
            <w:tcBorders>
              <w:top w:val="nil"/>
              <w:left w:val="nil"/>
              <w:bottom w:val="single" w:sz="4" w:space="0" w:color="auto"/>
              <w:right w:val="single" w:sz="4" w:space="0" w:color="auto"/>
            </w:tcBorders>
            <w:vAlign w:val="center"/>
            <w:hideMark/>
          </w:tcPr>
          <w:p w:rsidR="00365E21" w:rsidRPr="0094771C" w14:paraId="32BB8AF7" w14:textId="77777777">
            <w:pPr>
              <w:rPr>
                <w:rFonts w:ascii="Arial" w:hAnsi="Arial" w:cs="Arial"/>
                <w:color w:val="000000"/>
                <w:sz w:val="16"/>
                <w:szCs w:val="16"/>
              </w:rPr>
            </w:pPr>
            <w:r w:rsidRPr="0094771C">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vAlign w:val="center"/>
            <w:hideMark/>
          </w:tcPr>
          <w:p w:rsidR="00365E21" w:rsidRPr="0094771C" w14:paraId="5FCEFB12"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2282DD79"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11772F12"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1080" w:type="dxa"/>
            <w:tcBorders>
              <w:top w:val="nil"/>
              <w:left w:val="nil"/>
              <w:bottom w:val="single" w:sz="4" w:space="0" w:color="auto"/>
              <w:right w:val="single" w:sz="4" w:space="0" w:color="auto"/>
            </w:tcBorders>
            <w:vAlign w:val="center"/>
            <w:hideMark/>
          </w:tcPr>
          <w:p w:rsidR="00365E21" w:rsidRPr="0094771C" w14:paraId="24557D4A" w14:textId="77777777">
            <w:pPr>
              <w:jc w:val="right"/>
              <w:rPr>
                <w:rFonts w:ascii="Arial" w:hAnsi="Arial" w:cs="Arial"/>
                <w:color w:val="000000"/>
                <w:sz w:val="16"/>
                <w:szCs w:val="16"/>
              </w:rPr>
            </w:pPr>
            <w:r w:rsidRPr="0094771C">
              <w:rPr>
                <w:rFonts w:ascii="Arial" w:hAnsi="Arial" w:cs="Arial"/>
                <w:color w:val="000000"/>
                <w:sz w:val="16"/>
                <w:szCs w:val="16"/>
              </w:rPr>
              <w:t>2</w:t>
            </w:r>
          </w:p>
        </w:tc>
        <w:tc>
          <w:tcPr>
            <w:tcW w:w="1080" w:type="dxa"/>
            <w:tcBorders>
              <w:top w:val="nil"/>
              <w:left w:val="nil"/>
              <w:bottom w:val="single" w:sz="4" w:space="0" w:color="auto"/>
              <w:right w:val="single" w:sz="4" w:space="0" w:color="auto"/>
            </w:tcBorders>
            <w:vAlign w:val="center"/>
            <w:hideMark/>
          </w:tcPr>
          <w:p w:rsidR="00365E21" w:rsidRPr="0094771C" w14:paraId="7EB438C0" w14:textId="77777777">
            <w:pPr>
              <w:jc w:val="right"/>
              <w:rPr>
                <w:rFonts w:ascii="Arial" w:hAnsi="Arial" w:cs="Arial"/>
                <w:color w:val="000000"/>
                <w:sz w:val="16"/>
                <w:szCs w:val="16"/>
              </w:rPr>
            </w:pPr>
            <w:r w:rsidRPr="0094771C">
              <w:rPr>
                <w:rFonts w:ascii="Arial" w:hAnsi="Arial" w:cs="Arial"/>
                <w:color w:val="000000"/>
                <w:sz w:val="16"/>
                <w:szCs w:val="16"/>
              </w:rPr>
              <w:t>2</w:t>
            </w:r>
          </w:p>
        </w:tc>
      </w:tr>
      <w:tr w14:paraId="5143E3CA" w14:textId="77777777" w:rsidTr="0094771C">
        <w:tblPrEx>
          <w:tblW w:w="10800" w:type="dxa"/>
          <w:tblInd w:w="-905" w:type="dxa"/>
          <w:tblLook w:val="04A0"/>
        </w:tblPrEx>
        <w:trPr>
          <w:trHeight w:val="315"/>
        </w:trPr>
        <w:tc>
          <w:tcPr>
            <w:tcW w:w="1275" w:type="dxa"/>
            <w:tcBorders>
              <w:top w:val="nil"/>
              <w:left w:val="single" w:sz="4" w:space="0" w:color="auto"/>
              <w:bottom w:val="single" w:sz="4" w:space="0" w:color="auto"/>
              <w:right w:val="single" w:sz="4" w:space="0" w:color="auto"/>
            </w:tcBorders>
            <w:vAlign w:val="center"/>
            <w:hideMark/>
          </w:tcPr>
          <w:p w:rsidR="00365E21" w:rsidRPr="0094771C" w14:paraId="7CAD9462" w14:textId="77777777">
            <w:pPr>
              <w:rPr>
                <w:rFonts w:ascii="Arial" w:hAnsi="Arial" w:cs="Arial"/>
                <w:color w:val="000000"/>
                <w:sz w:val="16"/>
                <w:szCs w:val="16"/>
              </w:rPr>
            </w:pPr>
            <w:r w:rsidRPr="0094771C">
              <w:rPr>
                <w:rFonts w:ascii="Arial" w:hAnsi="Arial" w:cs="Arial"/>
                <w:color w:val="000000"/>
                <w:sz w:val="16"/>
                <w:szCs w:val="16"/>
              </w:rPr>
              <w:t>708b.201(d)(2)</w:t>
            </w:r>
          </w:p>
        </w:tc>
        <w:tc>
          <w:tcPr>
            <w:tcW w:w="3179" w:type="dxa"/>
            <w:tcBorders>
              <w:top w:val="nil"/>
              <w:left w:val="nil"/>
              <w:bottom w:val="single" w:sz="4" w:space="0" w:color="auto"/>
              <w:right w:val="single" w:sz="4" w:space="0" w:color="auto"/>
            </w:tcBorders>
            <w:vAlign w:val="center"/>
            <w:hideMark/>
          </w:tcPr>
          <w:p w:rsidR="00365E21" w:rsidRPr="0094771C" w14:paraId="2A226ABD" w14:textId="55FC061B">
            <w:pPr>
              <w:rPr>
                <w:rFonts w:ascii="Arial" w:hAnsi="Arial" w:cs="Arial"/>
                <w:color w:val="000000"/>
                <w:sz w:val="16"/>
                <w:szCs w:val="16"/>
              </w:rPr>
            </w:pPr>
            <w:r w:rsidRPr="0094771C">
              <w:rPr>
                <w:rFonts w:ascii="Arial" w:hAnsi="Arial" w:cs="Arial"/>
                <w:color w:val="000000"/>
                <w:sz w:val="16"/>
                <w:szCs w:val="16"/>
              </w:rPr>
              <w:t>Notify NCUA of the results</w:t>
            </w:r>
            <w:r w:rsidRPr="0094771C" w:rsidR="00AD4A8E">
              <w:rPr>
                <w:rFonts w:ascii="Arial" w:hAnsi="Arial" w:cs="Arial"/>
                <w:color w:val="000000"/>
                <w:sz w:val="16"/>
                <w:szCs w:val="16"/>
              </w:rPr>
              <w:t xml:space="preserve"> </w:t>
            </w:r>
            <w:r w:rsidRPr="0094771C">
              <w:rPr>
                <w:rFonts w:ascii="Arial" w:hAnsi="Arial" w:cs="Arial"/>
                <w:color w:val="000000"/>
                <w:sz w:val="16"/>
                <w:szCs w:val="16"/>
              </w:rPr>
              <w:t>of the termination vote</w:t>
            </w:r>
          </w:p>
        </w:tc>
        <w:tc>
          <w:tcPr>
            <w:tcW w:w="1216" w:type="dxa"/>
            <w:tcBorders>
              <w:top w:val="nil"/>
              <w:left w:val="nil"/>
              <w:bottom w:val="single" w:sz="4" w:space="0" w:color="auto"/>
              <w:right w:val="single" w:sz="4" w:space="0" w:color="auto"/>
            </w:tcBorders>
            <w:vAlign w:val="center"/>
            <w:hideMark/>
          </w:tcPr>
          <w:p w:rsidR="00365E21" w:rsidRPr="0094771C" w14:paraId="0565A74F" w14:textId="77777777">
            <w:pPr>
              <w:rPr>
                <w:rFonts w:ascii="Arial" w:hAnsi="Arial" w:cs="Arial"/>
                <w:color w:val="000000"/>
                <w:sz w:val="16"/>
                <w:szCs w:val="16"/>
              </w:rPr>
            </w:pPr>
            <w:r w:rsidRPr="0094771C">
              <w:rPr>
                <w:rFonts w:ascii="Arial" w:hAnsi="Arial" w:cs="Arial"/>
                <w:color w:val="000000"/>
                <w:sz w:val="16"/>
                <w:szCs w:val="16"/>
              </w:rPr>
              <w:t>Reporting</w:t>
            </w:r>
          </w:p>
        </w:tc>
        <w:tc>
          <w:tcPr>
            <w:tcW w:w="990" w:type="dxa"/>
            <w:tcBorders>
              <w:top w:val="nil"/>
              <w:left w:val="nil"/>
              <w:bottom w:val="single" w:sz="4" w:space="0" w:color="auto"/>
              <w:right w:val="single" w:sz="4" w:space="0" w:color="auto"/>
            </w:tcBorders>
            <w:vAlign w:val="center"/>
            <w:hideMark/>
          </w:tcPr>
          <w:p w:rsidR="00365E21" w:rsidRPr="0094771C" w14:paraId="27D04297"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7B9759DE"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vAlign w:val="center"/>
            <w:hideMark/>
          </w:tcPr>
          <w:p w:rsidR="00365E21" w:rsidRPr="0094771C" w14:paraId="785F90A2"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1080" w:type="dxa"/>
            <w:tcBorders>
              <w:top w:val="nil"/>
              <w:left w:val="nil"/>
              <w:bottom w:val="single" w:sz="4" w:space="0" w:color="auto"/>
              <w:right w:val="single" w:sz="4" w:space="0" w:color="auto"/>
            </w:tcBorders>
            <w:vAlign w:val="center"/>
            <w:hideMark/>
          </w:tcPr>
          <w:p w:rsidR="00365E21" w:rsidRPr="0094771C" w14:paraId="053C81C7"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1080" w:type="dxa"/>
            <w:tcBorders>
              <w:top w:val="nil"/>
              <w:left w:val="nil"/>
              <w:bottom w:val="single" w:sz="4" w:space="0" w:color="auto"/>
              <w:right w:val="single" w:sz="4" w:space="0" w:color="auto"/>
            </w:tcBorders>
            <w:vAlign w:val="center"/>
            <w:hideMark/>
          </w:tcPr>
          <w:p w:rsidR="00365E21" w:rsidRPr="0094771C" w14:paraId="7D4B6A8F" w14:textId="77777777">
            <w:pPr>
              <w:jc w:val="right"/>
              <w:rPr>
                <w:rFonts w:ascii="Arial" w:hAnsi="Arial" w:cs="Arial"/>
                <w:color w:val="000000"/>
                <w:sz w:val="16"/>
                <w:szCs w:val="16"/>
              </w:rPr>
            </w:pPr>
            <w:r w:rsidRPr="0094771C">
              <w:rPr>
                <w:rFonts w:ascii="Arial" w:hAnsi="Arial" w:cs="Arial"/>
                <w:color w:val="000000"/>
                <w:sz w:val="16"/>
                <w:szCs w:val="16"/>
              </w:rPr>
              <w:t>1</w:t>
            </w:r>
          </w:p>
        </w:tc>
      </w:tr>
      <w:tr w14:paraId="60EC2831" w14:textId="77777777" w:rsidTr="0094771C">
        <w:tblPrEx>
          <w:tblW w:w="10800" w:type="dxa"/>
          <w:tblInd w:w="-905" w:type="dxa"/>
          <w:tblLook w:val="04A0"/>
        </w:tblPrEx>
        <w:trPr>
          <w:trHeight w:val="525"/>
        </w:trPr>
        <w:tc>
          <w:tcPr>
            <w:tcW w:w="1275" w:type="dxa"/>
            <w:tcBorders>
              <w:top w:val="nil"/>
              <w:left w:val="single" w:sz="4" w:space="0" w:color="auto"/>
              <w:bottom w:val="single" w:sz="8" w:space="0" w:color="auto"/>
              <w:right w:val="single" w:sz="4" w:space="0" w:color="auto"/>
            </w:tcBorders>
            <w:vAlign w:val="center"/>
            <w:hideMark/>
          </w:tcPr>
          <w:p w:rsidR="00365E21" w:rsidRPr="0094771C" w14:paraId="34868F54" w14:textId="77777777">
            <w:pPr>
              <w:rPr>
                <w:rFonts w:ascii="Arial" w:hAnsi="Arial" w:cs="Arial"/>
                <w:color w:val="000000"/>
                <w:sz w:val="16"/>
                <w:szCs w:val="16"/>
              </w:rPr>
            </w:pPr>
            <w:r w:rsidRPr="0094771C">
              <w:rPr>
                <w:rFonts w:ascii="Arial" w:hAnsi="Arial" w:cs="Arial"/>
                <w:color w:val="000000"/>
                <w:sz w:val="16"/>
                <w:szCs w:val="16"/>
              </w:rPr>
              <w:t>708b.202(c)</w:t>
            </w:r>
          </w:p>
        </w:tc>
        <w:tc>
          <w:tcPr>
            <w:tcW w:w="3179" w:type="dxa"/>
            <w:tcBorders>
              <w:top w:val="nil"/>
              <w:left w:val="nil"/>
              <w:bottom w:val="single" w:sz="8" w:space="0" w:color="auto"/>
              <w:right w:val="single" w:sz="4" w:space="0" w:color="auto"/>
            </w:tcBorders>
            <w:vAlign w:val="center"/>
            <w:hideMark/>
          </w:tcPr>
          <w:p w:rsidR="00365E21" w:rsidRPr="0094771C" w14:paraId="29356647" w14:textId="1772A905">
            <w:pPr>
              <w:rPr>
                <w:rFonts w:ascii="Arial" w:hAnsi="Arial" w:cs="Arial"/>
                <w:color w:val="000000"/>
                <w:sz w:val="16"/>
                <w:szCs w:val="16"/>
              </w:rPr>
            </w:pPr>
            <w:r w:rsidRPr="0094771C">
              <w:rPr>
                <w:rFonts w:ascii="Arial" w:hAnsi="Arial" w:cs="Arial"/>
                <w:color w:val="000000"/>
                <w:sz w:val="16"/>
                <w:szCs w:val="16"/>
              </w:rPr>
              <w:t>Provide members notice of termination of insurance</w:t>
            </w:r>
          </w:p>
        </w:tc>
        <w:tc>
          <w:tcPr>
            <w:tcW w:w="1216" w:type="dxa"/>
            <w:tcBorders>
              <w:top w:val="nil"/>
              <w:left w:val="nil"/>
              <w:bottom w:val="single" w:sz="8" w:space="0" w:color="auto"/>
              <w:right w:val="single" w:sz="4" w:space="0" w:color="auto"/>
            </w:tcBorders>
            <w:vAlign w:val="center"/>
            <w:hideMark/>
          </w:tcPr>
          <w:p w:rsidR="00365E21" w:rsidRPr="0094771C" w14:paraId="00A186B1" w14:textId="77777777">
            <w:pPr>
              <w:rPr>
                <w:rFonts w:ascii="Arial" w:hAnsi="Arial" w:cs="Arial"/>
                <w:color w:val="000000"/>
                <w:sz w:val="16"/>
                <w:szCs w:val="16"/>
              </w:rPr>
            </w:pPr>
            <w:r w:rsidRPr="0094771C">
              <w:rPr>
                <w:rFonts w:ascii="Arial" w:hAnsi="Arial" w:cs="Arial"/>
                <w:color w:val="000000"/>
                <w:sz w:val="16"/>
                <w:szCs w:val="16"/>
              </w:rPr>
              <w:t>Third-party disclosure</w:t>
            </w:r>
          </w:p>
        </w:tc>
        <w:tc>
          <w:tcPr>
            <w:tcW w:w="990" w:type="dxa"/>
            <w:tcBorders>
              <w:top w:val="nil"/>
              <w:left w:val="nil"/>
              <w:bottom w:val="single" w:sz="8" w:space="0" w:color="auto"/>
              <w:right w:val="single" w:sz="4" w:space="0" w:color="auto"/>
            </w:tcBorders>
            <w:vAlign w:val="center"/>
            <w:hideMark/>
          </w:tcPr>
          <w:p w:rsidR="00365E21" w:rsidRPr="0094771C" w14:paraId="4FB8E00F"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8" w:space="0" w:color="auto"/>
              <w:right w:val="single" w:sz="4" w:space="0" w:color="auto"/>
            </w:tcBorders>
            <w:vAlign w:val="center"/>
            <w:hideMark/>
          </w:tcPr>
          <w:p w:rsidR="00365E21" w:rsidRPr="0094771C" w14:paraId="02787C4A"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8" w:space="0" w:color="auto"/>
              <w:right w:val="single" w:sz="4" w:space="0" w:color="auto"/>
            </w:tcBorders>
            <w:vAlign w:val="center"/>
            <w:hideMark/>
          </w:tcPr>
          <w:p w:rsidR="00365E21" w:rsidRPr="0094771C" w14:paraId="6344E3D8"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1080" w:type="dxa"/>
            <w:tcBorders>
              <w:top w:val="nil"/>
              <w:left w:val="nil"/>
              <w:bottom w:val="single" w:sz="8" w:space="0" w:color="auto"/>
              <w:right w:val="single" w:sz="4" w:space="0" w:color="auto"/>
            </w:tcBorders>
            <w:vAlign w:val="center"/>
            <w:hideMark/>
          </w:tcPr>
          <w:p w:rsidR="00365E21" w:rsidRPr="0094771C" w14:paraId="64E5C1D1"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1080" w:type="dxa"/>
            <w:tcBorders>
              <w:top w:val="nil"/>
              <w:left w:val="nil"/>
              <w:bottom w:val="single" w:sz="8" w:space="0" w:color="auto"/>
              <w:right w:val="single" w:sz="4" w:space="0" w:color="auto"/>
            </w:tcBorders>
            <w:vAlign w:val="center"/>
            <w:hideMark/>
          </w:tcPr>
          <w:p w:rsidR="00365E21" w:rsidRPr="0094771C" w14:paraId="5D49526E" w14:textId="77777777">
            <w:pPr>
              <w:jc w:val="right"/>
              <w:rPr>
                <w:rFonts w:ascii="Arial" w:hAnsi="Arial" w:cs="Arial"/>
                <w:color w:val="000000"/>
                <w:sz w:val="16"/>
                <w:szCs w:val="16"/>
              </w:rPr>
            </w:pPr>
            <w:r w:rsidRPr="0094771C">
              <w:rPr>
                <w:rFonts w:ascii="Arial" w:hAnsi="Arial" w:cs="Arial"/>
                <w:color w:val="000000"/>
                <w:sz w:val="16"/>
                <w:szCs w:val="16"/>
              </w:rPr>
              <w:t>1</w:t>
            </w:r>
          </w:p>
        </w:tc>
      </w:tr>
      <w:tr w14:paraId="2BC11D81" w14:textId="77777777" w:rsidTr="006F1BD7">
        <w:tblPrEx>
          <w:tblW w:w="10800" w:type="dxa"/>
          <w:tblInd w:w="-905" w:type="dxa"/>
          <w:tblLook w:val="04A0"/>
        </w:tblPrEx>
        <w:trPr>
          <w:trHeight w:val="435"/>
        </w:trPr>
        <w:tc>
          <w:tcPr>
            <w:tcW w:w="5670" w:type="dxa"/>
            <w:gridSpan w:val="3"/>
            <w:tcBorders>
              <w:top w:val="single" w:sz="8" w:space="0" w:color="auto"/>
              <w:left w:val="single" w:sz="4" w:space="0" w:color="auto"/>
              <w:bottom w:val="single" w:sz="4" w:space="0" w:color="auto"/>
              <w:right w:val="single" w:sz="4" w:space="0" w:color="000000"/>
            </w:tcBorders>
            <w:noWrap/>
            <w:vAlign w:val="center"/>
            <w:hideMark/>
          </w:tcPr>
          <w:p w:rsidR="00365E21" w:rsidRPr="0094771C" w14:paraId="5ECEBEA9" w14:textId="77777777">
            <w:pPr>
              <w:jc w:val="right"/>
              <w:rPr>
                <w:rFonts w:ascii="Arial" w:hAnsi="Arial" w:cs="Arial"/>
                <w:color w:val="000000"/>
                <w:sz w:val="16"/>
                <w:szCs w:val="16"/>
              </w:rPr>
            </w:pPr>
            <w:r w:rsidRPr="0094771C">
              <w:rPr>
                <w:rFonts w:ascii="Arial" w:hAnsi="Arial" w:cs="Arial"/>
                <w:color w:val="000000"/>
                <w:sz w:val="16"/>
                <w:szCs w:val="16"/>
              </w:rPr>
              <w:t>TOTAL</w:t>
            </w:r>
          </w:p>
        </w:tc>
        <w:tc>
          <w:tcPr>
            <w:tcW w:w="990" w:type="dxa"/>
            <w:tcBorders>
              <w:top w:val="nil"/>
              <w:left w:val="nil"/>
              <w:bottom w:val="single" w:sz="4" w:space="0" w:color="auto"/>
              <w:right w:val="single" w:sz="4" w:space="0" w:color="auto"/>
            </w:tcBorders>
            <w:noWrap/>
            <w:vAlign w:val="center"/>
            <w:hideMark/>
          </w:tcPr>
          <w:p w:rsidR="00365E21" w:rsidRPr="0094771C" w14:paraId="3C753196" w14:textId="77777777">
            <w:pPr>
              <w:jc w:val="right"/>
              <w:rPr>
                <w:rFonts w:ascii="Arial" w:hAnsi="Arial" w:cs="Arial"/>
                <w:color w:val="000000"/>
                <w:sz w:val="16"/>
                <w:szCs w:val="16"/>
              </w:rPr>
            </w:pPr>
            <w:r w:rsidRPr="0094771C">
              <w:rPr>
                <w:rFonts w:ascii="Arial" w:hAnsi="Arial" w:cs="Arial"/>
                <w:color w:val="000000"/>
                <w:sz w:val="16"/>
                <w:szCs w:val="16"/>
              </w:rPr>
              <w:t>1</w:t>
            </w:r>
          </w:p>
        </w:tc>
        <w:tc>
          <w:tcPr>
            <w:tcW w:w="990" w:type="dxa"/>
            <w:tcBorders>
              <w:top w:val="nil"/>
              <w:left w:val="nil"/>
              <w:bottom w:val="single" w:sz="4" w:space="0" w:color="auto"/>
              <w:right w:val="single" w:sz="4" w:space="0" w:color="auto"/>
            </w:tcBorders>
            <w:shd w:val="clear" w:color="auto" w:fill="262626" w:themeFill="text1" w:themeFillTint="D9"/>
            <w:noWrap/>
            <w:vAlign w:val="center"/>
            <w:hideMark/>
          </w:tcPr>
          <w:p w:rsidR="00365E21" w:rsidRPr="0094771C" w14:paraId="76FC1950" w14:textId="24850479">
            <w:pPr>
              <w:jc w:val="right"/>
              <w:rPr>
                <w:rFonts w:ascii="Arial" w:hAnsi="Arial" w:cs="Arial"/>
                <w:color w:val="000000"/>
                <w:sz w:val="16"/>
                <w:szCs w:val="16"/>
              </w:rPr>
            </w:pPr>
          </w:p>
        </w:tc>
        <w:tc>
          <w:tcPr>
            <w:tcW w:w="990" w:type="dxa"/>
            <w:tcBorders>
              <w:top w:val="nil"/>
              <w:left w:val="nil"/>
              <w:bottom w:val="single" w:sz="4" w:space="0" w:color="auto"/>
              <w:right w:val="single" w:sz="4" w:space="0" w:color="auto"/>
            </w:tcBorders>
            <w:noWrap/>
            <w:vAlign w:val="center"/>
            <w:hideMark/>
          </w:tcPr>
          <w:p w:rsidR="00365E21" w:rsidRPr="0094771C" w14:paraId="4063F964" w14:textId="77777777">
            <w:pPr>
              <w:jc w:val="right"/>
              <w:rPr>
                <w:rFonts w:ascii="Arial" w:hAnsi="Arial" w:cs="Arial"/>
                <w:color w:val="000000"/>
                <w:sz w:val="16"/>
                <w:szCs w:val="16"/>
              </w:rPr>
            </w:pPr>
            <w:r w:rsidRPr="0094771C">
              <w:rPr>
                <w:rFonts w:ascii="Arial" w:hAnsi="Arial" w:cs="Arial"/>
                <w:color w:val="000000"/>
                <w:sz w:val="16"/>
                <w:szCs w:val="16"/>
              </w:rPr>
              <w:t>5</w:t>
            </w:r>
          </w:p>
        </w:tc>
        <w:tc>
          <w:tcPr>
            <w:tcW w:w="1080" w:type="dxa"/>
            <w:tcBorders>
              <w:top w:val="nil"/>
              <w:left w:val="nil"/>
              <w:bottom w:val="single" w:sz="4" w:space="0" w:color="auto"/>
              <w:right w:val="single" w:sz="4" w:space="0" w:color="auto"/>
            </w:tcBorders>
            <w:shd w:val="clear" w:color="auto" w:fill="262626" w:themeFill="text1" w:themeFillTint="D9"/>
            <w:noWrap/>
            <w:vAlign w:val="center"/>
            <w:hideMark/>
          </w:tcPr>
          <w:p w:rsidR="00365E21" w:rsidRPr="0094771C" w14:paraId="56633763" w14:textId="1E095C3E">
            <w:pPr>
              <w:jc w:val="right"/>
              <w:rPr>
                <w:rFonts w:ascii="Arial" w:hAnsi="Arial" w:cs="Arial"/>
                <w:color w:val="000000"/>
                <w:sz w:val="16"/>
                <w:szCs w:val="16"/>
              </w:rPr>
            </w:pPr>
          </w:p>
        </w:tc>
        <w:tc>
          <w:tcPr>
            <w:tcW w:w="1080" w:type="dxa"/>
            <w:tcBorders>
              <w:top w:val="nil"/>
              <w:left w:val="nil"/>
              <w:bottom w:val="single" w:sz="4" w:space="0" w:color="auto"/>
              <w:right w:val="single" w:sz="4" w:space="0" w:color="auto"/>
            </w:tcBorders>
            <w:vAlign w:val="center"/>
            <w:hideMark/>
          </w:tcPr>
          <w:p w:rsidR="00365E21" w:rsidRPr="0094771C" w14:paraId="3750A470" w14:textId="77777777">
            <w:pPr>
              <w:jc w:val="right"/>
              <w:rPr>
                <w:rFonts w:ascii="Arial" w:hAnsi="Arial" w:cs="Arial"/>
                <w:color w:val="000000"/>
                <w:sz w:val="16"/>
                <w:szCs w:val="16"/>
              </w:rPr>
            </w:pPr>
            <w:r w:rsidRPr="0094771C">
              <w:rPr>
                <w:rFonts w:ascii="Arial" w:hAnsi="Arial" w:cs="Arial"/>
                <w:color w:val="000000"/>
                <w:sz w:val="16"/>
                <w:szCs w:val="16"/>
              </w:rPr>
              <w:t>12</w:t>
            </w:r>
          </w:p>
        </w:tc>
      </w:tr>
    </w:tbl>
    <w:p w:rsidR="00A62F23" w:rsidRPr="00753B95" w:rsidP="0098332B" w14:paraId="61895D20" w14:textId="77777777">
      <w:pPr>
        <w:pStyle w:val="NoSpacing"/>
      </w:pPr>
    </w:p>
    <w:p w:rsidR="00365E21" w14:paraId="2142D52D" w14:textId="77777777">
      <w:pPr>
        <w:sectPr w:rsidSect="00B14E32">
          <w:type w:val="continuous"/>
          <w:pgSz w:w="12240" w:h="15840"/>
          <w:pgMar w:top="1440" w:right="1440" w:bottom="1440" w:left="1440" w:header="720" w:footer="720" w:gutter="0"/>
          <w:cols w:space="720"/>
          <w:docGrid w:linePitch="360"/>
        </w:sectPr>
      </w:pPr>
    </w:p>
    <w:p w:rsidR="007B0C02" w:rsidP="007B0C02" w14:paraId="59CEAD0E" w14:textId="210621D2">
      <w:pPr>
        <w:jc w:val="center"/>
      </w:pPr>
    </w:p>
    <w:p w:rsidR="006F1BD7" w:rsidP="007B0C02" w14:paraId="47C3A32B" w14:textId="77777777">
      <w:pPr>
        <w:jc w:val="center"/>
      </w:pPr>
    </w:p>
    <w:p w:rsidR="006F1BD7" w:rsidRPr="00753B95" w:rsidP="007B0C02" w14:paraId="30CAB658" w14:textId="77777777">
      <w:pPr>
        <w:jc w:val="center"/>
      </w:pPr>
    </w:p>
    <w:tbl>
      <w:tblPr>
        <w:tblStyle w:val="TableGrid"/>
        <w:tblW w:w="9100" w:type="dxa"/>
        <w:tblInd w:w="175" w:type="dxa"/>
        <w:tblLook w:val="04A0"/>
      </w:tblPr>
      <w:tblGrid>
        <w:gridCol w:w="3510"/>
        <w:gridCol w:w="1239"/>
        <w:gridCol w:w="1296"/>
        <w:gridCol w:w="1425"/>
        <w:gridCol w:w="1620"/>
        <w:gridCol w:w="10"/>
      </w:tblGrid>
      <w:tr w14:paraId="57FB618E" w14:textId="77777777" w:rsidTr="001F0BA1">
        <w:tblPrEx>
          <w:tblW w:w="9100" w:type="dxa"/>
          <w:tblInd w:w="175" w:type="dxa"/>
          <w:tblLook w:val="04A0"/>
        </w:tblPrEx>
        <w:tc>
          <w:tcPr>
            <w:tcW w:w="9100" w:type="dxa"/>
            <w:gridSpan w:val="6"/>
            <w:shd w:val="clear" w:color="auto" w:fill="D9D9D9" w:themeFill="background1" w:themeFillShade="D9"/>
          </w:tcPr>
          <w:p w:rsidR="000C16EE" w:rsidRPr="001F0BA1" w:rsidP="0098332B" w14:paraId="68D1E998" w14:textId="17211DF3">
            <w:pPr>
              <w:jc w:val="center"/>
              <w:rPr>
                <w:rFonts w:ascii="Arial Rounded MT Bold" w:hAnsi="Arial Rounded MT Bold"/>
                <w:sz w:val="20"/>
                <w:szCs w:val="20"/>
              </w:rPr>
            </w:pPr>
            <w:r w:rsidRPr="001F0BA1">
              <w:rPr>
                <w:rFonts w:ascii="Arial Rounded MT Bold" w:hAnsi="Arial Rounded MT Bold"/>
                <w:sz w:val="20"/>
                <w:szCs w:val="20"/>
              </w:rPr>
              <w:t>Summary of Burden</w:t>
            </w:r>
          </w:p>
        </w:tc>
      </w:tr>
      <w:tr w14:paraId="2624746B" w14:textId="77777777" w:rsidTr="00551F4E">
        <w:tblPrEx>
          <w:tblW w:w="9100" w:type="dxa"/>
          <w:tblInd w:w="175" w:type="dxa"/>
          <w:tblLook w:val="04A0"/>
        </w:tblPrEx>
        <w:trPr>
          <w:gridAfter w:val="1"/>
          <w:wAfter w:w="10" w:type="dxa"/>
        </w:trPr>
        <w:tc>
          <w:tcPr>
            <w:tcW w:w="3510" w:type="dxa"/>
            <w:shd w:val="clear" w:color="auto" w:fill="C6D9F0" w:themeFill="text2" w:themeFillTint="33"/>
            <w:vAlign w:val="center"/>
          </w:tcPr>
          <w:p w:rsidR="000C16EE" w:rsidRPr="001F0BA1" w:rsidP="0098332B" w14:paraId="61DA6FA8" w14:textId="77777777">
            <w:pPr>
              <w:jc w:val="center"/>
              <w:rPr>
                <w:rFonts w:ascii="Arial Narrow" w:hAnsi="Arial Narrow"/>
                <w:sz w:val="16"/>
                <w:szCs w:val="16"/>
              </w:rPr>
            </w:pPr>
            <w:r w:rsidRPr="001F0BA1">
              <w:rPr>
                <w:rFonts w:ascii="Arial Narrow" w:hAnsi="Arial Narrow"/>
                <w:sz w:val="16"/>
                <w:szCs w:val="16"/>
              </w:rPr>
              <w:t>Information Collection</w:t>
            </w:r>
          </w:p>
          <w:p w:rsidR="000C16EE" w:rsidRPr="001F0BA1" w:rsidP="0098332B" w14:paraId="13FA6F87" w14:textId="77777777">
            <w:pPr>
              <w:jc w:val="center"/>
              <w:rPr>
                <w:rFonts w:ascii="Arial Narrow" w:hAnsi="Arial Narrow"/>
                <w:sz w:val="16"/>
                <w:szCs w:val="16"/>
              </w:rPr>
            </w:pPr>
            <w:r w:rsidRPr="001F0BA1">
              <w:rPr>
                <w:rFonts w:ascii="Arial Narrow" w:hAnsi="Arial Narrow"/>
                <w:sz w:val="16"/>
                <w:szCs w:val="16"/>
              </w:rPr>
              <w:t>Activity</w:t>
            </w:r>
          </w:p>
        </w:tc>
        <w:tc>
          <w:tcPr>
            <w:tcW w:w="1239" w:type="dxa"/>
            <w:shd w:val="clear" w:color="auto" w:fill="C6D9F0" w:themeFill="text2" w:themeFillTint="33"/>
            <w:vAlign w:val="center"/>
          </w:tcPr>
          <w:p w:rsidR="000C16EE" w:rsidRPr="001F0BA1" w:rsidP="0098332B" w14:paraId="09954C50" w14:textId="77777777">
            <w:pPr>
              <w:jc w:val="center"/>
              <w:rPr>
                <w:rFonts w:ascii="Arial Narrow" w:hAnsi="Arial Narrow"/>
                <w:sz w:val="16"/>
                <w:szCs w:val="16"/>
              </w:rPr>
            </w:pPr>
            <w:r w:rsidRPr="001F0BA1">
              <w:rPr>
                <w:rFonts w:ascii="Arial Narrow" w:hAnsi="Arial Narrow"/>
                <w:sz w:val="16"/>
                <w:szCs w:val="16"/>
              </w:rPr>
              <w:t>Number of Respondents</w:t>
            </w:r>
          </w:p>
        </w:tc>
        <w:tc>
          <w:tcPr>
            <w:tcW w:w="1296" w:type="dxa"/>
            <w:shd w:val="clear" w:color="auto" w:fill="C6D9F0" w:themeFill="text2" w:themeFillTint="33"/>
            <w:vAlign w:val="center"/>
          </w:tcPr>
          <w:p w:rsidR="000C16EE" w:rsidRPr="001F0BA1" w:rsidP="0098332B" w14:paraId="3F9D4A5E" w14:textId="77777777">
            <w:pPr>
              <w:jc w:val="center"/>
              <w:rPr>
                <w:rFonts w:ascii="Arial Narrow" w:hAnsi="Arial Narrow"/>
                <w:sz w:val="16"/>
                <w:szCs w:val="16"/>
              </w:rPr>
            </w:pPr>
            <w:r w:rsidRPr="001F0BA1">
              <w:rPr>
                <w:rFonts w:ascii="Arial Narrow" w:hAnsi="Arial Narrow"/>
                <w:sz w:val="16"/>
                <w:szCs w:val="16"/>
              </w:rPr>
              <w:t>Total Annual Responses per Respondent</w:t>
            </w:r>
          </w:p>
        </w:tc>
        <w:tc>
          <w:tcPr>
            <w:tcW w:w="1425" w:type="dxa"/>
            <w:shd w:val="clear" w:color="auto" w:fill="C6D9F0" w:themeFill="text2" w:themeFillTint="33"/>
            <w:vAlign w:val="center"/>
          </w:tcPr>
          <w:p w:rsidR="000C16EE" w:rsidRPr="001F0BA1" w:rsidP="0098332B" w14:paraId="103ABF8F" w14:textId="77777777">
            <w:pPr>
              <w:jc w:val="center"/>
              <w:rPr>
                <w:rFonts w:ascii="Arial Narrow" w:hAnsi="Arial Narrow"/>
                <w:sz w:val="16"/>
                <w:szCs w:val="16"/>
              </w:rPr>
            </w:pPr>
            <w:r w:rsidRPr="001F0BA1">
              <w:rPr>
                <w:rFonts w:ascii="Arial Narrow" w:hAnsi="Arial Narrow"/>
                <w:sz w:val="16"/>
                <w:szCs w:val="16"/>
              </w:rPr>
              <w:t>Total Annual Burden Hours</w:t>
            </w:r>
          </w:p>
        </w:tc>
        <w:tc>
          <w:tcPr>
            <w:tcW w:w="1620" w:type="dxa"/>
            <w:shd w:val="clear" w:color="auto" w:fill="C6D9F0" w:themeFill="text2" w:themeFillTint="33"/>
            <w:vAlign w:val="center"/>
          </w:tcPr>
          <w:p w:rsidR="00D3345D" w:rsidRPr="001F0BA1" w:rsidP="000C16EE" w14:paraId="313FF826" w14:textId="77777777">
            <w:pPr>
              <w:jc w:val="center"/>
              <w:rPr>
                <w:rFonts w:ascii="Arial Narrow" w:hAnsi="Arial Narrow"/>
                <w:sz w:val="16"/>
                <w:szCs w:val="16"/>
              </w:rPr>
            </w:pPr>
            <w:r w:rsidRPr="001F0BA1">
              <w:rPr>
                <w:rFonts w:ascii="Arial Narrow" w:hAnsi="Arial Narrow"/>
                <w:sz w:val="16"/>
                <w:szCs w:val="16"/>
              </w:rPr>
              <w:t xml:space="preserve">Total Annual Labor Cost </w:t>
            </w:r>
          </w:p>
          <w:p w:rsidR="000C16EE" w:rsidRPr="001F0BA1" w:rsidP="000C16EE" w14:paraId="38D38866" w14:textId="276A2971">
            <w:pPr>
              <w:jc w:val="center"/>
              <w:rPr>
                <w:rFonts w:ascii="Arial Narrow" w:hAnsi="Arial Narrow"/>
                <w:sz w:val="16"/>
                <w:szCs w:val="16"/>
              </w:rPr>
            </w:pPr>
            <w:r w:rsidRPr="001F0BA1">
              <w:rPr>
                <w:rFonts w:ascii="Arial Narrow" w:hAnsi="Arial Narrow"/>
                <w:sz w:val="16"/>
                <w:szCs w:val="16"/>
              </w:rPr>
              <w:t>(based on $35</w:t>
            </w:r>
            <w:r w:rsidR="00525F37">
              <w:rPr>
                <w:rFonts w:ascii="Arial Narrow" w:hAnsi="Arial Narrow"/>
                <w:sz w:val="16"/>
                <w:szCs w:val="16"/>
              </w:rPr>
              <w:t>/</w:t>
            </w:r>
            <w:r w:rsidRPr="001F0BA1">
              <w:rPr>
                <w:rFonts w:ascii="Arial Narrow" w:hAnsi="Arial Narrow"/>
                <w:sz w:val="16"/>
                <w:szCs w:val="16"/>
              </w:rPr>
              <w:t>hr.)</w:t>
            </w:r>
          </w:p>
        </w:tc>
      </w:tr>
      <w:tr w14:paraId="7EE95A37" w14:textId="77777777" w:rsidTr="001F0BA1">
        <w:tblPrEx>
          <w:tblW w:w="9100" w:type="dxa"/>
          <w:tblInd w:w="175" w:type="dxa"/>
          <w:tblLook w:val="04A0"/>
        </w:tblPrEx>
        <w:trPr>
          <w:gridAfter w:val="1"/>
          <w:wAfter w:w="10" w:type="dxa"/>
        </w:trPr>
        <w:tc>
          <w:tcPr>
            <w:tcW w:w="3510" w:type="dxa"/>
            <w:vAlign w:val="center"/>
          </w:tcPr>
          <w:p w:rsidR="000C16EE" w:rsidRPr="001F0BA1" w:rsidP="0098332B" w14:paraId="5F92EBA9" w14:textId="77777777">
            <w:pPr>
              <w:rPr>
                <w:sz w:val="18"/>
                <w:szCs w:val="18"/>
              </w:rPr>
            </w:pPr>
            <w:r w:rsidRPr="001F0BA1">
              <w:rPr>
                <w:sz w:val="18"/>
                <w:szCs w:val="18"/>
              </w:rPr>
              <w:t>Mergers</w:t>
            </w:r>
          </w:p>
        </w:tc>
        <w:tc>
          <w:tcPr>
            <w:tcW w:w="1239" w:type="dxa"/>
            <w:vAlign w:val="center"/>
          </w:tcPr>
          <w:p w:rsidR="000C16EE" w:rsidRPr="001F0BA1" w:rsidP="00091F95" w14:paraId="2267947A" w14:textId="6B6E2B3C">
            <w:pPr>
              <w:tabs>
                <w:tab w:val="right" w:pos="702"/>
              </w:tabs>
              <w:rPr>
                <w:sz w:val="18"/>
                <w:szCs w:val="18"/>
              </w:rPr>
            </w:pPr>
            <w:r w:rsidRPr="001F0BA1">
              <w:rPr>
                <w:sz w:val="18"/>
                <w:szCs w:val="18"/>
              </w:rPr>
              <w:tab/>
            </w:r>
            <w:r w:rsidR="002C177A">
              <w:rPr>
                <w:sz w:val="18"/>
                <w:szCs w:val="18"/>
              </w:rPr>
              <w:t>160</w:t>
            </w:r>
          </w:p>
        </w:tc>
        <w:tc>
          <w:tcPr>
            <w:tcW w:w="1296" w:type="dxa"/>
            <w:vAlign w:val="center"/>
          </w:tcPr>
          <w:p w:rsidR="000C16EE" w:rsidRPr="001F0BA1" w:rsidP="00D3345D" w14:paraId="7AB7DD3D" w14:textId="43B0C9FC">
            <w:pPr>
              <w:tabs>
                <w:tab w:val="right" w:pos="813"/>
              </w:tabs>
              <w:rPr>
                <w:sz w:val="18"/>
                <w:szCs w:val="18"/>
              </w:rPr>
            </w:pPr>
            <w:r w:rsidRPr="001F0BA1">
              <w:rPr>
                <w:sz w:val="18"/>
                <w:szCs w:val="18"/>
              </w:rPr>
              <w:tab/>
            </w:r>
            <w:r w:rsidR="00AB1744">
              <w:rPr>
                <w:sz w:val="18"/>
                <w:szCs w:val="18"/>
              </w:rPr>
              <w:t>960</w:t>
            </w:r>
          </w:p>
        </w:tc>
        <w:tc>
          <w:tcPr>
            <w:tcW w:w="1425" w:type="dxa"/>
            <w:vAlign w:val="center"/>
          </w:tcPr>
          <w:p w:rsidR="000C16EE" w:rsidRPr="001F0BA1" w:rsidP="00D3345D" w14:paraId="7AAF73F4" w14:textId="272205D9">
            <w:pPr>
              <w:tabs>
                <w:tab w:val="right" w:pos="957"/>
              </w:tabs>
              <w:rPr>
                <w:sz w:val="18"/>
                <w:szCs w:val="18"/>
              </w:rPr>
            </w:pPr>
            <w:r w:rsidRPr="001F0BA1">
              <w:rPr>
                <w:sz w:val="18"/>
                <w:szCs w:val="18"/>
              </w:rPr>
              <w:tab/>
            </w:r>
            <w:r w:rsidR="00AB1744">
              <w:rPr>
                <w:sz w:val="18"/>
                <w:szCs w:val="18"/>
              </w:rPr>
              <w:t>5,280</w:t>
            </w:r>
          </w:p>
        </w:tc>
        <w:tc>
          <w:tcPr>
            <w:tcW w:w="1620" w:type="dxa"/>
            <w:vAlign w:val="center"/>
          </w:tcPr>
          <w:p w:rsidR="000C16EE" w:rsidRPr="001F0BA1" w:rsidP="00D3345D" w14:paraId="38004F27" w14:textId="3EFC019B">
            <w:pPr>
              <w:jc w:val="right"/>
              <w:rPr>
                <w:sz w:val="18"/>
                <w:szCs w:val="18"/>
              </w:rPr>
            </w:pPr>
            <w:r w:rsidRPr="001F0BA1">
              <w:rPr>
                <w:sz w:val="18"/>
                <w:szCs w:val="18"/>
              </w:rPr>
              <w:t>$</w:t>
            </w:r>
            <w:r w:rsidR="006D5150">
              <w:rPr>
                <w:sz w:val="18"/>
                <w:szCs w:val="18"/>
              </w:rPr>
              <w:t>1</w:t>
            </w:r>
            <w:r w:rsidR="00AB1744">
              <w:rPr>
                <w:sz w:val="18"/>
                <w:szCs w:val="18"/>
              </w:rPr>
              <w:t>84</w:t>
            </w:r>
            <w:r w:rsidR="006D5150">
              <w:rPr>
                <w:sz w:val="18"/>
                <w:szCs w:val="18"/>
              </w:rPr>
              <w:t>,</w:t>
            </w:r>
            <w:r w:rsidR="00AB1744">
              <w:rPr>
                <w:sz w:val="18"/>
                <w:szCs w:val="18"/>
              </w:rPr>
              <w:t>8</w:t>
            </w:r>
            <w:r w:rsidR="006D5150">
              <w:rPr>
                <w:sz w:val="18"/>
                <w:szCs w:val="18"/>
              </w:rPr>
              <w:t>00</w:t>
            </w:r>
          </w:p>
        </w:tc>
      </w:tr>
      <w:tr w14:paraId="164F1DF1" w14:textId="77777777" w:rsidTr="001F0BA1">
        <w:tblPrEx>
          <w:tblW w:w="9100" w:type="dxa"/>
          <w:tblInd w:w="175" w:type="dxa"/>
          <w:tblLook w:val="04A0"/>
        </w:tblPrEx>
        <w:trPr>
          <w:gridAfter w:val="1"/>
          <w:wAfter w:w="10" w:type="dxa"/>
        </w:trPr>
        <w:tc>
          <w:tcPr>
            <w:tcW w:w="3510" w:type="dxa"/>
            <w:vAlign w:val="center"/>
          </w:tcPr>
          <w:p w:rsidR="000C16EE" w:rsidRPr="001F0BA1" w:rsidP="0098332B" w14:paraId="5936E205" w14:textId="77777777">
            <w:pPr>
              <w:rPr>
                <w:sz w:val="18"/>
                <w:szCs w:val="18"/>
              </w:rPr>
            </w:pPr>
            <w:r w:rsidRPr="001F0BA1">
              <w:rPr>
                <w:sz w:val="18"/>
                <w:szCs w:val="18"/>
              </w:rPr>
              <w:t>Share Insurance Conversions</w:t>
            </w:r>
          </w:p>
        </w:tc>
        <w:tc>
          <w:tcPr>
            <w:tcW w:w="1239" w:type="dxa"/>
            <w:vAlign w:val="center"/>
          </w:tcPr>
          <w:p w:rsidR="000C16EE" w:rsidRPr="001F0BA1" w:rsidP="00091F95" w14:paraId="2989C557" w14:textId="09BBB2A6">
            <w:pPr>
              <w:tabs>
                <w:tab w:val="right" w:pos="702"/>
              </w:tabs>
              <w:rPr>
                <w:sz w:val="18"/>
                <w:szCs w:val="18"/>
              </w:rPr>
            </w:pPr>
            <w:r w:rsidRPr="001F0BA1">
              <w:rPr>
                <w:sz w:val="18"/>
                <w:szCs w:val="18"/>
              </w:rPr>
              <w:tab/>
            </w:r>
            <w:r w:rsidR="00DB7792">
              <w:rPr>
                <w:sz w:val="18"/>
                <w:szCs w:val="18"/>
              </w:rPr>
              <w:t>2</w:t>
            </w:r>
          </w:p>
        </w:tc>
        <w:tc>
          <w:tcPr>
            <w:tcW w:w="1296" w:type="dxa"/>
            <w:vAlign w:val="center"/>
          </w:tcPr>
          <w:p w:rsidR="000C16EE" w:rsidRPr="001F0BA1" w:rsidP="00091F95" w14:paraId="2564672F" w14:textId="00C12D9A">
            <w:pPr>
              <w:tabs>
                <w:tab w:val="right" w:pos="813"/>
              </w:tabs>
              <w:rPr>
                <w:sz w:val="18"/>
                <w:szCs w:val="18"/>
              </w:rPr>
            </w:pPr>
            <w:r w:rsidRPr="001F0BA1">
              <w:rPr>
                <w:sz w:val="18"/>
                <w:szCs w:val="18"/>
              </w:rPr>
              <w:tab/>
            </w:r>
            <w:r w:rsidR="00046B6A">
              <w:rPr>
                <w:sz w:val="18"/>
                <w:szCs w:val="18"/>
              </w:rPr>
              <w:t>1</w:t>
            </w:r>
            <w:r w:rsidRPr="001F0BA1" w:rsidR="002861E9">
              <w:rPr>
                <w:sz w:val="18"/>
                <w:szCs w:val="18"/>
              </w:rPr>
              <w:t>0</w:t>
            </w:r>
          </w:p>
        </w:tc>
        <w:tc>
          <w:tcPr>
            <w:tcW w:w="1425" w:type="dxa"/>
            <w:vAlign w:val="center"/>
          </w:tcPr>
          <w:p w:rsidR="000C16EE" w:rsidRPr="001F0BA1" w:rsidP="00091F95" w14:paraId="17D741FB" w14:textId="0DFF2642">
            <w:pPr>
              <w:tabs>
                <w:tab w:val="right" w:pos="957"/>
              </w:tabs>
              <w:rPr>
                <w:sz w:val="18"/>
                <w:szCs w:val="18"/>
              </w:rPr>
            </w:pPr>
            <w:r w:rsidRPr="001F0BA1">
              <w:rPr>
                <w:sz w:val="18"/>
                <w:szCs w:val="18"/>
              </w:rPr>
              <w:tab/>
            </w:r>
            <w:r w:rsidR="00046B6A">
              <w:rPr>
                <w:sz w:val="18"/>
                <w:szCs w:val="18"/>
              </w:rPr>
              <w:t>3</w:t>
            </w:r>
            <w:r w:rsidRPr="001F0BA1" w:rsidR="00037B8F">
              <w:rPr>
                <w:sz w:val="18"/>
                <w:szCs w:val="18"/>
              </w:rPr>
              <w:t>0</w:t>
            </w:r>
          </w:p>
        </w:tc>
        <w:tc>
          <w:tcPr>
            <w:tcW w:w="1620" w:type="dxa"/>
            <w:vAlign w:val="center"/>
          </w:tcPr>
          <w:p w:rsidR="000C16EE" w:rsidRPr="001F0BA1" w:rsidP="00D3345D" w14:paraId="380AEDBC" w14:textId="106B7AD7">
            <w:pPr>
              <w:jc w:val="right"/>
              <w:rPr>
                <w:sz w:val="18"/>
                <w:szCs w:val="18"/>
              </w:rPr>
            </w:pPr>
            <w:r w:rsidRPr="001F0BA1">
              <w:rPr>
                <w:sz w:val="18"/>
                <w:szCs w:val="18"/>
              </w:rPr>
              <w:t>$</w:t>
            </w:r>
            <w:r w:rsidR="00394A56">
              <w:rPr>
                <w:sz w:val="18"/>
                <w:szCs w:val="18"/>
              </w:rPr>
              <w:t>1,05</w:t>
            </w:r>
            <w:r w:rsidR="006D5150">
              <w:rPr>
                <w:sz w:val="18"/>
                <w:szCs w:val="18"/>
              </w:rPr>
              <w:t>0</w:t>
            </w:r>
          </w:p>
        </w:tc>
      </w:tr>
      <w:tr w14:paraId="0608D066" w14:textId="77777777" w:rsidTr="001F0BA1">
        <w:tblPrEx>
          <w:tblW w:w="9100" w:type="dxa"/>
          <w:tblInd w:w="175" w:type="dxa"/>
          <w:tblLook w:val="04A0"/>
        </w:tblPrEx>
        <w:trPr>
          <w:gridAfter w:val="1"/>
          <w:wAfter w:w="10" w:type="dxa"/>
        </w:trPr>
        <w:tc>
          <w:tcPr>
            <w:tcW w:w="3510" w:type="dxa"/>
            <w:vAlign w:val="center"/>
          </w:tcPr>
          <w:p w:rsidR="000C16EE" w:rsidRPr="001F0BA1" w:rsidP="0098332B" w14:paraId="743C5574" w14:textId="77777777">
            <w:pPr>
              <w:rPr>
                <w:sz w:val="18"/>
                <w:szCs w:val="18"/>
              </w:rPr>
            </w:pPr>
            <w:r w:rsidRPr="001F0BA1">
              <w:rPr>
                <w:sz w:val="18"/>
                <w:szCs w:val="18"/>
              </w:rPr>
              <w:t>Share Insurance Terminations</w:t>
            </w:r>
          </w:p>
        </w:tc>
        <w:tc>
          <w:tcPr>
            <w:tcW w:w="1239" w:type="dxa"/>
            <w:vAlign w:val="center"/>
          </w:tcPr>
          <w:p w:rsidR="000C16EE" w:rsidRPr="001F0BA1" w:rsidP="00091F95" w14:paraId="49A7381A" w14:textId="46CCC5C5">
            <w:pPr>
              <w:tabs>
                <w:tab w:val="right" w:pos="702"/>
              </w:tabs>
              <w:rPr>
                <w:sz w:val="18"/>
                <w:szCs w:val="18"/>
              </w:rPr>
            </w:pPr>
            <w:r w:rsidRPr="001F0BA1">
              <w:rPr>
                <w:sz w:val="18"/>
                <w:szCs w:val="18"/>
              </w:rPr>
              <w:tab/>
            </w:r>
            <w:r w:rsidRPr="001F0BA1" w:rsidR="002861E9">
              <w:rPr>
                <w:sz w:val="18"/>
                <w:szCs w:val="18"/>
              </w:rPr>
              <w:t>1</w:t>
            </w:r>
          </w:p>
        </w:tc>
        <w:tc>
          <w:tcPr>
            <w:tcW w:w="1296" w:type="dxa"/>
            <w:vAlign w:val="center"/>
          </w:tcPr>
          <w:p w:rsidR="000C16EE" w:rsidRPr="001F0BA1" w:rsidP="00091F95" w14:paraId="2F202C1E" w14:textId="41FFEB10">
            <w:pPr>
              <w:tabs>
                <w:tab w:val="right" w:pos="813"/>
              </w:tabs>
              <w:rPr>
                <w:sz w:val="18"/>
                <w:szCs w:val="18"/>
              </w:rPr>
            </w:pPr>
            <w:r w:rsidRPr="001F0BA1">
              <w:rPr>
                <w:sz w:val="18"/>
                <w:szCs w:val="18"/>
              </w:rPr>
              <w:tab/>
            </w:r>
            <w:r w:rsidR="00453B95">
              <w:rPr>
                <w:sz w:val="18"/>
                <w:szCs w:val="18"/>
              </w:rPr>
              <w:t>5</w:t>
            </w:r>
          </w:p>
        </w:tc>
        <w:tc>
          <w:tcPr>
            <w:tcW w:w="1425" w:type="dxa"/>
            <w:vAlign w:val="center"/>
          </w:tcPr>
          <w:p w:rsidR="000C16EE" w:rsidRPr="001F0BA1" w:rsidP="00091F95" w14:paraId="0049393E" w14:textId="4E981517">
            <w:pPr>
              <w:tabs>
                <w:tab w:val="right" w:pos="957"/>
              </w:tabs>
              <w:rPr>
                <w:sz w:val="18"/>
                <w:szCs w:val="18"/>
              </w:rPr>
            </w:pPr>
            <w:r w:rsidRPr="001F0BA1">
              <w:rPr>
                <w:sz w:val="18"/>
                <w:szCs w:val="18"/>
              </w:rPr>
              <w:tab/>
            </w:r>
            <w:r w:rsidRPr="001F0BA1" w:rsidR="002861E9">
              <w:rPr>
                <w:sz w:val="18"/>
                <w:szCs w:val="18"/>
              </w:rPr>
              <w:t>12</w:t>
            </w:r>
          </w:p>
        </w:tc>
        <w:tc>
          <w:tcPr>
            <w:tcW w:w="1620" w:type="dxa"/>
            <w:vAlign w:val="center"/>
          </w:tcPr>
          <w:p w:rsidR="000C16EE" w:rsidRPr="001F0BA1" w:rsidP="005D5EC4" w14:paraId="1425B7CC" w14:textId="045D3819">
            <w:pPr>
              <w:jc w:val="right"/>
              <w:rPr>
                <w:sz w:val="18"/>
                <w:szCs w:val="18"/>
              </w:rPr>
            </w:pPr>
            <w:r w:rsidRPr="001F0BA1">
              <w:rPr>
                <w:sz w:val="18"/>
                <w:szCs w:val="18"/>
              </w:rPr>
              <w:t>$</w:t>
            </w:r>
            <w:r w:rsidR="006D5150">
              <w:rPr>
                <w:sz w:val="18"/>
                <w:szCs w:val="18"/>
              </w:rPr>
              <w:t>420</w:t>
            </w:r>
          </w:p>
        </w:tc>
      </w:tr>
      <w:tr w14:paraId="029BC8D9" w14:textId="77777777" w:rsidTr="001F0BA1">
        <w:tblPrEx>
          <w:tblW w:w="9100" w:type="dxa"/>
          <w:tblInd w:w="175" w:type="dxa"/>
          <w:tblLook w:val="04A0"/>
        </w:tblPrEx>
        <w:trPr>
          <w:gridAfter w:val="1"/>
          <w:wAfter w:w="10" w:type="dxa"/>
          <w:trHeight w:val="312"/>
        </w:trPr>
        <w:tc>
          <w:tcPr>
            <w:tcW w:w="3510" w:type="dxa"/>
            <w:tcBorders>
              <w:top w:val="single" w:sz="12" w:space="0" w:color="auto"/>
            </w:tcBorders>
            <w:vAlign w:val="center"/>
          </w:tcPr>
          <w:p w:rsidR="000C16EE" w:rsidRPr="001F0BA1" w:rsidP="005D5EC4" w14:paraId="1B2F9F3F" w14:textId="77777777">
            <w:pPr>
              <w:jc w:val="right"/>
              <w:rPr>
                <w:sz w:val="18"/>
                <w:szCs w:val="18"/>
              </w:rPr>
            </w:pPr>
            <w:r w:rsidRPr="001F0BA1">
              <w:rPr>
                <w:sz w:val="18"/>
                <w:szCs w:val="18"/>
              </w:rPr>
              <w:t>Total</w:t>
            </w:r>
          </w:p>
        </w:tc>
        <w:tc>
          <w:tcPr>
            <w:tcW w:w="1239" w:type="dxa"/>
            <w:tcBorders>
              <w:top w:val="single" w:sz="12" w:space="0" w:color="auto"/>
            </w:tcBorders>
            <w:vAlign w:val="center"/>
          </w:tcPr>
          <w:p w:rsidR="000C16EE" w:rsidRPr="001F0BA1" w:rsidP="00A62F23" w14:paraId="0CFCF6C8" w14:textId="1809FD4F">
            <w:pPr>
              <w:jc w:val="center"/>
              <w:rPr>
                <w:sz w:val="18"/>
                <w:szCs w:val="18"/>
              </w:rPr>
            </w:pPr>
            <w:r>
              <w:rPr>
                <w:sz w:val="18"/>
                <w:szCs w:val="18"/>
              </w:rPr>
              <w:t xml:space="preserve"> </w:t>
            </w:r>
            <w:r w:rsidR="00F92873">
              <w:rPr>
                <w:sz w:val="18"/>
                <w:szCs w:val="18"/>
              </w:rPr>
              <w:t>16</w:t>
            </w:r>
            <w:r w:rsidR="00C856CB">
              <w:rPr>
                <w:sz w:val="18"/>
                <w:szCs w:val="18"/>
              </w:rPr>
              <w:t>3</w:t>
            </w:r>
          </w:p>
        </w:tc>
        <w:tc>
          <w:tcPr>
            <w:tcW w:w="1296" w:type="dxa"/>
            <w:tcBorders>
              <w:top w:val="single" w:sz="12" w:space="0" w:color="auto"/>
            </w:tcBorders>
            <w:vAlign w:val="center"/>
          </w:tcPr>
          <w:p w:rsidR="000C16EE" w:rsidRPr="001F0BA1" w:rsidP="00D3345D" w14:paraId="5F9419DE" w14:textId="205F44BD">
            <w:pPr>
              <w:jc w:val="center"/>
              <w:rPr>
                <w:sz w:val="18"/>
                <w:szCs w:val="18"/>
              </w:rPr>
            </w:pPr>
            <w:r>
              <w:rPr>
                <w:sz w:val="18"/>
                <w:szCs w:val="18"/>
              </w:rPr>
              <w:t xml:space="preserve">     </w:t>
            </w:r>
            <w:r w:rsidR="00F92873">
              <w:rPr>
                <w:sz w:val="18"/>
                <w:szCs w:val="18"/>
              </w:rPr>
              <w:t>9</w:t>
            </w:r>
            <w:r w:rsidR="00C856CB">
              <w:rPr>
                <w:sz w:val="18"/>
                <w:szCs w:val="18"/>
              </w:rPr>
              <w:t>7</w:t>
            </w:r>
            <w:r>
              <w:rPr>
                <w:sz w:val="18"/>
                <w:szCs w:val="18"/>
              </w:rPr>
              <w:t>5</w:t>
            </w:r>
          </w:p>
        </w:tc>
        <w:tc>
          <w:tcPr>
            <w:tcW w:w="1425" w:type="dxa"/>
            <w:tcBorders>
              <w:top w:val="single" w:sz="12" w:space="0" w:color="auto"/>
            </w:tcBorders>
            <w:vAlign w:val="center"/>
          </w:tcPr>
          <w:p w:rsidR="000C16EE" w:rsidRPr="001F0BA1" w:rsidP="00005ABC" w14:paraId="4FB130DD" w14:textId="1FAF02C5">
            <w:pPr>
              <w:jc w:val="center"/>
              <w:rPr>
                <w:sz w:val="18"/>
                <w:szCs w:val="18"/>
              </w:rPr>
            </w:pPr>
            <w:r>
              <w:rPr>
                <w:sz w:val="18"/>
                <w:szCs w:val="18"/>
              </w:rPr>
              <w:t xml:space="preserve">      </w:t>
            </w:r>
            <w:r w:rsidR="00F92873">
              <w:rPr>
                <w:sz w:val="18"/>
                <w:szCs w:val="18"/>
              </w:rPr>
              <w:t>5,</w:t>
            </w:r>
            <w:r w:rsidR="00AB1744">
              <w:rPr>
                <w:sz w:val="18"/>
                <w:szCs w:val="18"/>
              </w:rPr>
              <w:t>3</w:t>
            </w:r>
            <w:r w:rsidR="00C856CB">
              <w:rPr>
                <w:sz w:val="18"/>
                <w:szCs w:val="18"/>
              </w:rPr>
              <w:t>2</w:t>
            </w:r>
            <w:r w:rsidR="00F92873">
              <w:rPr>
                <w:sz w:val="18"/>
                <w:szCs w:val="18"/>
              </w:rPr>
              <w:t>2</w:t>
            </w:r>
          </w:p>
        </w:tc>
        <w:tc>
          <w:tcPr>
            <w:tcW w:w="1620" w:type="dxa"/>
            <w:tcBorders>
              <w:top w:val="single" w:sz="12" w:space="0" w:color="auto"/>
            </w:tcBorders>
            <w:vAlign w:val="center"/>
          </w:tcPr>
          <w:p w:rsidR="000C16EE" w:rsidRPr="001F0BA1" w:rsidP="00D3345D" w14:paraId="5BAC789B" w14:textId="46F69FF4">
            <w:pPr>
              <w:jc w:val="right"/>
              <w:rPr>
                <w:sz w:val="18"/>
                <w:szCs w:val="18"/>
              </w:rPr>
            </w:pPr>
            <w:r w:rsidRPr="001F0BA1">
              <w:rPr>
                <w:sz w:val="18"/>
                <w:szCs w:val="18"/>
              </w:rPr>
              <w:t>$</w:t>
            </w:r>
            <w:r w:rsidR="006D5150">
              <w:rPr>
                <w:sz w:val="18"/>
                <w:szCs w:val="18"/>
              </w:rPr>
              <w:t>1</w:t>
            </w:r>
            <w:r w:rsidR="00AB1744">
              <w:rPr>
                <w:sz w:val="18"/>
                <w:szCs w:val="18"/>
              </w:rPr>
              <w:t>8</w:t>
            </w:r>
            <w:r w:rsidR="00A94BA3">
              <w:rPr>
                <w:sz w:val="18"/>
                <w:szCs w:val="18"/>
              </w:rPr>
              <w:t>6</w:t>
            </w:r>
            <w:r w:rsidR="006D5150">
              <w:rPr>
                <w:sz w:val="18"/>
                <w:szCs w:val="18"/>
              </w:rPr>
              <w:t>,</w:t>
            </w:r>
            <w:r w:rsidR="00A94BA3">
              <w:rPr>
                <w:sz w:val="18"/>
                <w:szCs w:val="18"/>
              </w:rPr>
              <w:t>27</w:t>
            </w:r>
            <w:r w:rsidR="006D5150">
              <w:rPr>
                <w:sz w:val="18"/>
                <w:szCs w:val="18"/>
              </w:rPr>
              <w:t>0</w:t>
            </w:r>
          </w:p>
        </w:tc>
      </w:tr>
    </w:tbl>
    <w:p w:rsidR="00940951" w:rsidP="003E7EE2" w14:paraId="2D74EDF2" w14:textId="1164B9A1">
      <w:pPr>
        <w:ind w:left="720" w:hanging="720"/>
        <w:rPr>
          <w:b/>
        </w:rPr>
      </w:pPr>
    </w:p>
    <w:p w:rsidR="00D728DA" w:rsidRPr="00753B95" w:rsidP="003E7EE2" w14:paraId="79D930D5" w14:textId="0873B227">
      <w:pPr>
        <w:ind w:left="720" w:hanging="720"/>
        <w:rPr>
          <w:b/>
        </w:rPr>
      </w:pPr>
      <w:r w:rsidRPr="00753B95">
        <w:rPr>
          <w:b/>
        </w:rPr>
        <w:t>13.</w:t>
      </w:r>
      <w:r w:rsidR="00027E19">
        <w:rPr>
          <w:b/>
        </w:rPr>
        <w:tab/>
      </w:r>
      <w:r w:rsidR="003E7EE2">
        <w:rPr>
          <w:b/>
        </w:rPr>
        <w:t>Capital start-up or on-going operation and maintenance costs.</w:t>
      </w:r>
    </w:p>
    <w:p w:rsidR="00F2748C" w:rsidRPr="00753B95" w:rsidP="003E7EE2" w14:paraId="1C335D02" w14:textId="77777777">
      <w:pPr>
        <w:ind w:left="720" w:hanging="720"/>
      </w:pPr>
    </w:p>
    <w:p w:rsidR="00D728DA" w:rsidRPr="00753B95" w:rsidP="003E7EE2" w14:paraId="7983D27D" w14:textId="04B8436F">
      <w:pPr>
        <w:ind w:left="720" w:hanging="720"/>
      </w:pPr>
      <w:r>
        <w:tab/>
      </w:r>
      <w:r w:rsidRPr="00753B95" w:rsidR="00AA42B0">
        <w:t>On very rare occasions, a merging credit union may need to get outside accounting assistance with GAAP</w:t>
      </w:r>
      <w:r w:rsidR="00EC5046">
        <w:t>-</w:t>
      </w:r>
      <w:r w:rsidRPr="00753B95" w:rsidR="00AA42B0">
        <w:t>consolidated financials or legal assistance with Hart</w:t>
      </w:r>
      <w:r w:rsidR="00EC5046">
        <w:t>-</w:t>
      </w:r>
      <w:r w:rsidRPr="00753B95" w:rsidR="00AA42B0">
        <w:t>Scott</w:t>
      </w:r>
      <w:r w:rsidR="00EC5046">
        <w:t>-</w:t>
      </w:r>
      <w:r w:rsidRPr="00753B95" w:rsidR="00AA42B0">
        <w:t xml:space="preserve">Rodino Act compliance issues.  Since this would be </w:t>
      </w:r>
      <w:r w:rsidRPr="00753B95" w:rsidR="00942A07">
        <w:t xml:space="preserve">very </w:t>
      </w:r>
      <w:r w:rsidRPr="00753B95" w:rsidR="00AA42B0">
        <w:t xml:space="preserve">rare, </w:t>
      </w:r>
      <w:r w:rsidR="00CE6A94">
        <w:t>NCUA</w:t>
      </w:r>
      <w:r w:rsidRPr="00753B95" w:rsidR="00CE6A94">
        <w:t xml:space="preserve"> </w:t>
      </w:r>
      <w:r w:rsidRPr="00753B95" w:rsidR="00AA42B0">
        <w:t xml:space="preserve">cannot compute an average cost for this service.  </w:t>
      </w:r>
    </w:p>
    <w:p w:rsidR="00AA42B0" w:rsidP="003E7EE2" w14:paraId="512F1186" w14:textId="77777777">
      <w:pPr>
        <w:ind w:left="720" w:hanging="720"/>
      </w:pPr>
    </w:p>
    <w:p w:rsidR="00D05C04" w:rsidRPr="00753B95" w:rsidP="003E7EE2" w14:paraId="15C0354C" w14:textId="7003C95A">
      <w:pPr>
        <w:ind w:left="720" w:hanging="720"/>
        <w:rPr>
          <w:b/>
        </w:rPr>
      </w:pPr>
      <w:r>
        <w:rPr>
          <w:b/>
        </w:rPr>
        <w:t>14.</w:t>
      </w:r>
      <w:r>
        <w:rPr>
          <w:b/>
        </w:rPr>
        <w:tab/>
      </w:r>
      <w:r w:rsidR="003E7EE2">
        <w:rPr>
          <w:b/>
        </w:rPr>
        <w:t>Annualized costs to the Federal government.</w:t>
      </w:r>
    </w:p>
    <w:p w:rsidR="001F0DB5" w:rsidRPr="00753B95" w:rsidP="003E7EE2" w14:paraId="09C96281" w14:textId="77777777">
      <w:pPr>
        <w:ind w:left="720" w:hanging="720"/>
        <w:rPr>
          <w:b/>
        </w:rPr>
      </w:pPr>
    </w:p>
    <w:p w:rsidR="006D462A" w:rsidRPr="00753B95" w:rsidP="003E7EE2" w14:paraId="0DD4A3B1" w14:textId="0C3B9323">
      <w:pPr>
        <w:ind w:left="720" w:hanging="720"/>
      </w:pPr>
      <w:r>
        <w:tab/>
      </w:r>
      <w:r w:rsidRPr="00753B95">
        <w:t xml:space="preserve">The estimated </w:t>
      </w:r>
      <w:r w:rsidRPr="00753B95" w:rsidR="001F0DB5">
        <w:t xml:space="preserve">total </w:t>
      </w:r>
      <w:r w:rsidRPr="00753B95">
        <w:t xml:space="preserve">annualized cost to the Federal Government is approximately </w:t>
      </w:r>
      <w:r w:rsidR="00CE6A94">
        <w:t>$136,480</w:t>
      </w:r>
      <w:r w:rsidRPr="00753B95">
        <w:t>, calculated as follows:</w:t>
      </w:r>
    </w:p>
    <w:p w:rsidR="006D462A" w:rsidRPr="00753B95" w:rsidP="003E7EE2" w14:paraId="319872F3" w14:textId="77777777">
      <w:pPr>
        <w:ind w:left="720"/>
        <w:rPr>
          <w:b/>
          <w:u w:val="single"/>
        </w:rPr>
      </w:pPr>
    </w:p>
    <w:p w:rsidR="007A5630" w:rsidRPr="00753B95" w:rsidP="003E7EE2" w14:paraId="0DECFD5F" w14:textId="26B2C65B">
      <w:pPr>
        <w:ind w:left="720"/>
      </w:pPr>
      <w:r w:rsidRPr="00753B95">
        <w:rPr>
          <w:u w:val="single"/>
        </w:rPr>
        <w:t>Mergers</w:t>
      </w:r>
      <w:r w:rsidR="003E7EE2">
        <w:t xml:space="preserve"> – </w:t>
      </w:r>
      <w:r w:rsidRPr="00753B95" w:rsidR="00C57B92">
        <w:t xml:space="preserve">NCUA spends an average of </w:t>
      </w:r>
      <w:r w:rsidRPr="00753B95" w:rsidR="006D462A">
        <w:t>1</w:t>
      </w:r>
      <w:r w:rsidRPr="00753B95" w:rsidR="002A6CDC">
        <w:t>5</w:t>
      </w:r>
      <w:r w:rsidRPr="00753B95" w:rsidR="00C57B92">
        <w:t xml:space="preserve"> </w:t>
      </w:r>
      <w:r w:rsidRPr="00753B95" w:rsidR="002A6CDC">
        <w:t>employee</w:t>
      </w:r>
      <w:r w:rsidRPr="00753B95" w:rsidR="00C57B92">
        <w:t xml:space="preserve">-hours </w:t>
      </w:r>
      <w:r w:rsidRPr="00753B95" w:rsidR="00942A07">
        <w:t>on</w:t>
      </w:r>
      <w:r w:rsidRPr="00753B95" w:rsidR="00131AA9">
        <w:t xml:space="preserve"> pre</w:t>
      </w:r>
      <w:r w:rsidRPr="00753B95" w:rsidR="002C2ADF">
        <w:t>-</w:t>
      </w:r>
      <w:r w:rsidRPr="00753B95" w:rsidR="00131AA9">
        <w:t xml:space="preserve"> and post-merger </w:t>
      </w:r>
      <w:r w:rsidRPr="00753B95" w:rsidR="00C57B92">
        <w:t>processing</w:t>
      </w:r>
      <w:r w:rsidRPr="00753B95" w:rsidR="00131AA9">
        <w:t xml:space="preserve"> </w:t>
      </w:r>
      <w:r w:rsidRPr="00753B95" w:rsidR="002A6CDC">
        <w:t xml:space="preserve">and </w:t>
      </w:r>
      <w:r w:rsidRPr="00753B95" w:rsidR="006D462A">
        <w:t>4</w:t>
      </w:r>
      <w:r w:rsidRPr="00753B95" w:rsidR="00C57B92">
        <w:t xml:space="preserve"> </w:t>
      </w:r>
      <w:r w:rsidRPr="00753B95" w:rsidR="002A6CDC">
        <w:t>employee</w:t>
      </w:r>
      <w:r w:rsidRPr="00753B95" w:rsidR="00C57B92">
        <w:t>-hours reviewing and supervising th</w:t>
      </w:r>
      <w:r w:rsidRPr="00753B95" w:rsidR="00131AA9">
        <w:t>at</w:t>
      </w:r>
      <w:r w:rsidRPr="00753B95" w:rsidR="00C57B92">
        <w:t xml:space="preserve"> processing.  The wage rate for the </w:t>
      </w:r>
      <w:r w:rsidRPr="00753B95" w:rsidR="00942A07">
        <w:t xml:space="preserve">processing is </w:t>
      </w:r>
      <w:r w:rsidRPr="00753B95" w:rsidR="007251BF">
        <w:t>approximately</w:t>
      </w:r>
      <w:r w:rsidRPr="00753B95" w:rsidR="00942A07">
        <w:t xml:space="preserve"> $</w:t>
      </w:r>
      <w:r w:rsidRPr="00753B95" w:rsidR="002A6CDC">
        <w:t>4</w:t>
      </w:r>
      <w:r w:rsidRPr="00753B95" w:rsidR="00942A07">
        <w:t>0</w:t>
      </w:r>
      <w:r w:rsidRPr="00753B95" w:rsidR="002A6CDC">
        <w:t>/hour</w:t>
      </w:r>
      <w:r w:rsidRPr="00753B95" w:rsidR="00942A07">
        <w:t xml:space="preserve">, and the </w:t>
      </w:r>
      <w:r w:rsidRPr="00753B95" w:rsidR="00C57B92">
        <w:t>wage rate for review and supervision i</w:t>
      </w:r>
      <w:r w:rsidRPr="00753B95" w:rsidR="00131AA9">
        <w:t>s</w:t>
      </w:r>
      <w:r w:rsidRPr="00753B95" w:rsidR="00C57B92">
        <w:t xml:space="preserve"> </w:t>
      </w:r>
      <w:r w:rsidRPr="00753B95" w:rsidR="007251BF">
        <w:t>approximately</w:t>
      </w:r>
      <w:r w:rsidRPr="00753B95" w:rsidR="00C57B92">
        <w:t xml:space="preserve"> $60</w:t>
      </w:r>
      <w:r w:rsidRPr="00753B95" w:rsidR="002A6CDC">
        <w:t>/hour</w:t>
      </w:r>
      <w:r w:rsidRPr="00753B95" w:rsidR="00C57B92">
        <w:t>.</w:t>
      </w:r>
      <w:r w:rsidRPr="00753B95" w:rsidR="00131AA9">
        <w:t xml:space="preserve">  </w:t>
      </w:r>
      <w:r w:rsidRPr="00753B95" w:rsidR="00C57B92">
        <w:t xml:space="preserve">The total </w:t>
      </w:r>
      <w:r w:rsidRPr="00753B95" w:rsidR="00942A07">
        <w:t xml:space="preserve">NCUA </w:t>
      </w:r>
      <w:r w:rsidRPr="00753B95" w:rsidR="00C57B92">
        <w:t xml:space="preserve">cost for each merger is </w:t>
      </w:r>
      <w:r w:rsidRPr="00753B95" w:rsidR="00131AA9">
        <w:t xml:space="preserve">then </w:t>
      </w:r>
      <w:r w:rsidRPr="00753B95" w:rsidR="006D462A">
        <w:t>1</w:t>
      </w:r>
      <w:r w:rsidRPr="00753B95">
        <w:t>5</w:t>
      </w:r>
      <w:r w:rsidRPr="00753B95" w:rsidR="00C57B92">
        <w:t xml:space="preserve"> x $40</w:t>
      </w:r>
      <w:r w:rsidRPr="00753B95" w:rsidR="006D462A">
        <w:t xml:space="preserve"> ($600)</w:t>
      </w:r>
      <w:r w:rsidRPr="00753B95" w:rsidR="00C57B92">
        <w:t xml:space="preserve"> plus </w:t>
      </w:r>
      <w:r w:rsidRPr="00753B95" w:rsidR="006D462A">
        <w:t>4</w:t>
      </w:r>
      <w:r w:rsidRPr="00753B95" w:rsidR="00C57B92">
        <w:t xml:space="preserve"> x $60</w:t>
      </w:r>
      <w:r w:rsidRPr="00753B95" w:rsidR="006D462A">
        <w:t xml:space="preserve"> (</w:t>
      </w:r>
      <w:r w:rsidRPr="00753B95" w:rsidR="00C57B92">
        <w:t>$</w:t>
      </w:r>
      <w:r w:rsidRPr="00753B95" w:rsidR="006D462A">
        <w:t>240) = $840</w:t>
      </w:r>
      <w:r w:rsidRPr="00753B95" w:rsidR="00C57B92">
        <w:t>.</w:t>
      </w:r>
      <w:r w:rsidRPr="00753B95" w:rsidR="00131AA9">
        <w:t xml:space="preserve">  T</w:t>
      </w:r>
      <w:r w:rsidRPr="00753B95" w:rsidR="00C57B92">
        <w:t xml:space="preserve">he aggregate annual cost </w:t>
      </w:r>
      <w:r w:rsidRPr="00753B95" w:rsidR="00131AA9">
        <w:t xml:space="preserve">for the </w:t>
      </w:r>
      <w:r w:rsidR="00646C3D">
        <w:t>160</w:t>
      </w:r>
      <w:r w:rsidRPr="00753B95" w:rsidR="00C57B92">
        <w:t xml:space="preserve"> mergers </w:t>
      </w:r>
      <w:r w:rsidRPr="00753B95" w:rsidR="00131AA9">
        <w:t xml:space="preserve">is </w:t>
      </w:r>
      <w:r w:rsidR="00646C3D">
        <w:t>160</w:t>
      </w:r>
      <w:r w:rsidRPr="00753B95" w:rsidR="00131AA9">
        <w:t xml:space="preserve"> </w:t>
      </w:r>
      <w:r w:rsidRPr="00753B95" w:rsidR="00C57B92">
        <w:t>x $</w:t>
      </w:r>
      <w:r w:rsidRPr="00753B95" w:rsidR="006D462A">
        <w:t>840</w:t>
      </w:r>
      <w:r w:rsidRPr="00753B95" w:rsidR="00C57B92">
        <w:t>, or $</w:t>
      </w:r>
      <w:r w:rsidR="00646C3D">
        <w:t>134,40</w:t>
      </w:r>
      <w:r w:rsidR="0084133C">
        <w:t>0</w:t>
      </w:r>
      <w:r w:rsidRPr="00753B95" w:rsidR="006D462A">
        <w:t>.</w:t>
      </w:r>
      <w:r w:rsidRPr="00753B95" w:rsidR="00C57B92">
        <w:t xml:space="preserve"> </w:t>
      </w:r>
    </w:p>
    <w:p w:rsidR="007A5630" w:rsidRPr="00753B95" w:rsidP="003E7EE2" w14:paraId="57C0D7DD" w14:textId="77777777">
      <w:pPr>
        <w:ind w:left="720"/>
      </w:pPr>
    </w:p>
    <w:p w:rsidR="007A5630" w:rsidRPr="00753B95" w:rsidP="003E7EE2" w14:paraId="39856D80" w14:textId="7AB56AE5">
      <w:pPr>
        <w:ind w:left="720"/>
      </w:pPr>
      <w:r w:rsidRPr="00753B95">
        <w:rPr>
          <w:u w:val="single"/>
        </w:rPr>
        <w:t>Share Insurance Conversions</w:t>
      </w:r>
      <w:r w:rsidR="003E7EE2">
        <w:t xml:space="preserve"> – </w:t>
      </w:r>
      <w:r w:rsidRPr="00753B95">
        <w:t xml:space="preserve">The NCUA spends an average of </w:t>
      </w:r>
      <w:r w:rsidRPr="00753B95" w:rsidR="006D462A">
        <w:t>10</w:t>
      </w:r>
      <w:r w:rsidRPr="00753B95">
        <w:t xml:space="preserve"> employee-hours on pre-</w:t>
      </w:r>
      <w:r w:rsidRPr="00753B95" w:rsidR="006D462A">
        <w:t xml:space="preserve"> and post-</w:t>
      </w:r>
      <w:r w:rsidRPr="00753B95">
        <w:t xml:space="preserve">share insurance conversion processing and </w:t>
      </w:r>
      <w:r w:rsidRPr="00753B95" w:rsidR="007931B8">
        <w:t>2</w:t>
      </w:r>
      <w:r w:rsidRPr="00753B95">
        <w:t xml:space="preserve"> employee-hours reviewing and supervising that processing.  The wage rate for the processing is a</w:t>
      </w:r>
      <w:r w:rsidRPr="00753B95" w:rsidR="007931B8">
        <w:t>pproximately</w:t>
      </w:r>
      <w:r w:rsidRPr="00753B95">
        <w:t xml:space="preserve"> $40/hour, and the wage rate for review and supervision is </w:t>
      </w:r>
      <w:r w:rsidRPr="00753B95" w:rsidR="007931B8">
        <w:t xml:space="preserve">approximately </w:t>
      </w:r>
      <w:r w:rsidRPr="00753B95">
        <w:t xml:space="preserve">$60/hour.  The total NCUA cost for each share insurance conversion is then </w:t>
      </w:r>
      <w:r w:rsidRPr="00753B95" w:rsidR="00A5296C">
        <w:t>10</w:t>
      </w:r>
      <w:r w:rsidRPr="00753B95">
        <w:t xml:space="preserve"> x $40 </w:t>
      </w:r>
      <w:r w:rsidRPr="00753B95" w:rsidR="00A5296C">
        <w:t xml:space="preserve">($400) </w:t>
      </w:r>
      <w:r w:rsidRPr="00753B95">
        <w:t xml:space="preserve">plus </w:t>
      </w:r>
      <w:r w:rsidRPr="00753B95" w:rsidR="00A5296C">
        <w:t>2</w:t>
      </w:r>
      <w:r w:rsidRPr="00753B95">
        <w:t xml:space="preserve"> x $60</w:t>
      </w:r>
      <w:r w:rsidRPr="00753B95" w:rsidR="00A5296C">
        <w:t xml:space="preserve"> ($120)</w:t>
      </w:r>
      <w:r w:rsidRPr="00753B95">
        <w:t xml:space="preserve"> = $</w:t>
      </w:r>
      <w:r w:rsidRPr="00753B95" w:rsidR="00A5296C">
        <w:t>520</w:t>
      </w:r>
      <w:r w:rsidRPr="00753B95">
        <w:t xml:space="preserve">.  The aggregate annual cost for the </w:t>
      </w:r>
      <w:r w:rsidR="009E33D7">
        <w:t>2</w:t>
      </w:r>
      <w:r w:rsidRPr="00753B95">
        <w:t xml:space="preserve"> share insurance conversions is </w:t>
      </w:r>
      <w:r w:rsidR="009E33D7">
        <w:t>2</w:t>
      </w:r>
      <w:r w:rsidRPr="00753B95">
        <w:t xml:space="preserve"> x $</w:t>
      </w:r>
      <w:r w:rsidRPr="00753B95" w:rsidR="00A5296C">
        <w:t>520</w:t>
      </w:r>
      <w:r w:rsidRPr="00753B95">
        <w:t>, or $</w:t>
      </w:r>
      <w:r w:rsidR="007D4D36">
        <w:t>1,040</w:t>
      </w:r>
      <w:r w:rsidRPr="00753B95">
        <w:t xml:space="preserve">. </w:t>
      </w:r>
    </w:p>
    <w:p w:rsidR="007A5630" w:rsidRPr="00753B95" w:rsidP="003E7EE2" w14:paraId="4EC6A1CA" w14:textId="77777777">
      <w:pPr>
        <w:ind w:left="720" w:hanging="720"/>
      </w:pPr>
    </w:p>
    <w:p w:rsidR="00D05C04" w:rsidRPr="00753B95" w:rsidP="003E7EE2" w14:paraId="35399781" w14:textId="77777777">
      <w:pPr>
        <w:ind w:left="720" w:hanging="720"/>
        <w:rPr>
          <w:b/>
        </w:rPr>
      </w:pPr>
      <w:r w:rsidRPr="00753B95">
        <w:rPr>
          <w:b/>
        </w:rPr>
        <w:t>15.</w:t>
      </w:r>
      <w:r w:rsidR="00027E19">
        <w:rPr>
          <w:b/>
        </w:rPr>
        <w:tab/>
        <w:t>Change in Burden</w:t>
      </w:r>
    </w:p>
    <w:p w:rsidR="00F2748C" w:rsidP="00DC1250" w14:paraId="7D75F086" w14:textId="4BF60040">
      <w:pPr>
        <w:ind w:left="720"/>
      </w:pPr>
    </w:p>
    <w:p w:rsidR="003E7EE2" w:rsidRPr="003E7EE2" w:rsidP="00DC1250" w14:paraId="29810B87" w14:textId="003B0F82">
      <w:pPr>
        <w:autoSpaceDE w:val="0"/>
        <w:autoSpaceDN w:val="0"/>
        <w:adjustRightInd w:val="0"/>
        <w:ind w:left="720"/>
      </w:pPr>
      <w:r>
        <w:t>The number of respon</w:t>
      </w:r>
      <w:r w:rsidR="00A44EE7">
        <w:t xml:space="preserve">dents </w:t>
      </w:r>
      <w:r w:rsidR="00912907">
        <w:t xml:space="preserve">for </w:t>
      </w:r>
      <w:r w:rsidRPr="00912907" w:rsidR="00912907">
        <w:t xml:space="preserve">Share Insurance Conversions </w:t>
      </w:r>
      <w:r w:rsidR="00A44EE7">
        <w:t xml:space="preserve">decreased </w:t>
      </w:r>
      <w:r w:rsidR="00912907">
        <w:t xml:space="preserve">from 4 to 2 resulting in a decrease </w:t>
      </w:r>
      <w:r w:rsidR="000E7440">
        <w:t xml:space="preserve">in the total annual burden hours from 5,352 to 5,322. </w:t>
      </w:r>
    </w:p>
    <w:p w:rsidR="003E7EE2" w:rsidRPr="003E7EE2" w:rsidP="00DC1250" w14:paraId="7E8DAA8B" w14:textId="77777777">
      <w:pPr>
        <w:autoSpaceDE w:val="0"/>
        <w:autoSpaceDN w:val="0"/>
        <w:adjustRightInd w:val="0"/>
        <w:ind w:left="720" w:hanging="810"/>
      </w:pPr>
    </w:p>
    <w:p w:rsidR="00D05C04" w:rsidRPr="00753B95" w:rsidP="00AD4A8E" w14:paraId="67507F2A" w14:textId="77777777">
      <w:pPr>
        <w:ind w:left="720" w:hanging="720"/>
        <w:rPr>
          <w:b/>
        </w:rPr>
      </w:pPr>
      <w:r w:rsidRPr="00753B95">
        <w:rPr>
          <w:b/>
        </w:rPr>
        <w:t>16.</w:t>
      </w:r>
      <w:r w:rsidR="00027E19">
        <w:rPr>
          <w:b/>
        </w:rPr>
        <w:tab/>
        <w:t>Plans for Publication</w:t>
      </w:r>
    </w:p>
    <w:p w:rsidR="00F2748C" w:rsidRPr="00753B95" w:rsidP="00DC1250" w14:paraId="162B59A2" w14:textId="77777777">
      <w:pPr>
        <w:tabs>
          <w:tab w:val="left" w:pos="540"/>
        </w:tabs>
        <w:ind w:left="720" w:hanging="810"/>
      </w:pPr>
    </w:p>
    <w:p w:rsidR="00D05C04" w:rsidRPr="00753B95" w:rsidP="00AD4A8E" w14:paraId="181A5A7F" w14:textId="098C1901">
      <w:pPr>
        <w:ind w:left="720" w:hanging="720"/>
      </w:pPr>
      <w:r>
        <w:tab/>
      </w:r>
      <w:r w:rsidR="003A092E">
        <w:t>The information will not be published</w:t>
      </w:r>
      <w:r w:rsidRPr="00753B95" w:rsidR="00F2748C">
        <w:t>.</w:t>
      </w:r>
    </w:p>
    <w:p w:rsidR="00D05C04" w:rsidRPr="00753B95" w:rsidP="00DC1250" w14:paraId="460E67EB" w14:textId="77777777">
      <w:pPr>
        <w:tabs>
          <w:tab w:val="left" w:pos="540"/>
        </w:tabs>
        <w:ind w:left="720" w:hanging="810"/>
      </w:pPr>
    </w:p>
    <w:p w:rsidR="00F2748C" w:rsidRPr="00753B95" w:rsidP="00AD4A8E" w14:paraId="31B57B89" w14:textId="772CAAFC">
      <w:pPr>
        <w:ind w:left="720" w:hanging="720"/>
        <w:rPr>
          <w:b/>
        </w:rPr>
      </w:pPr>
      <w:r w:rsidRPr="00753B95">
        <w:rPr>
          <w:b/>
        </w:rPr>
        <w:t>17.</w:t>
      </w:r>
      <w:r w:rsidR="00027E19">
        <w:rPr>
          <w:b/>
        </w:rPr>
        <w:tab/>
      </w:r>
      <w:r w:rsidR="00C97F91">
        <w:rPr>
          <w:b/>
        </w:rPr>
        <w:t>Request Non-display of the Expiration date of the OMB Control Number</w:t>
      </w:r>
      <w:r w:rsidRPr="00753B95">
        <w:rPr>
          <w:b/>
        </w:rPr>
        <w:t xml:space="preserve"> </w:t>
      </w:r>
    </w:p>
    <w:p w:rsidR="00F2748C" w:rsidRPr="00753B95" w:rsidP="00DC1250" w14:paraId="1A511675" w14:textId="77777777">
      <w:pPr>
        <w:tabs>
          <w:tab w:val="left" w:pos="540"/>
        </w:tabs>
        <w:ind w:left="720" w:hanging="810"/>
      </w:pPr>
    </w:p>
    <w:p w:rsidR="00AD4A8E" w:rsidP="00AD4A8E" w14:paraId="71EC0CEE" w14:textId="2D4D6972">
      <w:pPr>
        <w:ind w:left="720"/>
      </w:pPr>
      <w:r>
        <w:t xml:space="preserve">The OMB control number and expiration date associated with this PRA submission will be displayed on the Federal Government’s electronic PRA docket website at </w:t>
      </w:r>
      <w:hyperlink r:id="rId6" w:history="1">
        <w:r w:rsidRPr="007F1BFB">
          <w:rPr>
            <w:rStyle w:val="Hyperlink"/>
          </w:rPr>
          <w:t>www.reginfo.gov</w:t>
        </w:r>
      </w:hyperlink>
      <w:r>
        <w:t>.</w:t>
      </w:r>
    </w:p>
    <w:p w:rsidR="007118F8" w:rsidP="00AD4A8E" w14:paraId="629606D4" w14:textId="17F6CB90">
      <w:pPr>
        <w:tabs>
          <w:tab w:val="left" w:pos="720"/>
        </w:tabs>
        <w:ind w:left="720" w:hanging="720"/>
        <w:rPr>
          <w:b/>
        </w:rPr>
      </w:pPr>
    </w:p>
    <w:p w:rsidR="00D05C04" w:rsidRPr="00753B95" w:rsidP="00DC1250" w14:paraId="3090DE77" w14:textId="77777777">
      <w:pPr>
        <w:ind w:left="720" w:hanging="720"/>
        <w:rPr>
          <w:b/>
        </w:rPr>
      </w:pPr>
      <w:r>
        <w:rPr>
          <w:b/>
        </w:rPr>
        <w:t>18.</w:t>
      </w:r>
      <w:r>
        <w:rPr>
          <w:b/>
        </w:rPr>
        <w:tab/>
      </w:r>
      <w:r w:rsidRPr="00753B95" w:rsidR="00F2748C">
        <w:rPr>
          <w:b/>
        </w:rPr>
        <w:t>Exception</w:t>
      </w:r>
      <w:r>
        <w:rPr>
          <w:b/>
        </w:rPr>
        <w:t>s to the C</w:t>
      </w:r>
      <w:r w:rsidRPr="00753B95" w:rsidR="00F2748C">
        <w:rPr>
          <w:b/>
        </w:rPr>
        <w:t xml:space="preserve">ertification </w:t>
      </w:r>
      <w:r>
        <w:rPr>
          <w:b/>
        </w:rPr>
        <w:t>for the Paperwork Reduction Act Submission</w:t>
      </w:r>
    </w:p>
    <w:p w:rsidR="005728D3" w:rsidRPr="00753B95" w:rsidP="00DC1250" w14:paraId="40B340D7" w14:textId="77777777">
      <w:pPr>
        <w:tabs>
          <w:tab w:val="left" w:pos="540"/>
        </w:tabs>
        <w:ind w:left="720" w:hanging="810"/>
      </w:pPr>
    </w:p>
    <w:p w:rsidR="005728D3" w:rsidRPr="00753B95" w:rsidP="00DC1250" w14:paraId="37CB4821" w14:textId="6C3797A1">
      <w:pPr>
        <w:ind w:left="720" w:hanging="720"/>
      </w:pPr>
      <w:r>
        <w:tab/>
      </w:r>
      <w:r w:rsidR="004369F4">
        <w:t>There are no exceptions</w:t>
      </w:r>
      <w:r w:rsidRPr="00753B95" w:rsidR="00F2748C">
        <w:t xml:space="preserve"> to the certification </w:t>
      </w:r>
      <w:r w:rsidR="004369F4">
        <w:t xml:space="preserve">statement. </w:t>
      </w:r>
    </w:p>
    <w:p w:rsidR="00AD4A8E" w:rsidP="00D62FCD" w14:paraId="4275D052" w14:textId="14CA43A1">
      <w:pPr>
        <w:tabs>
          <w:tab w:val="left" w:pos="540"/>
        </w:tabs>
      </w:pPr>
    </w:p>
    <w:p w:rsidR="00AD4A8E" w:rsidRPr="00753B95" w:rsidP="00DC1250" w14:paraId="2E9143C4" w14:textId="77777777">
      <w:pPr>
        <w:tabs>
          <w:tab w:val="left" w:pos="540"/>
        </w:tabs>
        <w:ind w:left="720" w:hanging="810"/>
      </w:pPr>
    </w:p>
    <w:p w:rsidR="009C5E9F" w:rsidRPr="00753B95" w:rsidP="00DC1250" w14:paraId="7793DAC3" w14:textId="77777777">
      <w:pPr>
        <w:widowControl w:val="0"/>
        <w:ind w:left="720" w:hanging="810"/>
        <w:rPr>
          <w:b/>
        </w:rPr>
      </w:pPr>
      <w:r>
        <w:rPr>
          <w:b/>
        </w:rPr>
        <w:t>B.</w:t>
      </w:r>
      <w:r>
        <w:rPr>
          <w:b/>
        </w:rPr>
        <w:tab/>
      </w:r>
      <w:r w:rsidRPr="00DC1250">
        <w:rPr>
          <w:b/>
          <w:caps/>
        </w:rPr>
        <w:t>Collections of Information Employing Statistical Methods</w:t>
      </w:r>
      <w:r w:rsidRPr="00753B95">
        <w:rPr>
          <w:b/>
        </w:rPr>
        <w:t>.</w:t>
      </w:r>
    </w:p>
    <w:p w:rsidR="009C5E9F" w:rsidRPr="00753B95" w:rsidP="00DC1250" w14:paraId="7E3C5DED" w14:textId="77777777">
      <w:pPr>
        <w:widowControl w:val="0"/>
        <w:ind w:left="720" w:hanging="720"/>
        <w:rPr>
          <w:u w:val="single"/>
        </w:rPr>
      </w:pPr>
    </w:p>
    <w:p w:rsidR="00A771D6" w:rsidRPr="00753B95" w:rsidP="00DC1250" w14:paraId="405E54B8" w14:textId="12C65F29">
      <w:pPr>
        <w:widowControl w:val="0"/>
        <w:ind w:left="720" w:hanging="720"/>
      </w:pPr>
      <w:r>
        <w:tab/>
      </w:r>
      <w:r w:rsidRPr="00753B95" w:rsidR="009C5E9F">
        <w:t>This collection does not employ statistical methods.</w:t>
      </w:r>
    </w:p>
    <w:sectPr w:rsidSect="00B14E3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8188336"/>
      <w:docPartObj>
        <w:docPartGallery w:val="Page Numbers (Bottom of Page)"/>
        <w:docPartUnique/>
      </w:docPartObj>
    </w:sdtPr>
    <w:sdtEndPr>
      <w:rPr>
        <w:noProof/>
      </w:rPr>
    </w:sdtEndPr>
    <w:sdtContent>
      <w:p w:rsidR="009E0837" w:rsidP="008155FD" w14:paraId="2E96EDC1" w14:textId="6D69A7DE">
        <w:pPr>
          <w:pStyle w:val="Footer"/>
        </w:pPr>
        <w:r w:rsidRPr="00486345">
          <w:rPr>
            <w:i/>
            <w:sz w:val="22"/>
            <w:szCs w:val="22"/>
          </w:rPr>
          <w:t xml:space="preserve">OMB No. 3133-0024, </w:t>
        </w:r>
        <w:r w:rsidR="008B7BBA">
          <w:rPr>
            <w:i/>
            <w:sz w:val="22"/>
            <w:szCs w:val="22"/>
          </w:rPr>
          <w:t>April</w:t>
        </w:r>
        <w:r w:rsidR="00C57BF0">
          <w:rPr>
            <w:i/>
            <w:sz w:val="22"/>
            <w:szCs w:val="22"/>
          </w:rPr>
          <w:t xml:space="preserve"> 2026</w:t>
        </w:r>
        <w:r>
          <w:tab/>
        </w:r>
        <w:r>
          <w:fldChar w:fldCharType="begin"/>
        </w:r>
        <w:r>
          <w:instrText xml:space="preserve"> PAGE   \* MERGEFORMAT </w:instrText>
        </w:r>
        <w:r>
          <w:fldChar w:fldCharType="separate"/>
        </w:r>
        <w:r w:rsidR="00AD4A8E">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53387"/>
    <w:multiLevelType w:val="hybridMultilevel"/>
    <w:tmpl w:val="C2E8F03A"/>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7F437F"/>
    <w:multiLevelType w:val="hybridMultilevel"/>
    <w:tmpl w:val="909C1D1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923F7E"/>
    <w:multiLevelType w:val="hybridMultilevel"/>
    <w:tmpl w:val="E81031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CC555B6"/>
    <w:multiLevelType w:val="hybridMultilevel"/>
    <w:tmpl w:val="A0FEDF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97E739E"/>
    <w:multiLevelType w:val="hybridMultilevel"/>
    <w:tmpl w:val="E7FAECE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FFD36BE"/>
    <w:multiLevelType w:val="hybridMultilevel"/>
    <w:tmpl w:val="91A87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E64541"/>
    <w:multiLevelType w:val="hybridMultilevel"/>
    <w:tmpl w:val="04B044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39F22FE7"/>
    <w:multiLevelType w:val="hybridMultilevel"/>
    <w:tmpl w:val="1D56E9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9D246C1"/>
    <w:multiLevelType w:val="hybridMultilevel"/>
    <w:tmpl w:val="AF62CBB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2C21563"/>
    <w:multiLevelType w:val="hybridMultilevel"/>
    <w:tmpl w:val="7C0E80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5810911"/>
    <w:multiLevelType w:val="hybridMultilevel"/>
    <w:tmpl w:val="83D060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98624ED"/>
    <w:multiLevelType w:val="hybridMultilevel"/>
    <w:tmpl w:val="ABD806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63E3578"/>
    <w:multiLevelType w:val="hybridMultilevel"/>
    <w:tmpl w:val="D5BC27D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66A03EA"/>
    <w:multiLevelType w:val="hybridMultilevel"/>
    <w:tmpl w:val="BE5A0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0189585">
    <w:abstractNumId w:val="11"/>
  </w:num>
  <w:num w:numId="2" w16cid:durableId="1298409681">
    <w:abstractNumId w:val="1"/>
  </w:num>
  <w:num w:numId="3" w16cid:durableId="1489982386">
    <w:abstractNumId w:val="9"/>
  </w:num>
  <w:num w:numId="4" w16cid:durableId="336812884">
    <w:abstractNumId w:val="0"/>
  </w:num>
  <w:num w:numId="5" w16cid:durableId="679739441">
    <w:abstractNumId w:val="8"/>
  </w:num>
  <w:num w:numId="6" w16cid:durableId="405496320">
    <w:abstractNumId w:val="2"/>
  </w:num>
  <w:num w:numId="7" w16cid:durableId="1194853682">
    <w:abstractNumId w:val="13"/>
  </w:num>
  <w:num w:numId="8" w16cid:durableId="1663698030">
    <w:abstractNumId w:val="5"/>
  </w:num>
  <w:num w:numId="9" w16cid:durableId="1187447069">
    <w:abstractNumId w:val="7"/>
  </w:num>
  <w:num w:numId="10" w16cid:durableId="1011569105">
    <w:abstractNumId w:val="3"/>
  </w:num>
  <w:num w:numId="11" w16cid:durableId="2044205446">
    <w:abstractNumId w:val="12"/>
  </w:num>
  <w:num w:numId="12" w16cid:durableId="931863688">
    <w:abstractNumId w:val="10"/>
  </w:num>
  <w:num w:numId="13" w16cid:durableId="1846823624">
    <w:abstractNumId w:val="4"/>
  </w:num>
  <w:num w:numId="14" w16cid:durableId="818614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EB"/>
    <w:rsid w:val="00002E37"/>
    <w:rsid w:val="00005ABC"/>
    <w:rsid w:val="00011BB9"/>
    <w:rsid w:val="0002057F"/>
    <w:rsid w:val="00027E19"/>
    <w:rsid w:val="00036F5E"/>
    <w:rsid w:val="00037B8F"/>
    <w:rsid w:val="0004169B"/>
    <w:rsid w:val="00046B6A"/>
    <w:rsid w:val="000574EB"/>
    <w:rsid w:val="000711AD"/>
    <w:rsid w:val="00074D3A"/>
    <w:rsid w:val="00077A56"/>
    <w:rsid w:val="00077CBD"/>
    <w:rsid w:val="00091F95"/>
    <w:rsid w:val="00095BFE"/>
    <w:rsid w:val="000969CF"/>
    <w:rsid w:val="000A071A"/>
    <w:rsid w:val="000B105F"/>
    <w:rsid w:val="000B2B3D"/>
    <w:rsid w:val="000B4CBE"/>
    <w:rsid w:val="000C16EE"/>
    <w:rsid w:val="000C2CAD"/>
    <w:rsid w:val="000E0FF7"/>
    <w:rsid w:val="000E3900"/>
    <w:rsid w:val="000E7440"/>
    <w:rsid w:val="000F2000"/>
    <w:rsid w:val="000F317A"/>
    <w:rsid w:val="00101432"/>
    <w:rsid w:val="00115D08"/>
    <w:rsid w:val="00131AA9"/>
    <w:rsid w:val="001320DC"/>
    <w:rsid w:val="001344D6"/>
    <w:rsid w:val="001409B4"/>
    <w:rsid w:val="0014338C"/>
    <w:rsid w:val="00144F67"/>
    <w:rsid w:val="0014526C"/>
    <w:rsid w:val="001505A7"/>
    <w:rsid w:val="001513F0"/>
    <w:rsid w:val="001556EF"/>
    <w:rsid w:val="00157A8B"/>
    <w:rsid w:val="00157D13"/>
    <w:rsid w:val="00167F72"/>
    <w:rsid w:val="00180D22"/>
    <w:rsid w:val="00184423"/>
    <w:rsid w:val="001955D6"/>
    <w:rsid w:val="00196BDF"/>
    <w:rsid w:val="001A03E7"/>
    <w:rsid w:val="001A1AC3"/>
    <w:rsid w:val="001A251A"/>
    <w:rsid w:val="001A5651"/>
    <w:rsid w:val="001A7C05"/>
    <w:rsid w:val="001B3776"/>
    <w:rsid w:val="001C11EA"/>
    <w:rsid w:val="001C629C"/>
    <w:rsid w:val="001C77C2"/>
    <w:rsid w:val="001D1632"/>
    <w:rsid w:val="001D3C24"/>
    <w:rsid w:val="001E0D1E"/>
    <w:rsid w:val="001E0E76"/>
    <w:rsid w:val="001F0BA1"/>
    <w:rsid w:val="001F0DB5"/>
    <w:rsid w:val="001F2EAF"/>
    <w:rsid w:val="00202708"/>
    <w:rsid w:val="00205E9C"/>
    <w:rsid w:val="00212F44"/>
    <w:rsid w:val="00220A6E"/>
    <w:rsid w:val="00222FBD"/>
    <w:rsid w:val="00237129"/>
    <w:rsid w:val="00257D33"/>
    <w:rsid w:val="00261125"/>
    <w:rsid w:val="002826E9"/>
    <w:rsid w:val="002842CC"/>
    <w:rsid w:val="002861E9"/>
    <w:rsid w:val="002920ED"/>
    <w:rsid w:val="00293384"/>
    <w:rsid w:val="00294C79"/>
    <w:rsid w:val="002A6CDC"/>
    <w:rsid w:val="002A7DE8"/>
    <w:rsid w:val="002B5CC3"/>
    <w:rsid w:val="002C177A"/>
    <w:rsid w:val="002C2ADF"/>
    <w:rsid w:val="002C723E"/>
    <w:rsid w:val="002D128E"/>
    <w:rsid w:val="002D16AD"/>
    <w:rsid w:val="002E3BEA"/>
    <w:rsid w:val="002E4F2B"/>
    <w:rsid w:val="00301650"/>
    <w:rsid w:val="00317614"/>
    <w:rsid w:val="00323E48"/>
    <w:rsid w:val="00327B43"/>
    <w:rsid w:val="003349A4"/>
    <w:rsid w:val="003349EB"/>
    <w:rsid w:val="00334E4F"/>
    <w:rsid w:val="00334E75"/>
    <w:rsid w:val="00341B1D"/>
    <w:rsid w:val="0034667C"/>
    <w:rsid w:val="003542F0"/>
    <w:rsid w:val="00364461"/>
    <w:rsid w:val="00365E21"/>
    <w:rsid w:val="003740DB"/>
    <w:rsid w:val="00382444"/>
    <w:rsid w:val="0038462C"/>
    <w:rsid w:val="00392050"/>
    <w:rsid w:val="0039479A"/>
    <w:rsid w:val="00394A56"/>
    <w:rsid w:val="003A0383"/>
    <w:rsid w:val="003A092E"/>
    <w:rsid w:val="003A17FC"/>
    <w:rsid w:val="003A5A09"/>
    <w:rsid w:val="003B2E1C"/>
    <w:rsid w:val="003B5370"/>
    <w:rsid w:val="003C27B0"/>
    <w:rsid w:val="003C496D"/>
    <w:rsid w:val="003C71C5"/>
    <w:rsid w:val="003D1FE0"/>
    <w:rsid w:val="003D3728"/>
    <w:rsid w:val="003D59AC"/>
    <w:rsid w:val="003E7EE2"/>
    <w:rsid w:val="003F5123"/>
    <w:rsid w:val="00412372"/>
    <w:rsid w:val="0042419D"/>
    <w:rsid w:val="00425AEB"/>
    <w:rsid w:val="00425FAA"/>
    <w:rsid w:val="00435799"/>
    <w:rsid w:val="00436192"/>
    <w:rsid w:val="004369F4"/>
    <w:rsid w:val="004430CC"/>
    <w:rsid w:val="00444214"/>
    <w:rsid w:val="00453B95"/>
    <w:rsid w:val="00453E27"/>
    <w:rsid w:val="004556A7"/>
    <w:rsid w:val="00457D5B"/>
    <w:rsid w:val="0046333E"/>
    <w:rsid w:val="00486345"/>
    <w:rsid w:val="004914EC"/>
    <w:rsid w:val="004B0C46"/>
    <w:rsid w:val="004B58A3"/>
    <w:rsid w:val="004C1161"/>
    <w:rsid w:val="004C7977"/>
    <w:rsid w:val="004D0000"/>
    <w:rsid w:val="004E573E"/>
    <w:rsid w:val="004F3441"/>
    <w:rsid w:val="004F73C7"/>
    <w:rsid w:val="005079B8"/>
    <w:rsid w:val="00514FAA"/>
    <w:rsid w:val="00521175"/>
    <w:rsid w:val="00524F36"/>
    <w:rsid w:val="00525F37"/>
    <w:rsid w:val="005300AF"/>
    <w:rsid w:val="0053086C"/>
    <w:rsid w:val="005320FD"/>
    <w:rsid w:val="00534F2A"/>
    <w:rsid w:val="005350DC"/>
    <w:rsid w:val="00541983"/>
    <w:rsid w:val="00551F4E"/>
    <w:rsid w:val="005728D3"/>
    <w:rsid w:val="00574211"/>
    <w:rsid w:val="00575E88"/>
    <w:rsid w:val="005915A7"/>
    <w:rsid w:val="005A4BAB"/>
    <w:rsid w:val="005A5945"/>
    <w:rsid w:val="005D5EC4"/>
    <w:rsid w:val="005E079E"/>
    <w:rsid w:val="005F5F5C"/>
    <w:rsid w:val="006049A9"/>
    <w:rsid w:val="00606B9F"/>
    <w:rsid w:val="0061487C"/>
    <w:rsid w:val="0062295A"/>
    <w:rsid w:val="00622981"/>
    <w:rsid w:val="00627DD3"/>
    <w:rsid w:val="00646C3D"/>
    <w:rsid w:val="00650EA0"/>
    <w:rsid w:val="006525C5"/>
    <w:rsid w:val="00667E5A"/>
    <w:rsid w:val="00674AEF"/>
    <w:rsid w:val="00680820"/>
    <w:rsid w:val="00692C69"/>
    <w:rsid w:val="00693A9C"/>
    <w:rsid w:val="006A0232"/>
    <w:rsid w:val="006A2783"/>
    <w:rsid w:val="006A745E"/>
    <w:rsid w:val="006B0997"/>
    <w:rsid w:val="006B1F29"/>
    <w:rsid w:val="006B233F"/>
    <w:rsid w:val="006B2771"/>
    <w:rsid w:val="006B3BD7"/>
    <w:rsid w:val="006B3D52"/>
    <w:rsid w:val="006B5FD8"/>
    <w:rsid w:val="006D087C"/>
    <w:rsid w:val="006D462A"/>
    <w:rsid w:val="006D5150"/>
    <w:rsid w:val="006E0EBF"/>
    <w:rsid w:val="006F1BD7"/>
    <w:rsid w:val="006F3CB6"/>
    <w:rsid w:val="006F4C4B"/>
    <w:rsid w:val="007013D6"/>
    <w:rsid w:val="0071176F"/>
    <w:rsid w:val="007118F8"/>
    <w:rsid w:val="00722F39"/>
    <w:rsid w:val="007251BF"/>
    <w:rsid w:val="00733BE4"/>
    <w:rsid w:val="0073403D"/>
    <w:rsid w:val="00735B8D"/>
    <w:rsid w:val="00741523"/>
    <w:rsid w:val="00753B95"/>
    <w:rsid w:val="00762B9C"/>
    <w:rsid w:val="00766920"/>
    <w:rsid w:val="00770F2E"/>
    <w:rsid w:val="00777BC5"/>
    <w:rsid w:val="0078544F"/>
    <w:rsid w:val="007931B8"/>
    <w:rsid w:val="00794EC8"/>
    <w:rsid w:val="007A5630"/>
    <w:rsid w:val="007B0C02"/>
    <w:rsid w:val="007C089C"/>
    <w:rsid w:val="007C7D01"/>
    <w:rsid w:val="007D1391"/>
    <w:rsid w:val="007D4D36"/>
    <w:rsid w:val="007D514B"/>
    <w:rsid w:val="007E247E"/>
    <w:rsid w:val="007F1BFB"/>
    <w:rsid w:val="007F4ED7"/>
    <w:rsid w:val="007F5079"/>
    <w:rsid w:val="00802B58"/>
    <w:rsid w:val="00804FEB"/>
    <w:rsid w:val="00806E73"/>
    <w:rsid w:val="008155FD"/>
    <w:rsid w:val="00820C2A"/>
    <w:rsid w:val="0084030C"/>
    <w:rsid w:val="0084133C"/>
    <w:rsid w:val="0085137F"/>
    <w:rsid w:val="008556D8"/>
    <w:rsid w:val="00855EDE"/>
    <w:rsid w:val="008606FF"/>
    <w:rsid w:val="008714EE"/>
    <w:rsid w:val="008745D8"/>
    <w:rsid w:val="00880319"/>
    <w:rsid w:val="0088606D"/>
    <w:rsid w:val="00886566"/>
    <w:rsid w:val="008A128B"/>
    <w:rsid w:val="008A7112"/>
    <w:rsid w:val="008A7F61"/>
    <w:rsid w:val="008B2819"/>
    <w:rsid w:val="008B54E8"/>
    <w:rsid w:val="008B7BBA"/>
    <w:rsid w:val="008D3970"/>
    <w:rsid w:val="008E3ADD"/>
    <w:rsid w:val="008E4492"/>
    <w:rsid w:val="00902EBE"/>
    <w:rsid w:val="00912907"/>
    <w:rsid w:val="00914119"/>
    <w:rsid w:val="00932B32"/>
    <w:rsid w:val="00940951"/>
    <w:rsid w:val="00942A07"/>
    <w:rsid w:val="00942D05"/>
    <w:rsid w:val="0094386E"/>
    <w:rsid w:val="009465E4"/>
    <w:rsid w:val="0094771C"/>
    <w:rsid w:val="00955999"/>
    <w:rsid w:val="00956E4A"/>
    <w:rsid w:val="009739E0"/>
    <w:rsid w:val="00975125"/>
    <w:rsid w:val="0098332B"/>
    <w:rsid w:val="0098730C"/>
    <w:rsid w:val="009A22F2"/>
    <w:rsid w:val="009A304B"/>
    <w:rsid w:val="009A5162"/>
    <w:rsid w:val="009B01B0"/>
    <w:rsid w:val="009C5AA9"/>
    <w:rsid w:val="009C5E9F"/>
    <w:rsid w:val="009D5313"/>
    <w:rsid w:val="009D68BC"/>
    <w:rsid w:val="009E0837"/>
    <w:rsid w:val="009E33D7"/>
    <w:rsid w:val="009E348C"/>
    <w:rsid w:val="009E79D9"/>
    <w:rsid w:val="009F0F2A"/>
    <w:rsid w:val="009F594F"/>
    <w:rsid w:val="009F5B77"/>
    <w:rsid w:val="009F7645"/>
    <w:rsid w:val="00A10142"/>
    <w:rsid w:val="00A11628"/>
    <w:rsid w:val="00A16028"/>
    <w:rsid w:val="00A16C5D"/>
    <w:rsid w:val="00A236DE"/>
    <w:rsid w:val="00A25306"/>
    <w:rsid w:val="00A3321F"/>
    <w:rsid w:val="00A34A8A"/>
    <w:rsid w:val="00A44ACA"/>
    <w:rsid w:val="00A44EE7"/>
    <w:rsid w:val="00A52969"/>
    <w:rsid w:val="00A5296C"/>
    <w:rsid w:val="00A537FA"/>
    <w:rsid w:val="00A541DC"/>
    <w:rsid w:val="00A62F23"/>
    <w:rsid w:val="00A75EB8"/>
    <w:rsid w:val="00A771D6"/>
    <w:rsid w:val="00A84669"/>
    <w:rsid w:val="00A91B29"/>
    <w:rsid w:val="00A94BA3"/>
    <w:rsid w:val="00A951FD"/>
    <w:rsid w:val="00A96632"/>
    <w:rsid w:val="00AA273C"/>
    <w:rsid w:val="00AA42B0"/>
    <w:rsid w:val="00AA4FF2"/>
    <w:rsid w:val="00AB1744"/>
    <w:rsid w:val="00AC7396"/>
    <w:rsid w:val="00AD4A8E"/>
    <w:rsid w:val="00AD6D80"/>
    <w:rsid w:val="00B048D1"/>
    <w:rsid w:val="00B04F7E"/>
    <w:rsid w:val="00B14E32"/>
    <w:rsid w:val="00B21361"/>
    <w:rsid w:val="00B37292"/>
    <w:rsid w:val="00B37EF3"/>
    <w:rsid w:val="00B41267"/>
    <w:rsid w:val="00B536A7"/>
    <w:rsid w:val="00B61960"/>
    <w:rsid w:val="00B70A4B"/>
    <w:rsid w:val="00B74935"/>
    <w:rsid w:val="00B77298"/>
    <w:rsid w:val="00B87625"/>
    <w:rsid w:val="00B90AE4"/>
    <w:rsid w:val="00B94D99"/>
    <w:rsid w:val="00B951AF"/>
    <w:rsid w:val="00BA5D7C"/>
    <w:rsid w:val="00BC5CF8"/>
    <w:rsid w:val="00BE4B38"/>
    <w:rsid w:val="00BE6449"/>
    <w:rsid w:val="00BE7CB5"/>
    <w:rsid w:val="00BF0158"/>
    <w:rsid w:val="00BF1CE3"/>
    <w:rsid w:val="00BF77A8"/>
    <w:rsid w:val="00C0091A"/>
    <w:rsid w:val="00C02EF5"/>
    <w:rsid w:val="00C03455"/>
    <w:rsid w:val="00C050D3"/>
    <w:rsid w:val="00C13DEB"/>
    <w:rsid w:val="00C17FEE"/>
    <w:rsid w:val="00C22005"/>
    <w:rsid w:val="00C24233"/>
    <w:rsid w:val="00C263DF"/>
    <w:rsid w:val="00C337B7"/>
    <w:rsid w:val="00C44FE0"/>
    <w:rsid w:val="00C45AAA"/>
    <w:rsid w:val="00C57B92"/>
    <w:rsid w:val="00C57BF0"/>
    <w:rsid w:val="00C6348E"/>
    <w:rsid w:val="00C6650F"/>
    <w:rsid w:val="00C742D0"/>
    <w:rsid w:val="00C856CB"/>
    <w:rsid w:val="00C857B7"/>
    <w:rsid w:val="00C93853"/>
    <w:rsid w:val="00C97F91"/>
    <w:rsid w:val="00CA2BEC"/>
    <w:rsid w:val="00CA5C2D"/>
    <w:rsid w:val="00CB6256"/>
    <w:rsid w:val="00CD629B"/>
    <w:rsid w:val="00CE6A94"/>
    <w:rsid w:val="00CE76BD"/>
    <w:rsid w:val="00CE7B24"/>
    <w:rsid w:val="00CF558C"/>
    <w:rsid w:val="00CF6886"/>
    <w:rsid w:val="00D05C04"/>
    <w:rsid w:val="00D12E2B"/>
    <w:rsid w:val="00D1311E"/>
    <w:rsid w:val="00D25919"/>
    <w:rsid w:val="00D3165A"/>
    <w:rsid w:val="00D3345D"/>
    <w:rsid w:val="00D339A2"/>
    <w:rsid w:val="00D45690"/>
    <w:rsid w:val="00D62FCD"/>
    <w:rsid w:val="00D63DB3"/>
    <w:rsid w:val="00D728DA"/>
    <w:rsid w:val="00D74D2C"/>
    <w:rsid w:val="00D87E6A"/>
    <w:rsid w:val="00D93962"/>
    <w:rsid w:val="00D94BA5"/>
    <w:rsid w:val="00D95123"/>
    <w:rsid w:val="00DA34C4"/>
    <w:rsid w:val="00DA6579"/>
    <w:rsid w:val="00DB4920"/>
    <w:rsid w:val="00DB6050"/>
    <w:rsid w:val="00DB7792"/>
    <w:rsid w:val="00DC1250"/>
    <w:rsid w:val="00DD3C59"/>
    <w:rsid w:val="00DF0ADD"/>
    <w:rsid w:val="00DF142A"/>
    <w:rsid w:val="00DF2C1A"/>
    <w:rsid w:val="00E31E47"/>
    <w:rsid w:val="00E36E6D"/>
    <w:rsid w:val="00E41832"/>
    <w:rsid w:val="00E440B4"/>
    <w:rsid w:val="00E55E2C"/>
    <w:rsid w:val="00E60CA7"/>
    <w:rsid w:val="00E708FD"/>
    <w:rsid w:val="00E75E30"/>
    <w:rsid w:val="00E80C21"/>
    <w:rsid w:val="00EC5046"/>
    <w:rsid w:val="00F01803"/>
    <w:rsid w:val="00F03995"/>
    <w:rsid w:val="00F05241"/>
    <w:rsid w:val="00F220F2"/>
    <w:rsid w:val="00F2748C"/>
    <w:rsid w:val="00F27F56"/>
    <w:rsid w:val="00F36CBB"/>
    <w:rsid w:val="00F44855"/>
    <w:rsid w:val="00F507AB"/>
    <w:rsid w:val="00F71495"/>
    <w:rsid w:val="00F731AD"/>
    <w:rsid w:val="00F76E3B"/>
    <w:rsid w:val="00F92873"/>
    <w:rsid w:val="00F9528A"/>
    <w:rsid w:val="00FA3A11"/>
    <w:rsid w:val="00FB33EF"/>
    <w:rsid w:val="00FC43A1"/>
    <w:rsid w:val="00FD5E62"/>
    <w:rsid w:val="00FD66AC"/>
    <w:rsid w:val="00FD7F0C"/>
    <w:rsid w:val="00FE1E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62B20E"/>
  <w15:docId w15:val="{20C97BE7-13A5-4358-A943-D0DA0B07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1"/>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Revision">
    <w:name w:val="Revision"/>
    <w:hidden/>
    <w:uiPriority w:val="99"/>
    <w:semiHidden/>
    <w:rsid w:val="00334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reginfo.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DD00-F8A3-42B3-A4E9-5D4C5013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1712</Words>
  <Characters>9438</Characters>
  <Application>Microsoft Office Word</Application>
  <DocSecurity>0</DocSecurity>
  <Lines>496</Lines>
  <Paragraphs>293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Rogers, Dacia A</cp:lastModifiedBy>
  <cp:revision>13</cp:revision>
  <cp:lastPrinted>2020-02-28T18:59:00Z</cp:lastPrinted>
  <dcterms:created xsi:type="dcterms:W3CDTF">2026-02-17T15:02:00Z</dcterms:created>
  <dcterms:modified xsi:type="dcterms:W3CDTF">2026-04-17T12:30:00Z</dcterms:modified>
</cp:coreProperties>
</file>