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31A90" w:rsidRPr="00D807AF" w14:paraId="6865FB88" w14:textId="77777777">
      <w:pPr>
        <w:pStyle w:val="Footer"/>
        <w:tabs>
          <w:tab w:val="clear" w:pos="4320"/>
          <w:tab w:val="center" w:pos="4680"/>
          <w:tab w:val="clear" w:pos="8640"/>
        </w:tabs>
        <w:jc w:val="center"/>
        <w:rPr>
          <w:rFonts w:ascii="Times New Roman" w:hAnsi="Times New Roman"/>
          <w:b/>
        </w:rPr>
      </w:pPr>
      <w:r w:rsidRPr="00D807AF">
        <w:rPr>
          <w:rFonts w:ascii="Times New Roman" w:hAnsi="Times New Roman"/>
          <w:b/>
        </w:rPr>
        <w:t>SUPPORTING STATEMENT</w:t>
      </w:r>
    </w:p>
    <w:p w:rsidR="00731A90" w:rsidRPr="00D807AF" w14:paraId="2B6F6F91" w14:textId="77777777">
      <w:pPr>
        <w:tabs>
          <w:tab w:val="center" w:pos="4680"/>
        </w:tabs>
        <w:jc w:val="center"/>
        <w:rPr>
          <w:rFonts w:ascii="Times New Roman" w:hAnsi="Times New Roman"/>
          <w:b/>
        </w:rPr>
      </w:pPr>
      <w:r>
        <w:rPr>
          <w:rFonts w:ascii="Times New Roman" w:hAnsi="Times New Roman"/>
          <w:b/>
        </w:rPr>
        <w:t>Application for Consent to Reduce or Retire Capital</w:t>
      </w:r>
    </w:p>
    <w:p w:rsidR="00731A90" w:rsidRPr="00D807AF" w14:paraId="6D17DB60" w14:textId="77777777">
      <w:pPr>
        <w:tabs>
          <w:tab w:val="center" w:pos="4680"/>
        </w:tabs>
        <w:jc w:val="center"/>
        <w:rPr>
          <w:rFonts w:ascii="Times New Roman" w:hAnsi="Times New Roman"/>
          <w:b/>
        </w:rPr>
      </w:pPr>
      <w:r w:rsidRPr="00D807AF">
        <w:rPr>
          <w:rFonts w:ascii="Times New Roman" w:hAnsi="Times New Roman"/>
          <w:b/>
        </w:rPr>
        <w:t>(</w:t>
      </w:r>
      <w:r w:rsidR="00D807AF">
        <w:rPr>
          <w:rFonts w:ascii="Times New Roman" w:hAnsi="Times New Roman"/>
          <w:b/>
        </w:rPr>
        <w:t xml:space="preserve">OMB Control No. </w:t>
      </w:r>
      <w:r w:rsidRPr="00D807AF">
        <w:rPr>
          <w:rFonts w:ascii="Times New Roman" w:hAnsi="Times New Roman"/>
          <w:b/>
        </w:rPr>
        <w:t>3064-</w:t>
      </w:r>
      <w:r w:rsidR="009431C3">
        <w:rPr>
          <w:rFonts w:ascii="Times New Roman" w:hAnsi="Times New Roman"/>
          <w:b/>
        </w:rPr>
        <w:t>00</w:t>
      </w:r>
      <w:r w:rsidR="004A4C59">
        <w:rPr>
          <w:rFonts w:ascii="Times New Roman" w:hAnsi="Times New Roman"/>
          <w:b/>
        </w:rPr>
        <w:t>79</w:t>
      </w:r>
      <w:r w:rsidRPr="00D807AF">
        <w:rPr>
          <w:rFonts w:ascii="Times New Roman" w:hAnsi="Times New Roman"/>
          <w:b/>
        </w:rPr>
        <w:t>)</w:t>
      </w:r>
    </w:p>
    <w:p w:rsidR="00731A90" w14:paraId="4747D993" w14:textId="77777777">
      <w:pPr>
        <w:rPr>
          <w:rFonts w:ascii="Times New Roman" w:hAnsi="Times New Roman"/>
        </w:rPr>
      </w:pPr>
    </w:p>
    <w:p w:rsidR="00731A90" w14:paraId="2A72C53B" w14:textId="77777777">
      <w:pPr>
        <w:rPr>
          <w:rFonts w:ascii="Times New Roman" w:hAnsi="Times New Roman"/>
          <w:u w:val="single"/>
        </w:rPr>
      </w:pPr>
      <w:r>
        <w:rPr>
          <w:rFonts w:ascii="Times New Roman" w:hAnsi="Times New Roman"/>
          <w:u w:val="single"/>
        </w:rPr>
        <w:t>INTRODUCTION</w:t>
      </w:r>
    </w:p>
    <w:p w:rsidR="00731A90" w14:paraId="10052055" w14:textId="77777777">
      <w:pPr>
        <w:rPr>
          <w:rFonts w:ascii="Times New Roman" w:hAnsi="Times New Roman"/>
          <w:u w:val="single"/>
        </w:rPr>
      </w:pPr>
    </w:p>
    <w:p w:rsidR="00DB04B6" w:rsidRPr="00DB04B6" w:rsidP="00DB04B6" w14:paraId="2FB623B0" w14:textId="130EA770">
      <w:pPr>
        <w:rPr>
          <w:rFonts w:ascii="Times New Roman" w:hAnsi="Times New Roman"/>
        </w:rPr>
      </w:pPr>
      <w:r w:rsidRPr="00DB04B6">
        <w:rPr>
          <w:rFonts w:ascii="Times New Roman" w:hAnsi="Times New Roman"/>
        </w:rPr>
        <w:t xml:space="preserve">The Federal Deposit Insurance Corporation (FDIC) is requesting a three-year </w:t>
      </w:r>
      <w:r w:rsidR="007F7BC9">
        <w:rPr>
          <w:rFonts w:ascii="Times New Roman" w:hAnsi="Times New Roman"/>
        </w:rPr>
        <w:t>extension without revision</w:t>
      </w:r>
      <w:r w:rsidRPr="00DB04B6" w:rsidR="007F7BC9">
        <w:rPr>
          <w:rFonts w:ascii="Times New Roman" w:hAnsi="Times New Roman"/>
        </w:rPr>
        <w:t xml:space="preserve"> </w:t>
      </w:r>
      <w:r w:rsidRPr="00DB04B6">
        <w:rPr>
          <w:rFonts w:ascii="Times New Roman" w:hAnsi="Times New Roman"/>
        </w:rPr>
        <w:t xml:space="preserve">of the information collection </w:t>
      </w:r>
      <w:r>
        <w:rPr>
          <w:rFonts w:ascii="Times New Roman" w:hAnsi="Times New Roman"/>
        </w:rPr>
        <w:t>entitled “</w:t>
      </w:r>
      <w:r w:rsidR="004A4C59">
        <w:rPr>
          <w:rFonts w:ascii="Times New Roman" w:hAnsi="Times New Roman"/>
        </w:rPr>
        <w:t>Application for Consent to Reduce or Retire Capital</w:t>
      </w:r>
      <w:r>
        <w:rPr>
          <w:rFonts w:ascii="Times New Roman" w:hAnsi="Times New Roman"/>
        </w:rPr>
        <w:t>”</w:t>
      </w:r>
      <w:r w:rsidR="009431C3">
        <w:rPr>
          <w:rFonts w:ascii="Times New Roman" w:hAnsi="Times New Roman"/>
        </w:rPr>
        <w:t xml:space="preserve"> (OMB Control Number 3064-00</w:t>
      </w:r>
      <w:r w:rsidR="004A4C59">
        <w:rPr>
          <w:rFonts w:ascii="Times New Roman" w:hAnsi="Times New Roman"/>
        </w:rPr>
        <w:t>79</w:t>
      </w:r>
      <w:r w:rsidR="009431C3">
        <w:rPr>
          <w:rFonts w:ascii="Times New Roman" w:hAnsi="Times New Roman"/>
        </w:rPr>
        <w:t>).</w:t>
      </w:r>
      <w:r>
        <w:rPr>
          <w:rFonts w:ascii="Times New Roman" w:hAnsi="Times New Roman"/>
        </w:rPr>
        <w:t xml:space="preserve"> </w:t>
      </w:r>
      <w:r w:rsidRPr="004A4C59" w:rsidR="004A4C59">
        <w:rPr>
          <w:rFonts w:ascii="Times New Roman" w:hAnsi="Times New Roman"/>
        </w:rPr>
        <w:t xml:space="preserve">This collection requires insured state </w:t>
      </w:r>
      <w:r w:rsidRPr="004A4C59" w:rsidR="004A4C59">
        <w:rPr>
          <w:rFonts w:ascii="Times New Roman" w:hAnsi="Times New Roman"/>
        </w:rPr>
        <w:t>nonmember</w:t>
      </w:r>
      <w:r w:rsidRPr="004A4C59" w:rsidR="004A4C59">
        <w:rPr>
          <w:rFonts w:ascii="Times New Roman" w:hAnsi="Times New Roman"/>
        </w:rPr>
        <w:t xml:space="preserve"> banks that propose to change their capital structure to </w:t>
      </w:r>
      <w:r w:rsidRPr="004A4C59" w:rsidR="004A4C59">
        <w:rPr>
          <w:rFonts w:ascii="Times New Roman" w:hAnsi="Times New Roman"/>
        </w:rPr>
        <w:t>submit an application</w:t>
      </w:r>
      <w:r w:rsidRPr="004A4C59" w:rsidR="004A4C59">
        <w:rPr>
          <w:rFonts w:ascii="Times New Roman" w:hAnsi="Times New Roman"/>
        </w:rPr>
        <w:t xml:space="preserve"> containing information about the proposed change </w:t>
      </w:r>
      <w:r w:rsidRPr="004A4C59" w:rsidR="004A4C59">
        <w:rPr>
          <w:rFonts w:ascii="Times New Roman" w:hAnsi="Times New Roman"/>
        </w:rPr>
        <w:t>in order to</w:t>
      </w:r>
      <w:r w:rsidRPr="004A4C59" w:rsidR="004A4C59">
        <w:rPr>
          <w:rFonts w:ascii="Times New Roman" w:hAnsi="Times New Roman"/>
        </w:rPr>
        <w:t xml:space="preserve"> obtain FDIC's consent to reduce or retire capital.  The FDIC evaluates the information contained in the letter application in relation to statutory considerations and </w:t>
      </w:r>
      <w:r w:rsidRPr="004A4C59" w:rsidR="004A4C59">
        <w:rPr>
          <w:rFonts w:ascii="Times New Roman" w:hAnsi="Times New Roman"/>
        </w:rPr>
        <w:t>makes a decision</w:t>
      </w:r>
      <w:r w:rsidRPr="004A4C59" w:rsidR="004A4C59">
        <w:rPr>
          <w:rFonts w:ascii="Times New Roman" w:hAnsi="Times New Roman"/>
        </w:rPr>
        <w:t xml:space="preserve"> to grant or to withhold consent. The current clearance expires on </w:t>
      </w:r>
      <w:r w:rsidR="00B23171">
        <w:rPr>
          <w:rFonts w:ascii="Times New Roman" w:hAnsi="Times New Roman"/>
        </w:rPr>
        <w:t>March 31, 2026</w:t>
      </w:r>
      <w:r w:rsidRPr="004A4C59" w:rsidR="004A4C59">
        <w:rPr>
          <w:rFonts w:ascii="Times New Roman" w:hAnsi="Times New Roman"/>
        </w:rPr>
        <w:t>.</w:t>
      </w:r>
    </w:p>
    <w:p w:rsidR="00DB04B6" w:rsidP="004D1876" w14:paraId="7983E35C" w14:textId="77777777">
      <w:pPr>
        <w:rPr>
          <w:rFonts w:ascii="Times New Roman" w:hAnsi="Times New Roman"/>
        </w:rPr>
      </w:pPr>
    </w:p>
    <w:p w:rsidR="00731A90" w14:paraId="53B64B1D" w14:textId="77777777">
      <w:pPr>
        <w:rPr>
          <w:rFonts w:ascii="Times New Roman" w:hAnsi="Times New Roman"/>
          <w:u w:val="single"/>
        </w:rPr>
      </w:pPr>
      <w:r>
        <w:rPr>
          <w:rFonts w:ascii="Times New Roman" w:hAnsi="Times New Roman"/>
        </w:rPr>
        <w:t>A.</w:t>
      </w:r>
      <w:r>
        <w:rPr>
          <w:rFonts w:ascii="Times New Roman" w:hAnsi="Times New Roman"/>
        </w:rPr>
        <w:tab/>
      </w:r>
      <w:r>
        <w:rPr>
          <w:rFonts w:ascii="Times New Roman" w:hAnsi="Times New Roman"/>
          <w:u w:val="single"/>
        </w:rPr>
        <w:t>JUSTIFICATION</w:t>
      </w:r>
    </w:p>
    <w:p w:rsidR="00731A90" w14:paraId="136C79C5" w14:textId="77777777">
      <w:pPr>
        <w:rPr>
          <w:rFonts w:ascii="Times New Roman" w:hAnsi="Times New Roman"/>
        </w:rPr>
      </w:pPr>
    </w:p>
    <w:p w:rsidR="00731A90" w:rsidP="00EA72EA" w14:paraId="43883310" w14:textId="77777777">
      <w:pPr>
        <w:numPr>
          <w:ilvl w:val="0"/>
          <w:numId w:val="11"/>
        </w:numPr>
        <w:rPr>
          <w:rFonts w:ascii="Times New Roman" w:hAnsi="Times New Roman"/>
        </w:rPr>
      </w:pPr>
      <w:r w:rsidRPr="00B662BE">
        <w:rPr>
          <w:rFonts w:ascii="Times New Roman" w:hAnsi="Times New Roman"/>
          <w:bCs/>
          <w:szCs w:val="24"/>
          <w:u w:val="single"/>
        </w:rPr>
        <w:t>Circumstances that make the collection necessary:</w:t>
      </w:r>
    </w:p>
    <w:p w:rsidR="00731A90" w14:paraId="5B1BC500" w14:textId="77777777">
      <w:pPr>
        <w:ind w:firstLine="1440"/>
        <w:rPr>
          <w:rFonts w:ascii="Times New Roman" w:hAnsi="Times New Roman"/>
        </w:rPr>
      </w:pPr>
    </w:p>
    <w:p w:rsidR="00F034F1" w:rsidRPr="00F034F1" w:rsidP="00F034F1" w14:paraId="5361892F" w14:textId="77777777">
      <w:pPr>
        <w:widowControl/>
        <w:ind w:left="1440"/>
        <w:rPr>
          <w:rFonts w:ascii="Times New Roman" w:hAnsi="Times New Roman"/>
          <w:snapToGrid/>
        </w:rPr>
      </w:pPr>
      <w:r w:rsidRPr="00F034F1">
        <w:rPr>
          <w:rFonts w:ascii="Times New Roman" w:hAnsi="Times New Roman"/>
          <w:snapToGrid/>
        </w:rPr>
        <w:t>Section 18(i) of the Federal Deposit Insurance Act (12 U.S.C. 1828(i)) states that no insured, state nonmember bank shall, without the prior consent of the FDIC, reduce the amount or retire any part of its common or preferred capital stock, or retire any part of its capital notes or debentures.  In granting or withholding consent under section 18(i) of the FDI Act, the FDIC is required to consider the following:</w:t>
      </w:r>
    </w:p>
    <w:p w:rsidR="00F034F1" w:rsidRPr="00F034F1" w:rsidP="00F034F1" w14:paraId="5FD8B766" w14:textId="77777777">
      <w:pPr>
        <w:widowControl/>
        <w:ind w:left="144"/>
        <w:rPr>
          <w:rFonts w:ascii="Times New Roman" w:hAnsi="Times New Roman"/>
          <w:snapToGrid/>
        </w:rPr>
      </w:pPr>
    </w:p>
    <w:p w:rsidR="00F034F1" w:rsidRPr="00F034F1" w:rsidP="00F034F1" w14:paraId="1800B067" w14:textId="77777777">
      <w:pPr>
        <w:widowControl/>
        <w:ind w:left="792" w:firstLine="648"/>
        <w:rPr>
          <w:rFonts w:ascii="Times New Roman" w:hAnsi="Times New Roman"/>
          <w:snapToGrid/>
        </w:rPr>
      </w:pPr>
      <w:r w:rsidRPr="00F034F1">
        <w:rPr>
          <w:rFonts w:ascii="Times New Roman" w:hAnsi="Times New Roman"/>
          <w:snapToGrid/>
        </w:rPr>
        <w:tab/>
        <w:t xml:space="preserve">(a) the financial history and condition of the </w:t>
      </w:r>
      <w:r w:rsidRPr="00F034F1">
        <w:rPr>
          <w:rFonts w:ascii="Times New Roman" w:hAnsi="Times New Roman"/>
          <w:snapToGrid/>
        </w:rPr>
        <w:t>bank;</w:t>
      </w:r>
    </w:p>
    <w:p w:rsidR="00F034F1" w:rsidRPr="00F034F1" w:rsidP="00F034F1" w14:paraId="6D7C2BEB" w14:textId="77777777">
      <w:pPr>
        <w:widowControl/>
        <w:ind w:left="792" w:firstLine="648"/>
        <w:rPr>
          <w:rFonts w:ascii="Times New Roman" w:hAnsi="Times New Roman"/>
          <w:snapToGrid/>
        </w:rPr>
      </w:pPr>
      <w:r w:rsidRPr="00F034F1">
        <w:rPr>
          <w:rFonts w:ascii="Times New Roman" w:hAnsi="Times New Roman"/>
          <w:snapToGrid/>
        </w:rPr>
        <w:tab/>
        <w:t xml:space="preserve">(b) the adequacy of its capital </w:t>
      </w:r>
      <w:r w:rsidRPr="00F034F1">
        <w:rPr>
          <w:rFonts w:ascii="Times New Roman" w:hAnsi="Times New Roman"/>
          <w:snapToGrid/>
        </w:rPr>
        <w:t>structure;</w:t>
      </w:r>
    </w:p>
    <w:p w:rsidR="00F034F1" w:rsidRPr="00F034F1" w:rsidP="00F034F1" w14:paraId="4FADC1AB" w14:textId="77777777">
      <w:pPr>
        <w:widowControl/>
        <w:ind w:left="792" w:firstLine="648"/>
        <w:rPr>
          <w:rFonts w:ascii="Times New Roman" w:hAnsi="Times New Roman"/>
          <w:snapToGrid/>
        </w:rPr>
      </w:pPr>
      <w:r w:rsidRPr="00F034F1">
        <w:rPr>
          <w:rFonts w:ascii="Times New Roman" w:hAnsi="Times New Roman"/>
          <w:snapToGrid/>
        </w:rPr>
        <w:tab/>
        <w:t xml:space="preserve">(c) its future earnings </w:t>
      </w:r>
      <w:r w:rsidRPr="00F034F1">
        <w:rPr>
          <w:rFonts w:ascii="Times New Roman" w:hAnsi="Times New Roman"/>
          <w:snapToGrid/>
        </w:rPr>
        <w:t>prospects;</w:t>
      </w:r>
    </w:p>
    <w:p w:rsidR="00F034F1" w:rsidRPr="00F034F1" w:rsidP="00F034F1" w14:paraId="57EB9B28" w14:textId="77777777">
      <w:pPr>
        <w:widowControl/>
        <w:ind w:left="792" w:firstLine="648"/>
        <w:rPr>
          <w:rFonts w:ascii="Times New Roman" w:hAnsi="Times New Roman"/>
          <w:snapToGrid/>
        </w:rPr>
      </w:pPr>
      <w:r w:rsidRPr="00F034F1">
        <w:rPr>
          <w:rFonts w:ascii="Times New Roman" w:hAnsi="Times New Roman"/>
          <w:snapToGrid/>
        </w:rPr>
        <w:tab/>
        <w:t xml:space="preserve">(d) the general character and fitness of its </w:t>
      </w:r>
      <w:r w:rsidRPr="00F034F1">
        <w:rPr>
          <w:rFonts w:ascii="Times New Roman" w:hAnsi="Times New Roman"/>
          <w:snapToGrid/>
        </w:rPr>
        <w:t>management;</w:t>
      </w:r>
    </w:p>
    <w:p w:rsidR="00F034F1" w:rsidRPr="00F034F1" w:rsidP="00F034F1" w14:paraId="04AC25CD" w14:textId="77777777">
      <w:pPr>
        <w:widowControl/>
        <w:ind w:left="744" w:firstLine="696"/>
        <w:rPr>
          <w:rFonts w:ascii="Times New Roman" w:hAnsi="Times New Roman"/>
          <w:snapToGrid/>
        </w:rPr>
      </w:pPr>
      <w:r w:rsidRPr="00F034F1">
        <w:rPr>
          <w:rFonts w:ascii="Times New Roman" w:hAnsi="Times New Roman"/>
          <w:snapToGrid/>
        </w:rPr>
        <w:tab/>
        <w:t>(e) the convenience and needs of the community to be served; and,</w:t>
      </w:r>
    </w:p>
    <w:p w:rsidR="009D2490" w:rsidP="00F034F1" w14:paraId="5B32DBE6" w14:textId="77777777">
      <w:pPr>
        <w:ind w:left="2160"/>
        <w:rPr>
          <w:rFonts w:ascii="Times New Roman" w:hAnsi="Times New Roman"/>
        </w:rPr>
      </w:pPr>
      <w:r w:rsidRPr="00F034F1">
        <w:rPr>
          <w:rFonts w:ascii="Times New Roman" w:hAnsi="Times New Roman"/>
          <w:snapToGrid/>
        </w:rPr>
        <w:t>(f) whether or not its corporate powers are consistent with the purpose of the Act.</w:t>
      </w:r>
      <w:r w:rsidR="001509ED">
        <w:rPr>
          <w:rFonts w:ascii="Times New Roman" w:hAnsi="Times New Roman"/>
        </w:rPr>
        <w:t xml:space="preserve"> </w:t>
      </w:r>
    </w:p>
    <w:p w:rsidR="00075303" w:rsidRPr="00373ED8" w:rsidP="001509ED" w14:paraId="492AE9C2" w14:textId="77777777">
      <w:pPr>
        <w:ind w:left="1440"/>
        <w:rPr>
          <w:rFonts w:ascii="Times New Roman" w:hAnsi="Times New Roman"/>
        </w:rPr>
      </w:pPr>
    </w:p>
    <w:p w:rsidR="004D1876" w:rsidRPr="00373ED8" w:rsidP="00EA72EA" w14:paraId="0E56A433" w14:textId="77777777">
      <w:pPr>
        <w:numPr>
          <w:ilvl w:val="0"/>
          <w:numId w:val="11"/>
        </w:numPr>
        <w:tabs>
          <w:tab w:val="left" w:pos="-1440"/>
        </w:tabs>
        <w:rPr>
          <w:rFonts w:ascii="Times New Roman" w:hAnsi="Times New Roman"/>
        </w:rPr>
      </w:pPr>
      <w:r w:rsidRPr="00373ED8">
        <w:rPr>
          <w:rFonts w:ascii="Times New Roman" w:hAnsi="Times New Roman"/>
          <w:u w:val="single"/>
        </w:rPr>
        <w:t>Use of the information:</w:t>
      </w:r>
    </w:p>
    <w:p w:rsidR="004D1876" w:rsidRPr="00373ED8" w:rsidP="004D1876" w14:paraId="2CE60182" w14:textId="77777777">
      <w:pPr>
        <w:ind w:left="1440"/>
        <w:rPr>
          <w:rFonts w:ascii="Times New Roman" w:hAnsi="Times New Roman"/>
        </w:rPr>
      </w:pPr>
    </w:p>
    <w:p w:rsidR="004D1876" w:rsidP="00F034F1" w14:paraId="0ED4AEEC" w14:textId="77777777">
      <w:pPr>
        <w:ind w:left="1440"/>
        <w:rPr>
          <w:rFonts w:ascii="Times New Roman" w:hAnsi="Times New Roman"/>
        </w:rPr>
      </w:pPr>
      <w:r w:rsidRPr="00F034F1">
        <w:rPr>
          <w:rFonts w:ascii="Times New Roman" w:hAnsi="Times New Roman"/>
        </w:rPr>
        <w:t xml:space="preserve">The FDIC evaluates the information contained in an application and </w:t>
      </w:r>
      <w:r w:rsidRPr="00F034F1">
        <w:rPr>
          <w:rFonts w:ascii="Times New Roman" w:hAnsi="Times New Roman"/>
        </w:rPr>
        <w:t>makes a decision</w:t>
      </w:r>
      <w:r w:rsidRPr="00F034F1">
        <w:rPr>
          <w:rFonts w:ascii="Times New Roman" w:hAnsi="Times New Roman"/>
        </w:rPr>
        <w:t xml:space="preserve"> to grant or withhold consent based on the statutory considerations listed in paragraph 1 above.</w:t>
      </w:r>
    </w:p>
    <w:p w:rsidR="00F034F1" w:rsidP="004D1876" w14:paraId="10474D48" w14:textId="77777777">
      <w:pPr>
        <w:ind w:left="2880"/>
        <w:rPr>
          <w:rFonts w:ascii="Times New Roman" w:hAnsi="Times New Roman"/>
        </w:rPr>
      </w:pPr>
    </w:p>
    <w:p w:rsidR="00731A90" w:rsidP="00EA72EA" w14:paraId="1A6C89D1" w14:textId="77777777">
      <w:pPr>
        <w:numPr>
          <w:ilvl w:val="0"/>
          <w:numId w:val="11"/>
        </w:numPr>
        <w:rPr>
          <w:rFonts w:ascii="Times New Roman" w:hAnsi="Times New Roman"/>
        </w:rPr>
      </w:pPr>
      <w:r w:rsidRPr="00B662BE">
        <w:rPr>
          <w:rFonts w:ascii="Times New Roman" w:hAnsi="Times New Roman"/>
          <w:bCs/>
          <w:szCs w:val="24"/>
          <w:u w:val="single"/>
        </w:rPr>
        <w:t>Consideration of the use of improved information technology:</w:t>
      </w:r>
    </w:p>
    <w:p w:rsidR="00731A90" w14:paraId="50EFD56A" w14:textId="77777777">
      <w:pPr>
        <w:rPr>
          <w:rFonts w:ascii="Times New Roman" w:hAnsi="Times New Roman"/>
        </w:rPr>
      </w:pPr>
    </w:p>
    <w:p w:rsidR="00F034F1" w:rsidRPr="00F034F1" w:rsidP="00F034F1" w14:paraId="1BDB3015" w14:textId="77777777">
      <w:pPr>
        <w:ind w:left="1440"/>
        <w:rPr>
          <w:rFonts w:ascii="Times New Roman" w:hAnsi="Times New Roman"/>
        </w:rPr>
      </w:pPr>
      <w:r w:rsidRPr="00F034F1">
        <w:rPr>
          <w:rFonts w:ascii="Times New Roman" w:hAnsi="Times New Roman"/>
        </w:rPr>
        <w:t>Applicants are free to use whatever methods are least burdensome for them to supply the required information.</w:t>
      </w:r>
    </w:p>
    <w:p w:rsidR="00B26610" w:rsidP="00B26610" w14:paraId="42D050AC" w14:textId="77777777">
      <w:pPr>
        <w:ind w:left="1440"/>
        <w:rPr>
          <w:rFonts w:ascii="Times New Roman" w:hAnsi="Times New Roman"/>
        </w:rPr>
      </w:pPr>
    </w:p>
    <w:p w:rsidR="00F034F1" w:rsidP="00B26610" w14:paraId="4CB3B56B" w14:textId="77777777">
      <w:pPr>
        <w:ind w:left="1440"/>
        <w:rPr>
          <w:rFonts w:ascii="Times New Roman" w:hAnsi="Times New Roman"/>
        </w:rPr>
      </w:pPr>
    </w:p>
    <w:p w:rsidR="00731A90" w:rsidP="0052121E" w14:paraId="2543A908" w14:textId="77777777">
      <w:pPr>
        <w:numPr>
          <w:ilvl w:val="0"/>
          <w:numId w:val="11"/>
        </w:numPr>
        <w:rPr>
          <w:rFonts w:ascii="Times New Roman" w:hAnsi="Times New Roman"/>
        </w:rPr>
      </w:pPr>
      <w:r>
        <w:rPr>
          <w:rFonts w:ascii="Times New Roman" w:hAnsi="Times New Roman"/>
          <w:u w:val="single"/>
        </w:rPr>
        <w:t>Efforts to identify duplication</w:t>
      </w:r>
      <w:r w:rsidR="008F53AC">
        <w:rPr>
          <w:rFonts w:ascii="Times New Roman" w:hAnsi="Times New Roman"/>
          <w:u w:val="single"/>
        </w:rPr>
        <w:t>:</w:t>
      </w:r>
    </w:p>
    <w:p w:rsidR="00731A90" w14:paraId="2FB8659C" w14:textId="77777777">
      <w:pPr>
        <w:rPr>
          <w:rFonts w:ascii="Times New Roman" w:hAnsi="Times New Roman"/>
        </w:rPr>
      </w:pPr>
    </w:p>
    <w:p w:rsidR="00731A90" w:rsidP="00F034F1" w14:paraId="501ED302" w14:textId="77777777">
      <w:pPr>
        <w:ind w:left="1440"/>
        <w:rPr>
          <w:rFonts w:ascii="Times New Roman" w:hAnsi="Times New Roman"/>
        </w:rPr>
      </w:pPr>
      <w:r w:rsidRPr="00F034F1">
        <w:rPr>
          <w:rFonts w:ascii="Times New Roman" w:hAnsi="Times New Roman"/>
        </w:rPr>
        <w:t>This collection does not duplicate information provided elsewhere.  The information is unique to the occasion to which the application relates.</w:t>
      </w:r>
    </w:p>
    <w:p w:rsidR="00F034F1" w14:paraId="4991DC8D" w14:textId="77777777">
      <w:pPr>
        <w:ind w:left="720"/>
        <w:rPr>
          <w:rFonts w:ascii="Times New Roman" w:hAnsi="Times New Roman"/>
        </w:rPr>
      </w:pPr>
    </w:p>
    <w:p w:rsidR="00EA72EA" w:rsidRPr="00EA72EA" w:rsidP="0052121E" w14:paraId="7BC6EB7B" w14:textId="77777777">
      <w:pPr>
        <w:numPr>
          <w:ilvl w:val="0"/>
          <w:numId w:val="11"/>
        </w:numPr>
        <w:tabs>
          <w:tab w:val="left" w:pos="1440"/>
        </w:tabs>
        <w:rPr>
          <w:rFonts w:ascii="Times New Roman" w:hAnsi="Times New Roman"/>
          <w:u w:val="single"/>
        </w:rPr>
      </w:pPr>
      <w:r w:rsidRPr="008873E8">
        <w:rPr>
          <w:rFonts w:ascii="Times New Roman" w:hAnsi="Times New Roman"/>
          <w:bCs/>
          <w:szCs w:val="24"/>
          <w:u w:val="single"/>
        </w:rPr>
        <w:t>Methods used to minimize burden if the collectio</w:t>
      </w:r>
      <w:r>
        <w:rPr>
          <w:rFonts w:ascii="Times New Roman" w:hAnsi="Times New Roman"/>
          <w:bCs/>
          <w:szCs w:val="24"/>
          <w:u w:val="single"/>
        </w:rPr>
        <w:t xml:space="preserve">n has a significant impact on </w:t>
      </w:r>
    </w:p>
    <w:p w:rsidR="00731A90" w:rsidP="0052121E" w14:paraId="1944BADB" w14:textId="77777777">
      <w:pPr>
        <w:ind w:left="720" w:firstLine="360"/>
        <w:rPr>
          <w:rFonts w:ascii="Times New Roman" w:hAnsi="Times New Roman"/>
          <w:u w:val="single"/>
        </w:rPr>
      </w:pPr>
      <w:r w:rsidRPr="008873E8">
        <w:rPr>
          <w:rFonts w:ascii="Times New Roman" w:hAnsi="Times New Roman"/>
          <w:bCs/>
          <w:szCs w:val="24"/>
          <w:u w:val="single"/>
        </w:rPr>
        <w:t>substantial number of small entities:</w:t>
      </w:r>
    </w:p>
    <w:p w:rsidR="00731A90" w14:paraId="7CC1300F" w14:textId="77777777">
      <w:pPr>
        <w:ind w:left="1440"/>
        <w:rPr>
          <w:rFonts w:ascii="Times New Roman" w:hAnsi="Times New Roman"/>
        </w:rPr>
      </w:pPr>
    </w:p>
    <w:p w:rsidR="00877FB0" w:rsidP="00877FB0" w14:paraId="1A5D9AC0" w14:textId="77777777">
      <w:pPr>
        <w:ind w:left="1440"/>
        <w:rPr>
          <w:rFonts w:ascii="Times New Roman" w:hAnsi="Times New Roman"/>
        </w:rPr>
      </w:pPr>
      <w:r>
        <w:rPr>
          <w:rFonts w:ascii="Times New Roman" w:hAnsi="Times New Roman"/>
        </w:rPr>
        <w:t xml:space="preserve">This information collection does not have a significant impact on a substantial number of small </w:t>
      </w:r>
      <w:r w:rsidR="007D6DAF">
        <w:rPr>
          <w:rFonts w:ascii="Times New Roman" w:hAnsi="Times New Roman"/>
        </w:rPr>
        <w:t>entities</w:t>
      </w:r>
      <w:r>
        <w:rPr>
          <w:rFonts w:ascii="Times New Roman" w:hAnsi="Times New Roman"/>
        </w:rPr>
        <w:t xml:space="preserve">. The information required is the minimum necessary for the FDIC, consistent with the </w:t>
      </w:r>
      <w:r w:rsidRPr="00F034F1">
        <w:rPr>
          <w:rFonts w:ascii="Times New Roman" w:hAnsi="Times New Roman"/>
          <w:snapToGrid/>
        </w:rPr>
        <w:t>Section 18(i) of the Federal Deposit Insurance Ac</w:t>
      </w:r>
      <w:r>
        <w:rPr>
          <w:rFonts w:ascii="Times New Roman" w:hAnsi="Times New Roman"/>
          <w:snapToGrid/>
        </w:rPr>
        <w:t xml:space="preserve">t, </w:t>
      </w:r>
      <w:r>
        <w:rPr>
          <w:rFonts w:ascii="Times New Roman" w:hAnsi="Times New Roman"/>
        </w:rPr>
        <w:t xml:space="preserve">to ensure that </w:t>
      </w:r>
      <w:r w:rsidRPr="00F034F1">
        <w:rPr>
          <w:rFonts w:ascii="Times New Roman" w:hAnsi="Times New Roman"/>
          <w:snapToGrid/>
        </w:rPr>
        <w:t xml:space="preserve">no insured, state nonmember bank shall, without the prior consent of the FDIC, </w:t>
      </w:r>
      <w:r>
        <w:rPr>
          <w:rFonts w:ascii="Times New Roman" w:hAnsi="Times New Roman"/>
          <w:snapToGrid/>
        </w:rPr>
        <w:t>reduces</w:t>
      </w:r>
      <w:r w:rsidRPr="00F034F1">
        <w:rPr>
          <w:rFonts w:ascii="Times New Roman" w:hAnsi="Times New Roman"/>
          <w:snapToGrid/>
        </w:rPr>
        <w:t xml:space="preserve"> the amount or retire any part of its common or preferred capital stock, or retire any part of its capital notes or debentures</w:t>
      </w:r>
      <w:r>
        <w:rPr>
          <w:rFonts w:ascii="Times New Roman" w:hAnsi="Times New Roman"/>
          <w:snapToGrid/>
        </w:rPr>
        <w:t xml:space="preserve"> without FDIC </w:t>
      </w:r>
      <w:r w:rsidR="007D6DAF">
        <w:rPr>
          <w:rFonts w:ascii="Times New Roman" w:hAnsi="Times New Roman"/>
          <w:snapToGrid/>
        </w:rPr>
        <w:t>consent.</w:t>
      </w:r>
      <w:r>
        <w:rPr>
          <w:rFonts w:ascii="Times New Roman" w:hAnsi="Times New Roman"/>
        </w:rPr>
        <w:t xml:space="preserve"> </w:t>
      </w:r>
    </w:p>
    <w:p w:rsidR="00731A90" w14:paraId="14066F6D" w14:textId="77777777">
      <w:pPr>
        <w:rPr>
          <w:rFonts w:ascii="Times New Roman" w:hAnsi="Times New Roman"/>
        </w:rPr>
      </w:pPr>
    </w:p>
    <w:p w:rsidR="00731A90" w:rsidP="0052121E" w14:paraId="55ED5A80" w14:textId="77777777">
      <w:pPr>
        <w:numPr>
          <w:ilvl w:val="0"/>
          <w:numId w:val="11"/>
        </w:numPr>
        <w:tabs>
          <w:tab w:val="left" w:pos="-1620"/>
        </w:tabs>
        <w:rPr>
          <w:rFonts w:ascii="Times New Roman" w:hAnsi="Times New Roman"/>
        </w:rPr>
      </w:pPr>
      <w:r w:rsidRPr="008873E8">
        <w:rPr>
          <w:rFonts w:ascii="Times New Roman" w:hAnsi="Times New Roman"/>
          <w:bCs/>
          <w:szCs w:val="24"/>
          <w:u w:val="single"/>
        </w:rPr>
        <w:t>Consequences to the Federal program if the collection were conducted less frequently:</w:t>
      </w:r>
    </w:p>
    <w:p w:rsidR="00731A90" w14:paraId="0DB5B94B" w14:textId="77777777">
      <w:pPr>
        <w:rPr>
          <w:rFonts w:ascii="Times New Roman" w:hAnsi="Times New Roman"/>
        </w:rPr>
      </w:pPr>
    </w:p>
    <w:p w:rsidR="00F034F1" w:rsidRPr="00F034F1" w:rsidP="00F034F1" w14:paraId="0F922F17" w14:textId="77777777">
      <w:pPr>
        <w:widowControl/>
        <w:ind w:left="1392"/>
        <w:rPr>
          <w:rFonts w:ascii="Times New Roman" w:hAnsi="Times New Roman"/>
          <w:snapToGrid/>
        </w:rPr>
      </w:pPr>
      <w:r w:rsidRPr="00F034F1">
        <w:rPr>
          <w:rFonts w:ascii="Times New Roman" w:hAnsi="Times New Roman"/>
          <w:snapToGrid/>
        </w:rPr>
        <w:t>The information is collected only when a bank is seeking FDIC consent to reduce or retire capital.  Less frequent collection would violate the law.</w:t>
      </w:r>
    </w:p>
    <w:p w:rsidR="001509ED" w:rsidP="001509ED" w14:paraId="76254BB6" w14:textId="77777777">
      <w:pPr>
        <w:ind w:left="1440"/>
        <w:rPr>
          <w:rFonts w:ascii="Times New Roman" w:hAnsi="Times New Roman"/>
        </w:rPr>
      </w:pPr>
    </w:p>
    <w:p w:rsidR="00D807AF" w:rsidRPr="001F2A5D" w:rsidP="0052121E" w14:paraId="0FD67477" w14:textId="77777777">
      <w:pPr>
        <w:numPr>
          <w:ilvl w:val="0"/>
          <w:numId w:val="11"/>
        </w:numPr>
        <w:rPr>
          <w:rFonts w:ascii="Times New Roman" w:hAnsi="Times New Roman"/>
          <w:szCs w:val="24"/>
        </w:rPr>
      </w:pPr>
      <w:r w:rsidRPr="008873E8">
        <w:rPr>
          <w:rFonts w:ascii="Times New Roman" w:hAnsi="Times New Roman"/>
          <w:bCs/>
          <w:szCs w:val="24"/>
          <w:u w:val="single"/>
        </w:rPr>
        <w:t>Special circumstances necessitating collection inconsistent with 5 CFR Part 1320.5(d)(2):</w:t>
      </w:r>
      <w:r>
        <w:rPr>
          <w:rFonts w:ascii="Times New Roman" w:hAnsi="Times New Roman"/>
          <w:bCs/>
          <w:szCs w:val="24"/>
          <w:u w:val="single"/>
        </w:rPr>
        <w:t xml:space="preserve"> </w:t>
      </w:r>
    </w:p>
    <w:p w:rsidR="00731A90" w14:paraId="313EA9B6" w14:textId="77777777">
      <w:pPr>
        <w:rPr>
          <w:rFonts w:ascii="Times New Roman" w:hAnsi="Times New Roman"/>
        </w:rPr>
      </w:pPr>
    </w:p>
    <w:p w:rsidR="00D40E93" w:rsidRPr="0011503E" w:rsidP="002F0A91" w14:paraId="4C017299" w14:textId="77777777">
      <w:pPr>
        <w:ind w:left="1440"/>
        <w:rPr>
          <w:rFonts w:ascii="Times New Roman" w:hAnsi="Times New Roman"/>
        </w:rPr>
      </w:pPr>
      <w:r w:rsidRPr="00712682">
        <w:rPr>
          <w:rFonts w:ascii="Times New Roman" w:hAnsi="Times New Roman"/>
        </w:rPr>
        <w:t>None. This information collection is conducted in accordance with the guidelines in 5 CFR 1320.5(d)(2).</w:t>
      </w:r>
    </w:p>
    <w:p w:rsidR="00731A90" w:rsidP="00F034F1" w14:paraId="6E963C5C" w14:textId="77777777">
      <w:pPr>
        <w:pStyle w:val="BodyTextIndent"/>
        <w:ind w:left="1440"/>
      </w:pPr>
      <w:r w:rsidRPr="008873E8">
        <w:rPr>
          <w:szCs w:val="24"/>
        </w:rPr>
        <w:t xml:space="preserve"> </w:t>
      </w:r>
    </w:p>
    <w:p w:rsidR="00D807AF" w:rsidRPr="001F2A5D" w:rsidP="0052121E" w14:paraId="14967B07" w14:textId="77777777">
      <w:pPr>
        <w:numPr>
          <w:ilvl w:val="0"/>
          <w:numId w:val="11"/>
        </w:numPr>
        <w:rPr>
          <w:rFonts w:ascii="Times New Roman" w:hAnsi="Times New Roman"/>
          <w:szCs w:val="24"/>
        </w:rPr>
      </w:pPr>
      <w:r w:rsidRPr="008873E8">
        <w:rPr>
          <w:rFonts w:ascii="Times New Roman" w:hAnsi="Times New Roman"/>
          <w:bCs/>
          <w:szCs w:val="24"/>
          <w:u w:val="single"/>
        </w:rPr>
        <w:t xml:space="preserve">Efforts to consult with </w:t>
      </w:r>
      <w:r w:rsidRPr="008873E8">
        <w:rPr>
          <w:rFonts w:ascii="Times New Roman" w:hAnsi="Times New Roman"/>
          <w:bCs/>
          <w:szCs w:val="24"/>
          <w:u w:val="single"/>
        </w:rPr>
        <w:t>persons</w:t>
      </w:r>
      <w:r w:rsidRPr="008873E8">
        <w:rPr>
          <w:rFonts w:ascii="Times New Roman" w:hAnsi="Times New Roman"/>
          <w:bCs/>
          <w:szCs w:val="24"/>
          <w:u w:val="single"/>
        </w:rPr>
        <w:t xml:space="preserve"> outside the agency:</w:t>
      </w:r>
    </w:p>
    <w:p w:rsidR="00731A90" w:rsidP="00D807AF" w14:paraId="6BFA7AB5" w14:textId="77777777">
      <w:pPr>
        <w:ind w:firstLine="720"/>
        <w:rPr>
          <w:rFonts w:ascii="Times New Roman" w:hAnsi="Times New Roman"/>
        </w:rPr>
      </w:pPr>
    </w:p>
    <w:p w:rsidR="001E004B" w:rsidP="00DB04B6" w14:paraId="03425051" w14:textId="3833F447">
      <w:pPr>
        <w:widowControl/>
        <w:autoSpaceDE w:val="0"/>
        <w:autoSpaceDN w:val="0"/>
        <w:adjustRightInd w:val="0"/>
        <w:ind w:left="1440"/>
        <w:rPr>
          <w:rFonts w:ascii="Times New Roman" w:hAnsi="Times New Roman"/>
          <w:iCs/>
          <w:szCs w:val="24"/>
        </w:rPr>
      </w:pPr>
      <w:r>
        <w:rPr>
          <w:rFonts w:ascii="Times New Roman" w:hAnsi="Times New Roman"/>
        </w:rPr>
        <w:t xml:space="preserve">On </w:t>
      </w:r>
      <w:r w:rsidR="00B23171">
        <w:rPr>
          <w:rFonts w:ascii="Times New Roman" w:hAnsi="Times New Roman"/>
          <w:szCs w:val="24"/>
        </w:rPr>
        <w:t>December 15, 2025</w:t>
      </w:r>
      <w:r>
        <w:rPr>
          <w:rFonts w:ascii="Times New Roman" w:hAnsi="Times New Roman"/>
          <w:szCs w:val="24"/>
        </w:rPr>
        <w:t xml:space="preserve">, the FDIC published a </w:t>
      </w:r>
      <w:r w:rsidRPr="00B23171">
        <w:rPr>
          <w:rFonts w:ascii="Times New Roman" w:hAnsi="Times New Roman"/>
          <w:szCs w:val="24"/>
        </w:rPr>
        <w:t>Federal Register</w:t>
      </w:r>
      <w:r>
        <w:rPr>
          <w:rFonts w:ascii="Times New Roman" w:hAnsi="Times New Roman"/>
          <w:szCs w:val="24"/>
        </w:rPr>
        <w:t xml:space="preserve"> notice proposing to </w:t>
      </w:r>
      <w:r w:rsidR="00B23171">
        <w:rPr>
          <w:rFonts w:ascii="Times New Roman" w:hAnsi="Times New Roman"/>
          <w:szCs w:val="24"/>
        </w:rPr>
        <w:t>renew</w:t>
      </w:r>
      <w:r>
        <w:rPr>
          <w:rFonts w:ascii="Times New Roman" w:hAnsi="Times New Roman"/>
          <w:szCs w:val="24"/>
        </w:rPr>
        <w:t xml:space="preserve"> the </w:t>
      </w:r>
      <w:r w:rsidR="00F034F1">
        <w:rPr>
          <w:rFonts w:ascii="Times New Roman" w:hAnsi="Times New Roman"/>
          <w:szCs w:val="24"/>
        </w:rPr>
        <w:t>Application for Consent to Reduce or Retire Capital’s</w:t>
      </w:r>
      <w:r>
        <w:rPr>
          <w:rFonts w:ascii="Times New Roman" w:hAnsi="Times New Roman"/>
          <w:szCs w:val="24"/>
        </w:rPr>
        <w:t xml:space="preserve"> exi</w:t>
      </w:r>
      <w:r w:rsidR="00B000D5">
        <w:rPr>
          <w:rFonts w:ascii="Times New Roman" w:hAnsi="Times New Roman"/>
          <w:szCs w:val="24"/>
        </w:rPr>
        <w:t>sting information collection (</w:t>
      </w:r>
      <w:r w:rsidR="00B23171">
        <w:rPr>
          <w:rFonts w:ascii="Times New Roman" w:hAnsi="Times New Roman"/>
          <w:szCs w:val="24"/>
        </w:rPr>
        <w:t>90</w:t>
      </w:r>
      <w:r w:rsidRPr="006A0452">
        <w:rPr>
          <w:rFonts w:ascii="Times New Roman" w:hAnsi="Times New Roman"/>
          <w:szCs w:val="24"/>
        </w:rPr>
        <w:t xml:space="preserve"> FR </w:t>
      </w:r>
      <w:r w:rsidR="00B000D5">
        <w:rPr>
          <w:rFonts w:ascii="Times New Roman" w:hAnsi="Times New Roman"/>
          <w:szCs w:val="24"/>
        </w:rPr>
        <w:t>5</w:t>
      </w:r>
      <w:r w:rsidR="00B23171">
        <w:rPr>
          <w:rFonts w:ascii="Times New Roman" w:hAnsi="Times New Roman"/>
          <w:szCs w:val="24"/>
        </w:rPr>
        <w:t>8013</w:t>
      </w:r>
      <w:r>
        <w:rPr>
          <w:rFonts w:ascii="Times New Roman" w:hAnsi="Times New Roman"/>
          <w:szCs w:val="24"/>
        </w:rPr>
        <w:t xml:space="preserve">).  </w:t>
      </w:r>
      <w:r>
        <w:rPr>
          <w:rFonts w:ascii="Times New Roman" w:hAnsi="Times New Roman"/>
          <w:iCs/>
          <w:szCs w:val="24"/>
        </w:rPr>
        <w:t>The FDIC</w:t>
      </w:r>
      <w:r w:rsidRPr="007E5FB2">
        <w:rPr>
          <w:rFonts w:ascii="Times New Roman" w:hAnsi="Times New Roman"/>
          <w:iCs/>
          <w:szCs w:val="24"/>
        </w:rPr>
        <w:t xml:space="preserve"> </w:t>
      </w:r>
      <w:r>
        <w:rPr>
          <w:rFonts w:ascii="Times New Roman" w:hAnsi="Times New Roman"/>
          <w:iCs/>
          <w:szCs w:val="24"/>
        </w:rPr>
        <w:t>did not</w:t>
      </w:r>
      <w:r w:rsidRPr="007E5FB2">
        <w:rPr>
          <w:rFonts w:ascii="Times New Roman" w:hAnsi="Times New Roman"/>
          <w:iCs/>
          <w:szCs w:val="24"/>
        </w:rPr>
        <w:t xml:space="preserve"> receive </w:t>
      </w:r>
      <w:r>
        <w:rPr>
          <w:rFonts w:ascii="Times New Roman" w:hAnsi="Times New Roman"/>
          <w:iCs/>
          <w:szCs w:val="24"/>
        </w:rPr>
        <w:t>any</w:t>
      </w:r>
      <w:r w:rsidRPr="007E5FB2">
        <w:rPr>
          <w:rFonts w:ascii="Times New Roman" w:hAnsi="Times New Roman"/>
          <w:iCs/>
          <w:szCs w:val="24"/>
        </w:rPr>
        <w:t xml:space="preserve"> comment</w:t>
      </w:r>
      <w:r>
        <w:rPr>
          <w:rFonts w:ascii="Times New Roman" w:hAnsi="Times New Roman"/>
          <w:iCs/>
          <w:szCs w:val="24"/>
        </w:rPr>
        <w:t>s addressing this collection of information</w:t>
      </w:r>
      <w:r w:rsidRPr="007E5FB2">
        <w:rPr>
          <w:rFonts w:ascii="Times New Roman" w:hAnsi="Times New Roman"/>
          <w:iCs/>
          <w:szCs w:val="24"/>
        </w:rPr>
        <w:t>.</w:t>
      </w:r>
    </w:p>
    <w:p w:rsidR="001509ED" w:rsidP="00DB04B6" w14:paraId="220FEFE5" w14:textId="77777777">
      <w:pPr>
        <w:widowControl/>
        <w:autoSpaceDE w:val="0"/>
        <w:autoSpaceDN w:val="0"/>
        <w:adjustRightInd w:val="0"/>
        <w:ind w:left="1440"/>
        <w:rPr>
          <w:rFonts w:ascii="Times New Roman" w:hAnsi="Times New Roman"/>
        </w:rPr>
      </w:pPr>
    </w:p>
    <w:p w:rsidR="00D807AF" w:rsidRPr="001F2A5D" w:rsidP="00EA72EA" w14:paraId="5872EE12" w14:textId="77777777">
      <w:pPr>
        <w:numPr>
          <w:ilvl w:val="0"/>
          <w:numId w:val="11"/>
        </w:numPr>
        <w:rPr>
          <w:rFonts w:ascii="Times New Roman" w:hAnsi="Times New Roman"/>
          <w:szCs w:val="24"/>
        </w:rPr>
      </w:pPr>
      <w:r w:rsidRPr="001F2A5D">
        <w:rPr>
          <w:rFonts w:ascii="Times New Roman" w:hAnsi="Times New Roman"/>
          <w:szCs w:val="24"/>
          <w:u w:val="single"/>
        </w:rPr>
        <w:t>Payment</w:t>
      </w:r>
      <w:r>
        <w:rPr>
          <w:rFonts w:ascii="Times New Roman" w:hAnsi="Times New Roman"/>
          <w:szCs w:val="24"/>
          <w:u w:val="single"/>
        </w:rPr>
        <w:t>s</w:t>
      </w:r>
      <w:r w:rsidRPr="001F2A5D">
        <w:rPr>
          <w:rFonts w:ascii="Times New Roman" w:hAnsi="Times New Roman"/>
          <w:szCs w:val="24"/>
          <w:u w:val="single"/>
        </w:rPr>
        <w:t xml:space="preserve"> or </w:t>
      </w:r>
      <w:r>
        <w:rPr>
          <w:rFonts w:ascii="Times New Roman" w:hAnsi="Times New Roman"/>
          <w:szCs w:val="24"/>
          <w:u w:val="single"/>
        </w:rPr>
        <w:t>g</w:t>
      </w:r>
      <w:r w:rsidRPr="001F2A5D">
        <w:rPr>
          <w:rFonts w:ascii="Times New Roman" w:hAnsi="Times New Roman"/>
          <w:szCs w:val="24"/>
          <w:u w:val="single"/>
        </w:rPr>
        <w:t>ift</w:t>
      </w:r>
      <w:r>
        <w:rPr>
          <w:rFonts w:ascii="Times New Roman" w:hAnsi="Times New Roman"/>
          <w:szCs w:val="24"/>
          <w:u w:val="single"/>
        </w:rPr>
        <w:t>s</w:t>
      </w:r>
      <w:r w:rsidRPr="001F2A5D">
        <w:rPr>
          <w:rFonts w:ascii="Times New Roman" w:hAnsi="Times New Roman"/>
          <w:szCs w:val="24"/>
          <w:u w:val="single"/>
        </w:rPr>
        <w:t xml:space="preserve"> to </w:t>
      </w:r>
      <w:r>
        <w:rPr>
          <w:rFonts w:ascii="Times New Roman" w:hAnsi="Times New Roman"/>
          <w:szCs w:val="24"/>
          <w:u w:val="single"/>
        </w:rPr>
        <w:t>r</w:t>
      </w:r>
      <w:r w:rsidRPr="001F2A5D">
        <w:rPr>
          <w:rFonts w:ascii="Times New Roman" w:hAnsi="Times New Roman"/>
          <w:szCs w:val="24"/>
          <w:u w:val="single"/>
        </w:rPr>
        <w:t>espondents</w:t>
      </w:r>
      <w:r>
        <w:rPr>
          <w:rFonts w:ascii="Times New Roman" w:hAnsi="Times New Roman"/>
          <w:szCs w:val="24"/>
          <w:u w:val="single"/>
        </w:rPr>
        <w:t>:</w:t>
      </w:r>
    </w:p>
    <w:p w:rsidR="00731A90" w14:paraId="4C241D21" w14:textId="77777777">
      <w:pPr>
        <w:rPr>
          <w:rFonts w:ascii="Times New Roman" w:hAnsi="Times New Roman"/>
        </w:rPr>
      </w:pPr>
    </w:p>
    <w:p w:rsidR="00731A90" w14:paraId="207E46BE" w14:textId="77777777">
      <w:pPr>
        <w:ind w:left="1440"/>
        <w:rPr>
          <w:rFonts w:ascii="Times New Roman" w:hAnsi="Times New Roman"/>
        </w:rPr>
      </w:pPr>
      <w:r>
        <w:rPr>
          <w:rFonts w:ascii="Times New Roman" w:hAnsi="Times New Roman"/>
        </w:rPr>
        <w:t xml:space="preserve">None. </w:t>
      </w:r>
    </w:p>
    <w:p w:rsidR="00731A90" w14:paraId="276CB301" w14:textId="77777777">
      <w:pPr>
        <w:rPr>
          <w:rFonts w:ascii="Times New Roman" w:hAnsi="Times New Roman"/>
        </w:rPr>
      </w:pPr>
    </w:p>
    <w:p w:rsidR="00731A90" w:rsidP="00EA72EA" w14:paraId="101BE7E3" w14:textId="77777777">
      <w:pPr>
        <w:numPr>
          <w:ilvl w:val="0"/>
          <w:numId w:val="11"/>
        </w:numPr>
        <w:rPr>
          <w:rFonts w:ascii="Times New Roman" w:hAnsi="Times New Roman"/>
        </w:rPr>
      </w:pPr>
      <w:r w:rsidRPr="00647F97">
        <w:rPr>
          <w:rFonts w:ascii="Times New Roman TUR" w:hAnsi="Times New Roman TUR" w:cs="Times New Roman TUR"/>
          <w:bCs/>
          <w:u w:val="single"/>
        </w:rPr>
        <w:t>Any assurance of confidentiality:</w:t>
      </w:r>
    </w:p>
    <w:p w:rsidR="00731A90" w14:paraId="199B9DA0" w14:textId="77777777">
      <w:pPr>
        <w:rPr>
          <w:rFonts w:ascii="Times New Roman" w:hAnsi="Times New Roman"/>
        </w:rPr>
      </w:pPr>
    </w:p>
    <w:p w:rsidR="00E5596D" w:rsidP="00F034F1" w14:paraId="01FAB269" w14:textId="77777777">
      <w:pPr>
        <w:ind w:left="1440"/>
        <w:rPr>
          <w:rFonts w:ascii="Times New Roman" w:hAnsi="Times New Roman"/>
        </w:rPr>
      </w:pPr>
      <w:r w:rsidRPr="00F034F1">
        <w:rPr>
          <w:rFonts w:ascii="Times New Roman" w:hAnsi="Times New Roman"/>
        </w:rPr>
        <w:t>Information will be kept private to the extent allowed by law.</w:t>
      </w:r>
    </w:p>
    <w:p w:rsidR="00F034F1" w:rsidRPr="00E5596D" w14:paraId="099B0ADD" w14:textId="77777777">
      <w:pPr>
        <w:rPr>
          <w:rFonts w:ascii="Times New Roman" w:hAnsi="Times New Roman"/>
        </w:rPr>
      </w:pPr>
    </w:p>
    <w:p w:rsidR="00731A90" w:rsidP="00EA72EA" w14:paraId="1BFC73EA" w14:textId="77777777">
      <w:pPr>
        <w:numPr>
          <w:ilvl w:val="0"/>
          <w:numId w:val="11"/>
        </w:numPr>
        <w:rPr>
          <w:rFonts w:ascii="Times New Roman" w:hAnsi="Times New Roman"/>
        </w:rPr>
      </w:pPr>
      <w:r w:rsidRPr="00647F97">
        <w:rPr>
          <w:rFonts w:ascii="Times New Roman TUR" w:hAnsi="Times New Roman TUR" w:cs="Times New Roman TUR"/>
          <w:bCs/>
          <w:u w:val="single"/>
        </w:rPr>
        <w:t>Justification for questions of a sensitive nature:</w:t>
      </w:r>
    </w:p>
    <w:p w:rsidR="00731A90" w14:paraId="3EF7A83F" w14:textId="77777777">
      <w:pPr>
        <w:rPr>
          <w:rFonts w:ascii="Times New Roman" w:hAnsi="Times New Roman"/>
        </w:rPr>
      </w:pPr>
    </w:p>
    <w:p w:rsidR="00937193" w:rsidP="006B5B26" w14:paraId="3DFE5815" w14:textId="77777777">
      <w:pPr>
        <w:ind w:left="1440"/>
        <w:rPr>
          <w:rFonts w:ascii="Times New Roman" w:hAnsi="Times New Roman"/>
        </w:rPr>
      </w:pPr>
      <w:r>
        <w:rPr>
          <w:rFonts w:ascii="Times New Roman" w:hAnsi="Times New Roman"/>
        </w:rPr>
        <w:t>No information of a sensitive nature is requested.</w:t>
      </w:r>
    </w:p>
    <w:p w:rsidR="001509ED" w:rsidP="001509ED" w14:paraId="61860208" w14:textId="77777777">
      <w:pPr>
        <w:ind w:left="1440"/>
        <w:rPr>
          <w:rFonts w:ascii="Times New Roman" w:hAnsi="Times New Roman"/>
        </w:rPr>
      </w:pPr>
    </w:p>
    <w:p w:rsidR="00731A90" w:rsidRPr="000D67E2" w:rsidP="00EA72EA" w14:paraId="6D08D607" w14:textId="77777777">
      <w:pPr>
        <w:numPr>
          <w:ilvl w:val="0"/>
          <w:numId w:val="11"/>
        </w:numPr>
        <w:rPr>
          <w:rFonts w:ascii="Times New Roman" w:hAnsi="Times New Roman"/>
          <w:szCs w:val="24"/>
          <w:u w:val="single"/>
        </w:rPr>
      </w:pPr>
      <w:r w:rsidRPr="000D67E2">
        <w:rPr>
          <w:rFonts w:ascii="Times New Roman" w:hAnsi="Times New Roman"/>
          <w:szCs w:val="24"/>
          <w:u w:val="single"/>
        </w:rPr>
        <w:t>Estimate of hour burden including annualized hourly costs:</w:t>
      </w:r>
    </w:p>
    <w:p w:rsidR="00AF79FB" w:rsidP="00AF79FB" w14:paraId="0707C4AE" w14:textId="77777777">
      <w:pPr>
        <w:ind w:left="1080"/>
        <w:rPr>
          <w:rFonts w:ascii="Times New Roman" w:hAnsi="Times New Roman"/>
          <w:szCs w:val="24"/>
          <w:u w:val="single"/>
        </w:rPr>
      </w:pPr>
    </w:p>
    <w:p w:rsidR="00AF79FB" w:rsidRPr="00AF79FB" w:rsidP="00AF79FB" w14:paraId="5010FDAF" w14:textId="77777777">
      <w:pPr>
        <w:ind w:left="1080"/>
        <w:rPr>
          <w:rFonts w:ascii="Times New Roman" w:hAnsi="Times New Roman"/>
          <w:i/>
          <w:szCs w:val="24"/>
        </w:rPr>
      </w:pPr>
      <w:r w:rsidRPr="00AF79FB">
        <w:rPr>
          <w:rFonts w:ascii="Times New Roman" w:hAnsi="Times New Roman"/>
          <w:i/>
          <w:szCs w:val="24"/>
        </w:rPr>
        <w:t>Estimated Annual Burden</w:t>
      </w:r>
    </w:p>
    <w:p w:rsidR="00C96990" w14:paraId="36E0FE70" w14:textId="77777777">
      <w:pPr>
        <w:ind w:firstLine="720"/>
        <w:rPr>
          <w:rFonts w:ascii="Times New Roman" w:hAnsi="Times New Roman"/>
        </w:rPr>
      </w:pPr>
    </w:p>
    <w:tbl>
      <w:tblPr>
        <w:tblW w:w="9848" w:type="dxa"/>
        <w:tblInd w:w="113" w:type="dxa"/>
        <w:tblLook w:val="04A0"/>
      </w:tblPr>
      <w:tblGrid>
        <w:gridCol w:w="2680"/>
        <w:gridCol w:w="1016"/>
        <w:gridCol w:w="1094"/>
        <w:gridCol w:w="1239"/>
        <w:gridCol w:w="1061"/>
        <w:gridCol w:w="1016"/>
        <w:gridCol w:w="1061"/>
        <w:gridCol w:w="1016"/>
      </w:tblGrid>
      <w:tr w14:paraId="0D582927" w14:textId="77777777" w:rsidTr="00020CDC">
        <w:tblPrEx>
          <w:tblW w:w="9848" w:type="dxa"/>
          <w:tblInd w:w="113" w:type="dxa"/>
          <w:tblLook w:val="04A0"/>
        </w:tblPrEx>
        <w:trPr>
          <w:trHeight w:val="172"/>
        </w:trPr>
        <w:tc>
          <w:tcPr>
            <w:tcW w:w="9848" w:type="dxa"/>
            <w:gridSpan w:val="8"/>
            <w:tcBorders>
              <w:top w:val="single" w:sz="4" w:space="0" w:color="auto"/>
              <w:left w:val="single" w:sz="4" w:space="0" w:color="auto"/>
              <w:bottom w:val="single" w:sz="4" w:space="0" w:color="auto"/>
              <w:right w:val="single" w:sz="4" w:space="0" w:color="auto"/>
            </w:tcBorders>
            <w:vAlign w:val="center"/>
            <w:hideMark/>
          </w:tcPr>
          <w:p w:rsidR="00C96990" w:rsidRPr="009C5D46" w:rsidP="00C96990" w14:paraId="708DDCAF" w14:textId="77777777">
            <w:pPr>
              <w:widowControl/>
              <w:jc w:val="center"/>
              <w:rPr>
                <w:rFonts w:ascii="Times New Roman" w:hAnsi="Times New Roman"/>
                <w:snapToGrid/>
                <w:color w:val="000000"/>
                <w:sz w:val="20"/>
              </w:rPr>
            </w:pPr>
            <w:r w:rsidRPr="009C5D46">
              <w:rPr>
                <w:rFonts w:ascii="Times New Roman" w:hAnsi="Times New Roman"/>
                <w:snapToGrid/>
                <w:color w:val="000000"/>
                <w:sz w:val="20"/>
              </w:rPr>
              <w:t xml:space="preserve">Summary of Annual Burden </w:t>
            </w:r>
          </w:p>
        </w:tc>
      </w:tr>
      <w:tr w14:paraId="07B79A2B" w14:textId="77777777" w:rsidTr="00361E1E">
        <w:tblPrEx>
          <w:tblW w:w="9848" w:type="dxa"/>
          <w:tblInd w:w="113" w:type="dxa"/>
          <w:tblLook w:val="04A0"/>
        </w:tblPrEx>
        <w:trPr>
          <w:trHeight w:val="228"/>
        </w:trPr>
        <w:tc>
          <w:tcPr>
            <w:tcW w:w="2680" w:type="dxa"/>
            <w:tcBorders>
              <w:top w:val="nil"/>
              <w:left w:val="single" w:sz="4" w:space="0" w:color="auto"/>
              <w:bottom w:val="single" w:sz="4" w:space="0" w:color="auto"/>
              <w:right w:val="single" w:sz="4" w:space="0" w:color="auto"/>
            </w:tcBorders>
            <w:shd w:val="clear" w:color="auto" w:fill="F2F2F2"/>
            <w:noWrap/>
            <w:vAlign w:val="center"/>
            <w:hideMark/>
          </w:tcPr>
          <w:p w:rsidR="00C96990" w:rsidRPr="009C5D46" w:rsidP="00C96990" w14:paraId="0A2F6F26" w14:textId="77777777">
            <w:pPr>
              <w:widowControl/>
              <w:jc w:val="center"/>
              <w:rPr>
                <w:rFonts w:ascii="Times New Roman" w:hAnsi="Times New Roman"/>
                <w:snapToGrid/>
                <w:color w:val="000000"/>
                <w:sz w:val="20"/>
              </w:rPr>
            </w:pPr>
            <w:r w:rsidRPr="009C5D46">
              <w:rPr>
                <w:rFonts w:ascii="Times New Roman" w:hAnsi="Times New Roman"/>
                <w:snapToGrid/>
                <w:color w:val="000000"/>
                <w:sz w:val="20"/>
              </w:rPr>
              <w:t>Information Collection (IC) Description</w:t>
            </w:r>
          </w:p>
        </w:tc>
        <w:tc>
          <w:tcPr>
            <w:tcW w:w="987" w:type="dxa"/>
            <w:tcBorders>
              <w:top w:val="nil"/>
              <w:left w:val="nil"/>
              <w:bottom w:val="single" w:sz="4" w:space="0" w:color="auto"/>
              <w:right w:val="single" w:sz="4" w:space="0" w:color="auto"/>
            </w:tcBorders>
            <w:shd w:val="clear" w:color="auto" w:fill="F2F2F2"/>
            <w:vAlign w:val="center"/>
            <w:hideMark/>
          </w:tcPr>
          <w:p w:rsidR="00C96990" w:rsidRPr="009C5D46" w:rsidP="00C96990" w14:paraId="58C7BE33" w14:textId="77777777">
            <w:pPr>
              <w:widowControl/>
              <w:jc w:val="center"/>
              <w:rPr>
                <w:rFonts w:ascii="Times New Roman" w:hAnsi="Times New Roman"/>
                <w:snapToGrid/>
                <w:color w:val="000000"/>
                <w:sz w:val="20"/>
              </w:rPr>
            </w:pPr>
            <w:r w:rsidRPr="009C5D46">
              <w:rPr>
                <w:rFonts w:ascii="Times New Roman" w:hAnsi="Times New Roman"/>
                <w:snapToGrid/>
                <w:color w:val="000000"/>
                <w:sz w:val="20"/>
              </w:rPr>
              <w:t>Type of Burden</w:t>
            </w:r>
          </w:p>
        </w:tc>
        <w:tc>
          <w:tcPr>
            <w:tcW w:w="1041" w:type="dxa"/>
            <w:tcBorders>
              <w:top w:val="nil"/>
              <w:left w:val="nil"/>
              <w:bottom w:val="single" w:sz="4" w:space="0" w:color="auto"/>
              <w:right w:val="single" w:sz="4" w:space="0" w:color="auto"/>
            </w:tcBorders>
            <w:shd w:val="clear" w:color="auto" w:fill="F2F2F2"/>
            <w:vAlign w:val="center"/>
            <w:hideMark/>
          </w:tcPr>
          <w:p w:rsidR="00C96990" w:rsidRPr="009C5D46" w:rsidP="00C96990" w14:paraId="01D8899E" w14:textId="77777777">
            <w:pPr>
              <w:widowControl/>
              <w:jc w:val="center"/>
              <w:rPr>
                <w:rFonts w:ascii="Times New Roman" w:hAnsi="Times New Roman"/>
                <w:snapToGrid/>
                <w:color w:val="000000"/>
                <w:sz w:val="20"/>
              </w:rPr>
            </w:pPr>
            <w:r w:rsidRPr="009C5D46">
              <w:rPr>
                <w:rFonts w:ascii="Times New Roman" w:hAnsi="Times New Roman"/>
                <w:snapToGrid/>
                <w:color w:val="000000"/>
                <w:sz w:val="20"/>
              </w:rPr>
              <w:t>Obligation to Respond</w:t>
            </w:r>
          </w:p>
        </w:tc>
        <w:tc>
          <w:tcPr>
            <w:tcW w:w="1179" w:type="dxa"/>
            <w:tcBorders>
              <w:top w:val="nil"/>
              <w:left w:val="nil"/>
              <w:bottom w:val="single" w:sz="4" w:space="0" w:color="auto"/>
              <w:right w:val="single" w:sz="4" w:space="0" w:color="auto"/>
            </w:tcBorders>
            <w:shd w:val="clear" w:color="auto" w:fill="F2F2F2"/>
            <w:vAlign w:val="center"/>
            <w:hideMark/>
          </w:tcPr>
          <w:p w:rsidR="00C96990" w:rsidRPr="009C5D46" w:rsidP="00C96990" w14:paraId="6B2412C4" w14:textId="77777777">
            <w:pPr>
              <w:widowControl/>
              <w:jc w:val="center"/>
              <w:rPr>
                <w:rFonts w:ascii="Times New Roman" w:hAnsi="Times New Roman"/>
                <w:snapToGrid/>
                <w:color w:val="000000"/>
                <w:sz w:val="20"/>
              </w:rPr>
            </w:pPr>
            <w:r w:rsidRPr="009C5D46">
              <w:rPr>
                <w:rFonts w:ascii="Times New Roman" w:hAnsi="Times New Roman"/>
                <w:snapToGrid/>
                <w:color w:val="000000"/>
                <w:sz w:val="20"/>
              </w:rPr>
              <w:t>Estimated Number of Respondents</w:t>
            </w:r>
          </w:p>
        </w:tc>
        <w:tc>
          <w:tcPr>
            <w:tcW w:w="1010" w:type="dxa"/>
            <w:tcBorders>
              <w:top w:val="nil"/>
              <w:left w:val="nil"/>
              <w:bottom w:val="single" w:sz="4" w:space="0" w:color="auto"/>
              <w:right w:val="single" w:sz="4" w:space="0" w:color="auto"/>
            </w:tcBorders>
            <w:shd w:val="clear" w:color="auto" w:fill="F2F2F2"/>
            <w:vAlign w:val="center"/>
            <w:hideMark/>
          </w:tcPr>
          <w:p w:rsidR="00C96990" w:rsidRPr="009C5D46" w:rsidP="00C96990" w14:paraId="61F0D507" w14:textId="77777777">
            <w:pPr>
              <w:widowControl/>
              <w:jc w:val="center"/>
              <w:rPr>
                <w:rFonts w:ascii="Times New Roman" w:hAnsi="Times New Roman"/>
                <w:snapToGrid/>
                <w:color w:val="000000"/>
                <w:sz w:val="20"/>
              </w:rPr>
            </w:pPr>
            <w:r w:rsidRPr="009C5D46">
              <w:rPr>
                <w:rFonts w:ascii="Times New Roman" w:hAnsi="Times New Roman"/>
                <w:snapToGrid/>
                <w:color w:val="000000"/>
                <w:sz w:val="20"/>
              </w:rPr>
              <w:t>Estimated Frequency of Responses</w:t>
            </w:r>
          </w:p>
        </w:tc>
        <w:tc>
          <w:tcPr>
            <w:tcW w:w="966" w:type="dxa"/>
            <w:tcBorders>
              <w:top w:val="nil"/>
              <w:left w:val="nil"/>
              <w:bottom w:val="single" w:sz="4" w:space="0" w:color="auto"/>
              <w:right w:val="single" w:sz="4" w:space="0" w:color="auto"/>
            </w:tcBorders>
            <w:shd w:val="clear" w:color="auto" w:fill="F2F2F2"/>
            <w:vAlign w:val="center"/>
            <w:hideMark/>
          </w:tcPr>
          <w:p w:rsidR="00C96990" w:rsidRPr="009C5D46" w:rsidP="00C96990" w14:paraId="6F2946A1" w14:textId="77777777">
            <w:pPr>
              <w:widowControl/>
              <w:jc w:val="center"/>
              <w:rPr>
                <w:rFonts w:ascii="Times New Roman" w:hAnsi="Times New Roman"/>
                <w:snapToGrid/>
                <w:color w:val="000000"/>
                <w:sz w:val="20"/>
              </w:rPr>
            </w:pPr>
            <w:r w:rsidRPr="009C5D46">
              <w:rPr>
                <w:rFonts w:ascii="Times New Roman" w:hAnsi="Times New Roman"/>
                <w:snapToGrid/>
                <w:color w:val="000000"/>
                <w:sz w:val="20"/>
              </w:rPr>
              <w:t>Estimated Time per Response (hours)</w:t>
            </w:r>
          </w:p>
        </w:tc>
        <w:tc>
          <w:tcPr>
            <w:tcW w:w="1008" w:type="dxa"/>
            <w:tcBorders>
              <w:top w:val="nil"/>
              <w:left w:val="nil"/>
              <w:bottom w:val="single" w:sz="4" w:space="0" w:color="auto"/>
              <w:right w:val="single" w:sz="4" w:space="0" w:color="auto"/>
            </w:tcBorders>
            <w:shd w:val="clear" w:color="auto" w:fill="F2F2F2"/>
            <w:vAlign w:val="center"/>
            <w:hideMark/>
          </w:tcPr>
          <w:p w:rsidR="00C96990" w:rsidRPr="009C5D46" w:rsidP="00C96990" w14:paraId="1D878D92" w14:textId="77777777">
            <w:pPr>
              <w:widowControl/>
              <w:jc w:val="center"/>
              <w:rPr>
                <w:rFonts w:ascii="Times New Roman" w:hAnsi="Times New Roman"/>
                <w:snapToGrid/>
                <w:color w:val="000000"/>
                <w:sz w:val="20"/>
              </w:rPr>
            </w:pPr>
            <w:r w:rsidRPr="009C5D46">
              <w:rPr>
                <w:rFonts w:ascii="Times New Roman" w:hAnsi="Times New Roman"/>
                <w:snapToGrid/>
                <w:color w:val="000000"/>
                <w:sz w:val="20"/>
              </w:rPr>
              <w:t>Frequency of Response</w:t>
            </w:r>
          </w:p>
        </w:tc>
        <w:tc>
          <w:tcPr>
            <w:tcW w:w="977" w:type="dxa"/>
            <w:tcBorders>
              <w:top w:val="nil"/>
              <w:left w:val="nil"/>
              <w:bottom w:val="single" w:sz="4" w:space="0" w:color="auto"/>
              <w:right w:val="single" w:sz="4" w:space="0" w:color="auto"/>
            </w:tcBorders>
            <w:shd w:val="clear" w:color="auto" w:fill="F2F2F2"/>
            <w:vAlign w:val="center"/>
            <w:hideMark/>
          </w:tcPr>
          <w:p w:rsidR="00C96990" w:rsidRPr="009C5D46" w:rsidP="00C96990" w14:paraId="744ECFE9" w14:textId="77777777">
            <w:pPr>
              <w:widowControl/>
              <w:jc w:val="center"/>
              <w:rPr>
                <w:rFonts w:ascii="Times New Roman" w:hAnsi="Times New Roman"/>
                <w:snapToGrid/>
                <w:color w:val="000000"/>
                <w:sz w:val="20"/>
              </w:rPr>
            </w:pPr>
            <w:r w:rsidRPr="009C5D46">
              <w:rPr>
                <w:rFonts w:ascii="Times New Roman" w:hAnsi="Times New Roman"/>
                <w:snapToGrid/>
                <w:color w:val="000000"/>
                <w:sz w:val="20"/>
              </w:rPr>
              <w:t>Total Annual Estimated Burden</w:t>
            </w:r>
          </w:p>
          <w:p w:rsidR="00020CDC" w:rsidRPr="009C5D46" w:rsidP="00C96990" w14:paraId="0E8B0E7D" w14:textId="77777777">
            <w:pPr>
              <w:widowControl/>
              <w:jc w:val="center"/>
              <w:rPr>
                <w:rFonts w:ascii="Times New Roman" w:hAnsi="Times New Roman"/>
                <w:snapToGrid/>
                <w:color w:val="000000"/>
                <w:sz w:val="20"/>
              </w:rPr>
            </w:pPr>
            <w:r w:rsidRPr="009C5D46">
              <w:rPr>
                <w:rFonts w:ascii="Times New Roman" w:hAnsi="Times New Roman"/>
                <w:snapToGrid/>
                <w:color w:val="000000"/>
                <w:sz w:val="20"/>
              </w:rPr>
              <w:t>(hours)</w:t>
            </w:r>
          </w:p>
        </w:tc>
      </w:tr>
      <w:tr w14:paraId="23118DF1" w14:textId="77777777" w:rsidTr="00020CDC">
        <w:tblPrEx>
          <w:tblW w:w="9848" w:type="dxa"/>
          <w:tblInd w:w="113" w:type="dxa"/>
          <w:tblLook w:val="04A0"/>
        </w:tblPrEx>
        <w:trPr>
          <w:trHeight w:val="148"/>
        </w:trPr>
        <w:tc>
          <w:tcPr>
            <w:tcW w:w="2680" w:type="dxa"/>
            <w:tcBorders>
              <w:top w:val="nil"/>
              <w:left w:val="single" w:sz="4" w:space="0" w:color="auto"/>
              <w:bottom w:val="single" w:sz="4" w:space="0" w:color="auto"/>
              <w:right w:val="single" w:sz="4" w:space="0" w:color="auto"/>
            </w:tcBorders>
            <w:vAlign w:val="center"/>
            <w:hideMark/>
          </w:tcPr>
          <w:p w:rsidR="00D1076C" w:rsidRPr="009C5D46" w:rsidP="00C96990" w14:paraId="29A22569" w14:textId="1CFC96E0">
            <w:pPr>
              <w:widowControl/>
              <w:rPr>
                <w:rFonts w:ascii="Times New Roman" w:hAnsi="Times New Roman"/>
                <w:snapToGrid/>
                <w:color w:val="000000"/>
                <w:sz w:val="20"/>
              </w:rPr>
            </w:pPr>
            <w:r w:rsidRPr="009C5D46">
              <w:rPr>
                <w:rFonts w:ascii="Times New Roman" w:hAnsi="Times New Roman"/>
                <w:snapToGrid/>
                <w:color w:val="000000"/>
                <w:sz w:val="20"/>
              </w:rPr>
              <w:t xml:space="preserve">Application for consent to </w:t>
            </w:r>
            <w:r w:rsidRPr="009C5D46" w:rsidR="009C5D46">
              <w:rPr>
                <w:rFonts w:ascii="Times New Roman" w:hAnsi="Times New Roman"/>
                <w:snapToGrid/>
                <w:color w:val="000000"/>
                <w:sz w:val="20"/>
              </w:rPr>
              <w:t>reduce or</w:t>
            </w:r>
            <w:r w:rsidRPr="009C5D46">
              <w:rPr>
                <w:rFonts w:ascii="Times New Roman" w:hAnsi="Times New Roman"/>
                <w:snapToGrid/>
                <w:color w:val="000000"/>
                <w:sz w:val="20"/>
              </w:rPr>
              <w:t xml:space="preserve"> retire capital</w:t>
            </w:r>
          </w:p>
        </w:tc>
        <w:tc>
          <w:tcPr>
            <w:tcW w:w="987" w:type="dxa"/>
            <w:tcBorders>
              <w:top w:val="nil"/>
              <w:left w:val="nil"/>
              <w:bottom w:val="single" w:sz="4" w:space="0" w:color="auto"/>
              <w:right w:val="single" w:sz="4" w:space="0" w:color="auto"/>
            </w:tcBorders>
            <w:vAlign w:val="center"/>
            <w:hideMark/>
          </w:tcPr>
          <w:p w:rsidR="00C96990" w:rsidRPr="009C5D46" w:rsidP="00C96990" w14:paraId="4C81F30D" w14:textId="77777777">
            <w:pPr>
              <w:widowControl/>
              <w:jc w:val="center"/>
              <w:rPr>
                <w:rFonts w:ascii="Times New Roman" w:hAnsi="Times New Roman"/>
                <w:snapToGrid/>
                <w:color w:val="000000"/>
                <w:sz w:val="20"/>
              </w:rPr>
            </w:pPr>
            <w:r w:rsidRPr="009C5D46">
              <w:rPr>
                <w:rFonts w:ascii="Times New Roman" w:hAnsi="Times New Roman"/>
                <w:snapToGrid/>
                <w:color w:val="000000"/>
                <w:sz w:val="20"/>
              </w:rPr>
              <w:t>Reporting</w:t>
            </w:r>
          </w:p>
        </w:tc>
        <w:tc>
          <w:tcPr>
            <w:tcW w:w="1041" w:type="dxa"/>
            <w:tcBorders>
              <w:top w:val="nil"/>
              <w:left w:val="nil"/>
              <w:bottom w:val="single" w:sz="4" w:space="0" w:color="auto"/>
              <w:right w:val="single" w:sz="4" w:space="0" w:color="auto"/>
            </w:tcBorders>
            <w:vAlign w:val="center"/>
            <w:hideMark/>
          </w:tcPr>
          <w:p w:rsidR="00C96990" w:rsidRPr="009C5D46" w:rsidP="00C96990" w14:paraId="3056259F" w14:textId="77777777">
            <w:pPr>
              <w:widowControl/>
              <w:jc w:val="center"/>
              <w:rPr>
                <w:rFonts w:ascii="Times New Roman" w:hAnsi="Times New Roman"/>
                <w:snapToGrid/>
                <w:color w:val="000000"/>
                <w:sz w:val="20"/>
              </w:rPr>
            </w:pPr>
            <w:r w:rsidRPr="009C5D46">
              <w:rPr>
                <w:rFonts w:ascii="Times New Roman" w:hAnsi="Times New Roman"/>
                <w:snapToGrid/>
                <w:color w:val="000000"/>
                <w:sz w:val="20"/>
              </w:rPr>
              <w:t>Mandatory</w:t>
            </w:r>
          </w:p>
        </w:tc>
        <w:tc>
          <w:tcPr>
            <w:tcW w:w="1179" w:type="dxa"/>
            <w:tcBorders>
              <w:top w:val="nil"/>
              <w:left w:val="nil"/>
              <w:bottom w:val="single" w:sz="4" w:space="0" w:color="auto"/>
              <w:right w:val="single" w:sz="4" w:space="0" w:color="auto"/>
            </w:tcBorders>
            <w:vAlign w:val="center"/>
            <w:hideMark/>
          </w:tcPr>
          <w:p w:rsidR="00C96990" w:rsidRPr="009C5D46" w:rsidP="00C96990" w14:paraId="73EE0DD0" w14:textId="31E61BC8">
            <w:pPr>
              <w:widowControl/>
              <w:jc w:val="center"/>
              <w:rPr>
                <w:rFonts w:ascii="Times New Roman" w:hAnsi="Times New Roman"/>
                <w:snapToGrid/>
                <w:color w:val="000000"/>
                <w:sz w:val="20"/>
              </w:rPr>
            </w:pPr>
            <w:r w:rsidRPr="009C5D46">
              <w:rPr>
                <w:rFonts w:ascii="Times New Roman" w:hAnsi="Times New Roman"/>
                <w:snapToGrid/>
                <w:color w:val="000000"/>
                <w:sz w:val="20"/>
              </w:rPr>
              <w:t>49</w:t>
            </w:r>
          </w:p>
        </w:tc>
        <w:tc>
          <w:tcPr>
            <w:tcW w:w="1010" w:type="dxa"/>
            <w:tcBorders>
              <w:top w:val="nil"/>
              <w:left w:val="nil"/>
              <w:bottom w:val="single" w:sz="4" w:space="0" w:color="auto"/>
              <w:right w:val="single" w:sz="4" w:space="0" w:color="auto"/>
            </w:tcBorders>
            <w:vAlign w:val="center"/>
            <w:hideMark/>
          </w:tcPr>
          <w:p w:rsidR="00C96990" w:rsidRPr="009C5D46" w:rsidP="00C96990" w14:paraId="0E94E897" w14:textId="05E48BEF">
            <w:pPr>
              <w:widowControl/>
              <w:jc w:val="center"/>
              <w:rPr>
                <w:rFonts w:ascii="Times New Roman" w:hAnsi="Times New Roman"/>
                <w:snapToGrid/>
                <w:color w:val="000000"/>
                <w:sz w:val="20"/>
              </w:rPr>
            </w:pPr>
            <w:r w:rsidRPr="009C5D46">
              <w:rPr>
                <w:rFonts w:ascii="Times New Roman" w:hAnsi="Times New Roman"/>
                <w:snapToGrid/>
                <w:color w:val="000000"/>
                <w:sz w:val="20"/>
              </w:rPr>
              <w:t>1</w:t>
            </w:r>
            <w:r w:rsidRPr="009C5D46" w:rsidR="00B000D5">
              <w:rPr>
                <w:rFonts w:ascii="Times New Roman" w:hAnsi="Times New Roman"/>
                <w:snapToGrid/>
                <w:color w:val="000000"/>
                <w:sz w:val="20"/>
              </w:rPr>
              <w:t>.3</w:t>
            </w:r>
            <w:r w:rsidRPr="009C5D46" w:rsidR="00317462">
              <w:rPr>
                <w:rFonts w:ascii="Times New Roman" w:hAnsi="Times New Roman"/>
                <w:snapToGrid/>
                <w:color w:val="000000"/>
                <w:sz w:val="20"/>
              </w:rPr>
              <w:t>7</w:t>
            </w:r>
          </w:p>
        </w:tc>
        <w:tc>
          <w:tcPr>
            <w:tcW w:w="966" w:type="dxa"/>
            <w:tcBorders>
              <w:top w:val="nil"/>
              <w:left w:val="nil"/>
              <w:bottom w:val="single" w:sz="4" w:space="0" w:color="auto"/>
              <w:right w:val="single" w:sz="4" w:space="0" w:color="auto"/>
            </w:tcBorders>
            <w:vAlign w:val="center"/>
            <w:hideMark/>
          </w:tcPr>
          <w:p w:rsidR="00C96990" w:rsidRPr="009C5D46" w:rsidP="00D1076C" w14:paraId="01AB9E6F" w14:textId="77777777">
            <w:pPr>
              <w:widowControl/>
              <w:jc w:val="center"/>
              <w:rPr>
                <w:rFonts w:ascii="Times New Roman" w:hAnsi="Times New Roman"/>
                <w:snapToGrid/>
                <w:color w:val="000000"/>
                <w:sz w:val="20"/>
              </w:rPr>
            </w:pPr>
            <w:r w:rsidRPr="009C5D46">
              <w:rPr>
                <w:rFonts w:ascii="Times New Roman" w:hAnsi="Times New Roman"/>
                <w:snapToGrid/>
                <w:color w:val="000000"/>
                <w:sz w:val="20"/>
              </w:rPr>
              <w:t>11</w:t>
            </w:r>
          </w:p>
        </w:tc>
        <w:tc>
          <w:tcPr>
            <w:tcW w:w="1008" w:type="dxa"/>
            <w:tcBorders>
              <w:top w:val="nil"/>
              <w:left w:val="nil"/>
              <w:bottom w:val="single" w:sz="4" w:space="0" w:color="auto"/>
              <w:right w:val="single" w:sz="4" w:space="0" w:color="auto"/>
            </w:tcBorders>
            <w:vAlign w:val="center"/>
            <w:hideMark/>
          </w:tcPr>
          <w:p w:rsidR="00C96990" w:rsidRPr="009C5D46" w:rsidP="00C96990" w14:paraId="2FE9B6EE" w14:textId="77777777">
            <w:pPr>
              <w:widowControl/>
              <w:jc w:val="center"/>
              <w:rPr>
                <w:rFonts w:ascii="Times New Roman" w:hAnsi="Times New Roman"/>
                <w:snapToGrid/>
                <w:color w:val="000000"/>
                <w:sz w:val="20"/>
              </w:rPr>
            </w:pPr>
            <w:r w:rsidRPr="009C5D46">
              <w:rPr>
                <w:rFonts w:ascii="Times New Roman" w:hAnsi="Times New Roman"/>
                <w:snapToGrid/>
                <w:color w:val="000000"/>
                <w:sz w:val="20"/>
              </w:rPr>
              <w:t>On Occasion</w:t>
            </w:r>
          </w:p>
        </w:tc>
        <w:tc>
          <w:tcPr>
            <w:tcW w:w="977" w:type="dxa"/>
            <w:tcBorders>
              <w:top w:val="nil"/>
              <w:left w:val="nil"/>
              <w:bottom w:val="single" w:sz="4" w:space="0" w:color="auto"/>
              <w:right w:val="single" w:sz="4" w:space="0" w:color="auto"/>
            </w:tcBorders>
            <w:vAlign w:val="center"/>
            <w:hideMark/>
          </w:tcPr>
          <w:p w:rsidR="00C96990" w:rsidRPr="009C5D46" w:rsidP="00F115F5" w14:paraId="341BA18E" w14:textId="7E8C3A9C">
            <w:pPr>
              <w:widowControl/>
              <w:jc w:val="center"/>
              <w:rPr>
                <w:rFonts w:ascii="Times New Roman" w:hAnsi="Times New Roman"/>
                <w:snapToGrid/>
                <w:color w:val="000000"/>
                <w:sz w:val="20"/>
              </w:rPr>
            </w:pPr>
            <w:r w:rsidRPr="009C5D46">
              <w:rPr>
                <w:rFonts w:ascii="Times New Roman" w:hAnsi="Times New Roman"/>
                <w:snapToGrid/>
                <w:color w:val="000000"/>
                <w:sz w:val="20"/>
              </w:rPr>
              <w:t>737</w:t>
            </w:r>
          </w:p>
        </w:tc>
      </w:tr>
      <w:tr w14:paraId="238C8F33" w14:textId="77777777" w:rsidTr="00361E1E">
        <w:tblPrEx>
          <w:tblW w:w="9848" w:type="dxa"/>
          <w:tblInd w:w="113" w:type="dxa"/>
          <w:tblLook w:val="04A0"/>
        </w:tblPrEx>
        <w:trPr>
          <w:trHeight w:val="55"/>
        </w:trPr>
        <w:tc>
          <w:tcPr>
            <w:tcW w:w="8871" w:type="dxa"/>
            <w:gridSpan w:val="7"/>
            <w:tcBorders>
              <w:top w:val="nil"/>
              <w:left w:val="single" w:sz="4" w:space="0" w:color="auto"/>
              <w:bottom w:val="single" w:sz="4" w:space="0" w:color="auto"/>
              <w:right w:val="single" w:sz="4" w:space="0" w:color="auto"/>
            </w:tcBorders>
            <w:shd w:val="clear" w:color="auto" w:fill="F2F2F2"/>
            <w:vAlign w:val="bottom"/>
            <w:hideMark/>
          </w:tcPr>
          <w:p w:rsidR="00020CDC" w:rsidRPr="009C5D46" w:rsidP="00020CDC" w14:paraId="737F29B8" w14:textId="77777777">
            <w:pPr>
              <w:widowControl/>
              <w:rPr>
                <w:rFonts w:ascii="Times New Roman" w:hAnsi="Times New Roman"/>
                <w:snapToGrid/>
                <w:color w:val="000000"/>
                <w:sz w:val="20"/>
              </w:rPr>
            </w:pPr>
            <w:r w:rsidRPr="009C5D46">
              <w:rPr>
                <w:rFonts w:ascii="Times New Roman" w:hAnsi="Times New Roman"/>
                <w:snapToGrid/>
                <w:color w:val="000000"/>
                <w:sz w:val="20"/>
              </w:rPr>
              <w:t>TOTAL HOURLY BURDEN </w:t>
            </w:r>
          </w:p>
        </w:tc>
        <w:tc>
          <w:tcPr>
            <w:tcW w:w="977" w:type="dxa"/>
            <w:tcBorders>
              <w:top w:val="nil"/>
              <w:left w:val="nil"/>
              <w:bottom w:val="single" w:sz="4" w:space="0" w:color="auto"/>
              <w:right w:val="single" w:sz="4" w:space="0" w:color="auto"/>
            </w:tcBorders>
            <w:shd w:val="clear" w:color="auto" w:fill="F2F2F2"/>
            <w:noWrap/>
            <w:vAlign w:val="bottom"/>
            <w:hideMark/>
          </w:tcPr>
          <w:p w:rsidR="00020CDC" w:rsidRPr="009C5D46" w:rsidP="00F115F5" w14:paraId="70706982" w14:textId="4E9B03F8">
            <w:pPr>
              <w:widowControl/>
              <w:jc w:val="center"/>
              <w:rPr>
                <w:rFonts w:ascii="Times New Roman" w:hAnsi="Times New Roman"/>
                <w:snapToGrid/>
                <w:color w:val="000000"/>
                <w:sz w:val="20"/>
              </w:rPr>
            </w:pPr>
            <w:r w:rsidRPr="009C5D46">
              <w:rPr>
                <w:rFonts w:ascii="Times New Roman" w:hAnsi="Times New Roman"/>
                <w:snapToGrid/>
                <w:color w:val="000000"/>
                <w:sz w:val="20"/>
              </w:rPr>
              <w:t>737</w:t>
            </w:r>
          </w:p>
        </w:tc>
      </w:tr>
    </w:tbl>
    <w:p w:rsidR="006B5B26" w:rsidP="006B5B26" w14:paraId="625E4B73" w14:textId="77777777">
      <w:pPr>
        <w:rPr>
          <w:rFonts w:ascii="Times New Roman" w:hAnsi="Times New Roman"/>
          <w:i/>
        </w:rPr>
      </w:pPr>
    </w:p>
    <w:p w:rsidR="00C96990" w:rsidP="0052121E" w14:paraId="56817642" w14:textId="77777777">
      <w:pPr>
        <w:ind w:left="720"/>
        <w:rPr>
          <w:rFonts w:ascii="Times New Roman" w:hAnsi="Times New Roman"/>
          <w:i/>
        </w:rPr>
      </w:pPr>
      <w:r>
        <w:rPr>
          <w:rFonts w:ascii="Times New Roman" w:hAnsi="Times New Roman"/>
          <w:i/>
        </w:rPr>
        <w:t xml:space="preserve">The estimated </w:t>
      </w:r>
      <w:r w:rsidRPr="00905E1E">
        <w:rPr>
          <w:rFonts w:ascii="Times New Roman" w:hAnsi="Times New Roman"/>
          <w:i/>
        </w:rPr>
        <w:t xml:space="preserve">labor </w:t>
      </w:r>
      <w:r w:rsidRPr="00905E1E" w:rsidR="00905E1E">
        <w:rPr>
          <w:rFonts w:ascii="Times New Roman" w:hAnsi="Times New Roman"/>
          <w:i/>
        </w:rPr>
        <w:t>cost</w:t>
      </w:r>
      <w:r>
        <w:rPr>
          <w:rFonts w:ascii="Times New Roman" w:hAnsi="Times New Roman"/>
          <w:i/>
        </w:rPr>
        <w:t xml:space="preserve"> is calculated as </w:t>
      </w:r>
      <w:r>
        <w:rPr>
          <w:rFonts w:ascii="Times New Roman" w:hAnsi="Times New Roman"/>
          <w:i/>
        </w:rPr>
        <w:t>follow</w:t>
      </w:r>
      <w:r>
        <w:rPr>
          <w:rFonts w:ascii="Times New Roman" w:hAnsi="Times New Roman"/>
          <w:i/>
        </w:rPr>
        <w:t>:</w:t>
      </w:r>
    </w:p>
    <w:p w:rsidR="00B000D5" w:rsidRPr="006B5B26" w:rsidP="006B5B26" w14:paraId="3FA2A901" w14:textId="77777777">
      <w:pPr>
        <w:rPr>
          <w:rFonts w:ascii="Times New Roman" w:hAnsi="Times New Roman"/>
          <w:i/>
        </w:rPr>
      </w:pPr>
    </w:p>
    <w:tbl>
      <w:tblPr>
        <w:tblW w:w="10236" w:type="dxa"/>
        <w:tblCellMar>
          <w:top w:w="15" w:type="dxa"/>
        </w:tblCellMar>
        <w:tblLook w:val="04A0"/>
      </w:tblPr>
      <w:tblGrid>
        <w:gridCol w:w="2166"/>
        <w:gridCol w:w="835"/>
        <w:gridCol w:w="1000"/>
        <w:gridCol w:w="1000"/>
        <w:gridCol w:w="900"/>
        <w:gridCol w:w="1000"/>
        <w:gridCol w:w="1000"/>
        <w:gridCol w:w="900"/>
        <w:gridCol w:w="1400"/>
        <w:gridCol w:w="222"/>
      </w:tblGrid>
      <w:tr w14:paraId="4637DF46" w14:textId="77777777" w:rsidTr="00512A3C">
        <w:tblPrEx>
          <w:tblW w:w="10236" w:type="dxa"/>
          <w:tblCellMar>
            <w:top w:w="15" w:type="dxa"/>
          </w:tblCellMar>
          <w:tblLook w:val="04A0"/>
        </w:tblPrEx>
        <w:trPr>
          <w:gridAfter w:val="1"/>
          <w:wAfter w:w="36" w:type="dxa"/>
          <w:trHeight w:val="360"/>
        </w:trPr>
        <w:tc>
          <w:tcPr>
            <w:tcW w:w="10200" w:type="dxa"/>
            <w:gridSpan w:val="9"/>
            <w:tcBorders>
              <w:top w:val="single" w:sz="8" w:space="0" w:color="auto"/>
              <w:left w:val="single" w:sz="8" w:space="0" w:color="auto"/>
              <w:bottom w:val="single" w:sz="8" w:space="0" w:color="auto"/>
              <w:right w:val="single" w:sz="8" w:space="0" w:color="auto"/>
            </w:tcBorders>
            <w:noWrap/>
            <w:vAlign w:val="bottom"/>
            <w:hideMark/>
          </w:tcPr>
          <w:p w:rsidR="0093453C" w:rsidRPr="0093453C" w:rsidP="00512A3C" w14:paraId="5C0851D2" w14:textId="22AF22BB">
            <w:pPr>
              <w:jc w:val="center"/>
              <w:rPr>
                <w:rFonts w:ascii="Times New Roman" w:hAnsi="Times New Roman"/>
                <w:color w:val="000000"/>
                <w:sz w:val="20"/>
              </w:rPr>
            </w:pPr>
            <w:r w:rsidRPr="0093453C">
              <w:rPr>
                <w:rFonts w:ascii="Times New Roman" w:hAnsi="Times New Roman"/>
                <w:color w:val="000000"/>
                <w:sz w:val="20"/>
              </w:rPr>
              <w:t>Summary of Hourly Burden Cost Estimate (OMB No. 3064-0079)</w:t>
            </w:r>
          </w:p>
        </w:tc>
      </w:tr>
      <w:tr w14:paraId="5F0287B3" w14:textId="77777777" w:rsidTr="003338C3">
        <w:tblPrEx>
          <w:tblW w:w="10236" w:type="dxa"/>
          <w:tblCellMar>
            <w:top w:w="15" w:type="dxa"/>
          </w:tblCellMar>
          <w:tblLook w:val="04A0"/>
        </w:tblPrEx>
        <w:trPr>
          <w:gridAfter w:val="1"/>
          <w:wAfter w:w="36" w:type="dxa"/>
          <w:trHeight w:val="600"/>
        </w:trPr>
        <w:tc>
          <w:tcPr>
            <w:tcW w:w="2742" w:type="dxa"/>
            <w:vMerge w:val="restart"/>
            <w:tcBorders>
              <w:top w:val="nil"/>
              <w:left w:val="single" w:sz="8" w:space="0" w:color="auto"/>
              <w:bottom w:val="single" w:sz="8" w:space="0" w:color="auto"/>
              <w:right w:val="single" w:sz="8" w:space="0" w:color="auto"/>
            </w:tcBorders>
            <w:shd w:val="clear" w:color="auto" w:fill="F2F2F2" w:themeFill="background1" w:themeFillShade="F2"/>
            <w:vAlign w:val="center"/>
            <w:hideMark/>
          </w:tcPr>
          <w:p w:rsidR="0093453C" w:rsidRPr="0093453C" w:rsidP="00512A3C" w14:paraId="687D662E" w14:textId="77777777">
            <w:pPr>
              <w:rPr>
                <w:rFonts w:ascii="Times New Roman" w:hAnsi="Times New Roman"/>
                <w:color w:val="000000"/>
                <w:sz w:val="20"/>
              </w:rPr>
            </w:pPr>
            <w:r w:rsidRPr="0093453C">
              <w:rPr>
                <w:rFonts w:ascii="Times New Roman" w:hAnsi="Times New Roman"/>
                <w:color w:val="000000"/>
                <w:sz w:val="20"/>
              </w:rPr>
              <w:t xml:space="preserve">Information Collection (IC) (Obligation to Respond) </w:t>
            </w:r>
          </w:p>
        </w:tc>
        <w:tc>
          <w:tcPr>
            <w:tcW w:w="860" w:type="dxa"/>
            <w:vMerge w:val="restart"/>
            <w:tcBorders>
              <w:top w:val="nil"/>
              <w:left w:val="single" w:sz="8" w:space="0" w:color="auto"/>
              <w:bottom w:val="single" w:sz="8" w:space="0" w:color="auto"/>
              <w:right w:val="single" w:sz="8" w:space="0" w:color="auto"/>
            </w:tcBorders>
            <w:shd w:val="clear" w:color="auto" w:fill="F2F2F2" w:themeFill="background1" w:themeFillShade="F2"/>
            <w:vAlign w:val="center"/>
            <w:hideMark/>
          </w:tcPr>
          <w:p w:rsidR="0093453C" w:rsidRPr="0093453C" w:rsidP="00512A3C" w14:paraId="2DC5E62D" w14:textId="77777777">
            <w:pPr>
              <w:jc w:val="center"/>
              <w:rPr>
                <w:rFonts w:ascii="Times New Roman" w:hAnsi="Times New Roman"/>
                <w:color w:val="000000"/>
                <w:sz w:val="20"/>
              </w:rPr>
            </w:pPr>
            <w:r w:rsidRPr="0093453C">
              <w:rPr>
                <w:rFonts w:ascii="Times New Roman" w:hAnsi="Times New Roman"/>
                <w:color w:val="000000"/>
                <w:sz w:val="20"/>
              </w:rPr>
              <w:t xml:space="preserve">Hourly Weight </w:t>
            </w:r>
            <w:r w:rsidRPr="0093453C">
              <w:rPr>
                <w:rFonts w:ascii="Times New Roman" w:hAnsi="Times New Roman"/>
                <w:color w:val="000000"/>
                <w:sz w:val="20"/>
              </w:rPr>
              <w:br/>
              <w:t>(%)</w:t>
            </w:r>
          </w:p>
        </w:tc>
        <w:tc>
          <w:tcPr>
            <w:tcW w:w="5198" w:type="dxa"/>
            <w:gridSpan w:val="6"/>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rsidR="0093453C" w:rsidRPr="0093453C" w:rsidP="00512A3C" w14:paraId="1C1C22AB" w14:textId="77777777">
            <w:pPr>
              <w:jc w:val="center"/>
              <w:rPr>
                <w:rFonts w:ascii="Times New Roman" w:hAnsi="Times New Roman"/>
                <w:color w:val="000000"/>
                <w:sz w:val="20"/>
              </w:rPr>
            </w:pPr>
            <w:r w:rsidRPr="0093453C">
              <w:rPr>
                <w:rFonts w:ascii="Times New Roman" w:hAnsi="Times New Roman"/>
                <w:color w:val="000000"/>
                <w:sz w:val="20"/>
              </w:rPr>
              <w:t xml:space="preserve">Percentage Shares of Hours Spent by and </w:t>
            </w:r>
            <w:r w:rsidRPr="0093453C">
              <w:rPr>
                <w:rFonts w:ascii="Times New Roman" w:hAnsi="Times New Roman"/>
                <w:color w:val="000000"/>
                <w:sz w:val="20"/>
              </w:rPr>
              <w:br/>
              <w:t xml:space="preserve">Hourly Compensation Rates for each Occupation Group </w:t>
            </w:r>
            <w:r w:rsidRPr="0093453C">
              <w:rPr>
                <w:rFonts w:ascii="Times New Roman" w:hAnsi="Times New Roman"/>
                <w:color w:val="000000"/>
                <w:sz w:val="20"/>
              </w:rPr>
              <w:br/>
              <w:t>(by Collection)</w:t>
            </w:r>
          </w:p>
        </w:tc>
        <w:tc>
          <w:tcPr>
            <w:tcW w:w="1400" w:type="dxa"/>
            <w:vMerge w:val="restart"/>
            <w:tcBorders>
              <w:top w:val="nil"/>
              <w:left w:val="single" w:sz="8" w:space="0" w:color="auto"/>
              <w:bottom w:val="single" w:sz="8" w:space="0" w:color="auto"/>
              <w:right w:val="single" w:sz="8" w:space="0" w:color="auto"/>
            </w:tcBorders>
            <w:shd w:val="clear" w:color="auto" w:fill="F2F2F2" w:themeFill="background1" w:themeFillShade="F2"/>
            <w:vAlign w:val="center"/>
            <w:hideMark/>
          </w:tcPr>
          <w:p w:rsidR="0093453C" w:rsidRPr="0093453C" w:rsidP="00512A3C" w14:paraId="7E6AB72F" w14:textId="77777777">
            <w:pPr>
              <w:jc w:val="center"/>
              <w:rPr>
                <w:rFonts w:ascii="Times New Roman" w:hAnsi="Times New Roman"/>
                <w:color w:val="000000"/>
                <w:sz w:val="20"/>
              </w:rPr>
            </w:pPr>
            <w:r w:rsidRPr="0093453C">
              <w:rPr>
                <w:rFonts w:ascii="Times New Roman" w:hAnsi="Times New Roman"/>
                <w:color w:val="000000"/>
                <w:sz w:val="20"/>
              </w:rPr>
              <w:t>Estimated Hourly Compensation Rate</w:t>
            </w:r>
          </w:p>
        </w:tc>
      </w:tr>
      <w:tr w14:paraId="10FE3E56" w14:textId="77777777" w:rsidTr="00512A3C">
        <w:tblPrEx>
          <w:tblW w:w="10236" w:type="dxa"/>
          <w:tblCellMar>
            <w:top w:w="15" w:type="dxa"/>
          </w:tblCellMar>
          <w:tblLook w:val="04A0"/>
        </w:tblPrEx>
        <w:trPr>
          <w:trHeight w:val="864"/>
        </w:trPr>
        <w:tc>
          <w:tcPr>
            <w:tcW w:w="2742" w:type="dxa"/>
            <w:vMerge/>
            <w:tcBorders>
              <w:top w:val="nil"/>
              <w:left w:val="single" w:sz="8" w:space="0" w:color="auto"/>
              <w:bottom w:val="single" w:sz="8" w:space="0" w:color="auto"/>
              <w:right w:val="single" w:sz="8" w:space="0" w:color="auto"/>
            </w:tcBorders>
            <w:vAlign w:val="center"/>
            <w:hideMark/>
          </w:tcPr>
          <w:p w:rsidR="0093453C" w:rsidRPr="0093453C" w:rsidP="00512A3C" w14:paraId="7F1CC127" w14:textId="77777777">
            <w:pPr>
              <w:rPr>
                <w:rFonts w:ascii="Times New Roman" w:hAnsi="Times New Roman"/>
                <w:color w:val="000000"/>
                <w:sz w:val="20"/>
              </w:rPr>
            </w:pPr>
          </w:p>
        </w:tc>
        <w:tc>
          <w:tcPr>
            <w:tcW w:w="860" w:type="dxa"/>
            <w:vMerge/>
            <w:tcBorders>
              <w:top w:val="nil"/>
              <w:left w:val="single" w:sz="8" w:space="0" w:color="auto"/>
              <w:bottom w:val="single" w:sz="8" w:space="0" w:color="auto"/>
              <w:right w:val="single" w:sz="8" w:space="0" w:color="auto"/>
            </w:tcBorders>
            <w:vAlign w:val="center"/>
            <w:hideMark/>
          </w:tcPr>
          <w:p w:rsidR="0093453C" w:rsidRPr="0093453C" w:rsidP="00512A3C" w14:paraId="0D2B014A" w14:textId="77777777">
            <w:pPr>
              <w:rPr>
                <w:rFonts w:ascii="Times New Roman" w:hAnsi="Times New Roman"/>
                <w:color w:val="000000"/>
                <w:sz w:val="20"/>
              </w:rPr>
            </w:pPr>
          </w:p>
        </w:tc>
        <w:tc>
          <w:tcPr>
            <w:tcW w:w="5198" w:type="dxa"/>
            <w:gridSpan w:val="6"/>
            <w:vMerge/>
            <w:tcBorders>
              <w:top w:val="single" w:sz="8" w:space="0" w:color="auto"/>
              <w:left w:val="single" w:sz="8" w:space="0" w:color="auto"/>
              <w:bottom w:val="single" w:sz="8" w:space="0" w:color="auto"/>
              <w:right w:val="single" w:sz="8" w:space="0" w:color="auto"/>
            </w:tcBorders>
            <w:vAlign w:val="center"/>
            <w:hideMark/>
          </w:tcPr>
          <w:p w:rsidR="0093453C" w:rsidRPr="0093453C" w:rsidP="00512A3C" w14:paraId="45DD1AC5" w14:textId="77777777">
            <w:pPr>
              <w:rPr>
                <w:rFonts w:ascii="Times New Roman" w:hAnsi="Times New Roman"/>
                <w:color w:val="000000"/>
                <w:sz w:val="20"/>
              </w:rPr>
            </w:pPr>
          </w:p>
        </w:tc>
        <w:tc>
          <w:tcPr>
            <w:tcW w:w="1400" w:type="dxa"/>
            <w:vMerge/>
            <w:tcBorders>
              <w:top w:val="nil"/>
              <w:left w:val="single" w:sz="8" w:space="0" w:color="auto"/>
              <w:bottom w:val="single" w:sz="8" w:space="0" w:color="auto"/>
              <w:right w:val="single" w:sz="8" w:space="0" w:color="auto"/>
            </w:tcBorders>
            <w:vAlign w:val="center"/>
            <w:hideMark/>
          </w:tcPr>
          <w:p w:rsidR="0093453C" w:rsidRPr="0093453C" w:rsidP="00512A3C" w14:paraId="4E58DBD2" w14:textId="77777777">
            <w:pPr>
              <w:rPr>
                <w:rFonts w:ascii="Times New Roman" w:hAnsi="Times New Roman"/>
                <w:color w:val="000000"/>
                <w:sz w:val="20"/>
              </w:rPr>
            </w:pPr>
          </w:p>
        </w:tc>
        <w:tc>
          <w:tcPr>
            <w:tcW w:w="36" w:type="dxa"/>
            <w:tcBorders>
              <w:top w:val="nil"/>
              <w:left w:val="nil"/>
              <w:bottom w:val="nil"/>
              <w:right w:val="nil"/>
            </w:tcBorders>
            <w:noWrap/>
            <w:vAlign w:val="bottom"/>
            <w:hideMark/>
          </w:tcPr>
          <w:p w:rsidR="0093453C" w:rsidRPr="0093453C" w:rsidP="00512A3C" w14:paraId="41F5E27A" w14:textId="77777777">
            <w:pPr>
              <w:jc w:val="center"/>
              <w:rPr>
                <w:rFonts w:ascii="Times New Roman" w:hAnsi="Times New Roman"/>
                <w:color w:val="000000"/>
                <w:sz w:val="20"/>
              </w:rPr>
            </w:pPr>
          </w:p>
        </w:tc>
      </w:tr>
      <w:tr w14:paraId="66EFB962" w14:textId="77777777" w:rsidTr="00512A3C">
        <w:tblPrEx>
          <w:tblW w:w="10236" w:type="dxa"/>
          <w:tblCellMar>
            <w:top w:w="15" w:type="dxa"/>
          </w:tblCellMar>
          <w:tblLook w:val="04A0"/>
        </w:tblPrEx>
        <w:trPr>
          <w:trHeight w:val="360"/>
        </w:trPr>
        <w:tc>
          <w:tcPr>
            <w:tcW w:w="2742" w:type="dxa"/>
            <w:vMerge/>
            <w:tcBorders>
              <w:top w:val="nil"/>
              <w:left w:val="single" w:sz="8" w:space="0" w:color="auto"/>
              <w:bottom w:val="single" w:sz="8" w:space="0" w:color="auto"/>
              <w:right w:val="single" w:sz="8" w:space="0" w:color="auto"/>
            </w:tcBorders>
            <w:vAlign w:val="center"/>
            <w:hideMark/>
          </w:tcPr>
          <w:p w:rsidR="0093453C" w:rsidRPr="0093453C" w:rsidP="00512A3C" w14:paraId="04AA1ED2" w14:textId="77777777">
            <w:pPr>
              <w:rPr>
                <w:rFonts w:ascii="Times New Roman" w:hAnsi="Times New Roman"/>
                <w:color w:val="000000"/>
                <w:sz w:val="20"/>
              </w:rPr>
            </w:pPr>
          </w:p>
        </w:tc>
        <w:tc>
          <w:tcPr>
            <w:tcW w:w="860" w:type="dxa"/>
            <w:vMerge/>
            <w:tcBorders>
              <w:top w:val="nil"/>
              <w:left w:val="single" w:sz="8" w:space="0" w:color="auto"/>
              <w:bottom w:val="single" w:sz="8" w:space="0" w:color="auto"/>
              <w:right w:val="single" w:sz="8" w:space="0" w:color="auto"/>
            </w:tcBorders>
            <w:vAlign w:val="center"/>
            <w:hideMark/>
          </w:tcPr>
          <w:p w:rsidR="0093453C" w:rsidRPr="0093453C" w:rsidP="00512A3C" w14:paraId="0D6D0CE6" w14:textId="77777777">
            <w:pPr>
              <w:rPr>
                <w:rFonts w:ascii="Times New Roman" w:hAnsi="Times New Roman"/>
                <w:color w:val="000000"/>
                <w:sz w:val="20"/>
              </w:rPr>
            </w:pPr>
          </w:p>
        </w:tc>
        <w:tc>
          <w:tcPr>
            <w:tcW w:w="920" w:type="dxa"/>
            <w:vMerge w:val="restart"/>
            <w:tcBorders>
              <w:top w:val="nil"/>
              <w:left w:val="single" w:sz="8" w:space="0" w:color="auto"/>
              <w:bottom w:val="single" w:sz="8" w:space="0" w:color="auto"/>
              <w:right w:val="single" w:sz="8" w:space="0" w:color="auto"/>
            </w:tcBorders>
            <w:vAlign w:val="center"/>
            <w:hideMark/>
          </w:tcPr>
          <w:p w:rsidR="0093453C" w:rsidRPr="0093453C" w:rsidP="00512A3C" w14:paraId="2B948648" w14:textId="77777777">
            <w:pPr>
              <w:jc w:val="center"/>
              <w:rPr>
                <w:rFonts w:ascii="Times New Roman" w:hAnsi="Times New Roman"/>
                <w:color w:val="000000"/>
                <w:sz w:val="20"/>
              </w:rPr>
            </w:pPr>
            <w:r w:rsidRPr="0093453C">
              <w:rPr>
                <w:rFonts w:ascii="Times New Roman" w:hAnsi="Times New Roman"/>
                <w:color w:val="000000"/>
                <w:sz w:val="20"/>
              </w:rPr>
              <w:t>Exec. &amp; Mgr.      ($159.03)</w:t>
            </w:r>
          </w:p>
        </w:tc>
        <w:tc>
          <w:tcPr>
            <w:tcW w:w="820" w:type="dxa"/>
            <w:vMerge w:val="restart"/>
            <w:tcBorders>
              <w:top w:val="nil"/>
              <w:left w:val="single" w:sz="8" w:space="0" w:color="auto"/>
              <w:bottom w:val="single" w:sz="8" w:space="0" w:color="auto"/>
              <w:right w:val="single" w:sz="8" w:space="0" w:color="auto"/>
            </w:tcBorders>
            <w:vAlign w:val="center"/>
            <w:hideMark/>
          </w:tcPr>
          <w:p w:rsidR="0093453C" w:rsidRPr="0093453C" w:rsidP="00512A3C" w14:paraId="7BF050DE" w14:textId="77777777">
            <w:pPr>
              <w:jc w:val="center"/>
              <w:rPr>
                <w:rFonts w:ascii="Times New Roman" w:hAnsi="Times New Roman"/>
                <w:color w:val="000000"/>
                <w:sz w:val="20"/>
              </w:rPr>
            </w:pPr>
            <w:r w:rsidRPr="0093453C">
              <w:rPr>
                <w:rFonts w:ascii="Times New Roman" w:hAnsi="Times New Roman"/>
                <w:color w:val="000000"/>
                <w:sz w:val="20"/>
              </w:rPr>
              <w:t>Lawyer</w:t>
            </w:r>
            <w:r w:rsidRPr="0093453C">
              <w:rPr>
                <w:rFonts w:ascii="Times New Roman" w:hAnsi="Times New Roman"/>
                <w:color w:val="000000"/>
                <w:sz w:val="20"/>
              </w:rPr>
              <w:t xml:space="preserve">   (</w:t>
            </w:r>
            <w:r w:rsidRPr="0093453C">
              <w:rPr>
                <w:rFonts w:ascii="Times New Roman" w:hAnsi="Times New Roman"/>
                <w:color w:val="000000"/>
                <w:sz w:val="20"/>
              </w:rPr>
              <w:t>$179.36)</w:t>
            </w:r>
          </w:p>
        </w:tc>
        <w:tc>
          <w:tcPr>
            <w:tcW w:w="900" w:type="dxa"/>
            <w:vMerge w:val="restart"/>
            <w:tcBorders>
              <w:top w:val="nil"/>
              <w:left w:val="single" w:sz="8" w:space="0" w:color="auto"/>
              <w:bottom w:val="single" w:sz="8" w:space="0" w:color="auto"/>
              <w:right w:val="single" w:sz="8" w:space="0" w:color="auto"/>
            </w:tcBorders>
            <w:vAlign w:val="center"/>
            <w:hideMark/>
          </w:tcPr>
          <w:p w:rsidR="0093453C" w:rsidRPr="0093453C" w:rsidP="00512A3C" w14:paraId="4D5B573F" w14:textId="77777777">
            <w:pPr>
              <w:jc w:val="center"/>
              <w:rPr>
                <w:rFonts w:ascii="Times New Roman" w:hAnsi="Times New Roman"/>
                <w:color w:val="000000"/>
                <w:sz w:val="20"/>
              </w:rPr>
            </w:pPr>
            <w:r w:rsidRPr="0093453C">
              <w:rPr>
                <w:rFonts w:ascii="Times New Roman" w:hAnsi="Times New Roman"/>
                <w:color w:val="000000"/>
                <w:sz w:val="20"/>
              </w:rPr>
              <w:t>Compl</w:t>
            </w:r>
            <w:r w:rsidRPr="0093453C">
              <w:rPr>
                <w:rFonts w:ascii="Times New Roman" w:hAnsi="Times New Roman"/>
                <w:color w:val="000000"/>
                <w:sz w:val="20"/>
              </w:rPr>
              <w:t>. Ofc.   ($80.68)</w:t>
            </w:r>
          </w:p>
        </w:tc>
        <w:tc>
          <w:tcPr>
            <w:tcW w:w="798" w:type="dxa"/>
            <w:vMerge w:val="restart"/>
            <w:tcBorders>
              <w:top w:val="nil"/>
              <w:left w:val="single" w:sz="8" w:space="0" w:color="auto"/>
              <w:bottom w:val="single" w:sz="8" w:space="0" w:color="auto"/>
              <w:right w:val="single" w:sz="8" w:space="0" w:color="auto"/>
            </w:tcBorders>
            <w:vAlign w:val="center"/>
            <w:hideMark/>
          </w:tcPr>
          <w:p w:rsidR="0093453C" w:rsidRPr="0093453C" w:rsidP="00512A3C" w14:paraId="442EFCCE" w14:textId="77777777">
            <w:pPr>
              <w:jc w:val="center"/>
              <w:rPr>
                <w:rFonts w:ascii="Times New Roman" w:hAnsi="Times New Roman"/>
                <w:color w:val="000000"/>
                <w:sz w:val="20"/>
              </w:rPr>
            </w:pPr>
            <w:r w:rsidRPr="0093453C">
              <w:rPr>
                <w:rFonts w:ascii="Times New Roman" w:hAnsi="Times New Roman"/>
                <w:color w:val="000000"/>
                <w:sz w:val="20"/>
              </w:rPr>
              <w:t xml:space="preserve">IT </w:t>
            </w:r>
            <w:r w:rsidRPr="0093453C">
              <w:rPr>
                <w:rFonts w:ascii="Times New Roman" w:hAnsi="Times New Roman"/>
                <w:color w:val="000000"/>
                <w:sz w:val="20"/>
              </w:rPr>
              <w:t xml:space="preserve">   (</w:t>
            </w:r>
            <w:r w:rsidRPr="0093453C">
              <w:rPr>
                <w:rFonts w:ascii="Times New Roman" w:hAnsi="Times New Roman"/>
                <w:color w:val="000000"/>
                <w:sz w:val="20"/>
              </w:rPr>
              <w:t>$116.37)</w:t>
            </w:r>
          </w:p>
        </w:tc>
        <w:tc>
          <w:tcPr>
            <w:tcW w:w="960" w:type="dxa"/>
            <w:vMerge w:val="restart"/>
            <w:tcBorders>
              <w:top w:val="nil"/>
              <w:left w:val="single" w:sz="8" w:space="0" w:color="auto"/>
              <w:bottom w:val="single" w:sz="8" w:space="0" w:color="auto"/>
              <w:right w:val="single" w:sz="8" w:space="0" w:color="auto"/>
            </w:tcBorders>
            <w:vAlign w:val="center"/>
            <w:hideMark/>
          </w:tcPr>
          <w:p w:rsidR="0093453C" w:rsidRPr="0093453C" w:rsidP="00512A3C" w14:paraId="59A53A69" w14:textId="77777777">
            <w:pPr>
              <w:jc w:val="center"/>
              <w:rPr>
                <w:rFonts w:ascii="Times New Roman" w:hAnsi="Times New Roman"/>
                <w:color w:val="000000"/>
                <w:sz w:val="20"/>
              </w:rPr>
            </w:pPr>
            <w:r w:rsidRPr="0093453C">
              <w:rPr>
                <w:rFonts w:ascii="Times New Roman" w:hAnsi="Times New Roman"/>
                <w:color w:val="000000"/>
                <w:sz w:val="20"/>
              </w:rPr>
              <w:t xml:space="preserve">Fin. </w:t>
            </w:r>
            <w:r w:rsidRPr="0093453C">
              <w:rPr>
                <w:rFonts w:ascii="Times New Roman" w:hAnsi="Times New Roman"/>
                <w:color w:val="000000"/>
                <w:sz w:val="20"/>
              </w:rPr>
              <w:t>Anlst</w:t>
            </w:r>
            <w:r w:rsidRPr="0093453C">
              <w:rPr>
                <w:rFonts w:ascii="Times New Roman" w:hAnsi="Times New Roman"/>
                <w:color w:val="000000"/>
                <w:sz w:val="20"/>
              </w:rPr>
              <w:t>.    ($101.18)</w:t>
            </w:r>
          </w:p>
        </w:tc>
        <w:tc>
          <w:tcPr>
            <w:tcW w:w="800" w:type="dxa"/>
            <w:vMerge w:val="restart"/>
            <w:tcBorders>
              <w:top w:val="nil"/>
              <w:left w:val="single" w:sz="8" w:space="0" w:color="auto"/>
              <w:bottom w:val="single" w:sz="8" w:space="0" w:color="auto"/>
              <w:right w:val="single" w:sz="8" w:space="0" w:color="auto"/>
            </w:tcBorders>
            <w:vAlign w:val="center"/>
            <w:hideMark/>
          </w:tcPr>
          <w:p w:rsidR="0093453C" w:rsidRPr="0093453C" w:rsidP="00512A3C" w14:paraId="32BEA43D" w14:textId="77777777">
            <w:pPr>
              <w:jc w:val="center"/>
              <w:rPr>
                <w:rFonts w:ascii="Times New Roman" w:hAnsi="Times New Roman"/>
                <w:color w:val="000000"/>
                <w:sz w:val="20"/>
              </w:rPr>
            </w:pPr>
            <w:r w:rsidRPr="0093453C">
              <w:rPr>
                <w:rFonts w:ascii="Times New Roman" w:hAnsi="Times New Roman"/>
                <w:color w:val="000000"/>
                <w:sz w:val="20"/>
              </w:rPr>
              <w:t xml:space="preserve">Clerical </w:t>
            </w:r>
            <w:r w:rsidRPr="0093453C">
              <w:rPr>
                <w:rFonts w:ascii="Times New Roman" w:hAnsi="Times New Roman"/>
                <w:color w:val="000000"/>
                <w:sz w:val="20"/>
              </w:rPr>
              <w:t xml:space="preserve">   (</w:t>
            </w:r>
            <w:r w:rsidRPr="0093453C">
              <w:rPr>
                <w:rFonts w:ascii="Times New Roman" w:hAnsi="Times New Roman"/>
                <w:color w:val="000000"/>
                <w:sz w:val="20"/>
              </w:rPr>
              <w:t>$42.51)</w:t>
            </w:r>
          </w:p>
        </w:tc>
        <w:tc>
          <w:tcPr>
            <w:tcW w:w="1400" w:type="dxa"/>
            <w:vMerge/>
            <w:tcBorders>
              <w:top w:val="nil"/>
              <w:left w:val="single" w:sz="8" w:space="0" w:color="auto"/>
              <w:bottom w:val="single" w:sz="8" w:space="0" w:color="auto"/>
              <w:right w:val="single" w:sz="8" w:space="0" w:color="auto"/>
            </w:tcBorders>
            <w:vAlign w:val="center"/>
            <w:hideMark/>
          </w:tcPr>
          <w:p w:rsidR="0093453C" w:rsidRPr="0093453C" w:rsidP="00512A3C" w14:paraId="56AF86AF" w14:textId="77777777">
            <w:pPr>
              <w:rPr>
                <w:rFonts w:ascii="Times New Roman" w:hAnsi="Times New Roman"/>
                <w:color w:val="000000"/>
                <w:sz w:val="20"/>
              </w:rPr>
            </w:pPr>
          </w:p>
        </w:tc>
        <w:tc>
          <w:tcPr>
            <w:tcW w:w="36" w:type="dxa"/>
            <w:vAlign w:val="center"/>
            <w:hideMark/>
          </w:tcPr>
          <w:p w:rsidR="0093453C" w:rsidRPr="0093453C" w:rsidP="00512A3C" w14:paraId="26CECF34" w14:textId="77777777">
            <w:pPr>
              <w:rPr>
                <w:rFonts w:ascii="Times New Roman" w:hAnsi="Times New Roman"/>
                <w:sz w:val="20"/>
              </w:rPr>
            </w:pPr>
          </w:p>
        </w:tc>
      </w:tr>
      <w:tr w14:paraId="4A779D16" w14:textId="77777777" w:rsidTr="00512A3C">
        <w:tblPrEx>
          <w:tblW w:w="10236" w:type="dxa"/>
          <w:tblCellMar>
            <w:top w:w="15" w:type="dxa"/>
          </w:tblCellMar>
          <w:tblLook w:val="04A0"/>
        </w:tblPrEx>
        <w:trPr>
          <w:trHeight w:val="1140"/>
        </w:trPr>
        <w:tc>
          <w:tcPr>
            <w:tcW w:w="2742" w:type="dxa"/>
            <w:vMerge/>
            <w:tcBorders>
              <w:top w:val="nil"/>
              <w:left w:val="single" w:sz="8" w:space="0" w:color="auto"/>
              <w:bottom w:val="single" w:sz="8" w:space="0" w:color="auto"/>
              <w:right w:val="single" w:sz="8" w:space="0" w:color="auto"/>
            </w:tcBorders>
            <w:vAlign w:val="center"/>
            <w:hideMark/>
          </w:tcPr>
          <w:p w:rsidR="0093453C" w:rsidRPr="0093453C" w:rsidP="00512A3C" w14:paraId="15A7C6FC" w14:textId="77777777">
            <w:pPr>
              <w:rPr>
                <w:rFonts w:ascii="Times New Roman" w:hAnsi="Times New Roman"/>
                <w:color w:val="000000"/>
                <w:sz w:val="20"/>
              </w:rPr>
            </w:pPr>
          </w:p>
        </w:tc>
        <w:tc>
          <w:tcPr>
            <w:tcW w:w="860" w:type="dxa"/>
            <w:vMerge/>
            <w:tcBorders>
              <w:top w:val="nil"/>
              <w:left w:val="single" w:sz="8" w:space="0" w:color="auto"/>
              <w:bottom w:val="single" w:sz="8" w:space="0" w:color="auto"/>
              <w:right w:val="single" w:sz="8" w:space="0" w:color="auto"/>
            </w:tcBorders>
            <w:vAlign w:val="center"/>
            <w:hideMark/>
          </w:tcPr>
          <w:p w:rsidR="0093453C" w:rsidRPr="0093453C" w:rsidP="00512A3C" w14:paraId="608977FA" w14:textId="77777777">
            <w:pPr>
              <w:rPr>
                <w:rFonts w:ascii="Times New Roman" w:hAnsi="Times New Roman"/>
                <w:color w:val="000000"/>
                <w:sz w:val="20"/>
              </w:rPr>
            </w:pPr>
          </w:p>
        </w:tc>
        <w:tc>
          <w:tcPr>
            <w:tcW w:w="920" w:type="dxa"/>
            <w:vMerge/>
            <w:tcBorders>
              <w:top w:val="nil"/>
              <w:left w:val="single" w:sz="8" w:space="0" w:color="auto"/>
              <w:bottom w:val="single" w:sz="8" w:space="0" w:color="auto"/>
              <w:right w:val="single" w:sz="8" w:space="0" w:color="auto"/>
            </w:tcBorders>
            <w:vAlign w:val="center"/>
            <w:hideMark/>
          </w:tcPr>
          <w:p w:rsidR="0093453C" w:rsidRPr="0093453C" w:rsidP="00512A3C" w14:paraId="14CCA823" w14:textId="77777777">
            <w:pPr>
              <w:rPr>
                <w:rFonts w:ascii="Times New Roman" w:hAnsi="Times New Roman"/>
                <w:color w:val="000000"/>
                <w:sz w:val="20"/>
              </w:rPr>
            </w:pPr>
          </w:p>
        </w:tc>
        <w:tc>
          <w:tcPr>
            <w:tcW w:w="820" w:type="dxa"/>
            <w:vMerge/>
            <w:tcBorders>
              <w:top w:val="nil"/>
              <w:left w:val="single" w:sz="8" w:space="0" w:color="auto"/>
              <w:bottom w:val="single" w:sz="8" w:space="0" w:color="auto"/>
              <w:right w:val="single" w:sz="8" w:space="0" w:color="auto"/>
            </w:tcBorders>
            <w:vAlign w:val="center"/>
            <w:hideMark/>
          </w:tcPr>
          <w:p w:rsidR="0093453C" w:rsidRPr="0093453C" w:rsidP="00512A3C" w14:paraId="0A5AF2ED" w14:textId="77777777">
            <w:pPr>
              <w:rPr>
                <w:rFonts w:ascii="Times New Roman" w:hAnsi="Times New Roman"/>
                <w:color w:val="000000"/>
                <w:sz w:val="20"/>
              </w:rPr>
            </w:pPr>
          </w:p>
        </w:tc>
        <w:tc>
          <w:tcPr>
            <w:tcW w:w="900" w:type="dxa"/>
            <w:vMerge/>
            <w:tcBorders>
              <w:top w:val="nil"/>
              <w:left w:val="single" w:sz="8" w:space="0" w:color="auto"/>
              <w:bottom w:val="single" w:sz="8" w:space="0" w:color="auto"/>
              <w:right w:val="single" w:sz="8" w:space="0" w:color="auto"/>
            </w:tcBorders>
            <w:vAlign w:val="center"/>
            <w:hideMark/>
          </w:tcPr>
          <w:p w:rsidR="0093453C" w:rsidRPr="0093453C" w:rsidP="00512A3C" w14:paraId="5E262804" w14:textId="77777777">
            <w:pPr>
              <w:rPr>
                <w:rFonts w:ascii="Times New Roman" w:hAnsi="Times New Roman"/>
                <w:color w:val="000000"/>
                <w:sz w:val="20"/>
              </w:rPr>
            </w:pPr>
          </w:p>
        </w:tc>
        <w:tc>
          <w:tcPr>
            <w:tcW w:w="798" w:type="dxa"/>
            <w:vMerge/>
            <w:tcBorders>
              <w:top w:val="nil"/>
              <w:left w:val="single" w:sz="8" w:space="0" w:color="auto"/>
              <w:bottom w:val="single" w:sz="8" w:space="0" w:color="auto"/>
              <w:right w:val="single" w:sz="8" w:space="0" w:color="auto"/>
            </w:tcBorders>
            <w:vAlign w:val="center"/>
            <w:hideMark/>
          </w:tcPr>
          <w:p w:rsidR="0093453C" w:rsidRPr="0093453C" w:rsidP="00512A3C" w14:paraId="78DA0AF3" w14:textId="77777777">
            <w:pPr>
              <w:rPr>
                <w:rFonts w:ascii="Times New Roman" w:hAnsi="Times New Roman"/>
                <w:color w:val="000000"/>
                <w:sz w:val="20"/>
              </w:rPr>
            </w:pPr>
          </w:p>
        </w:tc>
        <w:tc>
          <w:tcPr>
            <w:tcW w:w="960" w:type="dxa"/>
            <w:vMerge/>
            <w:tcBorders>
              <w:top w:val="nil"/>
              <w:left w:val="single" w:sz="8" w:space="0" w:color="auto"/>
              <w:bottom w:val="single" w:sz="8" w:space="0" w:color="auto"/>
              <w:right w:val="single" w:sz="8" w:space="0" w:color="auto"/>
            </w:tcBorders>
            <w:vAlign w:val="center"/>
            <w:hideMark/>
          </w:tcPr>
          <w:p w:rsidR="0093453C" w:rsidRPr="0093453C" w:rsidP="00512A3C" w14:paraId="5FE302E3" w14:textId="77777777">
            <w:pPr>
              <w:rPr>
                <w:rFonts w:ascii="Times New Roman" w:hAnsi="Times New Roman"/>
                <w:color w:val="000000"/>
                <w:sz w:val="20"/>
              </w:rPr>
            </w:pPr>
          </w:p>
        </w:tc>
        <w:tc>
          <w:tcPr>
            <w:tcW w:w="800" w:type="dxa"/>
            <w:vMerge/>
            <w:tcBorders>
              <w:top w:val="nil"/>
              <w:left w:val="single" w:sz="8" w:space="0" w:color="auto"/>
              <w:bottom w:val="single" w:sz="8" w:space="0" w:color="auto"/>
              <w:right w:val="single" w:sz="8" w:space="0" w:color="auto"/>
            </w:tcBorders>
            <w:vAlign w:val="center"/>
            <w:hideMark/>
          </w:tcPr>
          <w:p w:rsidR="0093453C" w:rsidRPr="0093453C" w:rsidP="00512A3C" w14:paraId="22F2ACFC" w14:textId="77777777">
            <w:pPr>
              <w:rPr>
                <w:rFonts w:ascii="Times New Roman" w:hAnsi="Times New Roman"/>
                <w:color w:val="000000"/>
                <w:sz w:val="20"/>
              </w:rPr>
            </w:pPr>
          </w:p>
        </w:tc>
        <w:tc>
          <w:tcPr>
            <w:tcW w:w="1400" w:type="dxa"/>
            <w:vMerge/>
            <w:tcBorders>
              <w:top w:val="nil"/>
              <w:left w:val="single" w:sz="8" w:space="0" w:color="auto"/>
              <w:bottom w:val="single" w:sz="8" w:space="0" w:color="auto"/>
              <w:right w:val="single" w:sz="8" w:space="0" w:color="auto"/>
            </w:tcBorders>
            <w:vAlign w:val="center"/>
            <w:hideMark/>
          </w:tcPr>
          <w:p w:rsidR="0093453C" w:rsidRPr="0093453C" w:rsidP="00512A3C" w14:paraId="52E31650" w14:textId="77777777">
            <w:pPr>
              <w:rPr>
                <w:rFonts w:ascii="Times New Roman" w:hAnsi="Times New Roman"/>
                <w:color w:val="000000"/>
                <w:sz w:val="20"/>
              </w:rPr>
            </w:pPr>
          </w:p>
        </w:tc>
        <w:tc>
          <w:tcPr>
            <w:tcW w:w="36" w:type="dxa"/>
            <w:tcBorders>
              <w:top w:val="nil"/>
              <w:left w:val="nil"/>
              <w:bottom w:val="nil"/>
              <w:right w:val="nil"/>
            </w:tcBorders>
            <w:noWrap/>
            <w:vAlign w:val="bottom"/>
            <w:hideMark/>
          </w:tcPr>
          <w:p w:rsidR="0093453C" w:rsidRPr="0093453C" w:rsidP="00512A3C" w14:paraId="6CDBE1F0" w14:textId="77777777">
            <w:pPr>
              <w:jc w:val="center"/>
              <w:rPr>
                <w:rFonts w:ascii="Times New Roman" w:hAnsi="Times New Roman"/>
                <w:color w:val="000000"/>
                <w:sz w:val="20"/>
              </w:rPr>
            </w:pPr>
          </w:p>
        </w:tc>
      </w:tr>
      <w:tr w14:paraId="1E446802" w14:textId="77777777" w:rsidTr="00512A3C">
        <w:tblPrEx>
          <w:tblW w:w="10236" w:type="dxa"/>
          <w:tblCellMar>
            <w:top w:w="15" w:type="dxa"/>
          </w:tblCellMar>
          <w:tblLook w:val="04A0"/>
        </w:tblPrEx>
        <w:trPr>
          <w:trHeight w:val="840"/>
        </w:trPr>
        <w:tc>
          <w:tcPr>
            <w:tcW w:w="2742" w:type="dxa"/>
            <w:tcBorders>
              <w:top w:val="nil"/>
              <w:left w:val="single" w:sz="8" w:space="0" w:color="auto"/>
              <w:bottom w:val="single" w:sz="8" w:space="0" w:color="auto"/>
              <w:right w:val="single" w:sz="8" w:space="0" w:color="auto"/>
            </w:tcBorders>
            <w:vAlign w:val="center"/>
            <w:hideMark/>
          </w:tcPr>
          <w:p w:rsidR="0093453C" w:rsidRPr="0093453C" w:rsidP="00512A3C" w14:paraId="69D23A38" w14:textId="77777777">
            <w:pPr>
              <w:rPr>
                <w:rFonts w:ascii="Times New Roman" w:hAnsi="Times New Roman"/>
                <w:color w:val="000000"/>
                <w:sz w:val="20"/>
              </w:rPr>
            </w:pPr>
            <w:r w:rsidRPr="0093453C">
              <w:rPr>
                <w:rFonts w:ascii="Times New Roman" w:hAnsi="Times New Roman"/>
                <w:color w:val="000000"/>
                <w:sz w:val="20"/>
              </w:rPr>
              <w:t>1. Application for Consent to Retire or Reduce Capital (Mandatory)</w:t>
            </w:r>
          </w:p>
        </w:tc>
        <w:tc>
          <w:tcPr>
            <w:tcW w:w="860" w:type="dxa"/>
            <w:tcBorders>
              <w:top w:val="nil"/>
              <w:left w:val="nil"/>
              <w:bottom w:val="single" w:sz="8" w:space="0" w:color="auto"/>
              <w:right w:val="single" w:sz="8" w:space="0" w:color="auto"/>
            </w:tcBorders>
            <w:vAlign w:val="center"/>
            <w:hideMark/>
          </w:tcPr>
          <w:p w:rsidR="0093453C" w:rsidRPr="0093453C" w:rsidP="00512A3C" w14:paraId="41105F65" w14:textId="77777777">
            <w:pPr>
              <w:jc w:val="center"/>
              <w:rPr>
                <w:rFonts w:ascii="Times New Roman" w:hAnsi="Times New Roman"/>
                <w:color w:val="000000"/>
                <w:sz w:val="20"/>
              </w:rPr>
            </w:pPr>
            <w:r w:rsidRPr="0093453C">
              <w:rPr>
                <w:rFonts w:ascii="Times New Roman" w:hAnsi="Times New Roman"/>
                <w:color w:val="000000"/>
                <w:sz w:val="20"/>
              </w:rPr>
              <w:t>100.00</w:t>
            </w:r>
          </w:p>
        </w:tc>
        <w:tc>
          <w:tcPr>
            <w:tcW w:w="920" w:type="dxa"/>
            <w:tcBorders>
              <w:top w:val="nil"/>
              <w:left w:val="nil"/>
              <w:bottom w:val="single" w:sz="8" w:space="0" w:color="auto"/>
              <w:right w:val="single" w:sz="8" w:space="0" w:color="auto"/>
            </w:tcBorders>
            <w:vAlign w:val="center"/>
            <w:hideMark/>
          </w:tcPr>
          <w:p w:rsidR="0093453C" w:rsidRPr="0093453C" w:rsidP="00512A3C" w14:paraId="2C28727F" w14:textId="77777777">
            <w:pPr>
              <w:jc w:val="center"/>
              <w:rPr>
                <w:rFonts w:ascii="Times New Roman" w:hAnsi="Times New Roman"/>
                <w:color w:val="000000"/>
                <w:sz w:val="20"/>
              </w:rPr>
            </w:pPr>
            <w:r w:rsidRPr="0093453C">
              <w:rPr>
                <w:rFonts w:ascii="Times New Roman" w:hAnsi="Times New Roman"/>
                <w:color w:val="000000"/>
                <w:sz w:val="20"/>
              </w:rPr>
              <w:t>50</w:t>
            </w:r>
          </w:p>
        </w:tc>
        <w:tc>
          <w:tcPr>
            <w:tcW w:w="820" w:type="dxa"/>
            <w:tcBorders>
              <w:top w:val="nil"/>
              <w:left w:val="nil"/>
              <w:bottom w:val="single" w:sz="8" w:space="0" w:color="auto"/>
              <w:right w:val="single" w:sz="8" w:space="0" w:color="auto"/>
            </w:tcBorders>
            <w:vAlign w:val="center"/>
            <w:hideMark/>
          </w:tcPr>
          <w:p w:rsidR="0093453C" w:rsidRPr="0093453C" w:rsidP="00512A3C" w14:paraId="26BD2C95" w14:textId="77777777">
            <w:pPr>
              <w:jc w:val="center"/>
              <w:rPr>
                <w:rFonts w:ascii="Times New Roman" w:hAnsi="Times New Roman"/>
                <w:color w:val="000000"/>
                <w:sz w:val="20"/>
              </w:rPr>
            </w:pPr>
            <w:r w:rsidRPr="0093453C">
              <w:rPr>
                <w:rFonts w:ascii="Times New Roman" w:hAnsi="Times New Roman"/>
                <w:color w:val="000000"/>
                <w:sz w:val="20"/>
              </w:rPr>
              <w:t>40</w:t>
            </w:r>
          </w:p>
        </w:tc>
        <w:tc>
          <w:tcPr>
            <w:tcW w:w="900" w:type="dxa"/>
            <w:tcBorders>
              <w:top w:val="nil"/>
              <w:left w:val="nil"/>
              <w:bottom w:val="single" w:sz="8" w:space="0" w:color="auto"/>
              <w:right w:val="single" w:sz="8" w:space="0" w:color="auto"/>
            </w:tcBorders>
            <w:vAlign w:val="center"/>
            <w:hideMark/>
          </w:tcPr>
          <w:p w:rsidR="0093453C" w:rsidRPr="0093453C" w:rsidP="00512A3C" w14:paraId="42641DAE" w14:textId="77777777">
            <w:pPr>
              <w:jc w:val="center"/>
              <w:rPr>
                <w:rFonts w:ascii="Times New Roman" w:hAnsi="Times New Roman"/>
                <w:color w:val="000000"/>
                <w:sz w:val="20"/>
              </w:rPr>
            </w:pPr>
            <w:r w:rsidRPr="0093453C">
              <w:rPr>
                <w:rFonts w:ascii="Times New Roman" w:hAnsi="Times New Roman"/>
                <w:color w:val="000000"/>
                <w:sz w:val="20"/>
              </w:rPr>
              <w:t>0</w:t>
            </w:r>
          </w:p>
        </w:tc>
        <w:tc>
          <w:tcPr>
            <w:tcW w:w="798" w:type="dxa"/>
            <w:tcBorders>
              <w:top w:val="nil"/>
              <w:left w:val="nil"/>
              <w:bottom w:val="single" w:sz="8" w:space="0" w:color="auto"/>
              <w:right w:val="single" w:sz="8" w:space="0" w:color="auto"/>
            </w:tcBorders>
            <w:vAlign w:val="center"/>
            <w:hideMark/>
          </w:tcPr>
          <w:p w:rsidR="0093453C" w:rsidRPr="0093453C" w:rsidP="00512A3C" w14:paraId="15D375FA" w14:textId="77777777">
            <w:pPr>
              <w:jc w:val="center"/>
              <w:rPr>
                <w:rFonts w:ascii="Times New Roman" w:hAnsi="Times New Roman"/>
                <w:color w:val="000000"/>
                <w:sz w:val="20"/>
              </w:rPr>
            </w:pPr>
            <w:r w:rsidRPr="0093453C">
              <w:rPr>
                <w:rFonts w:ascii="Times New Roman" w:hAnsi="Times New Roman"/>
                <w:color w:val="000000"/>
                <w:sz w:val="20"/>
              </w:rPr>
              <w:t>0</w:t>
            </w:r>
          </w:p>
        </w:tc>
        <w:tc>
          <w:tcPr>
            <w:tcW w:w="960" w:type="dxa"/>
            <w:tcBorders>
              <w:top w:val="nil"/>
              <w:left w:val="nil"/>
              <w:bottom w:val="single" w:sz="8" w:space="0" w:color="auto"/>
              <w:right w:val="single" w:sz="8" w:space="0" w:color="auto"/>
            </w:tcBorders>
            <w:vAlign w:val="center"/>
            <w:hideMark/>
          </w:tcPr>
          <w:p w:rsidR="0093453C" w:rsidRPr="0093453C" w:rsidP="00512A3C" w14:paraId="6C61C285" w14:textId="77777777">
            <w:pPr>
              <w:jc w:val="center"/>
              <w:rPr>
                <w:rFonts w:ascii="Times New Roman" w:hAnsi="Times New Roman"/>
                <w:color w:val="000000"/>
                <w:sz w:val="20"/>
              </w:rPr>
            </w:pPr>
            <w:r w:rsidRPr="0093453C">
              <w:rPr>
                <w:rFonts w:ascii="Times New Roman" w:hAnsi="Times New Roman"/>
                <w:color w:val="000000"/>
                <w:sz w:val="20"/>
              </w:rPr>
              <w:t>0</w:t>
            </w:r>
          </w:p>
        </w:tc>
        <w:tc>
          <w:tcPr>
            <w:tcW w:w="800" w:type="dxa"/>
            <w:tcBorders>
              <w:top w:val="nil"/>
              <w:left w:val="nil"/>
              <w:bottom w:val="single" w:sz="8" w:space="0" w:color="auto"/>
              <w:right w:val="single" w:sz="8" w:space="0" w:color="auto"/>
            </w:tcBorders>
            <w:vAlign w:val="center"/>
            <w:hideMark/>
          </w:tcPr>
          <w:p w:rsidR="0093453C" w:rsidRPr="0093453C" w:rsidP="00512A3C" w14:paraId="7D706C30" w14:textId="77777777">
            <w:pPr>
              <w:jc w:val="center"/>
              <w:rPr>
                <w:rFonts w:ascii="Times New Roman" w:hAnsi="Times New Roman"/>
                <w:color w:val="000000"/>
                <w:sz w:val="20"/>
              </w:rPr>
            </w:pPr>
            <w:r w:rsidRPr="0093453C">
              <w:rPr>
                <w:rFonts w:ascii="Times New Roman" w:hAnsi="Times New Roman"/>
                <w:color w:val="000000"/>
                <w:sz w:val="20"/>
              </w:rPr>
              <w:t>10</w:t>
            </w:r>
          </w:p>
        </w:tc>
        <w:tc>
          <w:tcPr>
            <w:tcW w:w="1400" w:type="dxa"/>
            <w:tcBorders>
              <w:top w:val="nil"/>
              <w:left w:val="nil"/>
              <w:bottom w:val="single" w:sz="8" w:space="0" w:color="auto"/>
              <w:right w:val="single" w:sz="8" w:space="0" w:color="auto"/>
            </w:tcBorders>
            <w:vAlign w:val="center"/>
            <w:hideMark/>
          </w:tcPr>
          <w:p w:rsidR="0093453C" w:rsidRPr="0093453C" w:rsidP="00512A3C" w14:paraId="5CF361A6" w14:textId="77777777">
            <w:pPr>
              <w:ind w:firstLine="200" w:firstLineChars="100"/>
              <w:jc w:val="right"/>
              <w:rPr>
                <w:rFonts w:ascii="Times New Roman" w:hAnsi="Times New Roman"/>
                <w:color w:val="000000"/>
                <w:sz w:val="20"/>
              </w:rPr>
            </w:pPr>
            <w:r w:rsidRPr="0093453C">
              <w:rPr>
                <w:rFonts w:ascii="Times New Roman" w:hAnsi="Times New Roman"/>
                <w:color w:val="000000"/>
                <w:sz w:val="20"/>
              </w:rPr>
              <w:t xml:space="preserve">$155.51 </w:t>
            </w:r>
          </w:p>
        </w:tc>
        <w:tc>
          <w:tcPr>
            <w:tcW w:w="36" w:type="dxa"/>
            <w:vAlign w:val="center"/>
            <w:hideMark/>
          </w:tcPr>
          <w:p w:rsidR="0093453C" w:rsidRPr="0093453C" w:rsidP="00512A3C" w14:paraId="7FF61303" w14:textId="77777777">
            <w:pPr>
              <w:rPr>
                <w:rFonts w:ascii="Times New Roman" w:hAnsi="Times New Roman"/>
                <w:sz w:val="20"/>
              </w:rPr>
            </w:pPr>
          </w:p>
        </w:tc>
      </w:tr>
      <w:tr w14:paraId="10E8C7DD" w14:textId="77777777" w:rsidTr="003338C3">
        <w:tblPrEx>
          <w:tblW w:w="10236" w:type="dxa"/>
          <w:tblCellMar>
            <w:top w:w="15" w:type="dxa"/>
          </w:tblCellMar>
          <w:tblLook w:val="04A0"/>
        </w:tblPrEx>
        <w:trPr>
          <w:trHeight w:val="300"/>
        </w:trPr>
        <w:tc>
          <w:tcPr>
            <w:tcW w:w="8800" w:type="dxa"/>
            <w:gridSpan w:val="8"/>
            <w:tcBorders>
              <w:top w:val="single" w:sz="8" w:space="0" w:color="auto"/>
              <w:left w:val="single" w:sz="8" w:space="0" w:color="auto"/>
              <w:bottom w:val="nil"/>
              <w:right w:val="single" w:sz="8" w:space="0" w:color="auto"/>
            </w:tcBorders>
            <w:shd w:val="clear" w:color="auto" w:fill="F2F2F2" w:themeFill="background1" w:themeFillShade="F2"/>
            <w:vAlign w:val="center"/>
            <w:hideMark/>
          </w:tcPr>
          <w:p w:rsidR="0093453C" w:rsidRPr="0093453C" w:rsidP="00512A3C" w14:paraId="4156C967" w14:textId="77777777">
            <w:pPr>
              <w:jc w:val="right"/>
              <w:rPr>
                <w:rFonts w:ascii="Times New Roman" w:hAnsi="Times New Roman"/>
                <w:b/>
                <w:bCs/>
                <w:i/>
                <w:iCs/>
                <w:color w:val="000000"/>
                <w:sz w:val="20"/>
              </w:rPr>
            </w:pPr>
            <w:r w:rsidRPr="0093453C">
              <w:rPr>
                <w:rFonts w:ascii="Times New Roman" w:hAnsi="Times New Roman"/>
                <w:b/>
                <w:bCs/>
                <w:i/>
                <w:iCs/>
                <w:color w:val="000000"/>
                <w:sz w:val="20"/>
              </w:rPr>
              <w:t>Weighted Average Hourly Compensation Rate:</w:t>
            </w:r>
          </w:p>
        </w:tc>
        <w:tc>
          <w:tcPr>
            <w:tcW w:w="1400" w:type="dxa"/>
            <w:tcBorders>
              <w:top w:val="nil"/>
              <w:left w:val="nil"/>
              <w:bottom w:val="nil"/>
              <w:right w:val="single" w:sz="8" w:space="0" w:color="auto"/>
            </w:tcBorders>
            <w:shd w:val="clear" w:color="auto" w:fill="F2F2F2" w:themeFill="background1" w:themeFillShade="F2"/>
            <w:vAlign w:val="center"/>
            <w:hideMark/>
          </w:tcPr>
          <w:p w:rsidR="0093453C" w:rsidRPr="0093453C" w:rsidP="00512A3C" w14:paraId="3979427E" w14:textId="77777777">
            <w:pPr>
              <w:ind w:firstLine="200" w:firstLineChars="100"/>
              <w:jc w:val="right"/>
              <w:rPr>
                <w:rFonts w:ascii="Times New Roman" w:hAnsi="Times New Roman"/>
                <w:b/>
                <w:bCs/>
                <w:i/>
                <w:iCs/>
                <w:color w:val="000000"/>
                <w:sz w:val="20"/>
              </w:rPr>
            </w:pPr>
            <w:r w:rsidRPr="0093453C">
              <w:rPr>
                <w:rFonts w:ascii="Times New Roman" w:hAnsi="Times New Roman"/>
                <w:b/>
                <w:bCs/>
                <w:i/>
                <w:iCs/>
                <w:color w:val="000000"/>
                <w:sz w:val="20"/>
              </w:rPr>
              <w:t xml:space="preserve">$155.51 </w:t>
            </w:r>
          </w:p>
        </w:tc>
        <w:tc>
          <w:tcPr>
            <w:tcW w:w="36" w:type="dxa"/>
            <w:vAlign w:val="center"/>
            <w:hideMark/>
          </w:tcPr>
          <w:p w:rsidR="0093453C" w:rsidRPr="0093453C" w:rsidP="00512A3C" w14:paraId="7BF8BFF3" w14:textId="77777777">
            <w:pPr>
              <w:rPr>
                <w:rFonts w:ascii="Times New Roman" w:hAnsi="Times New Roman"/>
                <w:sz w:val="20"/>
              </w:rPr>
            </w:pPr>
          </w:p>
        </w:tc>
      </w:tr>
      <w:tr w14:paraId="3446D7CC" w14:textId="77777777" w:rsidTr="00512A3C">
        <w:tblPrEx>
          <w:tblW w:w="10236" w:type="dxa"/>
          <w:tblCellMar>
            <w:top w:w="15" w:type="dxa"/>
          </w:tblCellMar>
          <w:tblLook w:val="04A0"/>
        </w:tblPrEx>
        <w:trPr>
          <w:trHeight w:val="252"/>
        </w:trPr>
        <w:tc>
          <w:tcPr>
            <w:tcW w:w="10200" w:type="dxa"/>
            <w:gridSpan w:val="9"/>
            <w:vMerge w:val="restart"/>
            <w:tcBorders>
              <w:top w:val="single" w:sz="8" w:space="0" w:color="auto"/>
              <w:left w:val="single" w:sz="8" w:space="0" w:color="auto"/>
              <w:bottom w:val="nil"/>
              <w:right w:val="single" w:sz="8" w:space="0" w:color="000000"/>
            </w:tcBorders>
            <w:vAlign w:val="center"/>
            <w:hideMark/>
          </w:tcPr>
          <w:p w:rsidR="0093453C" w:rsidRPr="0093453C" w:rsidP="00512A3C" w14:paraId="4D48230E" w14:textId="77777777">
            <w:pPr>
              <w:rPr>
                <w:rFonts w:ascii="Times New Roman" w:hAnsi="Times New Roman"/>
                <w:color w:val="000000"/>
                <w:sz w:val="20"/>
              </w:rPr>
            </w:pPr>
            <w:r w:rsidRPr="0093453C">
              <w:rPr>
                <w:rFonts w:ascii="Times New Roman" w:hAnsi="Times New Roman"/>
                <w:color w:val="000000"/>
                <w:sz w:val="20"/>
              </w:rPr>
              <w:t xml:space="preserve">Source: Bureau of Labor Statistics: 'National Industry-Specific Occupational Employment and Wage Estimates: Industry: Credit Intermediation and Related Activities (5221 And 5223 only)' (May 2024), Employer Cost of Employee Compensation (March 2024), and Employment Cost Index (March 2024 and March 2025). Standard Occupational Classification (SOC) Codes: Exec. And </w:t>
            </w:r>
            <w:r w:rsidRPr="0093453C">
              <w:rPr>
                <w:rFonts w:ascii="Times New Roman" w:hAnsi="Times New Roman"/>
                <w:color w:val="000000"/>
                <w:sz w:val="20"/>
              </w:rPr>
              <w:t>Mgr</w:t>
            </w:r>
            <w:r w:rsidRPr="0093453C">
              <w:rPr>
                <w:rFonts w:ascii="Times New Roman" w:hAnsi="Times New Roman"/>
                <w:color w:val="000000"/>
                <w:sz w:val="20"/>
              </w:rPr>
              <w:t xml:space="preserve"> = 11-0000 Management Occupations; Lawyer = 23-0000 Legal Occupations; </w:t>
            </w:r>
            <w:r w:rsidRPr="0093453C">
              <w:rPr>
                <w:rFonts w:ascii="Times New Roman" w:hAnsi="Times New Roman"/>
                <w:color w:val="000000"/>
                <w:sz w:val="20"/>
              </w:rPr>
              <w:t>Compl</w:t>
            </w:r>
            <w:r w:rsidRPr="0093453C">
              <w:rPr>
                <w:rFonts w:ascii="Times New Roman" w:hAnsi="Times New Roman"/>
                <w:color w:val="000000"/>
                <w:sz w:val="20"/>
              </w:rPr>
              <w:t xml:space="preserve">. Ofc. = 13-1040 Compliance Officers; IT = 15-0000 Computer and Mathematical Occupations; Fin. </w:t>
            </w:r>
            <w:r w:rsidRPr="0093453C">
              <w:rPr>
                <w:rFonts w:ascii="Times New Roman" w:hAnsi="Times New Roman"/>
                <w:color w:val="000000"/>
                <w:sz w:val="20"/>
              </w:rPr>
              <w:t>Anlst</w:t>
            </w:r>
            <w:r w:rsidRPr="0093453C">
              <w:rPr>
                <w:rFonts w:ascii="Times New Roman" w:hAnsi="Times New Roman"/>
                <w:color w:val="000000"/>
                <w:sz w:val="20"/>
              </w:rPr>
              <w:t xml:space="preserve">. = 13-2051 Financial and Investment Analysts; Clerical = 43-0000 Office and Administrative Support Occupations. </w:t>
            </w:r>
          </w:p>
        </w:tc>
        <w:tc>
          <w:tcPr>
            <w:tcW w:w="36" w:type="dxa"/>
            <w:vAlign w:val="center"/>
            <w:hideMark/>
          </w:tcPr>
          <w:p w:rsidR="0093453C" w:rsidRPr="0093453C" w:rsidP="00512A3C" w14:paraId="6375ABA5" w14:textId="77777777">
            <w:pPr>
              <w:rPr>
                <w:rFonts w:ascii="Times New Roman" w:hAnsi="Times New Roman"/>
                <w:sz w:val="20"/>
              </w:rPr>
            </w:pPr>
          </w:p>
        </w:tc>
      </w:tr>
      <w:tr w14:paraId="2F55BDAD" w14:textId="77777777" w:rsidTr="00512A3C">
        <w:tblPrEx>
          <w:tblW w:w="10236" w:type="dxa"/>
          <w:tblCellMar>
            <w:top w:w="15" w:type="dxa"/>
          </w:tblCellMar>
          <w:tblLook w:val="04A0"/>
        </w:tblPrEx>
        <w:trPr>
          <w:trHeight w:val="288"/>
        </w:trPr>
        <w:tc>
          <w:tcPr>
            <w:tcW w:w="10200" w:type="dxa"/>
            <w:gridSpan w:val="9"/>
            <w:vMerge/>
            <w:tcBorders>
              <w:top w:val="single" w:sz="8" w:space="0" w:color="auto"/>
              <w:left w:val="single" w:sz="8" w:space="0" w:color="auto"/>
              <w:bottom w:val="nil"/>
              <w:right w:val="single" w:sz="8" w:space="0" w:color="000000"/>
            </w:tcBorders>
            <w:vAlign w:val="center"/>
            <w:hideMark/>
          </w:tcPr>
          <w:p w:rsidR="0093453C" w:rsidRPr="0093453C" w:rsidP="00512A3C" w14:paraId="1CD17472" w14:textId="77777777">
            <w:pPr>
              <w:rPr>
                <w:rFonts w:ascii="Times New Roman" w:hAnsi="Times New Roman"/>
                <w:color w:val="000000"/>
                <w:sz w:val="20"/>
              </w:rPr>
            </w:pPr>
          </w:p>
        </w:tc>
        <w:tc>
          <w:tcPr>
            <w:tcW w:w="36" w:type="dxa"/>
            <w:tcBorders>
              <w:top w:val="nil"/>
              <w:left w:val="nil"/>
              <w:bottom w:val="nil"/>
              <w:right w:val="nil"/>
            </w:tcBorders>
            <w:noWrap/>
            <w:vAlign w:val="bottom"/>
            <w:hideMark/>
          </w:tcPr>
          <w:p w:rsidR="0093453C" w:rsidRPr="0093453C" w:rsidP="00512A3C" w14:paraId="2A6CE9E5" w14:textId="77777777">
            <w:pPr>
              <w:rPr>
                <w:rFonts w:ascii="Times New Roman" w:hAnsi="Times New Roman"/>
                <w:color w:val="000000"/>
                <w:sz w:val="20"/>
              </w:rPr>
            </w:pPr>
          </w:p>
        </w:tc>
      </w:tr>
      <w:tr w14:paraId="7BEFCA13" w14:textId="77777777" w:rsidTr="00512A3C">
        <w:tblPrEx>
          <w:tblW w:w="10236" w:type="dxa"/>
          <w:tblCellMar>
            <w:top w:w="15" w:type="dxa"/>
          </w:tblCellMar>
          <w:tblLook w:val="04A0"/>
        </w:tblPrEx>
        <w:trPr>
          <w:trHeight w:val="288"/>
        </w:trPr>
        <w:tc>
          <w:tcPr>
            <w:tcW w:w="10200" w:type="dxa"/>
            <w:gridSpan w:val="9"/>
            <w:vMerge/>
            <w:tcBorders>
              <w:top w:val="single" w:sz="8" w:space="0" w:color="auto"/>
              <w:left w:val="single" w:sz="8" w:space="0" w:color="auto"/>
              <w:bottom w:val="nil"/>
              <w:right w:val="single" w:sz="8" w:space="0" w:color="000000"/>
            </w:tcBorders>
            <w:vAlign w:val="center"/>
            <w:hideMark/>
          </w:tcPr>
          <w:p w:rsidR="0093453C" w:rsidRPr="0093453C" w:rsidP="00512A3C" w14:paraId="075A5444" w14:textId="77777777">
            <w:pPr>
              <w:rPr>
                <w:rFonts w:ascii="Times New Roman" w:hAnsi="Times New Roman"/>
                <w:color w:val="000000"/>
                <w:sz w:val="20"/>
              </w:rPr>
            </w:pPr>
          </w:p>
        </w:tc>
        <w:tc>
          <w:tcPr>
            <w:tcW w:w="36" w:type="dxa"/>
            <w:tcBorders>
              <w:top w:val="nil"/>
              <w:left w:val="nil"/>
              <w:bottom w:val="nil"/>
              <w:right w:val="nil"/>
            </w:tcBorders>
            <w:noWrap/>
            <w:vAlign w:val="bottom"/>
            <w:hideMark/>
          </w:tcPr>
          <w:p w:rsidR="0093453C" w:rsidRPr="0093453C" w:rsidP="00512A3C" w14:paraId="2F5F73F2" w14:textId="77777777">
            <w:pPr>
              <w:rPr>
                <w:rFonts w:ascii="Times New Roman" w:hAnsi="Times New Roman"/>
                <w:sz w:val="20"/>
              </w:rPr>
            </w:pPr>
          </w:p>
        </w:tc>
      </w:tr>
      <w:tr w14:paraId="2D8CB2ED" w14:textId="77777777" w:rsidTr="00512A3C">
        <w:tblPrEx>
          <w:tblW w:w="10236" w:type="dxa"/>
          <w:tblCellMar>
            <w:top w:w="15" w:type="dxa"/>
          </w:tblCellMar>
          <w:tblLook w:val="04A0"/>
        </w:tblPrEx>
        <w:trPr>
          <w:trHeight w:val="312"/>
        </w:trPr>
        <w:tc>
          <w:tcPr>
            <w:tcW w:w="10200" w:type="dxa"/>
            <w:gridSpan w:val="9"/>
            <w:vMerge/>
            <w:tcBorders>
              <w:top w:val="single" w:sz="8" w:space="0" w:color="auto"/>
              <w:left w:val="single" w:sz="8" w:space="0" w:color="auto"/>
              <w:bottom w:val="nil"/>
              <w:right w:val="single" w:sz="8" w:space="0" w:color="000000"/>
            </w:tcBorders>
            <w:vAlign w:val="center"/>
            <w:hideMark/>
          </w:tcPr>
          <w:p w:rsidR="0093453C" w:rsidRPr="0093453C" w:rsidP="00512A3C" w14:paraId="39283FD3" w14:textId="77777777">
            <w:pPr>
              <w:rPr>
                <w:rFonts w:ascii="Times New Roman" w:hAnsi="Times New Roman"/>
                <w:color w:val="000000"/>
                <w:sz w:val="20"/>
              </w:rPr>
            </w:pPr>
          </w:p>
        </w:tc>
        <w:tc>
          <w:tcPr>
            <w:tcW w:w="36" w:type="dxa"/>
            <w:tcBorders>
              <w:top w:val="nil"/>
              <w:left w:val="nil"/>
              <w:bottom w:val="nil"/>
              <w:right w:val="nil"/>
            </w:tcBorders>
            <w:noWrap/>
            <w:vAlign w:val="bottom"/>
            <w:hideMark/>
          </w:tcPr>
          <w:p w:rsidR="0093453C" w:rsidRPr="0093453C" w:rsidP="00512A3C" w14:paraId="5825647B" w14:textId="77777777">
            <w:pPr>
              <w:rPr>
                <w:rFonts w:ascii="Times New Roman" w:hAnsi="Times New Roman"/>
                <w:sz w:val="20"/>
              </w:rPr>
            </w:pPr>
          </w:p>
        </w:tc>
      </w:tr>
      <w:tr w14:paraId="38C8A6D8" w14:textId="77777777" w:rsidTr="00512A3C">
        <w:tblPrEx>
          <w:tblW w:w="10236" w:type="dxa"/>
          <w:tblCellMar>
            <w:top w:w="15" w:type="dxa"/>
          </w:tblCellMar>
          <w:tblLook w:val="04A0"/>
        </w:tblPrEx>
        <w:trPr>
          <w:trHeight w:val="348"/>
        </w:trPr>
        <w:tc>
          <w:tcPr>
            <w:tcW w:w="10200" w:type="dxa"/>
            <w:gridSpan w:val="9"/>
            <w:vMerge w:val="restart"/>
            <w:tcBorders>
              <w:top w:val="nil"/>
              <w:left w:val="single" w:sz="8" w:space="0" w:color="auto"/>
              <w:bottom w:val="single" w:sz="8" w:space="0" w:color="auto"/>
              <w:right w:val="single" w:sz="8" w:space="0" w:color="auto"/>
            </w:tcBorders>
            <w:vAlign w:val="center"/>
            <w:hideMark/>
          </w:tcPr>
          <w:p w:rsidR="0093453C" w:rsidRPr="0093453C" w:rsidP="00512A3C" w14:paraId="09B90BB0" w14:textId="77777777">
            <w:pPr>
              <w:rPr>
                <w:rFonts w:ascii="Times New Roman" w:hAnsi="Times New Roman"/>
                <w:color w:val="000000"/>
                <w:sz w:val="20"/>
              </w:rPr>
            </w:pPr>
            <w:r w:rsidRPr="0093453C">
              <w:rPr>
                <w:rFonts w:ascii="Times New Roman" w:hAnsi="Times New Roman"/>
                <w:color w:val="000000"/>
                <w:sz w:val="20"/>
              </w:rPr>
              <w:t>Note: The estimated hourly compensation rate for a given IC is the average of the hourly compensation rates for the occupations used to comply with that IC, weighted by the estimated share of hours spent by each occupation. The weighted average hourly compensation rate for the entire ICR is the average of the estimated hourly compensation rates for all ICs, weighted by the share of hourly burden for IC. These hourly weights, as shown in the “Hourly Weight” column of this table, are the quotients of the estimated number of annual burden hours for each IC and the total estimated number of annual burden hours across all ICs.</w:t>
            </w:r>
          </w:p>
        </w:tc>
        <w:tc>
          <w:tcPr>
            <w:tcW w:w="36" w:type="dxa"/>
            <w:vAlign w:val="center"/>
            <w:hideMark/>
          </w:tcPr>
          <w:p w:rsidR="0093453C" w:rsidRPr="0093453C" w:rsidP="00512A3C" w14:paraId="1B020D65" w14:textId="77777777">
            <w:pPr>
              <w:rPr>
                <w:rFonts w:ascii="Times New Roman" w:hAnsi="Times New Roman"/>
                <w:sz w:val="20"/>
              </w:rPr>
            </w:pPr>
          </w:p>
        </w:tc>
      </w:tr>
      <w:tr w14:paraId="38959F84" w14:textId="77777777" w:rsidTr="00512A3C">
        <w:tblPrEx>
          <w:tblW w:w="10236" w:type="dxa"/>
          <w:tblCellMar>
            <w:top w:w="15" w:type="dxa"/>
          </w:tblCellMar>
          <w:tblLook w:val="04A0"/>
        </w:tblPrEx>
        <w:trPr>
          <w:trHeight w:val="288"/>
        </w:trPr>
        <w:tc>
          <w:tcPr>
            <w:tcW w:w="10200" w:type="dxa"/>
            <w:gridSpan w:val="9"/>
            <w:vMerge/>
            <w:tcBorders>
              <w:top w:val="nil"/>
              <w:left w:val="single" w:sz="8" w:space="0" w:color="auto"/>
              <w:bottom w:val="single" w:sz="8" w:space="0" w:color="auto"/>
              <w:right w:val="single" w:sz="8" w:space="0" w:color="auto"/>
            </w:tcBorders>
            <w:vAlign w:val="center"/>
            <w:hideMark/>
          </w:tcPr>
          <w:p w:rsidR="0093453C" w:rsidRPr="0093453C" w:rsidP="00512A3C" w14:paraId="04B58D6E" w14:textId="77777777">
            <w:pPr>
              <w:rPr>
                <w:rFonts w:ascii="Times New Roman" w:hAnsi="Times New Roman"/>
                <w:color w:val="000000"/>
                <w:sz w:val="20"/>
              </w:rPr>
            </w:pPr>
          </w:p>
        </w:tc>
        <w:tc>
          <w:tcPr>
            <w:tcW w:w="36" w:type="dxa"/>
            <w:tcBorders>
              <w:top w:val="nil"/>
              <w:left w:val="nil"/>
              <w:bottom w:val="nil"/>
              <w:right w:val="nil"/>
            </w:tcBorders>
            <w:noWrap/>
            <w:vAlign w:val="bottom"/>
            <w:hideMark/>
          </w:tcPr>
          <w:p w:rsidR="0093453C" w:rsidRPr="0093453C" w:rsidP="00512A3C" w14:paraId="43FF6A16" w14:textId="77777777">
            <w:pPr>
              <w:rPr>
                <w:rFonts w:ascii="Times New Roman" w:hAnsi="Times New Roman"/>
                <w:color w:val="000000"/>
                <w:sz w:val="20"/>
              </w:rPr>
            </w:pPr>
          </w:p>
        </w:tc>
      </w:tr>
      <w:tr w14:paraId="3EB02441" w14:textId="77777777" w:rsidTr="00512A3C">
        <w:tblPrEx>
          <w:tblW w:w="10236" w:type="dxa"/>
          <w:tblCellMar>
            <w:top w:w="15" w:type="dxa"/>
          </w:tblCellMar>
          <w:tblLook w:val="04A0"/>
        </w:tblPrEx>
        <w:trPr>
          <w:trHeight w:val="288"/>
        </w:trPr>
        <w:tc>
          <w:tcPr>
            <w:tcW w:w="10200" w:type="dxa"/>
            <w:gridSpan w:val="9"/>
            <w:vMerge/>
            <w:tcBorders>
              <w:top w:val="nil"/>
              <w:left w:val="single" w:sz="8" w:space="0" w:color="auto"/>
              <w:bottom w:val="single" w:sz="8" w:space="0" w:color="auto"/>
              <w:right w:val="single" w:sz="8" w:space="0" w:color="auto"/>
            </w:tcBorders>
            <w:vAlign w:val="center"/>
            <w:hideMark/>
          </w:tcPr>
          <w:p w:rsidR="0093453C" w:rsidRPr="0093453C" w:rsidP="00512A3C" w14:paraId="5F155668" w14:textId="77777777">
            <w:pPr>
              <w:rPr>
                <w:rFonts w:ascii="Times New Roman" w:hAnsi="Times New Roman"/>
                <w:color w:val="000000"/>
                <w:sz w:val="20"/>
              </w:rPr>
            </w:pPr>
          </w:p>
        </w:tc>
        <w:tc>
          <w:tcPr>
            <w:tcW w:w="36" w:type="dxa"/>
            <w:tcBorders>
              <w:top w:val="nil"/>
              <w:left w:val="nil"/>
              <w:bottom w:val="nil"/>
              <w:right w:val="nil"/>
            </w:tcBorders>
            <w:noWrap/>
            <w:vAlign w:val="bottom"/>
            <w:hideMark/>
          </w:tcPr>
          <w:p w:rsidR="0093453C" w:rsidRPr="0093453C" w:rsidP="00512A3C" w14:paraId="50A0AA3F" w14:textId="77777777">
            <w:pPr>
              <w:rPr>
                <w:rFonts w:ascii="Times New Roman" w:hAnsi="Times New Roman"/>
                <w:sz w:val="20"/>
              </w:rPr>
            </w:pPr>
          </w:p>
        </w:tc>
      </w:tr>
      <w:tr w14:paraId="5A772AE6" w14:textId="77777777" w:rsidTr="00512A3C">
        <w:tblPrEx>
          <w:tblW w:w="10236" w:type="dxa"/>
          <w:tblCellMar>
            <w:top w:w="15" w:type="dxa"/>
          </w:tblCellMar>
          <w:tblLook w:val="04A0"/>
        </w:tblPrEx>
        <w:trPr>
          <w:trHeight w:val="300"/>
        </w:trPr>
        <w:tc>
          <w:tcPr>
            <w:tcW w:w="10200" w:type="dxa"/>
            <w:gridSpan w:val="9"/>
            <w:vMerge/>
            <w:tcBorders>
              <w:top w:val="nil"/>
              <w:left w:val="single" w:sz="8" w:space="0" w:color="auto"/>
              <w:bottom w:val="single" w:sz="8" w:space="0" w:color="auto"/>
              <w:right w:val="single" w:sz="8" w:space="0" w:color="auto"/>
            </w:tcBorders>
            <w:vAlign w:val="center"/>
            <w:hideMark/>
          </w:tcPr>
          <w:p w:rsidR="0093453C" w:rsidRPr="0093453C" w:rsidP="00512A3C" w14:paraId="066BA4A3" w14:textId="77777777">
            <w:pPr>
              <w:rPr>
                <w:rFonts w:ascii="Times New Roman" w:hAnsi="Times New Roman"/>
                <w:color w:val="000000"/>
                <w:sz w:val="20"/>
              </w:rPr>
            </w:pPr>
          </w:p>
        </w:tc>
        <w:tc>
          <w:tcPr>
            <w:tcW w:w="36" w:type="dxa"/>
            <w:tcBorders>
              <w:top w:val="nil"/>
              <w:left w:val="nil"/>
              <w:bottom w:val="nil"/>
              <w:right w:val="nil"/>
            </w:tcBorders>
            <w:noWrap/>
            <w:vAlign w:val="bottom"/>
            <w:hideMark/>
          </w:tcPr>
          <w:p w:rsidR="0093453C" w:rsidRPr="0093453C" w:rsidP="00512A3C" w14:paraId="6A97BE94" w14:textId="77777777">
            <w:pPr>
              <w:rPr>
                <w:rFonts w:ascii="Times New Roman" w:hAnsi="Times New Roman"/>
                <w:sz w:val="20"/>
              </w:rPr>
            </w:pPr>
          </w:p>
        </w:tc>
      </w:tr>
    </w:tbl>
    <w:p w:rsidR="00FD5E35" w:rsidRPr="00096835" w:rsidP="00C01FB0" w14:paraId="7E193199" w14:textId="5BA28B88">
      <w:pPr>
        <w:widowControl/>
        <w:rPr>
          <w:rFonts w:ascii="Times New Roman" w:hAnsi="Times New Roman"/>
          <w:sz w:val="20"/>
        </w:rPr>
      </w:pPr>
    </w:p>
    <w:p w:rsidR="00CC299C" w:rsidP="00C96990" w14:paraId="3520E4AD" w14:textId="77777777">
      <w:pPr>
        <w:ind w:left="720"/>
        <w:jc w:val="center"/>
        <w:rPr>
          <w:rFonts w:ascii="Times New Roman" w:hAnsi="Times New Roman"/>
        </w:rPr>
      </w:pPr>
    </w:p>
    <w:p w:rsidR="00C51CA5" w:rsidP="00C51CA5" w14:paraId="5509B9A4" w14:textId="124EECB7">
      <w:pPr>
        <w:pStyle w:val="CommentText"/>
        <w:ind w:left="1440"/>
        <w:rPr>
          <w:rStyle w:val="documentbody1"/>
          <w:color w:val="000000"/>
          <w:sz w:val="24"/>
          <w:szCs w:val="24"/>
          <w:u w:val="single"/>
        </w:rPr>
      </w:pPr>
      <w:r>
        <w:rPr>
          <w:rStyle w:val="documentbody1"/>
          <w:color w:val="000000"/>
          <w:sz w:val="24"/>
          <w:szCs w:val="24"/>
          <w:u w:val="single"/>
        </w:rPr>
        <w:br w:type="page"/>
      </w:r>
    </w:p>
    <w:tbl>
      <w:tblPr>
        <w:tblpPr w:leftFromText="180" w:rightFromText="180" w:vertAnchor="text" w:horzAnchor="margin" w:tblpXSpec="center" w:tblpY="269"/>
        <w:tblW w:w="10760" w:type="dxa"/>
        <w:tblLook w:val="04A0"/>
      </w:tblPr>
      <w:tblGrid>
        <w:gridCol w:w="2420"/>
        <w:gridCol w:w="3074"/>
        <w:gridCol w:w="3026"/>
        <w:gridCol w:w="2240"/>
      </w:tblGrid>
      <w:tr w14:paraId="346023BD" w14:textId="77777777" w:rsidTr="00512A3C">
        <w:tblPrEx>
          <w:tblW w:w="10760" w:type="dxa"/>
          <w:tblLook w:val="04A0"/>
        </w:tblPrEx>
        <w:trPr>
          <w:trHeight w:val="360"/>
        </w:trPr>
        <w:tc>
          <w:tcPr>
            <w:tcW w:w="10760" w:type="dxa"/>
            <w:gridSpan w:val="4"/>
            <w:tcBorders>
              <w:top w:val="single" w:sz="8" w:space="0" w:color="auto"/>
              <w:left w:val="single" w:sz="8" w:space="0" w:color="auto"/>
              <w:bottom w:val="single" w:sz="8" w:space="0" w:color="auto"/>
              <w:right w:val="single" w:sz="8" w:space="0" w:color="000000"/>
            </w:tcBorders>
            <w:noWrap/>
            <w:vAlign w:val="center"/>
            <w:hideMark/>
          </w:tcPr>
          <w:p w:rsidR="00C51CA5" w:rsidRPr="00C51CA5" w:rsidP="00512A3C" w14:paraId="78BE3765" w14:textId="720DF73B">
            <w:pPr>
              <w:jc w:val="center"/>
              <w:rPr>
                <w:rFonts w:ascii="Times New Roman" w:hAnsi="Times New Roman"/>
                <w:color w:val="000000"/>
                <w:sz w:val="20"/>
              </w:rPr>
            </w:pPr>
            <w:r w:rsidRPr="00C51CA5">
              <w:rPr>
                <w:rFonts w:ascii="Times New Roman" w:hAnsi="Times New Roman"/>
                <w:color w:val="000000"/>
                <w:sz w:val="20"/>
              </w:rPr>
              <w:t>Total Estimated Cost Burden (OMB No. 3064-0079)</w:t>
            </w:r>
          </w:p>
        </w:tc>
      </w:tr>
      <w:tr w14:paraId="7CBB0814" w14:textId="77777777" w:rsidTr="003338C3">
        <w:tblPrEx>
          <w:tblW w:w="10760" w:type="dxa"/>
          <w:tblLook w:val="04A0"/>
        </w:tblPrEx>
        <w:trPr>
          <w:trHeight w:val="600"/>
        </w:trPr>
        <w:tc>
          <w:tcPr>
            <w:tcW w:w="2420" w:type="dxa"/>
            <w:tcBorders>
              <w:top w:val="nil"/>
              <w:left w:val="single" w:sz="8" w:space="0" w:color="auto"/>
              <w:bottom w:val="single" w:sz="8" w:space="0" w:color="auto"/>
              <w:right w:val="single" w:sz="8" w:space="0" w:color="auto"/>
            </w:tcBorders>
            <w:shd w:val="clear" w:color="auto" w:fill="F2F2F2" w:themeFill="background1" w:themeFillShade="F2"/>
            <w:vAlign w:val="center"/>
            <w:hideMark/>
          </w:tcPr>
          <w:p w:rsidR="00C51CA5" w:rsidRPr="00C51CA5" w:rsidP="00512A3C" w14:paraId="6747E1D9" w14:textId="77777777">
            <w:pPr>
              <w:rPr>
                <w:rFonts w:ascii="Times New Roman" w:hAnsi="Times New Roman"/>
                <w:color w:val="000000"/>
                <w:sz w:val="20"/>
              </w:rPr>
            </w:pPr>
            <w:r w:rsidRPr="00C51CA5">
              <w:rPr>
                <w:rFonts w:ascii="Times New Roman" w:hAnsi="Times New Roman"/>
                <w:color w:val="000000"/>
                <w:sz w:val="20"/>
              </w:rPr>
              <w:t>Information Collection Request</w:t>
            </w:r>
          </w:p>
        </w:tc>
        <w:tc>
          <w:tcPr>
            <w:tcW w:w="3074" w:type="dxa"/>
            <w:tcBorders>
              <w:top w:val="nil"/>
              <w:left w:val="nil"/>
              <w:bottom w:val="single" w:sz="8" w:space="0" w:color="auto"/>
              <w:right w:val="single" w:sz="8" w:space="0" w:color="auto"/>
            </w:tcBorders>
            <w:shd w:val="clear" w:color="auto" w:fill="F2F2F2" w:themeFill="background1" w:themeFillShade="F2"/>
            <w:vAlign w:val="center"/>
            <w:hideMark/>
          </w:tcPr>
          <w:p w:rsidR="00C51CA5" w:rsidRPr="00C51CA5" w:rsidP="00512A3C" w14:paraId="4BB03A04" w14:textId="77777777">
            <w:pPr>
              <w:jc w:val="center"/>
              <w:rPr>
                <w:rFonts w:ascii="Times New Roman" w:hAnsi="Times New Roman"/>
                <w:color w:val="000000"/>
                <w:sz w:val="20"/>
              </w:rPr>
            </w:pPr>
            <w:r w:rsidRPr="00C51CA5">
              <w:rPr>
                <w:rFonts w:ascii="Times New Roman" w:hAnsi="Times New Roman"/>
                <w:color w:val="000000"/>
                <w:sz w:val="20"/>
              </w:rPr>
              <w:t>Annual Burden (Hours)</w:t>
            </w:r>
          </w:p>
        </w:tc>
        <w:tc>
          <w:tcPr>
            <w:tcW w:w="3026" w:type="dxa"/>
            <w:tcBorders>
              <w:top w:val="nil"/>
              <w:left w:val="nil"/>
              <w:bottom w:val="single" w:sz="8" w:space="0" w:color="auto"/>
              <w:right w:val="single" w:sz="8" w:space="0" w:color="auto"/>
            </w:tcBorders>
            <w:shd w:val="clear" w:color="auto" w:fill="F2F2F2" w:themeFill="background1" w:themeFillShade="F2"/>
            <w:vAlign w:val="center"/>
            <w:hideMark/>
          </w:tcPr>
          <w:p w:rsidR="00C51CA5" w:rsidRPr="00C51CA5" w:rsidP="00512A3C" w14:paraId="42AE92C8" w14:textId="77777777">
            <w:pPr>
              <w:jc w:val="center"/>
              <w:rPr>
                <w:rFonts w:ascii="Times New Roman" w:hAnsi="Times New Roman"/>
                <w:color w:val="000000"/>
                <w:sz w:val="20"/>
              </w:rPr>
            </w:pPr>
            <w:r w:rsidRPr="00C51CA5">
              <w:rPr>
                <w:rFonts w:ascii="Times New Roman" w:hAnsi="Times New Roman"/>
                <w:color w:val="000000"/>
                <w:sz w:val="20"/>
              </w:rPr>
              <w:t>Weighted Average Hourly Compensation Rate</w:t>
            </w:r>
          </w:p>
        </w:tc>
        <w:tc>
          <w:tcPr>
            <w:tcW w:w="2240" w:type="dxa"/>
            <w:tcBorders>
              <w:top w:val="nil"/>
              <w:left w:val="nil"/>
              <w:bottom w:val="single" w:sz="8" w:space="0" w:color="auto"/>
              <w:right w:val="single" w:sz="8" w:space="0" w:color="auto"/>
            </w:tcBorders>
            <w:shd w:val="clear" w:color="auto" w:fill="F2F2F2" w:themeFill="background1" w:themeFillShade="F2"/>
            <w:vAlign w:val="center"/>
            <w:hideMark/>
          </w:tcPr>
          <w:p w:rsidR="00C51CA5" w:rsidRPr="00C51CA5" w:rsidP="00512A3C" w14:paraId="3E41C8A4" w14:textId="77777777">
            <w:pPr>
              <w:jc w:val="center"/>
              <w:rPr>
                <w:rFonts w:ascii="Times New Roman" w:hAnsi="Times New Roman"/>
                <w:color w:val="000000"/>
                <w:sz w:val="20"/>
              </w:rPr>
            </w:pPr>
            <w:r w:rsidRPr="00C51CA5">
              <w:rPr>
                <w:rFonts w:ascii="Times New Roman" w:hAnsi="Times New Roman"/>
                <w:color w:val="000000"/>
                <w:sz w:val="20"/>
              </w:rPr>
              <w:t>Annual Respondent Cost</w:t>
            </w:r>
          </w:p>
        </w:tc>
      </w:tr>
      <w:tr w14:paraId="1CE8D7B8" w14:textId="77777777" w:rsidTr="00512A3C">
        <w:tblPrEx>
          <w:tblW w:w="10760" w:type="dxa"/>
          <w:tblLook w:val="04A0"/>
        </w:tblPrEx>
        <w:trPr>
          <w:trHeight w:val="864"/>
        </w:trPr>
        <w:tc>
          <w:tcPr>
            <w:tcW w:w="2420" w:type="dxa"/>
            <w:tcBorders>
              <w:top w:val="nil"/>
              <w:left w:val="single" w:sz="8" w:space="0" w:color="auto"/>
              <w:bottom w:val="single" w:sz="8" w:space="0" w:color="auto"/>
              <w:right w:val="single" w:sz="8" w:space="0" w:color="auto"/>
            </w:tcBorders>
            <w:vAlign w:val="center"/>
            <w:hideMark/>
          </w:tcPr>
          <w:p w:rsidR="00C51CA5" w:rsidRPr="00C51CA5" w:rsidP="00512A3C" w14:paraId="2E31D290" w14:textId="77777777">
            <w:pPr>
              <w:rPr>
                <w:rFonts w:ascii="Times New Roman" w:hAnsi="Times New Roman"/>
                <w:color w:val="000000"/>
                <w:sz w:val="20"/>
              </w:rPr>
            </w:pPr>
            <w:r w:rsidRPr="00C51CA5">
              <w:rPr>
                <w:rFonts w:ascii="Times New Roman" w:hAnsi="Times New Roman"/>
                <w:color w:val="000000"/>
                <w:sz w:val="20"/>
              </w:rPr>
              <w:t>Applications to Retire or Reduce Capital</w:t>
            </w:r>
          </w:p>
        </w:tc>
        <w:tc>
          <w:tcPr>
            <w:tcW w:w="3074" w:type="dxa"/>
            <w:tcBorders>
              <w:top w:val="nil"/>
              <w:left w:val="nil"/>
              <w:bottom w:val="single" w:sz="8" w:space="0" w:color="auto"/>
              <w:right w:val="single" w:sz="8" w:space="0" w:color="auto"/>
            </w:tcBorders>
            <w:noWrap/>
            <w:vAlign w:val="center"/>
            <w:hideMark/>
          </w:tcPr>
          <w:p w:rsidR="00C51CA5" w:rsidRPr="00C51CA5" w:rsidP="00512A3C" w14:paraId="4867BC59" w14:textId="77777777">
            <w:pPr>
              <w:ind w:firstLine="400" w:firstLineChars="200"/>
              <w:jc w:val="right"/>
              <w:rPr>
                <w:rFonts w:ascii="Times New Roman" w:hAnsi="Times New Roman"/>
                <w:color w:val="000000"/>
                <w:sz w:val="20"/>
              </w:rPr>
            </w:pPr>
            <w:r w:rsidRPr="00C51CA5">
              <w:rPr>
                <w:rFonts w:ascii="Times New Roman" w:hAnsi="Times New Roman"/>
                <w:color w:val="000000"/>
                <w:sz w:val="20"/>
              </w:rPr>
              <w:t xml:space="preserve">                                                  737 </w:t>
            </w:r>
          </w:p>
        </w:tc>
        <w:tc>
          <w:tcPr>
            <w:tcW w:w="3026" w:type="dxa"/>
            <w:tcBorders>
              <w:top w:val="nil"/>
              <w:left w:val="nil"/>
              <w:bottom w:val="single" w:sz="8" w:space="0" w:color="auto"/>
              <w:right w:val="single" w:sz="8" w:space="0" w:color="auto"/>
            </w:tcBorders>
            <w:noWrap/>
            <w:vAlign w:val="center"/>
            <w:hideMark/>
          </w:tcPr>
          <w:p w:rsidR="00C51CA5" w:rsidRPr="00C51CA5" w:rsidP="00512A3C" w14:paraId="4EB17A99" w14:textId="77777777">
            <w:pPr>
              <w:ind w:firstLine="200" w:firstLineChars="100"/>
              <w:jc w:val="right"/>
              <w:rPr>
                <w:rFonts w:ascii="Times New Roman" w:hAnsi="Times New Roman"/>
                <w:color w:val="000000"/>
                <w:sz w:val="20"/>
              </w:rPr>
            </w:pPr>
            <w:r w:rsidRPr="00C51CA5">
              <w:rPr>
                <w:rFonts w:ascii="Times New Roman" w:hAnsi="Times New Roman"/>
                <w:color w:val="000000"/>
                <w:sz w:val="20"/>
              </w:rPr>
              <w:t>$155.51</w:t>
            </w:r>
          </w:p>
        </w:tc>
        <w:tc>
          <w:tcPr>
            <w:tcW w:w="2240" w:type="dxa"/>
            <w:tcBorders>
              <w:top w:val="nil"/>
              <w:left w:val="nil"/>
              <w:bottom w:val="single" w:sz="8" w:space="0" w:color="auto"/>
              <w:right w:val="single" w:sz="8" w:space="0" w:color="auto"/>
            </w:tcBorders>
            <w:noWrap/>
            <w:vAlign w:val="center"/>
            <w:hideMark/>
          </w:tcPr>
          <w:p w:rsidR="00C51CA5" w:rsidRPr="00C51CA5" w:rsidP="00512A3C" w14:paraId="09B91860" w14:textId="77777777">
            <w:pPr>
              <w:ind w:firstLine="200" w:firstLineChars="100"/>
              <w:jc w:val="right"/>
              <w:rPr>
                <w:rFonts w:ascii="Times New Roman" w:hAnsi="Times New Roman"/>
                <w:color w:val="000000"/>
                <w:sz w:val="20"/>
              </w:rPr>
            </w:pPr>
            <w:r w:rsidRPr="00C51CA5">
              <w:rPr>
                <w:rFonts w:ascii="Times New Roman" w:hAnsi="Times New Roman"/>
                <w:color w:val="000000"/>
                <w:sz w:val="20"/>
              </w:rPr>
              <w:t>$114,611</w:t>
            </w:r>
          </w:p>
        </w:tc>
      </w:tr>
      <w:tr w14:paraId="3060BCB4" w14:textId="77777777" w:rsidTr="003338C3">
        <w:tblPrEx>
          <w:tblW w:w="10760" w:type="dxa"/>
          <w:tblLook w:val="04A0"/>
        </w:tblPrEx>
        <w:trPr>
          <w:trHeight w:val="360"/>
        </w:trPr>
        <w:tc>
          <w:tcPr>
            <w:tcW w:w="8520" w:type="dxa"/>
            <w:gridSpan w:val="3"/>
            <w:tcBorders>
              <w:top w:val="single" w:sz="8" w:space="0" w:color="auto"/>
              <w:left w:val="single" w:sz="8" w:space="0" w:color="auto"/>
              <w:bottom w:val="single" w:sz="8" w:space="0" w:color="auto"/>
              <w:right w:val="nil"/>
            </w:tcBorders>
            <w:shd w:val="clear" w:color="auto" w:fill="F2F2F2" w:themeFill="background1" w:themeFillShade="F2"/>
            <w:noWrap/>
            <w:vAlign w:val="center"/>
            <w:hideMark/>
          </w:tcPr>
          <w:p w:rsidR="00C51CA5" w:rsidRPr="00C51CA5" w:rsidP="00512A3C" w14:paraId="2BA87434" w14:textId="77777777">
            <w:pPr>
              <w:jc w:val="right"/>
              <w:rPr>
                <w:rFonts w:ascii="Times New Roman" w:hAnsi="Times New Roman"/>
                <w:b/>
                <w:bCs/>
                <w:i/>
                <w:iCs/>
                <w:color w:val="000000"/>
                <w:sz w:val="20"/>
              </w:rPr>
            </w:pPr>
            <w:r w:rsidRPr="00C51CA5">
              <w:rPr>
                <w:rFonts w:ascii="Times New Roman" w:hAnsi="Times New Roman"/>
                <w:b/>
                <w:bCs/>
                <w:i/>
                <w:iCs/>
                <w:color w:val="000000"/>
                <w:sz w:val="20"/>
              </w:rPr>
              <w:t>Total Annual Respondent Cost:</w:t>
            </w:r>
          </w:p>
        </w:tc>
        <w:tc>
          <w:tcPr>
            <w:tcW w:w="2240" w:type="dxa"/>
            <w:tcBorders>
              <w:top w:val="nil"/>
              <w:left w:val="nil"/>
              <w:bottom w:val="single" w:sz="8" w:space="0" w:color="auto"/>
              <w:right w:val="single" w:sz="8" w:space="0" w:color="auto"/>
            </w:tcBorders>
            <w:shd w:val="clear" w:color="auto" w:fill="F2F2F2" w:themeFill="background1" w:themeFillShade="F2"/>
            <w:vAlign w:val="center"/>
            <w:hideMark/>
          </w:tcPr>
          <w:p w:rsidR="00C51CA5" w:rsidRPr="00C51CA5" w:rsidP="00512A3C" w14:paraId="787EB7DE" w14:textId="77777777">
            <w:pPr>
              <w:ind w:firstLine="200" w:firstLineChars="100"/>
              <w:jc w:val="right"/>
              <w:rPr>
                <w:rFonts w:ascii="Times New Roman" w:hAnsi="Times New Roman"/>
                <w:b/>
                <w:bCs/>
                <w:i/>
                <w:iCs/>
                <w:color w:val="000000"/>
                <w:sz w:val="20"/>
              </w:rPr>
            </w:pPr>
            <w:r w:rsidRPr="00C51CA5">
              <w:rPr>
                <w:rFonts w:ascii="Times New Roman" w:hAnsi="Times New Roman"/>
                <w:b/>
                <w:bCs/>
                <w:i/>
                <w:iCs/>
                <w:color w:val="000000"/>
                <w:sz w:val="20"/>
              </w:rPr>
              <w:t xml:space="preserve">$114,611 </w:t>
            </w:r>
          </w:p>
        </w:tc>
      </w:tr>
      <w:tr w14:paraId="0D8AA181" w14:textId="77777777" w:rsidTr="009C5D46">
        <w:tblPrEx>
          <w:tblW w:w="10760" w:type="dxa"/>
          <w:tblLook w:val="04A0"/>
        </w:tblPrEx>
        <w:trPr>
          <w:trHeight w:val="319"/>
        </w:trPr>
        <w:tc>
          <w:tcPr>
            <w:tcW w:w="10760" w:type="dxa"/>
            <w:gridSpan w:val="4"/>
            <w:tcBorders>
              <w:top w:val="single" w:sz="8" w:space="0" w:color="auto"/>
              <w:left w:val="single" w:sz="8" w:space="0" w:color="auto"/>
              <w:bottom w:val="single" w:sz="8" w:space="0" w:color="auto"/>
              <w:right w:val="single" w:sz="8" w:space="0" w:color="000000"/>
            </w:tcBorders>
            <w:noWrap/>
            <w:hideMark/>
          </w:tcPr>
          <w:p w:rsidR="00C51CA5" w:rsidRPr="00C51CA5" w:rsidP="00512A3C" w14:paraId="0A342561" w14:textId="77777777">
            <w:pPr>
              <w:rPr>
                <w:rFonts w:ascii="Times New Roman" w:hAnsi="Times New Roman"/>
                <w:color w:val="000000"/>
                <w:sz w:val="20"/>
              </w:rPr>
            </w:pPr>
            <w:r w:rsidRPr="00C51CA5">
              <w:rPr>
                <w:rFonts w:ascii="Times New Roman" w:hAnsi="Times New Roman"/>
                <w:color w:val="000000"/>
                <w:sz w:val="20"/>
              </w:rPr>
              <w:t>Source: FDIC.</w:t>
            </w:r>
          </w:p>
        </w:tc>
      </w:tr>
    </w:tbl>
    <w:p w:rsidR="00C51CA5" w:rsidRPr="00C51CA5" w:rsidP="00C51CA5" w14:paraId="271BE5F6" w14:textId="77777777">
      <w:pPr>
        <w:pStyle w:val="CommentText"/>
        <w:ind w:left="1440"/>
        <w:rPr>
          <w:rFonts w:ascii="Verdana" w:hAnsi="Verdana"/>
          <w:color w:val="000000"/>
          <w:sz w:val="24"/>
          <w:szCs w:val="24"/>
          <w:u w:val="single"/>
        </w:rPr>
      </w:pPr>
    </w:p>
    <w:p w:rsidR="00C51CA5" w:rsidRPr="00C51CA5" w:rsidP="00C51CA5" w14:paraId="0239D098" w14:textId="77777777">
      <w:pPr>
        <w:ind w:left="1080"/>
        <w:outlineLvl w:val="0"/>
        <w:rPr>
          <w:rFonts w:ascii="Times New Roman" w:hAnsi="Times New Roman"/>
          <w:szCs w:val="24"/>
          <w:u w:val="single"/>
        </w:rPr>
      </w:pPr>
    </w:p>
    <w:p w:rsidR="009F4532" w:rsidRPr="001F2A5D" w:rsidP="00EA72EA" w14:paraId="55C5183A" w14:textId="7123B73F">
      <w:pPr>
        <w:numPr>
          <w:ilvl w:val="0"/>
          <w:numId w:val="11"/>
        </w:numPr>
        <w:outlineLvl w:val="0"/>
        <w:rPr>
          <w:rFonts w:ascii="Times New Roman" w:hAnsi="Times New Roman"/>
          <w:szCs w:val="24"/>
          <w:u w:val="single"/>
        </w:rPr>
      </w:pPr>
      <w:r w:rsidRPr="009E60FB">
        <w:rPr>
          <w:rFonts w:ascii="Times New Roman" w:hAnsi="Times New Roman"/>
          <w:bCs/>
          <w:szCs w:val="24"/>
          <w:u w:val="single"/>
        </w:rPr>
        <w:t xml:space="preserve">Estimate of start-up costs </w:t>
      </w:r>
      <w:r w:rsidRPr="009E60FB">
        <w:rPr>
          <w:rFonts w:ascii="Times New Roman" w:hAnsi="Times New Roman"/>
          <w:bCs/>
          <w:szCs w:val="24"/>
          <w:u w:val="single"/>
        </w:rPr>
        <w:t>to</w:t>
      </w:r>
      <w:r w:rsidRPr="009E60FB">
        <w:rPr>
          <w:rFonts w:ascii="Times New Roman" w:hAnsi="Times New Roman"/>
          <w:bCs/>
          <w:szCs w:val="24"/>
          <w:u w:val="single"/>
        </w:rPr>
        <w:t xml:space="preserve"> respondents:</w:t>
      </w:r>
    </w:p>
    <w:p w:rsidR="00731A90" w14:paraId="053F5772" w14:textId="77777777">
      <w:pPr>
        <w:rPr>
          <w:rFonts w:ascii="Times New Roman" w:hAnsi="Times New Roman"/>
        </w:rPr>
      </w:pPr>
    </w:p>
    <w:p w:rsidR="00731A90" w14:paraId="6A0A52E1" w14:textId="77777777">
      <w:pPr>
        <w:ind w:left="1440"/>
        <w:rPr>
          <w:rFonts w:ascii="Times New Roman" w:hAnsi="Times New Roman"/>
        </w:rPr>
      </w:pPr>
      <w:r>
        <w:rPr>
          <w:rFonts w:ascii="Times New Roman" w:hAnsi="Times New Roman"/>
        </w:rPr>
        <w:t xml:space="preserve">None. </w:t>
      </w:r>
    </w:p>
    <w:p w:rsidR="00731A90" w14:paraId="291A70DC" w14:textId="77777777">
      <w:pPr>
        <w:rPr>
          <w:rFonts w:ascii="Times New Roman" w:hAnsi="Times New Roman"/>
        </w:rPr>
      </w:pPr>
    </w:p>
    <w:p w:rsidR="00731A90" w:rsidP="00EA72EA" w14:paraId="766869B5" w14:textId="77777777">
      <w:pPr>
        <w:numPr>
          <w:ilvl w:val="0"/>
          <w:numId w:val="11"/>
        </w:numPr>
        <w:rPr>
          <w:rFonts w:ascii="Times New Roman" w:hAnsi="Times New Roman"/>
          <w:bCs/>
          <w:szCs w:val="24"/>
          <w:u w:val="single"/>
        </w:rPr>
      </w:pPr>
      <w:r w:rsidRPr="009E60FB">
        <w:rPr>
          <w:rFonts w:ascii="Times New Roman" w:hAnsi="Times New Roman"/>
          <w:bCs/>
          <w:szCs w:val="24"/>
          <w:u w:val="single"/>
        </w:rPr>
        <w:t>Estimate of annualized costs to the government:</w:t>
      </w:r>
    </w:p>
    <w:p w:rsidR="009F4532" w:rsidP="009F4532" w14:paraId="1EAC3107" w14:textId="77777777">
      <w:pPr>
        <w:ind w:firstLine="720"/>
        <w:rPr>
          <w:rFonts w:ascii="Times New Roman" w:hAnsi="Times New Roman"/>
        </w:rPr>
      </w:pPr>
    </w:p>
    <w:p w:rsidR="007E3A41" w:rsidP="007E3A41" w14:paraId="4EE19F27" w14:textId="77777777">
      <w:pPr>
        <w:ind w:left="720" w:firstLine="720"/>
        <w:rPr>
          <w:rFonts w:ascii="Times New Roman" w:hAnsi="Times New Roman"/>
        </w:rPr>
      </w:pPr>
      <w:r>
        <w:rPr>
          <w:rFonts w:ascii="Times New Roman" w:hAnsi="Times New Roman"/>
        </w:rPr>
        <w:t>None</w:t>
      </w:r>
    </w:p>
    <w:p w:rsidR="002616EA" w:rsidP="002616EA" w14:paraId="40A36B31" w14:textId="77777777">
      <w:pPr>
        <w:rPr>
          <w:rFonts w:ascii="Times New Roman" w:hAnsi="Times New Roman"/>
        </w:rPr>
      </w:pPr>
    </w:p>
    <w:p w:rsidR="009F4532" w:rsidRPr="001F2A5D" w:rsidP="00EA72EA" w14:paraId="58541057" w14:textId="77777777">
      <w:pPr>
        <w:numPr>
          <w:ilvl w:val="0"/>
          <w:numId w:val="11"/>
        </w:numPr>
        <w:outlineLvl w:val="0"/>
        <w:rPr>
          <w:rFonts w:ascii="Times New Roman" w:hAnsi="Times New Roman"/>
          <w:szCs w:val="24"/>
        </w:rPr>
      </w:pPr>
      <w:r w:rsidRPr="009E60FB">
        <w:rPr>
          <w:rFonts w:ascii="Times New Roman" w:hAnsi="Times New Roman"/>
          <w:szCs w:val="24"/>
          <w:u w:val="single"/>
        </w:rPr>
        <w:t>Analysis of change in burden:</w:t>
      </w:r>
    </w:p>
    <w:p w:rsidR="00731A90" w14:paraId="2C03B5C5" w14:textId="77777777">
      <w:pPr>
        <w:ind w:firstLine="720"/>
        <w:rPr>
          <w:rFonts w:ascii="Times New Roman" w:hAnsi="Times New Roman"/>
        </w:rPr>
      </w:pPr>
    </w:p>
    <w:p w:rsidR="00731A90" w:rsidRPr="00462D56" w:rsidP="00D1076C" w14:paraId="25610A14" w14:textId="046178C5">
      <w:pPr>
        <w:ind w:left="1440"/>
        <w:rPr>
          <w:rFonts w:ascii="Times New Roman" w:hAnsi="Times New Roman"/>
          <w:snapToGrid/>
          <w:szCs w:val="24"/>
        </w:rPr>
      </w:pPr>
      <w:r w:rsidRPr="00462D56">
        <w:rPr>
          <w:rFonts w:ascii="Times New Roman" w:hAnsi="Times New Roman"/>
          <w:szCs w:val="24"/>
        </w:rPr>
        <w:t>There</w:t>
      </w:r>
      <w:r w:rsidRPr="00462D56">
        <w:rPr>
          <w:rFonts w:ascii="Times New Roman" w:hAnsi="Times New Roman"/>
          <w:spacing w:val="-6"/>
          <w:szCs w:val="24"/>
        </w:rPr>
        <w:t xml:space="preserve"> </w:t>
      </w:r>
      <w:r w:rsidRPr="00462D56">
        <w:rPr>
          <w:rFonts w:ascii="Times New Roman" w:hAnsi="Times New Roman"/>
          <w:szCs w:val="24"/>
        </w:rPr>
        <w:t>is no change</w:t>
      </w:r>
      <w:r w:rsidRPr="00462D56">
        <w:rPr>
          <w:rFonts w:ascii="Times New Roman" w:hAnsi="Times New Roman"/>
          <w:spacing w:val="-7"/>
          <w:szCs w:val="24"/>
        </w:rPr>
        <w:t xml:space="preserve"> </w:t>
      </w:r>
      <w:r w:rsidRPr="00462D56">
        <w:rPr>
          <w:rFonts w:ascii="Times New Roman" w:hAnsi="Times New Roman"/>
          <w:szCs w:val="24"/>
        </w:rPr>
        <w:t>in</w:t>
      </w:r>
      <w:r w:rsidRPr="00462D56">
        <w:rPr>
          <w:rFonts w:ascii="Times New Roman" w:hAnsi="Times New Roman"/>
          <w:spacing w:val="-2"/>
          <w:szCs w:val="24"/>
        </w:rPr>
        <w:t xml:space="preserve"> </w:t>
      </w:r>
      <w:r w:rsidRPr="00462D56">
        <w:rPr>
          <w:rFonts w:ascii="Times New Roman" w:hAnsi="Times New Roman"/>
          <w:szCs w:val="24"/>
        </w:rPr>
        <w:t>the</w:t>
      </w:r>
      <w:r w:rsidRPr="00462D56">
        <w:rPr>
          <w:rFonts w:ascii="Times New Roman" w:hAnsi="Times New Roman"/>
          <w:spacing w:val="-3"/>
          <w:szCs w:val="24"/>
        </w:rPr>
        <w:t xml:space="preserve"> </w:t>
      </w:r>
      <w:r w:rsidRPr="00462D56">
        <w:rPr>
          <w:rFonts w:ascii="Times New Roman" w:hAnsi="Times New Roman"/>
          <w:spacing w:val="-2"/>
          <w:szCs w:val="24"/>
        </w:rPr>
        <w:t>m</w:t>
      </w:r>
      <w:r w:rsidRPr="00462D56">
        <w:rPr>
          <w:rFonts w:ascii="Times New Roman" w:hAnsi="Times New Roman"/>
          <w:szCs w:val="24"/>
        </w:rPr>
        <w:t>ethod</w:t>
      </w:r>
      <w:r w:rsidRPr="00462D56">
        <w:rPr>
          <w:rFonts w:ascii="Times New Roman" w:hAnsi="Times New Roman"/>
          <w:spacing w:val="-7"/>
          <w:szCs w:val="24"/>
        </w:rPr>
        <w:t xml:space="preserve"> </w:t>
      </w:r>
      <w:r w:rsidRPr="00462D56">
        <w:rPr>
          <w:rFonts w:ascii="Times New Roman" w:hAnsi="Times New Roman"/>
          <w:szCs w:val="24"/>
        </w:rPr>
        <w:t>or substance</w:t>
      </w:r>
      <w:r w:rsidRPr="00462D56">
        <w:rPr>
          <w:rFonts w:ascii="Times New Roman" w:hAnsi="Times New Roman"/>
          <w:spacing w:val="-9"/>
          <w:szCs w:val="24"/>
        </w:rPr>
        <w:t xml:space="preserve"> </w:t>
      </w:r>
      <w:r w:rsidRPr="00462D56">
        <w:rPr>
          <w:rFonts w:ascii="Times New Roman" w:hAnsi="Times New Roman"/>
          <w:szCs w:val="24"/>
        </w:rPr>
        <w:t>of the</w:t>
      </w:r>
      <w:r w:rsidRPr="00462D56">
        <w:rPr>
          <w:rFonts w:ascii="Times New Roman" w:hAnsi="Times New Roman"/>
          <w:spacing w:val="-3"/>
          <w:szCs w:val="24"/>
        </w:rPr>
        <w:t xml:space="preserve"> </w:t>
      </w:r>
      <w:r w:rsidRPr="00462D56">
        <w:rPr>
          <w:rFonts w:ascii="Times New Roman" w:hAnsi="Times New Roman"/>
          <w:szCs w:val="24"/>
        </w:rPr>
        <w:t xml:space="preserve">collection.  </w:t>
      </w:r>
      <w:r w:rsidRPr="00462D56" w:rsidR="00D1076C">
        <w:rPr>
          <w:rFonts w:ascii="Times New Roman" w:hAnsi="Times New Roman"/>
          <w:snapToGrid/>
          <w:szCs w:val="24"/>
        </w:rPr>
        <w:t xml:space="preserve">The hour burden has </w:t>
      </w:r>
      <w:r w:rsidR="00B000D5">
        <w:rPr>
          <w:rFonts w:ascii="Times New Roman" w:hAnsi="Times New Roman"/>
          <w:snapToGrid/>
          <w:szCs w:val="24"/>
        </w:rPr>
        <w:t xml:space="preserve">decreased by </w:t>
      </w:r>
      <w:r w:rsidR="00B504DA">
        <w:rPr>
          <w:rFonts w:ascii="Times New Roman" w:hAnsi="Times New Roman"/>
          <w:snapToGrid/>
          <w:szCs w:val="24"/>
        </w:rPr>
        <w:t xml:space="preserve">374 </w:t>
      </w:r>
      <w:r w:rsidRPr="00B000D5" w:rsidR="00B000D5">
        <w:rPr>
          <w:rFonts w:ascii="Times New Roman" w:hAnsi="Times New Roman"/>
          <w:snapToGrid/>
          <w:szCs w:val="24"/>
        </w:rPr>
        <w:t>hour</w:t>
      </w:r>
      <w:r w:rsidR="00B000D5">
        <w:rPr>
          <w:rFonts w:ascii="Times New Roman" w:hAnsi="Times New Roman"/>
          <w:snapToGrid/>
          <w:szCs w:val="24"/>
        </w:rPr>
        <w:t>s</w:t>
      </w:r>
      <w:r w:rsidRPr="00B000D5" w:rsidR="00B000D5">
        <w:rPr>
          <w:rFonts w:ascii="Times New Roman" w:hAnsi="Times New Roman"/>
          <w:snapToGrid/>
          <w:szCs w:val="24"/>
        </w:rPr>
        <w:t xml:space="preserve"> from the estimate in the previous renewal. This </w:t>
      </w:r>
      <w:r w:rsidR="00B000D5">
        <w:rPr>
          <w:rFonts w:ascii="Times New Roman" w:hAnsi="Times New Roman"/>
          <w:snapToGrid/>
          <w:szCs w:val="24"/>
        </w:rPr>
        <w:t>change</w:t>
      </w:r>
      <w:r w:rsidRPr="00B000D5" w:rsidR="00B000D5">
        <w:rPr>
          <w:rFonts w:ascii="Times New Roman" w:hAnsi="Times New Roman"/>
          <w:snapToGrid/>
          <w:szCs w:val="24"/>
        </w:rPr>
        <w:t xml:space="preserve"> is entirely due to the decrease in estimated number of respondents</w:t>
      </w:r>
      <w:r w:rsidRPr="00462D56" w:rsidR="00D1076C">
        <w:rPr>
          <w:rFonts w:ascii="Times New Roman" w:hAnsi="Times New Roman"/>
          <w:snapToGrid/>
          <w:szCs w:val="24"/>
        </w:rPr>
        <w:t>.</w:t>
      </w:r>
    </w:p>
    <w:p w:rsidR="00D1076C" w14:paraId="16CC6DFF" w14:textId="77777777">
      <w:pPr>
        <w:rPr>
          <w:rFonts w:ascii="Times New Roman" w:hAnsi="Times New Roman"/>
        </w:rPr>
      </w:pPr>
    </w:p>
    <w:p w:rsidR="009F4532" w:rsidRPr="001F2A5D" w:rsidP="00EA72EA" w14:paraId="3BA4831D" w14:textId="77777777">
      <w:pPr>
        <w:numPr>
          <w:ilvl w:val="0"/>
          <w:numId w:val="11"/>
        </w:numPr>
        <w:ind w:left="1440" w:hanging="720"/>
        <w:outlineLvl w:val="0"/>
        <w:rPr>
          <w:rFonts w:ascii="Times New Roman" w:hAnsi="Times New Roman"/>
          <w:szCs w:val="24"/>
        </w:rPr>
      </w:pPr>
      <w:r w:rsidRPr="00E47BDF">
        <w:rPr>
          <w:rFonts w:ascii="Times New Roman" w:hAnsi="Times New Roman"/>
          <w:szCs w:val="24"/>
          <w:u w:val="single"/>
        </w:rPr>
        <w:t>Information regarding collections whose results</w:t>
      </w:r>
      <w:r w:rsidRPr="006A7DD6">
        <w:rPr>
          <w:rFonts w:ascii="Times New Roman" w:hAnsi="Times New Roman"/>
          <w:szCs w:val="24"/>
          <w:u w:val="single"/>
        </w:rPr>
        <w:t xml:space="preserve"> are planned to be published for statistical use:</w:t>
      </w:r>
    </w:p>
    <w:p w:rsidR="00731A90" w14:paraId="3146C135" w14:textId="77777777">
      <w:pPr>
        <w:rPr>
          <w:rFonts w:ascii="Times New Roman" w:hAnsi="Times New Roman"/>
        </w:rPr>
      </w:pPr>
    </w:p>
    <w:p w:rsidR="00731A90" w14:paraId="026EE7A6" w14:textId="77777777">
      <w:pPr>
        <w:ind w:left="1440"/>
        <w:rPr>
          <w:rFonts w:ascii="Times New Roman" w:hAnsi="Times New Roman"/>
        </w:rPr>
      </w:pPr>
      <w:r w:rsidRPr="00471381">
        <w:rPr>
          <w:rFonts w:ascii="Times New Roman" w:hAnsi="Times New Roman"/>
        </w:rPr>
        <w:t xml:space="preserve">The </w:t>
      </w:r>
      <w:r>
        <w:rPr>
          <w:rFonts w:ascii="Times New Roman" w:hAnsi="Times New Roman"/>
        </w:rPr>
        <w:t>results of this collection will not be</w:t>
      </w:r>
      <w:r w:rsidRPr="00471381">
        <w:rPr>
          <w:rFonts w:ascii="Times New Roman" w:hAnsi="Times New Roman"/>
        </w:rPr>
        <w:t xml:space="preserve"> publish</w:t>
      </w:r>
      <w:r>
        <w:rPr>
          <w:rFonts w:ascii="Times New Roman" w:hAnsi="Times New Roman"/>
        </w:rPr>
        <w:t>ed</w:t>
      </w:r>
      <w:r w:rsidRPr="00471381">
        <w:rPr>
          <w:rFonts w:ascii="Times New Roman" w:hAnsi="Times New Roman"/>
        </w:rPr>
        <w:t xml:space="preserve"> for statistical use.</w:t>
      </w:r>
    </w:p>
    <w:p w:rsidR="00731A90" w14:paraId="73B9732A" w14:textId="77777777">
      <w:pPr>
        <w:rPr>
          <w:rFonts w:ascii="Times New Roman" w:hAnsi="Times New Roman"/>
        </w:rPr>
      </w:pPr>
    </w:p>
    <w:p w:rsidR="00731A90" w:rsidP="00EA72EA" w14:paraId="2C840461" w14:textId="77777777">
      <w:pPr>
        <w:numPr>
          <w:ilvl w:val="0"/>
          <w:numId w:val="11"/>
        </w:numPr>
        <w:rPr>
          <w:rFonts w:ascii="Times New Roman" w:hAnsi="Times New Roman"/>
        </w:rPr>
      </w:pPr>
      <w:r w:rsidRPr="009E60FB">
        <w:rPr>
          <w:rFonts w:ascii="Times New Roman" w:hAnsi="Times New Roman"/>
          <w:szCs w:val="24"/>
          <w:u w:val="single"/>
        </w:rPr>
        <w:t>Display of expiration date</w:t>
      </w:r>
      <w:r>
        <w:rPr>
          <w:rFonts w:ascii="Times New Roman" w:hAnsi="Times New Roman"/>
          <w:szCs w:val="24"/>
          <w:u w:val="single"/>
        </w:rPr>
        <w:t>:</w:t>
      </w:r>
    </w:p>
    <w:p w:rsidR="00731A90" w14:paraId="5FA8B9DB" w14:textId="77777777">
      <w:pPr>
        <w:rPr>
          <w:rFonts w:ascii="Times New Roman" w:hAnsi="Times New Roman"/>
        </w:rPr>
      </w:pPr>
    </w:p>
    <w:p w:rsidR="00731A90" w14:paraId="66EEDE5F" w14:textId="77777777">
      <w:pPr>
        <w:ind w:left="1440"/>
        <w:rPr>
          <w:rFonts w:ascii="Times New Roman" w:hAnsi="Times New Roman"/>
        </w:rPr>
      </w:pPr>
      <w:r>
        <w:rPr>
          <w:rFonts w:ascii="Times New Roman" w:hAnsi="Times New Roman"/>
        </w:rPr>
        <w:t>Not applicable.</w:t>
      </w:r>
    </w:p>
    <w:p w:rsidR="00731A90" w14:paraId="74D5DE37" w14:textId="77777777">
      <w:pPr>
        <w:rPr>
          <w:rFonts w:ascii="Times New Roman" w:hAnsi="Times New Roman"/>
        </w:rPr>
      </w:pPr>
    </w:p>
    <w:p w:rsidR="00731A90" w:rsidP="00EA72EA" w14:paraId="4BBADFE9" w14:textId="77777777">
      <w:pPr>
        <w:numPr>
          <w:ilvl w:val="0"/>
          <w:numId w:val="11"/>
        </w:numPr>
        <w:rPr>
          <w:rFonts w:ascii="Times New Roman" w:hAnsi="Times New Roman"/>
        </w:rPr>
      </w:pPr>
      <w:r>
        <w:rPr>
          <w:rFonts w:ascii="Times New Roman" w:hAnsi="Times New Roman"/>
          <w:u w:val="single"/>
        </w:rPr>
        <w:t>Exceptions to Certification</w:t>
      </w:r>
      <w:r>
        <w:rPr>
          <w:rFonts w:ascii="Times New Roman" w:hAnsi="Times New Roman"/>
        </w:rPr>
        <w:t xml:space="preserve">  </w:t>
      </w:r>
    </w:p>
    <w:p w:rsidR="00731A90" w14:paraId="5B2CD844" w14:textId="77777777">
      <w:pPr>
        <w:rPr>
          <w:rFonts w:ascii="Times New Roman" w:hAnsi="Times New Roman"/>
        </w:rPr>
      </w:pPr>
    </w:p>
    <w:p w:rsidR="00731A90" w14:paraId="627194BF" w14:textId="77777777">
      <w:pPr>
        <w:ind w:left="1440"/>
        <w:rPr>
          <w:rFonts w:ascii="Times New Roman" w:hAnsi="Times New Roman"/>
        </w:rPr>
      </w:pPr>
      <w:r>
        <w:rPr>
          <w:rFonts w:ascii="Times New Roman" w:hAnsi="Times New Roman"/>
        </w:rPr>
        <w:t>None.</w:t>
      </w:r>
    </w:p>
    <w:p w:rsidR="00731A90" w14:paraId="3A6460BE" w14:textId="77777777">
      <w:pPr>
        <w:rPr>
          <w:rFonts w:ascii="Times New Roman" w:hAnsi="Times New Roman"/>
        </w:rPr>
      </w:pPr>
    </w:p>
    <w:p w:rsidR="00731A90" w14:paraId="37E02E71" w14:textId="77777777">
      <w:pPr>
        <w:numPr>
          <w:ilvl w:val="0"/>
          <w:numId w:val="3"/>
        </w:numPr>
        <w:rPr>
          <w:rFonts w:ascii="Times New Roman" w:hAnsi="Times New Roman"/>
          <w:u w:val="single"/>
        </w:rPr>
      </w:pPr>
      <w:r w:rsidRPr="001F2A5D">
        <w:rPr>
          <w:rFonts w:ascii="Times New Roman" w:hAnsi="Times New Roman"/>
          <w:szCs w:val="24"/>
          <w:u w:val="single"/>
        </w:rPr>
        <w:t>Collection of Information Employing Statistical Methods</w:t>
      </w:r>
      <w:r>
        <w:rPr>
          <w:rFonts w:ascii="Times New Roman" w:hAnsi="Times New Roman"/>
          <w:u w:val="single"/>
        </w:rPr>
        <w:t xml:space="preserve"> </w:t>
      </w:r>
    </w:p>
    <w:p w:rsidR="00731A90" w14:paraId="2E628197" w14:textId="77777777">
      <w:pPr>
        <w:rPr>
          <w:rFonts w:ascii="Times New Roman" w:hAnsi="Times New Roman"/>
          <w:u w:val="single"/>
        </w:rPr>
      </w:pPr>
    </w:p>
    <w:p w:rsidR="00731A90" w14:paraId="14123DD9" w14:textId="77777777">
      <w:pPr>
        <w:ind w:left="720"/>
        <w:rPr>
          <w:rFonts w:ascii="Times New Roman" w:hAnsi="Times New Roman"/>
        </w:rPr>
      </w:pPr>
      <w:r>
        <w:rPr>
          <w:rFonts w:ascii="Times New Roman" w:hAnsi="Times New Roman"/>
        </w:rPr>
        <w:t>Not Applicable</w:t>
      </w:r>
      <w:r w:rsidR="00DB04B6">
        <w:rPr>
          <w:rFonts w:ascii="Times New Roman" w:hAnsi="Times New Roman"/>
        </w:rPr>
        <w:t>.</w:t>
      </w:r>
    </w:p>
    <w:p w:rsidR="00731A90" w14:paraId="1ADB65F5" w14:textId="77777777">
      <w:pPr>
        <w:rPr>
          <w:rFonts w:ascii="Times New Roman" w:hAnsi="Times New Roman"/>
        </w:rPr>
      </w:pPr>
    </w:p>
    <w:p w:rsidR="00731A90" w14:paraId="6DE31D5A" w14:textId="77777777">
      <w:pPr>
        <w:rPr>
          <w:rFonts w:ascii="Times New Roman" w:hAnsi="Times New Roman"/>
        </w:rPr>
      </w:pPr>
    </w:p>
    <w:p w:rsidR="00731A90" w14:paraId="3CE9EC1F" w14:textId="77777777">
      <w:pPr>
        <w:rPr>
          <w:rFonts w:ascii="Times New Roman" w:hAnsi="Times New Roman"/>
        </w:rPr>
      </w:pPr>
    </w:p>
    <w:p w:rsidR="00731A90" w14:paraId="751446C9" w14:textId="77777777"/>
    <w:sectPr w:rsidSect="00CC299C">
      <w:headerReference w:type="even" r:id="rId5"/>
      <w:headerReference w:type="default" r:id="rId6"/>
      <w:footerReference w:type="even" r:id="rId7"/>
      <w:footerReference w:type="default" r:id="rId8"/>
      <w:headerReference w:type="first" r:id="rId9"/>
      <w:footerReference w:type="first" r:id="rId10"/>
      <w:endnotePr>
        <w:numFmt w:val="decimal"/>
      </w:endnotePr>
      <w:type w:val="continuous"/>
      <w:pgSz w:w="12240" w:h="15840"/>
      <w:pgMar w:top="1296" w:right="1440" w:bottom="1296"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TUR">
    <w:altName w:val="Sylfaen"/>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5523" w14:paraId="4C2E2A1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2F33" w14:paraId="3FF7C8A0" w14:textId="77777777">
    <w:pPr>
      <w:spacing w:line="240" w:lineRule="exact"/>
    </w:pPr>
  </w:p>
  <w:p w:rsidR="00782F33" w14:paraId="1FD86CAE" w14:textId="77777777">
    <w:pPr>
      <w:framePr w:w="9361" w:wrap="notBeside" w:vAnchor="text" w:hAnchor="text" w:x="1" w:y="1"/>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B000D5">
      <w:rPr>
        <w:rFonts w:ascii="Times New Roman" w:hAnsi="Times New Roman"/>
        <w:noProof/>
      </w:rPr>
      <w:t>4</w:t>
    </w:r>
    <w:r>
      <w:rPr>
        <w:rFonts w:ascii="Times New Roman" w:hAnsi="Times New Roman"/>
      </w:rPr>
      <w:fldChar w:fldCharType="end"/>
    </w:r>
  </w:p>
  <w:p w:rsidR="00782F33" w14:paraId="4CCE1EC9"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5523" w14:paraId="1B34CBC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5523" w14:paraId="4DA6BF5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5523" w14:paraId="019C283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5523" w14:paraId="3605B61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147137"/>
    <w:multiLevelType w:val="hybridMultilevel"/>
    <w:tmpl w:val="212623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D90D6B"/>
    <w:multiLevelType w:val="singleLevel"/>
    <w:tmpl w:val="0310F3F2"/>
    <w:lvl w:ilvl="0">
      <w:start w:val="5"/>
      <w:numFmt w:val="decimal"/>
      <w:lvlText w:val="%1."/>
      <w:lvlJc w:val="left"/>
      <w:pPr>
        <w:tabs>
          <w:tab w:val="num" w:pos="1080"/>
        </w:tabs>
        <w:ind w:left="1080" w:hanging="360"/>
      </w:pPr>
      <w:rPr>
        <w:rFonts w:hint="default"/>
        <w:u w:val="none"/>
      </w:rPr>
    </w:lvl>
  </w:abstractNum>
  <w:abstractNum w:abstractNumId="2">
    <w:nsid w:val="1C4943B0"/>
    <w:multiLevelType w:val="singleLevel"/>
    <w:tmpl w:val="D0143ED4"/>
    <w:lvl w:ilvl="0">
      <w:start w:val="2"/>
      <w:numFmt w:val="upperLetter"/>
      <w:lvlText w:val="%1."/>
      <w:lvlJc w:val="left"/>
      <w:pPr>
        <w:tabs>
          <w:tab w:val="num" w:pos="720"/>
        </w:tabs>
        <w:ind w:left="720" w:hanging="720"/>
      </w:pPr>
      <w:rPr>
        <w:rFonts w:hint="default"/>
        <w:u w:val="none"/>
      </w:rPr>
    </w:lvl>
  </w:abstractNum>
  <w:abstractNum w:abstractNumId="3">
    <w:nsid w:val="27C30C12"/>
    <w:multiLevelType w:val="hybridMultilevel"/>
    <w:tmpl w:val="6682191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7BD0B0B"/>
    <w:multiLevelType w:val="hybridMultilevel"/>
    <w:tmpl w:val="AAFCFEC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5">
    <w:nsid w:val="3D192ABB"/>
    <w:multiLevelType w:val="hybridMultilevel"/>
    <w:tmpl w:val="D55E27AE"/>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51D231EC"/>
    <w:multiLevelType w:val="hybridMultilevel"/>
    <w:tmpl w:val="38080B4A"/>
    <w:lvl w:ilvl="0">
      <w:start w:val="1"/>
      <w:numFmt w:val="upperLetter"/>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7">
    <w:nsid w:val="52AE2A1D"/>
    <w:multiLevelType w:val="singleLevel"/>
    <w:tmpl w:val="C816AFFE"/>
    <w:lvl w:ilvl="0">
      <w:start w:val="5"/>
      <w:numFmt w:val="decimal"/>
      <w:lvlText w:val="%1."/>
      <w:lvlJc w:val="left"/>
      <w:pPr>
        <w:tabs>
          <w:tab w:val="num" w:pos="2160"/>
        </w:tabs>
        <w:ind w:left="2160" w:hanging="720"/>
      </w:pPr>
      <w:rPr>
        <w:rFonts w:hint="default"/>
        <w:u w:val="none"/>
      </w:rPr>
    </w:lvl>
  </w:abstractNum>
  <w:abstractNum w:abstractNumId="8">
    <w:nsid w:val="618C7D97"/>
    <w:multiLevelType w:val="hybridMultilevel"/>
    <w:tmpl w:val="CC7C564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9">
    <w:nsid w:val="7B4B3676"/>
    <w:multiLevelType w:val="hybridMultilevel"/>
    <w:tmpl w:val="0C6CEE0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7D2C5665"/>
    <w:multiLevelType w:val="hybridMultilevel"/>
    <w:tmpl w:val="823CA48E"/>
    <w:lvl w:ilvl="0">
      <w:start w:val="1"/>
      <w:numFmt w:val="bullet"/>
      <w:lvlText w:val=""/>
      <w:lvlJc w:val="left"/>
      <w:pPr>
        <w:ind w:left="1710" w:hanging="360"/>
      </w:pPr>
      <w:rPr>
        <w:rFonts w:ascii="Symbol" w:hAnsi="Symbol" w:hint="default"/>
      </w:rPr>
    </w:lvl>
    <w:lvl w:ilvl="1" w:tentative="1">
      <w:start w:val="1"/>
      <w:numFmt w:val="bullet"/>
      <w:lvlText w:val="o"/>
      <w:lvlJc w:val="left"/>
      <w:pPr>
        <w:ind w:left="2430" w:hanging="360"/>
      </w:pPr>
      <w:rPr>
        <w:rFonts w:ascii="Courier New" w:hAnsi="Courier New" w:hint="default"/>
      </w:rPr>
    </w:lvl>
    <w:lvl w:ilvl="2" w:tentative="1">
      <w:start w:val="1"/>
      <w:numFmt w:val="bullet"/>
      <w:lvlText w:val=""/>
      <w:lvlJc w:val="left"/>
      <w:pPr>
        <w:ind w:left="3150" w:hanging="360"/>
      </w:pPr>
      <w:rPr>
        <w:rFonts w:ascii="Wingdings" w:hAnsi="Wingdings" w:hint="default"/>
      </w:rPr>
    </w:lvl>
    <w:lvl w:ilvl="3" w:tentative="1">
      <w:start w:val="1"/>
      <w:numFmt w:val="bullet"/>
      <w:lvlText w:val=""/>
      <w:lvlJc w:val="left"/>
      <w:pPr>
        <w:ind w:left="3870" w:hanging="360"/>
      </w:pPr>
      <w:rPr>
        <w:rFonts w:ascii="Symbol" w:hAnsi="Symbol" w:hint="default"/>
      </w:rPr>
    </w:lvl>
    <w:lvl w:ilvl="4" w:tentative="1">
      <w:start w:val="1"/>
      <w:numFmt w:val="bullet"/>
      <w:lvlText w:val="o"/>
      <w:lvlJc w:val="left"/>
      <w:pPr>
        <w:ind w:left="4590" w:hanging="360"/>
      </w:pPr>
      <w:rPr>
        <w:rFonts w:ascii="Courier New" w:hAnsi="Courier New" w:hint="default"/>
      </w:rPr>
    </w:lvl>
    <w:lvl w:ilvl="5" w:tentative="1">
      <w:start w:val="1"/>
      <w:numFmt w:val="bullet"/>
      <w:lvlText w:val=""/>
      <w:lvlJc w:val="left"/>
      <w:pPr>
        <w:ind w:left="5310" w:hanging="360"/>
      </w:pPr>
      <w:rPr>
        <w:rFonts w:ascii="Wingdings" w:hAnsi="Wingdings" w:hint="default"/>
      </w:rPr>
    </w:lvl>
    <w:lvl w:ilvl="6" w:tentative="1">
      <w:start w:val="1"/>
      <w:numFmt w:val="bullet"/>
      <w:lvlText w:val=""/>
      <w:lvlJc w:val="left"/>
      <w:pPr>
        <w:ind w:left="6030" w:hanging="360"/>
      </w:pPr>
      <w:rPr>
        <w:rFonts w:ascii="Symbol" w:hAnsi="Symbol" w:hint="default"/>
      </w:rPr>
    </w:lvl>
    <w:lvl w:ilvl="7" w:tentative="1">
      <w:start w:val="1"/>
      <w:numFmt w:val="bullet"/>
      <w:lvlText w:val="o"/>
      <w:lvlJc w:val="left"/>
      <w:pPr>
        <w:ind w:left="6750" w:hanging="360"/>
      </w:pPr>
      <w:rPr>
        <w:rFonts w:ascii="Courier New" w:hAnsi="Courier New" w:hint="default"/>
      </w:rPr>
    </w:lvl>
    <w:lvl w:ilvl="8" w:tentative="1">
      <w:start w:val="1"/>
      <w:numFmt w:val="bullet"/>
      <w:lvlText w:val=""/>
      <w:lvlJc w:val="left"/>
      <w:pPr>
        <w:ind w:left="7470" w:hanging="360"/>
      </w:pPr>
      <w:rPr>
        <w:rFonts w:ascii="Wingdings" w:hAnsi="Wingdings" w:hint="default"/>
      </w:rPr>
    </w:lvl>
  </w:abstractNum>
  <w:num w:numId="1" w16cid:durableId="642547022">
    <w:abstractNumId w:val="7"/>
  </w:num>
  <w:num w:numId="2" w16cid:durableId="2067414585">
    <w:abstractNumId w:val="1"/>
  </w:num>
  <w:num w:numId="3" w16cid:durableId="296421209">
    <w:abstractNumId w:val="2"/>
  </w:num>
  <w:num w:numId="4" w16cid:durableId="1288008014">
    <w:abstractNumId w:val="0"/>
  </w:num>
  <w:num w:numId="5" w16cid:durableId="106700401">
    <w:abstractNumId w:val="10"/>
  </w:num>
  <w:num w:numId="6" w16cid:durableId="2001423671">
    <w:abstractNumId w:val="8"/>
  </w:num>
  <w:num w:numId="7" w16cid:durableId="281691690">
    <w:abstractNumId w:val="4"/>
  </w:num>
  <w:num w:numId="8" w16cid:durableId="1243951393">
    <w:abstractNumId w:val="6"/>
  </w:num>
  <w:num w:numId="9" w16cid:durableId="1221864764">
    <w:abstractNumId w:val="9"/>
  </w:num>
  <w:num w:numId="10" w16cid:durableId="1385057158">
    <w:abstractNumId w:val="3"/>
  </w:num>
  <w:num w:numId="11" w16cid:durableId="16355980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4A3"/>
    <w:rsid w:val="00005BCF"/>
    <w:rsid w:val="00020CDC"/>
    <w:rsid w:val="0003174D"/>
    <w:rsid w:val="00051DB6"/>
    <w:rsid w:val="000712DC"/>
    <w:rsid w:val="00075303"/>
    <w:rsid w:val="00096835"/>
    <w:rsid w:val="000A65F3"/>
    <w:rsid w:val="000C5523"/>
    <w:rsid w:val="000D67E2"/>
    <w:rsid w:val="000D7176"/>
    <w:rsid w:val="0011503E"/>
    <w:rsid w:val="00121C50"/>
    <w:rsid w:val="00142214"/>
    <w:rsid w:val="001509ED"/>
    <w:rsid w:val="00173189"/>
    <w:rsid w:val="0018551F"/>
    <w:rsid w:val="00195400"/>
    <w:rsid w:val="001A10B6"/>
    <w:rsid w:val="001A4F97"/>
    <w:rsid w:val="001C4726"/>
    <w:rsid w:val="001D433C"/>
    <w:rsid w:val="001E004B"/>
    <w:rsid w:val="001F2A5D"/>
    <w:rsid w:val="0024688B"/>
    <w:rsid w:val="002616EA"/>
    <w:rsid w:val="00281F97"/>
    <w:rsid w:val="002847B4"/>
    <w:rsid w:val="002853B0"/>
    <w:rsid w:val="002864BB"/>
    <w:rsid w:val="0029442A"/>
    <w:rsid w:val="002D1769"/>
    <w:rsid w:val="002D2C1C"/>
    <w:rsid w:val="002D58BF"/>
    <w:rsid w:val="002F0A91"/>
    <w:rsid w:val="003036FF"/>
    <w:rsid w:val="003168D2"/>
    <w:rsid w:val="00317462"/>
    <w:rsid w:val="00324E6B"/>
    <w:rsid w:val="003338C3"/>
    <w:rsid w:val="00361E1E"/>
    <w:rsid w:val="00373ED8"/>
    <w:rsid w:val="00383030"/>
    <w:rsid w:val="003A2A04"/>
    <w:rsid w:val="003C37B8"/>
    <w:rsid w:val="003E3253"/>
    <w:rsid w:val="00401A8A"/>
    <w:rsid w:val="00412D5F"/>
    <w:rsid w:val="00414D83"/>
    <w:rsid w:val="00440038"/>
    <w:rsid w:val="00462D56"/>
    <w:rsid w:val="00462F60"/>
    <w:rsid w:val="00471381"/>
    <w:rsid w:val="00497E0B"/>
    <w:rsid w:val="004A4C59"/>
    <w:rsid w:val="004C4367"/>
    <w:rsid w:val="004D1876"/>
    <w:rsid w:val="004D6D84"/>
    <w:rsid w:val="004D7421"/>
    <w:rsid w:val="004E7B81"/>
    <w:rsid w:val="00503AAC"/>
    <w:rsid w:val="00512A3C"/>
    <w:rsid w:val="0052121E"/>
    <w:rsid w:val="00565D70"/>
    <w:rsid w:val="00574D7A"/>
    <w:rsid w:val="005B6FA7"/>
    <w:rsid w:val="005D2FE1"/>
    <w:rsid w:val="005D7452"/>
    <w:rsid w:val="005E66F7"/>
    <w:rsid w:val="005F15BB"/>
    <w:rsid w:val="00606638"/>
    <w:rsid w:val="0061500B"/>
    <w:rsid w:val="00635FAE"/>
    <w:rsid w:val="00647F97"/>
    <w:rsid w:val="00652F4C"/>
    <w:rsid w:val="00692309"/>
    <w:rsid w:val="00697A37"/>
    <w:rsid w:val="006A0452"/>
    <w:rsid w:val="006A13B2"/>
    <w:rsid w:val="006A7DD6"/>
    <w:rsid w:val="006B23FE"/>
    <w:rsid w:val="006B4247"/>
    <w:rsid w:val="006B5B26"/>
    <w:rsid w:val="006C65B7"/>
    <w:rsid w:val="006E11B2"/>
    <w:rsid w:val="00703ECB"/>
    <w:rsid w:val="00712682"/>
    <w:rsid w:val="00723A34"/>
    <w:rsid w:val="00727480"/>
    <w:rsid w:val="00731A90"/>
    <w:rsid w:val="00782F33"/>
    <w:rsid w:val="007844D0"/>
    <w:rsid w:val="00784EE8"/>
    <w:rsid w:val="00790D1D"/>
    <w:rsid w:val="007B274F"/>
    <w:rsid w:val="007C6837"/>
    <w:rsid w:val="007C6F0C"/>
    <w:rsid w:val="007D1404"/>
    <w:rsid w:val="007D6DAF"/>
    <w:rsid w:val="007E3A41"/>
    <w:rsid w:val="007E3BBD"/>
    <w:rsid w:val="007E5FB2"/>
    <w:rsid w:val="007F7BC9"/>
    <w:rsid w:val="00805511"/>
    <w:rsid w:val="00807C1A"/>
    <w:rsid w:val="00817925"/>
    <w:rsid w:val="0086426A"/>
    <w:rsid w:val="00876F23"/>
    <w:rsid w:val="00877FB0"/>
    <w:rsid w:val="008873E8"/>
    <w:rsid w:val="008F53AC"/>
    <w:rsid w:val="00905E1E"/>
    <w:rsid w:val="0093453C"/>
    <w:rsid w:val="00937193"/>
    <w:rsid w:val="009431C3"/>
    <w:rsid w:val="00967A7E"/>
    <w:rsid w:val="0099128A"/>
    <w:rsid w:val="00994D3E"/>
    <w:rsid w:val="009A6AB2"/>
    <w:rsid w:val="009B6429"/>
    <w:rsid w:val="009C5D46"/>
    <w:rsid w:val="009D2490"/>
    <w:rsid w:val="009E60FB"/>
    <w:rsid w:val="009E64F1"/>
    <w:rsid w:val="009F4532"/>
    <w:rsid w:val="00A61329"/>
    <w:rsid w:val="00A61517"/>
    <w:rsid w:val="00A63E49"/>
    <w:rsid w:val="00A700DA"/>
    <w:rsid w:val="00A92D47"/>
    <w:rsid w:val="00AA35E1"/>
    <w:rsid w:val="00AD251A"/>
    <w:rsid w:val="00AD2B69"/>
    <w:rsid w:val="00AF79FB"/>
    <w:rsid w:val="00B000D5"/>
    <w:rsid w:val="00B02E60"/>
    <w:rsid w:val="00B0375D"/>
    <w:rsid w:val="00B23171"/>
    <w:rsid w:val="00B26610"/>
    <w:rsid w:val="00B35942"/>
    <w:rsid w:val="00B434D6"/>
    <w:rsid w:val="00B46EDD"/>
    <w:rsid w:val="00B504DA"/>
    <w:rsid w:val="00B662BE"/>
    <w:rsid w:val="00B723D8"/>
    <w:rsid w:val="00B92CD6"/>
    <w:rsid w:val="00B931D9"/>
    <w:rsid w:val="00BA19E0"/>
    <w:rsid w:val="00BA29C4"/>
    <w:rsid w:val="00BD18FD"/>
    <w:rsid w:val="00BF402A"/>
    <w:rsid w:val="00BF74B2"/>
    <w:rsid w:val="00C01FB0"/>
    <w:rsid w:val="00C2633A"/>
    <w:rsid w:val="00C46EA0"/>
    <w:rsid w:val="00C51500"/>
    <w:rsid w:val="00C51CA5"/>
    <w:rsid w:val="00C56B13"/>
    <w:rsid w:val="00C7130C"/>
    <w:rsid w:val="00C806D4"/>
    <w:rsid w:val="00C96990"/>
    <w:rsid w:val="00CA0749"/>
    <w:rsid w:val="00CA613E"/>
    <w:rsid w:val="00CC299C"/>
    <w:rsid w:val="00D10113"/>
    <w:rsid w:val="00D1076C"/>
    <w:rsid w:val="00D40E93"/>
    <w:rsid w:val="00D664A3"/>
    <w:rsid w:val="00D807AF"/>
    <w:rsid w:val="00DB04B6"/>
    <w:rsid w:val="00E26D96"/>
    <w:rsid w:val="00E47BDF"/>
    <w:rsid w:val="00E5596D"/>
    <w:rsid w:val="00E72F1F"/>
    <w:rsid w:val="00EA72EA"/>
    <w:rsid w:val="00EB2791"/>
    <w:rsid w:val="00EC20E9"/>
    <w:rsid w:val="00ED73FC"/>
    <w:rsid w:val="00F034F1"/>
    <w:rsid w:val="00F115F5"/>
    <w:rsid w:val="00F30B4A"/>
    <w:rsid w:val="00F80067"/>
    <w:rsid w:val="00FC0C5F"/>
    <w:rsid w:val="00FD5E3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6FA4780"/>
  <w15:chartTrackingRefBased/>
  <w15:docId w15:val="{42D1918C-952E-43A0-B855-DB75289A5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ootnote Reference),12,BVI fnr,EN Footnote Reference,Exposant 3 Point,Footnote,Footnote Reference Superscript,Footnote reference number,Footnote symbol,SUPERS,Style 16,Style 19,Style 39,Times 10 Point,Voetnootverwijzing,fr,note TESI"/>
    <w:qFormat/>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FootnoteText">
    <w:name w:val="footnote text"/>
    <w:aliases w:val="Footnote Text Char,Footnote Text Char Char Char,Footnote Text Char Char Char Char Char,Footnote Text Char Char Char Char Char Char Char Char Char Char Char Char Char Char Char Char Char Char,Footnote Text Char1 Char Char Char,fn Char"/>
    <w:basedOn w:val="Normal"/>
    <w:link w:val="FootnoteTextChar1"/>
    <w:uiPriority w:val="99"/>
    <w:rsid w:val="004D1876"/>
    <w:pPr>
      <w:widowControl/>
    </w:pPr>
    <w:rPr>
      <w:rFonts w:ascii="Times New Roman" w:hAnsi="Times New Roman"/>
      <w:snapToGrid/>
      <w:sz w:val="20"/>
    </w:rPr>
  </w:style>
  <w:style w:type="character" w:customStyle="1" w:styleId="FootnoteTextChar1">
    <w:name w:val="Footnote Text Char1"/>
    <w:aliases w:val="Footnote Text Char Char,Footnote Text Char Char Char Char,Footnote Text Char Char Char Char Char Char,Footnote Text Char Char Char Char Char Char Char Char Char Char Char Char Char Char Char Char Char Char Char,fn Char Char"/>
    <w:link w:val="FootnoteText"/>
    <w:semiHidden/>
    <w:locked/>
    <w:rsid w:val="004D1876"/>
    <w:rPr>
      <w:lang w:val="en-US" w:eastAsia="en-US" w:bidi="ar-SA"/>
    </w:rPr>
  </w:style>
  <w:style w:type="paragraph" w:styleId="NormalWeb">
    <w:name w:val="Normal (Web)"/>
    <w:basedOn w:val="Normal"/>
    <w:rsid w:val="004D1876"/>
    <w:pPr>
      <w:widowControl/>
      <w:spacing w:before="100" w:beforeAutospacing="1" w:after="100" w:afterAutospacing="1"/>
    </w:pPr>
    <w:rPr>
      <w:rFonts w:ascii="Times New Roman" w:hAnsi="Times New Roman"/>
      <w:snapToGrid/>
      <w:szCs w:val="24"/>
    </w:rPr>
  </w:style>
  <w:style w:type="paragraph" w:styleId="NoSpacing">
    <w:name w:val="No Spacing"/>
    <w:qFormat/>
    <w:rsid w:val="004D1876"/>
    <w:rPr>
      <w:rFonts w:ascii="Calibri" w:hAnsi="Calibri"/>
      <w:sz w:val="22"/>
      <w:szCs w:val="22"/>
    </w:rPr>
  </w:style>
  <w:style w:type="paragraph" w:styleId="ListParagraph">
    <w:name w:val="List Paragraph"/>
    <w:basedOn w:val="Normal"/>
    <w:qFormat/>
    <w:rsid w:val="004D1876"/>
    <w:pPr>
      <w:widowControl/>
      <w:ind w:left="720"/>
      <w:contextualSpacing/>
    </w:pPr>
    <w:rPr>
      <w:rFonts w:ascii="Times New Roman" w:hAnsi="Times New Roman"/>
      <w:snapToGrid/>
      <w:szCs w:val="22"/>
    </w:rPr>
  </w:style>
  <w:style w:type="paragraph" w:styleId="CommentText">
    <w:name w:val="annotation text"/>
    <w:basedOn w:val="Normal"/>
    <w:link w:val="CommentTextChar"/>
    <w:rsid w:val="005D2FE1"/>
    <w:pPr>
      <w:widowControl/>
    </w:pPr>
    <w:rPr>
      <w:rFonts w:ascii="Times New Roman" w:hAnsi="Times New Roman"/>
      <w:snapToGrid/>
      <w:sz w:val="20"/>
    </w:rPr>
  </w:style>
  <w:style w:type="character" w:styleId="CommentReference">
    <w:name w:val="annotation reference"/>
    <w:rsid w:val="005D2FE1"/>
    <w:rPr>
      <w:rFonts w:ascii="Times New Roman" w:hAnsi="Times New Roman" w:cs="Times New Roman"/>
      <w:sz w:val="16"/>
    </w:rPr>
  </w:style>
  <w:style w:type="character" w:customStyle="1" w:styleId="CommentTextChar">
    <w:name w:val="Comment Text Char"/>
    <w:link w:val="CommentText"/>
    <w:locked/>
    <w:rsid w:val="005D2FE1"/>
    <w:rPr>
      <w:lang w:val="en-US" w:eastAsia="en-US" w:bidi="ar-SA"/>
    </w:rPr>
  </w:style>
  <w:style w:type="character" w:customStyle="1" w:styleId="documentbody1">
    <w:name w:val="documentbody1"/>
    <w:rsid w:val="005D2FE1"/>
    <w:rPr>
      <w:rFonts w:ascii="Verdana" w:hAnsi="Verdana"/>
      <w:sz w:val="19"/>
    </w:rPr>
  </w:style>
  <w:style w:type="paragraph" w:styleId="CommentSubject">
    <w:name w:val="annotation subject"/>
    <w:basedOn w:val="CommentText"/>
    <w:next w:val="CommentText"/>
    <w:link w:val="CommentSubjectChar"/>
    <w:rsid w:val="00C46EA0"/>
    <w:pPr>
      <w:widowControl w:val="0"/>
    </w:pPr>
    <w:rPr>
      <w:rFonts w:ascii="Courier" w:hAnsi="Courier"/>
      <w:b/>
      <w:bCs/>
      <w:snapToGrid w:val="0"/>
    </w:rPr>
  </w:style>
  <w:style w:type="character" w:customStyle="1" w:styleId="CommentSubjectChar">
    <w:name w:val="Comment Subject Char"/>
    <w:link w:val="CommentSubject"/>
    <w:rsid w:val="00C46EA0"/>
    <w:rPr>
      <w:rFonts w:ascii="Courier" w:hAnsi="Courier"/>
      <w:b/>
      <w:bCs/>
      <w:snapToGrid w:val="0"/>
      <w:lang w:val="en-US" w:eastAsia="en-US" w:bidi="ar-SA"/>
    </w:rPr>
  </w:style>
  <w:style w:type="table" w:customStyle="1" w:styleId="TableGrid1">
    <w:name w:val="Table Grid1"/>
    <w:basedOn w:val="TableNormal"/>
    <w:next w:val="TableGrid"/>
    <w:uiPriority w:val="59"/>
    <w:rsid w:val="002847B4"/>
    <w:pPr>
      <w:jc w:val="both"/>
    </w:pPr>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2847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847B4"/>
    <w:rPr>
      <w:rFonts w:ascii="Courier" w:hAnsi="Courier"/>
      <w:snapToGrid w:val="0"/>
      <w:sz w:val="24"/>
    </w:rPr>
  </w:style>
  <w:style w:type="paragraph" w:styleId="BodyTextIndent">
    <w:name w:val="Body Text Indent"/>
    <w:basedOn w:val="Normal"/>
    <w:link w:val="BodyTextIndentChar"/>
    <w:rsid w:val="00D807AF"/>
    <w:pPr>
      <w:ind w:left="720"/>
    </w:pPr>
    <w:rPr>
      <w:rFonts w:ascii="Times New Roman" w:hAnsi="Times New Roman"/>
    </w:rPr>
  </w:style>
  <w:style w:type="character" w:customStyle="1" w:styleId="BodyTextIndentChar">
    <w:name w:val="Body Text Indent Char"/>
    <w:link w:val="BodyTextIndent"/>
    <w:rsid w:val="00D807AF"/>
    <w:rPr>
      <w:snapToGrid w:val="0"/>
      <w:sz w:val="24"/>
    </w:rPr>
  </w:style>
  <w:style w:type="paragraph" w:styleId="BlockText">
    <w:name w:val="Block Text"/>
    <w:basedOn w:val="Normal"/>
    <w:rsid w:val="00DB04B6"/>
    <w:pPr>
      <w:widowControl/>
      <w:tabs>
        <w:tab w:val="left" w:pos="-240"/>
        <w:tab w:val="left" w:pos="480"/>
        <w:tab w:val="left" w:pos="1080"/>
        <w:tab w:val="left" w:pos="1680"/>
        <w:tab w:val="left" w:pos="2280"/>
        <w:tab w:val="left" w:pos="2880"/>
        <w:tab w:val="left" w:pos="3600"/>
        <w:tab w:val="left" w:pos="4320"/>
        <w:tab w:val="left" w:pos="5040"/>
        <w:tab w:val="left" w:pos="5760"/>
        <w:tab w:val="right" w:pos="6480"/>
        <w:tab w:val="left" w:pos="7200"/>
        <w:tab w:val="left" w:pos="7920"/>
      </w:tabs>
      <w:ind w:left="1080" w:right="960"/>
    </w:pPr>
    <w:rPr>
      <w:rFonts w:ascii="Times New Roman" w:hAnsi="Times New Roman"/>
    </w:rPr>
  </w:style>
  <w:style w:type="paragraph" w:styleId="BodyTextIndent2">
    <w:name w:val="Body Text Indent 2"/>
    <w:basedOn w:val="Normal"/>
    <w:link w:val="BodyTextIndent2Char"/>
    <w:rsid w:val="001509ED"/>
    <w:pPr>
      <w:spacing w:after="120" w:line="480" w:lineRule="auto"/>
      <w:ind w:left="360"/>
    </w:pPr>
  </w:style>
  <w:style w:type="character" w:customStyle="1" w:styleId="BodyTextIndent2Char">
    <w:name w:val="Body Text Indent 2 Char"/>
    <w:link w:val="BodyTextIndent2"/>
    <w:rsid w:val="001509ED"/>
    <w:rPr>
      <w:rFonts w:ascii="Courier" w:hAnsi="Courier"/>
      <w:snapToGrid w:val="0"/>
      <w:sz w:val="24"/>
    </w:rPr>
  </w:style>
  <w:style w:type="character" w:customStyle="1" w:styleId="ms-rtethemefontface-1">
    <w:name w:val="ms-rtethemefontface-1"/>
    <w:rsid w:val="003036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DBC21-7372-4A1F-A25F-4F1C2397DDAC}">
  <ds:schemaRefs>
    <ds:schemaRef ds:uri="http://schemas.openxmlformats.org/officeDocument/2006/bibliography"/>
  </ds:schemaRefs>
</ds:datastoreItem>
</file>

<file path=docMetadata/LabelInfo.xml><?xml version="1.0" encoding="utf-8"?>
<clbl:labelList xmlns:clbl="http://schemas.microsoft.com/office/2020/mipLabelMetadata">
  <clbl:label id="{3be8ab8c-433c-4394-a4fb-cd2d5c4d0a5e}" enabled="1" method="Privileged" siteId="{26c83bc9-31c1-4d77-a523-0816095aba31}"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1087</Words>
  <Characters>6196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Gofney, Rashida K.</dc:creator>
  <cp:lastModifiedBy>Meiers, Robert M.</cp:lastModifiedBy>
  <cp:revision>2</cp:revision>
  <dcterms:created xsi:type="dcterms:W3CDTF">2026-03-25T19:47:00Z</dcterms:created>
  <dcterms:modified xsi:type="dcterms:W3CDTF">2026-03-25T19:47:00Z</dcterms:modified>
</cp:coreProperties>
</file>