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6FFC" w:rsidRPr="00D86FFC" w:rsidP="00EE02DF" w14:paraId="1F58CC59" w14:textId="1501C64E">
      <w:pPr>
        <w:tabs>
          <w:tab w:val="left" w:pos="7920"/>
        </w:tabs>
        <w:suppressAutoHyphens/>
        <w:jc w:val="center"/>
        <w:rPr>
          <w:rFonts w:ascii="Times New Roman" w:hAnsi="Times New Roman"/>
          <w:b/>
        </w:rPr>
      </w:pPr>
      <w:r w:rsidRPr="00D86FFC">
        <w:rPr>
          <w:rFonts w:ascii="Times New Roman" w:hAnsi="Times New Roman"/>
          <w:b/>
        </w:rPr>
        <w:t xml:space="preserve">SUPPORTING STATEMENT FOR THE </w:t>
      </w:r>
      <w:r>
        <w:rPr>
          <w:rFonts w:ascii="Times New Roman" w:hAnsi="Times New Roman"/>
          <w:b/>
        </w:rPr>
        <w:t xml:space="preserve">EXTENSION </w:t>
      </w:r>
      <w:r w:rsidRPr="00D86FFC">
        <w:rPr>
          <w:rFonts w:ascii="Times New Roman" w:hAnsi="Times New Roman"/>
          <w:b/>
        </w:rPr>
        <w:t>OF AN</w:t>
      </w:r>
    </w:p>
    <w:p w:rsidR="00D86FFC" w:rsidRPr="00D86FFC" w:rsidP="00DC0A22" w14:paraId="2CA42D3A" w14:textId="77777777">
      <w:pPr>
        <w:suppressAutoHyphens/>
        <w:spacing w:after="240"/>
        <w:jc w:val="center"/>
        <w:rPr>
          <w:rFonts w:ascii="Times New Roman" w:hAnsi="Times New Roman"/>
          <w:b/>
        </w:rPr>
      </w:pPr>
      <w:r w:rsidRPr="00D86FFC">
        <w:rPr>
          <w:rFonts w:ascii="Times New Roman" w:hAnsi="Times New Roman"/>
          <w:b/>
        </w:rPr>
        <w:t>EXISTING INFORMATION COLLECTION</w:t>
      </w:r>
    </w:p>
    <w:p w:rsidR="005B11FC" w:rsidRPr="00DC0A22" w14:paraId="071C3746" w14:textId="1A1EB24F">
      <w:pPr>
        <w:suppressAutoHyphens/>
        <w:spacing w:after="240"/>
        <w:jc w:val="center"/>
        <w:rPr>
          <w:rFonts w:ascii="Times New Roman" w:hAnsi="Times New Roman"/>
          <w:b/>
        </w:rPr>
      </w:pPr>
      <w:r>
        <w:rPr>
          <w:rFonts w:ascii="Times New Roman" w:hAnsi="Times New Roman"/>
          <w:b/>
        </w:rPr>
        <w:t>Swap Recordkeeping Requirements</w:t>
      </w:r>
    </w:p>
    <w:p w:rsidR="008377C4" w14:paraId="725047C9" w14:textId="77777777">
      <w:pPr>
        <w:tabs>
          <w:tab w:val="center" w:pos="4680"/>
        </w:tabs>
        <w:suppressAutoHyphens/>
        <w:spacing w:after="240"/>
        <w:jc w:val="center"/>
        <w:rPr>
          <w:rFonts w:ascii="Times New Roman" w:hAnsi="Times New Roman"/>
          <w:b/>
        </w:rPr>
      </w:pPr>
      <w:r>
        <w:rPr>
          <w:rFonts w:ascii="Times New Roman" w:hAnsi="Times New Roman"/>
          <w:b/>
        </w:rPr>
        <w:t>OMB CONTROL NUMBER 3038</w:t>
      </w:r>
      <w:r w:rsidR="00041771">
        <w:rPr>
          <w:rFonts w:ascii="Times New Roman" w:hAnsi="Times New Roman"/>
          <w:b/>
        </w:rPr>
        <w:t>-0090</w:t>
      </w:r>
    </w:p>
    <w:p w:rsidR="008377C4" w:rsidP="00EF01D3" w14:paraId="725047CA" w14:textId="77777777">
      <w:pPr>
        <w:pStyle w:val="Heading1"/>
        <w:keepNext w:val="0"/>
        <w:spacing w:after="240"/>
        <w:rPr>
          <w:rFonts w:ascii="Times New Roman" w:hAnsi="Times New Roman"/>
          <w:szCs w:val="24"/>
        </w:rPr>
      </w:pPr>
      <w:r>
        <w:rPr>
          <w:rFonts w:ascii="Times New Roman" w:hAnsi="Times New Roman"/>
          <w:szCs w:val="24"/>
        </w:rPr>
        <w:t>Justification</w:t>
      </w:r>
    </w:p>
    <w:p w:rsidR="008377C4" w:rsidP="00EF01D3" w14:paraId="725047CC" w14:textId="77777777">
      <w:pPr>
        <w:tabs>
          <w:tab w:val="left" w:pos="-720"/>
        </w:tabs>
        <w:spacing w:after="240"/>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377C4" w:rsidP="00EF01D3" w14:paraId="725047CE" w14:textId="44E98E24">
      <w:pPr>
        <w:pStyle w:val="Default"/>
        <w:spacing w:after="240"/>
        <w:jc w:val="both"/>
        <w:rPr>
          <w:rFonts w:ascii="Times New Roman" w:hAnsi="Times New Roman" w:cs="Times New Roman"/>
        </w:rPr>
      </w:pPr>
      <w:r>
        <w:rPr>
          <w:rFonts w:ascii="Times New Roman" w:hAnsi="Times New Roman" w:cs="Times New Roman"/>
        </w:rPr>
        <w:t>Title VII of the Dodd-Frank Wall Street Reform and Consumer Protection Act (</w:t>
      </w:r>
      <w:r w:rsidR="00C7760A">
        <w:rPr>
          <w:rFonts w:ascii="Times New Roman" w:hAnsi="Times New Roman" w:cs="Times New Roman"/>
        </w:rPr>
        <w:t>“</w:t>
      </w:r>
      <w:r>
        <w:rPr>
          <w:rFonts w:ascii="Times New Roman" w:hAnsi="Times New Roman" w:cs="Times New Roman"/>
        </w:rPr>
        <w:t>Dodd-Frank Act</w:t>
      </w:r>
      <w:r w:rsidR="00C7760A">
        <w:rPr>
          <w:rFonts w:ascii="Times New Roman" w:hAnsi="Times New Roman" w:cs="Times New Roman"/>
        </w:rPr>
        <w:t>”</w:t>
      </w:r>
      <w:r>
        <w:rPr>
          <w:rFonts w:ascii="Times New Roman" w:hAnsi="Times New Roman" w:cs="Times New Roman"/>
        </w:rPr>
        <w:t>, Pub L. No. 111-203, 124 Stat. 1376 (2010)) amended the Commodity Exchange Act (</w:t>
      </w:r>
      <w:r w:rsidR="00B753A4">
        <w:rPr>
          <w:rFonts w:ascii="Times New Roman" w:hAnsi="Times New Roman" w:cs="Times New Roman"/>
        </w:rPr>
        <w:t>“</w:t>
      </w:r>
      <w:r>
        <w:rPr>
          <w:rFonts w:ascii="Times New Roman" w:hAnsi="Times New Roman" w:cs="Times New Roman"/>
        </w:rPr>
        <w:t>CEA</w:t>
      </w:r>
      <w:r w:rsidR="00B753A4">
        <w:rPr>
          <w:rFonts w:ascii="Times New Roman" w:hAnsi="Times New Roman" w:cs="Times New Roman"/>
        </w:rPr>
        <w:t>”</w:t>
      </w:r>
      <w:r>
        <w:rPr>
          <w:rFonts w:ascii="Times New Roman" w:hAnsi="Times New Roman" w:cs="Times New Roman"/>
        </w:rPr>
        <w:t xml:space="preserve">) to </w:t>
      </w:r>
      <w:r w:rsidR="00CE5BAE">
        <w:rPr>
          <w:rFonts w:ascii="Times New Roman" w:hAnsi="Times New Roman" w:cs="Times New Roman"/>
        </w:rPr>
        <w:t>establish a comprehensive new statutory framework for swaps.  These amendments require</w:t>
      </w:r>
      <w:r w:rsidR="008F6626">
        <w:rPr>
          <w:rFonts w:ascii="Times New Roman" w:hAnsi="Times New Roman" w:cs="Times New Roman"/>
        </w:rPr>
        <w:t>d</w:t>
      </w:r>
      <w:r w:rsidR="00CE5BAE">
        <w:rPr>
          <w:rFonts w:ascii="Times New Roman" w:hAnsi="Times New Roman" w:cs="Times New Roman"/>
        </w:rPr>
        <w:t xml:space="preserve"> the Commodity Futures Trading Commission (“</w:t>
      </w:r>
      <w:r w:rsidR="00B753A4">
        <w:rPr>
          <w:rFonts w:ascii="Times New Roman" w:hAnsi="Times New Roman" w:cs="Times New Roman"/>
        </w:rPr>
        <w:t>CFTC” or “</w:t>
      </w:r>
      <w:r w:rsidR="00CE5BAE">
        <w:rPr>
          <w:rFonts w:ascii="Times New Roman" w:hAnsi="Times New Roman" w:cs="Times New Roman"/>
        </w:rPr>
        <w:t>Commission”) to amend several of its regulations to implement the new framework.</w:t>
      </w:r>
    </w:p>
    <w:p w:rsidR="00432927" w:rsidP="00EF01D3" w14:paraId="725047D0" w14:textId="73E074E2">
      <w:pPr>
        <w:pStyle w:val="Default"/>
        <w:spacing w:after="240"/>
        <w:jc w:val="both"/>
        <w:rPr>
          <w:rFonts w:ascii="Times New Roman" w:hAnsi="Times New Roman" w:cs="Times New Roman"/>
        </w:rPr>
      </w:pPr>
      <w:r>
        <w:rPr>
          <w:rFonts w:ascii="Times New Roman" w:hAnsi="Times New Roman" w:cs="Times New Roman"/>
        </w:rPr>
        <w:t xml:space="preserve">The information collection obligations imposed by the </w:t>
      </w:r>
      <w:r w:rsidR="004E6BC6">
        <w:rPr>
          <w:rFonts w:ascii="Times New Roman" w:hAnsi="Times New Roman" w:cs="Times New Roman"/>
        </w:rPr>
        <w:t xml:space="preserve">“Adaptation of Regulations to Incorporate Swaps” </w:t>
      </w:r>
      <w:r w:rsidR="00357332">
        <w:rPr>
          <w:rFonts w:ascii="Times New Roman" w:hAnsi="Times New Roman" w:cs="Times New Roman"/>
        </w:rPr>
        <w:t xml:space="preserve">final </w:t>
      </w:r>
      <w:r>
        <w:rPr>
          <w:rFonts w:ascii="Times New Roman" w:hAnsi="Times New Roman" w:cs="Times New Roman"/>
        </w:rPr>
        <w:t>regulations</w:t>
      </w:r>
      <w:r>
        <w:rPr>
          <w:rStyle w:val="FootnoteReference"/>
          <w:rFonts w:ascii="Times New Roman" w:hAnsi="Times New Roman" w:cs="Times New Roman"/>
        </w:rPr>
        <w:footnoteReference w:id="3"/>
      </w:r>
      <w:r>
        <w:rPr>
          <w:rFonts w:ascii="Times New Roman" w:hAnsi="Times New Roman" w:cs="Times New Roman"/>
        </w:rPr>
        <w:t xml:space="preserve"> are necessary to implement </w:t>
      </w:r>
      <w:r w:rsidR="00CE5BAE">
        <w:rPr>
          <w:rFonts w:ascii="Times New Roman" w:hAnsi="Times New Roman" w:cs="Times New Roman"/>
        </w:rPr>
        <w:t xml:space="preserve">section 721 of the Dodd-Frank Act, which amended the definitions of futures commission merchant </w:t>
      </w:r>
      <w:r w:rsidR="005556BF">
        <w:rPr>
          <w:rFonts w:ascii="Times New Roman" w:hAnsi="Times New Roman" w:cs="Times New Roman"/>
        </w:rPr>
        <w:t xml:space="preserve">(“FCM”) </w:t>
      </w:r>
      <w:r w:rsidR="00CE5BAE">
        <w:rPr>
          <w:rFonts w:ascii="Times New Roman" w:hAnsi="Times New Roman" w:cs="Times New Roman"/>
        </w:rPr>
        <w:t xml:space="preserve">and introducing broker </w:t>
      </w:r>
      <w:r w:rsidR="00020CEA">
        <w:rPr>
          <w:rFonts w:ascii="Times New Roman" w:hAnsi="Times New Roman" w:cs="Times New Roman"/>
        </w:rPr>
        <w:t xml:space="preserve">(“IB”) </w:t>
      </w:r>
      <w:r w:rsidR="00CE5BAE">
        <w:rPr>
          <w:rFonts w:ascii="Times New Roman" w:hAnsi="Times New Roman" w:cs="Times New Roman"/>
        </w:rPr>
        <w:t xml:space="preserve">to permit these intermediaries to trade swaps on behalf of customers.  They also </w:t>
      </w:r>
      <w:r w:rsidR="00041771">
        <w:rPr>
          <w:rFonts w:ascii="Times New Roman" w:hAnsi="Times New Roman" w:cs="Times New Roman"/>
        </w:rPr>
        <w:t xml:space="preserve">are </w:t>
      </w:r>
      <w:r w:rsidR="00CE5BAE">
        <w:rPr>
          <w:rFonts w:ascii="Times New Roman" w:hAnsi="Times New Roman" w:cs="Times New Roman"/>
        </w:rPr>
        <w:t xml:space="preserve">necessary to implement section 733 of the Dodd-Frank Act which </w:t>
      </w:r>
      <w:r w:rsidR="009A5F7A">
        <w:rPr>
          <w:rFonts w:ascii="Times New Roman" w:hAnsi="Times New Roman" w:cs="Times New Roman"/>
        </w:rPr>
        <w:t xml:space="preserve">introduced swap execution facilities </w:t>
      </w:r>
      <w:r w:rsidR="005556BF">
        <w:rPr>
          <w:rFonts w:ascii="Times New Roman" w:hAnsi="Times New Roman" w:cs="Times New Roman"/>
        </w:rPr>
        <w:t xml:space="preserve">(“SEFs”) </w:t>
      </w:r>
      <w:r w:rsidR="009A5F7A">
        <w:rPr>
          <w:rFonts w:ascii="Times New Roman" w:hAnsi="Times New Roman" w:cs="Times New Roman"/>
        </w:rPr>
        <w:t xml:space="preserve">as a new trading platform for swaps.  </w:t>
      </w:r>
      <w:r w:rsidR="00CE5BAE">
        <w:rPr>
          <w:rFonts w:ascii="Times New Roman" w:hAnsi="Times New Roman" w:cs="Times New Roman"/>
        </w:rPr>
        <w:t>As a result</w:t>
      </w:r>
      <w:r w:rsidR="00041771">
        <w:rPr>
          <w:rFonts w:ascii="Times New Roman" w:hAnsi="Times New Roman" w:cs="Times New Roman"/>
        </w:rPr>
        <w:t xml:space="preserve"> of the enactment of sections 721 and 733</w:t>
      </w:r>
      <w:r w:rsidR="00CE5BAE">
        <w:rPr>
          <w:rFonts w:ascii="Times New Roman" w:hAnsi="Times New Roman" w:cs="Times New Roman"/>
        </w:rPr>
        <w:t xml:space="preserve">, the Commission needed to amend certain recordkeeping regulations </w:t>
      </w:r>
      <w:r w:rsidRPr="008371C3" w:rsidR="00CE5BAE">
        <w:rPr>
          <w:rFonts w:ascii="Times New Roman" w:hAnsi="Times New Roman" w:cs="Times New Roman"/>
        </w:rPr>
        <w:t>(1.31, 1.33, 1.35, 1.37, and 1.39)</w:t>
      </w:r>
      <w:r w:rsidRPr="008371C3">
        <w:rPr>
          <w:rFonts w:ascii="Times New Roman" w:hAnsi="Times New Roman" w:cs="Times New Roman"/>
        </w:rPr>
        <w:t xml:space="preserve"> </w:t>
      </w:r>
      <w:r w:rsidRPr="008371C3" w:rsidR="00CE5BAE">
        <w:rPr>
          <w:rFonts w:ascii="Times New Roman" w:hAnsi="Times New Roman" w:cs="Times New Roman"/>
        </w:rPr>
        <w:t>so that records of swap transactions</w:t>
      </w:r>
      <w:r w:rsidRPr="008371C3" w:rsidR="009A5F7A">
        <w:rPr>
          <w:rFonts w:ascii="Times New Roman" w:hAnsi="Times New Roman" w:cs="Times New Roman"/>
        </w:rPr>
        <w:t xml:space="preserve"> are </w:t>
      </w:r>
      <w:r w:rsidRPr="008371C3" w:rsidR="00041771">
        <w:rPr>
          <w:rFonts w:ascii="Times New Roman" w:hAnsi="Times New Roman" w:cs="Times New Roman"/>
        </w:rPr>
        <w:t>maintained</w:t>
      </w:r>
      <w:r w:rsidR="00041771">
        <w:rPr>
          <w:rFonts w:ascii="Times New Roman" w:hAnsi="Times New Roman" w:cs="Times New Roman"/>
        </w:rPr>
        <w:t xml:space="preserve"> </w:t>
      </w:r>
      <w:r w:rsidR="00CE5BAE">
        <w:rPr>
          <w:rFonts w:ascii="Times New Roman" w:hAnsi="Times New Roman" w:cs="Times New Roman"/>
        </w:rPr>
        <w:t xml:space="preserve">analogously to how </w:t>
      </w:r>
      <w:r w:rsidR="009A5F7A">
        <w:rPr>
          <w:rFonts w:ascii="Times New Roman" w:hAnsi="Times New Roman" w:cs="Times New Roman"/>
        </w:rPr>
        <w:t xml:space="preserve">futures transactions are </w:t>
      </w:r>
      <w:r w:rsidR="00CE5BAE">
        <w:rPr>
          <w:rFonts w:ascii="Times New Roman" w:hAnsi="Times New Roman" w:cs="Times New Roman"/>
        </w:rPr>
        <w:t>maintain</w:t>
      </w:r>
      <w:r w:rsidR="009A5F7A">
        <w:rPr>
          <w:rFonts w:ascii="Times New Roman" w:hAnsi="Times New Roman" w:cs="Times New Roman"/>
        </w:rPr>
        <w:t>ed</w:t>
      </w:r>
      <w:r w:rsidR="00CE5BAE">
        <w:rPr>
          <w:rFonts w:ascii="Times New Roman" w:hAnsi="Times New Roman" w:cs="Times New Roman"/>
        </w:rPr>
        <w:t>.</w:t>
      </w:r>
    </w:p>
    <w:p w:rsidR="008371C3" w:rsidP="00EF01D3" w14:paraId="6F7555D6" w14:textId="7FB96C6B">
      <w:pPr>
        <w:pStyle w:val="Default"/>
        <w:spacing w:after="240"/>
        <w:jc w:val="both"/>
        <w:rPr>
          <w:rFonts w:ascii="Times New Roman" w:hAnsi="Times New Roman" w:cs="Times New Roman"/>
        </w:rPr>
      </w:pPr>
      <w:r>
        <w:rPr>
          <w:rFonts w:ascii="Times New Roman" w:hAnsi="Times New Roman" w:cs="Times New Roman"/>
        </w:rPr>
        <w:t xml:space="preserve">Further, the </w:t>
      </w:r>
      <w:r w:rsidR="005B11FC">
        <w:rPr>
          <w:rFonts w:ascii="Times New Roman" w:hAnsi="Times New Roman" w:cs="Times New Roman"/>
        </w:rPr>
        <w:t>“</w:t>
      </w:r>
      <w:r>
        <w:rPr>
          <w:rFonts w:ascii="Times New Roman" w:hAnsi="Times New Roman" w:cs="Times New Roman"/>
        </w:rPr>
        <w:t>Exclusion of Utility Operations-Related Swaps With Utility Special Entities From De Minimis Threshold for Swaps With Special Entities”</w:t>
      </w:r>
      <w:r w:rsidRPr="008371C3">
        <w:rPr>
          <w:rStyle w:val="FootnoteReference"/>
          <w:rFonts w:ascii="Times New Roman" w:hAnsi="Times New Roman" w:cs="Times New Roman"/>
        </w:rPr>
        <w:t xml:space="preserve"> </w:t>
      </w:r>
      <w:r>
        <w:rPr>
          <w:rStyle w:val="FootnoteReference"/>
          <w:rFonts w:ascii="Times New Roman" w:hAnsi="Times New Roman" w:cs="Times New Roman"/>
        </w:rPr>
        <w:footnoteReference w:id="4"/>
      </w:r>
      <w:r>
        <w:rPr>
          <w:rFonts w:ascii="Times New Roman" w:hAnsi="Times New Roman" w:cs="Times New Roman"/>
        </w:rPr>
        <w:t xml:space="preserve"> regulation amended the Commission’s swap dealer definition to permit a person to exclude “utility operations-related swaps” with “utility special entities” in their de minimis threshold calculations.  The regulation requires a person claiming the exclusion to maintain in accordance with </w:t>
      </w:r>
      <w:r w:rsidR="00647E84">
        <w:rPr>
          <w:rFonts w:ascii="Times New Roman" w:hAnsi="Times New Roman" w:cs="Times New Roman"/>
        </w:rPr>
        <w:t>Commission r</w:t>
      </w:r>
      <w:r>
        <w:rPr>
          <w:rFonts w:ascii="Times New Roman" w:hAnsi="Times New Roman" w:cs="Times New Roman"/>
        </w:rPr>
        <w:t xml:space="preserve">egulation 1.31 any written representations that the person receives </w:t>
      </w:r>
      <w:r w:rsidR="00DB73EB">
        <w:rPr>
          <w:rFonts w:ascii="Times New Roman" w:hAnsi="Times New Roman" w:cs="Times New Roman"/>
        </w:rPr>
        <w:t xml:space="preserve">from </w:t>
      </w:r>
      <w:r>
        <w:rPr>
          <w:rFonts w:ascii="Times New Roman" w:hAnsi="Times New Roman" w:cs="Times New Roman"/>
        </w:rPr>
        <w:t>utility special entities related to this exclusion.</w:t>
      </w:r>
    </w:p>
    <w:p w:rsidR="008377C4" w:rsidP="00EF01D3" w14:paraId="725047D2" w14:textId="5D88938F">
      <w:pPr>
        <w:pStyle w:val="Default"/>
        <w:spacing w:after="240"/>
        <w:jc w:val="both"/>
        <w:rPr>
          <w:rFonts w:ascii="Times New Roman" w:hAnsi="Times New Roman"/>
        </w:rPr>
      </w:pPr>
      <w:r>
        <w:rPr>
          <w:rFonts w:ascii="Times New Roman" w:hAnsi="Times New Roman" w:cs="Times New Roman"/>
        </w:rPr>
        <w:t>The</w:t>
      </w:r>
      <w:r w:rsidR="008371C3">
        <w:rPr>
          <w:rFonts w:ascii="Times New Roman" w:hAnsi="Times New Roman" w:cs="Times New Roman"/>
        </w:rPr>
        <w:t xml:space="preserve"> information collection burdens associated with these regulations (collectively, the “</w:t>
      </w:r>
      <w:r w:rsidR="001146E5">
        <w:rPr>
          <w:rFonts w:ascii="Times New Roman" w:hAnsi="Times New Roman" w:cs="Times New Roman"/>
        </w:rPr>
        <w:t>Swap Recordkeeping Requirements</w:t>
      </w:r>
      <w:r w:rsidR="008371C3">
        <w:rPr>
          <w:rFonts w:ascii="Times New Roman" w:hAnsi="Times New Roman" w:cs="Times New Roman"/>
        </w:rPr>
        <w:t xml:space="preserve">”) </w:t>
      </w:r>
      <w:r>
        <w:rPr>
          <w:rFonts w:ascii="Times New Roman" w:hAnsi="Times New Roman" w:cs="Times New Roman"/>
        </w:rPr>
        <w:t xml:space="preserve">are restricted to the costs </w:t>
      </w:r>
      <w:r>
        <w:rPr>
          <w:rFonts w:ascii="Times New Roman" w:hAnsi="Times New Roman"/>
        </w:rPr>
        <w:t xml:space="preserve">associated with the </w:t>
      </w:r>
      <w:r w:rsidRPr="0004202D">
        <w:rPr>
          <w:rFonts w:ascii="Times New Roman" w:hAnsi="Times New Roman"/>
        </w:rPr>
        <w:t>recordkeeping</w:t>
      </w:r>
      <w:r>
        <w:rPr>
          <w:rFonts w:ascii="Times New Roman" w:hAnsi="Times New Roman"/>
        </w:rPr>
        <w:t xml:space="preserve"> </w:t>
      </w:r>
      <w:r w:rsidR="0004202D">
        <w:rPr>
          <w:rFonts w:ascii="Times New Roman" w:hAnsi="Times New Roman"/>
        </w:rPr>
        <w:t xml:space="preserve">and reporting </w:t>
      </w:r>
      <w:r>
        <w:rPr>
          <w:rFonts w:ascii="Times New Roman" w:hAnsi="Times New Roman"/>
        </w:rPr>
        <w:t xml:space="preserve">requirements that </w:t>
      </w:r>
      <w:r w:rsidR="008371C3">
        <w:rPr>
          <w:rFonts w:ascii="Times New Roman" w:hAnsi="Times New Roman"/>
        </w:rPr>
        <w:t>these</w:t>
      </w:r>
      <w:r w:rsidR="003644D2">
        <w:rPr>
          <w:rFonts w:ascii="Times New Roman" w:hAnsi="Times New Roman"/>
        </w:rPr>
        <w:t xml:space="preserve"> </w:t>
      </w:r>
      <w:r>
        <w:rPr>
          <w:rFonts w:ascii="Times New Roman" w:hAnsi="Times New Roman"/>
        </w:rPr>
        <w:t>regulations impose upon affected registrants</w:t>
      </w:r>
      <w:r w:rsidR="009A5F7A">
        <w:rPr>
          <w:rFonts w:ascii="Times New Roman" w:hAnsi="Times New Roman"/>
        </w:rPr>
        <w:t xml:space="preserve">, registered entities, </w:t>
      </w:r>
      <w:r w:rsidR="00357332">
        <w:rPr>
          <w:rFonts w:ascii="Times New Roman" w:hAnsi="Times New Roman"/>
        </w:rPr>
        <w:t xml:space="preserve">those </w:t>
      </w:r>
      <w:r w:rsidR="00F11846">
        <w:rPr>
          <w:rFonts w:ascii="Times New Roman" w:hAnsi="Times New Roman"/>
        </w:rPr>
        <w:t>registered entities’</w:t>
      </w:r>
      <w:r w:rsidR="009A5F7A">
        <w:rPr>
          <w:rFonts w:ascii="Times New Roman" w:hAnsi="Times New Roman"/>
        </w:rPr>
        <w:t xml:space="preserve"> member</w:t>
      </w:r>
      <w:r w:rsidR="00CD34B1">
        <w:rPr>
          <w:rFonts w:ascii="Times New Roman" w:hAnsi="Times New Roman"/>
        </w:rPr>
        <w:t>s, and other respondent</w:t>
      </w:r>
      <w:r w:rsidR="009A5F7A">
        <w:rPr>
          <w:rFonts w:ascii="Times New Roman" w:hAnsi="Times New Roman"/>
        </w:rPr>
        <w:t>s</w:t>
      </w:r>
      <w:r w:rsidR="00357332">
        <w:rPr>
          <w:rFonts w:ascii="Times New Roman" w:hAnsi="Times New Roman"/>
        </w:rPr>
        <w:t xml:space="preserve"> covered by the final rules</w:t>
      </w:r>
      <w:r>
        <w:rPr>
          <w:rFonts w:ascii="Times New Roman" w:hAnsi="Times New Roman"/>
        </w:rPr>
        <w:t>.</w:t>
      </w:r>
      <w:r>
        <w:rPr>
          <w:rStyle w:val="FootnoteReference"/>
          <w:rFonts w:ascii="Times New Roman" w:hAnsi="Times New Roman"/>
        </w:rPr>
        <w:footnoteReference w:id="5"/>
      </w:r>
    </w:p>
    <w:p w:rsidR="008377C4" w:rsidP="00EF01D3" w14:paraId="725047D4" w14:textId="77777777">
      <w:pPr>
        <w:tabs>
          <w:tab w:val="left" w:pos="-720"/>
        </w:tabs>
        <w:spacing w:after="240"/>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8377C4" w:rsidP="00EF01D3" w14:paraId="725047D6" w14:textId="3D4999E0">
      <w:pPr>
        <w:pStyle w:val="Default"/>
        <w:spacing w:after="240"/>
        <w:jc w:val="both"/>
        <w:rPr>
          <w:rFonts w:ascii="Times New Roman" w:hAnsi="Times New Roman" w:cs="Times New Roman"/>
        </w:rPr>
      </w:pPr>
      <w:r>
        <w:rPr>
          <w:rFonts w:ascii="Times New Roman" w:hAnsi="Times New Roman" w:cs="Times New Roman"/>
        </w:rPr>
        <w:t>Commission staff use the information required to be preserved when conducting the Commission’s examination and oversight program with respect to the affected registrants</w:t>
      </w:r>
      <w:r w:rsidR="00D85F41">
        <w:rPr>
          <w:rFonts w:ascii="Times New Roman" w:hAnsi="Times New Roman" w:cs="Times New Roman"/>
        </w:rPr>
        <w:t xml:space="preserve"> </w:t>
      </w:r>
      <w:r w:rsidRPr="00D85F41" w:rsidR="00D85F41">
        <w:rPr>
          <w:rFonts w:ascii="Times New Roman" w:hAnsi="Times New Roman"/>
          <w:color w:val="auto"/>
        </w:rPr>
        <w:t>and when conducting investigations into potential violations of the CEA.</w:t>
      </w:r>
    </w:p>
    <w:p w:rsidR="008377C4" w:rsidP="00EF01D3" w14:paraId="725047D8" w14:textId="68CFF259">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w:t>
      </w:r>
      <w:r w:rsidR="005556BF">
        <w:rPr>
          <w:rFonts w:ascii="Times New Roman" w:hAnsi="Times New Roman"/>
          <w:b/>
        </w:rPr>
        <w:t>,</w:t>
      </w:r>
      <w:r>
        <w:rPr>
          <w:rFonts w:ascii="Times New Roman" w:hAnsi="Times New Roman"/>
          <w:b/>
        </w:rPr>
        <w:t xml:space="preserve"> permitting electronic submission of responses, and the basis for the decision </w:t>
      </w:r>
      <w:r w:rsidR="001A2D7F">
        <w:rPr>
          <w:rFonts w:ascii="Times New Roman" w:hAnsi="Times New Roman"/>
          <w:b/>
        </w:rPr>
        <w:t>to adopt</w:t>
      </w:r>
      <w:r>
        <w:rPr>
          <w:rFonts w:ascii="Times New Roman" w:hAnsi="Times New Roman"/>
          <w:b/>
        </w:rPr>
        <w:t xml:space="preserve"> this means of collection.  Also describe any consideration of using information technology to reduce burden.</w:t>
      </w:r>
    </w:p>
    <w:p w:rsidR="008377C4" w:rsidP="00EF01D3" w14:paraId="725047D9" w14:textId="34EC26C1">
      <w:pPr>
        <w:tabs>
          <w:tab w:val="left" w:pos="-720"/>
          <w:tab w:val="left" w:pos="0"/>
        </w:tabs>
        <w:spacing w:after="240"/>
        <w:jc w:val="both"/>
        <w:rPr>
          <w:rFonts w:ascii="Times New Roman" w:hAnsi="Times New Roman"/>
        </w:rPr>
      </w:pPr>
      <w:r>
        <w:rPr>
          <w:rFonts w:ascii="Times New Roman" w:hAnsi="Times New Roman"/>
        </w:rPr>
        <w:t xml:space="preserve">In general, to the extent the </w:t>
      </w:r>
      <w:r w:rsidR="001146E5">
        <w:rPr>
          <w:rFonts w:ascii="Times New Roman" w:hAnsi="Times New Roman"/>
        </w:rPr>
        <w:t>Swap Recordkeeping Requirements</w:t>
      </w:r>
      <w:r>
        <w:rPr>
          <w:rFonts w:ascii="Times New Roman" w:hAnsi="Times New Roman"/>
        </w:rPr>
        <w:t xml:space="preserve"> address </w:t>
      </w:r>
      <w:r w:rsidRPr="005556BF">
        <w:rPr>
          <w:rFonts w:ascii="Times New Roman" w:hAnsi="Times New Roman"/>
        </w:rPr>
        <w:t>automated, electronic, mechanical, or other technological collection techniques or other forms of information technology</w:t>
      </w:r>
      <w:r>
        <w:rPr>
          <w:rFonts w:ascii="Times New Roman" w:hAnsi="Times New Roman"/>
        </w:rPr>
        <w:t>, persons covered by the final regulations already employ such techniques and/or technology</w:t>
      </w:r>
      <w:r w:rsidR="00E4575B">
        <w:rPr>
          <w:rFonts w:ascii="Times New Roman" w:hAnsi="Times New Roman"/>
        </w:rPr>
        <w:t>.</w:t>
      </w:r>
      <w:r>
        <w:rPr>
          <w:rFonts w:ascii="Times New Roman" w:hAnsi="Times New Roman"/>
        </w:rPr>
        <w:t xml:space="preserve"> </w:t>
      </w:r>
      <w:r w:rsidR="00E4575B">
        <w:rPr>
          <w:rFonts w:ascii="Times New Roman" w:hAnsi="Times New Roman"/>
        </w:rPr>
        <w:t xml:space="preserve"> </w:t>
      </w:r>
      <w:r w:rsidR="00E611AC">
        <w:rPr>
          <w:rFonts w:ascii="Times New Roman" w:hAnsi="Times New Roman"/>
        </w:rPr>
        <w:t>For example, because t</w:t>
      </w:r>
      <w:r w:rsidRPr="005556BF" w:rsidR="00E611AC">
        <w:rPr>
          <w:rFonts w:ascii="Times New Roman" w:hAnsi="Times New Roman"/>
        </w:rPr>
        <w:t xml:space="preserve">he rationale for allowing the existing entities </w:t>
      </w:r>
      <w:r w:rsidR="00E611AC">
        <w:rPr>
          <w:rFonts w:ascii="Times New Roman" w:hAnsi="Times New Roman"/>
        </w:rPr>
        <w:t>(</w:t>
      </w:r>
      <w:r w:rsidRPr="005556BF" w:rsidR="00E611AC">
        <w:rPr>
          <w:rFonts w:ascii="Times New Roman" w:hAnsi="Times New Roman"/>
        </w:rPr>
        <w:t>FCM</w:t>
      </w:r>
      <w:r w:rsidR="00E611AC">
        <w:rPr>
          <w:rFonts w:ascii="Times New Roman" w:hAnsi="Times New Roman"/>
        </w:rPr>
        <w:t>s</w:t>
      </w:r>
      <w:r w:rsidRPr="005556BF" w:rsidR="00E611AC">
        <w:rPr>
          <w:rFonts w:ascii="Times New Roman" w:hAnsi="Times New Roman"/>
        </w:rPr>
        <w:t>, IB</w:t>
      </w:r>
      <w:r w:rsidR="00E611AC">
        <w:rPr>
          <w:rFonts w:ascii="Times New Roman" w:hAnsi="Times New Roman"/>
        </w:rPr>
        <w:t>s</w:t>
      </w:r>
      <w:r w:rsidRPr="005556BF" w:rsidR="00E611AC">
        <w:rPr>
          <w:rFonts w:ascii="Times New Roman" w:hAnsi="Times New Roman"/>
        </w:rPr>
        <w:t xml:space="preserve">, </w:t>
      </w:r>
      <w:r w:rsidR="00E611AC">
        <w:rPr>
          <w:rFonts w:ascii="Times New Roman" w:hAnsi="Times New Roman"/>
        </w:rPr>
        <w:t>commodity pool operators</w:t>
      </w:r>
      <w:r w:rsidRPr="005556BF" w:rsidR="00E611AC">
        <w:rPr>
          <w:rFonts w:ascii="Times New Roman" w:hAnsi="Times New Roman"/>
        </w:rPr>
        <w:t xml:space="preserve"> and </w:t>
      </w:r>
      <w:r w:rsidR="00E611AC">
        <w:rPr>
          <w:rFonts w:ascii="Times New Roman" w:hAnsi="Times New Roman"/>
        </w:rPr>
        <w:t xml:space="preserve">commodity trading advisors) </w:t>
      </w:r>
      <w:r w:rsidRPr="005556BF" w:rsidR="00E611AC">
        <w:rPr>
          <w:rFonts w:ascii="Times New Roman" w:hAnsi="Times New Roman"/>
        </w:rPr>
        <w:t>listed in regulation 1.4 to use electronic signatures (i.e., “[a]s part of [the Commission’s] ongoing efforts to facilitate the use of electronic technology and media”)</w:t>
      </w:r>
      <w:r w:rsidR="00E611AC">
        <w:rPr>
          <w:rFonts w:ascii="Times New Roman" w:hAnsi="Times New Roman"/>
        </w:rPr>
        <w:t xml:space="preserve"> </w:t>
      </w:r>
      <w:r w:rsidRPr="005556BF" w:rsidR="00E611AC">
        <w:rPr>
          <w:rFonts w:ascii="Times New Roman" w:hAnsi="Times New Roman"/>
        </w:rPr>
        <w:t>applies equally to SDs and MSPs</w:t>
      </w:r>
      <w:r w:rsidR="00E611AC">
        <w:rPr>
          <w:rFonts w:ascii="Times New Roman" w:hAnsi="Times New Roman"/>
        </w:rPr>
        <w:t>,</w:t>
      </w:r>
      <w:r w:rsidRPr="005556BF" w:rsidR="00E611AC">
        <w:rPr>
          <w:rFonts w:ascii="Times New Roman" w:hAnsi="Times New Roman"/>
        </w:rPr>
        <w:t xml:space="preserve"> </w:t>
      </w:r>
      <w:r w:rsidR="00E611AC">
        <w:rPr>
          <w:rFonts w:ascii="Times New Roman" w:hAnsi="Times New Roman"/>
        </w:rPr>
        <w:t>final regulation 1.4 provides that a SD or MSP</w:t>
      </w:r>
      <w:r w:rsidRPr="005556BF" w:rsidR="00E611AC">
        <w:rPr>
          <w:rFonts w:ascii="Times New Roman" w:hAnsi="Times New Roman"/>
        </w:rPr>
        <w:t xml:space="preserve"> receiving an electronically signed document is in compliance with Commission regulations requiring signed documents, provided that </w:t>
      </w:r>
      <w:r w:rsidR="00E611AC">
        <w:rPr>
          <w:rFonts w:ascii="Times New Roman" w:hAnsi="Times New Roman"/>
        </w:rPr>
        <w:t>the receiving SD or MSP</w:t>
      </w:r>
      <w:r w:rsidRPr="005556BF" w:rsidR="00E611AC">
        <w:rPr>
          <w:rFonts w:ascii="Times New Roman" w:hAnsi="Times New Roman"/>
        </w:rPr>
        <w:t xml:space="preserve"> generally a</w:t>
      </w:r>
      <w:r w:rsidR="00E611AC">
        <w:rPr>
          <w:rFonts w:ascii="Times New Roman" w:hAnsi="Times New Roman"/>
        </w:rPr>
        <w:t>ccepts electronic signatures</w:t>
      </w:r>
      <w:r w:rsidRPr="005556BF" w:rsidR="00E611AC">
        <w:rPr>
          <w:rFonts w:ascii="Times New Roman" w:hAnsi="Times New Roman"/>
        </w:rPr>
        <w:t>.</w:t>
      </w:r>
      <w:r w:rsidR="00E611AC">
        <w:rPr>
          <w:rFonts w:ascii="Times New Roman" w:hAnsi="Times New Roman"/>
        </w:rPr>
        <w:t xml:space="preserve">  Also, t</w:t>
      </w:r>
      <w:r>
        <w:rPr>
          <w:rFonts w:ascii="Times New Roman" w:hAnsi="Times New Roman"/>
        </w:rPr>
        <w:t xml:space="preserve">he </w:t>
      </w:r>
      <w:r w:rsidR="005B11FC">
        <w:rPr>
          <w:rFonts w:ascii="Times New Roman" w:hAnsi="Times New Roman"/>
        </w:rPr>
        <w:t xml:space="preserve">Swap Recordkeeping </w:t>
      </w:r>
      <w:r w:rsidR="00B81499">
        <w:rPr>
          <w:rFonts w:ascii="Times New Roman" w:hAnsi="Times New Roman"/>
        </w:rPr>
        <w:t xml:space="preserve">Requirements </w:t>
      </w:r>
      <w:r>
        <w:rPr>
          <w:rFonts w:ascii="Times New Roman" w:hAnsi="Times New Roman"/>
        </w:rPr>
        <w:t>permit the use of electronic storage media.</w:t>
      </w:r>
    </w:p>
    <w:p w:rsidR="008377C4" w:rsidP="00EF01D3" w14:paraId="725047DA" w14:textId="77777777">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8377C4" w:rsidP="00EF01D3" w14:paraId="725047DB" w14:textId="2518ECBE">
      <w:pPr>
        <w:tabs>
          <w:tab w:val="left" w:pos="-720"/>
        </w:tabs>
        <w:spacing w:after="240"/>
        <w:jc w:val="both"/>
        <w:rPr>
          <w:rFonts w:ascii="Times New Roman" w:hAnsi="Times New Roman"/>
        </w:rPr>
      </w:pPr>
      <w:r>
        <w:rPr>
          <w:rFonts w:ascii="Times New Roman" w:hAnsi="Times New Roman"/>
        </w:rPr>
        <w:t xml:space="preserve">The recordkeeping regulations amended in </w:t>
      </w:r>
      <w:r w:rsidR="009730FB">
        <w:rPr>
          <w:rFonts w:ascii="Times New Roman" w:hAnsi="Times New Roman"/>
        </w:rPr>
        <w:t xml:space="preserve">the </w:t>
      </w:r>
      <w:r w:rsidR="001146E5">
        <w:rPr>
          <w:rFonts w:ascii="Times New Roman" w:hAnsi="Times New Roman"/>
        </w:rPr>
        <w:t>Swap Recordkeeping Requirements</w:t>
      </w:r>
      <w:r>
        <w:rPr>
          <w:rFonts w:ascii="Times New Roman" w:hAnsi="Times New Roman"/>
        </w:rPr>
        <w:t xml:space="preserve"> are the only </w:t>
      </w:r>
      <w:r w:rsidR="00162D7F">
        <w:rPr>
          <w:rFonts w:ascii="Times New Roman" w:hAnsi="Times New Roman"/>
        </w:rPr>
        <w:t xml:space="preserve">swap </w:t>
      </w:r>
      <w:r>
        <w:rPr>
          <w:rFonts w:ascii="Times New Roman" w:hAnsi="Times New Roman"/>
        </w:rPr>
        <w:t xml:space="preserve">recordkeeping regulations affecting </w:t>
      </w:r>
      <w:r w:rsidR="005556BF">
        <w:rPr>
          <w:rFonts w:ascii="Times New Roman" w:hAnsi="Times New Roman"/>
        </w:rPr>
        <w:t>FCMs</w:t>
      </w:r>
      <w:r>
        <w:rPr>
          <w:rFonts w:ascii="Times New Roman" w:hAnsi="Times New Roman"/>
        </w:rPr>
        <w:t xml:space="preserve"> and </w:t>
      </w:r>
      <w:r w:rsidR="005556BF">
        <w:rPr>
          <w:rFonts w:ascii="Times New Roman" w:hAnsi="Times New Roman"/>
        </w:rPr>
        <w:t>IBs</w:t>
      </w:r>
      <w:r>
        <w:rPr>
          <w:rFonts w:ascii="Times New Roman" w:hAnsi="Times New Roman"/>
        </w:rPr>
        <w:t>.  The information collected pursuant to the</w:t>
      </w:r>
      <w:r w:rsidR="00EA3486">
        <w:rPr>
          <w:rFonts w:ascii="Times New Roman" w:hAnsi="Times New Roman"/>
        </w:rPr>
        <w:t xml:space="preserve"> </w:t>
      </w:r>
      <w:r w:rsidR="001146E5">
        <w:rPr>
          <w:rFonts w:ascii="Times New Roman" w:hAnsi="Times New Roman"/>
        </w:rPr>
        <w:t>Swap Recordkeeping Requirements</w:t>
      </w:r>
      <w:r w:rsidR="00F00055">
        <w:rPr>
          <w:rFonts w:ascii="Times New Roman" w:hAnsi="Times New Roman"/>
        </w:rPr>
        <w:t xml:space="preserve"> </w:t>
      </w:r>
      <w:r>
        <w:rPr>
          <w:rFonts w:ascii="Times New Roman" w:hAnsi="Times New Roman"/>
        </w:rPr>
        <w:t xml:space="preserve">is not collected by any other agency or available for public disclosure through any other source. </w:t>
      </w:r>
      <w:r w:rsidR="00F11846">
        <w:rPr>
          <w:rFonts w:ascii="Times New Roman" w:hAnsi="Times New Roman"/>
        </w:rPr>
        <w:t xml:space="preserve"> To reduce duplicative recordkeeping, however,</w:t>
      </w:r>
      <w:r w:rsidR="00901CFB">
        <w:rPr>
          <w:rFonts w:ascii="Times New Roman" w:hAnsi="Times New Roman"/>
        </w:rPr>
        <w:t xml:space="preserve"> the Commission:  (a) stated </w:t>
      </w:r>
      <w:r w:rsidR="00F11846">
        <w:rPr>
          <w:rFonts w:ascii="Times New Roman" w:hAnsi="Times New Roman"/>
        </w:rPr>
        <w:t>that r</w:t>
      </w:r>
      <w:r w:rsidRPr="00F11846" w:rsidR="00F11846">
        <w:rPr>
          <w:rFonts w:ascii="Times New Roman" w:hAnsi="Times New Roman"/>
        </w:rPr>
        <w:t xml:space="preserve">eliance on a third party is appropriate where the records maintained by the third party duplicate the information </w:t>
      </w:r>
      <w:r w:rsidR="00F11846">
        <w:rPr>
          <w:rFonts w:ascii="Times New Roman" w:hAnsi="Times New Roman"/>
        </w:rPr>
        <w:t xml:space="preserve">otherwise </w:t>
      </w:r>
      <w:r w:rsidRPr="00F11846" w:rsidR="00F11846">
        <w:rPr>
          <w:rFonts w:ascii="Times New Roman" w:hAnsi="Times New Roman"/>
        </w:rPr>
        <w:t xml:space="preserve">required by regulation </w:t>
      </w:r>
      <w:r w:rsidR="00F11846">
        <w:rPr>
          <w:rFonts w:ascii="Times New Roman" w:hAnsi="Times New Roman"/>
        </w:rPr>
        <w:t xml:space="preserve">1.35(a) </w:t>
      </w:r>
      <w:r w:rsidRPr="00F11846" w:rsidR="00F11846">
        <w:rPr>
          <w:rFonts w:ascii="Times New Roman" w:hAnsi="Times New Roman"/>
        </w:rPr>
        <w:t>to be kept</w:t>
      </w:r>
      <w:r w:rsidR="00F11846">
        <w:rPr>
          <w:rFonts w:ascii="Times New Roman" w:hAnsi="Times New Roman"/>
        </w:rPr>
        <w:t xml:space="preserve"> by another party subject to the regulation; and (b) </w:t>
      </w:r>
      <w:r w:rsidRPr="00F11846" w:rsidR="00F11846">
        <w:rPr>
          <w:rFonts w:ascii="Times New Roman" w:hAnsi="Times New Roman"/>
        </w:rPr>
        <w:t>delete</w:t>
      </w:r>
      <w:r w:rsidR="00F11846">
        <w:rPr>
          <w:rFonts w:ascii="Times New Roman" w:hAnsi="Times New Roman"/>
        </w:rPr>
        <w:t>d</w:t>
      </w:r>
      <w:r w:rsidRPr="00F11846" w:rsidR="00F11846">
        <w:rPr>
          <w:rFonts w:ascii="Times New Roman" w:hAnsi="Times New Roman"/>
        </w:rPr>
        <w:t xml:space="preserve"> </w:t>
      </w:r>
      <w:r w:rsidR="00F11846">
        <w:rPr>
          <w:rFonts w:ascii="Times New Roman" w:hAnsi="Times New Roman"/>
        </w:rPr>
        <w:t>A</w:t>
      </w:r>
      <w:r w:rsidRPr="00F11846" w:rsidR="00F11846">
        <w:rPr>
          <w:rFonts w:ascii="Times New Roman" w:hAnsi="Times New Roman"/>
        </w:rPr>
        <w:t xml:space="preserve">ppendix C to </w:t>
      </w:r>
      <w:r w:rsidR="001F1A7F">
        <w:rPr>
          <w:rFonts w:ascii="Times New Roman" w:hAnsi="Times New Roman"/>
        </w:rPr>
        <w:t>p</w:t>
      </w:r>
      <w:r w:rsidRPr="00F11846" w:rsidR="001F1A7F">
        <w:rPr>
          <w:rFonts w:ascii="Times New Roman" w:hAnsi="Times New Roman"/>
        </w:rPr>
        <w:t xml:space="preserve">art </w:t>
      </w:r>
      <w:r w:rsidRPr="00F11846" w:rsidR="00F11846">
        <w:rPr>
          <w:rFonts w:ascii="Times New Roman" w:hAnsi="Times New Roman"/>
        </w:rPr>
        <w:t>1</w:t>
      </w:r>
      <w:r w:rsidR="00F11846">
        <w:rPr>
          <w:rFonts w:ascii="Times New Roman" w:hAnsi="Times New Roman"/>
        </w:rPr>
        <w:t xml:space="preserve"> of its regulations because the </w:t>
      </w:r>
      <w:r w:rsidRPr="00F11846" w:rsidR="00F11846">
        <w:rPr>
          <w:rFonts w:ascii="Times New Roman" w:hAnsi="Times New Roman"/>
        </w:rPr>
        <w:t xml:space="preserve">procedures for bunched orders </w:t>
      </w:r>
      <w:r w:rsidR="00F11846">
        <w:rPr>
          <w:rFonts w:ascii="Times New Roman" w:hAnsi="Times New Roman"/>
        </w:rPr>
        <w:t xml:space="preserve">set forth therein also </w:t>
      </w:r>
      <w:r w:rsidRPr="00F11846" w:rsidR="00F11846">
        <w:rPr>
          <w:rFonts w:ascii="Times New Roman" w:hAnsi="Times New Roman"/>
        </w:rPr>
        <w:t>are set forth in regulation 1.35(a</w:t>
      </w:r>
      <w:r w:rsidR="00CA2032">
        <w:rPr>
          <w:rFonts w:ascii="Times New Roman" w:hAnsi="Times New Roman"/>
        </w:rPr>
        <w:t>)</w:t>
      </w:r>
      <w:r w:rsidRPr="00F11846" w:rsidR="00F11846">
        <w:rPr>
          <w:rFonts w:ascii="Times New Roman" w:hAnsi="Times New Roman"/>
        </w:rPr>
        <w:t>-</w:t>
      </w:r>
      <w:r w:rsidR="00CA2032">
        <w:rPr>
          <w:rFonts w:ascii="Times New Roman" w:hAnsi="Times New Roman"/>
        </w:rPr>
        <w:t>(</w:t>
      </w:r>
      <w:r w:rsidRPr="00F11846" w:rsidR="00F11846">
        <w:rPr>
          <w:rFonts w:ascii="Times New Roman" w:hAnsi="Times New Roman"/>
        </w:rPr>
        <w:t xml:space="preserve">1)(5) (re-designated as (b)(5)) </w:t>
      </w:r>
      <w:r w:rsidR="00F11846">
        <w:rPr>
          <w:rFonts w:ascii="Times New Roman" w:hAnsi="Times New Roman"/>
        </w:rPr>
        <w:t>and thus are duplicative</w:t>
      </w:r>
      <w:r w:rsidRPr="00F11846" w:rsidR="00F11846">
        <w:rPr>
          <w:rFonts w:ascii="Times New Roman" w:hAnsi="Times New Roman"/>
        </w:rPr>
        <w:t xml:space="preserve"> </w:t>
      </w:r>
      <w:r w:rsidR="00F11846">
        <w:rPr>
          <w:rFonts w:ascii="Times New Roman" w:hAnsi="Times New Roman"/>
        </w:rPr>
        <w:t>and no longer necessary</w:t>
      </w:r>
      <w:r w:rsidRPr="00F11846" w:rsidR="00F11846">
        <w:rPr>
          <w:rFonts w:ascii="Times New Roman" w:hAnsi="Times New Roman"/>
        </w:rPr>
        <w:t>.</w:t>
      </w:r>
    </w:p>
    <w:p w:rsidR="008377C4" w:rsidP="00EF01D3" w14:paraId="725047DD" w14:textId="50329189">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If the collection of information involves small business or other small entities (Item 5 of OMB F</w:t>
      </w:r>
      <w:r w:rsidR="00CA2032">
        <w:rPr>
          <w:rFonts w:ascii="Times New Roman" w:hAnsi="Times New Roman"/>
          <w:b/>
        </w:rPr>
        <w:t>o</w:t>
      </w:r>
      <w:r>
        <w:rPr>
          <w:rFonts w:ascii="Times New Roman" w:hAnsi="Times New Roman"/>
          <w:b/>
        </w:rPr>
        <w:t>rm 83-I), describe the methods used to minimize burden.</w:t>
      </w:r>
    </w:p>
    <w:p w:rsidR="008377C4" w:rsidP="00EF01D3" w14:paraId="725047DE" w14:textId="483EF16A">
      <w:pPr>
        <w:tabs>
          <w:tab w:val="left" w:pos="-720"/>
        </w:tabs>
        <w:spacing w:after="240"/>
        <w:jc w:val="both"/>
        <w:rPr>
          <w:rFonts w:ascii="Times New Roman" w:hAnsi="Times New Roman"/>
        </w:rPr>
      </w:pPr>
      <w:r>
        <w:rPr>
          <w:rFonts w:ascii="Times New Roman" w:hAnsi="Times New Roman"/>
        </w:rPr>
        <w:t xml:space="preserve">Some members of </w:t>
      </w:r>
      <w:r w:rsidR="0070488B">
        <w:rPr>
          <w:rFonts w:ascii="Times New Roman" w:hAnsi="Times New Roman"/>
        </w:rPr>
        <w:t>designated contract markets (“</w:t>
      </w:r>
      <w:r>
        <w:rPr>
          <w:rFonts w:ascii="Times New Roman" w:hAnsi="Times New Roman"/>
        </w:rPr>
        <w:t>DCMs</w:t>
      </w:r>
      <w:r w:rsidR="0070488B">
        <w:rPr>
          <w:rFonts w:ascii="Times New Roman" w:hAnsi="Times New Roman"/>
        </w:rPr>
        <w:t>”)</w:t>
      </w:r>
      <w:r>
        <w:rPr>
          <w:rFonts w:ascii="Times New Roman" w:hAnsi="Times New Roman"/>
        </w:rPr>
        <w:t xml:space="preserve"> and SEFs, as well as certain intermediaries (e.g., some</w:t>
      </w:r>
      <w:r w:rsidR="007163E3">
        <w:rPr>
          <w:rFonts w:ascii="Times New Roman" w:hAnsi="Times New Roman"/>
        </w:rPr>
        <w:t xml:space="preserve"> IBs</w:t>
      </w:r>
      <w:r>
        <w:rPr>
          <w:rFonts w:ascii="Times New Roman" w:hAnsi="Times New Roman"/>
        </w:rPr>
        <w:t>)</w:t>
      </w:r>
      <w:r w:rsidR="00A76B3B">
        <w:rPr>
          <w:rFonts w:ascii="Times New Roman" w:hAnsi="Times New Roman"/>
        </w:rPr>
        <w:t>,</w:t>
      </w:r>
      <w:r>
        <w:rPr>
          <w:rFonts w:ascii="Times New Roman" w:hAnsi="Times New Roman"/>
        </w:rPr>
        <w:t xml:space="preserve"> may be small entities.  Where possible, the Commission has </w:t>
      </w:r>
      <w:r w:rsidR="003D2DAF">
        <w:rPr>
          <w:rFonts w:ascii="Times New Roman" w:hAnsi="Times New Roman"/>
        </w:rPr>
        <w:t xml:space="preserve">implemented </w:t>
      </w:r>
      <w:r>
        <w:rPr>
          <w:rFonts w:ascii="Times New Roman" w:hAnsi="Times New Roman"/>
        </w:rPr>
        <w:t>tiered recordkeeping requirements</w:t>
      </w:r>
      <w:r w:rsidR="00A76B3B">
        <w:rPr>
          <w:rFonts w:ascii="Times New Roman" w:hAnsi="Times New Roman"/>
        </w:rPr>
        <w:t>,</w:t>
      </w:r>
      <w:r>
        <w:rPr>
          <w:rFonts w:ascii="Times New Roman" w:hAnsi="Times New Roman"/>
        </w:rPr>
        <w:t xml:space="preserve"> which are less burdensome on small entities.  For example, </w:t>
      </w:r>
      <w:r w:rsidR="008A3008">
        <w:rPr>
          <w:rFonts w:ascii="Times New Roman" w:hAnsi="Times New Roman"/>
        </w:rPr>
        <w:t xml:space="preserve">regulation </w:t>
      </w:r>
      <w:r>
        <w:rPr>
          <w:rFonts w:ascii="Times New Roman" w:hAnsi="Times New Roman"/>
        </w:rPr>
        <w:t>1.35(a)(3) exempts small introducing brokers from oral recordkeeping requirements.</w:t>
      </w:r>
    </w:p>
    <w:p w:rsidR="008377C4" w:rsidP="00EF01D3" w14:paraId="725047DF" w14:textId="77777777">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8377C4" w:rsidP="00EF01D3" w14:paraId="725047E0" w14:textId="7087AE16">
      <w:pPr>
        <w:pStyle w:val="Default"/>
        <w:spacing w:after="240"/>
        <w:jc w:val="both"/>
        <w:rPr>
          <w:rFonts w:ascii="Times New Roman" w:hAnsi="Times New Roman" w:cs="Times New Roman"/>
        </w:rPr>
      </w:pPr>
      <w:r>
        <w:rPr>
          <w:rFonts w:ascii="Times New Roman" w:hAnsi="Times New Roman" w:cs="Times New Roman"/>
        </w:rPr>
        <w:t xml:space="preserve">Failure to maintain the records required by the </w:t>
      </w:r>
      <w:r w:rsidR="001146E5">
        <w:rPr>
          <w:rFonts w:ascii="Times New Roman" w:hAnsi="Times New Roman" w:cs="Times New Roman"/>
        </w:rPr>
        <w:t>Swap Recordkeeping Requirements</w:t>
      </w:r>
      <w:r>
        <w:rPr>
          <w:rFonts w:ascii="Times New Roman" w:hAnsi="Times New Roman" w:cs="Times New Roman"/>
        </w:rPr>
        <w:t xml:space="preserve"> would adversely affect the Commission’s ability to e</w:t>
      </w:r>
      <w:r w:rsidR="00084F0F">
        <w:rPr>
          <w:rFonts w:ascii="Times New Roman" w:hAnsi="Times New Roman" w:cs="Times New Roman"/>
        </w:rPr>
        <w:t xml:space="preserve">nsure the affected registrants’ and their members’ </w:t>
      </w:r>
      <w:r>
        <w:rPr>
          <w:rFonts w:ascii="Times New Roman" w:hAnsi="Times New Roman" w:cs="Times New Roman"/>
        </w:rPr>
        <w:t xml:space="preserve">compliance with their obligations under the CEA and Commission regulations to </w:t>
      </w:r>
      <w:r w:rsidR="00084F0F">
        <w:rPr>
          <w:rFonts w:ascii="Times New Roman" w:hAnsi="Times New Roman" w:cs="Times New Roman"/>
        </w:rPr>
        <w:t>document swap transactions.</w:t>
      </w:r>
      <w:r>
        <w:rPr>
          <w:rFonts w:ascii="Times New Roman" w:hAnsi="Times New Roman" w:cs="Times New Roman"/>
        </w:rPr>
        <w:t xml:space="preserve">  </w:t>
      </w:r>
      <w:r w:rsidRPr="00E611AC" w:rsidR="00AB768B">
        <w:rPr>
          <w:rFonts w:ascii="Times New Roman" w:hAnsi="Times New Roman"/>
        </w:rPr>
        <w:t xml:space="preserve">The Commission understands that recent advancements in technology, particularly with respect to capturing records and storing such records, will enable all affected entities to incorporate into their existing recordkeeping programs the enhanced requirements set forth in the </w:t>
      </w:r>
      <w:r w:rsidR="003644D2">
        <w:rPr>
          <w:rFonts w:ascii="Times New Roman" w:hAnsi="Times New Roman"/>
        </w:rPr>
        <w:t>final</w:t>
      </w:r>
      <w:r w:rsidRPr="00E611AC" w:rsidR="00AB768B">
        <w:rPr>
          <w:rFonts w:ascii="Times New Roman" w:hAnsi="Times New Roman"/>
        </w:rPr>
        <w:t xml:space="preserve"> amendments</w:t>
      </w:r>
      <w:r w:rsidR="00AB768B">
        <w:rPr>
          <w:rFonts w:ascii="Times New Roman" w:hAnsi="Times New Roman"/>
        </w:rPr>
        <w:t>.</w:t>
      </w:r>
    </w:p>
    <w:p w:rsidR="008377C4" w:rsidP="00EF01D3" w14:paraId="725047E2" w14:textId="77777777">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rsidR="008377C4" w:rsidP="00EF01D3" w14:paraId="725047E3"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rsidR="008377C4" w:rsidP="00EF01D3" w14:paraId="725047E4" w14:textId="2EF70332">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w:t>
      </w:r>
      <w:r w:rsidR="001146E5">
        <w:rPr>
          <w:rFonts w:ascii="Times New Roman" w:hAnsi="Times New Roman"/>
        </w:rPr>
        <w:t>Swap Recordkeeping Requirements</w:t>
      </w:r>
      <w:r>
        <w:rPr>
          <w:rFonts w:ascii="Times New Roman" w:hAnsi="Times New Roman"/>
        </w:rPr>
        <w:t xml:space="preserve"> do not impose any </w:t>
      </w:r>
      <w:r w:rsidR="00AB768B">
        <w:rPr>
          <w:rFonts w:ascii="Times New Roman" w:hAnsi="Times New Roman"/>
        </w:rPr>
        <w:t xml:space="preserve">more-than-quarterly </w:t>
      </w:r>
      <w:r>
        <w:rPr>
          <w:rFonts w:ascii="Times New Roman" w:hAnsi="Times New Roman"/>
        </w:rPr>
        <w:t>reporting requirements</w:t>
      </w:r>
      <w:r w:rsidR="00ED0CAE">
        <w:rPr>
          <w:rFonts w:ascii="Times New Roman" w:hAnsi="Times New Roman"/>
        </w:rPr>
        <w:t xml:space="preserve"> to the agency</w:t>
      </w:r>
      <w:r>
        <w:rPr>
          <w:rFonts w:ascii="Times New Roman" w:hAnsi="Times New Roman"/>
        </w:rPr>
        <w:t>.</w:t>
      </w:r>
    </w:p>
    <w:p w:rsidR="008377C4" w:rsidP="00EF01D3" w14:paraId="725047E5"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rsidR="008377C4" w:rsidP="00EF01D3" w14:paraId="725047E6" w14:textId="6C53D3F5">
      <w:pPr>
        <w:tabs>
          <w:tab w:val="left" w:pos="-720"/>
          <w:tab w:val="left" w:pos="0"/>
          <w:tab w:val="left" w:pos="720"/>
        </w:tabs>
        <w:spacing w:after="240"/>
        <w:jc w:val="both"/>
        <w:rPr>
          <w:rFonts w:ascii="Times New Roman" w:hAnsi="Times New Roman"/>
        </w:rPr>
      </w:pPr>
      <w:r>
        <w:rPr>
          <w:rFonts w:ascii="Times New Roman" w:hAnsi="Times New Roman"/>
        </w:rPr>
        <w:t>This question does not apply.</w:t>
      </w:r>
    </w:p>
    <w:p w:rsidR="008377C4" w:rsidP="00EF01D3" w14:paraId="725047E7"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submit more that an original and two copies of any document;</w:t>
      </w:r>
    </w:p>
    <w:p w:rsidR="008377C4" w:rsidP="00EF01D3" w14:paraId="725047E8" w14:textId="3B1AD25D">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w:t>
      </w:r>
      <w:r w:rsidR="001146E5">
        <w:rPr>
          <w:rFonts w:ascii="Times New Roman" w:hAnsi="Times New Roman"/>
        </w:rPr>
        <w:t>Swap Recordkeeping Requirements</w:t>
      </w:r>
      <w:r>
        <w:rPr>
          <w:rFonts w:ascii="Times New Roman" w:hAnsi="Times New Roman"/>
        </w:rPr>
        <w:t xml:space="preserve"> do not impose any requirements that would </w:t>
      </w:r>
      <w:r w:rsidR="0093758D">
        <w:rPr>
          <w:rFonts w:ascii="Times New Roman" w:hAnsi="Times New Roman"/>
        </w:rPr>
        <w:t>obligate</w:t>
      </w:r>
      <w:r w:rsidR="0093758D">
        <w:rPr>
          <w:rFonts w:ascii="Times New Roman" w:hAnsi="Times New Roman"/>
        </w:rPr>
        <w:t xml:space="preserve"> </w:t>
      </w:r>
      <w:r>
        <w:rPr>
          <w:rFonts w:ascii="Times New Roman" w:hAnsi="Times New Roman"/>
        </w:rPr>
        <w:t>a respondent to submit more than an original and two copies of any document.</w:t>
      </w:r>
    </w:p>
    <w:p w:rsidR="008377C4" w:rsidP="00EF01D3" w14:paraId="725047E9"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rsidR="00084F0F" w:rsidRPr="00AF140B" w:rsidP="00EF01D3" w14:paraId="725047EA" w14:textId="4228EEFD">
      <w:pPr>
        <w:tabs>
          <w:tab w:val="left" w:pos="-720"/>
          <w:tab w:val="left" w:pos="0"/>
          <w:tab w:val="left" w:pos="720"/>
        </w:tabs>
        <w:spacing w:after="240"/>
        <w:jc w:val="both"/>
        <w:rPr>
          <w:rFonts w:ascii="Times New Roman" w:hAnsi="Times New Roman"/>
        </w:rPr>
      </w:pPr>
      <w:r>
        <w:rPr>
          <w:rFonts w:ascii="Times New Roman" w:hAnsi="Times New Roman"/>
        </w:rPr>
        <w:t xml:space="preserve">Commission regulation 1.31 </w:t>
      </w:r>
      <w:r w:rsidR="00EA3486">
        <w:rPr>
          <w:rFonts w:ascii="Times New Roman" w:hAnsi="Times New Roman"/>
        </w:rPr>
        <w:t>require</w:t>
      </w:r>
      <w:r w:rsidR="001B2AC3">
        <w:rPr>
          <w:rFonts w:ascii="Times New Roman" w:hAnsi="Times New Roman"/>
        </w:rPr>
        <w:t>s</w:t>
      </w:r>
      <w:r w:rsidR="00EA3486">
        <w:rPr>
          <w:rFonts w:ascii="Times New Roman" w:hAnsi="Times New Roman"/>
        </w:rPr>
        <w:t xml:space="preserve"> </w:t>
      </w:r>
      <w:r w:rsidRPr="00AF140B" w:rsidR="00AF140B">
        <w:rPr>
          <w:rFonts w:ascii="Times New Roman" w:hAnsi="Times New Roman"/>
        </w:rPr>
        <w:t xml:space="preserve">entities to keep </w:t>
      </w:r>
      <w:r w:rsidR="001B2AC3">
        <w:rPr>
          <w:rFonts w:ascii="Times New Roman" w:hAnsi="Times New Roman"/>
        </w:rPr>
        <w:t xml:space="preserve">regulatory </w:t>
      </w:r>
      <w:r w:rsidRPr="00AF140B" w:rsidR="00AF140B">
        <w:rPr>
          <w:rFonts w:ascii="Times New Roman" w:hAnsi="Times New Roman"/>
        </w:rPr>
        <w:t>records</w:t>
      </w:r>
      <w:r w:rsidR="001B2AC3">
        <w:rPr>
          <w:rFonts w:ascii="Times New Roman" w:hAnsi="Times New Roman"/>
        </w:rPr>
        <w:t xml:space="preserve">, including regulatory records </w:t>
      </w:r>
      <w:r w:rsidR="00F00055">
        <w:rPr>
          <w:rFonts w:ascii="Times New Roman" w:hAnsi="Times New Roman"/>
        </w:rPr>
        <w:t xml:space="preserve">of </w:t>
      </w:r>
      <w:r w:rsidR="001B2AC3">
        <w:rPr>
          <w:rFonts w:ascii="Times New Roman" w:hAnsi="Times New Roman"/>
        </w:rPr>
        <w:t>any swap or related swap forward transaction</w:t>
      </w:r>
      <w:r w:rsidR="006C1D16">
        <w:rPr>
          <w:rFonts w:ascii="Times New Roman" w:hAnsi="Times New Roman"/>
        </w:rPr>
        <w:t>,</w:t>
      </w:r>
      <w:r w:rsidR="001B2AC3">
        <w:rPr>
          <w:rFonts w:ascii="Times New Roman" w:hAnsi="Times New Roman"/>
        </w:rPr>
        <w:t xml:space="preserve"> </w:t>
      </w:r>
      <w:r w:rsidRPr="00AF140B" w:rsidR="00AF140B">
        <w:rPr>
          <w:rFonts w:ascii="Times New Roman" w:hAnsi="Times New Roman"/>
        </w:rPr>
        <w:t>for more than three years.</w:t>
      </w:r>
    </w:p>
    <w:p w:rsidR="008377C4" w:rsidP="00EF01D3" w14:paraId="725047EB"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study; </w:t>
      </w:r>
    </w:p>
    <w:p w:rsidR="008377C4" w:rsidP="00EF01D3" w14:paraId="725047EC" w14:textId="3F060910">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w:t>
      </w:r>
      <w:r w:rsidR="00A340DB">
        <w:rPr>
          <w:rFonts w:ascii="Times New Roman" w:hAnsi="Times New Roman"/>
        </w:rPr>
        <w:t>s</w:t>
      </w:r>
      <w:r>
        <w:rPr>
          <w:rFonts w:ascii="Times New Roman" w:hAnsi="Times New Roman"/>
        </w:rPr>
        <w:t xml:space="preserve"> do not require nor involve any statistical surveys.</w:t>
      </w:r>
    </w:p>
    <w:p w:rsidR="008377C4" w:rsidP="00EF01D3" w14:paraId="725047ED"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rsidR="008377C4" w:rsidP="00EF01D3" w14:paraId="725047EE" w14:textId="7AD318B9">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w:t>
      </w:r>
      <w:r w:rsidR="003644D2">
        <w:rPr>
          <w:rFonts w:ascii="Times New Roman" w:hAnsi="Times New Roman"/>
        </w:rPr>
        <w:t>s</w:t>
      </w:r>
      <w:r>
        <w:rPr>
          <w:rFonts w:ascii="Times New Roman" w:hAnsi="Times New Roman"/>
        </w:rPr>
        <w:t xml:space="preserve"> </w:t>
      </w:r>
      <w:r w:rsidR="00170F85">
        <w:rPr>
          <w:rFonts w:ascii="Times New Roman" w:hAnsi="Times New Roman"/>
        </w:rPr>
        <w:t>neither</w:t>
      </w:r>
      <w:r>
        <w:rPr>
          <w:rFonts w:ascii="Times New Roman" w:hAnsi="Times New Roman"/>
        </w:rPr>
        <w:t xml:space="preserve"> require nor involve the use of any statistical data classification.</w:t>
      </w:r>
    </w:p>
    <w:p w:rsidR="008377C4" w:rsidP="00EF01D3" w14:paraId="725047EF" w14:textId="77F33718">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that includes a pledge of confidentiality that is not supported by authority established in </w:t>
      </w:r>
      <w:r w:rsidR="005D7FFB">
        <w:rPr>
          <w:rFonts w:ascii="Times New Roman" w:hAnsi="Times New Roman"/>
          <w:b/>
        </w:rPr>
        <w:t>statute</w:t>
      </w:r>
      <w:r>
        <w:rPr>
          <w:rFonts w:ascii="Times New Roman" w:hAnsi="Times New Roman"/>
          <w:b/>
        </w:rPr>
        <w:t xml:space="preserve"> or regulation, that is not supported by disclosure and data security policies that are consistent with the pledge, or which unnecessarily impedes sharing of data with other agencies for compatible confidential use; or</w:t>
      </w:r>
    </w:p>
    <w:p w:rsidR="008377C4" w:rsidP="00EF01D3" w14:paraId="725047F0" w14:textId="7B6987E4">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w:t>
      </w:r>
      <w:r w:rsidR="003644D2">
        <w:rPr>
          <w:rFonts w:ascii="Times New Roman" w:hAnsi="Times New Roman"/>
        </w:rPr>
        <w:t>s</w:t>
      </w:r>
      <w:r>
        <w:rPr>
          <w:rFonts w:ascii="Times New Roman" w:hAnsi="Times New Roman"/>
        </w:rPr>
        <w:t xml:space="preserve"> do not </w:t>
      </w:r>
      <w:r w:rsidR="00B41BB0">
        <w:rPr>
          <w:rFonts w:ascii="Times New Roman" w:hAnsi="Times New Roman"/>
        </w:rPr>
        <w:t xml:space="preserve">include </w:t>
      </w:r>
      <w:r>
        <w:rPr>
          <w:rFonts w:ascii="Times New Roman" w:hAnsi="Times New Roman"/>
        </w:rPr>
        <w:t>a pledge of confidentiality</w:t>
      </w:r>
      <w:r w:rsidR="00042BC8">
        <w:rPr>
          <w:rFonts w:ascii="Times New Roman" w:hAnsi="Times New Roman"/>
        </w:rPr>
        <w:t xml:space="preserve">, </w:t>
      </w:r>
      <w:r w:rsidR="00B41BB0">
        <w:rPr>
          <w:rFonts w:ascii="Times New Roman" w:hAnsi="Times New Roman"/>
        </w:rPr>
        <w:t>or any assurance of confidentia</w:t>
      </w:r>
      <w:r w:rsidR="00775579">
        <w:rPr>
          <w:rFonts w:ascii="Times New Roman" w:hAnsi="Times New Roman"/>
        </w:rPr>
        <w:t>l treatment</w:t>
      </w:r>
      <w:r w:rsidR="00B41BB0">
        <w:rPr>
          <w:rFonts w:ascii="Times New Roman" w:hAnsi="Times New Roman"/>
        </w:rPr>
        <w:t xml:space="preserve"> that is unsupported by applicable law</w:t>
      </w:r>
      <w:r>
        <w:rPr>
          <w:rFonts w:ascii="Times New Roman" w:hAnsi="Times New Roman"/>
        </w:rPr>
        <w:t>.</w:t>
      </w:r>
    </w:p>
    <w:p w:rsidR="008377C4" w:rsidP="00EF01D3" w14:paraId="725047F1"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8377C4" w:rsidP="00EF01D3" w14:paraId="725047F2" w14:textId="0F050E3C">
      <w:pPr>
        <w:tabs>
          <w:tab w:val="left" w:pos="-720"/>
          <w:tab w:val="left" w:pos="0"/>
          <w:tab w:val="left" w:pos="720"/>
        </w:tabs>
        <w:spacing w:after="240"/>
        <w:jc w:val="both"/>
        <w:rPr>
          <w:rFonts w:ascii="Times New Roman" w:hAnsi="Times New Roman"/>
        </w:rPr>
      </w:pPr>
      <w:r>
        <w:rPr>
          <w:rFonts w:ascii="Times New Roman" w:hAnsi="Times New Roman"/>
        </w:rPr>
        <w:t>R</w:t>
      </w:r>
      <w:r w:rsidRPr="00042BC8" w:rsidR="00042BC8">
        <w:rPr>
          <w:rFonts w:ascii="Times New Roman" w:hAnsi="Times New Roman"/>
        </w:rPr>
        <w:t>egulation 140.72 provide</w:t>
      </w:r>
      <w:r w:rsidR="00042BC8">
        <w:rPr>
          <w:rFonts w:ascii="Times New Roman" w:hAnsi="Times New Roman"/>
        </w:rPr>
        <w:t>s</w:t>
      </w:r>
      <w:r w:rsidRPr="00042BC8" w:rsidR="00042BC8">
        <w:rPr>
          <w:rFonts w:ascii="Times New Roman" w:hAnsi="Times New Roman"/>
        </w:rPr>
        <w:t xml:space="preserve"> the Commission with the authority to disclose confidential information to SEFs and SDRs</w:t>
      </w:r>
      <w:r w:rsidR="00042BC8">
        <w:rPr>
          <w:rFonts w:ascii="Times New Roman" w:hAnsi="Times New Roman"/>
        </w:rPr>
        <w:t xml:space="preserve"> </w:t>
      </w:r>
      <w:r w:rsidR="00042BC8">
        <w:rPr>
          <w:rFonts w:ascii="Times New Roman" w:hAnsi="Times New Roman"/>
        </w:rPr>
        <w:t>in order to</w:t>
      </w:r>
      <w:r w:rsidRPr="00042BC8" w:rsidR="00042BC8">
        <w:rPr>
          <w:rFonts w:ascii="Times New Roman" w:hAnsi="Times New Roman"/>
        </w:rPr>
        <w:t xml:space="preserve"> effectuate the purposes of the CEA.</w:t>
      </w:r>
      <w:r>
        <w:rPr>
          <w:rFonts w:ascii="Times New Roman" w:hAnsi="Times New Roman"/>
        </w:rPr>
        <w:t xml:space="preserve">  </w:t>
      </w:r>
      <w:r w:rsidR="00042BC8">
        <w:rPr>
          <w:rFonts w:ascii="Times New Roman" w:hAnsi="Times New Roman"/>
        </w:rPr>
        <w:t>T</w:t>
      </w:r>
      <w:r>
        <w:rPr>
          <w:rFonts w:ascii="Times New Roman" w:hAnsi="Times New Roman"/>
        </w:rPr>
        <w:t xml:space="preserve">he Commission has promulgated regulations to protect the confidentiality of any information collected from respondents.  Such regulations are set forth in 17 CFR </w:t>
      </w:r>
      <w:r w:rsidR="002342CD">
        <w:rPr>
          <w:rFonts w:ascii="Times New Roman" w:hAnsi="Times New Roman"/>
        </w:rPr>
        <w:t xml:space="preserve">part </w:t>
      </w:r>
      <w:r>
        <w:rPr>
          <w:rFonts w:ascii="Times New Roman" w:hAnsi="Times New Roman"/>
        </w:rPr>
        <w:t xml:space="preserve">145.  </w:t>
      </w:r>
      <w:r w:rsidR="00042BC8">
        <w:rPr>
          <w:rFonts w:ascii="Times New Roman" w:hAnsi="Times New Roman"/>
        </w:rPr>
        <w:t xml:space="preserve">Final </w:t>
      </w:r>
      <w:r w:rsidRPr="00042BC8" w:rsidR="00042BC8">
        <w:rPr>
          <w:rFonts w:ascii="Times New Roman" w:hAnsi="Times New Roman"/>
        </w:rPr>
        <w:t>regulation 145.9</w:t>
      </w:r>
      <w:r w:rsidR="006C1D16">
        <w:rPr>
          <w:rFonts w:ascii="Times New Roman" w:hAnsi="Times New Roman"/>
        </w:rPr>
        <w:t xml:space="preserve">, as amended by the </w:t>
      </w:r>
      <w:r w:rsidR="001146E5">
        <w:rPr>
          <w:rFonts w:ascii="Times New Roman" w:hAnsi="Times New Roman"/>
        </w:rPr>
        <w:t>Swap Recordkeeping Requirements</w:t>
      </w:r>
      <w:r w:rsidR="006C1D16">
        <w:rPr>
          <w:rFonts w:ascii="Times New Roman" w:hAnsi="Times New Roman"/>
        </w:rPr>
        <w:t xml:space="preserve">, </w:t>
      </w:r>
      <w:r w:rsidRPr="00042BC8" w:rsidR="00042BC8">
        <w:rPr>
          <w:rFonts w:ascii="Times New Roman" w:hAnsi="Times New Roman"/>
        </w:rPr>
        <w:t>expand</w:t>
      </w:r>
      <w:r w:rsidR="00042BC8">
        <w:rPr>
          <w:rFonts w:ascii="Times New Roman" w:hAnsi="Times New Roman"/>
        </w:rPr>
        <w:t>s</w:t>
      </w:r>
      <w:r w:rsidRPr="00042BC8" w:rsidR="00042BC8">
        <w:rPr>
          <w:rFonts w:ascii="Times New Roman" w:hAnsi="Times New Roman"/>
        </w:rPr>
        <w:t xml:space="preserve"> the definition of “submitter” by adding SEFs and SDRs to the list of registered entities to which a person’s confidential information has been submitted, and which, in turn, submit that information to the Commission.  This amendment allows individuals who have submitted information to a SEF or SDR to request confidential treatment under regulation 145.9.</w:t>
      </w:r>
    </w:p>
    <w:p w:rsidR="008377C4" w:rsidP="00EF01D3" w14:paraId="725047F3" w14:textId="77777777">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w:t>
      </w:r>
      <w:r>
        <w:rPr>
          <w:rFonts w:ascii="Times New Roman" w:hAnsi="Times New Roman"/>
          <w:b/>
        </w:rPr>
        <w:t>publication</w:t>
      </w:r>
      <w:r>
        <w:rPr>
          <w:rFonts w:ascii="Times New Roman" w:hAnsi="Times New Roman"/>
          <w:b/>
        </w:rPr>
        <w:t xml:space="preserve">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19725E">
        <w:rPr>
          <w:rFonts w:ascii="Times New Roman" w:hAnsi="Times New Roman"/>
          <w:b/>
        </w:rPr>
        <w:t xml:space="preserve"> </w:t>
      </w:r>
    </w:p>
    <w:p w:rsidR="008377C4" w:rsidP="00EF01D3" w14:paraId="725047F4" w14:textId="77777777">
      <w:pPr>
        <w:tabs>
          <w:tab w:val="left" w:pos="-720"/>
        </w:tabs>
        <w:spacing w:after="240"/>
        <w:ind w:left="720"/>
        <w:jc w:val="both"/>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377C4" w:rsidP="00EF01D3" w14:paraId="725047F6" w14:textId="22FC478E">
      <w:pPr>
        <w:tabs>
          <w:tab w:val="left" w:pos="-720"/>
        </w:tabs>
        <w:spacing w:after="240"/>
        <w:ind w:left="720"/>
        <w:jc w:val="both"/>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C3134" w:rsidRPr="00DC0A22" w:rsidP="00EF01D3" w14:paraId="135FF2E6" w14:textId="4FFFBC1C">
      <w:pPr>
        <w:pStyle w:val="BodyTextIndent"/>
        <w:spacing w:after="240"/>
        <w:ind w:left="0" w:firstLine="0"/>
        <w:rPr>
          <w:b/>
        </w:rPr>
      </w:pPr>
      <w:r w:rsidRPr="00657A48">
        <w:t>A</w:t>
      </w:r>
      <w:r w:rsidRPr="00DC0A22">
        <w:t xml:space="preserve"> </w:t>
      </w:r>
      <w:r w:rsidRPr="00DC0A22">
        <w:rPr>
          <w:i/>
        </w:rPr>
        <w:t xml:space="preserve">Notice of Intent to Extend Collection 3038-0090 </w:t>
      </w:r>
      <w:r>
        <w:t xml:space="preserve">was published </w:t>
      </w:r>
      <w:r w:rsidRPr="00DC0A22">
        <w:t xml:space="preserve">in the </w:t>
      </w:r>
      <w:r w:rsidRPr="00AA7B0F">
        <w:rPr>
          <w:i/>
        </w:rPr>
        <w:t>Federal Register</w:t>
      </w:r>
      <w:r>
        <w:t xml:space="preserve"> on </w:t>
      </w:r>
      <w:r w:rsidR="00102964">
        <w:t xml:space="preserve">March 24, 2026 </w:t>
      </w:r>
      <w:r>
        <w:t>(“Notice”).</w:t>
      </w:r>
      <w:r w:rsidRPr="00DC0A22">
        <w:t xml:space="preserve">  </w:t>
      </w:r>
      <w:r w:rsidR="00413CBB">
        <w:rPr>
          <w:i/>
          <w:iCs/>
        </w:rPr>
        <w:t xml:space="preserve">See </w:t>
      </w:r>
      <w:r w:rsidR="00823E80">
        <w:t xml:space="preserve">91 </w:t>
      </w:r>
      <w:r w:rsidR="00413CBB">
        <w:t xml:space="preserve">FR </w:t>
      </w:r>
      <w:r w:rsidR="00823E80">
        <w:t>14000</w:t>
      </w:r>
      <w:r w:rsidRPr="00286977">
        <w:t>.</w:t>
      </w:r>
      <w:r w:rsidRPr="00DC0A22">
        <w:t xml:space="preserve">  The Notice provided a 60-day period during which the public was invited to comment on the information collection and the burdens imposed by it.</w:t>
      </w:r>
      <w:r w:rsidRPr="00A460E0">
        <w:t xml:space="preserve">  </w:t>
      </w:r>
      <w:r w:rsidR="00E12AC5">
        <w:t xml:space="preserve">The Commission received </w:t>
      </w:r>
      <w:r w:rsidR="00B34731">
        <w:t>one</w:t>
      </w:r>
      <w:r w:rsidR="00A13B53">
        <w:t xml:space="preserve"> substantive comment in response to this </w:t>
      </w:r>
      <w:r w:rsidR="00BC0797">
        <w:t>Notice.</w:t>
      </w:r>
      <w:r>
        <w:rPr>
          <w:rStyle w:val="FootnoteReference"/>
        </w:rPr>
        <w:footnoteReference w:id="6"/>
      </w:r>
      <w:r w:rsidR="00B34731">
        <w:t xml:space="preserve"> </w:t>
      </w:r>
      <w:r w:rsidR="002720FE">
        <w:t xml:space="preserve"> </w:t>
      </w:r>
      <w:r w:rsidR="00CE6FAD">
        <w:t xml:space="preserve">However, this comment </w:t>
      </w:r>
      <w:r w:rsidR="00872D57">
        <w:t>proposed</w:t>
      </w:r>
      <w:r w:rsidR="00100A4C">
        <w:t xml:space="preserve"> </w:t>
      </w:r>
      <w:r w:rsidR="00E20FF2">
        <w:t xml:space="preserve">an amendment to </w:t>
      </w:r>
      <w:r w:rsidR="008A3008">
        <w:t xml:space="preserve">regulation </w:t>
      </w:r>
      <w:r w:rsidR="00E20FF2">
        <w:t>1.31</w:t>
      </w:r>
      <w:r w:rsidR="00BF23CA">
        <w:t xml:space="preserve"> </w:t>
      </w:r>
      <w:r w:rsidR="00872D57">
        <w:t>which</w:t>
      </w:r>
      <w:r w:rsidR="00BF23CA">
        <w:t xml:space="preserve"> would mandate </w:t>
      </w:r>
      <w:r w:rsidR="00872D57">
        <w:t xml:space="preserve">that </w:t>
      </w:r>
      <w:r w:rsidR="00BF23CA">
        <w:t xml:space="preserve">an independent cross-verification </w:t>
      </w:r>
      <w:r w:rsidR="00630B41">
        <w:t>of participant status</w:t>
      </w:r>
      <w:r w:rsidR="001E6B62">
        <w:t xml:space="preserve"> </w:t>
      </w:r>
      <w:r w:rsidR="00872D57">
        <w:t>be</w:t>
      </w:r>
      <w:r w:rsidR="001E6B62">
        <w:t xml:space="preserve"> included in required records for registrants</w:t>
      </w:r>
      <w:r w:rsidR="00872D57">
        <w:t xml:space="preserve">. </w:t>
      </w:r>
      <w:r w:rsidR="002720FE">
        <w:t xml:space="preserve"> </w:t>
      </w:r>
      <w:r w:rsidR="00872D57">
        <w:t xml:space="preserve">Because this request would require a </w:t>
      </w:r>
      <w:r w:rsidR="00E50DBA">
        <w:t xml:space="preserve">formal rule amendment and a new information collection, it </w:t>
      </w:r>
      <w:r w:rsidR="00A15F30">
        <w:t xml:space="preserve">is </w:t>
      </w:r>
      <w:r w:rsidR="00792470">
        <w:t xml:space="preserve">not </w:t>
      </w:r>
      <w:r w:rsidR="005E3DB8">
        <w:t xml:space="preserve">directly </w:t>
      </w:r>
      <w:r w:rsidR="00792470">
        <w:t xml:space="preserve">relevant to </w:t>
      </w:r>
      <w:r w:rsidR="00561E1D">
        <w:t xml:space="preserve">the </w:t>
      </w:r>
      <w:r w:rsidR="001E5C19">
        <w:t xml:space="preserve">extension of the </w:t>
      </w:r>
      <w:r w:rsidR="00B85A16">
        <w:t xml:space="preserve">information collection under OMB Control No. 3038-0090. </w:t>
      </w:r>
    </w:p>
    <w:p w:rsidR="008377C4" w:rsidP="00EF01D3" w14:paraId="725047F8" w14:textId="77777777">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renumeration of contractors or grantees.</w:t>
      </w:r>
    </w:p>
    <w:p w:rsidR="008377C4" w:rsidP="00EF01D3" w14:paraId="725047F9" w14:textId="77777777">
      <w:pPr>
        <w:tabs>
          <w:tab w:val="left" w:pos="-720"/>
        </w:tabs>
        <w:spacing w:after="240"/>
        <w:jc w:val="both"/>
        <w:rPr>
          <w:rFonts w:ascii="Times New Roman" w:hAnsi="Times New Roman"/>
        </w:rPr>
      </w:pPr>
      <w:r>
        <w:rPr>
          <w:rFonts w:ascii="Times New Roman" w:hAnsi="Times New Roman"/>
        </w:rPr>
        <w:t xml:space="preserve">This question does not apply.  </w:t>
      </w:r>
      <w:r w:rsidR="00042BC8">
        <w:rPr>
          <w:rFonts w:ascii="Times New Roman" w:hAnsi="Times New Roman"/>
        </w:rPr>
        <w:t xml:space="preserve">The Commission has neither considered </w:t>
      </w:r>
      <w:r w:rsidR="0019725E">
        <w:rPr>
          <w:rFonts w:ascii="Times New Roman" w:hAnsi="Times New Roman"/>
        </w:rPr>
        <w:t xml:space="preserve">nor </w:t>
      </w:r>
      <w:r w:rsidR="00042BC8">
        <w:rPr>
          <w:rFonts w:ascii="Times New Roman" w:hAnsi="Times New Roman"/>
        </w:rPr>
        <w:t>made</w:t>
      </w:r>
      <w:r w:rsidR="0019725E">
        <w:rPr>
          <w:rFonts w:ascii="Times New Roman" w:hAnsi="Times New Roman"/>
        </w:rPr>
        <w:t xml:space="preserve"> </w:t>
      </w:r>
      <w:r w:rsidR="00042BC8">
        <w:rPr>
          <w:rFonts w:ascii="Times New Roman" w:hAnsi="Times New Roman"/>
        </w:rPr>
        <w:t xml:space="preserve">any </w:t>
      </w:r>
      <w:r>
        <w:rPr>
          <w:rFonts w:ascii="Times New Roman" w:hAnsi="Times New Roman"/>
        </w:rPr>
        <w:t xml:space="preserve">payment or gift to </w:t>
      </w:r>
      <w:r w:rsidR="00042BC8">
        <w:rPr>
          <w:rFonts w:ascii="Times New Roman" w:hAnsi="Times New Roman"/>
        </w:rPr>
        <w:t xml:space="preserve">a </w:t>
      </w:r>
      <w:r>
        <w:rPr>
          <w:rFonts w:ascii="Times New Roman" w:hAnsi="Times New Roman"/>
        </w:rPr>
        <w:t>respondent.</w:t>
      </w:r>
    </w:p>
    <w:p w:rsidR="008377C4" w:rsidP="00EF01D3" w14:paraId="725047FA" w14:textId="77777777">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rsidR="00825A82" w:rsidRPr="00825A82" w:rsidP="00EF01D3" w14:paraId="725047FB" w14:textId="1975CEDE">
      <w:pPr>
        <w:tabs>
          <w:tab w:val="left" w:pos="-720"/>
          <w:tab w:val="left" w:pos="0"/>
          <w:tab w:val="left" w:pos="720"/>
        </w:tabs>
        <w:spacing w:after="240"/>
        <w:jc w:val="both"/>
        <w:rPr>
          <w:rFonts w:ascii="Times New Roman" w:hAnsi="Times New Roman"/>
        </w:rPr>
      </w:pPr>
      <w:r w:rsidRPr="00825A82">
        <w:rPr>
          <w:rFonts w:ascii="Times New Roman" w:hAnsi="Times New Roman"/>
        </w:rPr>
        <w:t>The Commission does not provide respondents with an</w:t>
      </w:r>
      <w:r w:rsidR="00A76B3B">
        <w:rPr>
          <w:rFonts w:ascii="Times New Roman" w:hAnsi="Times New Roman"/>
        </w:rPr>
        <w:t>y</w:t>
      </w:r>
      <w:r w:rsidRPr="00825A82">
        <w:rPr>
          <w:rFonts w:ascii="Times New Roman" w:hAnsi="Times New Roman"/>
        </w:rPr>
        <w:t xml:space="preserve"> assurance of confidentiality</w:t>
      </w:r>
      <w:r w:rsidR="00A76B3B">
        <w:rPr>
          <w:rFonts w:ascii="Times New Roman" w:hAnsi="Times New Roman"/>
        </w:rPr>
        <w:t xml:space="preserve"> that is not supported by applicable law</w:t>
      </w:r>
      <w:r w:rsidRPr="00825A82">
        <w:rPr>
          <w:rFonts w:ascii="Times New Roman" w:hAnsi="Times New Roman"/>
        </w:rPr>
        <w:t xml:space="preserve">.  The Commission fully complies with section 8(a)(1) of the </w:t>
      </w:r>
      <w:r w:rsidR="00ED0F5C">
        <w:rPr>
          <w:rFonts w:ascii="Times New Roman" w:hAnsi="Times New Roman"/>
        </w:rPr>
        <w:t>CEA</w:t>
      </w:r>
      <w:r w:rsidRPr="00825A82">
        <w:rPr>
          <w:rFonts w:ascii="Times New Roman" w:hAnsi="Times New Roman"/>
        </w:rPr>
        <w:t xml:space="preserve">, which strictly prohibits the Commission, unless specifically authorized by the </w:t>
      </w:r>
      <w:r w:rsidR="00ED0F5C">
        <w:rPr>
          <w:rFonts w:ascii="Times New Roman" w:hAnsi="Times New Roman"/>
        </w:rPr>
        <w:t>CEA</w:t>
      </w:r>
      <w:r w:rsidRPr="00825A82">
        <w:rPr>
          <w:rFonts w:ascii="Times New Roman" w:hAnsi="Times New Roman"/>
        </w:rPr>
        <w:t xml:space="preserve">,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w:t>
      </w:r>
      <w:r w:rsidR="001F1A7F">
        <w:rPr>
          <w:rFonts w:ascii="Times New Roman" w:hAnsi="Times New Roman"/>
        </w:rPr>
        <w:t>r</w:t>
      </w:r>
      <w:r w:rsidRPr="00825A82" w:rsidR="001F1A7F">
        <w:rPr>
          <w:rFonts w:ascii="Times New Roman" w:hAnsi="Times New Roman"/>
        </w:rPr>
        <w:t xml:space="preserve">egulations </w:t>
      </w:r>
      <w:r w:rsidRPr="00825A82" w:rsidR="00C70CEB">
        <w:rPr>
          <w:rFonts w:ascii="Times New Roman" w:hAnsi="Times New Roman"/>
        </w:rPr>
        <w:t>in</w:t>
      </w:r>
      <w:r w:rsidRPr="00825A82">
        <w:rPr>
          <w:rFonts w:ascii="Times New Roman" w:hAnsi="Times New Roman"/>
        </w:rPr>
        <w:t xml:space="preserve"> </w:t>
      </w:r>
      <w:r w:rsidR="008A3008">
        <w:rPr>
          <w:rFonts w:ascii="Times New Roman" w:hAnsi="Times New Roman"/>
        </w:rPr>
        <w:t>p</w:t>
      </w:r>
      <w:r w:rsidRPr="00825A82" w:rsidR="008A3008">
        <w:rPr>
          <w:rFonts w:ascii="Times New Roman" w:hAnsi="Times New Roman"/>
        </w:rPr>
        <w:t xml:space="preserve">arts </w:t>
      </w:r>
      <w:r w:rsidRPr="00825A82">
        <w:rPr>
          <w:rFonts w:ascii="Times New Roman" w:hAnsi="Times New Roman"/>
        </w:rPr>
        <w:t>145 and 147 of title 17 of the Code of Federal Regulations.</w:t>
      </w:r>
    </w:p>
    <w:p w:rsidR="00F660B4" w:rsidP="00EF01D3" w14:paraId="725047FC" w14:textId="79846A95">
      <w:pPr>
        <w:tabs>
          <w:tab w:val="left" w:pos="-720"/>
          <w:tab w:val="left" w:pos="0"/>
          <w:tab w:val="left" w:pos="720"/>
        </w:tabs>
        <w:spacing w:after="240"/>
        <w:jc w:val="both"/>
        <w:rPr>
          <w:rFonts w:ascii="Times New Roman" w:hAnsi="Times New Roman"/>
        </w:rPr>
      </w:pPr>
      <w:r>
        <w:rPr>
          <w:rFonts w:ascii="Times New Roman" w:hAnsi="Times New Roman"/>
        </w:rPr>
        <w:t xml:space="preserve">More specifically, </w:t>
      </w:r>
      <w:r w:rsidR="008309C2">
        <w:rPr>
          <w:rFonts w:ascii="Times New Roman" w:hAnsi="Times New Roman"/>
        </w:rPr>
        <w:t>final</w:t>
      </w:r>
      <w:r w:rsidRPr="00F660B4" w:rsidR="008309C2">
        <w:rPr>
          <w:rFonts w:ascii="Times New Roman" w:hAnsi="Times New Roman"/>
        </w:rPr>
        <w:t xml:space="preserve"> </w:t>
      </w:r>
      <w:r w:rsidR="008309C2">
        <w:rPr>
          <w:rFonts w:ascii="Times New Roman" w:hAnsi="Times New Roman"/>
        </w:rPr>
        <w:t>r</w:t>
      </w:r>
      <w:r w:rsidRPr="00F660B4" w:rsidR="008309C2">
        <w:rPr>
          <w:rFonts w:ascii="Times New Roman" w:hAnsi="Times New Roman"/>
        </w:rPr>
        <w:t xml:space="preserve">egulation </w:t>
      </w:r>
      <w:r w:rsidRPr="00F660B4">
        <w:rPr>
          <w:rFonts w:ascii="Times New Roman" w:hAnsi="Times New Roman"/>
        </w:rPr>
        <w:t>145.9</w:t>
      </w:r>
      <w:r w:rsidR="00C7261E">
        <w:rPr>
          <w:rFonts w:ascii="Times New Roman" w:hAnsi="Times New Roman"/>
        </w:rPr>
        <w:t xml:space="preserve">, as amended by the </w:t>
      </w:r>
      <w:r w:rsidR="001146E5">
        <w:rPr>
          <w:rFonts w:ascii="Times New Roman" w:hAnsi="Times New Roman"/>
        </w:rPr>
        <w:t>Swap Recordkeeping Requirements</w:t>
      </w:r>
      <w:r w:rsidR="00C7261E">
        <w:rPr>
          <w:rFonts w:ascii="Times New Roman" w:hAnsi="Times New Roman"/>
        </w:rPr>
        <w:t>,</w:t>
      </w:r>
      <w:r w:rsidRPr="00F660B4">
        <w:rPr>
          <w:rFonts w:ascii="Times New Roman" w:hAnsi="Times New Roman"/>
        </w:rPr>
        <w:t xml:space="preserve"> expand</w:t>
      </w:r>
      <w:r>
        <w:rPr>
          <w:rFonts w:ascii="Times New Roman" w:hAnsi="Times New Roman"/>
        </w:rPr>
        <w:t>s</w:t>
      </w:r>
      <w:r w:rsidRPr="00F660B4">
        <w:rPr>
          <w:rFonts w:ascii="Times New Roman" w:hAnsi="Times New Roman"/>
        </w:rPr>
        <w:t xml:space="preserve"> the definition of “submitter” by adding SEFs and SDRs to the list of registered entities to which a person’s confidential information has been submitted, and which, in turn, submit that information to the Commission.  This amendment allows individuals who have submitted information to a SEF or </w:t>
      </w:r>
      <w:r w:rsidR="0092142D">
        <w:rPr>
          <w:rFonts w:ascii="Times New Roman" w:hAnsi="Times New Roman"/>
        </w:rPr>
        <w:t xml:space="preserve">an </w:t>
      </w:r>
      <w:r w:rsidRPr="00F660B4">
        <w:rPr>
          <w:rFonts w:ascii="Times New Roman" w:hAnsi="Times New Roman"/>
        </w:rPr>
        <w:t xml:space="preserve">SDR to request confidential treatment under </w:t>
      </w:r>
      <w:r w:rsidR="008A3008">
        <w:rPr>
          <w:rFonts w:ascii="Times New Roman" w:hAnsi="Times New Roman"/>
        </w:rPr>
        <w:t>r</w:t>
      </w:r>
      <w:r w:rsidRPr="00F660B4" w:rsidR="008A3008">
        <w:rPr>
          <w:rFonts w:ascii="Times New Roman" w:hAnsi="Times New Roman"/>
        </w:rPr>
        <w:t xml:space="preserve">egulation </w:t>
      </w:r>
      <w:r w:rsidRPr="00F660B4">
        <w:rPr>
          <w:rFonts w:ascii="Times New Roman" w:hAnsi="Times New Roman"/>
        </w:rPr>
        <w:t>145.9.</w:t>
      </w:r>
    </w:p>
    <w:p w:rsidR="008377C4" w:rsidP="00EF01D3" w14:paraId="725047FD" w14:textId="77777777">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377C4" w:rsidP="00EF01D3" w14:paraId="725047FE" w14:textId="2805BEDA">
      <w:pPr>
        <w:tabs>
          <w:tab w:val="left" w:pos="-720"/>
        </w:tabs>
        <w:spacing w:after="240"/>
        <w:jc w:val="both"/>
        <w:rPr>
          <w:rFonts w:ascii="Times New Roman" w:hAnsi="Times New Roman"/>
        </w:rPr>
      </w:pPr>
      <w:r>
        <w:rPr>
          <w:rFonts w:ascii="Times New Roman" w:hAnsi="Times New Roman"/>
        </w:rPr>
        <w:t xml:space="preserve">This question does not apply.  The </w:t>
      </w:r>
      <w:r w:rsidR="008309C2">
        <w:rPr>
          <w:rFonts w:ascii="Times New Roman" w:hAnsi="Times New Roman"/>
        </w:rPr>
        <w:t xml:space="preserve">final regulations </w:t>
      </w:r>
      <w:r>
        <w:rPr>
          <w:rFonts w:ascii="Times New Roman" w:hAnsi="Times New Roman"/>
        </w:rPr>
        <w:t>do not request or require the provision of sensitive information, as that term is used in question 11.</w:t>
      </w:r>
    </w:p>
    <w:p w:rsidR="008377C4" w:rsidP="00EF01D3" w14:paraId="725047FF" w14:textId="77777777">
      <w:pPr>
        <w:keepNext/>
        <w:keepLines/>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8377C4" w:rsidP="00EF01D3" w14:paraId="72504800" w14:textId="77777777">
      <w:pPr>
        <w:keepNext/>
        <w:keepLines/>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377C4" w:rsidP="00EF01D3" w14:paraId="72504801"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rsidR="008377C4" w:rsidP="00EF01D3" w14:paraId="72504802"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A76B3B" w:rsidP="00EF01D3" w14:paraId="512D9F08" w14:textId="362BE057">
      <w:pPr>
        <w:spacing w:after="240"/>
        <w:jc w:val="both"/>
        <w:rPr>
          <w:rFonts w:ascii="Times New Roman" w:hAnsi="Times New Roman"/>
        </w:rPr>
      </w:pPr>
      <w:r>
        <w:rPr>
          <w:rFonts w:ascii="Times New Roman" w:hAnsi="Times New Roman"/>
        </w:rPr>
        <w:t>The Commission estimates the hour burdens associated with these information collections as follows:</w:t>
      </w:r>
    </w:p>
    <w:p w:rsidR="00AF5EA2" w:rsidRPr="005B1B1F" w:rsidP="00EF01D3" w14:paraId="7967C766" w14:textId="39784EE2">
      <w:pPr>
        <w:spacing w:after="240"/>
        <w:jc w:val="both"/>
        <w:rPr>
          <w:rFonts w:ascii="Times New Roman" w:hAnsi="Times New Roman"/>
          <w:b/>
          <w:bCs/>
          <w:u w:val="single"/>
        </w:rPr>
      </w:pPr>
      <w:r w:rsidRPr="005B1B1F">
        <w:rPr>
          <w:rFonts w:ascii="Times New Roman" w:hAnsi="Times New Roman"/>
          <w:b/>
          <w:bCs/>
          <w:u w:val="single"/>
        </w:rPr>
        <w:t>IC 1:</w:t>
      </w:r>
      <w:r w:rsidRPr="005B1B1F" w:rsidR="00C043B1">
        <w:rPr>
          <w:rFonts w:ascii="Times New Roman" w:hAnsi="Times New Roman"/>
          <w:b/>
          <w:bCs/>
          <w:u w:val="single"/>
        </w:rPr>
        <w:t xml:space="preserve">  </w:t>
      </w:r>
      <w:hyperlink r:id="rId9" w:tooltip="click to view this IC" w:history="1">
        <w:r w:rsidRPr="005B1B1F" w:rsidR="00C043B1">
          <w:rPr>
            <w:rStyle w:val="Hyperlink"/>
            <w:rFonts w:ascii="Times New Roman" w:hAnsi="Times New Roman"/>
            <w:color w:val="auto"/>
            <w:u w:val="single"/>
          </w:rPr>
          <w:t>Adaptation of Regulations to Incorporate Swaps-Records of Transactions</w:t>
        </w:r>
      </w:hyperlink>
    </w:p>
    <w:p w:rsidR="00083EF4" w:rsidP="00EF01D3" w14:paraId="72504823" w14:textId="7F776F62">
      <w:pPr>
        <w:spacing w:after="240"/>
        <w:jc w:val="both"/>
        <w:rPr>
          <w:rFonts w:ascii="Times New Roman" w:hAnsi="Times New Roman"/>
        </w:rPr>
      </w:pPr>
      <w:r w:rsidRPr="005E7C1D">
        <w:rPr>
          <w:rFonts w:ascii="Times New Roman" w:hAnsi="Times New Roman"/>
          <w:b/>
          <w:bCs/>
          <w:u w:val="single"/>
        </w:rPr>
        <w:t xml:space="preserve">Regulation </w:t>
      </w:r>
      <w:r w:rsidRPr="005E7C1D" w:rsidR="002A14F9">
        <w:rPr>
          <w:rFonts w:ascii="Times New Roman" w:hAnsi="Times New Roman"/>
          <w:b/>
          <w:bCs/>
          <w:u w:val="single"/>
        </w:rPr>
        <w:t>1.35:</w:t>
      </w:r>
      <w:r w:rsidRPr="005B1B1F" w:rsidR="002A14F9">
        <w:rPr>
          <w:rFonts w:ascii="Times New Roman" w:hAnsi="Times New Roman"/>
          <w:u w:val="single"/>
        </w:rPr>
        <w:t xml:space="preserve">  </w:t>
      </w:r>
      <w:r>
        <w:rPr>
          <w:rFonts w:ascii="Times New Roman" w:hAnsi="Times New Roman"/>
          <w:u w:val="single"/>
        </w:rPr>
        <w:t xml:space="preserve">Requirement that FCMs, </w:t>
      </w:r>
      <w:r w:rsidR="008B12B9">
        <w:rPr>
          <w:rFonts w:ascii="Times New Roman" w:hAnsi="Times New Roman"/>
          <w:u w:val="single"/>
        </w:rPr>
        <w:t xml:space="preserve">RFEDs, </w:t>
      </w:r>
      <w:r w:rsidR="00C01A3E">
        <w:rPr>
          <w:rFonts w:ascii="Times New Roman" w:hAnsi="Times New Roman"/>
          <w:u w:val="single"/>
        </w:rPr>
        <w:t xml:space="preserve">IBs, and </w:t>
      </w:r>
      <w:r w:rsidR="008B12B9">
        <w:rPr>
          <w:rFonts w:ascii="Times New Roman" w:hAnsi="Times New Roman"/>
          <w:u w:val="single"/>
        </w:rPr>
        <w:t xml:space="preserve">members of </w:t>
      </w:r>
      <w:r w:rsidR="00C01A3E">
        <w:rPr>
          <w:rFonts w:ascii="Times New Roman" w:hAnsi="Times New Roman"/>
          <w:u w:val="single"/>
        </w:rPr>
        <w:t>DCM</w:t>
      </w:r>
      <w:r w:rsidR="008B12B9">
        <w:rPr>
          <w:rFonts w:ascii="Times New Roman" w:hAnsi="Times New Roman"/>
          <w:u w:val="single"/>
        </w:rPr>
        <w:t>s and SEFs</w:t>
      </w:r>
      <w:r>
        <w:rPr>
          <w:rFonts w:ascii="Times New Roman" w:hAnsi="Times New Roman"/>
          <w:u w:val="single"/>
        </w:rPr>
        <w:t xml:space="preserve"> comply with </w:t>
      </w:r>
      <w:r w:rsidR="001F1A7F">
        <w:rPr>
          <w:rFonts w:ascii="Times New Roman" w:hAnsi="Times New Roman"/>
          <w:u w:val="single"/>
        </w:rPr>
        <w:t xml:space="preserve">regulation </w:t>
      </w:r>
      <w:r>
        <w:rPr>
          <w:rFonts w:ascii="Times New Roman" w:hAnsi="Times New Roman"/>
          <w:u w:val="single"/>
        </w:rPr>
        <w:t xml:space="preserve">1.35 for any swap transactions they </w:t>
      </w:r>
      <w:r>
        <w:rPr>
          <w:rFonts w:ascii="Times New Roman" w:hAnsi="Times New Roman"/>
          <w:u w:val="single"/>
        </w:rPr>
        <w:t>enter into</w:t>
      </w:r>
      <w:r w:rsidR="00293C4E">
        <w:rPr>
          <w:rFonts w:ascii="Times New Roman" w:hAnsi="Times New Roman"/>
          <w:u w:val="single"/>
        </w:rPr>
        <w:t>.</w:t>
      </w:r>
    </w:p>
    <w:p w:rsidR="007F3143" w:rsidP="00EF01D3" w14:paraId="72504825" w14:textId="78F97EF0">
      <w:pPr>
        <w:spacing w:after="240"/>
        <w:ind w:left="720"/>
        <w:jc w:val="both"/>
        <w:rPr>
          <w:rFonts w:ascii="Times New Roman" w:hAnsi="Times New Roman"/>
        </w:rPr>
      </w:pPr>
      <w:r>
        <w:rPr>
          <w:rFonts w:ascii="Times New Roman" w:hAnsi="Times New Roman"/>
        </w:rPr>
        <w:t xml:space="preserve">This </w:t>
      </w:r>
      <w:r w:rsidR="00FB480F">
        <w:rPr>
          <w:rFonts w:ascii="Times New Roman" w:hAnsi="Times New Roman"/>
        </w:rPr>
        <w:t>Swap Recordkeeping Requirement</w:t>
      </w:r>
      <w:r w:rsidR="003644D2">
        <w:rPr>
          <w:rFonts w:ascii="Times New Roman" w:hAnsi="Times New Roman"/>
        </w:rPr>
        <w:t xml:space="preserve"> </w:t>
      </w:r>
      <w:r>
        <w:rPr>
          <w:rFonts w:ascii="Times New Roman" w:hAnsi="Times New Roman"/>
        </w:rPr>
        <w:t>require</w:t>
      </w:r>
      <w:r w:rsidR="00FB2E69">
        <w:rPr>
          <w:rFonts w:ascii="Times New Roman" w:hAnsi="Times New Roman"/>
        </w:rPr>
        <w:t>s</w:t>
      </w:r>
      <w:r>
        <w:rPr>
          <w:rFonts w:ascii="Times New Roman" w:hAnsi="Times New Roman"/>
        </w:rPr>
        <w:t xml:space="preserve"> FCMs, </w:t>
      </w:r>
      <w:r w:rsidR="00E31862">
        <w:rPr>
          <w:rFonts w:ascii="Times New Roman" w:hAnsi="Times New Roman"/>
        </w:rPr>
        <w:t xml:space="preserve">retail foreign </w:t>
      </w:r>
      <w:r w:rsidR="0036689C">
        <w:rPr>
          <w:rFonts w:ascii="Times New Roman" w:hAnsi="Times New Roman"/>
        </w:rPr>
        <w:t>exchange dealers (“</w:t>
      </w:r>
      <w:r w:rsidR="008B12B9">
        <w:rPr>
          <w:rFonts w:ascii="Times New Roman" w:hAnsi="Times New Roman"/>
        </w:rPr>
        <w:t>RFEDs</w:t>
      </w:r>
      <w:r w:rsidR="0036689C">
        <w:rPr>
          <w:rFonts w:ascii="Times New Roman" w:hAnsi="Times New Roman"/>
        </w:rPr>
        <w:t>”)</w:t>
      </w:r>
      <w:r w:rsidR="008B12B9">
        <w:rPr>
          <w:rFonts w:ascii="Times New Roman" w:hAnsi="Times New Roman"/>
        </w:rPr>
        <w:t xml:space="preserve">, </w:t>
      </w:r>
      <w:r>
        <w:rPr>
          <w:rFonts w:ascii="Times New Roman" w:hAnsi="Times New Roman"/>
        </w:rPr>
        <w:t xml:space="preserve">IBs, and </w:t>
      </w:r>
      <w:r w:rsidR="008B12B9">
        <w:rPr>
          <w:rFonts w:ascii="Times New Roman" w:hAnsi="Times New Roman"/>
        </w:rPr>
        <w:t>members of DCMs and SEFs</w:t>
      </w:r>
      <w:r>
        <w:rPr>
          <w:rFonts w:ascii="Times New Roman" w:hAnsi="Times New Roman"/>
        </w:rPr>
        <w:t xml:space="preserve"> to comply with </w:t>
      </w:r>
      <w:r w:rsidR="007175B2">
        <w:rPr>
          <w:rFonts w:ascii="Times New Roman" w:hAnsi="Times New Roman"/>
        </w:rPr>
        <w:t>certain swap</w:t>
      </w:r>
      <w:r>
        <w:rPr>
          <w:rFonts w:ascii="Times New Roman" w:hAnsi="Times New Roman"/>
        </w:rPr>
        <w:t xml:space="preserve"> recordkeeping requirements</w:t>
      </w:r>
      <w:r w:rsidR="007175B2">
        <w:rPr>
          <w:rFonts w:ascii="Times New Roman" w:hAnsi="Times New Roman"/>
        </w:rPr>
        <w:t>.</w:t>
      </w:r>
      <w:r w:rsidR="00200415">
        <w:rPr>
          <w:rFonts w:ascii="Times New Roman" w:hAnsi="Times New Roman"/>
        </w:rPr>
        <w:t xml:space="preserve">  </w:t>
      </w:r>
      <w:r w:rsidR="00FB480F">
        <w:rPr>
          <w:rFonts w:ascii="Times New Roman" w:hAnsi="Times New Roman"/>
        </w:rPr>
        <w:t>The</w:t>
      </w:r>
      <w:r>
        <w:rPr>
          <w:rFonts w:ascii="Times New Roman" w:hAnsi="Times New Roman"/>
        </w:rPr>
        <w:t xml:space="preserve"> Commission has estimated it will take each of the entities approximately </w:t>
      </w:r>
      <w:r w:rsidR="007851D8">
        <w:rPr>
          <w:rFonts w:ascii="Times New Roman" w:hAnsi="Times New Roman"/>
        </w:rPr>
        <w:t>thirty minutes</w:t>
      </w:r>
      <w:r>
        <w:rPr>
          <w:rFonts w:ascii="Times New Roman" w:hAnsi="Times New Roman"/>
        </w:rPr>
        <w:t xml:space="preserve"> to fulfill the recordkeeping requirement for each swap transaction.</w:t>
      </w:r>
    </w:p>
    <w:p w:rsidR="00FB5DFC" w:rsidP="00EF01D3" w14:paraId="6B9897E4" w14:textId="116A0C6C">
      <w:pPr>
        <w:spacing w:after="240"/>
        <w:ind w:left="720"/>
        <w:jc w:val="both"/>
        <w:rPr>
          <w:rFonts w:ascii="Times New Roman" w:hAnsi="Times New Roman"/>
        </w:rPr>
      </w:pPr>
      <w:r w:rsidRPr="00BE20E6">
        <w:rPr>
          <w:rFonts w:ascii="Times New Roman" w:hAnsi="Times New Roman"/>
          <w:u w:val="single"/>
        </w:rPr>
        <w:t xml:space="preserve">Number of </w:t>
      </w:r>
      <w:r w:rsidR="00605E4E">
        <w:rPr>
          <w:rFonts w:ascii="Times New Roman" w:hAnsi="Times New Roman"/>
          <w:u w:val="single"/>
        </w:rPr>
        <w:t>respondents</w:t>
      </w:r>
      <w:r>
        <w:rPr>
          <w:rFonts w:ascii="Times New Roman" w:hAnsi="Times New Roman"/>
        </w:rPr>
        <w:t xml:space="preserve">:  </w:t>
      </w:r>
      <w:r w:rsidR="005B548E">
        <w:rPr>
          <w:rFonts w:ascii="Times New Roman" w:hAnsi="Times New Roman"/>
          <w:b/>
        </w:rPr>
        <w:t>13,461</w:t>
      </w:r>
      <w:r>
        <w:rPr>
          <w:rStyle w:val="FootnoteReference"/>
          <w:rFonts w:ascii="Times New Roman" w:hAnsi="Times New Roman"/>
        </w:rPr>
        <w:footnoteReference w:id="7"/>
      </w:r>
      <w:r>
        <w:rPr>
          <w:rFonts w:ascii="Times New Roman" w:hAnsi="Times New Roman"/>
        </w:rPr>
        <w:t xml:space="preserve"> </w:t>
      </w:r>
      <w:r w:rsidRPr="00FB5DFC">
        <w:rPr>
          <w:rFonts w:ascii="Times New Roman" w:hAnsi="Times New Roman"/>
        </w:rPr>
        <w:t>(</w:t>
      </w:r>
      <w:r w:rsidR="007175B2">
        <w:rPr>
          <w:rFonts w:ascii="Times New Roman" w:hAnsi="Times New Roman"/>
        </w:rPr>
        <w:t>6</w:t>
      </w:r>
      <w:r w:rsidR="005B548E">
        <w:rPr>
          <w:rFonts w:ascii="Times New Roman" w:hAnsi="Times New Roman"/>
        </w:rPr>
        <w:t>7</w:t>
      </w:r>
      <w:r w:rsidR="007175B2">
        <w:rPr>
          <w:rFonts w:ascii="Times New Roman" w:hAnsi="Times New Roman"/>
        </w:rPr>
        <w:t xml:space="preserve"> FCMs, </w:t>
      </w:r>
      <w:r w:rsidR="005B548E">
        <w:rPr>
          <w:rFonts w:ascii="Times New Roman" w:hAnsi="Times New Roman"/>
        </w:rPr>
        <w:t>890</w:t>
      </w:r>
      <w:r w:rsidRPr="00FB5DFC">
        <w:rPr>
          <w:rFonts w:ascii="Times New Roman" w:hAnsi="Times New Roman"/>
        </w:rPr>
        <w:t xml:space="preserve"> IBs, </w:t>
      </w:r>
      <w:r w:rsidR="00F96DD1">
        <w:rPr>
          <w:rFonts w:ascii="Times New Roman" w:hAnsi="Times New Roman"/>
        </w:rPr>
        <w:t>4</w:t>
      </w:r>
      <w:r w:rsidRPr="00FB5DFC">
        <w:rPr>
          <w:rFonts w:ascii="Times New Roman" w:hAnsi="Times New Roman"/>
        </w:rPr>
        <w:t xml:space="preserve"> RFEDs, 11,500 DCM members, 1,000 SEF members)</w:t>
      </w:r>
    </w:p>
    <w:p w:rsidR="00FB5DFC" w:rsidP="00EF01D3" w14:paraId="41FF8A94" w14:textId="29509BD8">
      <w:pPr>
        <w:spacing w:after="240"/>
        <w:ind w:firstLine="720"/>
        <w:jc w:val="both"/>
        <w:rPr>
          <w:rFonts w:ascii="Times New Roman" w:hAnsi="Times New Roman"/>
        </w:rPr>
      </w:pPr>
      <w:r w:rsidRPr="00BE20E6">
        <w:rPr>
          <w:rFonts w:ascii="Times New Roman" w:hAnsi="Times New Roman"/>
          <w:u w:val="single"/>
        </w:rPr>
        <w:t>Frequency of collection</w:t>
      </w:r>
      <w:r>
        <w:rPr>
          <w:rFonts w:ascii="Times New Roman" w:hAnsi="Times New Roman"/>
        </w:rPr>
        <w:t xml:space="preserve">:  </w:t>
      </w:r>
      <w:r w:rsidR="00EB7B24">
        <w:rPr>
          <w:rFonts w:ascii="Times New Roman" w:hAnsi="Times New Roman"/>
          <w:b/>
        </w:rPr>
        <w:t>On occasion</w:t>
      </w:r>
      <w:r w:rsidRPr="00BE20E6">
        <w:rPr>
          <w:rFonts w:ascii="Times New Roman" w:hAnsi="Times New Roman"/>
          <w:b/>
        </w:rPr>
        <w:t>.</w:t>
      </w:r>
    </w:p>
    <w:p w:rsidR="00FB5DFC" w:rsidP="00EF01D3" w14:paraId="178FF1F6" w14:textId="386C78BD">
      <w:pPr>
        <w:spacing w:after="240"/>
        <w:ind w:left="720"/>
        <w:jc w:val="both"/>
        <w:rPr>
          <w:rFonts w:ascii="Times New Roman" w:hAnsi="Times New Roman"/>
        </w:rPr>
      </w:pPr>
      <w:r w:rsidRPr="00BE20E6">
        <w:rPr>
          <w:rFonts w:ascii="Times New Roman" w:hAnsi="Times New Roman"/>
          <w:u w:val="single"/>
        </w:rPr>
        <w:t>Estimated number of annual responses per registrant</w:t>
      </w:r>
      <w:r>
        <w:rPr>
          <w:rFonts w:ascii="Times New Roman" w:hAnsi="Times New Roman"/>
        </w:rPr>
        <w:t xml:space="preserve">: </w:t>
      </w:r>
      <w:r w:rsidR="00C758B1">
        <w:rPr>
          <w:rFonts w:ascii="Times New Roman" w:hAnsi="Times New Roman"/>
          <w:b/>
        </w:rPr>
        <w:t>252</w:t>
      </w:r>
      <w:r w:rsidR="00022F1F">
        <w:rPr>
          <w:rFonts w:ascii="Times New Roman" w:hAnsi="Times New Roman"/>
          <w:b/>
        </w:rPr>
        <w:t xml:space="preserve"> </w:t>
      </w:r>
      <w:r w:rsidR="007175B2">
        <w:rPr>
          <w:rFonts w:ascii="Times New Roman" w:hAnsi="Times New Roman"/>
          <w:b/>
        </w:rPr>
        <w:t>responses</w:t>
      </w:r>
      <w:r w:rsidR="00022F1F">
        <w:rPr>
          <w:rFonts w:ascii="Times New Roman" w:hAnsi="Times New Roman"/>
          <w:b/>
        </w:rPr>
        <w:t xml:space="preserve"> per year</w:t>
      </w:r>
    </w:p>
    <w:p w:rsidR="00FB5DFC" w:rsidP="00EF01D3" w14:paraId="6DB03FEB" w14:textId="77777777">
      <w:pPr>
        <w:spacing w:after="240"/>
        <w:ind w:firstLine="720"/>
        <w:jc w:val="both"/>
        <w:rPr>
          <w:rFonts w:ascii="Times New Roman" w:hAnsi="Times New Roman"/>
        </w:rPr>
      </w:pPr>
      <w:r w:rsidRPr="00E8323D">
        <w:rPr>
          <w:rFonts w:ascii="Times New Roman" w:hAnsi="Times New Roman"/>
          <w:u w:val="single"/>
        </w:rPr>
        <w:t>Explanation</w:t>
      </w:r>
      <w:r>
        <w:rPr>
          <w:rFonts w:ascii="Times New Roman" w:hAnsi="Times New Roman"/>
        </w:rPr>
        <w:t>:</w:t>
      </w:r>
    </w:p>
    <w:p w:rsidR="004E360A" w:rsidP="00EF01D3" w14:paraId="524C3969" w14:textId="03956397">
      <w:pPr>
        <w:spacing w:after="240"/>
        <w:ind w:left="720"/>
        <w:jc w:val="both"/>
        <w:rPr>
          <w:rFonts w:ascii="Times New Roman" w:hAnsi="Times New Roman"/>
        </w:rPr>
      </w:pPr>
      <w:r>
        <w:rPr>
          <w:rFonts w:ascii="Times New Roman" w:hAnsi="Times New Roman"/>
        </w:rPr>
        <w:t xml:space="preserve">252 responses per year </w:t>
      </w:r>
      <w:r w:rsidR="0092782E">
        <w:rPr>
          <w:rFonts w:ascii="Times New Roman" w:hAnsi="Times New Roman"/>
        </w:rPr>
        <w:t>×</w:t>
      </w:r>
      <w:r>
        <w:rPr>
          <w:rFonts w:ascii="Times New Roman" w:hAnsi="Times New Roman"/>
        </w:rPr>
        <w:t xml:space="preserve"> </w:t>
      </w:r>
      <w:r w:rsidR="0092782E">
        <w:rPr>
          <w:rFonts w:ascii="Times New Roman" w:hAnsi="Times New Roman"/>
        </w:rPr>
        <w:t>0</w:t>
      </w:r>
      <w:r w:rsidR="00634489">
        <w:rPr>
          <w:rFonts w:ascii="Times New Roman" w:hAnsi="Times New Roman"/>
        </w:rPr>
        <w:t xml:space="preserve">.5 </w:t>
      </w:r>
      <w:r w:rsidR="00634489">
        <w:rPr>
          <w:rFonts w:ascii="Times New Roman" w:hAnsi="Times New Roman"/>
        </w:rPr>
        <w:t>hour</w:t>
      </w:r>
      <w:r w:rsidR="00634489">
        <w:rPr>
          <w:rFonts w:ascii="Times New Roman" w:hAnsi="Times New Roman"/>
        </w:rPr>
        <w:t xml:space="preserve"> per </w:t>
      </w:r>
      <w:r w:rsidR="0028705B">
        <w:rPr>
          <w:rFonts w:ascii="Times New Roman" w:hAnsi="Times New Roman"/>
        </w:rPr>
        <w:t>response</w:t>
      </w:r>
      <w:r w:rsidR="00634489">
        <w:rPr>
          <w:rFonts w:ascii="Times New Roman" w:hAnsi="Times New Roman"/>
        </w:rPr>
        <w:t xml:space="preserve"> = 126 hours per respondent per year</w:t>
      </w:r>
    </w:p>
    <w:p w:rsidR="00634489" w:rsidP="00EF01D3" w14:paraId="568B9682" w14:textId="7092FF48">
      <w:pPr>
        <w:spacing w:after="240"/>
        <w:ind w:left="720"/>
        <w:jc w:val="both"/>
        <w:rPr>
          <w:rFonts w:ascii="Times New Roman" w:hAnsi="Times New Roman"/>
        </w:rPr>
      </w:pPr>
      <w:r>
        <w:rPr>
          <w:rFonts w:ascii="Times New Roman" w:hAnsi="Times New Roman"/>
        </w:rPr>
        <w:t xml:space="preserve">126 hours per respondent per year </w:t>
      </w:r>
      <w:r w:rsidR="0092782E">
        <w:rPr>
          <w:rFonts w:ascii="Times New Roman" w:hAnsi="Times New Roman"/>
        </w:rPr>
        <w:t>×</w:t>
      </w:r>
      <w:r>
        <w:rPr>
          <w:rFonts w:ascii="Times New Roman" w:hAnsi="Times New Roman"/>
        </w:rPr>
        <w:t xml:space="preserve"> $100 per hour = $12,600 total average </w:t>
      </w:r>
      <w:r w:rsidR="00E2216F">
        <w:rPr>
          <w:rFonts w:ascii="Times New Roman" w:hAnsi="Times New Roman"/>
        </w:rPr>
        <w:t>annual</w:t>
      </w:r>
      <w:r>
        <w:rPr>
          <w:rFonts w:ascii="Times New Roman" w:hAnsi="Times New Roman"/>
        </w:rPr>
        <w:t xml:space="preserve"> burden cost per respondent </w:t>
      </w:r>
    </w:p>
    <w:p w:rsidR="00634489" w:rsidP="00EF01D3" w14:paraId="486A0782" w14:textId="37B4DFF0">
      <w:pPr>
        <w:spacing w:after="240"/>
        <w:ind w:left="720"/>
        <w:jc w:val="both"/>
        <w:rPr>
          <w:rFonts w:ascii="Times New Roman" w:hAnsi="Times New Roman"/>
        </w:rPr>
      </w:pPr>
      <w:r>
        <w:rPr>
          <w:rFonts w:ascii="Times New Roman" w:hAnsi="Times New Roman"/>
        </w:rPr>
        <w:t>13,</w:t>
      </w:r>
      <w:r w:rsidR="005B548E">
        <w:rPr>
          <w:rFonts w:ascii="Times New Roman" w:hAnsi="Times New Roman"/>
        </w:rPr>
        <w:t xml:space="preserve">461 </w:t>
      </w:r>
      <w:r>
        <w:rPr>
          <w:rFonts w:ascii="Times New Roman" w:hAnsi="Times New Roman"/>
        </w:rPr>
        <w:t xml:space="preserve">respondents </w:t>
      </w:r>
      <w:r w:rsidR="0092782E">
        <w:rPr>
          <w:rFonts w:ascii="Times New Roman" w:hAnsi="Times New Roman"/>
        </w:rPr>
        <w:t>×</w:t>
      </w:r>
      <w:r>
        <w:rPr>
          <w:rFonts w:ascii="Times New Roman" w:hAnsi="Times New Roman"/>
        </w:rPr>
        <w:t xml:space="preserve"> 252 responses per year = </w:t>
      </w:r>
      <w:r w:rsidR="005B548E">
        <w:rPr>
          <w:rFonts w:ascii="Times New Roman" w:hAnsi="Times New Roman"/>
        </w:rPr>
        <w:t>3,392,172</w:t>
      </w:r>
      <w:r>
        <w:rPr>
          <w:rFonts w:ascii="Times New Roman" w:hAnsi="Times New Roman"/>
        </w:rPr>
        <w:t xml:space="preserve"> total annual responses</w:t>
      </w:r>
    </w:p>
    <w:p w:rsidR="00634489" w:rsidP="00EF01D3" w14:paraId="41385851" w14:textId="16D54BB1">
      <w:pPr>
        <w:spacing w:after="240"/>
        <w:ind w:left="720"/>
        <w:jc w:val="both"/>
        <w:rPr>
          <w:rFonts w:ascii="Times New Roman" w:hAnsi="Times New Roman"/>
        </w:rPr>
      </w:pPr>
      <w:r>
        <w:rPr>
          <w:rFonts w:ascii="Times New Roman" w:hAnsi="Times New Roman"/>
        </w:rPr>
        <w:t>13</w:t>
      </w:r>
      <w:r w:rsidR="00C03FD8">
        <w:rPr>
          <w:rFonts w:ascii="Times New Roman" w:hAnsi="Times New Roman"/>
        </w:rPr>
        <w:t>,</w:t>
      </w:r>
      <w:r w:rsidR="005B548E">
        <w:rPr>
          <w:rFonts w:ascii="Times New Roman" w:hAnsi="Times New Roman"/>
        </w:rPr>
        <w:t xml:space="preserve">461 </w:t>
      </w:r>
      <w:r>
        <w:rPr>
          <w:rFonts w:ascii="Times New Roman" w:hAnsi="Times New Roman"/>
        </w:rPr>
        <w:t xml:space="preserve">respondents </w:t>
      </w:r>
      <w:r w:rsidR="0092782E">
        <w:rPr>
          <w:rFonts w:ascii="Times New Roman" w:hAnsi="Times New Roman"/>
        </w:rPr>
        <w:t>×</w:t>
      </w:r>
      <w:r>
        <w:rPr>
          <w:rFonts w:ascii="Times New Roman" w:hAnsi="Times New Roman"/>
        </w:rPr>
        <w:t xml:space="preserve"> 126 hours per respondent per year = </w:t>
      </w:r>
      <w:r w:rsidR="005B548E">
        <w:rPr>
          <w:rFonts w:ascii="Times New Roman" w:hAnsi="Times New Roman"/>
        </w:rPr>
        <w:t>1,696,086</w:t>
      </w:r>
      <w:r>
        <w:rPr>
          <w:rFonts w:ascii="Times New Roman" w:hAnsi="Times New Roman"/>
        </w:rPr>
        <w:t xml:space="preserve"> total annual number of burden hours</w:t>
      </w:r>
    </w:p>
    <w:p w:rsidR="00634489" w:rsidP="00EF01D3" w14:paraId="37665AF3" w14:textId="2909B17C">
      <w:pPr>
        <w:spacing w:after="240"/>
        <w:ind w:left="720"/>
        <w:jc w:val="both"/>
        <w:rPr>
          <w:rFonts w:ascii="Times New Roman" w:hAnsi="Times New Roman"/>
        </w:rPr>
      </w:pPr>
      <w:r>
        <w:rPr>
          <w:rFonts w:ascii="Times New Roman" w:hAnsi="Times New Roman"/>
        </w:rPr>
        <w:t>13,</w:t>
      </w:r>
      <w:r w:rsidR="005B548E">
        <w:rPr>
          <w:rFonts w:ascii="Times New Roman" w:hAnsi="Times New Roman"/>
        </w:rPr>
        <w:t xml:space="preserve">461 </w:t>
      </w:r>
      <w:r>
        <w:rPr>
          <w:rFonts w:ascii="Times New Roman" w:hAnsi="Times New Roman"/>
        </w:rPr>
        <w:t xml:space="preserve">respondents </w:t>
      </w:r>
      <w:r w:rsidR="00631F9B">
        <w:rPr>
          <w:rFonts w:ascii="Times New Roman" w:hAnsi="Times New Roman"/>
        </w:rPr>
        <w:t>×</w:t>
      </w:r>
      <w:r>
        <w:rPr>
          <w:rFonts w:ascii="Times New Roman" w:hAnsi="Times New Roman"/>
        </w:rPr>
        <w:t xml:space="preserve"> $12,600 total average </w:t>
      </w:r>
      <w:r w:rsidR="00E2216F">
        <w:rPr>
          <w:rFonts w:ascii="Times New Roman" w:hAnsi="Times New Roman"/>
        </w:rPr>
        <w:t>annual</w:t>
      </w:r>
      <w:r>
        <w:rPr>
          <w:rFonts w:ascii="Times New Roman" w:hAnsi="Times New Roman"/>
        </w:rPr>
        <w:t xml:space="preserve"> burden cost per respondent = $</w:t>
      </w:r>
      <w:r w:rsidR="005B548E">
        <w:rPr>
          <w:rFonts w:ascii="Times New Roman" w:hAnsi="Times New Roman"/>
        </w:rPr>
        <w:t>169,608,600</w:t>
      </w:r>
      <w:r w:rsidR="00C03FD8">
        <w:rPr>
          <w:rFonts w:ascii="Times New Roman" w:hAnsi="Times New Roman"/>
        </w:rPr>
        <w:t xml:space="preserve"> total annual burden cost of all responses</w:t>
      </w:r>
    </w:p>
    <w:p w:rsidR="004268F5" w:rsidP="00EF01D3" w14:paraId="08EBFCAC" w14:textId="314212B8">
      <w:pPr>
        <w:spacing w:after="240"/>
        <w:jc w:val="both"/>
        <w:rPr>
          <w:rFonts w:ascii="Times New Roman" w:hAnsi="Times New Roman"/>
        </w:rPr>
      </w:pPr>
      <w:r>
        <w:rPr>
          <w:rFonts w:ascii="Times New Roman" w:hAnsi="Times New Roman"/>
          <w:b/>
          <w:bCs/>
          <w:u w:val="single"/>
        </w:rPr>
        <w:t xml:space="preserve">Regulation </w:t>
      </w:r>
      <w:r w:rsidR="0037190F">
        <w:rPr>
          <w:rFonts w:ascii="Times New Roman" w:hAnsi="Times New Roman"/>
          <w:b/>
          <w:bCs/>
          <w:u w:val="single"/>
        </w:rPr>
        <w:t xml:space="preserve">1.33:  </w:t>
      </w:r>
      <w:r>
        <w:rPr>
          <w:rFonts w:ascii="Times New Roman" w:hAnsi="Times New Roman"/>
          <w:u w:val="single"/>
        </w:rPr>
        <w:t>Requirement that FCMs prepare swap confirmations and monthly statements describing customers’ swap positions</w:t>
      </w:r>
      <w:r w:rsidR="00543609">
        <w:rPr>
          <w:rFonts w:ascii="Times New Roman" w:hAnsi="Times New Roman"/>
          <w:u w:val="single"/>
        </w:rPr>
        <w:t>.</w:t>
      </w:r>
    </w:p>
    <w:p w:rsidR="004268F5" w:rsidP="00EF01D3" w14:paraId="6E22CCC4" w14:textId="25905B1F">
      <w:pPr>
        <w:spacing w:after="240"/>
        <w:ind w:firstLine="720"/>
        <w:jc w:val="both"/>
        <w:rPr>
          <w:rFonts w:ascii="Times New Roman" w:hAnsi="Times New Roman"/>
        </w:rPr>
      </w:pPr>
      <w:r w:rsidRPr="00BE20E6">
        <w:rPr>
          <w:rFonts w:ascii="Times New Roman" w:hAnsi="Times New Roman"/>
          <w:u w:val="single"/>
        </w:rPr>
        <w:t>Number of registrants</w:t>
      </w:r>
      <w:r>
        <w:rPr>
          <w:rFonts w:ascii="Times New Roman" w:hAnsi="Times New Roman"/>
        </w:rPr>
        <w:t xml:space="preserve">:   </w:t>
      </w:r>
      <w:r w:rsidR="008824E8">
        <w:rPr>
          <w:rFonts w:ascii="Times New Roman" w:hAnsi="Times New Roman"/>
          <w:b/>
        </w:rPr>
        <w:t>67</w:t>
      </w:r>
      <w:r w:rsidRPr="00BE20E6" w:rsidR="008824E8">
        <w:rPr>
          <w:rFonts w:ascii="Times New Roman" w:hAnsi="Times New Roman"/>
          <w:b/>
        </w:rPr>
        <w:t xml:space="preserve"> </w:t>
      </w:r>
      <w:r w:rsidRPr="00BE20E6">
        <w:rPr>
          <w:rFonts w:ascii="Times New Roman" w:hAnsi="Times New Roman"/>
          <w:b/>
        </w:rPr>
        <w:t>FCMs.</w:t>
      </w:r>
    </w:p>
    <w:p w:rsidR="004268F5" w:rsidP="00EF01D3" w14:paraId="216F379F" w14:textId="3F521F2F">
      <w:pPr>
        <w:spacing w:after="240"/>
        <w:ind w:firstLine="720"/>
        <w:jc w:val="both"/>
        <w:rPr>
          <w:rFonts w:ascii="Times New Roman" w:hAnsi="Times New Roman"/>
        </w:rPr>
      </w:pPr>
      <w:r w:rsidRPr="00BE20E6">
        <w:rPr>
          <w:rFonts w:ascii="Times New Roman" w:hAnsi="Times New Roman"/>
          <w:u w:val="single"/>
        </w:rPr>
        <w:t>Frequency of collection</w:t>
      </w:r>
      <w:r>
        <w:rPr>
          <w:rFonts w:ascii="Times New Roman" w:hAnsi="Times New Roman"/>
        </w:rPr>
        <w:t xml:space="preserve">:  </w:t>
      </w:r>
      <w:r w:rsidR="002624FF">
        <w:rPr>
          <w:rFonts w:ascii="Times New Roman" w:hAnsi="Times New Roman"/>
          <w:b/>
        </w:rPr>
        <w:t>On occasion</w:t>
      </w:r>
      <w:r w:rsidRPr="00BE20E6">
        <w:rPr>
          <w:rFonts w:ascii="Times New Roman" w:hAnsi="Times New Roman"/>
          <w:b/>
        </w:rPr>
        <w:t>.</w:t>
      </w:r>
    </w:p>
    <w:p w:rsidR="004268F5" w:rsidP="00EF01D3" w14:paraId="481012CE" w14:textId="1AC1DDB4">
      <w:pPr>
        <w:spacing w:after="240"/>
        <w:ind w:left="720"/>
        <w:jc w:val="both"/>
        <w:rPr>
          <w:rFonts w:ascii="Times New Roman" w:hAnsi="Times New Roman"/>
        </w:rPr>
      </w:pPr>
      <w:r w:rsidRPr="00BE20E6">
        <w:rPr>
          <w:rFonts w:ascii="Times New Roman" w:hAnsi="Times New Roman"/>
          <w:u w:val="single"/>
        </w:rPr>
        <w:t>Estimated number of annual responses per registrant</w:t>
      </w:r>
      <w:r>
        <w:rPr>
          <w:rFonts w:ascii="Times New Roman" w:hAnsi="Times New Roman"/>
        </w:rPr>
        <w:t xml:space="preserve">: </w:t>
      </w:r>
      <w:r w:rsidR="00995324">
        <w:rPr>
          <w:rFonts w:ascii="Times New Roman" w:hAnsi="Times New Roman"/>
          <w:b/>
        </w:rPr>
        <w:t>208,840</w:t>
      </w:r>
      <w:r w:rsidRPr="00574A42">
        <w:rPr>
          <w:rFonts w:ascii="Times New Roman" w:hAnsi="Times New Roman"/>
          <w:b/>
        </w:rPr>
        <w:t xml:space="preserve"> swap</w:t>
      </w:r>
      <w:r w:rsidRPr="00BE20E6">
        <w:rPr>
          <w:rFonts w:ascii="Times New Roman" w:hAnsi="Times New Roman"/>
          <w:b/>
        </w:rPr>
        <w:t xml:space="preserve"> confirmations </w:t>
      </w:r>
    </w:p>
    <w:p w:rsidR="004268F5" w:rsidP="00EF01D3" w14:paraId="59E43A20" w14:textId="77777777">
      <w:pPr>
        <w:spacing w:after="240"/>
        <w:ind w:firstLine="720"/>
        <w:jc w:val="both"/>
        <w:rPr>
          <w:rFonts w:ascii="Times New Roman" w:hAnsi="Times New Roman"/>
        </w:rPr>
      </w:pPr>
      <w:r w:rsidRPr="00E8323D">
        <w:rPr>
          <w:rFonts w:ascii="Times New Roman" w:hAnsi="Times New Roman"/>
          <w:u w:val="single"/>
        </w:rPr>
        <w:t>Explanation</w:t>
      </w:r>
      <w:r>
        <w:rPr>
          <w:rFonts w:ascii="Times New Roman" w:hAnsi="Times New Roman"/>
        </w:rPr>
        <w:t>:</w:t>
      </w:r>
    </w:p>
    <w:p w:rsidR="004268F5" w:rsidP="00EF01D3" w14:paraId="6C5050A0" w14:textId="037D097C">
      <w:pPr>
        <w:spacing w:after="240"/>
        <w:ind w:left="720"/>
        <w:jc w:val="both"/>
        <w:rPr>
          <w:rFonts w:ascii="Times New Roman" w:hAnsi="Times New Roman"/>
        </w:rPr>
      </w:pPr>
      <w:r>
        <w:rPr>
          <w:rFonts w:ascii="Times New Roman" w:hAnsi="Times New Roman"/>
        </w:rPr>
        <w:t>6,</w:t>
      </w:r>
      <w:r w:rsidR="00923DB8">
        <w:rPr>
          <w:rFonts w:ascii="Times New Roman" w:hAnsi="Times New Roman"/>
        </w:rPr>
        <w:t xml:space="preserve">996,124 </w:t>
      </w:r>
      <w:r>
        <w:rPr>
          <w:rFonts w:ascii="Times New Roman" w:hAnsi="Times New Roman"/>
        </w:rPr>
        <w:t>cleared swaps per year</w:t>
      </w:r>
      <w:r>
        <w:rPr>
          <w:rStyle w:val="FootnoteReference"/>
          <w:rFonts w:ascii="Times New Roman" w:hAnsi="Times New Roman"/>
        </w:rPr>
        <w:footnoteReference w:id="8"/>
      </w:r>
      <w:r>
        <w:rPr>
          <w:rFonts w:ascii="Times New Roman" w:hAnsi="Times New Roman"/>
        </w:rPr>
        <w:t xml:space="preserve"> </w:t>
      </w:r>
      <w:r w:rsidR="00631F9B">
        <w:rPr>
          <w:rFonts w:ascii="Times New Roman" w:hAnsi="Times New Roman"/>
        </w:rPr>
        <w:t>×</w:t>
      </w:r>
      <w:r>
        <w:rPr>
          <w:rFonts w:ascii="Times New Roman" w:hAnsi="Times New Roman"/>
        </w:rPr>
        <w:t xml:space="preserve"> 2 counterparties per swap = </w:t>
      </w:r>
      <w:r w:rsidRPr="00923DB8" w:rsidR="00923DB8">
        <w:rPr>
          <w:rFonts w:ascii="Times New Roman" w:hAnsi="Times New Roman"/>
        </w:rPr>
        <w:t>13,992,248</w:t>
      </w:r>
      <w:r>
        <w:rPr>
          <w:rFonts w:ascii="Times New Roman" w:hAnsi="Times New Roman"/>
        </w:rPr>
        <w:t xml:space="preserve"> confirmations per year</w:t>
      </w:r>
    </w:p>
    <w:p w:rsidR="004268F5" w:rsidP="00EF01D3" w14:paraId="7B1C262D" w14:textId="65206E47">
      <w:pPr>
        <w:spacing w:after="240"/>
        <w:ind w:left="720"/>
        <w:jc w:val="both"/>
        <w:rPr>
          <w:rFonts w:ascii="Times New Roman" w:hAnsi="Times New Roman"/>
        </w:rPr>
      </w:pPr>
      <w:r>
        <w:rPr>
          <w:rFonts w:ascii="Times New Roman" w:hAnsi="Times New Roman"/>
        </w:rPr>
        <w:t>13,992,248</w:t>
      </w:r>
      <w:r>
        <w:rPr>
          <w:rFonts w:ascii="Times New Roman" w:hAnsi="Times New Roman"/>
        </w:rPr>
        <w:t xml:space="preserve"> confirmations per year / 6</w:t>
      </w:r>
      <w:r w:rsidR="0012686E">
        <w:rPr>
          <w:rFonts w:ascii="Times New Roman" w:hAnsi="Times New Roman"/>
        </w:rPr>
        <w:t>7</w:t>
      </w:r>
      <w:r>
        <w:rPr>
          <w:rFonts w:ascii="Times New Roman" w:hAnsi="Times New Roman"/>
        </w:rPr>
        <w:t xml:space="preserve"> FCMs = </w:t>
      </w:r>
      <w:r>
        <w:rPr>
          <w:rFonts w:ascii="Times New Roman" w:hAnsi="Times New Roman"/>
        </w:rPr>
        <w:t>208,</w:t>
      </w:r>
      <w:r w:rsidR="00DE0415">
        <w:rPr>
          <w:rFonts w:ascii="Times New Roman" w:hAnsi="Times New Roman"/>
        </w:rPr>
        <w:t xml:space="preserve">840 </w:t>
      </w:r>
      <w:r>
        <w:rPr>
          <w:rFonts w:ascii="Times New Roman" w:hAnsi="Times New Roman"/>
        </w:rPr>
        <w:t>confirmations per FCM per year</w:t>
      </w:r>
    </w:p>
    <w:p w:rsidR="004268F5" w:rsidP="00EF01D3" w14:paraId="28B2C587" w14:textId="5AED483E">
      <w:pPr>
        <w:spacing w:after="240"/>
        <w:ind w:left="720"/>
        <w:jc w:val="both"/>
        <w:rPr>
          <w:rFonts w:ascii="Times New Roman" w:hAnsi="Times New Roman"/>
        </w:rPr>
      </w:pPr>
      <w:r>
        <w:rPr>
          <w:rFonts w:ascii="Times New Roman" w:hAnsi="Times New Roman"/>
        </w:rPr>
        <w:t>0</w:t>
      </w:r>
      <w:r>
        <w:rPr>
          <w:rFonts w:ascii="Times New Roman" w:hAnsi="Times New Roman"/>
        </w:rPr>
        <w:t xml:space="preserve">.05 hour per confirmation </w:t>
      </w:r>
      <w:r>
        <w:rPr>
          <w:rFonts w:ascii="Times New Roman" w:hAnsi="Times New Roman"/>
        </w:rPr>
        <w:t>×</w:t>
      </w:r>
      <w:r>
        <w:rPr>
          <w:rFonts w:ascii="Times New Roman" w:hAnsi="Times New Roman"/>
        </w:rPr>
        <w:t xml:space="preserve"> </w:t>
      </w:r>
      <w:r w:rsidR="00923DB8">
        <w:rPr>
          <w:rFonts w:ascii="Times New Roman" w:hAnsi="Times New Roman"/>
        </w:rPr>
        <w:t>208,</w:t>
      </w:r>
      <w:r w:rsidR="00DE0415">
        <w:rPr>
          <w:rFonts w:ascii="Times New Roman" w:hAnsi="Times New Roman"/>
        </w:rPr>
        <w:t xml:space="preserve">840 </w:t>
      </w:r>
      <w:r>
        <w:rPr>
          <w:rFonts w:ascii="Times New Roman" w:hAnsi="Times New Roman"/>
        </w:rPr>
        <w:t>confirmations per year</w:t>
      </w:r>
      <w:r w:rsidR="00200415">
        <w:rPr>
          <w:rFonts w:ascii="Times New Roman" w:hAnsi="Times New Roman"/>
        </w:rPr>
        <w:t xml:space="preserve"> </w:t>
      </w:r>
      <w:r>
        <w:rPr>
          <w:rFonts w:ascii="Times New Roman" w:hAnsi="Times New Roman"/>
        </w:rPr>
        <w:t xml:space="preserve">= </w:t>
      </w:r>
      <w:r w:rsidR="00923DB8">
        <w:rPr>
          <w:rFonts w:ascii="Times New Roman" w:hAnsi="Times New Roman"/>
        </w:rPr>
        <w:t>10,442</w:t>
      </w:r>
      <w:r>
        <w:rPr>
          <w:rFonts w:ascii="Times New Roman" w:hAnsi="Times New Roman"/>
        </w:rPr>
        <w:t xml:space="preserve"> hours per FCM per year</w:t>
      </w:r>
    </w:p>
    <w:p w:rsidR="004268F5" w:rsidP="00EF01D3" w14:paraId="48BF65DF" w14:textId="1CBD7348">
      <w:pPr>
        <w:spacing w:after="240"/>
        <w:ind w:left="720"/>
        <w:jc w:val="both"/>
        <w:rPr>
          <w:rFonts w:ascii="Times New Roman" w:hAnsi="Times New Roman"/>
        </w:rPr>
      </w:pPr>
      <w:r>
        <w:rPr>
          <w:rFonts w:ascii="Times New Roman" w:hAnsi="Times New Roman"/>
        </w:rPr>
        <w:t>6</w:t>
      </w:r>
      <w:r w:rsidR="00DD32C2">
        <w:rPr>
          <w:rFonts w:ascii="Times New Roman" w:hAnsi="Times New Roman"/>
        </w:rPr>
        <w:t>7</w:t>
      </w:r>
      <w:r>
        <w:rPr>
          <w:rFonts w:ascii="Times New Roman" w:hAnsi="Times New Roman"/>
        </w:rPr>
        <w:t xml:space="preserve"> FCMs </w:t>
      </w:r>
      <w:r w:rsidR="00631F9B">
        <w:rPr>
          <w:rFonts w:ascii="Times New Roman" w:hAnsi="Times New Roman"/>
        </w:rPr>
        <w:t>×</w:t>
      </w:r>
      <w:r>
        <w:rPr>
          <w:rFonts w:ascii="Times New Roman" w:hAnsi="Times New Roman"/>
        </w:rPr>
        <w:t xml:space="preserve"> </w:t>
      </w:r>
      <w:r w:rsidR="00923DB8">
        <w:rPr>
          <w:rFonts w:ascii="Times New Roman" w:hAnsi="Times New Roman"/>
        </w:rPr>
        <w:t>10,44</w:t>
      </w:r>
      <w:r w:rsidR="009F13EC">
        <w:rPr>
          <w:rFonts w:ascii="Times New Roman" w:hAnsi="Times New Roman"/>
        </w:rPr>
        <w:t>2</w:t>
      </w:r>
      <w:r w:rsidR="00923DB8">
        <w:rPr>
          <w:rFonts w:ascii="Times New Roman" w:hAnsi="Times New Roman"/>
        </w:rPr>
        <w:t xml:space="preserve"> </w:t>
      </w:r>
      <w:r>
        <w:rPr>
          <w:rFonts w:ascii="Times New Roman" w:hAnsi="Times New Roman"/>
        </w:rPr>
        <w:t xml:space="preserve">hours per year = </w:t>
      </w:r>
      <w:r w:rsidR="00332F79">
        <w:rPr>
          <w:rFonts w:ascii="Times New Roman" w:hAnsi="Times New Roman"/>
        </w:rPr>
        <w:t>699,614</w:t>
      </w:r>
      <w:r>
        <w:rPr>
          <w:rFonts w:ascii="Times New Roman" w:hAnsi="Times New Roman"/>
        </w:rPr>
        <w:t xml:space="preserve"> aggregate </w:t>
      </w:r>
      <w:r w:rsidR="000C04EE">
        <w:rPr>
          <w:rFonts w:ascii="Times New Roman" w:hAnsi="Times New Roman"/>
        </w:rPr>
        <w:t xml:space="preserve">annual </w:t>
      </w:r>
      <w:r>
        <w:rPr>
          <w:rFonts w:ascii="Times New Roman" w:hAnsi="Times New Roman"/>
        </w:rPr>
        <w:t>burden hours</w:t>
      </w:r>
    </w:p>
    <w:p w:rsidR="004268F5" w:rsidP="00EF01D3" w14:paraId="2291DF59" w14:textId="555CE92C">
      <w:pPr>
        <w:spacing w:after="240"/>
        <w:ind w:left="720"/>
        <w:jc w:val="both"/>
        <w:rPr>
          <w:rFonts w:ascii="Times New Roman" w:hAnsi="Times New Roman"/>
        </w:rPr>
      </w:pPr>
      <w:r>
        <w:rPr>
          <w:rFonts w:ascii="Times New Roman" w:hAnsi="Times New Roman"/>
        </w:rPr>
        <w:t>699,614</w:t>
      </w:r>
      <w:r>
        <w:rPr>
          <w:rFonts w:ascii="Times New Roman" w:hAnsi="Times New Roman"/>
        </w:rPr>
        <w:t xml:space="preserve"> aggregate </w:t>
      </w:r>
      <w:r w:rsidR="00882480">
        <w:rPr>
          <w:rFonts w:ascii="Times New Roman" w:hAnsi="Times New Roman"/>
        </w:rPr>
        <w:t xml:space="preserve">annual </w:t>
      </w:r>
      <w:r>
        <w:rPr>
          <w:rFonts w:ascii="Times New Roman" w:hAnsi="Times New Roman"/>
        </w:rPr>
        <w:t xml:space="preserve">burden hours </w:t>
      </w:r>
      <w:r w:rsidR="00631F9B">
        <w:rPr>
          <w:rFonts w:ascii="Times New Roman" w:hAnsi="Times New Roman"/>
        </w:rPr>
        <w:t>×</w:t>
      </w:r>
      <w:r>
        <w:rPr>
          <w:rFonts w:ascii="Times New Roman" w:hAnsi="Times New Roman"/>
        </w:rPr>
        <w:t xml:space="preserve"> $100 per hour = $</w:t>
      </w:r>
      <w:r w:rsidR="00DD32C2">
        <w:rPr>
          <w:rFonts w:ascii="Times New Roman" w:hAnsi="Times New Roman"/>
        </w:rPr>
        <w:t>6</w:t>
      </w:r>
      <w:r>
        <w:rPr>
          <w:rFonts w:ascii="Times New Roman" w:hAnsi="Times New Roman"/>
        </w:rPr>
        <w:t>9</w:t>
      </w:r>
      <w:r w:rsidR="00DD32C2">
        <w:rPr>
          <w:rFonts w:ascii="Times New Roman" w:hAnsi="Times New Roman"/>
        </w:rPr>
        <w:t>,9</w:t>
      </w:r>
      <w:r>
        <w:rPr>
          <w:rFonts w:ascii="Times New Roman" w:hAnsi="Times New Roman"/>
        </w:rPr>
        <w:t>61</w:t>
      </w:r>
      <w:r w:rsidR="00DD32C2">
        <w:rPr>
          <w:rFonts w:ascii="Times New Roman" w:hAnsi="Times New Roman"/>
        </w:rPr>
        <w:t>,</w:t>
      </w:r>
      <w:r>
        <w:rPr>
          <w:rFonts w:ascii="Times New Roman" w:hAnsi="Times New Roman"/>
        </w:rPr>
        <w:t>4</w:t>
      </w:r>
      <w:r w:rsidR="00DD32C2">
        <w:rPr>
          <w:rFonts w:ascii="Times New Roman" w:hAnsi="Times New Roman"/>
        </w:rPr>
        <w:t>00</w:t>
      </w:r>
      <w:r>
        <w:rPr>
          <w:rFonts w:ascii="Times New Roman" w:hAnsi="Times New Roman"/>
        </w:rPr>
        <w:t xml:space="preserve"> total annual burden cost of all responses</w:t>
      </w:r>
    </w:p>
    <w:p w:rsidR="00AF5EA2" w:rsidRPr="000939F1" w:rsidP="00EF01D3" w14:paraId="53242B0F" w14:textId="1DEE5BEE">
      <w:pPr>
        <w:spacing w:after="240"/>
        <w:jc w:val="both"/>
        <w:rPr>
          <w:rFonts w:ascii="Times New Roman" w:hAnsi="Times New Roman"/>
          <w:b/>
          <w:bCs/>
        </w:rPr>
      </w:pPr>
      <w:r>
        <w:rPr>
          <w:rFonts w:ascii="Times New Roman" w:hAnsi="Times New Roman"/>
          <w:b/>
          <w:bCs/>
        </w:rPr>
        <w:t>IC 2:</w:t>
      </w:r>
      <w:r w:rsidR="00C043B1">
        <w:rPr>
          <w:rFonts w:ascii="Times New Roman" w:hAnsi="Times New Roman"/>
          <w:b/>
          <w:bCs/>
        </w:rPr>
        <w:t xml:space="preserve">  </w:t>
      </w:r>
      <w:r w:rsidRPr="00C043B1" w:rsidR="00C043B1">
        <w:rPr>
          <w:rFonts w:ascii="Times New Roman" w:hAnsi="Times New Roman"/>
          <w:b/>
          <w:bCs/>
        </w:rPr>
        <w:t>Exclusion of Utility Operations-Related Swaps with Utility Special Entities from De Minimis Threshold for Swaps with Special Entities</w:t>
      </w:r>
    </w:p>
    <w:p w:rsidR="000C61C3" w:rsidP="00EF01D3" w14:paraId="603A9047" w14:textId="67ED6AC6">
      <w:pPr>
        <w:spacing w:after="240"/>
        <w:jc w:val="both"/>
        <w:rPr>
          <w:rFonts w:ascii="Times New Roman" w:hAnsi="Times New Roman"/>
          <w:u w:val="single"/>
        </w:rPr>
      </w:pPr>
      <w:r>
        <w:rPr>
          <w:rFonts w:ascii="Times New Roman" w:hAnsi="Times New Roman"/>
          <w:u w:val="single"/>
        </w:rPr>
        <w:t>Regulation</w:t>
      </w:r>
      <w:r w:rsidRPr="00AB3D73">
        <w:rPr>
          <w:rFonts w:ascii="Times New Roman" w:hAnsi="Times New Roman"/>
          <w:u w:val="single"/>
        </w:rPr>
        <w:t xml:space="preserve"> </w:t>
      </w:r>
      <w:r w:rsidRPr="00AB3D73" w:rsidR="0013783B">
        <w:rPr>
          <w:rFonts w:ascii="Times New Roman" w:hAnsi="Times New Roman"/>
          <w:u w:val="single"/>
        </w:rPr>
        <w:t xml:space="preserve">1.3:  </w:t>
      </w:r>
      <w:r>
        <w:rPr>
          <w:rFonts w:ascii="Times New Roman" w:hAnsi="Times New Roman"/>
          <w:u w:val="single"/>
        </w:rPr>
        <w:t xml:space="preserve">Requirement that each person claiming the exclusion of utility operations-related swaps with utility special entities in its de minimis calculation to maintain written representations in accordance with </w:t>
      </w:r>
      <w:r w:rsidR="001F1A7F">
        <w:rPr>
          <w:rFonts w:ascii="Times New Roman" w:hAnsi="Times New Roman"/>
          <w:u w:val="single"/>
        </w:rPr>
        <w:t xml:space="preserve">regulation </w:t>
      </w:r>
      <w:r>
        <w:rPr>
          <w:rFonts w:ascii="Times New Roman" w:hAnsi="Times New Roman"/>
          <w:u w:val="single"/>
        </w:rPr>
        <w:t>1.31</w:t>
      </w:r>
      <w:r w:rsidR="00D62E70">
        <w:rPr>
          <w:rFonts w:ascii="Times New Roman" w:hAnsi="Times New Roman"/>
          <w:u w:val="single"/>
        </w:rPr>
        <w:t>.</w:t>
      </w:r>
    </w:p>
    <w:p w:rsidR="000C61C3" w:rsidP="00EF01D3" w14:paraId="68187DD2" w14:textId="3E469736">
      <w:pPr>
        <w:spacing w:after="240"/>
        <w:ind w:left="720"/>
        <w:jc w:val="both"/>
        <w:rPr>
          <w:rFonts w:ascii="Times New Roman" w:hAnsi="Times New Roman"/>
        </w:rPr>
      </w:pPr>
      <w:r w:rsidRPr="00BE20E6">
        <w:rPr>
          <w:rFonts w:ascii="Times New Roman" w:hAnsi="Times New Roman"/>
          <w:u w:val="single"/>
        </w:rPr>
        <w:t xml:space="preserve">Number of </w:t>
      </w:r>
      <w:r>
        <w:rPr>
          <w:rFonts w:ascii="Times New Roman" w:hAnsi="Times New Roman"/>
          <w:u w:val="single"/>
        </w:rPr>
        <w:t>respondents</w:t>
      </w:r>
      <w:r>
        <w:rPr>
          <w:rFonts w:ascii="Times New Roman" w:hAnsi="Times New Roman"/>
        </w:rPr>
        <w:t xml:space="preserve">:   </w:t>
      </w:r>
      <w:r>
        <w:rPr>
          <w:rFonts w:ascii="Times New Roman" w:hAnsi="Times New Roman"/>
          <w:b/>
        </w:rPr>
        <w:t xml:space="preserve">2,000 </w:t>
      </w:r>
      <w:r w:rsidRPr="00FB5DFC">
        <w:rPr>
          <w:rFonts w:ascii="Times New Roman" w:hAnsi="Times New Roman"/>
        </w:rPr>
        <w:t>(</w:t>
      </w:r>
      <w:r>
        <w:rPr>
          <w:rFonts w:ascii="Times New Roman" w:hAnsi="Times New Roman"/>
        </w:rPr>
        <w:t>Estimated number of respondents availing themselves of this exception</w:t>
      </w:r>
      <w:r w:rsidRPr="00FB5DFC">
        <w:rPr>
          <w:rFonts w:ascii="Times New Roman" w:hAnsi="Times New Roman"/>
        </w:rPr>
        <w:t>)</w:t>
      </w:r>
    </w:p>
    <w:p w:rsidR="000C61C3" w:rsidP="00EF01D3" w14:paraId="23617590" w14:textId="31D50DC6">
      <w:pPr>
        <w:spacing w:after="240"/>
        <w:ind w:firstLine="720"/>
        <w:jc w:val="both"/>
        <w:rPr>
          <w:rFonts w:ascii="Times New Roman" w:hAnsi="Times New Roman"/>
        </w:rPr>
      </w:pPr>
      <w:r w:rsidRPr="00BE20E6">
        <w:rPr>
          <w:rFonts w:ascii="Times New Roman" w:hAnsi="Times New Roman"/>
          <w:u w:val="single"/>
        </w:rPr>
        <w:t>Frequency of collection</w:t>
      </w:r>
      <w:r>
        <w:rPr>
          <w:rFonts w:ascii="Times New Roman" w:hAnsi="Times New Roman"/>
        </w:rPr>
        <w:t xml:space="preserve">:  </w:t>
      </w:r>
      <w:r w:rsidR="006725E1">
        <w:rPr>
          <w:rFonts w:ascii="Times New Roman" w:hAnsi="Times New Roman"/>
          <w:b/>
        </w:rPr>
        <w:t>On occasion</w:t>
      </w:r>
      <w:r w:rsidRPr="00BE20E6">
        <w:rPr>
          <w:rFonts w:ascii="Times New Roman" w:hAnsi="Times New Roman"/>
          <w:b/>
        </w:rPr>
        <w:t>.</w:t>
      </w:r>
    </w:p>
    <w:p w:rsidR="000C61C3" w:rsidP="00EF01D3" w14:paraId="17C328DF" w14:textId="31E69C98">
      <w:pPr>
        <w:spacing w:after="240"/>
        <w:ind w:left="720"/>
        <w:jc w:val="both"/>
        <w:rPr>
          <w:rFonts w:ascii="Times New Roman" w:hAnsi="Times New Roman"/>
          <w:b/>
        </w:rPr>
      </w:pPr>
      <w:r w:rsidRPr="00BE20E6">
        <w:rPr>
          <w:rFonts w:ascii="Times New Roman" w:hAnsi="Times New Roman"/>
          <w:u w:val="single"/>
        </w:rPr>
        <w:t>Estimated number of annual responses per registrant</w:t>
      </w:r>
      <w:r>
        <w:rPr>
          <w:rFonts w:ascii="Times New Roman" w:hAnsi="Times New Roman"/>
        </w:rPr>
        <w:t xml:space="preserve">: </w:t>
      </w:r>
      <w:r>
        <w:rPr>
          <w:rFonts w:ascii="Times New Roman" w:hAnsi="Times New Roman"/>
          <w:b/>
        </w:rPr>
        <w:t>1 response per year</w:t>
      </w:r>
    </w:p>
    <w:p w:rsidR="000C61C3" w:rsidP="00EF01D3" w14:paraId="55107483" w14:textId="77777777">
      <w:pPr>
        <w:spacing w:after="240"/>
        <w:ind w:firstLine="720"/>
        <w:jc w:val="both"/>
        <w:rPr>
          <w:rFonts w:ascii="Times New Roman" w:hAnsi="Times New Roman"/>
        </w:rPr>
      </w:pPr>
      <w:r w:rsidRPr="00E8323D">
        <w:rPr>
          <w:rFonts w:ascii="Times New Roman" w:hAnsi="Times New Roman"/>
          <w:u w:val="single"/>
        </w:rPr>
        <w:t>Explanation</w:t>
      </w:r>
      <w:r>
        <w:rPr>
          <w:rFonts w:ascii="Times New Roman" w:hAnsi="Times New Roman"/>
        </w:rPr>
        <w:t>:</w:t>
      </w:r>
    </w:p>
    <w:p w:rsidR="000C61C3" w:rsidP="00EF01D3" w14:paraId="46924FEA" w14:textId="2408AA9C">
      <w:pPr>
        <w:spacing w:after="240"/>
        <w:ind w:left="720"/>
        <w:jc w:val="both"/>
        <w:rPr>
          <w:rFonts w:ascii="Times New Roman" w:hAnsi="Times New Roman"/>
        </w:rPr>
      </w:pPr>
      <w:r>
        <w:rPr>
          <w:rFonts w:ascii="Times New Roman" w:hAnsi="Times New Roman"/>
        </w:rPr>
        <w:t xml:space="preserve">1 response per year </w:t>
      </w:r>
      <w:r w:rsidR="00631F9B">
        <w:rPr>
          <w:rFonts w:ascii="Times New Roman" w:hAnsi="Times New Roman"/>
        </w:rPr>
        <w:t>×</w:t>
      </w:r>
      <w:r>
        <w:rPr>
          <w:rFonts w:ascii="Times New Roman" w:hAnsi="Times New Roman"/>
        </w:rPr>
        <w:t xml:space="preserve"> </w:t>
      </w:r>
      <w:r w:rsidR="00330F30">
        <w:rPr>
          <w:rFonts w:ascii="Times New Roman" w:hAnsi="Times New Roman"/>
        </w:rPr>
        <w:t>0</w:t>
      </w:r>
      <w:r>
        <w:rPr>
          <w:rFonts w:ascii="Times New Roman" w:hAnsi="Times New Roman"/>
        </w:rPr>
        <w:t xml:space="preserve">.5 hour per </w:t>
      </w:r>
      <w:r w:rsidR="005B59E7">
        <w:rPr>
          <w:rFonts w:ascii="Times New Roman" w:hAnsi="Times New Roman"/>
        </w:rPr>
        <w:t>response</w:t>
      </w:r>
      <w:r>
        <w:rPr>
          <w:rFonts w:ascii="Times New Roman" w:hAnsi="Times New Roman"/>
        </w:rPr>
        <w:t xml:space="preserve"> = </w:t>
      </w:r>
      <w:r w:rsidR="00330F30">
        <w:rPr>
          <w:rFonts w:ascii="Times New Roman" w:hAnsi="Times New Roman"/>
        </w:rPr>
        <w:t>0</w:t>
      </w:r>
      <w:r>
        <w:rPr>
          <w:rFonts w:ascii="Times New Roman" w:hAnsi="Times New Roman"/>
        </w:rPr>
        <w:t>.5 hour per respondent per year</w:t>
      </w:r>
    </w:p>
    <w:p w:rsidR="000C61C3" w:rsidP="00EF01D3" w14:paraId="75706BEB" w14:textId="4F2C0C16">
      <w:pPr>
        <w:spacing w:after="240"/>
        <w:ind w:left="720"/>
        <w:jc w:val="both"/>
        <w:rPr>
          <w:rFonts w:ascii="Times New Roman" w:hAnsi="Times New Roman"/>
        </w:rPr>
      </w:pPr>
      <w:r>
        <w:rPr>
          <w:rFonts w:ascii="Times New Roman" w:hAnsi="Times New Roman"/>
        </w:rPr>
        <w:t>0</w:t>
      </w:r>
      <w:r>
        <w:rPr>
          <w:rFonts w:ascii="Times New Roman" w:hAnsi="Times New Roman"/>
        </w:rPr>
        <w:t xml:space="preserve">.5 hours per respondent per year </w:t>
      </w:r>
      <w:r>
        <w:rPr>
          <w:rFonts w:ascii="Times New Roman" w:hAnsi="Times New Roman"/>
        </w:rPr>
        <w:t>×</w:t>
      </w:r>
      <w:r>
        <w:rPr>
          <w:rFonts w:ascii="Times New Roman" w:hAnsi="Times New Roman"/>
        </w:rPr>
        <w:t xml:space="preserve"> $100 per hour = $50 average</w:t>
      </w:r>
      <w:r w:rsidR="00330F30">
        <w:rPr>
          <w:rFonts w:ascii="Times New Roman" w:hAnsi="Times New Roman"/>
        </w:rPr>
        <w:t xml:space="preserve"> annual</w:t>
      </w:r>
      <w:r>
        <w:rPr>
          <w:rFonts w:ascii="Times New Roman" w:hAnsi="Times New Roman"/>
        </w:rPr>
        <w:t xml:space="preserve"> burden cost per respondent </w:t>
      </w:r>
    </w:p>
    <w:p w:rsidR="000C61C3" w:rsidP="00EF01D3" w14:paraId="290EC573" w14:textId="774B0BAC">
      <w:pPr>
        <w:spacing w:after="240"/>
        <w:ind w:left="720"/>
        <w:jc w:val="both"/>
        <w:rPr>
          <w:rFonts w:ascii="Times New Roman" w:hAnsi="Times New Roman"/>
        </w:rPr>
      </w:pPr>
      <w:r>
        <w:rPr>
          <w:rFonts w:ascii="Times New Roman" w:hAnsi="Times New Roman"/>
        </w:rPr>
        <w:t>2,000</w:t>
      </w:r>
      <w:r>
        <w:rPr>
          <w:rFonts w:ascii="Times New Roman" w:hAnsi="Times New Roman"/>
        </w:rPr>
        <w:t xml:space="preserve"> respondents </w:t>
      </w:r>
      <w:r w:rsidR="00631F9B">
        <w:rPr>
          <w:rFonts w:ascii="Times New Roman" w:hAnsi="Times New Roman"/>
        </w:rPr>
        <w:t>×</w:t>
      </w:r>
      <w:r>
        <w:rPr>
          <w:rFonts w:ascii="Times New Roman" w:hAnsi="Times New Roman"/>
        </w:rPr>
        <w:t xml:space="preserve"> </w:t>
      </w:r>
      <w:r>
        <w:rPr>
          <w:rFonts w:ascii="Times New Roman" w:hAnsi="Times New Roman"/>
        </w:rPr>
        <w:t>1</w:t>
      </w:r>
      <w:r>
        <w:rPr>
          <w:rFonts w:ascii="Times New Roman" w:hAnsi="Times New Roman"/>
        </w:rPr>
        <w:t xml:space="preserve"> </w:t>
      </w:r>
      <w:r w:rsidR="00F56146">
        <w:rPr>
          <w:rFonts w:ascii="Times New Roman" w:hAnsi="Times New Roman"/>
        </w:rPr>
        <w:t>response</w:t>
      </w:r>
      <w:r>
        <w:rPr>
          <w:rFonts w:ascii="Times New Roman" w:hAnsi="Times New Roman"/>
        </w:rPr>
        <w:t xml:space="preserve"> per year = </w:t>
      </w:r>
      <w:r>
        <w:rPr>
          <w:rFonts w:ascii="Times New Roman" w:hAnsi="Times New Roman"/>
        </w:rPr>
        <w:t>2,000</w:t>
      </w:r>
      <w:r>
        <w:rPr>
          <w:rFonts w:ascii="Times New Roman" w:hAnsi="Times New Roman"/>
        </w:rPr>
        <w:t xml:space="preserve"> total annual responses</w:t>
      </w:r>
    </w:p>
    <w:p w:rsidR="000C61C3" w:rsidP="00EF01D3" w14:paraId="0917A5A5" w14:textId="03D7A403">
      <w:pPr>
        <w:spacing w:after="240"/>
        <w:ind w:left="720"/>
        <w:jc w:val="both"/>
        <w:rPr>
          <w:rFonts w:ascii="Times New Roman" w:hAnsi="Times New Roman"/>
        </w:rPr>
      </w:pPr>
      <w:r>
        <w:rPr>
          <w:rFonts w:ascii="Times New Roman" w:hAnsi="Times New Roman"/>
        </w:rPr>
        <w:t>2,000</w:t>
      </w:r>
      <w:r>
        <w:rPr>
          <w:rFonts w:ascii="Times New Roman" w:hAnsi="Times New Roman"/>
        </w:rPr>
        <w:t xml:space="preserve"> respondents </w:t>
      </w:r>
      <w:r w:rsidR="00631F9B">
        <w:rPr>
          <w:rFonts w:ascii="Times New Roman" w:hAnsi="Times New Roman"/>
        </w:rPr>
        <w:t>×</w:t>
      </w:r>
      <w:r>
        <w:rPr>
          <w:rFonts w:ascii="Times New Roman" w:hAnsi="Times New Roman"/>
        </w:rPr>
        <w:t xml:space="preserve"> </w:t>
      </w:r>
      <w:r w:rsidR="00710DA7">
        <w:rPr>
          <w:rFonts w:ascii="Times New Roman" w:hAnsi="Times New Roman"/>
        </w:rPr>
        <w:t>0</w:t>
      </w:r>
      <w:r>
        <w:rPr>
          <w:rFonts w:ascii="Times New Roman" w:hAnsi="Times New Roman"/>
        </w:rPr>
        <w:t>.5</w:t>
      </w:r>
      <w:r>
        <w:rPr>
          <w:rFonts w:ascii="Times New Roman" w:hAnsi="Times New Roman"/>
        </w:rPr>
        <w:t xml:space="preserve"> hours per respondent per year = </w:t>
      </w:r>
      <w:r>
        <w:rPr>
          <w:rFonts w:ascii="Times New Roman" w:hAnsi="Times New Roman"/>
        </w:rPr>
        <w:t>1,000</w:t>
      </w:r>
      <w:r>
        <w:rPr>
          <w:rFonts w:ascii="Times New Roman" w:hAnsi="Times New Roman"/>
        </w:rPr>
        <w:t xml:space="preserve"> total annual number of burden hours</w:t>
      </w:r>
    </w:p>
    <w:p w:rsidR="000C61C3" w:rsidP="00EF01D3" w14:paraId="3B8F6629" w14:textId="43BE4768">
      <w:pPr>
        <w:spacing w:after="240"/>
        <w:ind w:left="720"/>
        <w:jc w:val="both"/>
        <w:rPr>
          <w:rFonts w:ascii="Times New Roman" w:hAnsi="Times New Roman"/>
        </w:rPr>
      </w:pPr>
      <w:r>
        <w:rPr>
          <w:rFonts w:ascii="Times New Roman" w:hAnsi="Times New Roman"/>
        </w:rPr>
        <w:t>2,000</w:t>
      </w:r>
      <w:r>
        <w:rPr>
          <w:rFonts w:ascii="Times New Roman" w:hAnsi="Times New Roman"/>
        </w:rPr>
        <w:t xml:space="preserve"> respondents </w:t>
      </w:r>
      <w:r w:rsidR="00631F9B">
        <w:rPr>
          <w:rFonts w:ascii="Times New Roman" w:hAnsi="Times New Roman"/>
        </w:rPr>
        <w:t>×</w:t>
      </w:r>
      <w:r>
        <w:rPr>
          <w:rFonts w:ascii="Times New Roman" w:hAnsi="Times New Roman"/>
        </w:rPr>
        <w:t xml:space="preserve"> $</w:t>
      </w:r>
      <w:r>
        <w:rPr>
          <w:rFonts w:ascii="Times New Roman" w:hAnsi="Times New Roman"/>
        </w:rPr>
        <w:t>50</w:t>
      </w:r>
      <w:r>
        <w:rPr>
          <w:rFonts w:ascii="Times New Roman" w:hAnsi="Times New Roman"/>
        </w:rPr>
        <w:t xml:space="preserve"> total average </w:t>
      </w:r>
      <w:r w:rsidR="00154D73">
        <w:rPr>
          <w:rFonts w:ascii="Times New Roman" w:hAnsi="Times New Roman"/>
        </w:rPr>
        <w:t xml:space="preserve">annual </w:t>
      </w:r>
      <w:r>
        <w:rPr>
          <w:rFonts w:ascii="Times New Roman" w:hAnsi="Times New Roman"/>
        </w:rPr>
        <w:t xml:space="preserve">burden cost per respondent = </w:t>
      </w:r>
      <w:r>
        <w:rPr>
          <w:rFonts w:ascii="Times New Roman" w:hAnsi="Times New Roman"/>
        </w:rPr>
        <w:t>$100,000 total annual burden cost of all responses</w:t>
      </w:r>
    </w:p>
    <w:p w:rsidR="00F561A1" w:rsidRPr="008824E8" w:rsidP="00F561A1" w14:paraId="1CABFFC0" w14:textId="2F6F92CC">
      <w:pPr>
        <w:keepNext/>
        <w:tabs>
          <w:tab w:val="left" w:pos="-720"/>
          <w:tab w:val="left" w:pos="0"/>
        </w:tabs>
        <w:spacing w:after="240"/>
        <w:jc w:val="both"/>
        <w:rPr>
          <w:rFonts w:ascii="Times New Roman" w:hAnsi="Times New Roman"/>
          <w:bCs/>
        </w:rPr>
      </w:pPr>
      <w:r w:rsidRPr="008824E8">
        <w:rPr>
          <w:rFonts w:ascii="Times New Roman" w:hAnsi="Times New Roman"/>
          <w:bCs/>
        </w:rPr>
        <w:t xml:space="preserve">Based upon the above, the aggregate cost for all respondents is </w:t>
      </w:r>
      <w:r w:rsidR="006D7DF8">
        <w:rPr>
          <w:rFonts w:ascii="Times New Roman" w:hAnsi="Times New Roman"/>
          <w:iCs/>
        </w:rPr>
        <w:t xml:space="preserve">2,396,700 </w:t>
      </w:r>
      <w:r w:rsidRPr="008824E8">
        <w:rPr>
          <w:rFonts w:ascii="Times New Roman" w:hAnsi="Times New Roman"/>
          <w:bCs/>
        </w:rPr>
        <w:t>burden hours and $</w:t>
      </w:r>
      <w:r w:rsidR="003C1A6A">
        <w:rPr>
          <w:rFonts w:ascii="Times New Roman" w:hAnsi="Times New Roman"/>
          <w:iCs/>
        </w:rPr>
        <w:t>239,670,000</w:t>
      </w:r>
      <w:r w:rsidRPr="008824E8">
        <w:rPr>
          <w:rFonts w:ascii="Times New Roman" w:hAnsi="Times New Roman"/>
          <w:bCs/>
        </w:rPr>
        <w:t xml:space="preserve"> [</w:t>
      </w:r>
      <w:r w:rsidR="00BF167A">
        <w:rPr>
          <w:rFonts w:ascii="Times New Roman" w:hAnsi="Times New Roman"/>
          <w:iCs/>
        </w:rPr>
        <w:t>2,3</w:t>
      </w:r>
      <w:r w:rsidR="006E0941">
        <w:rPr>
          <w:rFonts w:ascii="Times New Roman" w:hAnsi="Times New Roman"/>
          <w:iCs/>
        </w:rPr>
        <w:t>9</w:t>
      </w:r>
      <w:r w:rsidR="00176678">
        <w:rPr>
          <w:rFonts w:ascii="Times New Roman" w:hAnsi="Times New Roman"/>
          <w:iCs/>
        </w:rPr>
        <w:t>6</w:t>
      </w:r>
      <w:r w:rsidR="00BF167A">
        <w:rPr>
          <w:rFonts w:ascii="Times New Roman" w:hAnsi="Times New Roman"/>
          <w:iCs/>
        </w:rPr>
        <w:t>,700</w:t>
      </w:r>
      <w:r w:rsidR="00086730">
        <w:rPr>
          <w:rFonts w:ascii="Times New Roman" w:hAnsi="Times New Roman"/>
          <w:iCs/>
        </w:rPr>
        <w:t xml:space="preserve"> </w:t>
      </w:r>
      <w:r w:rsidRPr="008824E8">
        <w:rPr>
          <w:rFonts w:ascii="Times New Roman" w:hAnsi="Times New Roman"/>
          <w:bCs/>
        </w:rPr>
        <w:t>burden hours × $100 per hour].</w:t>
      </w:r>
    </w:p>
    <w:p w:rsidR="007F6AD1" w:rsidP="00EF01D3" w14:paraId="17ECCCEA" w14:textId="6BA8C9E5">
      <w:pPr>
        <w:keepNext/>
        <w:tabs>
          <w:tab w:val="left" w:pos="-720"/>
          <w:tab w:val="left" w:pos="0"/>
        </w:tabs>
        <w:spacing w:after="240"/>
        <w:jc w:val="both"/>
        <w:rPr>
          <w:rFonts w:ascii="Times New Roman" w:hAnsi="Times New Roman"/>
          <w:b/>
        </w:rPr>
      </w:pPr>
      <w:r>
        <w:rPr>
          <w:rFonts w:ascii="Times New Roman" w:hAnsi="Times New Roman"/>
          <w:b/>
        </w:rPr>
        <w:t>Associated Labor Costs:</w:t>
      </w:r>
    </w:p>
    <w:p w:rsidR="008824E8" w:rsidRPr="008824E8" w:rsidP="00EF01D3" w14:paraId="0ED68A21" w14:textId="0B0347F9">
      <w:pPr>
        <w:keepNext/>
        <w:tabs>
          <w:tab w:val="left" w:pos="-720"/>
          <w:tab w:val="left" w:pos="0"/>
        </w:tabs>
        <w:spacing w:after="240"/>
        <w:jc w:val="both"/>
        <w:rPr>
          <w:rFonts w:ascii="Times New Roman" w:hAnsi="Times New Roman"/>
          <w:bCs/>
        </w:rPr>
      </w:pPr>
      <w:r w:rsidRPr="008824E8">
        <w:rPr>
          <w:rFonts w:ascii="Times New Roman" w:hAnsi="Times New Roman"/>
          <w:bCs/>
        </w:rPr>
        <w:t>The annualized costs were determined using an average salary of $100.00 per hour.  The Commission believes that this is an appropriate salary estimate for purposes of these collections.  In support of this determination, the Commission notes that the salary estimate is based upon the May 2024 Bureau of Labor Statistics’ findings of National Occupation Employment and Wage Estimates, United States, including the mean hourly wage of an employee under occupation code 23-1011, “Lawyers,” that are employed by the “Securities, Commodity Contracts, and Other Financial Investments and Related Activities Industry,” which is $128.34; and the mean hourly wage of an employee under occupation code 13-1041, “Compliance Officers” in the same industry, which is $49.34</w:t>
      </w:r>
      <w:r>
        <w:rPr>
          <w:rFonts w:ascii="Times New Roman" w:hAnsi="Times New Roman"/>
          <w:bCs/>
        </w:rPr>
        <w:t>.</w:t>
      </w:r>
      <w:r>
        <w:rPr>
          <w:rStyle w:val="FootnoteReference"/>
          <w:rFonts w:ascii="Times New Roman" w:hAnsi="Times New Roman"/>
          <w:bCs/>
        </w:rPr>
        <w:footnoteReference w:id="9"/>
      </w:r>
    </w:p>
    <w:p w:rsidR="008824E8" w:rsidP="00EF01D3" w14:paraId="7908B4BF" w14:textId="3B391B61">
      <w:pPr>
        <w:keepNext/>
        <w:tabs>
          <w:tab w:val="left" w:pos="-720"/>
          <w:tab w:val="left" w:pos="0"/>
        </w:tabs>
        <w:spacing w:after="240"/>
        <w:jc w:val="both"/>
        <w:rPr>
          <w:rFonts w:ascii="Times New Roman" w:hAnsi="Times New Roman"/>
          <w:bCs/>
        </w:rPr>
      </w:pPr>
      <w:r w:rsidRPr="008824E8">
        <w:rPr>
          <w:rFonts w:ascii="Times New Roman" w:hAnsi="Times New Roman"/>
          <w:bCs/>
        </w:rPr>
        <w:t xml:space="preserve">The Commission also notes that, the Commission took the foregoing data and then increased its average salary estimate in recognition of the fact that some respondents may be large financial institutions whose employees’ salaries may exceed the mean wage.  The Commission recognizes </w:t>
      </w:r>
      <w:r w:rsidRPr="008824E8">
        <w:rPr>
          <w:rFonts w:ascii="Times New Roman" w:hAnsi="Times New Roman"/>
          <w:bCs/>
        </w:rPr>
        <w:t>that some respondents may hire outside counsel with expertise in the various regulatory areas covered by the combined final regulations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w:t>
      </w:r>
    </w:p>
    <w:p w:rsidR="00086730" w:rsidRPr="0067764E" w:rsidP="00086730" w14:paraId="50A7D178" w14:textId="77777777">
      <w:pPr>
        <w:spacing w:after="240"/>
        <w:jc w:val="both"/>
        <w:rPr>
          <w:rFonts w:ascii="Times New Roman" w:hAnsi="Times New Roman"/>
          <w:b/>
          <w:bCs/>
        </w:rPr>
      </w:pPr>
      <w:r>
        <w:rPr>
          <w:rFonts w:ascii="Times New Roman" w:hAnsi="Times New Roman"/>
          <w:b/>
          <w:bCs/>
        </w:rPr>
        <w:t>De Minimis Collections (No quantified burden):</w:t>
      </w:r>
    </w:p>
    <w:p w:rsidR="00086730" w:rsidRPr="009149FB" w:rsidP="00086730" w14:paraId="511BDB4F" w14:textId="77777777">
      <w:pPr>
        <w:spacing w:after="240"/>
        <w:jc w:val="both"/>
        <w:rPr>
          <w:rFonts w:ascii="Times New Roman" w:hAnsi="Times New Roman"/>
        </w:rPr>
      </w:pPr>
      <w:r w:rsidRPr="009149FB">
        <w:rPr>
          <w:rFonts w:ascii="Times New Roman" w:hAnsi="Times New Roman"/>
        </w:rPr>
        <w:t xml:space="preserve">As described below, the Commission estimates that the information collections burdens associated with the following recordkeeping requirements are either </w:t>
      </w:r>
      <w:r w:rsidRPr="009149FB">
        <w:rPr>
          <w:rFonts w:ascii="Times New Roman" w:hAnsi="Times New Roman"/>
          <w:i/>
        </w:rPr>
        <w:t xml:space="preserve">de minimis </w:t>
      </w:r>
      <w:r w:rsidRPr="009149FB">
        <w:rPr>
          <w:rFonts w:ascii="Times New Roman" w:hAnsi="Times New Roman"/>
        </w:rPr>
        <w:t>or lack sufficient information to quantify the associated burdens:</w:t>
      </w:r>
    </w:p>
    <w:p w:rsidR="00086730" w:rsidRPr="004F750F" w:rsidP="00086730" w14:paraId="34B94310" w14:textId="664DB080">
      <w:pPr>
        <w:spacing w:after="240"/>
        <w:jc w:val="both"/>
        <w:rPr>
          <w:rFonts w:ascii="Times New Roman" w:hAnsi="Times New Roman"/>
        </w:rPr>
      </w:pPr>
      <w:r>
        <w:rPr>
          <w:rFonts w:ascii="Times New Roman" w:hAnsi="Times New Roman"/>
          <w:u w:val="single"/>
        </w:rPr>
        <w:t>Regulation</w:t>
      </w:r>
      <w:r w:rsidRPr="00A65BD1">
        <w:rPr>
          <w:rFonts w:ascii="Times New Roman" w:hAnsi="Times New Roman"/>
          <w:u w:val="single"/>
        </w:rPr>
        <w:t xml:space="preserve"> </w:t>
      </w:r>
      <w:r w:rsidRPr="00A65BD1">
        <w:rPr>
          <w:rFonts w:ascii="Times New Roman" w:hAnsi="Times New Roman"/>
          <w:u w:val="single"/>
        </w:rPr>
        <w:t>1.37(a):</w:t>
      </w:r>
      <w:r>
        <w:rPr>
          <w:rFonts w:ascii="Times New Roman" w:hAnsi="Times New Roman"/>
          <w:u w:val="single"/>
        </w:rPr>
        <w:t xml:space="preserve">  Requirement that each FCM, RFED, IB and DCM member keep records showing a customer’s name, address, occupation or business, and the name of any other person guaranteeing the account or exercising any trading control over it for each swap transaction </w:t>
      </w:r>
      <w:r>
        <w:rPr>
          <w:rFonts w:ascii="Times New Roman" w:hAnsi="Times New Roman"/>
          <w:u w:val="single"/>
        </w:rPr>
        <w:t xml:space="preserve">entered </w:t>
      </w:r>
      <w:r w:rsidRPr="00A340DB">
        <w:rPr>
          <w:rFonts w:ascii="Times New Roman" w:hAnsi="Times New Roman"/>
          <w:u w:val="single"/>
        </w:rPr>
        <w:t>into</w:t>
      </w:r>
      <w:r>
        <w:rPr>
          <w:rFonts w:ascii="Times New Roman" w:hAnsi="Times New Roman"/>
          <w:u w:val="single"/>
        </w:rPr>
        <w:t>.</w:t>
      </w:r>
    </w:p>
    <w:p w:rsidR="00086730" w:rsidP="00086730" w14:paraId="424E7CBA" w14:textId="77777777">
      <w:pPr>
        <w:spacing w:after="240"/>
        <w:ind w:left="720"/>
        <w:jc w:val="both"/>
        <w:rPr>
          <w:rFonts w:ascii="Times New Roman" w:hAnsi="Times New Roman"/>
          <w:u w:val="single"/>
        </w:rPr>
      </w:pPr>
      <w:r>
        <w:rPr>
          <w:rFonts w:ascii="Times New Roman" w:hAnsi="Times New Roman"/>
        </w:rPr>
        <w:t xml:space="preserve">While the Commission has an estimate for the total number of swaps </w:t>
      </w:r>
      <w:r>
        <w:rPr>
          <w:rFonts w:ascii="Times New Roman" w:hAnsi="Times New Roman"/>
        </w:rPr>
        <w:t>entered into</w:t>
      </w:r>
      <w:r>
        <w:rPr>
          <w:rFonts w:ascii="Times New Roman" w:hAnsi="Times New Roman"/>
        </w:rPr>
        <w:t xml:space="preserve"> by FCMs, RFEDs, IBs, and members of DCMs and SEFs each year, the Commission cannot estimate the number of swaps </w:t>
      </w:r>
      <w:r>
        <w:rPr>
          <w:rFonts w:ascii="Times New Roman" w:hAnsi="Times New Roman"/>
        </w:rPr>
        <w:t>entered into</w:t>
      </w:r>
      <w:r>
        <w:rPr>
          <w:rFonts w:ascii="Times New Roman" w:hAnsi="Times New Roman"/>
        </w:rPr>
        <w:t xml:space="preserve"> by FCMs, RFEDs, IBs, and DCM members on behalf of customers per year.</w:t>
      </w:r>
    </w:p>
    <w:p w:rsidR="00086730" w:rsidRPr="00E8323D" w:rsidP="00086730" w14:paraId="5813C316" w14:textId="0A32968C">
      <w:pPr>
        <w:spacing w:after="240"/>
        <w:jc w:val="both"/>
        <w:rPr>
          <w:rFonts w:ascii="Times New Roman" w:hAnsi="Times New Roman"/>
        </w:rPr>
      </w:pPr>
      <w:r>
        <w:rPr>
          <w:rFonts w:ascii="Times New Roman" w:hAnsi="Times New Roman"/>
          <w:u w:val="single"/>
        </w:rPr>
        <w:t>Regulation</w:t>
      </w:r>
      <w:r w:rsidRPr="00C11DD9">
        <w:rPr>
          <w:rFonts w:ascii="Times New Roman" w:hAnsi="Times New Roman"/>
          <w:u w:val="single"/>
        </w:rPr>
        <w:t xml:space="preserve"> </w:t>
      </w:r>
      <w:r w:rsidRPr="00C11DD9" w:rsidR="00683E7C">
        <w:rPr>
          <w:rFonts w:ascii="Times New Roman" w:hAnsi="Times New Roman"/>
          <w:u w:val="single"/>
        </w:rPr>
        <w:t xml:space="preserve">1.37(b):  </w:t>
      </w:r>
      <w:r>
        <w:rPr>
          <w:rFonts w:ascii="Times New Roman" w:hAnsi="Times New Roman"/>
          <w:u w:val="single"/>
        </w:rPr>
        <w:t xml:space="preserve">Requirement </w:t>
      </w:r>
      <w:r w:rsidRPr="001249F2">
        <w:rPr>
          <w:rFonts w:ascii="Times New Roman" w:hAnsi="Times New Roman"/>
          <w:u w:val="single"/>
        </w:rPr>
        <w:t xml:space="preserve">that each FCM carrying an omnibus account for another FCM, a foreign broker, a member of a DCM or any other person maintain a daily record for such account </w:t>
      </w:r>
      <w:r w:rsidRPr="001249F2">
        <w:rPr>
          <w:rFonts w:ascii="Times New Roman" w:hAnsi="Times New Roman"/>
          <w:u w:val="single"/>
        </w:rPr>
        <w:t>of</w:t>
      </w:r>
      <w:r w:rsidRPr="001249F2">
        <w:rPr>
          <w:rFonts w:ascii="Times New Roman" w:hAnsi="Times New Roman"/>
          <w:u w:val="single"/>
        </w:rPr>
        <w:t xml:space="preserve"> the total open long contracts and the total open short contracts in each swap</w:t>
      </w:r>
      <w:r>
        <w:rPr>
          <w:rFonts w:ascii="Times New Roman" w:hAnsi="Times New Roman"/>
          <w:u w:val="single"/>
        </w:rPr>
        <w:t>.</w:t>
      </w:r>
    </w:p>
    <w:p w:rsidR="00086730" w:rsidP="00086730" w14:paraId="093002D4" w14:textId="3E5A5BC0">
      <w:pPr>
        <w:spacing w:after="240"/>
        <w:ind w:left="720"/>
        <w:jc w:val="both"/>
        <w:rPr>
          <w:rFonts w:ascii="Times New Roman" w:hAnsi="Times New Roman"/>
        </w:rPr>
      </w:pPr>
      <w:r>
        <w:rPr>
          <w:rFonts w:ascii="Times New Roman" w:hAnsi="Times New Roman"/>
        </w:rPr>
        <w:t xml:space="preserve">The Commission cannot estimate the aggregate burden for this </w:t>
      </w:r>
      <w:r w:rsidR="00043086">
        <w:rPr>
          <w:rFonts w:ascii="Times New Roman" w:hAnsi="Times New Roman"/>
        </w:rPr>
        <w:t xml:space="preserve">requirement </w:t>
      </w:r>
      <w:r>
        <w:rPr>
          <w:rFonts w:ascii="Times New Roman" w:hAnsi="Times New Roman"/>
        </w:rPr>
        <w:t xml:space="preserve">because it is not known, and it cannot be reasonably estimated, </w:t>
      </w:r>
      <w:r w:rsidRPr="00077F85">
        <w:rPr>
          <w:rFonts w:ascii="Times New Roman" w:hAnsi="Times New Roman"/>
          <w:i/>
        </w:rPr>
        <w:t>how many</w:t>
      </w:r>
      <w:r>
        <w:rPr>
          <w:rFonts w:ascii="Times New Roman" w:hAnsi="Times New Roman"/>
        </w:rPr>
        <w:t xml:space="preserve"> swap transactions involve an FCM carrying an omnibus account for another FCM, a foreign broker, DCM member, or any other person.</w:t>
      </w:r>
    </w:p>
    <w:p w:rsidR="00086730" w:rsidRPr="00634489" w:rsidP="00086730" w14:paraId="11E93EB5" w14:textId="078758EF">
      <w:pPr>
        <w:keepNext/>
        <w:tabs>
          <w:tab w:val="left" w:pos="-720"/>
          <w:tab w:val="left" w:pos="0"/>
        </w:tabs>
        <w:spacing w:after="240"/>
        <w:jc w:val="both"/>
        <w:rPr>
          <w:rFonts w:ascii="Times New Roman" w:hAnsi="Times New Roman"/>
        </w:rPr>
      </w:pPr>
      <w:r>
        <w:rPr>
          <w:rFonts w:ascii="Times New Roman" w:hAnsi="Times New Roman"/>
          <w:u w:val="single"/>
        </w:rPr>
        <w:t>Regulation</w:t>
      </w:r>
      <w:r w:rsidRPr="00C11DD9">
        <w:rPr>
          <w:rFonts w:ascii="Times New Roman" w:hAnsi="Times New Roman"/>
          <w:u w:val="single"/>
        </w:rPr>
        <w:t xml:space="preserve"> </w:t>
      </w:r>
      <w:r w:rsidRPr="00C11DD9">
        <w:rPr>
          <w:rFonts w:ascii="Times New Roman" w:hAnsi="Times New Roman"/>
          <w:u w:val="single"/>
        </w:rPr>
        <w:t xml:space="preserve">1.37(c):  </w:t>
      </w:r>
      <w:r w:rsidRPr="00634489">
        <w:rPr>
          <w:rFonts w:ascii="Times New Roman" w:hAnsi="Times New Roman"/>
          <w:u w:val="single"/>
        </w:rPr>
        <w:t>Requirement that SEFs keep a record showing the true name, address, and principal occupation or business of any foreign trader executing transactions on the facility or exchange</w:t>
      </w:r>
      <w:r w:rsidR="00683E7C">
        <w:rPr>
          <w:rFonts w:ascii="Times New Roman" w:hAnsi="Times New Roman"/>
        </w:rPr>
        <w:t>.</w:t>
      </w:r>
    </w:p>
    <w:p w:rsidR="00086730" w:rsidP="00086730" w14:paraId="3C17685E" w14:textId="26B66878">
      <w:pPr>
        <w:spacing w:after="240"/>
        <w:ind w:left="720"/>
        <w:jc w:val="both"/>
        <w:rPr>
          <w:rFonts w:ascii="Times New Roman" w:hAnsi="Times New Roman"/>
        </w:rPr>
      </w:pPr>
      <w:r w:rsidRPr="00634489">
        <w:rPr>
          <w:rFonts w:ascii="Times New Roman" w:hAnsi="Times New Roman"/>
        </w:rPr>
        <w:t xml:space="preserve">The Commission cannot estimate the aggregate burden for this </w:t>
      </w:r>
      <w:r w:rsidR="001A3088">
        <w:rPr>
          <w:rFonts w:ascii="Times New Roman" w:hAnsi="Times New Roman"/>
        </w:rPr>
        <w:t>requirement</w:t>
      </w:r>
      <w:r w:rsidRPr="00634489" w:rsidR="001A3088">
        <w:rPr>
          <w:rFonts w:ascii="Times New Roman" w:hAnsi="Times New Roman"/>
        </w:rPr>
        <w:t xml:space="preserve"> </w:t>
      </w:r>
      <w:r w:rsidRPr="00634489">
        <w:rPr>
          <w:rFonts w:ascii="Times New Roman" w:hAnsi="Times New Roman"/>
        </w:rPr>
        <w:t xml:space="preserve">because it is not known, and it cannot be reasonably estimated, </w:t>
      </w:r>
      <w:r w:rsidRPr="00634489">
        <w:rPr>
          <w:rFonts w:ascii="Times New Roman" w:hAnsi="Times New Roman"/>
          <w:i/>
        </w:rPr>
        <w:t>how many</w:t>
      </w:r>
      <w:r w:rsidRPr="00634489">
        <w:rPr>
          <w:rFonts w:ascii="Times New Roman" w:hAnsi="Times New Roman"/>
        </w:rPr>
        <w:t xml:space="preserve"> swap transactions are executed on SEFs by foreign traders.</w:t>
      </w:r>
    </w:p>
    <w:p w:rsidR="00086730" w:rsidP="00086730" w14:paraId="690BA3FB" w14:textId="670D2C2C">
      <w:pPr>
        <w:keepNext/>
        <w:tabs>
          <w:tab w:val="left" w:pos="-720"/>
          <w:tab w:val="left" w:pos="0"/>
        </w:tabs>
        <w:spacing w:after="240"/>
        <w:jc w:val="both"/>
        <w:rPr>
          <w:rFonts w:ascii="Times New Roman" w:hAnsi="Times New Roman"/>
        </w:rPr>
      </w:pPr>
      <w:r>
        <w:rPr>
          <w:rFonts w:ascii="Times New Roman" w:hAnsi="Times New Roman"/>
          <w:u w:val="single"/>
        </w:rPr>
        <w:t>Regulation</w:t>
      </w:r>
      <w:r w:rsidRPr="00C11DD9">
        <w:rPr>
          <w:rFonts w:ascii="Times New Roman" w:hAnsi="Times New Roman"/>
          <w:u w:val="single"/>
        </w:rPr>
        <w:t xml:space="preserve"> </w:t>
      </w:r>
      <w:r w:rsidRPr="00C11DD9">
        <w:rPr>
          <w:rFonts w:ascii="Times New Roman" w:hAnsi="Times New Roman"/>
          <w:u w:val="single"/>
        </w:rPr>
        <w:t>1.39:</w:t>
      </w:r>
      <w:r w:rsidRPr="00C23ACA">
        <w:rPr>
          <w:rFonts w:ascii="Times New Roman" w:hAnsi="Times New Roman"/>
          <w:u w:val="single"/>
        </w:rPr>
        <w:t xml:space="preserve">  </w:t>
      </w:r>
      <w:r>
        <w:rPr>
          <w:rFonts w:ascii="Times New Roman" w:hAnsi="Times New Roman"/>
          <w:u w:val="single"/>
        </w:rPr>
        <w:t>Requirement that SEFs record those buy- and sell-orders of different principals that SEF members have executed simultaneously</w:t>
      </w:r>
      <w:r w:rsidR="00683E7C">
        <w:rPr>
          <w:rFonts w:ascii="Times New Roman" w:hAnsi="Times New Roman"/>
        </w:rPr>
        <w:t>.</w:t>
      </w:r>
    </w:p>
    <w:p w:rsidR="00C11DD9" w:rsidP="00EF01D3" w14:paraId="15B576A0" w14:textId="77777777">
      <w:pPr>
        <w:keepNext/>
        <w:tabs>
          <w:tab w:val="left" w:pos="-720"/>
          <w:tab w:val="left" w:pos="0"/>
        </w:tabs>
        <w:spacing w:after="240"/>
        <w:jc w:val="both"/>
        <w:rPr>
          <w:rFonts w:ascii="Times New Roman" w:hAnsi="Times New Roman"/>
        </w:rPr>
      </w:pPr>
      <w:r>
        <w:rPr>
          <w:rFonts w:ascii="Times New Roman" w:hAnsi="Times New Roman"/>
        </w:rPr>
        <w:t xml:space="preserve">The Commission cannot estimate the aggregate burden for this requirement because it is not known, and it cannot be reasonably estimated, </w:t>
      </w:r>
      <w:r w:rsidRPr="00077F85">
        <w:rPr>
          <w:rFonts w:ascii="Times New Roman" w:hAnsi="Times New Roman"/>
          <w:i/>
        </w:rPr>
        <w:t>how many</w:t>
      </w:r>
      <w:r>
        <w:rPr>
          <w:rFonts w:ascii="Times New Roman" w:hAnsi="Times New Roman"/>
        </w:rPr>
        <w:t xml:space="preserve"> buy and sell orders are executed simultaneously on SEFs.</w:t>
      </w:r>
    </w:p>
    <w:p w:rsidR="008377C4" w:rsidP="00EF01D3" w14:paraId="7250484C" w14:textId="4FCD6556">
      <w:pPr>
        <w:keepNext/>
        <w:tabs>
          <w:tab w:val="left" w:pos="-720"/>
          <w:tab w:val="left" w:pos="0"/>
        </w:tabs>
        <w:spacing w:after="240"/>
        <w:jc w:val="both"/>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rsidR="008377C4" w:rsidP="00EF01D3" w14:paraId="7250484D" w14:textId="580BF97D">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w:t>
      </w:r>
      <w:r>
        <w:rPr>
          <w:rFonts w:ascii="Times New Roman" w:hAnsi="Times New Roman"/>
          <w:b/>
        </w:rPr>
        <w:t>take into account</w:t>
      </w:r>
      <w:r>
        <w:rPr>
          <w:rFonts w:ascii="Times New Roman" w:hAnsi="Times New Roman"/>
          <w:b/>
        </w:rPr>
        <w:t xml:space="preserve"> costs associated with generating, maintaining, and disclosing or providing the information.  Include descriptions of methods used to estimate major </w:t>
      </w:r>
      <w:r w:rsidR="00393A6E">
        <w:rPr>
          <w:rFonts w:ascii="Times New Roman" w:hAnsi="Times New Roman"/>
          <w:b/>
        </w:rPr>
        <w:t>cost</w:t>
      </w:r>
      <w:r>
        <w:rPr>
          <w:rFonts w:ascii="Times New Roman" w:hAnsi="Times New Roman"/>
          <w:b/>
        </w:rPr>
        <w:t xml:space="preserve"> factors including system and technology acquisition, expected useful life of capital equipment, the discount rate(s), and the </w:t>
      </w:r>
      <w:r>
        <w:rPr>
          <w:rFonts w:ascii="Times New Roman" w:hAnsi="Times New Roman"/>
          <w:b/>
        </w:rPr>
        <w:t>time period</w:t>
      </w:r>
      <w:r>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8377C4" w:rsidP="00EF01D3" w14:paraId="7250484F"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8377C4" w:rsidP="00EF01D3" w14:paraId="72504850" w14:textId="77777777">
      <w:pPr>
        <w:numPr>
          <w:ilvl w:val="0"/>
          <w:numId w:val="1"/>
        </w:numPr>
        <w:tabs>
          <w:tab w:val="left" w:pos="-720"/>
          <w:tab w:val="left" w:pos="0"/>
          <w:tab w:val="left" w:pos="720"/>
          <w:tab w:val="clear" w:pos="936"/>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E4008" w:rsidRPr="008E4008" w:rsidP="00EF01D3" w14:paraId="21443502" w14:textId="241AAB88">
      <w:pPr>
        <w:tabs>
          <w:tab w:val="left" w:pos="-720"/>
        </w:tabs>
        <w:spacing w:after="240"/>
        <w:jc w:val="both"/>
        <w:rPr>
          <w:rFonts w:ascii="Times New Roman" w:hAnsi="Times New Roman"/>
        </w:rPr>
      </w:pPr>
      <w:r w:rsidRPr="008E4008">
        <w:rPr>
          <w:rFonts w:ascii="Times New Roman" w:hAnsi="Times New Roman"/>
        </w:rPr>
        <w:t>The</w:t>
      </w:r>
      <w:r>
        <w:rPr>
          <w:rFonts w:ascii="Times New Roman" w:hAnsi="Times New Roman"/>
        </w:rPr>
        <w:t>re</w:t>
      </w:r>
      <w:r w:rsidRPr="008E4008">
        <w:rPr>
          <w:rFonts w:ascii="Times New Roman" w:hAnsi="Times New Roman"/>
        </w:rPr>
        <w:t xml:space="preserve"> are no start-up or operations and maintenance costs</w:t>
      </w:r>
      <w:r w:rsidRPr="008E4008">
        <w:rPr>
          <w:rFonts w:ascii="Times New Roman" w:hAnsi="Times New Roman"/>
        </w:rPr>
        <w:t xml:space="preserve"> </w:t>
      </w:r>
      <w:r w:rsidRPr="008E4008">
        <w:rPr>
          <w:rFonts w:ascii="Times New Roman" w:hAnsi="Times New Roman"/>
        </w:rPr>
        <w:t>involved with this collection.</w:t>
      </w:r>
    </w:p>
    <w:p w:rsidR="008377C4" w:rsidP="00EF01D3" w14:paraId="72504852" w14:textId="39591602">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w:t>
      </w:r>
      <w:r w:rsidR="00FF3F96">
        <w:rPr>
          <w:rFonts w:ascii="Times New Roman" w:hAnsi="Times New Roman"/>
          <w:b/>
        </w:rPr>
        <w:t>cost</w:t>
      </w:r>
      <w:r>
        <w:rPr>
          <w:rFonts w:ascii="Times New Roman" w:hAnsi="Times New Roman"/>
          <w:b/>
        </w:rPr>
        <w:t xml:space="preserve">, which should include quantification of hours, operational expenses (such as equipment, overhead, printing and support staff), and any other </w:t>
      </w:r>
      <w:r w:rsidR="00393A6E">
        <w:rPr>
          <w:rFonts w:ascii="Times New Roman" w:hAnsi="Times New Roman"/>
          <w:b/>
        </w:rPr>
        <w:t>expense</w:t>
      </w:r>
      <w:r>
        <w:rPr>
          <w:rFonts w:ascii="Times New Roman" w:hAnsi="Times New Roman"/>
          <w:b/>
        </w:rPr>
        <w:t xml:space="preserve"> that would not have been incurred without this collection of information.  Agencies may also aggregate cost estimates from Items 12, 13, and 14 in a single table.  </w:t>
      </w:r>
    </w:p>
    <w:p w:rsidR="008377C4" w:rsidP="00EF01D3" w14:paraId="72504853" w14:textId="77777777">
      <w:pPr>
        <w:tabs>
          <w:tab w:val="left" w:pos="-720"/>
        </w:tabs>
        <w:spacing w:after="240"/>
        <w:jc w:val="both"/>
        <w:rPr>
          <w:rFonts w:ascii="Times New Roman" w:hAnsi="Times New Roman"/>
        </w:rPr>
      </w:pPr>
      <w:r>
        <w:rPr>
          <w:rFonts w:ascii="Times New Roman" w:hAnsi="Times New Roman"/>
        </w:rPr>
        <w:t xml:space="preserve">It is not anticipated that the </w:t>
      </w:r>
      <w:r w:rsidR="003644D2">
        <w:rPr>
          <w:rFonts w:ascii="Times New Roman" w:hAnsi="Times New Roman"/>
        </w:rPr>
        <w:t xml:space="preserve">final </w:t>
      </w:r>
      <w:r>
        <w:rPr>
          <w:rFonts w:ascii="Times New Roman" w:hAnsi="Times New Roman"/>
        </w:rPr>
        <w:t xml:space="preserve">regulations </w:t>
      </w:r>
      <w:r w:rsidR="00B86D95">
        <w:rPr>
          <w:rFonts w:ascii="Times New Roman" w:hAnsi="Times New Roman"/>
        </w:rPr>
        <w:t xml:space="preserve">will </w:t>
      </w:r>
      <w:r>
        <w:rPr>
          <w:rFonts w:ascii="Times New Roman" w:hAnsi="Times New Roman"/>
        </w:rPr>
        <w:t>impose any additional costs to the Federal Government.</w:t>
      </w:r>
    </w:p>
    <w:p w:rsidR="008377C4" w:rsidP="00EF01D3" w14:paraId="72504854" w14:textId="14BBA082">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w:t>
      </w:r>
    </w:p>
    <w:p w:rsidR="00B36D66" w:rsidP="00EF01D3" w14:paraId="40CF45F6" w14:textId="77777777">
      <w:pPr>
        <w:tabs>
          <w:tab w:val="left" w:pos="-720"/>
        </w:tabs>
        <w:spacing w:after="240"/>
        <w:rPr>
          <w:rFonts w:ascii="Times New Roman" w:hAnsi="Times New Roman"/>
        </w:rPr>
      </w:pPr>
      <w:r>
        <w:rPr>
          <w:rFonts w:ascii="Times New Roman" w:hAnsi="Times New Roman"/>
        </w:rPr>
        <w:t xml:space="preserve">There are no program changes.  </w:t>
      </w:r>
      <w:r w:rsidR="006D7552">
        <w:rPr>
          <w:rFonts w:ascii="Times New Roman" w:hAnsi="Times New Roman"/>
        </w:rPr>
        <w:t xml:space="preserve"> </w:t>
      </w:r>
      <w:r w:rsidR="00141F17">
        <w:rPr>
          <w:rFonts w:ascii="Times New Roman" w:hAnsi="Times New Roman"/>
        </w:rPr>
        <w:t>T</w:t>
      </w:r>
      <w:r w:rsidRPr="003A46F9" w:rsidR="00587B3D">
        <w:rPr>
          <w:rFonts w:ascii="Times New Roman" w:hAnsi="Times New Roman"/>
        </w:rPr>
        <w:t xml:space="preserve">he Commission is </w:t>
      </w:r>
      <w:r w:rsidR="004B3F9D">
        <w:rPr>
          <w:rFonts w:ascii="Times New Roman" w:hAnsi="Times New Roman"/>
        </w:rPr>
        <w:t xml:space="preserve">updating its burden estimates associated with </w:t>
      </w:r>
      <w:r w:rsidRPr="003A46F9" w:rsidR="00587B3D">
        <w:rPr>
          <w:rFonts w:ascii="Times New Roman" w:hAnsi="Times New Roman"/>
        </w:rPr>
        <w:t>the information collection under OMB Control No. 3038–009</w:t>
      </w:r>
      <w:r w:rsidR="00587B3D">
        <w:rPr>
          <w:rFonts w:ascii="Times New Roman" w:hAnsi="Times New Roman"/>
        </w:rPr>
        <w:t>0</w:t>
      </w:r>
      <w:r w:rsidRPr="003A46F9" w:rsidR="00587B3D">
        <w:rPr>
          <w:rFonts w:ascii="Times New Roman" w:hAnsi="Times New Roman"/>
        </w:rPr>
        <w:t xml:space="preserve"> based on </w:t>
      </w:r>
      <w:r w:rsidR="00587B3D">
        <w:rPr>
          <w:rFonts w:ascii="Times New Roman" w:hAnsi="Times New Roman"/>
        </w:rPr>
        <w:t xml:space="preserve">a review of available </w:t>
      </w:r>
      <w:r w:rsidRPr="00F04823" w:rsidR="00F04823">
        <w:rPr>
          <w:rFonts w:ascii="Times New Roman" w:hAnsi="Times New Roman"/>
        </w:rPr>
        <w:t>recent swap data and registrant information.</w:t>
      </w:r>
      <w:r w:rsidR="00F04823">
        <w:t xml:space="preserve"> </w:t>
      </w:r>
      <w:r w:rsidR="000E0E76">
        <w:rPr>
          <w:rFonts w:ascii="Times New Roman" w:hAnsi="Times New Roman"/>
        </w:rPr>
        <w:t xml:space="preserve">Based on this review, </w:t>
      </w:r>
      <w:r w:rsidR="00057196">
        <w:rPr>
          <w:rFonts w:ascii="Times New Roman" w:hAnsi="Times New Roman"/>
        </w:rPr>
        <w:t xml:space="preserve">the Commission has updated its burden estimates to reflect updated </w:t>
      </w:r>
      <w:r w:rsidR="00710679">
        <w:rPr>
          <w:rFonts w:ascii="Times New Roman" w:hAnsi="Times New Roman"/>
        </w:rPr>
        <w:t>estimates of the number of respondents subject to the collection and the total number of swap-related filings submitted to the Commission during the prior renewal period.</w:t>
      </w:r>
    </w:p>
    <w:p w:rsidR="006832A7" w:rsidP="00EF01D3" w14:paraId="5AEFC17A" w14:textId="1A6FACD2">
      <w:pPr>
        <w:tabs>
          <w:tab w:val="left" w:pos="-720"/>
        </w:tabs>
        <w:spacing w:after="240"/>
        <w:rPr>
          <w:rFonts w:ascii="Times New Roman" w:hAnsi="Times New Roman"/>
        </w:rPr>
      </w:pPr>
      <w:r>
        <w:rPr>
          <w:rFonts w:ascii="Times New Roman" w:hAnsi="Times New Roman"/>
        </w:rPr>
        <w:t xml:space="preserve">The total number of respondents has </w:t>
      </w:r>
      <w:r w:rsidR="00D94879">
        <w:rPr>
          <w:rFonts w:ascii="Times New Roman" w:hAnsi="Times New Roman"/>
        </w:rPr>
        <w:t>decreased</w:t>
      </w:r>
      <w:r w:rsidR="00E72693">
        <w:rPr>
          <w:rFonts w:ascii="Times New Roman" w:hAnsi="Times New Roman"/>
        </w:rPr>
        <w:t xml:space="preserve"> during the renewal period.  F</w:t>
      </w:r>
      <w:r w:rsidR="00B50C70">
        <w:rPr>
          <w:rFonts w:ascii="Times New Roman" w:hAnsi="Times New Roman"/>
        </w:rPr>
        <w:t>or IC</w:t>
      </w:r>
      <w:r w:rsidR="00946BF6">
        <w:rPr>
          <w:rFonts w:ascii="Times New Roman" w:hAnsi="Times New Roman"/>
        </w:rPr>
        <w:t xml:space="preserve"> </w:t>
      </w:r>
      <w:r w:rsidR="00B50C70">
        <w:rPr>
          <w:rFonts w:ascii="Times New Roman" w:hAnsi="Times New Roman"/>
        </w:rPr>
        <w:t>1</w:t>
      </w:r>
      <w:r w:rsidR="00946BF6">
        <w:rPr>
          <w:rFonts w:ascii="Times New Roman" w:hAnsi="Times New Roman"/>
        </w:rPr>
        <w:t xml:space="preserve"> (Adaptation of Regulations to Incorporate Swap-Records of Transactions) </w:t>
      </w:r>
      <w:r w:rsidR="00A628BD">
        <w:rPr>
          <w:rFonts w:ascii="Times New Roman" w:hAnsi="Times New Roman"/>
        </w:rPr>
        <w:t xml:space="preserve">the Commission’s estimate of </w:t>
      </w:r>
      <w:r w:rsidRPr="002A7D2A" w:rsidR="002A7D2A">
        <w:rPr>
          <w:rFonts w:ascii="Times New Roman" w:hAnsi="Times New Roman"/>
          <w:bCs/>
        </w:rPr>
        <w:t>13,461</w:t>
      </w:r>
      <w:r w:rsidR="002A7D2A">
        <w:rPr>
          <w:rFonts w:ascii="Times New Roman" w:hAnsi="Times New Roman"/>
        </w:rPr>
        <w:t xml:space="preserve"> </w:t>
      </w:r>
      <w:r w:rsidR="00A628BD">
        <w:rPr>
          <w:rFonts w:ascii="Times New Roman" w:hAnsi="Times New Roman"/>
        </w:rPr>
        <w:t xml:space="preserve">swap recordkeeping respondents </w:t>
      </w:r>
      <w:r w:rsidR="00080C00">
        <w:rPr>
          <w:rFonts w:ascii="Times New Roman" w:hAnsi="Times New Roman"/>
        </w:rPr>
        <w:t xml:space="preserve">for </w:t>
      </w:r>
      <w:r w:rsidR="001F1A7F">
        <w:rPr>
          <w:rFonts w:ascii="Times New Roman" w:hAnsi="Times New Roman"/>
        </w:rPr>
        <w:t xml:space="preserve">regulation </w:t>
      </w:r>
      <w:r w:rsidR="00080C00">
        <w:rPr>
          <w:rFonts w:ascii="Times New Roman" w:hAnsi="Times New Roman"/>
        </w:rPr>
        <w:t>1.35</w:t>
      </w:r>
      <w:r w:rsidR="008558F3">
        <w:rPr>
          <w:rFonts w:ascii="Times New Roman" w:hAnsi="Times New Roman"/>
        </w:rPr>
        <w:t xml:space="preserve"> (a</w:t>
      </w:r>
      <w:r w:rsidR="00B430AE">
        <w:rPr>
          <w:rFonts w:ascii="Times New Roman" w:hAnsi="Times New Roman"/>
        </w:rPr>
        <w:t xml:space="preserve"> decrease of </w:t>
      </w:r>
      <w:r w:rsidR="005938C1">
        <w:rPr>
          <w:rFonts w:ascii="Times New Roman" w:hAnsi="Times New Roman"/>
        </w:rPr>
        <w:t>7</w:t>
      </w:r>
      <w:r w:rsidR="00955401">
        <w:rPr>
          <w:rFonts w:ascii="Times New Roman" w:hAnsi="Times New Roman"/>
        </w:rPr>
        <w:t>7 respondents</w:t>
      </w:r>
      <w:r w:rsidR="008558F3">
        <w:rPr>
          <w:rFonts w:ascii="Times New Roman" w:hAnsi="Times New Roman"/>
        </w:rPr>
        <w:t xml:space="preserve"> from the prior estimate of </w:t>
      </w:r>
      <w:r w:rsidR="00042781">
        <w:rPr>
          <w:rFonts w:ascii="Times New Roman" w:hAnsi="Times New Roman"/>
        </w:rPr>
        <w:t>13,538</w:t>
      </w:r>
      <w:r w:rsidR="008558F3">
        <w:rPr>
          <w:rFonts w:ascii="Times New Roman" w:hAnsi="Times New Roman"/>
        </w:rPr>
        <w:t xml:space="preserve">) </w:t>
      </w:r>
      <w:r w:rsidR="00A628BD">
        <w:rPr>
          <w:rFonts w:ascii="Times New Roman" w:hAnsi="Times New Roman"/>
        </w:rPr>
        <w:t xml:space="preserve">derives </w:t>
      </w:r>
      <w:bookmarkStart w:id="1" w:name="_Hlk137631334"/>
      <w:r w:rsidR="00A628BD">
        <w:rPr>
          <w:rFonts w:ascii="Times New Roman" w:hAnsi="Times New Roman"/>
        </w:rPr>
        <w:t>from combining the e</w:t>
      </w:r>
      <w:r w:rsidRPr="00193D5C" w:rsidR="00A628BD">
        <w:rPr>
          <w:rFonts w:ascii="Times New Roman" w:hAnsi="Times New Roman"/>
        </w:rPr>
        <w:t>stimated number of FCMs (</w:t>
      </w:r>
      <w:r w:rsidRPr="00193D5C" w:rsidR="004D7528">
        <w:rPr>
          <w:rFonts w:ascii="Times New Roman" w:hAnsi="Times New Roman"/>
        </w:rPr>
        <w:t>6</w:t>
      </w:r>
      <w:r w:rsidR="002A7D2A">
        <w:rPr>
          <w:rFonts w:ascii="Times New Roman" w:hAnsi="Times New Roman"/>
        </w:rPr>
        <w:t>7</w:t>
      </w:r>
      <w:r w:rsidR="002F609F">
        <w:rPr>
          <w:rFonts w:ascii="Times New Roman" w:hAnsi="Times New Roman"/>
        </w:rPr>
        <w:t xml:space="preserve"> – </w:t>
      </w:r>
      <w:r w:rsidR="002A7D2A">
        <w:rPr>
          <w:rFonts w:ascii="Times New Roman" w:hAnsi="Times New Roman"/>
        </w:rPr>
        <w:t xml:space="preserve">increased </w:t>
      </w:r>
      <w:r w:rsidR="00BC1DAE">
        <w:rPr>
          <w:rFonts w:ascii="Times New Roman" w:hAnsi="Times New Roman"/>
        </w:rPr>
        <w:t xml:space="preserve">from </w:t>
      </w:r>
      <w:r w:rsidR="002A7D2A">
        <w:rPr>
          <w:rFonts w:ascii="Times New Roman" w:hAnsi="Times New Roman"/>
        </w:rPr>
        <w:t>60</w:t>
      </w:r>
      <w:r w:rsidRPr="00193D5C" w:rsidR="00A628BD">
        <w:rPr>
          <w:rFonts w:ascii="Times New Roman" w:hAnsi="Times New Roman"/>
        </w:rPr>
        <w:t>), IBs (</w:t>
      </w:r>
      <w:r w:rsidR="002A7D2A">
        <w:rPr>
          <w:rFonts w:ascii="Times New Roman" w:hAnsi="Times New Roman"/>
        </w:rPr>
        <w:t>890 – decreased from 974</w:t>
      </w:r>
      <w:r w:rsidRPr="00193D5C" w:rsidR="00A628BD">
        <w:rPr>
          <w:rFonts w:ascii="Times New Roman" w:hAnsi="Times New Roman"/>
        </w:rPr>
        <w:t>), RFEDs (</w:t>
      </w:r>
      <w:r w:rsidR="004D7528">
        <w:rPr>
          <w:rFonts w:ascii="Times New Roman" w:hAnsi="Times New Roman"/>
        </w:rPr>
        <w:t>4</w:t>
      </w:r>
      <w:r w:rsidRPr="00193D5C" w:rsidR="00A628BD">
        <w:rPr>
          <w:rFonts w:ascii="Times New Roman" w:hAnsi="Times New Roman"/>
        </w:rPr>
        <w:t xml:space="preserve">), DCM members (11,500), and SEF members (1,000) as of March 31, </w:t>
      </w:r>
      <w:bookmarkEnd w:id="1"/>
      <w:r w:rsidR="002A7D2A">
        <w:rPr>
          <w:rFonts w:ascii="Times New Roman" w:hAnsi="Times New Roman"/>
        </w:rPr>
        <w:t xml:space="preserve">2026 </w:t>
      </w:r>
      <w:r w:rsidR="00AB5584">
        <w:rPr>
          <w:rFonts w:ascii="Times New Roman" w:hAnsi="Times New Roman"/>
        </w:rPr>
        <w:t>(</w:t>
      </w:r>
      <w:r w:rsidRPr="00AB5584" w:rsidR="00AB5584">
        <w:rPr>
          <w:rFonts w:ascii="Times New Roman" w:hAnsi="Times New Roman"/>
          <w:i/>
        </w:rPr>
        <w:t>see</w:t>
      </w:r>
      <w:r w:rsidR="00AB5584">
        <w:rPr>
          <w:rFonts w:ascii="Times New Roman" w:hAnsi="Times New Roman"/>
        </w:rPr>
        <w:t xml:space="preserve"> </w:t>
      </w:r>
      <w:r w:rsidR="008C3134">
        <w:rPr>
          <w:rFonts w:ascii="Times New Roman" w:hAnsi="Times New Roman"/>
        </w:rPr>
        <w:t xml:space="preserve">also </w:t>
      </w:r>
      <w:r w:rsidR="00AB5584">
        <w:rPr>
          <w:rFonts w:ascii="Times New Roman" w:hAnsi="Times New Roman"/>
        </w:rPr>
        <w:t>fn</w:t>
      </w:r>
      <w:r w:rsidR="008C3134">
        <w:rPr>
          <w:rFonts w:ascii="Times New Roman" w:hAnsi="Times New Roman"/>
        </w:rPr>
        <w:t>s</w:t>
      </w:r>
      <w:r w:rsidR="00AB5584">
        <w:rPr>
          <w:rFonts w:ascii="Times New Roman" w:hAnsi="Times New Roman"/>
        </w:rPr>
        <w:t xml:space="preserve">. </w:t>
      </w:r>
      <w:r w:rsidR="008C3134">
        <w:rPr>
          <w:rFonts w:ascii="Times New Roman" w:hAnsi="Times New Roman"/>
        </w:rPr>
        <w:t xml:space="preserve">4 and </w:t>
      </w:r>
      <w:r w:rsidR="00AB5584">
        <w:rPr>
          <w:rFonts w:ascii="Times New Roman" w:hAnsi="Times New Roman"/>
        </w:rPr>
        <w:t>6)</w:t>
      </w:r>
      <w:r w:rsidRPr="00193D5C" w:rsidR="00A628BD">
        <w:rPr>
          <w:rFonts w:ascii="Times New Roman" w:hAnsi="Times New Roman"/>
        </w:rPr>
        <w:t>.</w:t>
      </w:r>
      <w:r w:rsidR="00540F12">
        <w:rPr>
          <w:rFonts w:ascii="Times New Roman" w:hAnsi="Times New Roman"/>
        </w:rPr>
        <w:t xml:space="preserve">  </w:t>
      </w:r>
      <w:r w:rsidR="0011696F">
        <w:rPr>
          <w:rFonts w:ascii="Times New Roman" w:hAnsi="Times New Roman"/>
        </w:rPr>
        <w:t xml:space="preserve">In addition, </w:t>
      </w:r>
      <w:r w:rsidR="0043168A">
        <w:rPr>
          <w:rFonts w:ascii="Times New Roman" w:hAnsi="Times New Roman"/>
        </w:rPr>
        <w:t xml:space="preserve">the Commission’s estimate of the number of respondents for </w:t>
      </w:r>
      <w:r w:rsidR="001F1A7F">
        <w:rPr>
          <w:rFonts w:ascii="Times New Roman" w:hAnsi="Times New Roman"/>
        </w:rPr>
        <w:t xml:space="preserve">regulation </w:t>
      </w:r>
      <w:r w:rsidR="0043168A">
        <w:rPr>
          <w:rFonts w:ascii="Times New Roman" w:hAnsi="Times New Roman"/>
        </w:rPr>
        <w:t>1.33</w:t>
      </w:r>
      <w:r w:rsidR="00135509">
        <w:rPr>
          <w:rFonts w:ascii="Times New Roman" w:hAnsi="Times New Roman"/>
        </w:rPr>
        <w:t xml:space="preserve"> </w:t>
      </w:r>
      <w:r w:rsidR="000A5CCA">
        <w:rPr>
          <w:rFonts w:ascii="Times New Roman" w:hAnsi="Times New Roman"/>
        </w:rPr>
        <w:t>increased from</w:t>
      </w:r>
      <w:r w:rsidR="00135509">
        <w:rPr>
          <w:rFonts w:ascii="Times New Roman" w:hAnsi="Times New Roman"/>
        </w:rPr>
        <w:t xml:space="preserve"> 60 </w:t>
      </w:r>
      <w:r w:rsidR="000A5CCA">
        <w:rPr>
          <w:rFonts w:ascii="Times New Roman" w:hAnsi="Times New Roman"/>
        </w:rPr>
        <w:t xml:space="preserve">to </w:t>
      </w:r>
      <w:r w:rsidR="00135509">
        <w:rPr>
          <w:rFonts w:ascii="Times New Roman" w:hAnsi="Times New Roman"/>
        </w:rPr>
        <w:t>67</w:t>
      </w:r>
      <w:r w:rsidR="000A5CCA">
        <w:rPr>
          <w:rFonts w:ascii="Times New Roman" w:hAnsi="Times New Roman"/>
        </w:rPr>
        <w:t xml:space="preserve"> as the number of registered FCMs</w:t>
      </w:r>
      <w:r w:rsidR="00090D77">
        <w:rPr>
          <w:rFonts w:ascii="Times New Roman" w:hAnsi="Times New Roman"/>
        </w:rPr>
        <w:t xml:space="preserve"> increased by 7.  </w:t>
      </w:r>
      <w:r w:rsidR="000D38FD">
        <w:rPr>
          <w:rFonts w:ascii="Times New Roman" w:hAnsi="Times New Roman"/>
        </w:rPr>
        <w:t>As a result</w:t>
      </w:r>
      <w:r w:rsidR="00C51390">
        <w:rPr>
          <w:rFonts w:ascii="Times New Roman" w:hAnsi="Times New Roman"/>
        </w:rPr>
        <w:t xml:space="preserve">, the number of respondents subject to the </w:t>
      </w:r>
      <w:r w:rsidR="000D38FD">
        <w:rPr>
          <w:rFonts w:ascii="Times New Roman" w:hAnsi="Times New Roman"/>
        </w:rPr>
        <w:t xml:space="preserve">IC </w:t>
      </w:r>
      <w:r w:rsidR="00C51390">
        <w:rPr>
          <w:rFonts w:ascii="Times New Roman" w:hAnsi="Times New Roman"/>
        </w:rPr>
        <w:t xml:space="preserve">titled </w:t>
      </w:r>
      <w:r w:rsidR="000D38FD">
        <w:rPr>
          <w:rFonts w:ascii="Times New Roman" w:hAnsi="Times New Roman"/>
        </w:rPr>
        <w:t>“</w:t>
      </w:r>
      <w:r w:rsidRPr="00C51390" w:rsidR="00C51390">
        <w:rPr>
          <w:rFonts w:ascii="Times New Roman" w:hAnsi="Times New Roman"/>
        </w:rPr>
        <w:t>Adaptation of Regulations to Incorporate Swaps-Records of Transaction</w:t>
      </w:r>
      <w:r w:rsidR="00C51390">
        <w:rPr>
          <w:rFonts w:ascii="Times New Roman" w:hAnsi="Times New Roman"/>
        </w:rPr>
        <w:t>s” has decreased from 13,</w:t>
      </w:r>
      <w:r w:rsidR="00066884">
        <w:rPr>
          <w:rFonts w:ascii="Times New Roman" w:hAnsi="Times New Roman"/>
        </w:rPr>
        <w:t xml:space="preserve">598 </w:t>
      </w:r>
      <w:r w:rsidR="00C51390">
        <w:rPr>
          <w:rFonts w:ascii="Times New Roman" w:hAnsi="Times New Roman"/>
        </w:rPr>
        <w:t>to 13,</w:t>
      </w:r>
      <w:r w:rsidR="00F478D4">
        <w:rPr>
          <w:rFonts w:ascii="Times New Roman" w:hAnsi="Times New Roman"/>
        </w:rPr>
        <w:t>528</w:t>
      </w:r>
      <w:r w:rsidR="00FB66FF">
        <w:rPr>
          <w:rFonts w:ascii="Times New Roman" w:hAnsi="Times New Roman"/>
        </w:rPr>
        <w:t xml:space="preserve"> (70 respondents overall)</w:t>
      </w:r>
      <w:r w:rsidR="00C51390">
        <w:rPr>
          <w:rFonts w:ascii="Times New Roman" w:hAnsi="Times New Roman"/>
        </w:rPr>
        <w:t xml:space="preserve">.  </w:t>
      </w:r>
      <w:r w:rsidR="00946BF6">
        <w:rPr>
          <w:rFonts w:ascii="Times New Roman" w:hAnsi="Times New Roman"/>
        </w:rPr>
        <w:t>For IC 2</w:t>
      </w:r>
      <w:r w:rsidR="00E63C8B">
        <w:rPr>
          <w:rFonts w:ascii="Times New Roman" w:hAnsi="Times New Roman"/>
        </w:rPr>
        <w:t xml:space="preserve"> (</w:t>
      </w:r>
      <w:r w:rsidRPr="00E63C8B" w:rsidR="00E63C8B">
        <w:rPr>
          <w:rFonts w:ascii="Times New Roman" w:hAnsi="Times New Roman"/>
        </w:rPr>
        <w:t>Exclusion of Utility Operations-Related Swaps with Utility Special Entities from De Minimis Threshold for Swaps with Special Entities</w:t>
      </w:r>
      <w:r w:rsidR="00E63C8B">
        <w:rPr>
          <w:rFonts w:ascii="Times New Roman" w:hAnsi="Times New Roman"/>
        </w:rPr>
        <w:t>)</w:t>
      </w:r>
      <w:r w:rsidR="00946BF6">
        <w:rPr>
          <w:rFonts w:ascii="Times New Roman" w:hAnsi="Times New Roman"/>
        </w:rPr>
        <w:t>, t</w:t>
      </w:r>
      <w:r w:rsidR="00A628BD">
        <w:rPr>
          <w:rFonts w:ascii="Times New Roman" w:hAnsi="Times New Roman"/>
        </w:rPr>
        <w:t xml:space="preserve">he Commission’s estimate as to the number of </w:t>
      </w:r>
      <w:r w:rsidRPr="00E8323D" w:rsidR="00A628BD">
        <w:rPr>
          <w:rFonts w:ascii="Times New Roman" w:hAnsi="Times New Roman"/>
          <w:i/>
        </w:rPr>
        <w:t>de minimis</w:t>
      </w:r>
      <w:r w:rsidR="00A628BD">
        <w:rPr>
          <w:rFonts w:ascii="Times New Roman" w:hAnsi="Times New Roman"/>
        </w:rPr>
        <w:t xml:space="preserve"> special entities, at 2,000, remains unchanged from prior renewals.</w:t>
      </w:r>
      <w:r w:rsidR="00C51390">
        <w:rPr>
          <w:rFonts w:ascii="Times New Roman" w:hAnsi="Times New Roman"/>
        </w:rPr>
        <w:t xml:space="preserve">  </w:t>
      </w:r>
    </w:p>
    <w:p w:rsidR="00891FCB" w:rsidRPr="00476807" w:rsidP="00D776F9" w14:paraId="786591C1" w14:textId="4A1B3156">
      <w:pPr>
        <w:tabs>
          <w:tab w:val="left" w:pos="-720"/>
        </w:tabs>
        <w:spacing w:after="240"/>
        <w:rPr>
          <w:rFonts w:ascii="Times New Roman" w:hAnsi="Times New Roman"/>
        </w:rPr>
      </w:pPr>
      <w:r w:rsidRPr="009577F2">
        <w:rPr>
          <w:rFonts w:ascii="Times New Roman" w:hAnsi="Times New Roman"/>
        </w:rPr>
        <w:t xml:space="preserve">Although there was a reduction in the overall number of estimated respondents, </w:t>
      </w:r>
      <w:r>
        <w:rPr>
          <w:rFonts w:ascii="Times New Roman" w:hAnsi="Times New Roman"/>
        </w:rPr>
        <w:t xml:space="preserve">recent swap data indicates an increase in the number of </w:t>
      </w:r>
      <w:r w:rsidR="001A58EE">
        <w:rPr>
          <w:rFonts w:ascii="Times New Roman" w:hAnsi="Times New Roman"/>
        </w:rPr>
        <w:t xml:space="preserve">swap transactions per year.  This has yielded an increase in responses from 9,651,896 responses per year to </w:t>
      </w:r>
      <w:r w:rsidR="00C62FC5">
        <w:rPr>
          <w:rFonts w:ascii="Times New Roman" w:hAnsi="Times New Roman"/>
        </w:rPr>
        <w:t>17,</w:t>
      </w:r>
      <w:r w:rsidR="0006006C">
        <w:rPr>
          <w:rFonts w:ascii="Times New Roman" w:hAnsi="Times New Roman"/>
        </w:rPr>
        <w:t>386,420</w:t>
      </w:r>
      <w:r w:rsidR="001A58EE">
        <w:rPr>
          <w:rFonts w:ascii="Times New Roman" w:hAnsi="Times New Roman"/>
        </w:rPr>
        <w:t xml:space="preserve"> responses per year.  As a result of this increase in </w:t>
      </w:r>
      <w:r w:rsidR="00D776F9">
        <w:rPr>
          <w:rFonts w:ascii="Times New Roman" w:hAnsi="Times New Roman"/>
        </w:rPr>
        <w:t xml:space="preserve">responses, the total annual hours burden estimate for this collection has increased from </w:t>
      </w:r>
      <w:r w:rsidR="00FC0496">
        <w:rPr>
          <w:rFonts w:ascii="Times New Roman" w:hAnsi="Times New Roman"/>
        </w:rPr>
        <w:t xml:space="preserve">2,018,728 </w:t>
      </w:r>
      <w:r w:rsidR="00580182">
        <w:rPr>
          <w:rFonts w:ascii="Times New Roman" w:hAnsi="Times New Roman"/>
        </w:rPr>
        <w:t>to</w:t>
      </w:r>
      <w:r w:rsidR="009078C8">
        <w:rPr>
          <w:rFonts w:ascii="Times New Roman" w:hAnsi="Times New Roman"/>
        </w:rPr>
        <w:t xml:space="preserve"> </w:t>
      </w:r>
      <w:r w:rsidRPr="00F175B7" w:rsidR="00F175B7">
        <w:rPr>
          <w:rFonts w:ascii="Times New Roman" w:hAnsi="Times New Roman"/>
        </w:rPr>
        <w:t>2,396,700</w:t>
      </w:r>
      <w:r w:rsidR="00580182">
        <w:rPr>
          <w:rFonts w:ascii="Times New Roman" w:hAnsi="Times New Roman"/>
        </w:rPr>
        <w:t>.</w:t>
      </w:r>
    </w:p>
    <w:p w:rsidR="008377C4" w:rsidP="00EF01D3" w14:paraId="72504856" w14:textId="77777777">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8377C4" w:rsidP="00EF01D3" w14:paraId="72504857" w14:textId="77777777">
      <w:pPr>
        <w:tabs>
          <w:tab w:val="left" w:pos="-720"/>
        </w:tabs>
        <w:spacing w:after="240"/>
        <w:jc w:val="both"/>
        <w:rPr>
          <w:rFonts w:ascii="Times New Roman" w:hAnsi="Times New Roman"/>
        </w:rPr>
      </w:pPr>
      <w:r>
        <w:rPr>
          <w:rFonts w:ascii="Times New Roman" w:hAnsi="Times New Roman"/>
        </w:rPr>
        <w:t>N</w:t>
      </w:r>
      <w:r>
        <w:rPr>
          <w:rFonts w:ascii="Times New Roman" w:hAnsi="Times New Roman"/>
        </w:rPr>
        <w:t xml:space="preserve">ot </w:t>
      </w:r>
      <w:r>
        <w:rPr>
          <w:rFonts w:ascii="Times New Roman" w:hAnsi="Times New Roman"/>
        </w:rPr>
        <w:t>applicable</w:t>
      </w:r>
      <w:r>
        <w:rPr>
          <w:rFonts w:ascii="Times New Roman" w:hAnsi="Times New Roman"/>
        </w:rPr>
        <w:t>.</w:t>
      </w:r>
    </w:p>
    <w:p w:rsidR="008377C4" w:rsidP="00EF01D3" w14:paraId="72504858" w14:textId="77777777">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8377C4" w:rsidP="00EF01D3" w14:paraId="72504859" w14:textId="77777777">
      <w:pPr>
        <w:tabs>
          <w:tab w:val="left" w:pos="-720"/>
        </w:tabs>
        <w:spacing w:after="240"/>
        <w:jc w:val="both"/>
        <w:rPr>
          <w:rFonts w:ascii="Times New Roman" w:hAnsi="Times New Roman"/>
        </w:rPr>
      </w:pPr>
      <w:r>
        <w:rPr>
          <w:rFonts w:ascii="Times New Roman" w:hAnsi="Times New Roman"/>
        </w:rPr>
        <w:t>N</w:t>
      </w:r>
      <w:r>
        <w:rPr>
          <w:rFonts w:ascii="Times New Roman" w:hAnsi="Times New Roman"/>
        </w:rPr>
        <w:t>ot appl</w:t>
      </w:r>
      <w:r>
        <w:rPr>
          <w:rFonts w:ascii="Times New Roman" w:hAnsi="Times New Roman"/>
        </w:rPr>
        <w:t>icable</w:t>
      </w:r>
      <w:r>
        <w:rPr>
          <w:rFonts w:ascii="Times New Roman" w:hAnsi="Times New Roman"/>
        </w:rPr>
        <w:t>.</w:t>
      </w:r>
    </w:p>
    <w:p w:rsidR="008377C4" w:rsidP="00EF01D3" w14:paraId="7250485A" w14:textId="3D84F268">
      <w:pPr>
        <w:keepNext/>
        <w:tabs>
          <w:tab w:val="left" w:pos="-720"/>
        </w:tabs>
        <w:spacing w:after="240"/>
        <w:ind w:left="720" w:hanging="720"/>
        <w:jc w:val="both"/>
        <w:rPr>
          <w:rFonts w:ascii="Times New Roman" w:hAnsi="Times New Roman"/>
          <w:b/>
        </w:rPr>
      </w:pPr>
      <w:r>
        <w:rPr>
          <w:rFonts w:ascii="Times New Roman" w:hAnsi="Times New Roman"/>
          <w:b/>
        </w:rPr>
        <w:t>18.</w:t>
      </w:r>
      <w:r>
        <w:rPr>
          <w:rFonts w:ascii="Times New Roman" w:hAnsi="Times New Roman"/>
          <w:b/>
        </w:rPr>
        <w:tab/>
        <w:t xml:space="preserve">Explain each exception to the certification statement identified in Item 19, </w:t>
      </w:r>
      <w:r w:rsidR="00B86D95">
        <w:rPr>
          <w:rFonts w:ascii="Times New Roman" w:hAnsi="Times New Roman"/>
          <w:b/>
        </w:rPr>
        <w:t>“</w:t>
      </w:r>
      <w:r>
        <w:rPr>
          <w:rFonts w:ascii="Times New Roman" w:hAnsi="Times New Roman"/>
          <w:b/>
        </w:rPr>
        <w:t>Certification for Paperwork Reduction Act Submissions.</w:t>
      </w:r>
      <w:r w:rsidR="00A8457E">
        <w:rPr>
          <w:rFonts w:ascii="Times New Roman" w:hAnsi="Times New Roman"/>
          <w:b/>
        </w:rPr>
        <w:t>”</w:t>
      </w:r>
    </w:p>
    <w:p w:rsidR="00427520" w:rsidP="00EF01D3" w14:paraId="0AEF93F6" w14:textId="77777777">
      <w:pPr>
        <w:tabs>
          <w:tab w:val="left" w:pos="-720"/>
        </w:tabs>
        <w:spacing w:after="240"/>
        <w:jc w:val="both"/>
        <w:rPr>
          <w:rFonts w:ascii="Times New Roman" w:hAnsi="Times New Roman"/>
        </w:rPr>
        <w:sectPr w:rsidSect="008C3134">
          <w:footerReference w:type="default" r:id="rId10"/>
          <w:pgSz w:w="12240" w:h="15840" w:code="1"/>
          <w:pgMar w:top="1440" w:right="1440" w:bottom="1440" w:left="1440" w:header="720" w:footer="720" w:gutter="0"/>
          <w:cols w:space="720"/>
          <w:titlePg/>
          <w:docGrid w:linePitch="360"/>
        </w:sectPr>
      </w:pPr>
      <w:r>
        <w:rPr>
          <w:rFonts w:ascii="Times New Roman" w:hAnsi="Times New Roman"/>
        </w:rPr>
        <w:t>None.</w:t>
      </w:r>
    </w:p>
    <w:p w:rsidR="008377C4" w:rsidRPr="009004E4" w:rsidP="009004E4" w14:paraId="7250485C" w14:textId="380F6706">
      <w:pPr>
        <w:pStyle w:val="Title"/>
        <w:spacing w:after="240"/>
        <w:rPr>
          <w:sz w:val="24"/>
          <w:szCs w:val="24"/>
          <w:u w:val="single"/>
        </w:rPr>
      </w:pPr>
      <w:r w:rsidRPr="009004E4">
        <w:rPr>
          <w:sz w:val="24"/>
          <w:szCs w:val="24"/>
          <w:u w:val="single"/>
        </w:rPr>
        <w:t>Attachment A</w:t>
      </w:r>
    </w:p>
    <w:p w:rsidR="00ED2D16" w:rsidP="009004E4" w14:paraId="4E60C065" w14:textId="6235BF2B">
      <w:pPr>
        <w:spacing w:after="240"/>
        <w:jc w:val="center"/>
        <w:rPr>
          <w:rFonts w:ascii="Times New Roman" w:hAnsi="Times New Roman"/>
          <w:b/>
        </w:rPr>
      </w:pPr>
      <w:bookmarkStart w:id="2" w:name="_Hlk124250839"/>
      <w:r>
        <w:rPr>
          <w:rFonts w:ascii="Times New Roman" w:hAnsi="Times New Roman"/>
          <w:b/>
        </w:rPr>
        <w:t>Swap Recordkeeping Requirements</w:t>
      </w:r>
    </w:p>
    <w:p w:rsidR="00ED199D" w:rsidRPr="00E8323D" w:rsidP="009004E4" w14:paraId="1ABFF3F6" w14:textId="21F5B097">
      <w:pPr>
        <w:spacing w:after="480"/>
        <w:rPr>
          <w:rFonts w:ascii="Times New Roman" w:hAnsi="Times New Roman"/>
          <w:b/>
        </w:rPr>
      </w:pPr>
      <w:r>
        <w:rPr>
          <w:rFonts w:ascii="Times New Roman" w:hAnsi="Times New Roman"/>
          <w:b/>
        </w:rPr>
        <w:t xml:space="preserve">IC 1:  </w:t>
      </w:r>
      <w:bookmarkStart w:id="3" w:name="_Hlk137722164"/>
      <w:r w:rsidRPr="00ED199D">
        <w:rPr>
          <w:rFonts w:ascii="Times New Roman" w:hAnsi="Times New Roman"/>
          <w:b/>
        </w:rPr>
        <w:t>Adaptation of Regulations to Incorporate Swaps-Records of Transactions</w:t>
      </w:r>
      <w:bookmarkEnd w:id="3"/>
    </w:p>
    <w:tbl>
      <w:tblPr>
        <w:tblW w:w="5690"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8"/>
        <w:gridCol w:w="1600"/>
        <w:gridCol w:w="1603"/>
        <w:gridCol w:w="911"/>
        <w:gridCol w:w="1194"/>
        <w:gridCol w:w="1344"/>
        <w:gridCol w:w="1615"/>
        <w:gridCol w:w="1656"/>
        <w:gridCol w:w="1653"/>
        <w:gridCol w:w="1913"/>
      </w:tblGrid>
      <w:tr w14:paraId="3C991D42" w14:textId="77777777" w:rsidTr="00A65BD1">
        <w:tblPrEx>
          <w:tblW w:w="5690"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494"/>
        </w:trPr>
        <w:tc>
          <w:tcPr>
            <w:tcW w:w="423" w:type="pct"/>
            <w:tcBorders>
              <w:top w:val="single" w:sz="4" w:space="0" w:color="000000"/>
              <w:left w:val="single" w:sz="4" w:space="0" w:color="000000"/>
              <w:bottom w:val="single" w:sz="4" w:space="0" w:color="000000"/>
              <w:right w:val="single" w:sz="4" w:space="0" w:color="000000"/>
            </w:tcBorders>
            <w:hideMark/>
          </w:tcPr>
          <w:p w:rsidR="00634489" w:rsidRPr="001E5A77" w:rsidP="00B653C0" w14:paraId="1BFC3E0E" w14:textId="69FA1069">
            <w:pPr>
              <w:tabs>
                <w:tab w:val="left" w:pos="-720"/>
                <w:tab w:val="left" w:pos="0"/>
              </w:tabs>
              <w:suppressAutoHyphens/>
              <w:jc w:val="center"/>
              <w:rPr>
                <w:rFonts w:ascii="Times New Roman" w:hAnsi="Times New Roman"/>
                <w:b/>
                <w:sz w:val="16"/>
                <w:szCs w:val="16"/>
              </w:rPr>
            </w:pPr>
            <w:bookmarkStart w:id="4" w:name="_Hlk124246908"/>
          </w:p>
        </w:tc>
        <w:tc>
          <w:tcPr>
            <w:tcW w:w="543" w:type="pct"/>
            <w:tcBorders>
              <w:top w:val="single" w:sz="4" w:space="0" w:color="000000"/>
              <w:left w:val="single" w:sz="4" w:space="0" w:color="000000"/>
              <w:bottom w:val="single" w:sz="4" w:space="0" w:color="000000"/>
              <w:right w:val="single" w:sz="4" w:space="0" w:color="000000"/>
            </w:tcBorders>
          </w:tcPr>
          <w:p w:rsidR="00634489" w:rsidRPr="001E5A77" w:rsidP="00B653C0" w14:paraId="36E55E54"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2.</w:t>
            </w:r>
          </w:p>
          <w:p w:rsidR="00634489" w:rsidRPr="001E5A77" w:rsidP="00B653C0" w14:paraId="18607BAF"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Estimated Number of Respondents </w:t>
            </w:r>
          </w:p>
          <w:p w:rsidR="00634489" w:rsidRPr="001E5A77" w:rsidP="00B653C0" w14:paraId="4875A0C5" w14:textId="77777777">
            <w:pPr>
              <w:tabs>
                <w:tab w:val="left" w:pos="-720"/>
                <w:tab w:val="left" w:pos="0"/>
              </w:tabs>
              <w:suppressAutoHyphens/>
              <w:jc w:val="center"/>
              <w:rPr>
                <w:rFonts w:ascii="Times New Roman" w:hAnsi="Times New Roman"/>
                <w:b/>
                <w:sz w:val="16"/>
                <w:szCs w:val="16"/>
              </w:rPr>
            </w:pPr>
          </w:p>
        </w:tc>
        <w:tc>
          <w:tcPr>
            <w:tcW w:w="544" w:type="pct"/>
            <w:tcBorders>
              <w:top w:val="single" w:sz="4" w:space="0" w:color="000000"/>
              <w:left w:val="single" w:sz="4" w:space="0" w:color="000000"/>
              <w:bottom w:val="single" w:sz="4" w:space="0" w:color="000000"/>
              <w:right w:val="single" w:sz="4" w:space="0" w:color="000000"/>
            </w:tcBorders>
            <w:hideMark/>
          </w:tcPr>
          <w:p w:rsidR="00634489" w:rsidRPr="001E5A77" w:rsidP="00B653C0" w14:paraId="63A5883F"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3.</w:t>
            </w:r>
          </w:p>
          <w:p w:rsidR="00634489" w:rsidRPr="001E5A77" w:rsidP="00B653C0" w14:paraId="6068BB31"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Estimated Number of </w:t>
            </w:r>
            <w:r>
              <w:rPr>
                <w:rFonts w:ascii="Times New Roman" w:hAnsi="Times New Roman"/>
                <w:b/>
                <w:sz w:val="16"/>
                <w:szCs w:val="16"/>
              </w:rPr>
              <w:t>Responses</w:t>
            </w:r>
          </w:p>
          <w:p w:rsidR="00634489" w:rsidRPr="001E5A77" w:rsidP="00B653C0" w14:paraId="2CE22CA1"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by Each Respondent</w:t>
            </w:r>
          </w:p>
        </w:tc>
        <w:tc>
          <w:tcPr>
            <w:tcW w:w="309" w:type="pct"/>
            <w:tcBorders>
              <w:top w:val="single" w:sz="4" w:space="0" w:color="000000"/>
              <w:left w:val="single" w:sz="4" w:space="0" w:color="000000"/>
              <w:bottom w:val="single" w:sz="4" w:space="0" w:color="000000"/>
              <w:right w:val="single" w:sz="4" w:space="0" w:color="000000"/>
            </w:tcBorders>
            <w:hideMark/>
          </w:tcPr>
          <w:p w:rsidR="00634489" w:rsidRPr="001E5A77" w:rsidP="00B653C0" w14:paraId="7BD6F08E"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4.</w:t>
            </w:r>
          </w:p>
          <w:p w:rsidR="00634489" w:rsidRPr="001E5A77" w:rsidP="00B653C0" w14:paraId="7FD77024"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Estimated Average Number of Burden Hours per Response</w:t>
            </w:r>
          </w:p>
        </w:tc>
        <w:tc>
          <w:tcPr>
            <w:tcW w:w="405" w:type="pct"/>
            <w:tcBorders>
              <w:top w:val="single" w:sz="4" w:space="0" w:color="000000"/>
              <w:left w:val="single" w:sz="4" w:space="0" w:color="000000"/>
              <w:bottom w:val="single" w:sz="4" w:space="0" w:color="000000"/>
              <w:right w:val="single" w:sz="4" w:space="0" w:color="000000"/>
            </w:tcBorders>
            <w:hideMark/>
          </w:tcPr>
          <w:p w:rsidR="00634489" w:rsidRPr="001E5A77" w:rsidP="00B653C0" w14:paraId="06F61F53"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5.</w:t>
            </w:r>
          </w:p>
          <w:p w:rsidR="00634489" w:rsidRPr="001E5A77" w:rsidP="00B653C0" w14:paraId="2B1C6B93"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Annual  Number of Burden Hours per Respondent</w:t>
            </w:r>
          </w:p>
          <w:p w:rsidR="00634489" w:rsidRPr="001E5A77" w:rsidP="00B653C0" w14:paraId="7C57B79F" w14:textId="2B5C6A4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(3 </w:t>
            </w:r>
            <w:r w:rsidR="00ED2D16">
              <w:rPr>
                <w:rFonts w:ascii="Times New Roman" w:hAnsi="Times New Roman"/>
                <w:b/>
                <w:sz w:val="16"/>
                <w:szCs w:val="16"/>
              </w:rPr>
              <w:t>×</w:t>
            </w:r>
            <w:r w:rsidRPr="001E5A77">
              <w:rPr>
                <w:rFonts w:ascii="Times New Roman" w:hAnsi="Times New Roman"/>
                <w:b/>
                <w:sz w:val="16"/>
                <w:szCs w:val="16"/>
              </w:rPr>
              <w:t xml:space="preserve"> 4)</w:t>
            </w:r>
          </w:p>
        </w:tc>
        <w:tc>
          <w:tcPr>
            <w:tcW w:w="456" w:type="pct"/>
            <w:tcBorders>
              <w:top w:val="single" w:sz="4" w:space="0" w:color="000000"/>
              <w:left w:val="single" w:sz="4" w:space="0" w:color="000000"/>
              <w:bottom w:val="single" w:sz="4" w:space="0" w:color="000000"/>
              <w:right w:val="single" w:sz="4" w:space="0" w:color="000000"/>
            </w:tcBorders>
          </w:tcPr>
          <w:p w:rsidR="00634489" w:rsidRPr="001E5A77" w:rsidP="00B653C0" w14:paraId="4C2C4B11"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6. </w:t>
            </w:r>
          </w:p>
          <w:p w:rsidR="00634489" w:rsidRPr="001E5A77" w:rsidP="00B653C0" w14:paraId="5A48B233"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Estimated Average Burden Hour Cost</w:t>
            </w:r>
          </w:p>
          <w:p w:rsidR="00634489" w:rsidRPr="001E5A77" w:rsidP="00B653C0" w14:paraId="31E9455D" w14:textId="77777777">
            <w:pPr>
              <w:tabs>
                <w:tab w:val="left" w:pos="-720"/>
                <w:tab w:val="left" w:pos="0"/>
              </w:tabs>
              <w:suppressAutoHyphens/>
              <w:jc w:val="center"/>
              <w:rPr>
                <w:rFonts w:ascii="Times New Roman" w:hAnsi="Times New Roman"/>
                <w:b/>
                <w:sz w:val="16"/>
                <w:szCs w:val="16"/>
              </w:rPr>
            </w:pPr>
          </w:p>
        </w:tc>
        <w:tc>
          <w:tcPr>
            <w:tcW w:w="548" w:type="pct"/>
            <w:tcBorders>
              <w:top w:val="single" w:sz="4" w:space="0" w:color="000000"/>
              <w:left w:val="single" w:sz="4" w:space="0" w:color="000000"/>
              <w:bottom w:val="single" w:sz="4" w:space="0" w:color="000000"/>
              <w:right w:val="single" w:sz="4" w:space="0" w:color="000000"/>
            </w:tcBorders>
            <w:hideMark/>
          </w:tcPr>
          <w:p w:rsidR="00634489" w:rsidRPr="001E5A77" w:rsidP="00B653C0" w14:paraId="5D16DDC5" w14:textId="77777777">
            <w:pPr>
              <w:jc w:val="center"/>
              <w:rPr>
                <w:rFonts w:ascii="Times New Roman" w:eastAsia="Calibri" w:hAnsi="Times New Roman"/>
                <w:b/>
                <w:sz w:val="16"/>
                <w:szCs w:val="16"/>
              </w:rPr>
            </w:pPr>
            <w:r w:rsidRPr="001E5A77">
              <w:rPr>
                <w:rFonts w:ascii="Times New Roman" w:eastAsia="Calibri" w:hAnsi="Times New Roman"/>
                <w:b/>
                <w:sz w:val="16"/>
                <w:szCs w:val="16"/>
              </w:rPr>
              <w:t>7.</w:t>
            </w:r>
          </w:p>
          <w:p w:rsidR="00634489" w:rsidRPr="001E5A77" w:rsidP="00B653C0" w14:paraId="5146B85D" w14:textId="77777777">
            <w:pPr>
              <w:jc w:val="center"/>
              <w:rPr>
                <w:rFonts w:ascii="Times New Roman" w:eastAsia="Calibri" w:hAnsi="Times New Roman"/>
                <w:b/>
                <w:sz w:val="16"/>
                <w:szCs w:val="16"/>
              </w:rPr>
            </w:pPr>
            <w:r w:rsidRPr="001E5A77">
              <w:rPr>
                <w:rFonts w:ascii="Times New Roman" w:eastAsia="Calibri" w:hAnsi="Times New Roman"/>
                <w:b/>
                <w:sz w:val="16"/>
                <w:szCs w:val="16"/>
              </w:rPr>
              <w:t>Total Average Hour Burden Cost Per Respondent</w:t>
            </w:r>
          </w:p>
          <w:p w:rsidR="00634489" w:rsidRPr="001E5A77" w:rsidP="00B653C0" w14:paraId="211BB3E9" w14:textId="1365F84B">
            <w:pPr>
              <w:jc w:val="center"/>
              <w:rPr>
                <w:rFonts w:ascii="Times New Roman" w:eastAsia="Calibri" w:hAnsi="Times New Roman"/>
                <w:b/>
                <w:sz w:val="16"/>
                <w:szCs w:val="16"/>
              </w:rPr>
            </w:pPr>
            <w:r w:rsidRPr="001E5A77">
              <w:rPr>
                <w:rFonts w:ascii="Times New Roman" w:eastAsia="Calibri" w:hAnsi="Times New Roman"/>
                <w:b/>
                <w:sz w:val="16"/>
                <w:szCs w:val="16"/>
              </w:rPr>
              <w:t xml:space="preserve">(5 </w:t>
            </w:r>
            <w:r w:rsidR="00ED2D16">
              <w:rPr>
                <w:rFonts w:ascii="Times New Roman" w:eastAsia="Calibri" w:hAnsi="Times New Roman"/>
                <w:b/>
                <w:sz w:val="16"/>
                <w:szCs w:val="16"/>
              </w:rPr>
              <w:t>×</w:t>
            </w:r>
            <w:r w:rsidRPr="001E5A77">
              <w:rPr>
                <w:rFonts w:ascii="Times New Roman" w:eastAsia="Calibri" w:hAnsi="Times New Roman"/>
                <w:b/>
                <w:sz w:val="16"/>
                <w:szCs w:val="16"/>
              </w:rPr>
              <w:t xml:space="preserve"> 6)</w:t>
            </w:r>
          </w:p>
        </w:tc>
        <w:tc>
          <w:tcPr>
            <w:tcW w:w="562" w:type="pct"/>
            <w:tcBorders>
              <w:top w:val="single" w:sz="4" w:space="0" w:color="000000"/>
              <w:left w:val="single" w:sz="4" w:space="0" w:color="000000"/>
              <w:bottom w:val="single" w:sz="4" w:space="0" w:color="000000"/>
              <w:right w:val="single" w:sz="4" w:space="0" w:color="000000"/>
            </w:tcBorders>
            <w:hideMark/>
          </w:tcPr>
          <w:p w:rsidR="00634489" w:rsidRPr="001E5A77" w:rsidP="00B653C0" w14:paraId="3ED1A93E"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8.</w:t>
            </w:r>
          </w:p>
          <w:p w:rsidR="00634489" w:rsidRPr="001E5A77" w:rsidP="00B653C0" w14:paraId="0C5680D3"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Total Annual</w:t>
            </w:r>
          </w:p>
          <w:p w:rsidR="00634489" w:rsidRPr="001E5A77" w:rsidP="00B653C0" w14:paraId="6D98D533"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Responses</w:t>
            </w:r>
          </w:p>
          <w:p w:rsidR="00634489" w:rsidRPr="001E5A77" w:rsidP="00B653C0" w14:paraId="1B37E85C" w14:textId="49F30832">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(2 </w:t>
            </w:r>
            <w:r w:rsidR="00ED2D16">
              <w:rPr>
                <w:rFonts w:ascii="Times New Roman" w:hAnsi="Times New Roman"/>
                <w:b/>
                <w:sz w:val="16"/>
                <w:szCs w:val="16"/>
              </w:rPr>
              <w:t>×</w:t>
            </w:r>
            <w:r w:rsidRPr="001E5A77">
              <w:rPr>
                <w:rFonts w:ascii="Times New Roman" w:hAnsi="Times New Roman"/>
                <w:b/>
                <w:sz w:val="16"/>
                <w:szCs w:val="16"/>
              </w:rPr>
              <w:t xml:space="preserve"> 3)</w:t>
            </w:r>
          </w:p>
        </w:tc>
        <w:tc>
          <w:tcPr>
            <w:tcW w:w="561" w:type="pct"/>
            <w:tcBorders>
              <w:top w:val="single" w:sz="4" w:space="0" w:color="000000"/>
              <w:left w:val="single" w:sz="4" w:space="0" w:color="000000"/>
              <w:bottom w:val="single" w:sz="4" w:space="0" w:color="000000"/>
              <w:right w:val="single" w:sz="4" w:space="0" w:color="000000"/>
            </w:tcBorders>
            <w:hideMark/>
          </w:tcPr>
          <w:p w:rsidR="00634489" w:rsidRPr="001E5A77" w:rsidP="00B653C0" w14:paraId="4AD9DB60"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9.</w:t>
            </w:r>
          </w:p>
          <w:p w:rsidR="00634489" w:rsidRPr="001E5A77" w:rsidP="00B653C0" w14:paraId="22C1D66E" w14:textId="0B8E53CA">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Total Annual Number of Burden Hours</w:t>
            </w:r>
          </w:p>
          <w:p w:rsidR="00634489" w:rsidRPr="001E5A77" w:rsidP="00B653C0" w14:paraId="014C0AAA" w14:textId="6E3115E4">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(2 </w:t>
            </w:r>
            <w:r w:rsidR="00ED2D16">
              <w:rPr>
                <w:rFonts w:ascii="Times New Roman" w:hAnsi="Times New Roman"/>
                <w:b/>
                <w:sz w:val="16"/>
                <w:szCs w:val="16"/>
              </w:rPr>
              <w:t>×</w:t>
            </w:r>
            <w:r w:rsidRPr="001E5A77">
              <w:rPr>
                <w:rFonts w:ascii="Times New Roman" w:hAnsi="Times New Roman"/>
                <w:b/>
                <w:sz w:val="16"/>
                <w:szCs w:val="16"/>
              </w:rPr>
              <w:t xml:space="preserve"> 5)</w:t>
            </w:r>
          </w:p>
        </w:tc>
        <w:tc>
          <w:tcPr>
            <w:tcW w:w="649" w:type="pct"/>
            <w:tcBorders>
              <w:top w:val="single" w:sz="4" w:space="0" w:color="000000"/>
              <w:left w:val="single" w:sz="4" w:space="0" w:color="000000"/>
              <w:bottom w:val="single" w:sz="4" w:space="0" w:color="000000"/>
              <w:right w:val="single" w:sz="4" w:space="0" w:color="000000"/>
            </w:tcBorders>
            <w:hideMark/>
          </w:tcPr>
          <w:p w:rsidR="00634489" w:rsidRPr="001E5A77" w:rsidP="00B653C0" w14:paraId="5D41C0EC"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10.</w:t>
            </w:r>
          </w:p>
          <w:p w:rsidR="00634489" w:rsidRPr="001E5A77" w:rsidP="00B653C0" w14:paraId="3E92FB2C"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Total Annual Burden Hour Cost of All Responses</w:t>
            </w:r>
          </w:p>
          <w:p w:rsidR="00634489" w:rsidRPr="001E5A77" w:rsidP="00B653C0" w14:paraId="27BA9955" w14:textId="6C21BDCB">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(2 </w:t>
            </w:r>
            <w:r w:rsidR="00ED2D16">
              <w:rPr>
                <w:rFonts w:ascii="Times New Roman" w:hAnsi="Times New Roman"/>
                <w:b/>
                <w:sz w:val="16"/>
                <w:szCs w:val="16"/>
              </w:rPr>
              <w:t>×</w:t>
            </w:r>
            <w:r w:rsidRPr="001E5A77">
              <w:rPr>
                <w:rFonts w:ascii="Times New Roman" w:hAnsi="Times New Roman"/>
                <w:b/>
                <w:sz w:val="16"/>
                <w:szCs w:val="16"/>
              </w:rPr>
              <w:t xml:space="preserve"> 7)</w:t>
            </w:r>
          </w:p>
        </w:tc>
      </w:tr>
      <w:bookmarkEnd w:id="4"/>
      <w:tr w14:paraId="135A0EE3" w14:textId="77777777" w:rsidTr="00A65BD1">
        <w:tblPrEx>
          <w:tblW w:w="5690" w:type="pct"/>
          <w:tblInd w:w="-972" w:type="dxa"/>
          <w:tblLook w:val="04A0"/>
        </w:tblPrEx>
        <w:trPr>
          <w:trHeight w:val="960"/>
        </w:trPr>
        <w:tc>
          <w:tcPr>
            <w:tcW w:w="423" w:type="pct"/>
            <w:tcBorders>
              <w:top w:val="single" w:sz="4" w:space="0" w:color="000000"/>
              <w:left w:val="single" w:sz="4" w:space="0" w:color="000000"/>
              <w:bottom w:val="single" w:sz="4" w:space="0" w:color="000000"/>
              <w:right w:val="single" w:sz="4" w:space="0" w:color="000000"/>
            </w:tcBorders>
          </w:tcPr>
          <w:p w:rsidR="00634489" w:rsidRPr="001E5A77" w:rsidP="00B653C0" w14:paraId="5DCF2CC6"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1.35 – Swap Recordkeeping</w:t>
            </w:r>
          </w:p>
        </w:tc>
        <w:tc>
          <w:tcPr>
            <w:tcW w:w="543" w:type="pct"/>
            <w:tcBorders>
              <w:top w:val="single" w:sz="4" w:space="0" w:color="000000"/>
              <w:left w:val="single" w:sz="4" w:space="0" w:color="000000"/>
              <w:bottom w:val="single" w:sz="4" w:space="0" w:color="000000"/>
              <w:right w:val="single" w:sz="4" w:space="0" w:color="000000"/>
            </w:tcBorders>
          </w:tcPr>
          <w:p w:rsidR="00634489" w:rsidRPr="001E5A77" w:rsidP="00B653C0" w14:paraId="6FF58DE8" w14:textId="4E7EC03F">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13,</w:t>
            </w:r>
            <w:r w:rsidR="00F13A32">
              <w:rPr>
                <w:rFonts w:ascii="Times New Roman" w:hAnsi="Times New Roman"/>
                <w:b/>
                <w:sz w:val="16"/>
                <w:szCs w:val="16"/>
              </w:rPr>
              <w:t>461</w:t>
            </w:r>
            <w:r>
              <w:rPr>
                <w:rStyle w:val="FootnoteReference"/>
                <w:rFonts w:ascii="Times New Roman" w:hAnsi="Times New Roman"/>
                <w:b/>
                <w:sz w:val="16"/>
                <w:szCs w:val="16"/>
              </w:rPr>
              <w:footnoteReference w:id="10"/>
            </w:r>
          </w:p>
        </w:tc>
        <w:tc>
          <w:tcPr>
            <w:tcW w:w="544" w:type="pct"/>
            <w:tcBorders>
              <w:top w:val="single" w:sz="4" w:space="0" w:color="000000"/>
              <w:left w:val="single" w:sz="4" w:space="0" w:color="000000"/>
              <w:bottom w:val="single" w:sz="4" w:space="0" w:color="000000"/>
              <w:right w:val="single" w:sz="4" w:space="0" w:color="000000"/>
            </w:tcBorders>
          </w:tcPr>
          <w:p w:rsidR="00634489" w:rsidRPr="001E5A77" w:rsidP="00B653C0" w14:paraId="3A51DF4A"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252</w:t>
            </w:r>
            <w:r>
              <w:rPr>
                <w:rStyle w:val="FootnoteReference"/>
                <w:rFonts w:ascii="Times New Roman" w:hAnsi="Times New Roman"/>
                <w:b/>
                <w:sz w:val="16"/>
                <w:szCs w:val="16"/>
              </w:rPr>
              <w:footnoteReference w:id="11"/>
            </w:r>
          </w:p>
        </w:tc>
        <w:tc>
          <w:tcPr>
            <w:tcW w:w="309" w:type="pct"/>
            <w:tcBorders>
              <w:top w:val="single" w:sz="4" w:space="0" w:color="000000"/>
              <w:left w:val="single" w:sz="4" w:space="0" w:color="000000"/>
              <w:bottom w:val="single" w:sz="4" w:space="0" w:color="000000"/>
              <w:right w:val="single" w:sz="4" w:space="0" w:color="000000"/>
            </w:tcBorders>
          </w:tcPr>
          <w:p w:rsidR="00634489" w:rsidRPr="001E5A77" w:rsidP="00B653C0" w14:paraId="71EFE3D6"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0.5</w:t>
            </w:r>
          </w:p>
        </w:tc>
        <w:tc>
          <w:tcPr>
            <w:tcW w:w="405" w:type="pct"/>
            <w:tcBorders>
              <w:top w:val="single" w:sz="4" w:space="0" w:color="000000"/>
              <w:left w:val="single" w:sz="4" w:space="0" w:color="000000"/>
              <w:bottom w:val="single" w:sz="4" w:space="0" w:color="000000"/>
              <w:right w:val="single" w:sz="4" w:space="0" w:color="000000"/>
            </w:tcBorders>
          </w:tcPr>
          <w:p w:rsidR="00634489" w:rsidRPr="001E5A77" w:rsidP="00B653C0" w14:paraId="1B046D4C"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126</w:t>
            </w:r>
          </w:p>
        </w:tc>
        <w:tc>
          <w:tcPr>
            <w:tcW w:w="456" w:type="pct"/>
            <w:tcBorders>
              <w:top w:val="single" w:sz="4" w:space="0" w:color="000000"/>
              <w:left w:val="single" w:sz="4" w:space="0" w:color="000000"/>
              <w:bottom w:val="single" w:sz="4" w:space="0" w:color="000000"/>
              <w:right w:val="single" w:sz="4" w:space="0" w:color="000000"/>
            </w:tcBorders>
          </w:tcPr>
          <w:p w:rsidR="00634489" w:rsidRPr="001E5A77" w:rsidP="00B653C0" w14:paraId="13E1CD4F" w14:textId="46027EA4">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$100</w:t>
            </w:r>
            <w:r>
              <w:rPr>
                <w:rStyle w:val="FootnoteReference"/>
                <w:rFonts w:ascii="Times New Roman" w:hAnsi="Times New Roman"/>
                <w:b/>
                <w:sz w:val="16"/>
                <w:szCs w:val="16"/>
              </w:rPr>
              <w:footnoteReference w:id="12"/>
            </w:r>
          </w:p>
        </w:tc>
        <w:tc>
          <w:tcPr>
            <w:tcW w:w="548" w:type="pct"/>
            <w:tcBorders>
              <w:top w:val="single" w:sz="4" w:space="0" w:color="000000"/>
              <w:left w:val="single" w:sz="4" w:space="0" w:color="000000"/>
              <w:bottom w:val="single" w:sz="4" w:space="0" w:color="000000"/>
              <w:right w:val="single" w:sz="4" w:space="0" w:color="000000"/>
            </w:tcBorders>
          </w:tcPr>
          <w:p w:rsidR="00634489" w:rsidRPr="001E5A77" w:rsidP="00B653C0" w14:paraId="588E1B3A" w14:textId="77777777">
            <w:pPr>
              <w:jc w:val="center"/>
              <w:rPr>
                <w:rFonts w:ascii="Times New Roman" w:eastAsia="Calibri" w:hAnsi="Times New Roman"/>
                <w:b/>
                <w:sz w:val="16"/>
                <w:szCs w:val="16"/>
              </w:rPr>
            </w:pPr>
            <w:r>
              <w:rPr>
                <w:rFonts w:ascii="Times New Roman" w:eastAsia="Calibri" w:hAnsi="Times New Roman"/>
                <w:b/>
                <w:sz w:val="16"/>
                <w:szCs w:val="16"/>
              </w:rPr>
              <w:t>$12,600</w:t>
            </w:r>
          </w:p>
        </w:tc>
        <w:tc>
          <w:tcPr>
            <w:tcW w:w="562" w:type="pct"/>
            <w:tcBorders>
              <w:top w:val="single" w:sz="4" w:space="0" w:color="000000"/>
              <w:left w:val="single" w:sz="4" w:space="0" w:color="000000"/>
              <w:bottom w:val="single" w:sz="4" w:space="0" w:color="000000"/>
              <w:right w:val="single" w:sz="4" w:space="0" w:color="000000"/>
            </w:tcBorders>
          </w:tcPr>
          <w:p w:rsidR="00634489" w:rsidRPr="001E5A77" w:rsidP="00B653C0" w14:paraId="5EB75D81" w14:textId="3E2AEF59">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3,392,172</w:t>
            </w:r>
          </w:p>
        </w:tc>
        <w:tc>
          <w:tcPr>
            <w:tcW w:w="561" w:type="pct"/>
            <w:tcBorders>
              <w:top w:val="single" w:sz="4" w:space="0" w:color="000000"/>
              <w:left w:val="single" w:sz="4" w:space="0" w:color="000000"/>
              <w:bottom w:val="single" w:sz="4" w:space="0" w:color="000000"/>
              <w:right w:val="single" w:sz="4" w:space="0" w:color="000000"/>
            </w:tcBorders>
          </w:tcPr>
          <w:p w:rsidR="00634489" w:rsidRPr="001E5A77" w:rsidP="00B653C0" w14:paraId="3B8B0B1C" w14:textId="559BEAC8">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1,696,086</w:t>
            </w:r>
          </w:p>
        </w:tc>
        <w:tc>
          <w:tcPr>
            <w:tcW w:w="649" w:type="pct"/>
            <w:tcBorders>
              <w:top w:val="single" w:sz="4" w:space="0" w:color="000000"/>
              <w:left w:val="single" w:sz="4" w:space="0" w:color="000000"/>
              <w:bottom w:val="single" w:sz="4" w:space="0" w:color="000000"/>
              <w:right w:val="single" w:sz="4" w:space="0" w:color="000000"/>
            </w:tcBorders>
          </w:tcPr>
          <w:p w:rsidR="006350C0" w:rsidRPr="001E5A77" w:rsidP="00FC2510" w14:paraId="60360491" w14:textId="579651C1">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$169,608,600</w:t>
            </w:r>
          </w:p>
        </w:tc>
      </w:tr>
      <w:tr w14:paraId="35EECF9D" w14:textId="77777777" w:rsidTr="00A65BD1">
        <w:tblPrEx>
          <w:tblW w:w="5690" w:type="pct"/>
          <w:tblInd w:w="-972" w:type="dxa"/>
          <w:tblLook w:val="04A0"/>
        </w:tblPrEx>
        <w:trPr>
          <w:trHeight w:val="960"/>
        </w:trPr>
        <w:tc>
          <w:tcPr>
            <w:tcW w:w="423" w:type="pct"/>
            <w:tcBorders>
              <w:top w:val="single" w:sz="4" w:space="0" w:color="000000"/>
              <w:left w:val="single" w:sz="4" w:space="0" w:color="000000"/>
              <w:bottom w:val="single" w:sz="4" w:space="0" w:color="000000"/>
              <w:right w:val="single" w:sz="4" w:space="0" w:color="000000"/>
            </w:tcBorders>
            <w:hideMark/>
          </w:tcPr>
          <w:p w:rsidR="00AF129B" w:rsidRPr="001E5A77" w:rsidP="00B653C0" w14:paraId="419127CB"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1.33 - Swap Confirmations</w:t>
            </w:r>
          </w:p>
        </w:tc>
        <w:tc>
          <w:tcPr>
            <w:tcW w:w="543" w:type="pct"/>
            <w:tcBorders>
              <w:top w:val="single" w:sz="4" w:space="0" w:color="000000"/>
              <w:left w:val="single" w:sz="4" w:space="0" w:color="000000"/>
              <w:bottom w:val="single" w:sz="4" w:space="0" w:color="000000"/>
              <w:right w:val="single" w:sz="4" w:space="0" w:color="000000"/>
            </w:tcBorders>
            <w:hideMark/>
          </w:tcPr>
          <w:p w:rsidR="00AF129B" w:rsidRPr="001E5A77" w:rsidP="00B653C0" w14:paraId="78B0669E" w14:textId="55696C58">
            <w:pPr>
              <w:tabs>
                <w:tab w:val="left" w:pos="-720"/>
                <w:tab w:val="left" w:pos="0"/>
              </w:tabs>
              <w:suppressAutoHyphens/>
              <w:jc w:val="center"/>
              <w:rPr>
                <w:rFonts w:ascii="Times New Roman" w:hAnsi="Times New Roman"/>
                <w:b/>
                <w:sz w:val="16"/>
                <w:szCs w:val="16"/>
              </w:rPr>
            </w:pPr>
            <w:r w:rsidRPr="00FE6987">
              <w:rPr>
                <w:rFonts w:ascii="Times New Roman" w:hAnsi="Times New Roman"/>
                <w:b/>
                <w:sz w:val="16"/>
                <w:szCs w:val="16"/>
              </w:rPr>
              <w:t>6</w:t>
            </w:r>
            <w:r>
              <w:rPr>
                <w:rFonts w:ascii="Times New Roman" w:hAnsi="Times New Roman"/>
                <w:b/>
                <w:sz w:val="16"/>
                <w:szCs w:val="16"/>
              </w:rPr>
              <w:t>7</w:t>
            </w:r>
            <w:r>
              <w:rPr>
                <w:rFonts w:ascii="Times New Roman" w:hAnsi="Times New Roman"/>
                <w:b/>
                <w:sz w:val="16"/>
                <w:szCs w:val="16"/>
                <w:vertAlign w:val="superscript"/>
              </w:rPr>
              <w:footnoteReference w:id="13"/>
            </w:r>
          </w:p>
        </w:tc>
        <w:tc>
          <w:tcPr>
            <w:tcW w:w="544" w:type="pct"/>
            <w:tcBorders>
              <w:top w:val="single" w:sz="4" w:space="0" w:color="000000"/>
              <w:left w:val="single" w:sz="4" w:space="0" w:color="000000"/>
              <w:bottom w:val="single" w:sz="4" w:space="0" w:color="000000"/>
              <w:right w:val="single" w:sz="4" w:space="0" w:color="000000"/>
            </w:tcBorders>
            <w:hideMark/>
          </w:tcPr>
          <w:p w:rsidR="00AF129B" w:rsidRPr="001E5A77" w:rsidP="00B653C0" w14:paraId="225DAD5E" w14:textId="33C6D5A8">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208,840</w:t>
            </w:r>
          </w:p>
        </w:tc>
        <w:tc>
          <w:tcPr>
            <w:tcW w:w="309" w:type="pct"/>
            <w:tcBorders>
              <w:top w:val="single" w:sz="4" w:space="0" w:color="000000"/>
              <w:left w:val="single" w:sz="4" w:space="0" w:color="000000"/>
              <w:bottom w:val="single" w:sz="4" w:space="0" w:color="000000"/>
              <w:right w:val="single" w:sz="4" w:space="0" w:color="000000"/>
            </w:tcBorders>
            <w:hideMark/>
          </w:tcPr>
          <w:p w:rsidR="00AF129B" w:rsidRPr="001E5A77" w:rsidP="00B653C0" w14:paraId="7ED0AD43" w14:textId="16446B11">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0</w:t>
            </w:r>
            <w:r w:rsidRPr="001E5A77">
              <w:rPr>
                <w:rFonts w:ascii="Times New Roman" w:hAnsi="Times New Roman"/>
                <w:b/>
                <w:sz w:val="16"/>
                <w:szCs w:val="16"/>
              </w:rPr>
              <w:t>.05</w:t>
            </w:r>
          </w:p>
        </w:tc>
        <w:tc>
          <w:tcPr>
            <w:tcW w:w="405" w:type="pct"/>
            <w:tcBorders>
              <w:top w:val="single" w:sz="4" w:space="0" w:color="000000"/>
              <w:left w:val="single" w:sz="4" w:space="0" w:color="000000"/>
              <w:bottom w:val="single" w:sz="4" w:space="0" w:color="000000"/>
              <w:right w:val="single" w:sz="4" w:space="0" w:color="000000"/>
            </w:tcBorders>
            <w:hideMark/>
          </w:tcPr>
          <w:p w:rsidR="00AF129B" w:rsidRPr="001E5A77" w:rsidP="00B653C0" w14:paraId="2693D36F" w14:textId="6E4B81CA">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10,442</w:t>
            </w:r>
          </w:p>
        </w:tc>
        <w:tc>
          <w:tcPr>
            <w:tcW w:w="456" w:type="pct"/>
            <w:tcBorders>
              <w:top w:val="single" w:sz="4" w:space="0" w:color="000000"/>
              <w:left w:val="single" w:sz="4" w:space="0" w:color="000000"/>
              <w:bottom w:val="single" w:sz="4" w:space="0" w:color="000000"/>
              <w:right w:val="single" w:sz="4" w:space="0" w:color="000000"/>
            </w:tcBorders>
            <w:hideMark/>
          </w:tcPr>
          <w:p w:rsidR="00AF129B" w:rsidRPr="001E5A77" w:rsidP="00B653C0" w14:paraId="102318FA" w14:textId="31733AE5">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$100</w:t>
            </w:r>
          </w:p>
        </w:tc>
        <w:tc>
          <w:tcPr>
            <w:tcW w:w="548" w:type="pct"/>
            <w:tcBorders>
              <w:top w:val="single" w:sz="4" w:space="0" w:color="000000"/>
              <w:left w:val="single" w:sz="4" w:space="0" w:color="000000"/>
              <w:bottom w:val="single" w:sz="4" w:space="0" w:color="000000"/>
              <w:right w:val="single" w:sz="4" w:space="0" w:color="000000"/>
            </w:tcBorders>
            <w:hideMark/>
          </w:tcPr>
          <w:p w:rsidR="00AF129B" w:rsidRPr="001E5A77" w:rsidP="00B653C0" w14:paraId="2D81E585" w14:textId="5DE9CAF0">
            <w:pPr>
              <w:jc w:val="center"/>
              <w:rPr>
                <w:rFonts w:ascii="Times New Roman" w:eastAsia="Calibri" w:hAnsi="Times New Roman"/>
                <w:b/>
                <w:sz w:val="16"/>
                <w:szCs w:val="16"/>
              </w:rPr>
            </w:pPr>
            <w:r w:rsidRPr="001E5A77">
              <w:rPr>
                <w:rFonts w:ascii="Times New Roman" w:eastAsia="Calibri" w:hAnsi="Times New Roman"/>
                <w:b/>
                <w:sz w:val="16"/>
                <w:szCs w:val="16"/>
              </w:rPr>
              <w:t>$</w:t>
            </w:r>
            <w:r w:rsidR="00332F79">
              <w:rPr>
                <w:rFonts w:ascii="Times New Roman" w:eastAsia="Calibri" w:hAnsi="Times New Roman"/>
                <w:b/>
                <w:sz w:val="16"/>
                <w:szCs w:val="16"/>
              </w:rPr>
              <w:t>1,044,200</w:t>
            </w:r>
          </w:p>
        </w:tc>
        <w:tc>
          <w:tcPr>
            <w:tcW w:w="562" w:type="pct"/>
            <w:tcBorders>
              <w:top w:val="single" w:sz="4" w:space="0" w:color="000000"/>
              <w:left w:val="single" w:sz="4" w:space="0" w:color="000000"/>
              <w:bottom w:val="single" w:sz="4" w:space="0" w:color="000000"/>
              <w:right w:val="single" w:sz="4" w:space="0" w:color="000000"/>
            </w:tcBorders>
            <w:hideMark/>
          </w:tcPr>
          <w:p w:rsidR="00AF129B" w:rsidRPr="001E5A77" w:rsidP="00B653C0" w14:paraId="6B4EE9B8" w14:textId="5215A02F">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13,992,248</w:t>
            </w:r>
          </w:p>
        </w:tc>
        <w:tc>
          <w:tcPr>
            <w:tcW w:w="561" w:type="pct"/>
            <w:tcBorders>
              <w:top w:val="single" w:sz="4" w:space="0" w:color="000000"/>
              <w:left w:val="single" w:sz="4" w:space="0" w:color="000000"/>
              <w:bottom w:val="single" w:sz="4" w:space="0" w:color="000000"/>
              <w:right w:val="single" w:sz="4" w:space="0" w:color="000000"/>
            </w:tcBorders>
            <w:hideMark/>
          </w:tcPr>
          <w:p w:rsidR="00AF129B" w:rsidRPr="001E5A77" w:rsidP="00B653C0" w14:paraId="4D691FD8" w14:textId="6BD89686">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699,614</w:t>
            </w:r>
          </w:p>
        </w:tc>
        <w:tc>
          <w:tcPr>
            <w:tcW w:w="649" w:type="pct"/>
            <w:tcBorders>
              <w:top w:val="single" w:sz="4" w:space="0" w:color="000000"/>
              <w:left w:val="single" w:sz="4" w:space="0" w:color="000000"/>
              <w:bottom w:val="single" w:sz="4" w:space="0" w:color="000000"/>
              <w:right w:val="single" w:sz="4" w:space="0" w:color="000000"/>
            </w:tcBorders>
            <w:hideMark/>
          </w:tcPr>
          <w:p w:rsidR="00AF129B" w:rsidRPr="001E5A77" w:rsidP="00FC2510" w14:paraId="54F77FCD" w14:textId="5EEC5FCE">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w:t>
            </w:r>
            <w:r w:rsidR="00332F79">
              <w:rPr>
                <w:rFonts w:ascii="Times New Roman" w:hAnsi="Times New Roman"/>
                <w:b/>
                <w:sz w:val="16"/>
                <w:szCs w:val="16"/>
              </w:rPr>
              <w:t>69,961</w:t>
            </w:r>
            <w:r w:rsidR="008D463D">
              <w:rPr>
                <w:rFonts w:ascii="Times New Roman" w:hAnsi="Times New Roman"/>
                <w:b/>
                <w:sz w:val="16"/>
                <w:szCs w:val="16"/>
              </w:rPr>
              <w:t>,</w:t>
            </w:r>
            <w:r w:rsidR="00332F79">
              <w:rPr>
                <w:rFonts w:ascii="Times New Roman" w:hAnsi="Times New Roman"/>
                <w:b/>
                <w:sz w:val="16"/>
                <w:szCs w:val="16"/>
              </w:rPr>
              <w:t>400</w:t>
            </w:r>
          </w:p>
        </w:tc>
      </w:tr>
      <w:tr w14:paraId="2EB57947" w14:textId="77777777" w:rsidTr="00A65BD1">
        <w:tblPrEx>
          <w:tblW w:w="5690" w:type="pct"/>
          <w:tblInd w:w="-972" w:type="dxa"/>
          <w:tblLook w:val="04A0"/>
        </w:tblPrEx>
        <w:trPr>
          <w:trHeight w:val="960"/>
        </w:trPr>
        <w:tc>
          <w:tcPr>
            <w:tcW w:w="423" w:type="pct"/>
            <w:tcBorders>
              <w:top w:val="single" w:sz="4" w:space="0" w:color="000000"/>
              <w:left w:val="single" w:sz="4" w:space="0" w:color="000000"/>
              <w:bottom w:val="single" w:sz="4" w:space="0" w:color="000000"/>
              <w:right w:val="single" w:sz="4" w:space="0" w:color="000000"/>
            </w:tcBorders>
          </w:tcPr>
          <w:p w:rsidR="00ED199D" w:rsidRPr="001E5A77" w:rsidP="00B653C0" w14:paraId="42C5BF3E" w14:textId="2CC6CC70">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Totals</w:t>
            </w:r>
          </w:p>
        </w:tc>
        <w:tc>
          <w:tcPr>
            <w:tcW w:w="543" w:type="pct"/>
            <w:tcBorders>
              <w:top w:val="single" w:sz="4" w:space="0" w:color="000000"/>
              <w:left w:val="single" w:sz="4" w:space="0" w:color="000000"/>
              <w:bottom w:val="single" w:sz="4" w:space="0" w:color="000000"/>
              <w:right w:val="single" w:sz="4" w:space="0" w:color="000000"/>
            </w:tcBorders>
          </w:tcPr>
          <w:p w:rsidR="00ED199D" w:rsidRPr="00FE6987" w:rsidP="00B653C0" w14:paraId="37467B73" w14:textId="0964C782">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13,</w:t>
            </w:r>
            <w:r w:rsidR="00C65EC1">
              <w:rPr>
                <w:rFonts w:ascii="Times New Roman" w:hAnsi="Times New Roman"/>
                <w:b/>
                <w:sz w:val="16"/>
                <w:szCs w:val="16"/>
              </w:rPr>
              <w:t>528</w:t>
            </w:r>
          </w:p>
        </w:tc>
        <w:tc>
          <w:tcPr>
            <w:tcW w:w="54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D199D" w:rsidP="00B653C0" w14:paraId="25FAC106" w14:textId="7D811756">
            <w:pPr>
              <w:tabs>
                <w:tab w:val="left" w:pos="-720"/>
                <w:tab w:val="left" w:pos="0"/>
              </w:tabs>
              <w:suppressAutoHyphens/>
              <w:jc w:val="center"/>
              <w:rPr>
                <w:rFonts w:ascii="Times New Roman" w:hAnsi="Times New Roman"/>
                <w:b/>
                <w:sz w:val="16"/>
                <w:szCs w:val="16"/>
              </w:rPr>
            </w:pPr>
          </w:p>
        </w:tc>
        <w:tc>
          <w:tcPr>
            <w:tcW w:w="30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D199D" w:rsidP="00B653C0" w14:paraId="1FCBB948" w14:textId="77777777">
            <w:pPr>
              <w:tabs>
                <w:tab w:val="left" w:pos="-720"/>
                <w:tab w:val="left" w:pos="0"/>
              </w:tabs>
              <w:suppressAutoHyphens/>
              <w:jc w:val="center"/>
              <w:rPr>
                <w:rFonts w:ascii="Times New Roman" w:hAnsi="Times New Roman"/>
                <w:b/>
                <w:sz w:val="16"/>
                <w:szCs w:val="16"/>
              </w:rPr>
            </w:pPr>
          </w:p>
        </w:tc>
        <w:tc>
          <w:tcPr>
            <w:tcW w:w="40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D199D" w:rsidP="00B653C0" w14:paraId="658FB82D" w14:textId="77777777">
            <w:pPr>
              <w:tabs>
                <w:tab w:val="left" w:pos="-720"/>
                <w:tab w:val="left" w:pos="0"/>
              </w:tabs>
              <w:suppressAutoHyphens/>
              <w:jc w:val="center"/>
              <w:rPr>
                <w:rFonts w:ascii="Times New Roman" w:hAnsi="Times New Roman"/>
                <w:b/>
                <w:sz w:val="16"/>
                <w:szCs w:val="16"/>
              </w:rPr>
            </w:pPr>
          </w:p>
        </w:tc>
        <w:tc>
          <w:tcPr>
            <w:tcW w:w="45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D199D" w:rsidRPr="001E5A77" w:rsidP="00B653C0" w14:paraId="559978F4" w14:textId="77777777">
            <w:pPr>
              <w:tabs>
                <w:tab w:val="left" w:pos="-720"/>
                <w:tab w:val="left" w:pos="0"/>
              </w:tabs>
              <w:suppressAutoHyphens/>
              <w:jc w:val="center"/>
              <w:rPr>
                <w:rFonts w:ascii="Times New Roman" w:hAnsi="Times New Roman"/>
                <w:b/>
                <w:sz w:val="16"/>
                <w:szCs w:val="16"/>
              </w:rPr>
            </w:pPr>
          </w:p>
        </w:tc>
        <w:tc>
          <w:tcPr>
            <w:tcW w:w="54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D199D" w:rsidRPr="001E5A77" w:rsidP="00B653C0" w14:paraId="7BC203FA" w14:textId="77777777">
            <w:pPr>
              <w:jc w:val="center"/>
              <w:rPr>
                <w:rFonts w:ascii="Times New Roman" w:eastAsia="Calibri" w:hAnsi="Times New Roman"/>
                <w:b/>
                <w:sz w:val="16"/>
                <w:szCs w:val="16"/>
              </w:rPr>
            </w:pPr>
          </w:p>
        </w:tc>
        <w:tc>
          <w:tcPr>
            <w:tcW w:w="562" w:type="pct"/>
            <w:tcBorders>
              <w:top w:val="single" w:sz="4" w:space="0" w:color="000000"/>
              <w:left w:val="single" w:sz="4" w:space="0" w:color="000000"/>
              <w:bottom w:val="single" w:sz="4" w:space="0" w:color="000000"/>
              <w:right w:val="single" w:sz="4" w:space="0" w:color="000000"/>
            </w:tcBorders>
          </w:tcPr>
          <w:p w:rsidR="00ED199D" w:rsidP="00FC2510" w14:paraId="5D1F77C4" w14:textId="351C5E45">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17,384</w:t>
            </w:r>
            <w:r w:rsidR="002040C5">
              <w:rPr>
                <w:rFonts w:ascii="Times New Roman" w:hAnsi="Times New Roman"/>
                <w:b/>
                <w:sz w:val="16"/>
                <w:szCs w:val="16"/>
              </w:rPr>
              <w:t>,</w:t>
            </w:r>
            <w:r>
              <w:rPr>
                <w:rFonts w:ascii="Times New Roman" w:hAnsi="Times New Roman"/>
                <w:b/>
                <w:sz w:val="16"/>
                <w:szCs w:val="16"/>
              </w:rPr>
              <w:t>420</w:t>
            </w:r>
          </w:p>
        </w:tc>
        <w:tc>
          <w:tcPr>
            <w:tcW w:w="561" w:type="pct"/>
            <w:tcBorders>
              <w:top w:val="single" w:sz="4" w:space="0" w:color="000000"/>
              <w:left w:val="single" w:sz="4" w:space="0" w:color="000000"/>
              <w:bottom w:val="single" w:sz="4" w:space="0" w:color="000000"/>
              <w:right w:val="single" w:sz="4" w:space="0" w:color="000000"/>
            </w:tcBorders>
          </w:tcPr>
          <w:p w:rsidR="00ED199D" w:rsidP="00FC2510" w14:paraId="1B42946A" w14:textId="0528B246">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w:t>
            </w:r>
            <w:r w:rsidR="008D463D">
              <w:rPr>
                <w:rFonts w:ascii="Times New Roman" w:hAnsi="Times New Roman"/>
                <w:b/>
                <w:sz w:val="16"/>
                <w:szCs w:val="16"/>
              </w:rPr>
              <w:t>395,700</w:t>
            </w:r>
          </w:p>
        </w:tc>
        <w:tc>
          <w:tcPr>
            <w:tcW w:w="649" w:type="pct"/>
            <w:tcBorders>
              <w:top w:val="single" w:sz="4" w:space="0" w:color="000000"/>
              <w:left w:val="single" w:sz="4" w:space="0" w:color="000000"/>
              <w:bottom w:val="single" w:sz="4" w:space="0" w:color="000000"/>
              <w:right w:val="single" w:sz="4" w:space="0" w:color="000000"/>
            </w:tcBorders>
          </w:tcPr>
          <w:p w:rsidR="00C65EC1" w:rsidRPr="001E5A77" w:rsidP="00FC2510" w14:paraId="644463CC" w14:textId="5951BEF4">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w:t>
            </w:r>
            <w:r w:rsidR="008D463D">
              <w:rPr>
                <w:rFonts w:ascii="Times New Roman" w:hAnsi="Times New Roman"/>
                <w:b/>
                <w:sz w:val="16"/>
                <w:szCs w:val="16"/>
              </w:rPr>
              <w:t>239,570,000</w:t>
            </w:r>
          </w:p>
        </w:tc>
      </w:tr>
    </w:tbl>
    <w:p w:rsidR="008E16B3" w:rsidP="00634489" w14:paraId="645D9342" w14:textId="19B47195">
      <w:pPr>
        <w:pStyle w:val="Title"/>
        <w:spacing w:after="480"/>
        <w:rPr>
          <w:b w:val="0"/>
          <w:sz w:val="24"/>
          <w:szCs w:val="24"/>
        </w:rPr>
      </w:pPr>
    </w:p>
    <w:p w:rsidR="006B64B3" w:rsidP="006B64B3" w14:paraId="3A76113C" w14:textId="666CE4F0">
      <w:pPr>
        <w:pStyle w:val="Title"/>
        <w:spacing w:after="480"/>
        <w:jc w:val="left"/>
        <w:rPr>
          <w:sz w:val="24"/>
          <w:szCs w:val="24"/>
        </w:rPr>
      </w:pPr>
      <w:r>
        <w:rPr>
          <w:sz w:val="24"/>
          <w:szCs w:val="24"/>
        </w:rPr>
        <w:t xml:space="preserve">IC 2:  </w:t>
      </w:r>
      <w:bookmarkStart w:id="5" w:name="_Hlk137722220"/>
      <w:r w:rsidRPr="003F64FA" w:rsidR="003F64FA">
        <w:rPr>
          <w:sz w:val="24"/>
          <w:szCs w:val="24"/>
        </w:rPr>
        <w:t xml:space="preserve">Exclusion of Utility Operations-Related Swaps </w:t>
      </w:r>
      <w:bookmarkEnd w:id="5"/>
      <w:r w:rsidRPr="003F64FA" w:rsidR="003F64FA">
        <w:rPr>
          <w:sz w:val="24"/>
          <w:szCs w:val="24"/>
        </w:rPr>
        <w:t xml:space="preserve">with Utility Special Entities from </w:t>
      </w:r>
      <w:r w:rsidRPr="003F64FA" w:rsidR="003F64FA">
        <w:rPr>
          <w:i/>
          <w:sz w:val="24"/>
          <w:szCs w:val="24"/>
        </w:rPr>
        <w:t>De Minimis</w:t>
      </w:r>
      <w:r w:rsidRPr="003F64FA" w:rsidR="003F64FA">
        <w:rPr>
          <w:sz w:val="24"/>
          <w:szCs w:val="24"/>
        </w:rPr>
        <w:t xml:space="preserve"> Threshold for Swaps with Special Entities</w:t>
      </w:r>
    </w:p>
    <w:tbl>
      <w:tblPr>
        <w:tblW w:w="5690"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36"/>
        <w:gridCol w:w="1621"/>
        <w:gridCol w:w="1530"/>
        <w:gridCol w:w="996"/>
        <w:gridCol w:w="1524"/>
        <w:gridCol w:w="990"/>
        <w:gridCol w:w="1621"/>
        <w:gridCol w:w="1621"/>
        <w:gridCol w:w="1712"/>
        <w:gridCol w:w="1886"/>
      </w:tblGrid>
      <w:tr w14:paraId="7E5920B8" w14:textId="77777777" w:rsidTr="00C23ACA">
        <w:tblPrEx>
          <w:tblW w:w="5690"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977"/>
        </w:trPr>
        <w:tc>
          <w:tcPr>
            <w:tcW w:w="419" w:type="pct"/>
            <w:tcBorders>
              <w:top w:val="single" w:sz="4" w:space="0" w:color="000000"/>
              <w:left w:val="single" w:sz="4" w:space="0" w:color="000000"/>
              <w:bottom w:val="single" w:sz="4" w:space="0" w:color="000000"/>
              <w:right w:val="single" w:sz="4" w:space="0" w:color="000000"/>
            </w:tcBorders>
          </w:tcPr>
          <w:p w:rsidR="003A2198" w:rsidP="003A2198" w14:paraId="73AF1B17" w14:textId="0FC5DB07">
            <w:pPr>
              <w:tabs>
                <w:tab w:val="left" w:pos="-720"/>
                <w:tab w:val="left" w:pos="0"/>
              </w:tabs>
              <w:suppressAutoHyphens/>
              <w:jc w:val="center"/>
              <w:rPr>
                <w:rFonts w:ascii="Times New Roman" w:hAnsi="Times New Roman"/>
                <w:b/>
                <w:sz w:val="16"/>
                <w:szCs w:val="16"/>
              </w:rPr>
            </w:pPr>
          </w:p>
        </w:tc>
        <w:tc>
          <w:tcPr>
            <w:tcW w:w="550" w:type="pct"/>
            <w:tcBorders>
              <w:top w:val="single" w:sz="4" w:space="0" w:color="000000"/>
              <w:left w:val="single" w:sz="4" w:space="0" w:color="000000"/>
              <w:bottom w:val="single" w:sz="4" w:space="0" w:color="000000"/>
              <w:right w:val="single" w:sz="4" w:space="0" w:color="000000"/>
            </w:tcBorders>
          </w:tcPr>
          <w:p w:rsidR="003A2198" w:rsidRPr="001E5A77" w:rsidP="003A2198" w14:paraId="2783DB6D"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2.</w:t>
            </w:r>
          </w:p>
          <w:p w:rsidR="003A2198" w:rsidRPr="001E5A77" w:rsidP="003A2198" w14:paraId="0885BCDE"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Estimated Number of Respondents </w:t>
            </w:r>
          </w:p>
          <w:p w:rsidR="003A2198" w:rsidP="003A2198" w14:paraId="1FAF240A" w14:textId="77777777">
            <w:pPr>
              <w:tabs>
                <w:tab w:val="left" w:pos="-720"/>
                <w:tab w:val="left" w:pos="0"/>
              </w:tabs>
              <w:suppressAutoHyphens/>
              <w:jc w:val="center"/>
              <w:rPr>
                <w:rFonts w:ascii="Times New Roman" w:hAnsi="Times New Roman"/>
                <w:b/>
                <w:sz w:val="16"/>
                <w:szCs w:val="16"/>
              </w:rPr>
            </w:pPr>
          </w:p>
        </w:tc>
        <w:tc>
          <w:tcPr>
            <w:tcW w:w="519" w:type="pct"/>
            <w:tcBorders>
              <w:top w:val="single" w:sz="4" w:space="0" w:color="000000"/>
              <w:left w:val="single" w:sz="4" w:space="0" w:color="000000"/>
              <w:bottom w:val="single" w:sz="4" w:space="0" w:color="000000"/>
              <w:right w:val="single" w:sz="4" w:space="0" w:color="000000"/>
            </w:tcBorders>
          </w:tcPr>
          <w:p w:rsidR="003A2198" w:rsidRPr="001E5A77" w:rsidP="003A2198" w14:paraId="0DAB4314"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3.</w:t>
            </w:r>
          </w:p>
          <w:p w:rsidR="003A2198" w:rsidRPr="001E5A77" w:rsidP="003A2198" w14:paraId="7E39131B"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Estimated Number of </w:t>
            </w:r>
            <w:r>
              <w:rPr>
                <w:rFonts w:ascii="Times New Roman" w:hAnsi="Times New Roman"/>
                <w:b/>
                <w:sz w:val="16"/>
                <w:szCs w:val="16"/>
              </w:rPr>
              <w:t>Responses</w:t>
            </w:r>
          </w:p>
          <w:p w:rsidR="003A2198" w:rsidP="003A2198" w14:paraId="1D064FA7" w14:textId="6E9EDF8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by Each Respondent</w:t>
            </w:r>
          </w:p>
        </w:tc>
        <w:tc>
          <w:tcPr>
            <w:tcW w:w="338" w:type="pct"/>
            <w:tcBorders>
              <w:top w:val="single" w:sz="4" w:space="0" w:color="000000"/>
              <w:left w:val="single" w:sz="4" w:space="0" w:color="000000"/>
              <w:bottom w:val="single" w:sz="4" w:space="0" w:color="000000"/>
              <w:right w:val="single" w:sz="4" w:space="0" w:color="000000"/>
            </w:tcBorders>
          </w:tcPr>
          <w:p w:rsidR="003A2198" w:rsidRPr="001E5A77" w:rsidP="003A2198" w14:paraId="5FF22D76"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4.</w:t>
            </w:r>
          </w:p>
          <w:p w:rsidR="003A2198" w:rsidP="003A2198" w14:paraId="162A801A" w14:textId="68C6E59A">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Estimated Average Number of Burden Hours per Response</w:t>
            </w:r>
          </w:p>
        </w:tc>
        <w:tc>
          <w:tcPr>
            <w:tcW w:w="517" w:type="pct"/>
            <w:tcBorders>
              <w:top w:val="single" w:sz="4" w:space="0" w:color="000000"/>
              <w:left w:val="single" w:sz="4" w:space="0" w:color="000000"/>
              <w:bottom w:val="single" w:sz="4" w:space="0" w:color="000000"/>
              <w:right w:val="single" w:sz="4" w:space="0" w:color="000000"/>
            </w:tcBorders>
          </w:tcPr>
          <w:p w:rsidR="003A2198" w:rsidRPr="001E5A77" w:rsidP="003A2198" w14:paraId="316327B4"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5.</w:t>
            </w:r>
          </w:p>
          <w:p w:rsidR="003A2198" w:rsidRPr="001E5A77" w:rsidP="003A2198" w14:paraId="43F6E74D" w14:textId="7A97AC4B">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Annual Number of Burden Hours per Respondent</w:t>
            </w:r>
          </w:p>
          <w:p w:rsidR="003A2198" w:rsidP="003A2198" w14:paraId="77813564" w14:textId="16D006DE">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(3 </w:t>
            </w:r>
            <w:r w:rsidR="00E418BE">
              <w:rPr>
                <w:rFonts w:ascii="Times New Roman" w:hAnsi="Times New Roman"/>
                <w:b/>
                <w:sz w:val="16"/>
                <w:szCs w:val="16"/>
              </w:rPr>
              <w:t>×</w:t>
            </w:r>
            <w:r w:rsidRPr="001E5A77">
              <w:rPr>
                <w:rFonts w:ascii="Times New Roman" w:hAnsi="Times New Roman"/>
                <w:b/>
                <w:sz w:val="16"/>
                <w:szCs w:val="16"/>
              </w:rPr>
              <w:t xml:space="preserve"> 4)</w:t>
            </w:r>
          </w:p>
        </w:tc>
        <w:tc>
          <w:tcPr>
            <w:tcW w:w="336" w:type="pct"/>
            <w:tcBorders>
              <w:top w:val="single" w:sz="4" w:space="0" w:color="000000"/>
              <w:left w:val="single" w:sz="4" w:space="0" w:color="000000"/>
              <w:bottom w:val="single" w:sz="4" w:space="0" w:color="000000"/>
              <w:right w:val="single" w:sz="4" w:space="0" w:color="000000"/>
            </w:tcBorders>
          </w:tcPr>
          <w:p w:rsidR="003A2198" w:rsidRPr="001E5A77" w:rsidP="003A2198" w14:paraId="114E25A9"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6. </w:t>
            </w:r>
          </w:p>
          <w:p w:rsidR="003A2198" w:rsidRPr="001E5A77" w:rsidP="003A2198" w14:paraId="7E076CC7"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Estimated Average Burden Hour Cost</w:t>
            </w:r>
          </w:p>
          <w:p w:rsidR="003A2198" w:rsidP="003A2198" w14:paraId="32EA3643" w14:textId="77777777">
            <w:pPr>
              <w:tabs>
                <w:tab w:val="left" w:pos="-720"/>
                <w:tab w:val="left" w:pos="0"/>
              </w:tabs>
              <w:suppressAutoHyphens/>
              <w:jc w:val="center"/>
              <w:rPr>
                <w:rFonts w:ascii="Times New Roman" w:hAnsi="Times New Roman"/>
                <w:b/>
                <w:sz w:val="16"/>
                <w:szCs w:val="16"/>
              </w:rPr>
            </w:pPr>
          </w:p>
        </w:tc>
        <w:tc>
          <w:tcPr>
            <w:tcW w:w="550" w:type="pct"/>
            <w:tcBorders>
              <w:top w:val="single" w:sz="4" w:space="0" w:color="000000"/>
              <w:left w:val="single" w:sz="4" w:space="0" w:color="000000"/>
              <w:bottom w:val="single" w:sz="4" w:space="0" w:color="000000"/>
              <w:right w:val="single" w:sz="4" w:space="0" w:color="000000"/>
            </w:tcBorders>
          </w:tcPr>
          <w:p w:rsidR="003A2198" w:rsidRPr="001E5A77" w:rsidP="003A2198" w14:paraId="7DE50AD2" w14:textId="77777777">
            <w:pPr>
              <w:jc w:val="center"/>
              <w:rPr>
                <w:rFonts w:ascii="Times New Roman" w:eastAsia="Calibri" w:hAnsi="Times New Roman"/>
                <w:b/>
                <w:sz w:val="16"/>
                <w:szCs w:val="16"/>
              </w:rPr>
            </w:pPr>
            <w:r w:rsidRPr="001E5A77">
              <w:rPr>
                <w:rFonts w:ascii="Times New Roman" w:eastAsia="Calibri" w:hAnsi="Times New Roman"/>
                <w:b/>
                <w:sz w:val="16"/>
                <w:szCs w:val="16"/>
              </w:rPr>
              <w:t>7.</w:t>
            </w:r>
          </w:p>
          <w:p w:rsidR="003A2198" w:rsidRPr="001E5A77" w:rsidP="003A2198" w14:paraId="56DD164B" w14:textId="77777777">
            <w:pPr>
              <w:jc w:val="center"/>
              <w:rPr>
                <w:rFonts w:ascii="Times New Roman" w:eastAsia="Calibri" w:hAnsi="Times New Roman"/>
                <w:b/>
                <w:sz w:val="16"/>
                <w:szCs w:val="16"/>
              </w:rPr>
            </w:pPr>
            <w:r w:rsidRPr="001E5A77">
              <w:rPr>
                <w:rFonts w:ascii="Times New Roman" w:eastAsia="Calibri" w:hAnsi="Times New Roman"/>
                <w:b/>
                <w:sz w:val="16"/>
                <w:szCs w:val="16"/>
              </w:rPr>
              <w:t>Total Average Hour Burden Cost Per Respondent</w:t>
            </w:r>
          </w:p>
          <w:p w:rsidR="003A2198" w:rsidP="003A2198" w14:paraId="5E3088C5" w14:textId="786668BA">
            <w:pPr>
              <w:jc w:val="center"/>
              <w:rPr>
                <w:rFonts w:ascii="Times New Roman" w:eastAsia="Calibri" w:hAnsi="Times New Roman"/>
                <w:b/>
                <w:sz w:val="16"/>
                <w:szCs w:val="16"/>
              </w:rPr>
            </w:pPr>
            <w:r w:rsidRPr="001E5A77">
              <w:rPr>
                <w:rFonts w:ascii="Times New Roman" w:eastAsia="Calibri" w:hAnsi="Times New Roman"/>
                <w:b/>
                <w:sz w:val="16"/>
                <w:szCs w:val="16"/>
              </w:rPr>
              <w:t xml:space="preserve">(5 </w:t>
            </w:r>
            <w:r w:rsidR="00E418BE">
              <w:rPr>
                <w:rFonts w:ascii="Times New Roman" w:hAnsi="Times New Roman"/>
                <w:b/>
                <w:sz w:val="16"/>
                <w:szCs w:val="16"/>
              </w:rPr>
              <w:t>×</w:t>
            </w:r>
            <w:r w:rsidRPr="001E5A77">
              <w:rPr>
                <w:rFonts w:ascii="Times New Roman" w:eastAsia="Calibri" w:hAnsi="Times New Roman"/>
                <w:b/>
                <w:sz w:val="16"/>
                <w:szCs w:val="16"/>
              </w:rPr>
              <w:t xml:space="preserve"> 6)</w:t>
            </w:r>
          </w:p>
        </w:tc>
        <w:tc>
          <w:tcPr>
            <w:tcW w:w="550" w:type="pct"/>
            <w:tcBorders>
              <w:top w:val="single" w:sz="4" w:space="0" w:color="000000"/>
              <w:left w:val="single" w:sz="4" w:space="0" w:color="000000"/>
              <w:bottom w:val="single" w:sz="4" w:space="0" w:color="000000"/>
              <w:right w:val="single" w:sz="4" w:space="0" w:color="000000"/>
            </w:tcBorders>
          </w:tcPr>
          <w:p w:rsidR="003A2198" w:rsidRPr="001E5A77" w:rsidP="003A2198" w14:paraId="609B15CC"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8.</w:t>
            </w:r>
          </w:p>
          <w:p w:rsidR="003A2198" w:rsidRPr="001E5A77" w:rsidP="003A2198" w14:paraId="38A00EBF"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Total Annual</w:t>
            </w:r>
          </w:p>
          <w:p w:rsidR="003A2198" w:rsidRPr="001E5A77" w:rsidP="003A2198" w14:paraId="6F6294D8"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Responses</w:t>
            </w:r>
          </w:p>
          <w:p w:rsidR="003A2198" w:rsidP="003A2198" w14:paraId="06FBE502" w14:textId="425EEA81">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(2 </w:t>
            </w:r>
            <w:r w:rsidR="00E418BE">
              <w:rPr>
                <w:rFonts w:ascii="Times New Roman" w:hAnsi="Times New Roman"/>
                <w:b/>
                <w:sz w:val="16"/>
                <w:szCs w:val="16"/>
              </w:rPr>
              <w:t>×</w:t>
            </w:r>
            <w:r w:rsidRPr="001E5A77">
              <w:rPr>
                <w:rFonts w:ascii="Times New Roman" w:hAnsi="Times New Roman"/>
                <w:b/>
                <w:sz w:val="16"/>
                <w:szCs w:val="16"/>
              </w:rPr>
              <w:t xml:space="preserve"> 3)</w:t>
            </w:r>
          </w:p>
        </w:tc>
        <w:tc>
          <w:tcPr>
            <w:tcW w:w="581" w:type="pct"/>
            <w:tcBorders>
              <w:top w:val="single" w:sz="4" w:space="0" w:color="000000"/>
              <w:left w:val="single" w:sz="4" w:space="0" w:color="000000"/>
              <w:bottom w:val="single" w:sz="4" w:space="0" w:color="000000"/>
              <w:right w:val="single" w:sz="4" w:space="0" w:color="000000"/>
            </w:tcBorders>
          </w:tcPr>
          <w:p w:rsidR="003A2198" w:rsidRPr="001E5A77" w:rsidP="003A2198" w14:paraId="5ADBD949"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9.</w:t>
            </w:r>
          </w:p>
          <w:p w:rsidR="003A2198" w:rsidRPr="001E5A77" w:rsidP="003A2198" w14:paraId="3F2BB6D0"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Total Annual  Number of Burden Hours</w:t>
            </w:r>
          </w:p>
          <w:p w:rsidR="003A2198" w:rsidP="003A2198" w14:paraId="088D1F60" w14:textId="04304155">
            <w:pPr>
              <w:tabs>
                <w:tab w:val="left" w:pos="-720"/>
                <w:tab w:val="left" w:pos="0"/>
              </w:tabs>
              <w:suppressAutoHyphens/>
              <w:spacing w:after="240"/>
              <w:jc w:val="center"/>
              <w:rPr>
                <w:rFonts w:ascii="Times New Roman" w:hAnsi="Times New Roman"/>
                <w:b/>
                <w:sz w:val="16"/>
                <w:szCs w:val="16"/>
              </w:rPr>
            </w:pPr>
            <w:r w:rsidRPr="001E5A77">
              <w:rPr>
                <w:rFonts w:ascii="Times New Roman" w:hAnsi="Times New Roman"/>
                <w:b/>
                <w:sz w:val="16"/>
                <w:szCs w:val="16"/>
              </w:rPr>
              <w:t xml:space="preserve">(2 </w:t>
            </w:r>
            <w:r w:rsidR="00E418BE">
              <w:rPr>
                <w:rFonts w:ascii="Times New Roman" w:hAnsi="Times New Roman"/>
                <w:b/>
                <w:sz w:val="16"/>
                <w:szCs w:val="16"/>
              </w:rPr>
              <w:t>×</w:t>
            </w:r>
            <w:r w:rsidRPr="001E5A77">
              <w:rPr>
                <w:rFonts w:ascii="Times New Roman" w:hAnsi="Times New Roman"/>
                <w:b/>
                <w:sz w:val="16"/>
                <w:szCs w:val="16"/>
              </w:rPr>
              <w:t xml:space="preserve"> 5)</w:t>
            </w:r>
          </w:p>
        </w:tc>
        <w:tc>
          <w:tcPr>
            <w:tcW w:w="641" w:type="pct"/>
            <w:tcBorders>
              <w:top w:val="single" w:sz="4" w:space="0" w:color="000000"/>
              <w:left w:val="single" w:sz="4" w:space="0" w:color="000000"/>
              <w:bottom w:val="single" w:sz="4" w:space="0" w:color="000000"/>
              <w:right w:val="single" w:sz="4" w:space="0" w:color="000000"/>
            </w:tcBorders>
          </w:tcPr>
          <w:p w:rsidR="003A2198" w:rsidRPr="001E5A77" w:rsidP="003A2198" w14:paraId="29770FE3"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10.</w:t>
            </w:r>
          </w:p>
          <w:p w:rsidR="003A2198" w:rsidRPr="001E5A77" w:rsidP="003A2198" w14:paraId="57A947DD" w14:textId="77777777">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Total Annual Burden Hour Cost of All Responses</w:t>
            </w:r>
          </w:p>
          <w:p w:rsidR="003A2198" w:rsidP="003A2198" w14:paraId="28F94858" w14:textId="209C2778">
            <w:pPr>
              <w:tabs>
                <w:tab w:val="left" w:pos="-720"/>
                <w:tab w:val="left" w:pos="0"/>
              </w:tabs>
              <w:suppressAutoHyphens/>
              <w:jc w:val="center"/>
              <w:rPr>
                <w:rFonts w:ascii="Times New Roman" w:hAnsi="Times New Roman"/>
                <w:b/>
                <w:sz w:val="16"/>
                <w:szCs w:val="16"/>
              </w:rPr>
            </w:pPr>
            <w:r w:rsidRPr="001E5A77">
              <w:rPr>
                <w:rFonts w:ascii="Times New Roman" w:hAnsi="Times New Roman"/>
                <w:b/>
                <w:sz w:val="16"/>
                <w:szCs w:val="16"/>
              </w:rPr>
              <w:t xml:space="preserve">(2 </w:t>
            </w:r>
            <w:r w:rsidR="00E418BE">
              <w:rPr>
                <w:rFonts w:ascii="Times New Roman" w:hAnsi="Times New Roman"/>
                <w:b/>
                <w:sz w:val="16"/>
                <w:szCs w:val="16"/>
              </w:rPr>
              <w:t>×</w:t>
            </w:r>
            <w:r w:rsidRPr="001E5A77">
              <w:rPr>
                <w:rFonts w:ascii="Times New Roman" w:hAnsi="Times New Roman"/>
                <w:b/>
                <w:sz w:val="16"/>
                <w:szCs w:val="16"/>
              </w:rPr>
              <w:t xml:space="preserve"> 7)</w:t>
            </w:r>
          </w:p>
        </w:tc>
      </w:tr>
      <w:tr w14:paraId="32810DC5" w14:textId="77777777" w:rsidTr="00C23ACA">
        <w:tblPrEx>
          <w:tblW w:w="5690" w:type="pct"/>
          <w:tblInd w:w="-972" w:type="dxa"/>
          <w:tblLook w:val="04A0"/>
        </w:tblPrEx>
        <w:trPr>
          <w:trHeight w:val="977"/>
        </w:trPr>
        <w:tc>
          <w:tcPr>
            <w:tcW w:w="419" w:type="pct"/>
            <w:tcBorders>
              <w:top w:val="single" w:sz="4" w:space="0" w:color="000000"/>
              <w:left w:val="single" w:sz="4" w:space="0" w:color="000000"/>
              <w:bottom w:val="single" w:sz="4" w:space="0" w:color="000000"/>
              <w:right w:val="single" w:sz="4" w:space="0" w:color="000000"/>
            </w:tcBorders>
          </w:tcPr>
          <w:p w:rsidR="00373441" w:rsidP="00B653C0" w14:paraId="733CA318"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1.3 – De Minimis Special Entities</w:t>
            </w:r>
          </w:p>
        </w:tc>
        <w:tc>
          <w:tcPr>
            <w:tcW w:w="550" w:type="pct"/>
            <w:tcBorders>
              <w:top w:val="single" w:sz="4" w:space="0" w:color="000000"/>
              <w:left w:val="single" w:sz="4" w:space="0" w:color="000000"/>
              <w:bottom w:val="single" w:sz="4" w:space="0" w:color="000000"/>
              <w:right w:val="single" w:sz="4" w:space="0" w:color="000000"/>
            </w:tcBorders>
          </w:tcPr>
          <w:p w:rsidR="00373441" w:rsidP="00B653C0" w14:paraId="7849BFE3"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2,000</w:t>
            </w:r>
          </w:p>
        </w:tc>
        <w:tc>
          <w:tcPr>
            <w:tcW w:w="519" w:type="pct"/>
            <w:tcBorders>
              <w:top w:val="single" w:sz="4" w:space="0" w:color="000000"/>
              <w:left w:val="single" w:sz="4" w:space="0" w:color="000000"/>
              <w:bottom w:val="single" w:sz="4" w:space="0" w:color="000000"/>
              <w:right w:val="single" w:sz="4" w:space="0" w:color="000000"/>
            </w:tcBorders>
          </w:tcPr>
          <w:p w:rsidR="00373441" w:rsidP="00B653C0" w14:paraId="40535516"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w:t>
            </w:r>
          </w:p>
        </w:tc>
        <w:tc>
          <w:tcPr>
            <w:tcW w:w="338" w:type="pct"/>
            <w:tcBorders>
              <w:top w:val="single" w:sz="4" w:space="0" w:color="000000"/>
              <w:left w:val="single" w:sz="4" w:space="0" w:color="000000"/>
              <w:bottom w:val="single" w:sz="4" w:space="0" w:color="000000"/>
              <w:right w:val="single" w:sz="4" w:space="0" w:color="000000"/>
            </w:tcBorders>
          </w:tcPr>
          <w:p w:rsidR="00373441" w:rsidP="00B653C0" w14:paraId="57F3FCF1"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0.5</w:t>
            </w:r>
          </w:p>
        </w:tc>
        <w:tc>
          <w:tcPr>
            <w:tcW w:w="517" w:type="pct"/>
            <w:tcBorders>
              <w:top w:val="single" w:sz="4" w:space="0" w:color="000000"/>
              <w:left w:val="single" w:sz="4" w:space="0" w:color="000000"/>
              <w:bottom w:val="single" w:sz="4" w:space="0" w:color="000000"/>
              <w:right w:val="single" w:sz="4" w:space="0" w:color="000000"/>
            </w:tcBorders>
          </w:tcPr>
          <w:p w:rsidR="00373441" w:rsidP="00B653C0" w14:paraId="463B7C1F"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0.5</w:t>
            </w:r>
          </w:p>
        </w:tc>
        <w:tc>
          <w:tcPr>
            <w:tcW w:w="336" w:type="pct"/>
            <w:tcBorders>
              <w:top w:val="single" w:sz="4" w:space="0" w:color="000000"/>
              <w:left w:val="single" w:sz="4" w:space="0" w:color="000000"/>
              <w:bottom w:val="single" w:sz="4" w:space="0" w:color="000000"/>
              <w:right w:val="single" w:sz="4" w:space="0" w:color="000000"/>
            </w:tcBorders>
          </w:tcPr>
          <w:p w:rsidR="00373441" w:rsidP="00B653C0" w14:paraId="7315918B"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$100</w:t>
            </w:r>
          </w:p>
        </w:tc>
        <w:tc>
          <w:tcPr>
            <w:tcW w:w="550" w:type="pct"/>
            <w:tcBorders>
              <w:top w:val="single" w:sz="4" w:space="0" w:color="000000"/>
              <w:left w:val="single" w:sz="4" w:space="0" w:color="000000"/>
              <w:bottom w:val="single" w:sz="4" w:space="0" w:color="000000"/>
              <w:right w:val="single" w:sz="4" w:space="0" w:color="000000"/>
            </w:tcBorders>
          </w:tcPr>
          <w:p w:rsidR="00373441" w:rsidP="00B653C0" w14:paraId="1D7D6AFF" w14:textId="77777777">
            <w:pPr>
              <w:jc w:val="center"/>
              <w:rPr>
                <w:rFonts w:ascii="Times New Roman" w:eastAsia="Calibri" w:hAnsi="Times New Roman"/>
                <w:b/>
                <w:sz w:val="16"/>
                <w:szCs w:val="16"/>
              </w:rPr>
            </w:pPr>
            <w:r>
              <w:rPr>
                <w:rFonts w:ascii="Times New Roman" w:eastAsia="Calibri" w:hAnsi="Times New Roman"/>
                <w:b/>
                <w:sz w:val="16"/>
                <w:szCs w:val="16"/>
              </w:rPr>
              <w:t>$50</w:t>
            </w:r>
          </w:p>
        </w:tc>
        <w:tc>
          <w:tcPr>
            <w:tcW w:w="550" w:type="pct"/>
            <w:tcBorders>
              <w:top w:val="single" w:sz="4" w:space="0" w:color="000000"/>
              <w:left w:val="single" w:sz="4" w:space="0" w:color="000000"/>
              <w:bottom w:val="single" w:sz="4" w:space="0" w:color="000000"/>
              <w:right w:val="single" w:sz="4" w:space="0" w:color="000000"/>
            </w:tcBorders>
          </w:tcPr>
          <w:p w:rsidR="00373441" w:rsidP="00B653C0" w14:paraId="6F7E88E2"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2,000</w:t>
            </w:r>
          </w:p>
        </w:tc>
        <w:tc>
          <w:tcPr>
            <w:tcW w:w="581" w:type="pct"/>
            <w:tcBorders>
              <w:top w:val="single" w:sz="4" w:space="0" w:color="000000"/>
              <w:left w:val="single" w:sz="4" w:space="0" w:color="000000"/>
              <w:bottom w:val="single" w:sz="4" w:space="0" w:color="000000"/>
              <w:right w:val="single" w:sz="4" w:space="0" w:color="000000"/>
            </w:tcBorders>
          </w:tcPr>
          <w:p w:rsidR="00373441" w:rsidP="00B653C0" w14:paraId="6456348B"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1,000</w:t>
            </w:r>
          </w:p>
        </w:tc>
        <w:tc>
          <w:tcPr>
            <w:tcW w:w="641" w:type="pct"/>
            <w:tcBorders>
              <w:top w:val="single" w:sz="4" w:space="0" w:color="000000"/>
              <w:left w:val="single" w:sz="4" w:space="0" w:color="000000"/>
              <w:bottom w:val="single" w:sz="4" w:space="0" w:color="000000"/>
              <w:right w:val="single" w:sz="4" w:space="0" w:color="000000"/>
            </w:tcBorders>
          </w:tcPr>
          <w:p w:rsidR="00373441" w:rsidP="00B653C0" w14:paraId="5A2AAECE" w14:textId="77777777">
            <w:pPr>
              <w:tabs>
                <w:tab w:val="left" w:pos="-720"/>
                <w:tab w:val="left" w:pos="0"/>
              </w:tabs>
              <w:suppressAutoHyphens/>
              <w:jc w:val="center"/>
              <w:rPr>
                <w:rFonts w:ascii="Times New Roman" w:hAnsi="Times New Roman"/>
                <w:b/>
                <w:sz w:val="16"/>
                <w:szCs w:val="16"/>
              </w:rPr>
            </w:pPr>
            <w:r>
              <w:rPr>
                <w:rFonts w:ascii="Times New Roman" w:hAnsi="Times New Roman"/>
                <w:b/>
                <w:sz w:val="16"/>
                <w:szCs w:val="16"/>
              </w:rPr>
              <w:t>$100,000</w:t>
            </w:r>
          </w:p>
        </w:tc>
      </w:tr>
      <w:bookmarkEnd w:id="2"/>
    </w:tbl>
    <w:p w:rsidR="00373441" w:rsidP="0098266E" w14:paraId="0347C426" w14:textId="77777777">
      <w:pPr>
        <w:pStyle w:val="Title"/>
        <w:spacing w:after="480"/>
        <w:jc w:val="left"/>
        <w:rPr>
          <w:sz w:val="24"/>
        </w:rPr>
      </w:pPr>
    </w:p>
    <w:p w:rsidR="003C1818" w:rsidP="00A65BD1" w14:paraId="59E3B03A" w14:textId="77777777">
      <w:pPr>
        <w:spacing w:after="120"/>
        <w:rPr>
          <w:rFonts w:ascii="Times New Roman" w:hAnsi="Times New Roman"/>
          <w:iCs/>
        </w:rPr>
      </w:pPr>
      <w:r w:rsidRPr="008824E8">
        <w:rPr>
          <w:rFonts w:ascii="Times New Roman" w:hAnsi="Times New Roman"/>
          <w:iCs/>
        </w:rPr>
        <w:t xml:space="preserve">Number of Registrants/Respondents: </w:t>
      </w:r>
      <w:r>
        <w:rPr>
          <w:rFonts w:ascii="Times New Roman" w:hAnsi="Times New Roman"/>
          <w:iCs/>
        </w:rPr>
        <w:t>15,528</w:t>
      </w:r>
    </w:p>
    <w:p w:rsidR="003C1818" w:rsidP="00A65BD1" w14:paraId="24058DDC" w14:textId="7A4DE371">
      <w:pPr>
        <w:spacing w:after="120"/>
        <w:rPr>
          <w:rFonts w:ascii="Times New Roman" w:hAnsi="Times New Roman"/>
          <w:iCs/>
        </w:rPr>
      </w:pPr>
      <w:r w:rsidRPr="008824E8">
        <w:rPr>
          <w:rFonts w:ascii="Times New Roman" w:hAnsi="Times New Roman"/>
          <w:iCs/>
        </w:rPr>
        <w:t xml:space="preserve">Frequency of Reporting/Recordkeeping: </w:t>
      </w:r>
      <w:r w:rsidR="006725E1">
        <w:rPr>
          <w:rFonts w:ascii="Times New Roman" w:hAnsi="Times New Roman"/>
          <w:iCs/>
        </w:rPr>
        <w:t>On occasion</w:t>
      </w:r>
      <w:r w:rsidR="00F809B3">
        <w:rPr>
          <w:rFonts w:ascii="Times New Roman" w:hAnsi="Times New Roman"/>
          <w:iCs/>
        </w:rPr>
        <w:t>.</w:t>
      </w:r>
    </w:p>
    <w:p w:rsidR="003C1818" w:rsidP="00A65BD1" w14:paraId="082E743B" w14:textId="12CBED98">
      <w:pPr>
        <w:spacing w:after="120"/>
        <w:rPr>
          <w:rFonts w:ascii="Times New Roman" w:hAnsi="Times New Roman"/>
          <w:iCs/>
        </w:rPr>
      </w:pPr>
      <w:r w:rsidRPr="008824E8">
        <w:rPr>
          <w:rFonts w:ascii="Times New Roman" w:hAnsi="Times New Roman"/>
          <w:iCs/>
        </w:rPr>
        <w:t xml:space="preserve">Estimated Aggregate Burden Hours: </w:t>
      </w:r>
      <w:r w:rsidR="005B57C3">
        <w:rPr>
          <w:rFonts w:ascii="Times New Roman" w:hAnsi="Times New Roman"/>
          <w:iCs/>
        </w:rPr>
        <w:t>2,</w:t>
      </w:r>
      <w:r w:rsidR="00811CB4">
        <w:rPr>
          <w:rFonts w:ascii="Times New Roman" w:hAnsi="Times New Roman"/>
          <w:iCs/>
        </w:rPr>
        <w:t>396</w:t>
      </w:r>
      <w:r w:rsidR="00A65BD1">
        <w:rPr>
          <w:rFonts w:ascii="Times New Roman" w:hAnsi="Times New Roman"/>
          <w:iCs/>
        </w:rPr>
        <w:t>,</w:t>
      </w:r>
      <w:r w:rsidR="008D463D">
        <w:rPr>
          <w:rFonts w:ascii="Times New Roman" w:hAnsi="Times New Roman"/>
          <w:iCs/>
        </w:rPr>
        <w:t>700</w:t>
      </w:r>
      <w:r w:rsidR="005F6387">
        <w:rPr>
          <w:rFonts w:ascii="Times New Roman" w:hAnsi="Times New Roman"/>
          <w:iCs/>
        </w:rPr>
        <w:t xml:space="preserve"> </w:t>
      </w:r>
      <w:r>
        <w:rPr>
          <w:rFonts w:ascii="Times New Roman" w:hAnsi="Times New Roman"/>
          <w:iCs/>
        </w:rPr>
        <w:t>hours</w:t>
      </w:r>
    </w:p>
    <w:p w:rsidR="003C1818" w:rsidP="00A65BD1" w14:paraId="60D80BB8" w14:textId="717866E3">
      <w:pPr>
        <w:spacing w:after="120"/>
        <w:rPr>
          <w:rFonts w:ascii="Times New Roman" w:hAnsi="Times New Roman"/>
          <w:iCs/>
        </w:rPr>
      </w:pPr>
      <w:r w:rsidRPr="008824E8">
        <w:rPr>
          <w:rFonts w:ascii="Times New Roman" w:hAnsi="Times New Roman"/>
          <w:iCs/>
        </w:rPr>
        <w:t>Estimated Aggregate Annual Cost: $</w:t>
      </w:r>
      <w:r>
        <w:rPr>
          <w:rFonts w:ascii="Times New Roman" w:hAnsi="Times New Roman"/>
          <w:iCs/>
        </w:rPr>
        <w:t>2</w:t>
      </w:r>
      <w:r w:rsidR="00D60E6A">
        <w:rPr>
          <w:rFonts w:ascii="Times New Roman" w:hAnsi="Times New Roman"/>
          <w:iCs/>
        </w:rPr>
        <w:t>39,</w:t>
      </w:r>
      <w:r w:rsidR="005D2F75">
        <w:rPr>
          <w:rFonts w:ascii="Times New Roman" w:hAnsi="Times New Roman"/>
          <w:iCs/>
        </w:rPr>
        <w:t>670</w:t>
      </w:r>
      <w:r w:rsidR="00D60E6A">
        <w:rPr>
          <w:rFonts w:ascii="Times New Roman" w:hAnsi="Times New Roman"/>
          <w:iCs/>
        </w:rPr>
        <w:t>,000</w:t>
      </w:r>
    </w:p>
    <w:p w:rsidR="00C25319" w:rsidP="00A65BD1" w14:paraId="0A494A4F" w14:textId="6D8225AC">
      <w:pPr>
        <w:spacing w:after="120"/>
        <w:rPr>
          <w:rFonts w:ascii="Times New Roman" w:hAnsi="Times New Roman"/>
          <w:iCs/>
        </w:rPr>
      </w:pPr>
      <w:r>
        <w:rPr>
          <w:rFonts w:ascii="Times New Roman" w:hAnsi="Times New Roman"/>
          <w:iCs/>
        </w:rPr>
        <w:t xml:space="preserve">Estimated Annual Responses: </w:t>
      </w:r>
      <w:r>
        <w:rPr>
          <w:rFonts w:ascii="Times New Roman" w:hAnsi="Times New Roman"/>
        </w:rPr>
        <w:t>17,386,420</w:t>
      </w:r>
    </w:p>
    <w:p w:rsidR="002613F5" w:rsidP="00A65BD1" w14:paraId="2D95C377" w14:textId="69A56CBC">
      <w:pPr>
        <w:spacing w:after="120"/>
        <w:rPr>
          <w:rFonts w:ascii="Times New Roman" w:hAnsi="Times New Roman"/>
          <w:iCs/>
        </w:rPr>
      </w:pPr>
      <w:r w:rsidRPr="008824E8">
        <w:rPr>
          <w:rFonts w:ascii="Times New Roman" w:hAnsi="Times New Roman"/>
          <w:iCs/>
        </w:rPr>
        <w:t>% of Responses Collected Electronically: 100%</w:t>
      </w:r>
    </w:p>
    <w:p w:rsidR="003C1818" w:rsidRPr="0098266E" w:rsidP="008313B4" w14:paraId="49A6E6E2" w14:textId="7794CFA8">
      <w:r w:rsidRPr="009E7BE3">
        <w:rPr>
          <w:rFonts w:ascii="Times New Roman" w:hAnsi="Times New Roman"/>
          <w:iCs/>
        </w:rPr>
        <w:t>There are no start-up or operations and maintenance costs</w:t>
      </w:r>
      <w:r w:rsidRPr="009E7BE3">
        <w:rPr>
          <w:rFonts w:ascii="Times New Roman" w:hAnsi="Times New Roman"/>
          <w:iCs/>
        </w:rPr>
        <w:t xml:space="preserve"> </w:t>
      </w:r>
      <w:r w:rsidRPr="009E7BE3">
        <w:rPr>
          <w:rFonts w:ascii="Times New Roman" w:hAnsi="Times New Roman"/>
          <w:iCs/>
        </w:rPr>
        <w:t>involved with this collection.</w:t>
      </w:r>
    </w:p>
    <w:sectPr w:rsidSect="00A65BD1">
      <w:footnotePr>
        <w:numRestart w:val="eachSect"/>
      </w:footnotePr>
      <w:pgSz w:w="15840" w:h="12240" w:orient="landscape"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Optimum">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563" w14:paraId="72504882" w14:textId="77777777">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BC1DAE">
      <w:rPr>
        <w:rFonts w:ascii="Times New Roman" w:hAnsi="Times New Roman"/>
        <w:noProof/>
        <w:sz w:val="20"/>
        <w:szCs w:val="20"/>
      </w:rPr>
      <w:t>10</w:t>
    </w:r>
    <w:r>
      <w:rPr>
        <w:rFonts w:ascii="Times New Roman" w:hAnsi="Times New Roman"/>
        <w:sz w:val="20"/>
        <w:szCs w:val="20"/>
      </w:rPr>
      <w:fldChar w:fldCharType="end"/>
    </w:r>
  </w:p>
  <w:p w:rsidR="00312563" w14:paraId="725048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70FC0" w14:paraId="5B0838D4" w14:textId="77777777">
      <w:r>
        <w:separator/>
      </w:r>
    </w:p>
  </w:footnote>
  <w:footnote w:type="continuationSeparator" w:id="1">
    <w:p w:rsidR="00370FC0" w14:paraId="6F71A0E5" w14:textId="77777777">
      <w:r>
        <w:continuationSeparator/>
      </w:r>
    </w:p>
  </w:footnote>
  <w:footnote w:type="continuationNotice" w:id="2">
    <w:p w:rsidR="00370FC0" w14:paraId="456C78A5" w14:textId="77777777"/>
  </w:footnote>
  <w:footnote w:id="3">
    <w:p w:rsidR="00B83463" w:rsidRPr="001F5A93" w:rsidP="001F5A93" w14:paraId="6BAE6DF4" w14:textId="7F180DB0">
      <w:pPr>
        <w:pStyle w:val="FootnoteText"/>
        <w:spacing w:after="120"/>
        <w:rPr>
          <w:sz w:val="20"/>
        </w:rPr>
      </w:pPr>
      <w:r w:rsidRPr="001F5A93">
        <w:rPr>
          <w:rStyle w:val="FootnoteReference"/>
          <w:sz w:val="20"/>
        </w:rPr>
        <w:footnoteRef/>
      </w:r>
      <w:r w:rsidRPr="001F5A93">
        <w:rPr>
          <w:sz w:val="20"/>
        </w:rPr>
        <w:t xml:space="preserve"> </w:t>
      </w:r>
      <w:r w:rsidRPr="001F5A93" w:rsidR="0096721D">
        <w:rPr>
          <w:sz w:val="20"/>
        </w:rPr>
        <w:t>Adaptation of Regulations to Incorporate Swaps, 77 FR 66288 (Nov. 2, 2012)</w:t>
      </w:r>
      <w:r w:rsidRPr="001F5A93" w:rsidR="008371C3">
        <w:rPr>
          <w:sz w:val="20"/>
        </w:rPr>
        <w:t>.</w:t>
      </w:r>
    </w:p>
  </w:footnote>
  <w:footnote w:id="4">
    <w:p w:rsidR="008371C3" w:rsidRPr="001F5A93" w:rsidP="001F5A93" w14:paraId="198D71E5" w14:textId="77777777">
      <w:pPr>
        <w:pStyle w:val="FootnoteText"/>
        <w:spacing w:after="120"/>
        <w:rPr>
          <w:sz w:val="20"/>
        </w:rPr>
      </w:pPr>
      <w:r w:rsidRPr="001F5A93">
        <w:rPr>
          <w:rStyle w:val="FootnoteReference"/>
          <w:sz w:val="20"/>
        </w:rPr>
        <w:footnoteRef/>
      </w:r>
      <w:r w:rsidRPr="001F5A93">
        <w:rPr>
          <w:sz w:val="20"/>
        </w:rPr>
        <w:t xml:space="preserve"> Exclusion of Utility Operations-Related Swaps With Utility Special Entities From De Minimis Threshold for Swaps With Special Entities, 79 FR 57767 (Sept. 26, 2014).</w:t>
      </w:r>
    </w:p>
  </w:footnote>
  <w:footnote w:id="5">
    <w:p w:rsidR="00B37E70" w:rsidRPr="001F5A93" w:rsidP="001F5A93" w14:paraId="5ED0FACC" w14:textId="4945C536">
      <w:pPr>
        <w:pStyle w:val="FootnoteText"/>
        <w:spacing w:after="120"/>
        <w:rPr>
          <w:sz w:val="20"/>
        </w:rPr>
      </w:pPr>
      <w:r w:rsidRPr="001F5A93">
        <w:rPr>
          <w:rStyle w:val="FootnoteReference"/>
          <w:sz w:val="20"/>
        </w:rPr>
        <w:footnoteRef/>
      </w:r>
      <w:r w:rsidRPr="001F5A93">
        <w:rPr>
          <w:sz w:val="20"/>
        </w:rPr>
        <w:t xml:space="preserve"> Regulation 1.31 dictates the form and </w:t>
      </w:r>
      <w:r w:rsidRPr="001F5A93">
        <w:rPr>
          <w:sz w:val="20"/>
        </w:rPr>
        <w:t>manner in which certain records are kept.  The costs of maintaining records in the required formats are embedded in the costs of the substantive recordkeeping requirements and are therefore not calculated separately in this collection.</w:t>
      </w:r>
    </w:p>
  </w:footnote>
  <w:footnote w:id="6">
    <w:p w:rsidR="00FB5E5F" w:rsidRPr="009B72DD" w14:paraId="46A9A9E5" w14:textId="13794CE6">
      <w:pPr>
        <w:pStyle w:val="FootnoteText"/>
        <w:rPr>
          <w:sz w:val="20"/>
        </w:rPr>
      </w:pPr>
      <w:r>
        <w:rPr>
          <w:rStyle w:val="FootnoteReference"/>
        </w:rPr>
        <w:footnoteRef/>
      </w:r>
      <w:r>
        <w:t xml:space="preserve"> </w:t>
      </w:r>
      <w:r w:rsidRPr="009B72DD" w:rsidR="00DF0FDA">
        <w:rPr>
          <w:sz w:val="20"/>
        </w:rPr>
        <w:t>CFTC, Comment No. 114087 (Mar. 24, 2</w:t>
      </w:r>
      <w:r w:rsidR="00364972">
        <w:rPr>
          <w:sz w:val="20"/>
        </w:rPr>
        <w:t>0</w:t>
      </w:r>
      <w:r w:rsidRPr="009B72DD" w:rsidR="00DF0FDA">
        <w:rPr>
          <w:sz w:val="20"/>
        </w:rPr>
        <w:t>26), available at</w:t>
      </w:r>
      <w:r w:rsidR="009B72DD">
        <w:rPr>
          <w:sz w:val="20"/>
        </w:rPr>
        <w:t xml:space="preserve"> </w:t>
      </w:r>
      <w:hyperlink r:id="rId1" w:history="1">
        <w:r w:rsidRPr="00FE06F4" w:rsidR="009B72DD">
          <w:rPr>
            <w:rStyle w:val="Hyperlink"/>
            <w:b w:val="0"/>
            <w:bCs w:val="0"/>
            <w:i/>
            <w:iCs/>
            <w:color w:val="auto"/>
            <w:sz w:val="20"/>
          </w:rPr>
          <w:t>https://comments.cftc.gov/PublicComments/ViewComment.aspx?id=114087</w:t>
        </w:r>
      </w:hyperlink>
      <w:r w:rsidRPr="009B72DD" w:rsidR="00DF0FDA">
        <w:rPr>
          <w:sz w:val="20"/>
        </w:rPr>
        <w:t>.</w:t>
      </w:r>
    </w:p>
  </w:footnote>
  <w:footnote w:id="7">
    <w:p w:rsidR="00FB5DFC" w:rsidRPr="001F5A93" w:rsidP="001F5A93" w14:paraId="4B18651E" w14:textId="13B588CC">
      <w:pPr>
        <w:pStyle w:val="FootnoteText"/>
        <w:spacing w:after="120"/>
        <w:rPr>
          <w:sz w:val="20"/>
        </w:rPr>
      </w:pPr>
      <w:r w:rsidRPr="001F5A93">
        <w:rPr>
          <w:rStyle w:val="FootnoteReference"/>
          <w:sz w:val="20"/>
        </w:rPr>
        <w:footnoteRef/>
      </w:r>
      <w:r w:rsidRPr="001F5A93">
        <w:rPr>
          <w:sz w:val="20"/>
        </w:rPr>
        <w:t xml:space="preserve"> </w:t>
      </w:r>
      <w:bookmarkStart w:id="0" w:name="_Hlk135122767"/>
      <w:r w:rsidRPr="001F5A93">
        <w:rPr>
          <w:sz w:val="20"/>
        </w:rPr>
        <w:t>The Commission acknowledges that some ent</w:t>
      </w:r>
      <w:r w:rsidRPr="001F5A93" w:rsidR="00F5038F">
        <w:rPr>
          <w:sz w:val="20"/>
        </w:rPr>
        <w:t xml:space="preserve">ities may be </w:t>
      </w:r>
      <w:r w:rsidR="004B5CA2">
        <w:rPr>
          <w:sz w:val="20"/>
        </w:rPr>
        <w:t>included in multiple categories</w:t>
      </w:r>
      <w:r w:rsidRPr="001F5A93">
        <w:rPr>
          <w:sz w:val="20"/>
        </w:rPr>
        <w:t>.  For example, an FCM may be a member of a SEF.</w:t>
      </w:r>
      <w:bookmarkEnd w:id="0"/>
    </w:p>
  </w:footnote>
  <w:footnote w:id="8">
    <w:p w:rsidR="004268F5" w:rsidRPr="001F5A93" w:rsidP="001F5A93" w14:paraId="7BF455BE" w14:textId="56D8D022">
      <w:pPr>
        <w:pStyle w:val="FootnoteText"/>
        <w:spacing w:after="120"/>
        <w:rPr>
          <w:sz w:val="20"/>
        </w:rPr>
      </w:pPr>
      <w:r w:rsidRPr="001F5A93">
        <w:rPr>
          <w:rStyle w:val="FootnoteReference"/>
          <w:sz w:val="20"/>
        </w:rPr>
        <w:footnoteRef/>
      </w:r>
      <w:r w:rsidRPr="001F5A93">
        <w:rPr>
          <w:sz w:val="20"/>
        </w:rPr>
        <w:t xml:space="preserve"> This estimate was derived from the Commission’s Weekly Swaps Report, which is published on its website at https://www.cftc.gov/MarketReports/SwapsReports/index.htm.  Accordingly, such estimate excludes equity and commodity swaps.  Certain estimates in Attachment A may vary slightly due to rounding.</w:t>
      </w:r>
    </w:p>
  </w:footnote>
  <w:footnote w:id="9">
    <w:p w:rsidR="008824E8" w14:paraId="0B5634C2" w14:textId="56A21ED6">
      <w:pPr>
        <w:pStyle w:val="FootnoteText"/>
      </w:pPr>
      <w:r>
        <w:rPr>
          <w:rStyle w:val="FootnoteReference"/>
        </w:rPr>
        <w:footnoteRef/>
      </w:r>
      <w:r>
        <w:t xml:space="preserve"> </w:t>
      </w:r>
      <w:r w:rsidRPr="00920DFD" w:rsidR="00920DFD">
        <w:rPr>
          <w:sz w:val="20"/>
        </w:rPr>
        <w:t>The Commission</w:t>
      </w:r>
      <w:r w:rsidR="00920DFD">
        <w:t xml:space="preserve"> </w:t>
      </w:r>
      <w:r w:rsidR="00920DFD">
        <w:rPr>
          <w:sz w:val="20"/>
        </w:rPr>
        <w:t xml:space="preserve">derives its estimate of $100 by averaging these wage rates and then rounding upward to $100.  </w:t>
      </w:r>
      <w:r w:rsidRPr="00FC2510">
        <w:rPr>
          <w:sz w:val="20"/>
        </w:rPr>
        <w:t>See Securities, Commodity Contracts, and Other Financial Investments and Related Activities - May 2024 Occupational Employment and Wage Statistics Quest System Occupational Employment and Wage Statistics (bls.gov), available at https://data.bls.gov/oes/#/industry/523000 (last visited Nov. 13, 2025).</w:t>
      </w:r>
    </w:p>
  </w:footnote>
  <w:footnote w:id="10">
    <w:p w:rsidR="00634489" w:rsidRPr="001F5A93" w:rsidP="001F5A93" w14:paraId="5A8566D5" w14:textId="1CCE8436">
      <w:pPr>
        <w:pStyle w:val="FootnoteText"/>
        <w:spacing w:after="120"/>
        <w:rPr>
          <w:sz w:val="20"/>
        </w:rPr>
      </w:pPr>
      <w:r w:rsidRPr="001F5A93">
        <w:rPr>
          <w:rStyle w:val="FootnoteReference"/>
          <w:sz w:val="20"/>
        </w:rPr>
        <w:footnoteRef/>
      </w:r>
      <w:r w:rsidRPr="001F5A93">
        <w:rPr>
          <w:sz w:val="20"/>
        </w:rPr>
        <w:t xml:space="preserve"> Estimated number of FCMs (6</w:t>
      </w:r>
      <w:r w:rsidR="00F13A32">
        <w:rPr>
          <w:sz w:val="20"/>
        </w:rPr>
        <w:t>7</w:t>
      </w:r>
      <w:r w:rsidRPr="001F5A93">
        <w:rPr>
          <w:sz w:val="20"/>
        </w:rPr>
        <w:t xml:space="preserve">), IBs </w:t>
      </w:r>
      <w:r w:rsidRPr="001F5A93" w:rsidR="000C490E">
        <w:rPr>
          <w:sz w:val="20"/>
        </w:rPr>
        <w:t>(</w:t>
      </w:r>
      <w:r w:rsidR="00F13A32">
        <w:rPr>
          <w:sz w:val="20"/>
        </w:rPr>
        <w:t>890</w:t>
      </w:r>
      <w:r w:rsidRPr="001F5A93">
        <w:rPr>
          <w:sz w:val="20"/>
        </w:rPr>
        <w:t>), RFEDs (</w:t>
      </w:r>
      <w:r w:rsidRPr="001F5A93" w:rsidR="000C490E">
        <w:rPr>
          <w:sz w:val="20"/>
        </w:rPr>
        <w:t>4</w:t>
      </w:r>
      <w:r w:rsidRPr="001F5A93">
        <w:rPr>
          <w:sz w:val="20"/>
        </w:rPr>
        <w:t>), DCM members (11,500), and SEF members (1,000).  The Commission notes that some entities may be included in multiple categories.</w:t>
      </w:r>
    </w:p>
  </w:footnote>
  <w:footnote w:id="11">
    <w:p w:rsidR="007075F5" w:rsidRPr="001F5A93" w:rsidP="001F5A93" w14:paraId="0F4B2081" w14:textId="01DA3FFF">
      <w:pPr>
        <w:pStyle w:val="FootnoteText"/>
        <w:spacing w:after="120"/>
        <w:rPr>
          <w:sz w:val="20"/>
        </w:rPr>
      </w:pPr>
      <w:r w:rsidRPr="001F5A93">
        <w:rPr>
          <w:rStyle w:val="FootnoteReference"/>
          <w:sz w:val="20"/>
        </w:rPr>
        <w:footnoteRef/>
      </w:r>
      <w:r w:rsidRPr="001F5A93">
        <w:rPr>
          <w:sz w:val="20"/>
        </w:rPr>
        <w:t xml:space="preserve"> Total trading days per year.</w:t>
      </w:r>
    </w:p>
  </w:footnote>
  <w:footnote w:id="12">
    <w:p w:rsidR="00FA58E0" w:rsidRPr="001F5A93" w:rsidP="001F5A93" w14:paraId="66FDCB75" w14:textId="2B14473E">
      <w:pPr>
        <w:pStyle w:val="FootnoteText"/>
        <w:spacing w:after="120"/>
        <w:rPr>
          <w:sz w:val="20"/>
        </w:rPr>
      </w:pPr>
      <w:r w:rsidRPr="001F5A93">
        <w:rPr>
          <w:rStyle w:val="FootnoteReference"/>
          <w:sz w:val="20"/>
        </w:rPr>
        <w:footnoteRef/>
      </w:r>
      <w:r w:rsidRPr="001F5A93">
        <w:rPr>
          <w:sz w:val="20"/>
        </w:rPr>
        <w:t xml:space="preserve"> </w:t>
      </w:r>
      <w:r w:rsidR="00306628">
        <w:rPr>
          <w:sz w:val="20"/>
        </w:rPr>
        <w:t>As described in the response to Question 12, t</w:t>
      </w:r>
      <w:r w:rsidRPr="001F5A93">
        <w:rPr>
          <w:sz w:val="20"/>
        </w:rPr>
        <w:t>he costs in this supporting statement were determined using an average salary of $100 per hour.</w:t>
      </w:r>
    </w:p>
  </w:footnote>
  <w:footnote w:id="13">
    <w:p w:rsidR="00AF129B" w:rsidRPr="00634489" w:rsidP="004F5458" w14:paraId="7358284E" w14:textId="5748F987">
      <w:pPr>
        <w:pStyle w:val="FootnoteText"/>
        <w:spacing w:after="120"/>
        <w:rPr>
          <w:sz w:val="20"/>
        </w:rPr>
      </w:pPr>
      <w:r w:rsidRPr="001F5A93">
        <w:rPr>
          <w:rStyle w:val="FootnoteReference"/>
          <w:sz w:val="20"/>
        </w:rPr>
        <w:footnoteRef/>
      </w:r>
      <w:r w:rsidRPr="001F5A93">
        <w:rPr>
          <w:sz w:val="20"/>
        </w:rPr>
        <w:t xml:space="preserve"> Number of registered FCMs.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38773F"/>
    <w:multiLevelType w:val="hybridMultilevel"/>
    <w:tmpl w:val="1A5A3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start w:val="1"/>
      <w:numFmt w:val="bullet"/>
      <w:lvlText w:val="•"/>
      <w:lvlJc w:val="left"/>
      <w:pPr>
        <w:tabs>
          <w:tab w:val="num" w:pos="936"/>
        </w:tabs>
        <w:ind w:left="936" w:hanging="216"/>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04767150">
    <w:abstractNumId w:val="1"/>
  </w:num>
  <w:num w:numId="2" w16cid:durableId="1050422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rawingGridHorizontalSpacing w:val="57"/>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97"/>
    <w:rsid w:val="0000084E"/>
    <w:rsid w:val="000010C7"/>
    <w:rsid w:val="00002403"/>
    <w:rsid w:val="00012940"/>
    <w:rsid w:val="00020CEA"/>
    <w:rsid w:val="00020F8D"/>
    <w:rsid w:val="00022F1F"/>
    <w:rsid w:val="0002794B"/>
    <w:rsid w:val="00032D8B"/>
    <w:rsid w:val="00041771"/>
    <w:rsid w:val="0004202D"/>
    <w:rsid w:val="00042781"/>
    <w:rsid w:val="00042979"/>
    <w:rsid w:val="00042BC8"/>
    <w:rsid w:val="00043086"/>
    <w:rsid w:val="00057196"/>
    <w:rsid w:val="0006006C"/>
    <w:rsid w:val="000638DE"/>
    <w:rsid w:val="00064EAC"/>
    <w:rsid w:val="00066884"/>
    <w:rsid w:val="00072B64"/>
    <w:rsid w:val="0007531B"/>
    <w:rsid w:val="000776D2"/>
    <w:rsid w:val="00077762"/>
    <w:rsid w:val="00077F85"/>
    <w:rsid w:val="00080C00"/>
    <w:rsid w:val="00083EF4"/>
    <w:rsid w:val="00084336"/>
    <w:rsid w:val="00084F0F"/>
    <w:rsid w:val="00086730"/>
    <w:rsid w:val="00090B9C"/>
    <w:rsid w:val="00090D77"/>
    <w:rsid w:val="000939F1"/>
    <w:rsid w:val="000949DB"/>
    <w:rsid w:val="00096B6E"/>
    <w:rsid w:val="000A07AA"/>
    <w:rsid w:val="000A54F2"/>
    <w:rsid w:val="000A553C"/>
    <w:rsid w:val="000A5CCA"/>
    <w:rsid w:val="000A5E73"/>
    <w:rsid w:val="000A6AC0"/>
    <w:rsid w:val="000A7D2A"/>
    <w:rsid w:val="000B23B8"/>
    <w:rsid w:val="000C04EE"/>
    <w:rsid w:val="000C1A72"/>
    <w:rsid w:val="000C490E"/>
    <w:rsid w:val="000C5FF8"/>
    <w:rsid w:val="000C61C3"/>
    <w:rsid w:val="000C77F9"/>
    <w:rsid w:val="000C7A94"/>
    <w:rsid w:val="000D1EC3"/>
    <w:rsid w:val="000D33C7"/>
    <w:rsid w:val="000D38FD"/>
    <w:rsid w:val="000E0E76"/>
    <w:rsid w:val="000E26E1"/>
    <w:rsid w:val="000F0512"/>
    <w:rsid w:val="000F2548"/>
    <w:rsid w:val="000F5FC2"/>
    <w:rsid w:val="00100A4C"/>
    <w:rsid w:val="00100DFB"/>
    <w:rsid w:val="00101D8F"/>
    <w:rsid w:val="00102964"/>
    <w:rsid w:val="00104536"/>
    <w:rsid w:val="00107020"/>
    <w:rsid w:val="001107FA"/>
    <w:rsid w:val="0011384E"/>
    <w:rsid w:val="001146E5"/>
    <w:rsid w:val="001156E1"/>
    <w:rsid w:val="0011696F"/>
    <w:rsid w:val="001249F2"/>
    <w:rsid w:val="0012686E"/>
    <w:rsid w:val="00126A4D"/>
    <w:rsid w:val="00126BF1"/>
    <w:rsid w:val="00127669"/>
    <w:rsid w:val="001312F8"/>
    <w:rsid w:val="0013292C"/>
    <w:rsid w:val="00133A9A"/>
    <w:rsid w:val="00134849"/>
    <w:rsid w:val="00135509"/>
    <w:rsid w:val="0013783B"/>
    <w:rsid w:val="00141F17"/>
    <w:rsid w:val="00151DCE"/>
    <w:rsid w:val="00154D73"/>
    <w:rsid w:val="00161878"/>
    <w:rsid w:val="00161CCE"/>
    <w:rsid w:val="00162290"/>
    <w:rsid w:val="00162D7F"/>
    <w:rsid w:val="00170F85"/>
    <w:rsid w:val="00173B23"/>
    <w:rsid w:val="00176678"/>
    <w:rsid w:val="001807BB"/>
    <w:rsid w:val="0018491C"/>
    <w:rsid w:val="00193D5C"/>
    <w:rsid w:val="0019725E"/>
    <w:rsid w:val="001A03D7"/>
    <w:rsid w:val="001A2D7F"/>
    <w:rsid w:val="001A3088"/>
    <w:rsid w:val="001A58EE"/>
    <w:rsid w:val="001B2AC3"/>
    <w:rsid w:val="001B31E4"/>
    <w:rsid w:val="001B32E5"/>
    <w:rsid w:val="001C0058"/>
    <w:rsid w:val="001C18BF"/>
    <w:rsid w:val="001C3AD5"/>
    <w:rsid w:val="001C59A1"/>
    <w:rsid w:val="001C5FE6"/>
    <w:rsid w:val="001D172F"/>
    <w:rsid w:val="001D6206"/>
    <w:rsid w:val="001E1F52"/>
    <w:rsid w:val="001E5A77"/>
    <w:rsid w:val="001E5C19"/>
    <w:rsid w:val="001E6B62"/>
    <w:rsid w:val="001F1A7F"/>
    <w:rsid w:val="001F3576"/>
    <w:rsid w:val="001F5A93"/>
    <w:rsid w:val="001F7836"/>
    <w:rsid w:val="001F7D83"/>
    <w:rsid w:val="00200415"/>
    <w:rsid w:val="002008AD"/>
    <w:rsid w:val="00202754"/>
    <w:rsid w:val="002040C5"/>
    <w:rsid w:val="00207BF1"/>
    <w:rsid w:val="00211535"/>
    <w:rsid w:val="0022145A"/>
    <w:rsid w:val="0023134F"/>
    <w:rsid w:val="0023195D"/>
    <w:rsid w:val="00231DF7"/>
    <w:rsid w:val="0023422B"/>
    <w:rsid w:val="002342CD"/>
    <w:rsid w:val="00235507"/>
    <w:rsid w:val="002420F0"/>
    <w:rsid w:val="00246702"/>
    <w:rsid w:val="0024756E"/>
    <w:rsid w:val="0025526D"/>
    <w:rsid w:val="00256FDC"/>
    <w:rsid w:val="002606C0"/>
    <w:rsid w:val="002613F5"/>
    <w:rsid w:val="002624FF"/>
    <w:rsid w:val="002643B9"/>
    <w:rsid w:val="00266FD7"/>
    <w:rsid w:val="002720FE"/>
    <w:rsid w:val="00276280"/>
    <w:rsid w:val="0028022A"/>
    <w:rsid w:val="002804D6"/>
    <w:rsid w:val="00280601"/>
    <w:rsid w:val="00280B0A"/>
    <w:rsid w:val="00286977"/>
    <w:rsid w:val="0028705B"/>
    <w:rsid w:val="00291570"/>
    <w:rsid w:val="00293C4E"/>
    <w:rsid w:val="002A0792"/>
    <w:rsid w:val="002A14F9"/>
    <w:rsid w:val="002A439B"/>
    <w:rsid w:val="002A7D2A"/>
    <w:rsid w:val="002A7FEC"/>
    <w:rsid w:val="002B5811"/>
    <w:rsid w:val="002C3693"/>
    <w:rsid w:val="002C3FD9"/>
    <w:rsid w:val="002C4B37"/>
    <w:rsid w:val="002D3535"/>
    <w:rsid w:val="002D38D5"/>
    <w:rsid w:val="002D42F1"/>
    <w:rsid w:val="002D57B5"/>
    <w:rsid w:val="002D69FC"/>
    <w:rsid w:val="002E7B9E"/>
    <w:rsid w:val="002F06C4"/>
    <w:rsid w:val="002F241F"/>
    <w:rsid w:val="002F609F"/>
    <w:rsid w:val="003022AF"/>
    <w:rsid w:val="00306628"/>
    <w:rsid w:val="00312563"/>
    <w:rsid w:val="00313455"/>
    <w:rsid w:val="0031587D"/>
    <w:rsid w:val="00316B98"/>
    <w:rsid w:val="00317199"/>
    <w:rsid w:val="003303F3"/>
    <w:rsid w:val="00330F30"/>
    <w:rsid w:val="00331A42"/>
    <w:rsid w:val="00332877"/>
    <w:rsid w:val="00332F79"/>
    <w:rsid w:val="00333E60"/>
    <w:rsid w:val="00340784"/>
    <w:rsid w:val="00340907"/>
    <w:rsid w:val="00340F14"/>
    <w:rsid w:val="0034263D"/>
    <w:rsid w:val="003426A6"/>
    <w:rsid w:val="0034535B"/>
    <w:rsid w:val="00345D7B"/>
    <w:rsid w:val="00347731"/>
    <w:rsid w:val="0035425F"/>
    <w:rsid w:val="00357332"/>
    <w:rsid w:val="00357745"/>
    <w:rsid w:val="00360D26"/>
    <w:rsid w:val="0036205D"/>
    <w:rsid w:val="003644D2"/>
    <w:rsid w:val="003647C6"/>
    <w:rsid w:val="00364972"/>
    <w:rsid w:val="00365E5E"/>
    <w:rsid w:val="0036689C"/>
    <w:rsid w:val="00366FA5"/>
    <w:rsid w:val="00370FC0"/>
    <w:rsid w:val="0037190F"/>
    <w:rsid w:val="00372BCE"/>
    <w:rsid w:val="00373441"/>
    <w:rsid w:val="0037591B"/>
    <w:rsid w:val="00377410"/>
    <w:rsid w:val="00382E55"/>
    <w:rsid w:val="003834F1"/>
    <w:rsid w:val="00384964"/>
    <w:rsid w:val="00385C2B"/>
    <w:rsid w:val="0038749F"/>
    <w:rsid w:val="0038765A"/>
    <w:rsid w:val="003917D8"/>
    <w:rsid w:val="00391BB5"/>
    <w:rsid w:val="003926FD"/>
    <w:rsid w:val="0039272C"/>
    <w:rsid w:val="0039389F"/>
    <w:rsid w:val="00393A6E"/>
    <w:rsid w:val="003A2198"/>
    <w:rsid w:val="003A3EF5"/>
    <w:rsid w:val="003A46F9"/>
    <w:rsid w:val="003A6064"/>
    <w:rsid w:val="003A6753"/>
    <w:rsid w:val="003A73EC"/>
    <w:rsid w:val="003A7581"/>
    <w:rsid w:val="003B2C78"/>
    <w:rsid w:val="003B4927"/>
    <w:rsid w:val="003B5584"/>
    <w:rsid w:val="003C02D2"/>
    <w:rsid w:val="003C1818"/>
    <w:rsid w:val="003C1A6A"/>
    <w:rsid w:val="003C2826"/>
    <w:rsid w:val="003C4F9C"/>
    <w:rsid w:val="003D2DAF"/>
    <w:rsid w:val="003D64F0"/>
    <w:rsid w:val="003E5A3E"/>
    <w:rsid w:val="003E662A"/>
    <w:rsid w:val="003F0BF0"/>
    <w:rsid w:val="003F40AE"/>
    <w:rsid w:val="003F64FA"/>
    <w:rsid w:val="003F6E58"/>
    <w:rsid w:val="003F7819"/>
    <w:rsid w:val="004029DF"/>
    <w:rsid w:val="00413CBB"/>
    <w:rsid w:val="004148CC"/>
    <w:rsid w:val="00415D51"/>
    <w:rsid w:val="004166A3"/>
    <w:rsid w:val="004230FA"/>
    <w:rsid w:val="004268F5"/>
    <w:rsid w:val="00426C5A"/>
    <w:rsid w:val="00427520"/>
    <w:rsid w:val="00431503"/>
    <w:rsid w:val="0043168A"/>
    <w:rsid w:val="00432074"/>
    <w:rsid w:val="00432704"/>
    <w:rsid w:val="00432927"/>
    <w:rsid w:val="0043359F"/>
    <w:rsid w:val="00435879"/>
    <w:rsid w:val="00437C1A"/>
    <w:rsid w:val="004405EB"/>
    <w:rsid w:val="00441784"/>
    <w:rsid w:val="004437A8"/>
    <w:rsid w:val="0045014B"/>
    <w:rsid w:val="0045054D"/>
    <w:rsid w:val="004511A2"/>
    <w:rsid w:val="004570FB"/>
    <w:rsid w:val="004579FC"/>
    <w:rsid w:val="004606E2"/>
    <w:rsid w:val="00463F2C"/>
    <w:rsid w:val="00476807"/>
    <w:rsid w:val="004835D2"/>
    <w:rsid w:val="00483D48"/>
    <w:rsid w:val="00484020"/>
    <w:rsid w:val="00487D0B"/>
    <w:rsid w:val="0049046F"/>
    <w:rsid w:val="004A1CCF"/>
    <w:rsid w:val="004A318D"/>
    <w:rsid w:val="004A6916"/>
    <w:rsid w:val="004A7768"/>
    <w:rsid w:val="004A7960"/>
    <w:rsid w:val="004A796E"/>
    <w:rsid w:val="004B3F9D"/>
    <w:rsid w:val="004B4FEA"/>
    <w:rsid w:val="004B5CA2"/>
    <w:rsid w:val="004C0B75"/>
    <w:rsid w:val="004C2A1F"/>
    <w:rsid w:val="004C4565"/>
    <w:rsid w:val="004C7525"/>
    <w:rsid w:val="004D4EF9"/>
    <w:rsid w:val="004D7528"/>
    <w:rsid w:val="004D789F"/>
    <w:rsid w:val="004E306E"/>
    <w:rsid w:val="004E360A"/>
    <w:rsid w:val="004E5485"/>
    <w:rsid w:val="004E6AE2"/>
    <w:rsid w:val="004E6BC6"/>
    <w:rsid w:val="004E731B"/>
    <w:rsid w:val="004F15A5"/>
    <w:rsid w:val="004F5458"/>
    <w:rsid w:val="004F60EB"/>
    <w:rsid w:val="004F750F"/>
    <w:rsid w:val="005065D8"/>
    <w:rsid w:val="0050748B"/>
    <w:rsid w:val="00507E27"/>
    <w:rsid w:val="00511B2D"/>
    <w:rsid w:val="00513D59"/>
    <w:rsid w:val="00513E2A"/>
    <w:rsid w:val="00515EF7"/>
    <w:rsid w:val="00516BE5"/>
    <w:rsid w:val="0052021D"/>
    <w:rsid w:val="00520A00"/>
    <w:rsid w:val="005266B9"/>
    <w:rsid w:val="00527E7E"/>
    <w:rsid w:val="00536D42"/>
    <w:rsid w:val="00540F12"/>
    <w:rsid w:val="00542663"/>
    <w:rsid w:val="00543609"/>
    <w:rsid w:val="00544317"/>
    <w:rsid w:val="00544B54"/>
    <w:rsid w:val="00550C4E"/>
    <w:rsid w:val="00552D63"/>
    <w:rsid w:val="0055504C"/>
    <w:rsid w:val="005556BF"/>
    <w:rsid w:val="0055654B"/>
    <w:rsid w:val="00556C4D"/>
    <w:rsid w:val="0055785C"/>
    <w:rsid w:val="00561E1D"/>
    <w:rsid w:val="00563112"/>
    <w:rsid w:val="0057254D"/>
    <w:rsid w:val="00574A42"/>
    <w:rsid w:val="005754AE"/>
    <w:rsid w:val="005758BB"/>
    <w:rsid w:val="00580182"/>
    <w:rsid w:val="0058242E"/>
    <w:rsid w:val="00583BC3"/>
    <w:rsid w:val="00587B3D"/>
    <w:rsid w:val="00591754"/>
    <w:rsid w:val="00591C49"/>
    <w:rsid w:val="005938C1"/>
    <w:rsid w:val="005A0F94"/>
    <w:rsid w:val="005A1221"/>
    <w:rsid w:val="005A26D0"/>
    <w:rsid w:val="005A6C77"/>
    <w:rsid w:val="005B11FC"/>
    <w:rsid w:val="005B1B1F"/>
    <w:rsid w:val="005B458E"/>
    <w:rsid w:val="005B548E"/>
    <w:rsid w:val="005B57C3"/>
    <w:rsid w:val="005B59C3"/>
    <w:rsid w:val="005B59E7"/>
    <w:rsid w:val="005D2F75"/>
    <w:rsid w:val="005D349F"/>
    <w:rsid w:val="005D454D"/>
    <w:rsid w:val="005D6E0D"/>
    <w:rsid w:val="005D6F81"/>
    <w:rsid w:val="005D7FFB"/>
    <w:rsid w:val="005E3128"/>
    <w:rsid w:val="005E3DB8"/>
    <w:rsid w:val="005E4759"/>
    <w:rsid w:val="005E7C1D"/>
    <w:rsid w:val="005F4F54"/>
    <w:rsid w:val="005F5CC0"/>
    <w:rsid w:val="005F6387"/>
    <w:rsid w:val="005F6AF9"/>
    <w:rsid w:val="006007CB"/>
    <w:rsid w:val="00605E4E"/>
    <w:rsid w:val="00607629"/>
    <w:rsid w:val="00610EAA"/>
    <w:rsid w:val="006145D5"/>
    <w:rsid w:val="00615E81"/>
    <w:rsid w:val="006220D9"/>
    <w:rsid w:val="00623231"/>
    <w:rsid w:val="00630B41"/>
    <w:rsid w:val="00631A48"/>
    <w:rsid w:val="00631F9B"/>
    <w:rsid w:val="00634489"/>
    <w:rsid w:val="006350C0"/>
    <w:rsid w:val="00636616"/>
    <w:rsid w:val="00642F7D"/>
    <w:rsid w:val="006455C1"/>
    <w:rsid w:val="00647E84"/>
    <w:rsid w:val="006523DF"/>
    <w:rsid w:val="006523F1"/>
    <w:rsid w:val="00652998"/>
    <w:rsid w:val="006544E5"/>
    <w:rsid w:val="006544FD"/>
    <w:rsid w:val="006561C0"/>
    <w:rsid w:val="00657A48"/>
    <w:rsid w:val="00664DE6"/>
    <w:rsid w:val="00665855"/>
    <w:rsid w:val="006725E1"/>
    <w:rsid w:val="00672A12"/>
    <w:rsid w:val="006737C6"/>
    <w:rsid w:val="006764CB"/>
    <w:rsid w:val="0067764E"/>
    <w:rsid w:val="006830A5"/>
    <w:rsid w:val="006832A7"/>
    <w:rsid w:val="00683E7C"/>
    <w:rsid w:val="00693258"/>
    <w:rsid w:val="006946B6"/>
    <w:rsid w:val="006A26A5"/>
    <w:rsid w:val="006A6E79"/>
    <w:rsid w:val="006B0756"/>
    <w:rsid w:val="006B0DAE"/>
    <w:rsid w:val="006B1332"/>
    <w:rsid w:val="006B22A0"/>
    <w:rsid w:val="006B3E0A"/>
    <w:rsid w:val="006B4112"/>
    <w:rsid w:val="006B64B3"/>
    <w:rsid w:val="006B74DC"/>
    <w:rsid w:val="006C1BCE"/>
    <w:rsid w:val="006C1D16"/>
    <w:rsid w:val="006D17FB"/>
    <w:rsid w:val="006D268D"/>
    <w:rsid w:val="006D289C"/>
    <w:rsid w:val="006D2B84"/>
    <w:rsid w:val="006D7103"/>
    <w:rsid w:val="006D7552"/>
    <w:rsid w:val="006D7DF8"/>
    <w:rsid w:val="006E0132"/>
    <w:rsid w:val="006E0941"/>
    <w:rsid w:val="006E6660"/>
    <w:rsid w:val="006F0F4F"/>
    <w:rsid w:val="006F45D8"/>
    <w:rsid w:val="006F7A7A"/>
    <w:rsid w:val="00702ED3"/>
    <w:rsid w:val="0070488B"/>
    <w:rsid w:val="0070507A"/>
    <w:rsid w:val="007075F5"/>
    <w:rsid w:val="00710679"/>
    <w:rsid w:val="00710DA7"/>
    <w:rsid w:val="00715A20"/>
    <w:rsid w:val="00715D15"/>
    <w:rsid w:val="007163E3"/>
    <w:rsid w:val="007175B2"/>
    <w:rsid w:val="00720270"/>
    <w:rsid w:val="007205FD"/>
    <w:rsid w:val="00723B39"/>
    <w:rsid w:val="00730FF3"/>
    <w:rsid w:val="00732693"/>
    <w:rsid w:val="00732D93"/>
    <w:rsid w:val="00736A8F"/>
    <w:rsid w:val="00737B34"/>
    <w:rsid w:val="00754D03"/>
    <w:rsid w:val="00756DC6"/>
    <w:rsid w:val="00757C90"/>
    <w:rsid w:val="0076103C"/>
    <w:rsid w:val="0076484B"/>
    <w:rsid w:val="007728DF"/>
    <w:rsid w:val="00775579"/>
    <w:rsid w:val="0078089A"/>
    <w:rsid w:val="00780CAA"/>
    <w:rsid w:val="00784401"/>
    <w:rsid w:val="007851D8"/>
    <w:rsid w:val="007868C2"/>
    <w:rsid w:val="00790B81"/>
    <w:rsid w:val="00792470"/>
    <w:rsid w:val="007A40B1"/>
    <w:rsid w:val="007A454A"/>
    <w:rsid w:val="007A6EB0"/>
    <w:rsid w:val="007B4189"/>
    <w:rsid w:val="007C7728"/>
    <w:rsid w:val="007D2B7C"/>
    <w:rsid w:val="007D4851"/>
    <w:rsid w:val="007D4D58"/>
    <w:rsid w:val="007E3655"/>
    <w:rsid w:val="007E3A41"/>
    <w:rsid w:val="007E4A29"/>
    <w:rsid w:val="007F3143"/>
    <w:rsid w:val="007F4280"/>
    <w:rsid w:val="007F6AD1"/>
    <w:rsid w:val="00804AA2"/>
    <w:rsid w:val="00811CB4"/>
    <w:rsid w:val="00813985"/>
    <w:rsid w:val="0081657D"/>
    <w:rsid w:val="008177C6"/>
    <w:rsid w:val="00817F61"/>
    <w:rsid w:val="008206EA"/>
    <w:rsid w:val="00823E80"/>
    <w:rsid w:val="00824606"/>
    <w:rsid w:val="00824AA2"/>
    <w:rsid w:val="00825A82"/>
    <w:rsid w:val="00826EE1"/>
    <w:rsid w:val="008309C2"/>
    <w:rsid w:val="008313B4"/>
    <w:rsid w:val="00833B94"/>
    <w:rsid w:val="00836E02"/>
    <w:rsid w:val="008371C3"/>
    <w:rsid w:val="008377C4"/>
    <w:rsid w:val="008422E4"/>
    <w:rsid w:val="0084239F"/>
    <w:rsid w:val="00843E40"/>
    <w:rsid w:val="00853D94"/>
    <w:rsid w:val="008558F3"/>
    <w:rsid w:val="00862BDE"/>
    <w:rsid w:val="00865694"/>
    <w:rsid w:val="008707E1"/>
    <w:rsid w:val="00872D57"/>
    <w:rsid w:val="00876B8B"/>
    <w:rsid w:val="00882480"/>
    <w:rsid w:val="008824E8"/>
    <w:rsid w:val="00882744"/>
    <w:rsid w:val="00885902"/>
    <w:rsid w:val="00891FCB"/>
    <w:rsid w:val="00894ECD"/>
    <w:rsid w:val="008A0131"/>
    <w:rsid w:val="008A24CA"/>
    <w:rsid w:val="008A3008"/>
    <w:rsid w:val="008B12B9"/>
    <w:rsid w:val="008B4855"/>
    <w:rsid w:val="008B572A"/>
    <w:rsid w:val="008C3134"/>
    <w:rsid w:val="008C6C23"/>
    <w:rsid w:val="008D0CBE"/>
    <w:rsid w:val="008D3A1B"/>
    <w:rsid w:val="008D463D"/>
    <w:rsid w:val="008D6999"/>
    <w:rsid w:val="008E16B3"/>
    <w:rsid w:val="008E1F37"/>
    <w:rsid w:val="008E2F48"/>
    <w:rsid w:val="008E4008"/>
    <w:rsid w:val="008F3E4B"/>
    <w:rsid w:val="008F434F"/>
    <w:rsid w:val="008F482B"/>
    <w:rsid w:val="008F6626"/>
    <w:rsid w:val="008F6B91"/>
    <w:rsid w:val="009004E4"/>
    <w:rsid w:val="00900CCB"/>
    <w:rsid w:val="00901CFB"/>
    <w:rsid w:val="009078C8"/>
    <w:rsid w:val="00910E82"/>
    <w:rsid w:val="0091138C"/>
    <w:rsid w:val="009118EA"/>
    <w:rsid w:val="009149FB"/>
    <w:rsid w:val="009201F4"/>
    <w:rsid w:val="00920DFD"/>
    <w:rsid w:val="0092142D"/>
    <w:rsid w:val="009237C8"/>
    <w:rsid w:val="00923DB8"/>
    <w:rsid w:val="0092782E"/>
    <w:rsid w:val="00932592"/>
    <w:rsid w:val="00932BDB"/>
    <w:rsid w:val="0093758D"/>
    <w:rsid w:val="009415C4"/>
    <w:rsid w:val="009452E4"/>
    <w:rsid w:val="00945BF7"/>
    <w:rsid w:val="00946738"/>
    <w:rsid w:val="00946BF6"/>
    <w:rsid w:val="00947233"/>
    <w:rsid w:val="00950889"/>
    <w:rsid w:val="00951A20"/>
    <w:rsid w:val="0095409C"/>
    <w:rsid w:val="00955401"/>
    <w:rsid w:val="00955D48"/>
    <w:rsid w:val="009577F2"/>
    <w:rsid w:val="00957CF4"/>
    <w:rsid w:val="0096721D"/>
    <w:rsid w:val="009730FB"/>
    <w:rsid w:val="00973447"/>
    <w:rsid w:val="00980EE3"/>
    <w:rsid w:val="0098266E"/>
    <w:rsid w:val="00983433"/>
    <w:rsid w:val="0099178E"/>
    <w:rsid w:val="00995324"/>
    <w:rsid w:val="009A0F2C"/>
    <w:rsid w:val="009A5F7A"/>
    <w:rsid w:val="009A671D"/>
    <w:rsid w:val="009A7E6C"/>
    <w:rsid w:val="009B1BCD"/>
    <w:rsid w:val="009B322C"/>
    <w:rsid w:val="009B40F2"/>
    <w:rsid w:val="009B72DD"/>
    <w:rsid w:val="009C0D43"/>
    <w:rsid w:val="009D0A96"/>
    <w:rsid w:val="009D7F8D"/>
    <w:rsid w:val="009E7BE3"/>
    <w:rsid w:val="009F0711"/>
    <w:rsid w:val="009F13EC"/>
    <w:rsid w:val="009F7434"/>
    <w:rsid w:val="00A018F5"/>
    <w:rsid w:val="00A056D1"/>
    <w:rsid w:val="00A06001"/>
    <w:rsid w:val="00A11CFC"/>
    <w:rsid w:val="00A13B53"/>
    <w:rsid w:val="00A15F30"/>
    <w:rsid w:val="00A21DCF"/>
    <w:rsid w:val="00A2678F"/>
    <w:rsid w:val="00A3270A"/>
    <w:rsid w:val="00A33EBE"/>
    <w:rsid w:val="00A340DB"/>
    <w:rsid w:val="00A40447"/>
    <w:rsid w:val="00A420E0"/>
    <w:rsid w:val="00A445AC"/>
    <w:rsid w:val="00A460E0"/>
    <w:rsid w:val="00A5062D"/>
    <w:rsid w:val="00A51776"/>
    <w:rsid w:val="00A548F2"/>
    <w:rsid w:val="00A55DEB"/>
    <w:rsid w:val="00A56743"/>
    <w:rsid w:val="00A61356"/>
    <w:rsid w:val="00A6184B"/>
    <w:rsid w:val="00A628BD"/>
    <w:rsid w:val="00A65BD1"/>
    <w:rsid w:val="00A73171"/>
    <w:rsid w:val="00A7349D"/>
    <w:rsid w:val="00A73CFB"/>
    <w:rsid w:val="00A7497E"/>
    <w:rsid w:val="00A76B3B"/>
    <w:rsid w:val="00A84037"/>
    <w:rsid w:val="00A8457E"/>
    <w:rsid w:val="00A918ED"/>
    <w:rsid w:val="00A94417"/>
    <w:rsid w:val="00A955C1"/>
    <w:rsid w:val="00AA29C4"/>
    <w:rsid w:val="00AA7B0F"/>
    <w:rsid w:val="00AB09CA"/>
    <w:rsid w:val="00AB1D4B"/>
    <w:rsid w:val="00AB3D73"/>
    <w:rsid w:val="00AB5584"/>
    <w:rsid w:val="00AB6A0A"/>
    <w:rsid w:val="00AB713A"/>
    <w:rsid w:val="00AB768B"/>
    <w:rsid w:val="00AB7B17"/>
    <w:rsid w:val="00AC13CF"/>
    <w:rsid w:val="00AD30A0"/>
    <w:rsid w:val="00AD538E"/>
    <w:rsid w:val="00AE05C7"/>
    <w:rsid w:val="00AE3881"/>
    <w:rsid w:val="00AE39B9"/>
    <w:rsid w:val="00AE7BC0"/>
    <w:rsid w:val="00AF129B"/>
    <w:rsid w:val="00AF140B"/>
    <w:rsid w:val="00AF1DFB"/>
    <w:rsid w:val="00AF41F7"/>
    <w:rsid w:val="00AF5D0C"/>
    <w:rsid w:val="00AF5EA2"/>
    <w:rsid w:val="00B02ED8"/>
    <w:rsid w:val="00B100CE"/>
    <w:rsid w:val="00B138EA"/>
    <w:rsid w:val="00B14592"/>
    <w:rsid w:val="00B20D90"/>
    <w:rsid w:val="00B221AB"/>
    <w:rsid w:val="00B23151"/>
    <w:rsid w:val="00B33DB2"/>
    <w:rsid w:val="00B34731"/>
    <w:rsid w:val="00B36D66"/>
    <w:rsid w:val="00B37055"/>
    <w:rsid w:val="00B37E70"/>
    <w:rsid w:val="00B41BB0"/>
    <w:rsid w:val="00B430AE"/>
    <w:rsid w:val="00B45FB1"/>
    <w:rsid w:val="00B50C70"/>
    <w:rsid w:val="00B514CB"/>
    <w:rsid w:val="00B51698"/>
    <w:rsid w:val="00B634E3"/>
    <w:rsid w:val="00B653C0"/>
    <w:rsid w:val="00B72CA7"/>
    <w:rsid w:val="00B74DC4"/>
    <w:rsid w:val="00B753A4"/>
    <w:rsid w:val="00B800E1"/>
    <w:rsid w:val="00B81499"/>
    <w:rsid w:val="00B83463"/>
    <w:rsid w:val="00B85A16"/>
    <w:rsid w:val="00B86D95"/>
    <w:rsid w:val="00B901BD"/>
    <w:rsid w:val="00B903D1"/>
    <w:rsid w:val="00B909B3"/>
    <w:rsid w:val="00B97A6B"/>
    <w:rsid w:val="00BA1808"/>
    <w:rsid w:val="00BA4CF5"/>
    <w:rsid w:val="00BA621A"/>
    <w:rsid w:val="00BB17D4"/>
    <w:rsid w:val="00BB2DA4"/>
    <w:rsid w:val="00BB428C"/>
    <w:rsid w:val="00BB7E30"/>
    <w:rsid w:val="00BC0797"/>
    <w:rsid w:val="00BC0F9A"/>
    <w:rsid w:val="00BC17ED"/>
    <w:rsid w:val="00BC1DAE"/>
    <w:rsid w:val="00BC4A87"/>
    <w:rsid w:val="00BC5D04"/>
    <w:rsid w:val="00BD0361"/>
    <w:rsid w:val="00BD4705"/>
    <w:rsid w:val="00BE0D25"/>
    <w:rsid w:val="00BE20E6"/>
    <w:rsid w:val="00BE37F3"/>
    <w:rsid w:val="00BF167A"/>
    <w:rsid w:val="00BF23CA"/>
    <w:rsid w:val="00BF7464"/>
    <w:rsid w:val="00C01A3E"/>
    <w:rsid w:val="00C024FF"/>
    <w:rsid w:val="00C03FD8"/>
    <w:rsid w:val="00C043B1"/>
    <w:rsid w:val="00C05E1A"/>
    <w:rsid w:val="00C06D5B"/>
    <w:rsid w:val="00C11DD9"/>
    <w:rsid w:val="00C14510"/>
    <w:rsid w:val="00C163F8"/>
    <w:rsid w:val="00C23ACA"/>
    <w:rsid w:val="00C25319"/>
    <w:rsid w:val="00C35B16"/>
    <w:rsid w:val="00C37655"/>
    <w:rsid w:val="00C37704"/>
    <w:rsid w:val="00C37913"/>
    <w:rsid w:val="00C4248E"/>
    <w:rsid w:val="00C43987"/>
    <w:rsid w:val="00C51390"/>
    <w:rsid w:val="00C541ED"/>
    <w:rsid w:val="00C56388"/>
    <w:rsid w:val="00C60A34"/>
    <w:rsid w:val="00C62FC5"/>
    <w:rsid w:val="00C65EC1"/>
    <w:rsid w:val="00C65EF6"/>
    <w:rsid w:val="00C66998"/>
    <w:rsid w:val="00C679C7"/>
    <w:rsid w:val="00C70CEB"/>
    <w:rsid w:val="00C7261E"/>
    <w:rsid w:val="00C72C74"/>
    <w:rsid w:val="00C72F7D"/>
    <w:rsid w:val="00C758B1"/>
    <w:rsid w:val="00C7760A"/>
    <w:rsid w:val="00C8136B"/>
    <w:rsid w:val="00C860EB"/>
    <w:rsid w:val="00C8687A"/>
    <w:rsid w:val="00C86AA5"/>
    <w:rsid w:val="00C90C08"/>
    <w:rsid w:val="00C949C4"/>
    <w:rsid w:val="00CA178E"/>
    <w:rsid w:val="00CA2032"/>
    <w:rsid w:val="00CA22C5"/>
    <w:rsid w:val="00CB66ED"/>
    <w:rsid w:val="00CC2E43"/>
    <w:rsid w:val="00CD04CE"/>
    <w:rsid w:val="00CD21E4"/>
    <w:rsid w:val="00CD34B1"/>
    <w:rsid w:val="00CE16CD"/>
    <w:rsid w:val="00CE2B1C"/>
    <w:rsid w:val="00CE5BAE"/>
    <w:rsid w:val="00CE6FAD"/>
    <w:rsid w:val="00CF08C9"/>
    <w:rsid w:val="00CF2E59"/>
    <w:rsid w:val="00CF511D"/>
    <w:rsid w:val="00D031D2"/>
    <w:rsid w:val="00D1156F"/>
    <w:rsid w:val="00D13B2F"/>
    <w:rsid w:val="00D17309"/>
    <w:rsid w:val="00D20C45"/>
    <w:rsid w:val="00D25FEA"/>
    <w:rsid w:val="00D263E8"/>
    <w:rsid w:val="00D3060E"/>
    <w:rsid w:val="00D30A73"/>
    <w:rsid w:val="00D3264B"/>
    <w:rsid w:val="00D33E74"/>
    <w:rsid w:val="00D36687"/>
    <w:rsid w:val="00D45993"/>
    <w:rsid w:val="00D47F98"/>
    <w:rsid w:val="00D56DAE"/>
    <w:rsid w:val="00D60E6A"/>
    <w:rsid w:val="00D62E70"/>
    <w:rsid w:val="00D6365A"/>
    <w:rsid w:val="00D63D9E"/>
    <w:rsid w:val="00D64CE9"/>
    <w:rsid w:val="00D72A4C"/>
    <w:rsid w:val="00D776F9"/>
    <w:rsid w:val="00D85F41"/>
    <w:rsid w:val="00D867B4"/>
    <w:rsid w:val="00D86FFC"/>
    <w:rsid w:val="00D94879"/>
    <w:rsid w:val="00D96394"/>
    <w:rsid w:val="00DA2DE7"/>
    <w:rsid w:val="00DA54B8"/>
    <w:rsid w:val="00DA6939"/>
    <w:rsid w:val="00DB3265"/>
    <w:rsid w:val="00DB73EB"/>
    <w:rsid w:val="00DC0A22"/>
    <w:rsid w:val="00DC1C65"/>
    <w:rsid w:val="00DC43C6"/>
    <w:rsid w:val="00DC6CC1"/>
    <w:rsid w:val="00DC7791"/>
    <w:rsid w:val="00DD3094"/>
    <w:rsid w:val="00DD32C2"/>
    <w:rsid w:val="00DD423A"/>
    <w:rsid w:val="00DE0415"/>
    <w:rsid w:val="00DE0660"/>
    <w:rsid w:val="00DE1583"/>
    <w:rsid w:val="00DE1D2C"/>
    <w:rsid w:val="00DF0FDA"/>
    <w:rsid w:val="00DF15D1"/>
    <w:rsid w:val="00E01931"/>
    <w:rsid w:val="00E01E6F"/>
    <w:rsid w:val="00E026C0"/>
    <w:rsid w:val="00E0769D"/>
    <w:rsid w:val="00E12AC5"/>
    <w:rsid w:val="00E20FF2"/>
    <w:rsid w:val="00E2216F"/>
    <w:rsid w:val="00E22DC3"/>
    <w:rsid w:val="00E31862"/>
    <w:rsid w:val="00E322CA"/>
    <w:rsid w:val="00E32913"/>
    <w:rsid w:val="00E418BE"/>
    <w:rsid w:val="00E4575B"/>
    <w:rsid w:val="00E465B2"/>
    <w:rsid w:val="00E50DBA"/>
    <w:rsid w:val="00E517AD"/>
    <w:rsid w:val="00E52626"/>
    <w:rsid w:val="00E60EF1"/>
    <w:rsid w:val="00E611AC"/>
    <w:rsid w:val="00E61453"/>
    <w:rsid w:val="00E61788"/>
    <w:rsid w:val="00E618B4"/>
    <w:rsid w:val="00E63C8B"/>
    <w:rsid w:val="00E64B9A"/>
    <w:rsid w:val="00E72693"/>
    <w:rsid w:val="00E728C8"/>
    <w:rsid w:val="00E80CCE"/>
    <w:rsid w:val="00E8323D"/>
    <w:rsid w:val="00E84910"/>
    <w:rsid w:val="00E84C9A"/>
    <w:rsid w:val="00E86D2E"/>
    <w:rsid w:val="00E92643"/>
    <w:rsid w:val="00E933A7"/>
    <w:rsid w:val="00EA2762"/>
    <w:rsid w:val="00EA3486"/>
    <w:rsid w:val="00EA6094"/>
    <w:rsid w:val="00EA7281"/>
    <w:rsid w:val="00EB1CD6"/>
    <w:rsid w:val="00EB7B24"/>
    <w:rsid w:val="00EC03C5"/>
    <w:rsid w:val="00EC2197"/>
    <w:rsid w:val="00EC3EDD"/>
    <w:rsid w:val="00ED0CAE"/>
    <w:rsid w:val="00ED0F5C"/>
    <w:rsid w:val="00ED101F"/>
    <w:rsid w:val="00ED199D"/>
    <w:rsid w:val="00ED2D16"/>
    <w:rsid w:val="00ED3E67"/>
    <w:rsid w:val="00EE02DF"/>
    <w:rsid w:val="00EF01D3"/>
    <w:rsid w:val="00EF600D"/>
    <w:rsid w:val="00F00055"/>
    <w:rsid w:val="00F04823"/>
    <w:rsid w:val="00F0586C"/>
    <w:rsid w:val="00F06B32"/>
    <w:rsid w:val="00F11846"/>
    <w:rsid w:val="00F13A32"/>
    <w:rsid w:val="00F13C59"/>
    <w:rsid w:val="00F169A5"/>
    <w:rsid w:val="00F175B7"/>
    <w:rsid w:val="00F2591A"/>
    <w:rsid w:val="00F300D5"/>
    <w:rsid w:val="00F3696B"/>
    <w:rsid w:val="00F37740"/>
    <w:rsid w:val="00F420AA"/>
    <w:rsid w:val="00F420D0"/>
    <w:rsid w:val="00F46825"/>
    <w:rsid w:val="00F478D4"/>
    <w:rsid w:val="00F5038F"/>
    <w:rsid w:val="00F519C1"/>
    <w:rsid w:val="00F56146"/>
    <w:rsid w:val="00F561A1"/>
    <w:rsid w:val="00F62A29"/>
    <w:rsid w:val="00F62E67"/>
    <w:rsid w:val="00F650D3"/>
    <w:rsid w:val="00F660B4"/>
    <w:rsid w:val="00F743EF"/>
    <w:rsid w:val="00F809B3"/>
    <w:rsid w:val="00F813B1"/>
    <w:rsid w:val="00F81AEF"/>
    <w:rsid w:val="00F84778"/>
    <w:rsid w:val="00F95239"/>
    <w:rsid w:val="00F96CD4"/>
    <w:rsid w:val="00F96DD1"/>
    <w:rsid w:val="00FA58E0"/>
    <w:rsid w:val="00FB1D06"/>
    <w:rsid w:val="00FB2E69"/>
    <w:rsid w:val="00FB480F"/>
    <w:rsid w:val="00FB5A30"/>
    <w:rsid w:val="00FB5DFC"/>
    <w:rsid w:val="00FB5E5F"/>
    <w:rsid w:val="00FB66FF"/>
    <w:rsid w:val="00FB73AA"/>
    <w:rsid w:val="00FB7997"/>
    <w:rsid w:val="00FB7CDC"/>
    <w:rsid w:val="00FC0496"/>
    <w:rsid w:val="00FC119A"/>
    <w:rsid w:val="00FC2180"/>
    <w:rsid w:val="00FC2510"/>
    <w:rsid w:val="00FC283E"/>
    <w:rsid w:val="00FC50DD"/>
    <w:rsid w:val="00FC5986"/>
    <w:rsid w:val="00FC73C9"/>
    <w:rsid w:val="00FD2D93"/>
    <w:rsid w:val="00FD4C59"/>
    <w:rsid w:val="00FE06F4"/>
    <w:rsid w:val="00FE631C"/>
    <w:rsid w:val="00FE6563"/>
    <w:rsid w:val="00FE6987"/>
    <w:rsid w:val="00FE7B1F"/>
    <w:rsid w:val="00FF1939"/>
    <w:rsid w:val="00FF1BE7"/>
    <w:rsid w:val="00FF3F96"/>
    <w:rsid w:val="00FF7D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5047C5"/>
  <w15:docId w15:val="{BC78F028-AA0C-451D-9221-E0C33495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4510"/>
    <w:rPr>
      <w:rFonts w:ascii="Arial" w:hAnsi="Arial"/>
      <w:sz w:val="24"/>
      <w:szCs w:val="24"/>
    </w:rPr>
  </w:style>
  <w:style w:type="paragraph" w:styleId="Heading1">
    <w:name w:val="heading 1"/>
    <w:basedOn w:val="Normal"/>
    <w:next w:val="Normal"/>
    <w:qFormat/>
    <w:rsid w:val="00C14510"/>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4510"/>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C14510"/>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Style 16,Style 19,Style 35,fr"/>
    <w:basedOn w:val="DefaultParagraphFont"/>
    <w:rsid w:val="00C14510"/>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rsid w:val="00C14510"/>
    <w:rPr>
      <w:rFonts w:ascii="Times New Roman" w:hAnsi="Times New Roman"/>
      <w:szCs w:val="20"/>
    </w:rPr>
  </w:style>
  <w:style w:type="character" w:customStyle="1" w:styleId="FootnoteTextChar">
    <w:name w:val="Footnote Text Char"/>
    <w:aliases w:val="Footnote Text Char Char Char Char Char Char Char Char Char Char Char Char Char Char Char Char Char Char,Footnote Text Char1 Char,fn Char,ft Char"/>
    <w:basedOn w:val="DefaultParagraphFont"/>
    <w:link w:val="FootnoteText"/>
    <w:uiPriority w:val="99"/>
    <w:rsid w:val="00C14510"/>
    <w:rPr>
      <w:sz w:val="24"/>
    </w:rPr>
  </w:style>
  <w:style w:type="paragraph" w:customStyle="1" w:styleId="Default">
    <w:name w:val="Default"/>
    <w:rsid w:val="00C14510"/>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C14510"/>
    <w:pPr>
      <w:tabs>
        <w:tab w:val="center" w:pos="4680"/>
        <w:tab w:val="right" w:pos="9360"/>
      </w:tabs>
    </w:pPr>
  </w:style>
  <w:style w:type="character" w:customStyle="1" w:styleId="HeaderChar">
    <w:name w:val="Header Char"/>
    <w:basedOn w:val="DefaultParagraphFont"/>
    <w:link w:val="Header"/>
    <w:rsid w:val="00C14510"/>
    <w:rPr>
      <w:rFonts w:ascii="Arial" w:hAnsi="Arial"/>
      <w:sz w:val="24"/>
      <w:szCs w:val="24"/>
    </w:rPr>
  </w:style>
  <w:style w:type="paragraph" w:styleId="Footer">
    <w:name w:val="footer"/>
    <w:basedOn w:val="Normal"/>
    <w:link w:val="FooterChar"/>
    <w:uiPriority w:val="99"/>
    <w:rsid w:val="00C14510"/>
    <w:pPr>
      <w:tabs>
        <w:tab w:val="center" w:pos="4680"/>
        <w:tab w:val="right" w:pos="9360"/>
      </w:tabs>
    </w:pPr>
  </w:style>
  <w:style w:type="character" w:customStyle="1" w:styleId="FooterChar">
    <w:name w:val="Footer Char"/>
    <w:basedOn w:val="DefaultParagraphFont"/>
    <w:link w:val="Footer"/>
    <w:uiPriority w:val="99"/>
    <w:rsid w:val="00C14510"/>
    <w:rPr>
      <w:rFonts w:ascii="Arial" w:hAnsi="Arial"/>
      <w:sz w:val="24"/>
      <w:szCs w:val="24"/>
    </w:rPr>
  </w:style>
  <w:style w:type="paragraph" w:styleId="PlainText">
    <w:name w:val="Plain Text"/>
    <w:basedOn w:val="Normal"/>
    <w:link w:val="PlainTextChar"/>
    <w:uiPriority w:val="99"/>
    <w:unhideWhenUsed/>
    <w:rsid w:val="00C14510"/>
    <w:rPr>
      <w:rFonts w:ascii="Calibri" w:hAnsi="Calibri"/>
      <w:color w:val="1F497D"/>
      <w:sz w:val="22"/>
      <w:szCs w:val="21"/>
    </w:rPr>
  </w:style>
  <w:style w:type="character" w:customStyle="1" w:styleId="PlainTextChar">
    <w:name w:val="Plain Text Char"/>
    <w:basedOn w:val="DefaultParagraphFont"/>
    <w:link w:val="PlainText"/>
    <w:uiPriority w:val="99"/>
    <w:rsid w:val="00C14510"/>
    <w:rPr>
      <w:rFonts w:ascii="Calibri" w:hAnsi="Calibri"/>
      <w:color w:val="1F497D"/>
      <w:sz w:val="22"/>
      <w:szCs w:val="21"/>
    </w:rPr>
  </w:style>
  <w:style w:type="paragraph" w:customStyle="1" w:styleId="CM3">
    <w:name w:val="CM3"/>
    <w:basedOn w:val="Default"/>
    <w:next w:val="Default"/>
    <w:uiPriority w:val="99"/>
    <w:rsid w:val="00C14510"/>
    <w:pPr>
      <w:spacing w:line="268" w:lineRule="atLeast"/>
    </w:pPr>
    <w:rPr>
      <w:rFonts w:cs="Times New Roman"/>
      <w:color w:val="auto"/>
    </w:rPr>
  </w:style>
  <w:style w:type="paragraph" w:styleId="Title">
    <w:name w:val="Title"/>
    <w:basedOn w:val="Normal"/>
    <w:link w:val="TitleChar"/>
    <w:qFormat/>
    <w:rsid w:val="00C14510"/>
    <w:pPr>
      <w:jc w:val="center"/>
    </w:pPr>
    <w:rPr>
      <w:rFonts w:ascii="Times New Roman" w:hAnsi="Times New Roman"/>
      <w:b/>
      <w:sz w:val="40"/>
      <w:szCs w:val="20"/>
    </w:rPr>
  </w:style>
  <w:style w:type="character" w:customStyle="1" w:styleId="TitleChar">
    <w:name w:val="Title Char"/>
    <w:basedOn w:val="DefaultParagraphFont"/>
    <w:link w:val="Title"/>
    <w:rsid w:val="00C14510"/>
    <w:rPr>
      <w:b/>
      <w:sz w:val="40"/>
    </w:rPr>
  </w:style>
  <w:style w:type="table" w:styleId="TableGrid">
    <w:name w:val="Table Grid"/>
    <w:basedOn w:val="TableNormal"/>
    <w:rsid w:val="00127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3B2F"/>
    <w:rPr>
      <w:b/>
      <w:bCs/>
      <w:strike w:val="0"/>
      <w:dstrike w:val="0"/>
      <w:color w:val="D65300"/>
      <w:u w:val="none"/>
      <w:effect w:val="none"/>
    </w:rPr>
  </w:style>
  <w:style w:type="paragraph" w:styleId="BalloonText">
    <w:name w:val="Balloon Text"/>
    <w:basedOn w:val="Normal"/>
    <w:link w:val="BalloonTextChar"/>
    <w:rsid w:val="00AF5D0C"/>
    <w:rPr>
      <w:rFonts w:ascii="Tahoma" w:hAnsi="Tahoma" w:cs="Tahoma"/>
      <w:sz w:val="16"/>
      <w:szCs w:val="16"/>
    </w:rPr>
  </w:style>
  <w:style w:type="character" w:customStyle="1" w:styleId="BalloonTextChar">
    <w:name w:val="Balloon Text Char"/>
    <w:basedOn w:val="DefaultParagraphFont"/>
    <w:link w:val="BalloonText"/>
    <w:rsid w:val="00AF5D0C"/>
    <w:rPr>
      <w:rFonts w:ascii="Tahoma" w:hAnsi="Tahoma" w:cs="Tahoma"/>
      <w:sz w:val="16"/>
      <w:szCs w:val="16"/>
    </w:rPr>
  </w:style>
  <w:style w:type="character" w:styleId="CommentReference">
    <w:name w:val="annotation reference"/>
    <w:basedOn w:val="DefaultParagraphFont"/>
    <w:rsid w:val="00357332"/>
    <w:rPr>
      <w:sz w:val="16"/>
      <w:szCs w:val="16"/>
    </w:rPr>
  </w:style>
  <w:style w:type="paragraph" w:styleId="CommentText">
    <w:name w:val="annotation text"/>
    <w:basedOn w:val="Normal"/>
    <w:link w:val="CommentTextChar"/>
    <w:rsid w:val="00357332"/>
    <w:rPr>
      <w:sz w:val="20"/>
      <w:szCs w:val="20"/>
    </w:rPr>
  </w:style>
  <w:style w:type="character" w:customStyle="1" w:styleId="CommentTextChar">
    <w:name w:val="Comment Text Char"/>
    <w:basedOn w:val="DefaultParagraphFont"/>
    <w:link w:val="CommentText"/>
    <w:rsid w:val="00357332"/>
    <w:rPr>
      <w:rFonts w:ascii="Arial" w:hAnsi="Arial"/>
    </w:rPr>
  </w:style>
  <w:style w:type="paragraph" w:styleId="CommentSubject">
    <w:name w:val="annotation subject"/>
    <w:basedOn w:val="CommentText"/>
    <w:next w:val="CommentText"/>
    <w:link w:val="CommentSubjectChar"/>
    <w:rsid w:val="00357332"/>
    <w:rPr>
      <w:b/>
      <w:bCs/>
    </w:rPr>
  </w:style>
  <w:style w:type="character" w:customStyle="1" w:styleId="CommentSubjectChar">
    <w:name w:val="Comment Subject Char"/>
    <w:basedOn w:val="CommentTextChar"/>
    <w:link w:val="CommentSubject"/>
    <w:rsid w:val="00357332"/>
    <w:rPr>
      <w:rFonts w:ascii="Arial" w:hAnsi="Arial"/>
      <w:b/>
      <w:bCs/>
    </w:rPr>
  </w:style>
  <w:style w:type="character" w:styleId="FollowedHyperlink">
    <w:name w:val="FollowedHyperlink"/>
    <w:basedOn w:val="DefaultParagraphFont"/>
    <w:rsid w:val="00022F1F"/>
    <w:rPr>
      <w:color w:val="800080" w:themeColor="followedHyperlink"/>
      <w:u w:val="single"/>
    </w:rPr>
  </w:style>
  <w:style w:type="paragraph" w:styleId="BodyTextIndent">
    <w:name w:val="Body Text Indent"/>
    <w:basedOn w:val="Normal"/>
    <w:link w:val="BodyTextIndentChar"/>
    <w:semiHidden/>
    <w:rsid w:val="005F6AF9"/>
    <w:pPr>
      <w:ind w:left="720" w:hanging="720"/>
    </w:pPr>
    <w:rPr>
      <w:rFonts w:ascii="Times New Roman" w:hAnsi="Times New Roman"/>
    </w:rPr>
  </w:style>
  <w:style w:type="character" w:customStyle="1" w:styleId="BodyTextIndentChar">
    <w:name w:val="Body Text Indent Char"/>
    <w:basedOn w:val="DefaultParagraphFont"/>
    <w:link w:val="BodyTextIndent"/>
    <w:semiHidden/>
    <w:rsid w:val="005F6AF9"/>
    <w:rPr>
      <w:sz w:val="24"/>
      <w:szCs w:val="24"/>
    </w:rPr>
  </w:style>
  <w:style w:type="paragraph" w:styleId="ListParagraph">
    <w:name w:val="List Paragraph"/>
    <w:basedOn w:val="Normal"/>
    <w:uiPriority w:val="34"/>
    <w:qFormat/>
    <w:rsid w:val="008E4008"/>
    <w:pPr>
      <w:ind w:left="720"/>
      <w:contextualSpacing/>
    </w:pPr>
  </w:style>
  <w:style w:type="paragraph" w:styleId="Revision">
    <w:name w:val="Revision"/>
    <w:hidden/>
    <w:uiPriority w:val="99"/>
    <w:semiHidden/>
    <w:rsid w:val="00413CBB"/>
    <w:rPr>
      <w:rFonts w:ascii="Arial" w:hAnsi="Arial"/>
      <w:sz w:val="24"/>
      <w:szCs w:val="24"/>
    </w:rPr>
  </w:style>
  <w:style w:type="character" w:styleId="UnresolvedMention">
    <w:name w:val="Unresolved Mention"/>
    <w:basedOn w:val="DefaultParagraphFont"/>
    <w:uiPriority w:val="99"/>
    <w:semiHidden/>
    <w:unhideWhenUsed/>
    <w:rsid w:val="00636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rocis.gov/rocis/ViewIC.do?ICR_REF_NBR=202303-3038-003&amp;ICID=197643&amp;record_owner_flag=O"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comments.cftc.gov/PublicComments/ViewComment.aspx?id=1140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CDEA32B9C64E43862DC189895A06D4" ma:contentTypeVersion="2" ma:contentTypeDescription="Create a new document." ma:contentTypeScope="" ma:versionID="129ccad9a009bd4f67db0cfaa575f128">
  <xsd:schema xmlns:xsd="http://www.w3.org/2001/XMLSchema" xmlns:xs="http://www.w3.org/2001/XMLSchema" xmlns:p="http://schemas.microsoft.com/office/2006/metadata/properties" xmlns:ns3="0f0b6f31-7f57-4359-ab60-2d6e18da8cf4" targetNamespace="http://schemas.microsoft.com/office/2006/metadata/properties" ma:root="true" ma:fieldsID="1e06a44c5ad39e69588dc021ec2f1b4f" ns3:_="">
    <xsd:import namespace="0f0b6f31-7f57-4359-ab60-2d6e18da8cf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b6f31-7f57-4359-ab60-2d6e18da8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94941-9D3F-4417-8BA3-83346B1F6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b6f31-7f57-4359-ab60-2d6e18da8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94B35-538D-4D15-A8FB-B7340A4FAF76}">
  <ds:schemaRefs>
    <ds:schemaRef ds:uri="http://schemas.microsoft.com/sharepoint/v3/contenttype/forms"/>
  </ds:schemaRefs>
</ds:datastoreItem>
</file>

<file path=customXml/itemProps3.xml><?xml version="1.0" encoding="utf-8"?>
<ds:datastoreItem xmlns:ds="http://schemas.openxmlformats.org/officeDocument/2006/customXml" ds:itemID="{F1471CEA-8326-44A5-9DF7-A6337F43F0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ADDFC9-248D-4A92-8B36-26EFDB505ED5}">
  <ds:schemaRefs>
    <ds:schemaRef ds:uri="http://schemas.openxmlformats.org/officeDocument/2006/bibliography"/>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4438</Words>
  <Characters>25165</Characters>
  <Application>Microsoft Office Word</Application>
  <DocSecurity>0</DocSecurity>
  <Lines>535</Lines>
  <Paragraphs>250</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Office of the General Counsel</cp:lastModifiedBy>
  <cp:revision>2</cp:revision>
  <cp:lastPrinted>2026-06-03T23:35:00Z</cp:lastPrinted>
  <dcterms:created xsi:type="dcterms:W3CDTF">2026-06-08T19:22:00Z</dcterms:created>
  <dcterms:modified xsi:type="dcterms:W3CDTF">2026-06-08T19:22:00Z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0x010100D0CDEA32B9C64E43862DC189895A06D4</vt:lpwstr>
  </property>
</Properties>
</file>