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F674B" w:rsidP="000F674B" w14:paraId="3C326B0E" w14:textId="77777777">
      <w:pPr>
        <w:jc w:val="center"/>
        <w:rPr>
          <w:b/>
          <w:sz w:val="24"/>
          <w:szCs w:val="24"/>
        </w:rPr>
      </w:pPr>
      <w:r w:rsidRPr="00167E53">
        <w:rPr>
          <w:b/>
          <w:sz w:val="24"/>
          <w:szCs w:val="24"/>
        </w:rPr>
        <w:t>Supporting Statement for Paperwork Reduction Act Submissions</w:t>
      </w:r>
    </w:p>
    <w:p w:rsidR="00F42BDF" w:rsidRPr="000E5431" w:rsidP="00F42BDF" w14:paraId="0B7E20AF" w14:textId="77777777">
      <w:pPr>
        <w:jc w:val="center"/>
        <w:rPr>
          <w:b/>
          <w:sz w:val="24"/>
          <w:szCs w:val="24"/>
        </w:rPr>
      </w:pPr>
      <w:r w:rsidRPr="000E5431">
        <w:rPr>
          <w:b/>
          <w:sz w:val="24"/>
          <w:szCs w:val="24"/>
        </w:rPr>
        <w:t>Maintenance Wage Rate Recommendation</w:t>
      </w:r>
    </w:p>
    <w:p w:rsidR="00F42BDF" w:rsidP="00F42BDF" w14:paraId="00B89DD7" w14:textId="2D68254E">
      <w:pPr>
        <w:jc w:val="center"/>
        <w:rPr>
          <w:b/>
          <w:sz w:val="24"/>
          <w:szCs w:val="24"/>
        </w:rPr>
      </w:pPr>
      <w:r w:rsidRPr="000E5431">
        <w:rPr>
          <w:b/>
          <w:sz w:val="24"/>
          <w:szCs w:val="24"/>
        </w:rPr>
        <w:t xml:space="preserve">OMB </w:t>
      </w:r>
      <w:r>
        <w:rPr>
          <w:b/>
          <w:sz w:val="24"/>
          <w:szCs w:val="24"/>
        </w:rPr>
        <w:t>#</w:t>
      </w:r>
      <w:r w:rsidRPr="000E5431">
        <w:rPr>
          <w:b/>
          <w:sz w:val="24"/>
          <w:szCs w:val="24"/>
        </w:rPr>
        <w:t>2501-0011</w:t>
      </w:r>
    </w:p>
    <w:p w:rsidR="000F674B" w:rsidP="000F674B" w14:paraId="167ABBF1" w14:textId="77777777">
      <w:pPr>
        <w:rPr>
          <w:b/>
          <w:sz w:val="24"/>
          <w:szCs w:val="24"/>
        </w:rPr>
      </w:pPr>
    </w:p>
    <w:p w:rsidR="000F674B" w:rsidRPr="0008583D" w:rsidP="000F674B" w14:paraId="7D88D394"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sidRPr="0008583D">
        <w:rPr>
          <w:b/>
          <w:sz w:val="24"/>
          <w:szCs w:val="24"/>
        </w:rPr>
        <w:t>A</w:t>
      </w:r>
      <w:r w:rsidRPr="0008583D">
        <w:rPr>
          <w:b/>
          <w:sz w:val="24"/>
          <w:szCs w:val="24"/>
        </w:rPr>
        <w:t xml:space="preserve">. </w:t>
      </w:r>
      <w:r w:rsidRPr="0008583D">
        <w:rPr>
          <w:b/>
          <w:sz w:val="24"/>
          <w:szCs w:val="24"/>
        </w:rPr>
        <w:tab/>
        <w:t>Justification</w:t>
      </w:r>
    </w:p>
    <w:p w:rsidR="000F674B" w:rsidRPr="006C7FAE" w:rsidP="000F674B" w14:paraId="0529DC7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szCs w:val="24"/>
        </w:rPr>
      </w:pPr>
    </w:p>
    <w:p w:rsidR="000F674B" w:rsidP="000F674B" w14:paraId="31FB72E9" w14:textId="77777777">
      <w:pPr>
        <w:keepLines/>
        <w:tabs>
          <w:tab w:val="left" w:pos="360"/>
        </w:tabs>
        <w:spacing w:after="80"/>
        <w:ind w:left="360" w:hanging="360"/>
        <w:rPr>
          <w:sz w:val="24"/>
          <w:szCs w:val="24"/>
        </w:rPr>
      </w:pPr>
      <w:r w:rsidRPr="006C7FAE">
        <w:rPr>
          <w:sz w:val="24"/>
          <w:szCs w:val="24"/>
        </w:rPr>
        <w:t>1.</w:t>
      </w:r>
      <w:r w:rsidRPr="006C7FAE">
        <w:rPr>
          <w:sz w:val="24"/>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3708D2" w:rsidP="005E0F54" w14:paraId="6CC97114" w14:textId="77777777">
      <w:pPr>
        <w:pStyle w:val="NoSpacing"/>
      </w:pPr>
    </w:p>
    <w:p w:rsidR="004F1C90" w:rsidP="0087587D" w14:paraId="4D384DF5" w14:textId="77777777">
      <w:pPr>
        <w:pStyle w:val="ListParagraph"/>
        <w:ind w:left="360"/>
        <w:rPr>
          <w:sz w:val="24"/>
          <w:szCs w:val="24"/>
        </w:rPr>
      </w:pPr>
      <w:r w:rsidRPr="000E5431">
        <w:rPr>
          <w:sz w:val="24"/>
          <w:szCs w:val="24"/>
        </w:rPr>
        <w:t xml:space="preserve">The U.S. </w:t>
      </w:r>
      <w:r>
        <w:rPr>
          <w:sz w:val="24"/>
          <w:szCs w:val="24"/>
        </w:rPr>
        <w:t xml:space="preserve">Department of </w:t>
      </w:r>
      <w:r w:rsidRPr="000E5431">
        <w:rPr>
          <w:sz w:val="24"/>
          <w:szCs w:val="24"/>
        </w:rPr>
        <w:t>Housing and Urban Development</w:t>
      </w:r>
      <w:r>
        <w:rPr>
          <w:sz w:val="24"/>
          <w:szCs w:val="24"/>
        </w:rPr>
        <w:t xml:space="preserve"> (HUD)</w:t>
      </w:r>
      <w:r w:rsidRPr="000E5431">
        <w:rPr>
          <w:sz w:val="24"/>
          <w:szCs w:val="24"/>
        </w:rPr>
        <w:t xml:space="preserve">, Office of Davis-Bacon and Labor Standards </w:t>
      </w:r>
      <w:r>
        <w:rPr>
          <w:sz w:val="24"/>
          <w:szCs w:val="24"/>
        </w:rPr>
        <w:t xml:space="preserve">(DBLS) </w:t>
      </w:r>
      <w:r w:rsidRPr="000E5431">
        <w:rPr>
          <w:sz w:val="24"/>
          <w:szCs w:val="24"/>
        </w:rPr>
        <w:t xml:space="preserve">is responsible for the administration and enforcement of prevailing </w:t>
      </w:r>
      <w:r>
        <w:rPr>
          <w:sz w:val="24"/>
          <w:szCs w:val="24"/>
        </w:rPr>
        <w:t xml:space="preserve">maintenance </w:t>
      </w:r>
      <w:r w:rsidRPr="000E5431">
        <w:rPr>
          <w:sz w:val="24"/>
          <w:szCs w:val="24"/>
        </w:rPr>
        <w:t>wage rate</w:t>
      </w:r>
      <w:r>
        <w:rPr>
          <w:sz w:val="24"/>
          <w:szCs w:val="24"/>
        </w:rPr>
        <w:t xml:space="preserve"> requirements in low-income and affordable housing operations. </w:t>
      </w:r>
    </w:p>
    <w:p w:rsidR="004F1C90" w:rsidP="0087587D" w14:paraId="0413A07A" w14:textId="77777777">
      <w:pPr>
        <w:pStyle w:val="ListParagraph"/>
        <w:ind w:left="360"/>
        <w:rPr>
          <w:sz w:val="24"/>
          <w:szCs w:val="24"/>
        </w:rPr>
      </w:pPr>
    </w:p>
    <w:p w:rsidR="004F1C90" w:rsidRPr="00DF6132" w:rsidP="0087587D" w14:paraId="00000E17" w14:textId="08664E46">
      <w:pPr>
        <w:pStyle w:val="ListParagraph"/>
        <w:ind w:left="360"/>
        <w:rPr>
          <w:sz w:val="24"/>
          <w:szCs w:val="24"/>
        </w:rPr>
      </w:pPr>
      <w:r w:rsidRPr="00DF6132">
        <w:rPr>
          <w:sz w:val="24"/>
          <w:szCs w:val="24"/>
        </w:rPr>
        <w:t>Employers must pay HUD-determined or adopted prevailing maintenance wage rates</w:t>
      </w:r>
      <w:r>
        <w:rPr>
          <w:sz w:val="24"/>
          <w:szCs w:val="24"/>
        </w:rPr>
        <w:t xml:space="preserve"> </w:t>
      </w:r>
      <w:r w:rsidRPr="00DF6132">
        <w:rPr>
          <w:sz w:val="24"/>
          <w:szCs w:val="24"/>
        </w:rPr>
        <w:t>(MWDs) to maintenance laborers and mechanics that they employ in the operation of</w:t>
      </w:r>
      <w:r>
        <w:rPr>
          <w:sz w:val="24"/>
          <w:szCs w:val="24"/>
        </w:rPr>
        <w:t xml:space="preserve"> </w:t>
      </w:r>
      <w:r w:rsidRPr="00DF6132">
        <w:rPr>
          <w:sz w:val="24"/>
          <w:szCs w:val="24"/>
        </w:rPr>
        <w:t xml:space="preserve">certain Public, Tribal, and Hawaiian </w:t>
      </w:r>
      <w:r w:rsidRPr="00DF6132">
        <w:rPr>
          <w:sz w:val="24"/>
          <w:szCs w:val="24"/>
        </w:rPr>
        <w:t>Home Lands</w:t>
      </w:r>
      <w:r w:rsidRPr="00DF6132">
        <w:rPr>
          <w:sz w:val="24"/>
          <w:szCs w:val="24"/>
        </w:rPr>
        <w:t xml:space="preserve"> public housing projects, as follows:</w:t>
      </w:r>
    </w:p>
    <w:p w:rsidR="004F1C90" w:rsidP="0087587D" w14:paraId="1D292A73" w14:textId="77777777">
      <w:pPr>
        <w:pStyle w:val="ListParagraph"/>
        <w:ind w:left="360"/>
        <w:rPr>
          <w:sz w:val="24"/>
          <w:szCs w:val="24"/>
        </w:rPr>
      </w:pPr>
    </w:p>
    <w:p w:rsidR="004F1C90" w:rsidRPr="00F50CAD" w:rsidP="0087587D" w14:paraId="4F4E4A0E" w14:textId="77777777">
      <w:pPr>
        <w:pStyle w:val="ListParagraph"/>
        <w:numPr>
          <w:ilvl w:val="0"/>
          <w:numId w:val="14"/>
        </w:numPr>
        <w:overflowPunct/>
        <w:autoSpaceDE/>
        <w:autoSpaceDN/>
        <w:adjustRightInd/>
        <w:spacing w:after="160" w:line="259" w:lineRule="auto"/>
        <w:ind w:left="1080"/>
        <w:textAlignment w:val="auto"/>
        <w:rPr>
          <w:sz w:val="24"/>
          <w:szCs w:val="24"/>
        </w:rPr>
      </w:pPr>
      <w:r w:rsidRPr="00FF57B9">
        <w:rPr>
          <w:sz w:val="24"/>
          <w:szCs w:val="24"/>
        </w:rPr>
        <w:t>Low-income housing operated by Public Housing Agencies (PHA) as defined by the U.S. Housing Act</w:t>
      </w:r>
      <w:r>
        <w:rPr>
          <w:sz w:val="24"/>
          <w:szCs w:val="24"/>
        </w:rPr>
        <w:t xml:space="preserve"> </w:t>
      </w:r>
      <w:r w:rsidRPr="00FF57B9">
        <w:rPr>
          <w:sz w:val="24"/>
          <w:szCs w:val="24"/>
        </w:rPr>
        <w:t xml:space="preserve">of 1937 </w:t>
      </w:r>
      <w:r>
        <w:rPr>
          <w:sz w:val="24"/>
          <w:szCs w:val="24"/>
        </w:rPr>
        <w:t>(USHA)</w:t>
      </w:r>
      <w:r w:rsidRPr="00C65F3C">
        <w:rPr>
          <w:sz w:val="24"/>
          <w:szCs w:val="24"/>
        </w:rPr>
        <w:t xml:space="preserve"> </w:t>
      </w:r>
      <w:r w:rsidRPr="00FF57B9">
        <w:rPr>
          <w:sz w:val="24"/>
          <w:szCs w:val="24"/>
        </w:rPr>
        <w:t>as amended</w:t>
      </w:r>
      <w:r>
        <w:rPr>
          <w:sz w:val="24"/>
          <w:szCs w:val="24"/>
        </w:rPr>
        <w:t xml:space="preserve">, </w:t>
      </w:r>
      <w:r w:rsidRPr="00FF57B9">
        <w:rPr>
          <w:sz w:val="24"/>
          <w:szCs w:val="24"/>
        </w:rPr>
        <w:t>pursuant to Section 12(a).</w:t>
      </w:r>
    </w:p>
    <w:p w:rsidR="004F1C90" w:rsidRPr="00FF57B9" w:rsidP="0087587D" w14:paraId="097BDF45" w14:textId="77777777">
      <w:pPr>
        <w:pStyle w:val="ListParagraph"/>
        <w:numPr>
          <w:ilvl w:val="0"/>
          <w:numId w:val="14"/>
        </w:numPr>
        <w:overflowPunct/>
        <w:autoSpaceDE/>
        <w:autoSpaceDN/>
        <w:adjustRightInd/>
        <w:spacing w:after="160" w:line="259" w:lineRule="auto"/>
        <w:ind w:left="1080"/>
        <w:textAlignment w:val="auto"/>
        <w:rPr>
          <w:sz w:val="24"/>
          <w:szCs w:val="24"/>
        </w:rPr>
      </w:pPr>
      <w:r w:rsidRPr="00FF57B9">
        <w:rPr>
          <w:sz w:val="24"/>
          <w:szCs w:val="24"/>
        </w:rPr>
        <w:t>Affordable housing operated by Indian tribes and/or Tribally Designated Housing Entities (TDHE)</w:t>
      </w:r>
      <w:r>
        <w:rPr>
          <w:sz w:val="24"/>
          <w:szCs w:val="24"/>
        </w:rPr>
        <w:t xml:space="preserve"> </w:t>
      </w:r>
      <w:r w:rsidRPr="00FF57B9">
        <w:rPr>
          <w:sz w:val="24"/>
          <w:szCs w:val="24"/>
        </w:rPr>
        <w:t xml:space="preserve">as defined by the Native American Housing </w:t>
      </w:r>
      <w:r>
        <w:rPr>
          <w:sz w:val="24"/>
          <w:szCs w:val="24"/>
        </w:rPr>
        <w:t xml:space="preserve">Assistance </w:t>
      </w:r>
      <w:r w:rsidRPr="00FF57B9">
        <w:rPr>
          <w:sz w:val="24"/>
          <w:szCs w:val="24"/>
        </w:rPr>
        <w:t>and Self-Determination Act of 1996</w:t>
      </w:r>
      <w:r>
        <w:rPr>
          <w:sz w:val="24"/>
          <w:szCs w:val="24"/>
        </w:rPr>
        <w:t xml:space="preserve"> (NAHASDA) </w:t>
      </w:r>
      <w:r w:rsidRPr="00FF57B9">
        <w:rPr>
          <w:sz w:val="24"/>
          <w:szCs w:val="24"/>
        </w:rPr>
        <w:t>as amended</w:t>
      </w:r>
      <w:r>
        <w:rPr>
          <w:sz w:val="24"/>
          <w:szCs w:val="24"/>
        </w:rPr>
        <w:t xml:space="preserve">, </w:t>
      </w:r>
      <w:r w:rsidRPr="00FF57B9">
        <w:rPr>
          <w:sz w:val="24"/>
          <w:szCs w:val="24"/>
        </w:rPr>
        <w:t>pursuant to Section 104(b).</w:t>
      </w:r>
    </w:p>
    <w:p w:rsidR="004F1C90" w:rsidRPr="000E5431" w:rsidP="0087587D" w14:paraId="703107EB" w14:textId="77777777">
      <w:pPr>
        <w:pStyle w:val="ListParagraph"/>
        <w:numPr>
          <w:ilvl w:val="0"/>
          <w:numId w:val="14"/>
        </w:numPr>
        <w:overflowPunct/>
        <w:autoSpaceDE/>
        <w:autoSpaceDN/>
        <w:adjustRightInd/>
        <w:spacing w:after="160" w:line="259" w:lineRule="auto"/>
        <w:ind w:left="1080"/>
        <w:textAlignment w:val="auto"/>
        <w:rPr>
          <w:sz w:val="24"/>
          <w:szCs w:val="24"/>
        </w:rPr>
      </w:pPr>
      <w:r w:rsidRPr="00FF57B9">
        <w:rPr>
          <w:sz w:val="24"/>
          <w:szCs w:val="24"/>
        </w:rPr>
        <w:t xml:space="preserve">Affordable housing operated by the Department of Hawaiian </w:t>
      </w:r>
      <w:r w:rsidRPr="00FF57B9">
        <w:rPr>
          <w:sz w:val="24"/>
          <w:szCs w:val="24"/>
        </w:rPr>
        <w:t>Home Lands</w:t>
      </w:r>
      <w:r>
        <w:rPr>
          <w:sz w:val="24"/>
          <w:szCs w:val="24"/>
        </w:rPr>
        <w:t xml:space="preserve"> </w:t>
      </w:r>
      <w:r w:rsidRPr="00FF57B9">
        <w:rPr>
          <w:sz w:val="24"/>
          <w:szCs w:val="24"/>
        </w:rPr>
        <w:t>(DHHL)</w:t>
      </w:r>
      <w:r>
        <w:rPr>
          <w:sz w:val="24"/>
          <w:szCs w:val="24"/>
        </w:rPr>
        <w:t xml:space="preserve"> </w:t>
      </w:r>
      <w:r w:rsidRPr="00FF57B9">
        <w:rPr>
          <w:sz w:val="24"/>
          <w:szCs w:val="24"/>
        </w:rPr>
        <w:t xml:space="preserve">as defined by </w:t>
      </w:r>
      <w:r>
        <w:rPr>
          <w:sz w:val="24"/>
          <w:szCs w:val="24"/>
        </w:rPr>
        <w:t>NAHASDA</w:t>
      </w:r>
      <w:r w:rsidRPr="00FF57B9">
        <w:rPr>
          <w:sz w:val="24"/>
          <w:szCs w:val="24"/>
        </w:rPr>
        <w:t xml:space="preserve"> as amended, pursuant to Section 805(b). </w:t>
      </w:r>
    </w:p>
    <w:p w:rsidR="004F1C90" w:rsidRPr="000E5431" w:rsidP="0087587D" w14:paraId="2409C8DF" w14:textId="77777777">
      <w:pPr>
        <w:pStyle w:val="ListParagraph"/>
        <w:ind w:left="360"/>
        <w:rPr>
          <w:sz w:val="24"/>
          <w:szCs w:val="24"/>
        </w:rPr>
      </w:pPr>
    </w:p>
    <w:p w:rsidR="004F1C90" w:rsidP="0087587D" w14:paraId="266BC84A" w14:textId="77777777">
      <w:pPr>
        <w:pStyle w:val="ListParagraph"/>
        <w:ind w:left="360"/>
        <w:rPr>
          <w:sz w:val="24"/>
          <w:szCs w:val="24"/>
        </w:rPr>
      </w:pPr>
      <w:r>
        <w:rPr>
          <w:sz w:val="24"/>
          <w:szCs w:val="24"/>
        </w:rPr>
        <w:t xml:space="preserve">USHA: </w:t>
      </w:r>
      <w:hyperlink r:id="rId8" w:history="1">
        <w:r w:rsidRPr="000627CC">
          <w:rPr>
            <w:rStyle w:val="Hyperlink"/>
            <w:sz w:val="24"/>
            <w:szCs w:val="24"/>
          </w:rPr>
          <w:t>https://www.govinfo.gov/content/pkg/USCODE-2009-title42/pdf/USCODE-2009-title42-chap8.pdf</w:t>
        </w:r>
      </w:hyperlink>
    </w:p>
    <w:p w:rsidR="004F1C90" w:rsidP="0087587D" w14:paraId="0FEF77FB" w14:textId="77777777">
      <w:pPr>
        <w:pStyle w:val="ListParagraph"/>
        <w:ind w:left="360"/>
        <w:rPr>
          <w:sz w:val="24"/>
          <w:szCs w:val="24"/>
        </w:rPr>
      </w:pPr>
    </w:p>
    <w:p w:rsidR="00A125FE" w:rsidP="0087587D" w14:paraId="7A4C3765" w14:textId="77777777">
      <w:pPr>
        <w:ind w:firstLine="720"/>
        <w:rPr>
          <w:sz w:val="24"/>
          <w:szCs w:val="24"/>
        </w:rPr>
      </w:pPr>
      <w:r w:rsidRPr="00A125FE">
        <w:rPr>
          <w:sz w:val="24"/>
          <w:szCs w:val="24"/>
        </w:rPr>
        <w:t xml:space="preserve">NAHASDA: </w:t>
      </w:r>
    </w:p>
    <w:p w:rsidR="00A125FE" w:rsidP="0087587D" w14:paraId="48834BFE" w14:textId="77777777">
      <w:pPr>
        <w:pStyle w:val="ListParagraph"/>
        <w:numPr>
          <w:ilvl w:val="0"/>
          <w:numId w:val="17"/>
        </w:numPr>
        <w:ind w:left="1080"/>
        <w:rPr>
          <w:sz w:val="24"/>
          <w:szCs w:val="24"/>
        </w:rPr>
      </w:pPr>
      <w:r w:rsidRPr="00A125FE">
        <w:rPr>
          <w:sz w:val="24"/>
          <w:szCs w:val="24"/>
        </w:rPr>
        <w:t xml:space="preserve">Section 104(b): </w:t>
      </w:r>
      <w:r w:rsidRPr="000C30BD">
        <w:t xml:space="preserve"> </w:t>
      </w:r>
      <w:r w:rsidRPr="00A125FE">
        <w:rPr>
          <w:sz w:val="24"/>
          <w:szCs w:val="24"/>
        </w:rPr>
        <w:t xml:space="preserve">25 U.S.C. 4114(b), </w:t>
      </w:r>
      <w:hyperlink r:id="rId9" w:history="1">
        <w:r w:rsidRPr="00A125FE">
          <w:rPr>
            <w:rStyle w:val="Hyperlink"/>
            <w:sz w:val="24"/>
            <w:szCs w:val="24"/>
          </w:rPr>
          <w:t>https://uscode.house.gov/view.xhtml?req=(title:25%20section:4114%20edition:prelim)</w:t>
        </w:r>
      </w:hyperlink>
    </w:p>
    <w:p w:rsidR="00A125FE" w:rsidRPr="00A125FE" w:rsidP="0087587D" w14:paraId="7E6645AD" w14:textId="512661D0">
      <w:pPr>
        <w:pStyle w:val="ListParagraph"/>
        <w:numPr>
          <w:ilvl w:val="0"/>
          <w:numId w:val="17"/>
        </w:numPr>
        <w:ind w:left="1080"/>
        <w:rPr>
          <w:sz w:val="24"/>
          <w:szCs w:val="24"/>
        </w:rPr>
      </w:pPr>
      <w:r w:rsidRPr="00A125FE">
        <w:rPr>
          <w:sz w:val="24"/>
          <w:szCs w:val="24"/>
        </w:rPr>
        <w:t xml:space="preserve">Section 805(b): 25 U.S.C. 4225(b), </w:t>
      </w:r>
      <w:hyperlink r:id="rId10" w:history="1">
        <w:r w:rsidRPr="00A125FE">
          <w:rPr>
            <w:rStyle w:val="Hyperlink"/>
            <w:sz w:val="24"/>
            <w:szCs w:val="24"/>
          </w:rPr>
          <w:t>https://uscode.house.gov/view.xhtml?req=(title:25%20section:4225%20edition:prelim)</w:t>
        </w:r>
      </w:hyperlink>
    </w:p>
    <w:p w:rsidR="004F1C90" w:rsidP="004F1C90" w14:paraId="70DA9B64" w14:textId="348C09AA">
      <w:pPr>
        <w:pStyle w:val="ListParagraph"/>
        <w:rPr>
          <w:sz w:val="24"/>
          <w:szCs w:val="24"/>
        </w:rPr>
      </w:pPr>
    </w:p>
    <w:p w:rsidR="000F674B" w:rsidRPr="006C7FAE" w:rsidP="000F674B" w14:paraId="649F389C" w14:textId="77777777">
      <w:pPr>
        <w:tabs>
          <w:tab w:val="left" w:pos="360"/>
        </w:tabs>
        <w:ind w:left="360" w:hanging="360"/>
        <w:rPr>
          <w:sz w:val="24"/>
          <w:szCs w:val="24"/>
        </w:rPr>
      </w:pPr>
    </w:p>
    <w:p w:rsidR="000F674B" w:rsidP="000F674B" w14:paraId="4B4BA6D1" w14:textId="77777777">
      <w:pPr>
        <w:keepLines/>
        <w:tabs>
          <w:tab w:val="left" w:pos="360"/>
        </w:tabs>
        <w:spacing w:after="80"/>
        <w:ind w:left="360" w:hanging="360"/>
        <w:rPr>
          <w:sz w:val="24"/>
          <w:szCs w:val="24"/>
        </w:rPr>
      </w:pPr>
      <w:r w:rsidRPr="006C7FAE">
        <w:rPr>
          <w:sz w:val="24"/>
          <w:szCs w:val="24"/>
        </w:rPr>
        <w:t>2.</w:t>
      </w:r>
      <w:r w:rsidRPr="006C7FAE">
        <w:rPr>
          <w:sz w:val="24"/>
          <w:szCs w:val="24"/>
        </w:rPr>
        <w:tab/>
        <w:t>Indicate how, by whom and for what purpose the information is to be used.  Except for a new collection, indicate the actual use the agency has made of the information received from the current collection.</w:t>
      </w:r>
    </w:p>
    <w:p w:rsidR="003708D2" w:rsidP="005E0F54" w14:paraId="4084B32B" w14:textId="77777777">
      <w:pPr>
        <w:pStyle w:val="NoSpacing"/>
      </w:pPr>
    </w:p>
    <w:p w:rsidR="0021479F" w:rsidP="0087587D" w14:paraId="1004597E" w14:textId="4F05B738">
      <w:pPr>
        <w:ind w:left="360"/>
        <w:rPr>
          <w:color w:val="000000" w:themeColor="text1"/>
          <w:sz w:val="24"/>
          <w:szCs w:val="24"/>
        </w:rPr>
      </w:pPr>
      <w:r w:rsidRPr="0008583D">
        <w:rPr>
          <w:color w:val="000000" w:themeColor="text1"/>
          <w:sz w:val="24"/>
          <w:szCs w:val="24"/>
        </w:rPr>
        <w:t xml:space="preserve">This is a request for reinstatement without change. </w:t>
      </w:r>
      <w:r w:rsidRPr="0021479F">
        <w:rPr>
          <w:color w:val="000000" w:themeColor="text1"/>
          <w:sz w:val="24"/>
          <w:szCs w:val="24"/>
        </w:rPr>
        <w:t xml:space="preserve">HUD forms 4750, 4751, and 4752 will be collected electronically going forward using an online Microsoft Forms application or a similar application. HUD uses information collected from </w:t>
      </w:r>
      <w:r>
        <w:rPr>
          <w:color w:val="000000" w:themeColor="text1"/>
          <w:sz w:val="24"/>
          <w:szCs w:val="24"/>
        </w:rPr>
        <w:t xml:space="preserve">HUD </w:t>
      </w:r>
      <w:r w:rsidRPr="0021479F">
        <w:rPr>
          <w:color w:val="000000" w:themeColor="text1"/>
          <w:sz w:val="24"/>
          <w:szCs w:val="24"/>
        </w:rPr>
        <w:t xml:space="preserve">forms 4750 – 4752 to determine or adopt prevailing wage rates for maintenance laborers and mechanics employed on low income and affordable housing projects subject to Federal labor standards provisions. The entities providing the </w:t>
      </w:r>
      <w:r w:rsidRPr="0021479F">
        <w:rPr>
          <w:color w:val="000000" w:themeColor="text1"/>
          <w:sz w:val="24"/>
          <w:szCs w:val="24"/>
        </w:rPr>
        <w:t>information electronically in the forms are PHAs, TDHEs, and DHHLs that have access to computers and the internet – they are not individuals.</w:t>
      </w:r>
    </w:p>
    <w:p w:rsidR="00422BDF" w:rsidRPr="006C7FAE" w:rsidP="005E0F54" w14:paraId="5A01DEB9" w14:textId="77777777">
      <w:pPr>
        <w:pStyle w:val="NoSpacing"/>
      </w:pPr>
    </w:p>
    <w:p w:rsidR="000F674B" w:rsidRPr="006C7FAE" w:rsidP="0008583D" w14:paraId="5A9C6519" w14:textId="2952C120">
      <w:pPr>
        <w:pStyle w:val="NoSpacing"/>
      </w:pPr>
    </w:p>
    <w:p w:rsidR="000F674B" w:rsidP="000F674B" w14:paraId="3CDF571C" w14:textId="77777777">
      <w:pPr>
        <w:keepLines/>
        <w:tabs>
          <w:tab w:val="left" w:pos="360"/>
        </w:tabs>
        <w:spacing w:after="80"/>
        <w:ind w:left="360" w:hanging="360"/>
        <w:rPr>
          <w:sz w:val="24"/>
          <w:szCs w:val="24"/>
        </w:rPr>
      </w:pPr>
      <w:r w:rsidRPr="006C7FAE">
        <w:rPr>
          <w:sz w:val="24"/>
          <w:szCs w:val="24"/>
        </w:rPr>
        <w:t>3.</w:t>
      </w:r>
      <w:r w:rsidRPr="006C7FAE">
        <w:rPr>
          <w:sz w:val="24"/>
          <w:szCs w:val="24"/>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6C7FAE">
        <w:rPr>
          <w:sz w:val="24"/>
          <w:szCs w:val="24"/>
        </w:rPr>
        <w:t>for adopting</w:t>
      </w:r>
      <w:r w:rsidRPr="006C7FAE">
        <w:rPr>
          <w:sz w:val="24"/>
          <w:szCs w:val="24"/>
        </w:rPr>
        <w:t xml:space="preserve"> this means of collection.  Also describe any consideration of using information technology to reduce burden.</w:t>
      </w:r>
    </w:p>
    <w:p w:rsidR="0087587D" w:rsidP="0087587D" w14:paraId="7A54D49F" w14:textId="77777777">
      <w:pPr>
        <w:pStyle w:val="NoSpacing"/>
      </w:pPr>
    </w:p>
    <w:p w:rsidR="00FD18DC" w:rsidRPr="000E5431" w:rsidP="0087587D" w14:paraId="54C2E54A" w14:textId="6FE9E075">
      <w:pPr>
        <w:ind w:left="360"/>
        <w:rPr>
          <w:sz w:val="24"/>
          <w:szCs w:val="24"/>
        </w:rPr>
      </w:pPr>
      <w:r w:rsidRPr="000E5431">
        <w:rPr>
          <w:sz w:val="24"/>
          <w:szCs w:val="24"/>
        </w:rPr>
        <w:t xml:space="preserve">These forms are available in a Word-fillable format. These forms are referenced in #12 below. </w:t>
      </w:r>
      <w:r>
        <w:rPr>
          <w:sz w:val="24"/>
          <w:szCs w:val="24"/>
        </w:rPr>
        <w:t>PHA, Indian tribes, TDHE, and DHHL (collectively Agencies)</w:t>
      </w:r>
      <w:r w:rsidRPr="000E5431">
        <w:rPr>
          <w:sz w:val="24"/>
          <w:szCs w:val="24"/>
        </w:rPr>
        <w:t xml:space="preserve"> sen</w:t>
      </w:r>
      <w:r>
        <w:rPr>
          <w:sz w:val="24"/>
          <w:szCs w:val="24"/>
        </w:rPr>
        <w:t>d the forms</w:t>
      </w:r>
      <w:r w:rsidRPr="000E5431">
        <w:rPr>
          <w:sz w:val="24"/>
          <w:szCs w:val="24"/>
        </w:rPr>
        <w:t xml:space="preserve"> via e</w:t>
      </w:r>
      <w:r>
        <w:rPr>
          <w:sz w:val="24"/>
          <w:szCs w:val="24"/>
        </w:rPr>
        <w:t>-</w:t>
      </w:r>
      <w:r w:rsidRPr="000E5431">
        <w:rPr>
          <w:sz w:val="24"/>
          <w:szCs w:val="24"/>
        </w:rPr>
        <w:t>mail or U</w:t>
      </w:r>
      <w:r>
        <w:rPr>
          <w:sz w:val="24"/>
          <w:szCs w:val="24"/>
        </w:rPr>
        <w:t xml:space="preserve">nited </w:t>
      </w:r>
      <w:r w:rsidRPr="000E5431">
        <w:rPr>
          <w:sz w:val="24"/>
          <w:szCs w:val="24"/>
        </w:rPr>
        <w:t>S</w:t>
      </w:r>
      <w:r>
        <w:rPr>
          <w:sz w:val="24"/>
          <w:szCs w:val="24"/>
        </w:rPr>
        <w:t xml:space="preserve">tates </w:t>
      </w:r>
      <w:r w:rsidRPr="000E5431">
        <w:rPr>
          <w:sz w:val="24"/>
          <w:szCs w:val="24"/>
        </w:rPr>
        <w:t>P</w:t>
      </w:r>
      <w:r>
        <w:rPr>
          <w:sz w:val="24"/>
          <w:szCs w:val="24"/>
        </w:rPr>
        <w:t xml:space="preserve">ostal </w:t>
      </w:r>
      <w:r w:rsidRPr="000E5431">
        <w:rPr>
          <w:sz w:val="24"/>
          <w:szCs w:val="24"/>
        </w:rPr>
        <w:t>S</w:t>
      </w:r>
      <w:r>
        <w:rPr>
          <w:sz w:val="24"/>
          <w:szCs w:val="24"/>
        </w:rPr>
        <w:t>ervice</w:t>
      </w:r>
      <w:r w:rsidRPr="000E5431">
        <w:rPr>
          <w:sz w:val="24"/>
          <w:szCs w:val="24"/>
        </w:rPr>
        <w:t xml:space="preserve"> to HUD at the request of HUD staff for that jurisdiction</w:t>
      </w:r>
      <w:r w:rsidR="0087587D">
        <w:rPr>
          <w:sz w:val="24"/>
          <w:szCs w:val="24"/>
        </w:rPr>
        <w:t xml:space="preserve"> (see website </w:t>
      </w:r>
      <w:hyperlink r:id="rId11" w:history="1">
        <w:r w:rsidRPr="008F3B51" w:rsidR="0087587D">
          <w:rPr>
            <w:rStyle w:val="Hyperlink"/>
            <w:sz w:val="24"/>
            <w:szCs w:val="24"/>
          </w:rPr>
          <w:t>https://www.hud.gov/contactus/local</w:t>
        </w:r>
      </w:hyperlink>
      <w:r w:rsidR="0087587D">
        <w:rPr>
          <w:sz w:val="24"/>
          <w:szCs w:val="24"/>
        </w:rPr>
        <w:t xml:space="preserve">). </w:t>
      </w:r>
      <w:r w:rsidRPr="000E5431">
        <w:rPr>
          <w:sz w:val="24"/>
          <w:szCs w:val="24"/>
        </w:rPr>
        <w:t>Any further consideration of using information technology will not reduce the burden for the respondents.</w:t>
      </w:r>
    </w:p>
    <w:p w:rsidR="000F674B" w:rsidP="000F674B" w14:paraId="0E359FEE" w14:textId="77777777">
      <w:pPr>
        <w:tabs>
          <w:tab w:val="left" w:pos="360"/>
        </w:tabs>
        <w:ind w:left="360" w:hanging="360"/>
        <w:rPr>
          <w:sz w:val="24"/>
          <w:szCs w:val="24"/>
        </w:rPr>
      </w:pPr>
    </w:p>
    <w:p w:rsidR="000F674B" w:rsidP="000F674B" w14:paraId="0B71AD51" w14:textId="77777777">
      <w:pPr>
        <w:keepLines/>
        <w:tabs>
          <w:tab w:val="left" w:pos="360"/>
        </w:tabs>
        <w:spacing w:after="80"/>
        <w:ind w:left="360" w:hanging="360"/>
        <w:rPr>
          <w:sz w:val="24"/>
          <w:szCs w:val="24"/>
        </w:rPr>
      </w:pPr>
      <w:r w:rsidRPr="006C7FAE">
        <w:rPr>
          <w:sz w:val="24"/>
          <w:szCs w:val="24"/>
        </w:rPr>
        <w:t>4.</w:t>
      </w:r>
      <w:r w:rsidRPr="006C7FAE">
        <w:rPr>
          <w:sz w:val="24"/>
          <w:szCs w:val="24"/>
        </w:rPr>
        <w:tab/>
        <w:t>Describe efforts to identify duplication.  Show specifically why any similar information already available cannot be used or modified for use for the purposes described in Item 2 above.</w:t>
      </w:r>
    </w:p>
    <w:p w:rsidR="00E17AC7" w:rsidRPr="006C7FAE" w:rsidP="000F674B" w14:paraId="27C6E759" w14:textId="77777777">
      <w:pPr>
        <w:keepLines/>
        <w:tabs>
          <w:tab w:val="left" w:pos="360"/>
        </w:tabs>
        <w:spacing w:after="80"/>
        <w:ind w:left="360" w:hanging="360"/>
        <w:rPr>
          <w:sz w:val="24"/>
          <w:szCs w:val="24"/>
        </w:rPr>
      </w:pPr>
    </w:p>
    <w:p w:rsidR="00E17AC7" w:rsidRPr="000E5431" w:rsidP="0087587D" w14:paraId="7B007A36" w14:textId="6272B9B0">
      <w:pPr>
        <w:pStyle w:val="ListParagraph"/>
        <w:ind w:left="360"/>
        <w:rPr>
          <w:sz w:val="24"/>
          <w:szCs w:val="24"/>
        </w:rPr>
      </w:pPr>
      <w:r>
        <w:rPr>
          <w:sz w:val="24"/>
          <w:szCs w:val="24"/>
        </w:rPr>
        <w:t>There is no dupl</w:t>
      </w:r>
      <w:r w:rsidR="003A0BB5">
        <w:rPr>
          <w:sz w:val="24"/>
          <w:szCs w:val="24"/>
        </w:rPr>
        <w:t>ication of information</w:t>
      </w:r>
      <w:r w:rsidR="0008583D">
        <w:rPr>
          <w:sz w:val="24"/>
          <w:szCs w:val="24"/>
        </w:rPr>
        <w:t xml:space="preserve">. There is no similar information already available. Which could be used or modified for this purpose. </w:t>
      </w:r>
      <w:r w:rsidR="003A0BB5">
        <w:rPr>
          <w:sz w:val="24"/>
          <w:szCs w:val="24"/>
        </w:rPr>
        <w:t xml:space="preserve"> </w:t>
      </w:r>
    </w:p>
    <w:p w:rsidR="000F674B" w:rsidRPr="006C7FAE" w:rsidP="000F674B" w14:paraId="1CD7F43C" w14:textId="77777777">
      <w:pPr>
        <w:keepLines/>
        <w:tabs>
          <w:tab w:val="left" w:pos="360"/>
          <w:tab w:val="left" w:pos="720"/>
        </w:tabs>
        <w:ind w:left="360"/>
        <w:rPr>
          <w:sz w:val="24"/>
          <w:szCs w:val="24"/>
        </w:rPr>
      </w:pPr>
    </w:p>
    <w:p w:rsidR="000F674B" w:rsidRPr="006C7FAE" w:rsidP="000F674B" w14:paraId="23C15E44" w14:textId="77777777">
      <w:pPr>
        <w:keepLines/>
        <w:tabs>
          <w:tab w:val="left" w:pos="360"/>
        </w:tabs>
        <w:spacing w:after="80"/>
        <w:ind w:left="360" w:hanging="360"/>
        <w:rPr>
          <w:sz w:val="24"/>
          <w:szCs w:val="24"/>
        </w:rPr>
      </w:pPr>
      <w:r w:rsidRPr="006C7FAE">
        <w:rPr>
          <w:sz w:val="24"/>
          <w:szCs w:val="24"/>
        </w:rPr>
        <w:t>5.</w:t>
      </w:r>
      <w:r w:rsidRPr="006C7FAE">
        <w:rPr>
          <w:sz w:val="24"/>
          <w:szCs w:val="24"/>
        </w:rPr>
        <w:tab/>
        <w:t>If the collection of information impacts small businesses or other small entities describe any methods used to minimize burden.</w:t>
      </w:r>
    </w:p>
    <w:p w:rsidR="000F674B" w:rsidP="000F674B" w14:paraId="4C4A2095" w14:textId="77777777">
      <w:pPr>
        <w:ind w:firstLine="360"/>
        <w:rPr>
          <w:sz w:val="24"/>
          <w:szCs w:val="24"/>
        </w:rPr>
      </w:pPr>
    </w:p>
    <w:p w:rsidR="009F01C9" w:rsidP="0087587D" w14:paraId="62B2CC40" w14:textId="4A69A2A6">
      <w:pPr>
        <w:ind w:left="360"/>
        <w:rPr>
          <w:sz w:val="24"/>
          <w:szCs w:val="24"/>
        </w:rPr>
      </w:pPr>
      <w:r w:rsidRPr="002F188E">
        <w:rPr>
          <w:sz w:val="24"/>
          <w:szCs w:val="24"/>
        </w:rPr>
        <w:t>The information collection does not adversely impact small businesses or other small entities.</w:t>
      </w:r>
      <w:r>
        <w:rPr>
          <w:sz w:val="24"/>
          <w:szCs w:val="24"/>
        </w:rPr>
        <w:t xml:space="preserve"> </w:t>
      </w:r>
      <w:r w:rsidRPr="000E5431">
        <w:rPr>
          <w:sz w:val="24"/>
          <w:szCs w:val="24"/>
        </w:rPr>
        <w:t xml:space="preserve">For small </w:t>
      </w:r>
      <w:r>
        <w:rPr>
          <w:sz w:val="24"/>
          <w:szCs w:val="24"/>
        </w:rPr>
        <w:t>Agencies</w:t>
      </w:r>
      <w:r w:rsidRPr="000E5431">
        <w:rPr>
          <w:sz w:val="24"/>
          <w:szCs w:val="24"/>
        </w:rPr>
        <w:t xml:space="preserve">, HUD works to minimize the impact by recommending they </w:t>
      </w:r>
      <w:r w:rsidRPr="001622AB">
        <w:rPr>
          <w:sz w:val="24"/>
          <w:szCs w:val="24"/>
        </w:rPr>
        <w:t xml:space="preserve">obtain wage rates from existing published sources (e.g., </w:t>
      </w:r>
      <w:r>
        <w:rPr>
          <w:sz w:val="24"/>
          <w:szCs w:val="24"/>
        </w:rPr>
        <w:t xml:space="preserve">DOL </w:t>
      </w:r>
      <w:r w:rsidRPr="001622AB">
        <w:rPr>
          <w:sz w:val="24"/>
          <w:szCs w:val="24"/>
        </w:rPr>
        <w:t>Bureau of Labor</w:t>
      </w:r>
      <w:r>
        <w:rPr>
          <w:sz w:val="24"/>
          <w:szCs w:val="24"/>
        </w:rPr>
        <w:t xml:space="preserve"> Statistics or </w:t>
      </w:r>
      <w:r w:rsidRPr="001622AB">
        <w:rPr>
          <w:sz w:val="24"/>
          <w:szCs w:val="24"/>
        </w:rPr>
        <w:t>state or local government entities)</w:t>
      </w:r>
      <w:r w:rsidRPr="000E5431">
        <w:rPr>
          <w:sz w:val="24"/>
          <w:szCs w:val="24"/>
        </w:rPr>
        <w:t>, instead of using HUD forms 475</w:t>
      </w:r>
      <w:r>
        <w:rPr>
          <w:sz w:val="24"/>
          <w:szCs w:val="24"/>
        </w:rPr>
        <w:t xml:space="preserve">1 and </w:t>
      </w:r>
      <w:r w:rsidRPr="000E5431">
        <w:rPr>
          <w:sz w:val="24"/>
          <w:szCs w:val="24"/>
        </w:rPr>
        <w:t>4752. However, it is necessary to collect this information to meet statutory requirements</w:t>
      </w:r>
      <w:r>
        <w:rPr>
          <w:sz w:val="24"/>
          <w:szCs w:val="24"/>
        </w:rPr>
        <w:t>.</w:t>
      </w:r>
    </w:p>
    <w:p w:rsidR="000F674B" w:rsidP="009F01C9" w14:paraId="300A2E4D" w14:textId="60036F06">
      <w:pPr>
        <w:tabs>
          <w:tab w:val="left" w:pos="360"/>
        </w:tabs>
        <w:rPr>
          <w:sz w:val="24"/>
          <w:szCs w:val="24"/>
        </w:rPr>
      </w:pPr>
    </w:p>
    <w:p w:rsidR="000F674B" w:rsidRPr="006C7FAE" w:rsidP="000F674B" w14:paraId="119F0B21" w14:textId="77777777">
      <w:pPr>
        <w:keepLines/>
        <w:tabs>
          <w:tab w:val="left" w:pos="360"/>
        </w:tabs>
        <w:spacing w:after="80"/>
        <w:ind w:left="360" w:hanging="360"/>
        <w:rPr>
          <w:sz w:val="24"/>
          <w:szCs w:val="24"/>
        </w:rPr>
      </w:pPr>
      <w:r w:rsidRPr="006C7FAE">
        <w:rPr>
          <w:sz w:val="24"/>
          <w:szCs w:val="24"/>
        </w:rPr>
        <w:t>6.</w:t>
      </w:r>
      <w:r w:rsidRPr="006C7FAE">
        <w:rPr>
          <w:sz w:val="24"/>
          <w:szCs w:val="24"/>
        </w:rPr>
        <w:tab/>
        <w:t xml:space="preserve">Describe the </w:t>
      </w:r>
      <w:r w:rsidRPr="006C7FAE">
        <w:rPr>
          <w:sz w:val="24"/>
          <w:szCs w:val="24"/>
        </w:rPr>
        <w:t>consequence</w:t>
      </w:r>
      <w:r w:rsidRPr="006C7FAE">
        <w:rPr>
          <w:sz w:val="24"/>
          <w:szCs w:val="24"/>
        </w:rPr>
        <w:t xml:space="preserve"> </w:t>
      </w:r>
      <w:r w:rsidRPr="006C7FAE">
        <w:rPr>
          <w:sz w:val="24"/>
          <w:szCs w:val="24"/>
        </w:rPr>
        <w:t>to</w:t>
      </w:r>
      <w:r w:rsidRPr="006C7FAE">
        <w:rPr>
          <w:sz w:val="24"/>
          <w:szCs w:val="24"/>
        </w:rPr>
        <w:t xml:space="preserve"> Federal program or policy activities if the collection is not conducted or is conducted less frequently, as well as any technical or legal obstacles to reducing burden.</w:t>
      </w:r>
    </w:p>
    <w:p w:rsidR="000F674B" w:rsidP="000F674B" w14:paraId="1D7AAB96" w14:textId="77777777">
      <w:pPr>
        <w:ind w:right="144" w:firstLine="360"/>
        <w:rPr>
          <w:color w:val="000000"/>
          <w:sz w:val="24"/>
          <w:szCs w:val="24"/>
        </w:rPr>
      </w:pPr>
    </w:p>
    <w:p w:rsidR="00241ADB" w:rsidP="0087587D" w14:paraId="15312E8C" w14:textId="77777777">
      <w:pPr>
        <w:ind w:left="360"/>
        <w:rPr>
          <w:sz w:val="24"/>
          <w:szCs w:val="24"/>
          <w:lang w:val="en"/>
        </w:rPr>
      </w:pPr>
      <w:r w:rsidRPr="000E5431">
        <w:rPr>
          <w:sz w:val="24"/>
          <w:szCs w:val="24"/>
        </w:rPr>
        <w:t xml:space="preserve">HUD would be in direct violation of the </w:t>
      </w:r>
      <w:r>
        <w:rPr>
          <w:sz w:val="24"/>
          <w:szCs w:val="24"/>
        </w:rPr>
        <w:t>following Acts:</w:t>
      </w:r>
    </w:p>
    <w:p w:rsidR="00241ADB" w:rsidP="0087587D" w14:paraId="1AD36995" w14:textId="77777777">
      <w:pPr>
        <w:pStyle w:val="ListParagraph"/>
        <w:numPr>
          <w:ilvl w:val="0"/>
          <w:numId w:val="15"/>
        </w:numPr>
        <w:overflowPunct/>
        <w:autoSpaceDE/>
        <w:autoSpaceDN/>
        <w:adjustRightInd/>
        <w:spacing w:after="160" w:line="259" w:lineRule="auto"/>
        <w:ind w:left="1080"/>
        <w:textAlignment w:val="auto"/>
        <w:rPr>
          <w:sz w:val="24"/>
          <w:szCs w:val="24"/>
        </w:rPr>
      </w:pPr>
      <w:r w:rsidRPr="00FF57B9">
        <w:rPr>
          <w:sz w:val="24"/>
          <w:szCs w:val="24"/>
        </w:rPr>
        <w:t>U.S. Housing Act</w:t>
      </w:r>
      <w:r>
        <w:rPr>
          <w:sz w:val="24"/>
          <w:szCs w:val="24"/>
        </w:rPr>
        <w:t xml:space="preserve"> </w:t>
      </w:r>
      <w:r w:rsidRPr="00FF57B9">
        <w:rPr>
          <w:sz w:val="24"/>
          <w:szCs w:val="24"/>
        </w:rPr>
        <w:t>of 1937 as amended</w:t>
      </w:r>
      <w:r>
        <w:rPr>
          <w:sz w:val="24"/>
          <w:szCs w:val="24"/>
        </w:rPr>
        <w:t xml:space="preserve">, </w:t>
      </w:r>
      <w:r w:rsidRPr="00FF57B9">
        <w:rPr>
          <w:sz w:val="24"/>
          <w:szCs w:val="24"/>
        </w:rPr>
        <w:t>pursuant to Section 12(a)</w:t>
      </w:r>
      <w:r>
        <w:rPr>
          <w:sz w:val="24"/>
          <w:szCs w:val="24"/>
        </w:rPr>
        <w:t xml:space="preserve">: </w:t>
      </w:r>
      <w:r w:rsidRPr="000E5431">
        <w:rPr>
          <w:sz w:val="24"/>
          <w:szCs w:val="24"/>
        </w:rPr>
        <w:t>“</w:t>
      </w:r>
      <w:r>
        <w:rPr>
          <w:sz w:val="24"/>
          <w:szCs w:val="24"/>
        </w:rPr>
        <w:t>A</w:t>
      </w:r>
      <w:r w:rsidRPr="000E5431">
        <w:rPr>
          <w:sz w:val="24"/>
          <w:szCs w:val="24"/>
        </w:rPr>
        <w:t>ny contract for loans, contributions, sale, or lease pursuant to this chapter shall contain a provision requiring that not less than the wages prevailing in the locality, as determined or adopted (subsequent to a determination under applicable State or local law) by the Secretary, shall be paid to all architects, technical engineers, draftsmen, and technicians employed in the development, and all maintenance laborers and mechanics employed in the operation, of the low-income housing project involved.”  (</w:t>
      </w:r>
      <w:r w:rsidRPr="000E5431">
        <w:rPr>
          <w:sz w:val="24"/>
          <w:szCs w:val="24"/>
          <w:lang w:val="en"/>
        </w:rPr>
        <w:t>42 U.S. Code § 1437j)</w:t>
      </w:r>
    </w:p>
    <w:p w:rsidR="00241ADB" w:rsidRPr="00FF2A68" w:rsidP="0087587D" w14:paraId="3B863FDD" w14:textId="77777777">
      <w:pPr>
        <w:pStyle w:val="ListParagraph"/>
        <w:numPr>
          <w:ilvl w:val="0"/>
          <w:numId w:val="15"/>
        </w:numPr>
        <w:overflowPunct/>
        <w:autoSpaceDE/>
        <w:autoSpaceDN/>
        <w:adjustRightInd/>
        <w:spacing w:after="160" w:line="259" w:lineRule="auto"/>
        <w:ind w:left="1080"/>
        <w:textAlignment w:val="auto"/>
        <w:rPr>
          <w:sz w:val="24"/>
          <w:szCs w:val="24"/>
        </w:rPr>
      </w:pPr>
      <w:r w:rsidRPr="00FF2A68">
        <w:rPr>
          <w:sz w:val="24"/>
          <w:szCs w:val="24"/>
        </w:rPr>
        <w:t xml:space="preserve">Native American Housing </w:t>
      </w:r>
      <w:r>
        <w:rPr>
          <w:sz w:val="24"/>
          <w:szCs w:val="24"/>
        </w:rPr>
        <w:t xml:space="preserve">Assistance </w:t>
      </w:r>
      <w:r w:rsidRPr="00FF2A68">
        <w:rPr>
          <w:sz w:val="24"/>
          <w:szCs w:val="24"/>
        </w:rPr>
        <w:t>and Self-Determination Act of 1996 as amended, pursuant to Section 104(b)</w:t>
      </w:r>
      <w:r>
        <w:rPr>
          <w:sz w:val="24"/>
          <w:szCs w:val="24"/>
        </w:rPr>
        <w:t>(1)</w:t>
      </w:r>
      <w:r w:rsidRPr="00FF2A68">
        <w:rPr>
          <w:sz w:val="24"/>
          <w:szCs w:val="24"/>
        </w:rPr>
        <w:t xml:space="preserve">: “- Any contract or agreement for assistance, sale, or lease pursuant to this Act shall contain a provision requiring that not less than the wages prevailing </w:t>
      </w:r>
      <w:r w:rsidRPr="00FF2A68">
        <w:rPr>
          <w:sz w:val="24"/>
          <w:szCs w:val="24"/>
        </w:rPr>
        <w:t>in the locality, as determined or adopted (subsequent to a determination under applicable State, tribal, or local law) by the Secretary, shall be paid to all architects, technical engineers, draftsmen, and technicians employed in the development, and all maintenance laborers and mechanics employed in the operation, of the affordable housing project involved; and shall also contain a provision that not less than the wages prevailing in the locality, as predetermined by the Secretary of Labor pursuant to the Act of March 3, 1931 (commonly known as the Davis-Bacon Act; chapter 411; 46 Stat. 1494; 40 U.S.C. 276a et seq.), shall be paid to all laborers and mechanics employed in the development of the affordable housing involved, and the Secretary shall require certification as to compliance with the provisions of this paragraph before making any payment under such contract or agreement</w:t>
      </w:r>
      <w:r>
        <w:rPr>
          <w:sz w:val="24"/>
          <w:szCs w:val="24"/>
        </w:rPr>
        <w:t>.” (</w:t>
      </w:r>
      <w:r w:rsidRPr="007B49F0">
        <w:rPr>
          <w:sz w:val="24"/>
          <w:szCs w:val="24"/>
        </w:rPr>
        <w:t>25 U</w:t>
      </w:r>
      <w:r>
        <w:rPr>
          <w:sz w:val="24"/>
          <w:szCs w:val="24"/>
        </w:rPr>
        <w:t>.</w:t>
      </w:r>
      <w:r w:rsidRPr="007B49F0">
        <w:rPr>
          <w:sz w:val="24"/>
          <w:szCs w:val="24"/>
        </w:rPr>
        <w:t>S</w:t>
      </w:r>
      <w:r>
        <w:rPr>
          <w:sz w:val="24"/>
          <w:szCs w:val="24"/>
        </w:rPr>
        <w:t xml:space="preserve">. </w:t>
      </w:r>
      <w:r w:rsidRPr="007B49F0">
        <w:rPr>
          <w:sz w:val="24"/>
          <w:szCs w:val="24"/>
        </w:rPr>
        <w:t>C</w:t>
      </w:r>
      <w:r>
        <w:rPr>
          <w:sz w:val="24"/>
          <w:szCs w:val="24"/>
        </w:rPr>
        <w:t>ode §</w:t>
      </w:r>
      <w:r w:rsidRPr="007B49F0">
        <w:rPr>
          <w:sz w:val="24"/>
          <w:szCs w:val="24"/>
        </w:rPr>
        <w:t xml:space="preserve"> 4114</w:t>
      </w:r>
      <w:r>
        <w:rPr>
          <w:sz w:val="24"/>
          <w:szCs w:val="24"/>
        </w:rPr>
        <w:t>)</w:t>
      </w:r>
    </w:p>
    <w:p w:rsidR="00241ADB" w:rsidRPr="007C5572" w:rsidP="0087587D" w14:paraId="284CC6BF" w14:textId="77777777">
      <w:pPr>
        <w:pStyle w:val="ListParagraph"/>
        <w:numPr>
          <w:ilvl w:val="0"/>
          <w:numId w:val="15"/>
        </w:numPr>
        <w:overflowPunct/>
        <w:autoSpaceDE/>
        <w:autoSpaceDN/>
        <w:adjustRightInd/>
        <w:spacing w:after="160" w:line="259" w:lineRule="auto"/>
        <w:ind w:left="1080"/>
        <w:textAlignment w:val="auto"/>
        <w:rPr>
          <w:sz w:val="24"/>
          <w:szCs w:val="24"/>
        </w:rPr>
      </w:pPr>
      <w:r w:rsidRPr="00E64F8C">
        <w:rPr>
          <w:sz w:val="24"/>
          <w:szCs w:val="24"/>
        </w:rPr>
        <w:t>Native American Housing</w:t>
      </w:r>
      <w:r>
        <w:rPr>
          <w:sz w:val="24"/>
          <w:szCs w:val="24"/>
        </w:rPr>
        <w:t xml:space="preserve"> Assistance</w:t>
      </w:r>
      <w:r w:rsidRPr="00E64F8C">
        <w:rPr>
          <w:sz w:val="24"/>
          <w:szCs w:val="24"/>
        </w:rPr>
        <w:t xml:space="preserve"> and Self-Determination Act of 1996 as amended, pursuant to Section 805(b)(1)(</w:t>
      </w:r>
      <w:r>
        <w:rPr>
          <w:sz w:val="24"/>
          <w:szCs w:val="24"/>
        </w:rPr>
        <w:t>A</w:t>
      </w:r>
      <w:r w:rsidRPr="00E64F8C">
        <w:rPr>
          <w:sz w:val="24"/>
          <w:szCs w:val="24"/>
        </w:rPr>
        <w:t xml:space="preserve">): “a provision requiring that an amount not less than the wages prevailing in the locality, as determined or adopted (subsequent to </w:t>
      </w:r>
      <w:r w:rsidRPr="007C5572">
        <w:rPr>
          <w:sz w:val="24"/>
          <w:szCs w:val="24"/>
        </w:rPr>
        <w:t>a</w:t>
      </w:r>
      <w:r w:rsidRPr="00E64F8C">
        <w:rPr>
          <w:sz w:val="24"/>
          <w:szCs w:val="24"/>
        </w:rPr>
        <w:t xml:space="preserve"> determination under applicable State or local law) by the Secretary, shall be paid to all architects, technical engineers, draftsmen, technicians </w:t>
      </w:r>
      <w:r w:rsidRPr="007C5572">
        <w:rPr>
          <w:sz w:val="24"/>
          <w:szCs w:val="24"/>
        </w:rPr>
        <w:t>employed in the development and all maintenance, and laborers and mechanics employed in</w:t>
      </w:r>
      <w:r>
        <w:rPr>
          <w:sz w:val="24"/>
          <w:szCs w:val="24"/>
        </w:rPr>
        <w:t xml:space="preserve"> </w:t>
      </w:r>
      <w:r w:rsidRPr="007C5572">
        <w:rPr>
          <w:sz w:val="24"/>
          <w:szCs w:val="24"/>
        </w:rPr>
        <w:t>the operation, of the affordable housing project involved</w:t>
      </w:r>
      <w:r>
        <w:rPr>
          <w:sz w:val="24"/>
          <w:szCs w:val="24"/>
        </w:rPr>
        <w:t>; and” (</w:t>
      </w:r>
      <w:r w:rsidRPr="007B49F0">
        <w:rPr>
          <w:sz w:val="24"/>
          <w:szCs w:val="24"/>
        </w:rPr>
        <w:t>25 U</w:t>
      </w:r>
      <w:r>
        <w:rPr>
          <w:sz w:val="24"/>
          <w:szCs w:val="24"/>
        </w:rPr>
        <w:t>.</w:t>
      </w:r>
      <w:r w:rsidRPr="007B49F0">
        <w:rPr>
          <w:sz w:val="24"/>
          <w:szCs w:val="24"/>
        </w:rPr>
        <w:t>S</w:t>
      </w:r>
      <w:r>
        <w:rPr>
          <w:sz w:val="24"/>
          <w:szCs w:val="24"/>
        </w:rPr>
        <w:t xml:space="preserve">. </w:t>
      </w:r>
      <w:r w:rsidRPr="007B49F0">
        <w:rPr>
          <w:sz w:val="24"/>
          <w:szCs w:val="24"/>
        </w:rPr>
        <w:t>C</w:t>
      </w:r>
      <w:r>
        <w:rPr>
          <w:sz w:val="24"/>
          <w:szCs w:val="24"/>
        </w:rPr>
        <w:t>ode §</w:t>
      </w:r>
      <w:r w:rsidRPr="007B49F0">
        <w:rPr>
          <w:sz w:val="24"/>
          <w:szCs w:val="24"/>
        </w:rPr>
        <w:t xml:space="preserve"> 4</w:t>
      </w:r>
      <w:r>
        <w:rPr>
          <w:sz w:val="24"/>
          <w:szCs w:val="24"/>
        </w:rPr>
        <w:t>225)</w:t>
      </w:r>
    </w:p>
    <w:p w:rsidR="000F674B" w:rsidRPr="006C7FAE" w:rsidP="000F674B" w14:paraId="7A75D4EB" w14:textId="77777777">
      <w:pPr>
        <w:keepLines/>
        <w:tabs>
          <w:tab w:val="left" w:pos="360"/>
          <w:tab w:val="left" w:pos="720"/>
        </w:tabs>
        <w:ind w:left="360"/>
        <w:rPr>
          <w:sz w:val="24"/>
          <w:szCs w:val="24"/>
        </w:rPr>
      </w:pPr>
    </w:p>
    <w:p w:rsidR="000F674B" w:rsidP="000F674B" w14:paraId="15762D31" w14:textId="77777777">
      <w:pPr>
        <w:numPr>
          <w:ilvl w:val="0"/>
          <w:numId w:val="1"/>
        </w:numPr>
        <w:tabs>
          <w:tab w:val="left" w:pos="360"/>
        </w:tabs>
        <w:rPr>
          <w:sz w:val="24"/>
          <w:szCs w:val="24"/>
        </w:rPr>
      </w:pPr>
      <w:r w:rsidRPr="006C7FAE">
        <w:rPr>
          <w:sz w:val="24"/>
          <w:szCs w:val="24"/>
        </w:rPr>
        <w:t>Explain any special circumstances that would cause an information collection to be conducted in a manner:</w:t>
      </w:r>
    </w:p>
    <w:p w:rsidR="000F674B" w:rsidRPr="006C7FAE" w:rsidP="000F674B" w14:paraId="71B060FA" w14:textId="77777777">
      <w:pPr>
        <w:tabs>
          <w:tab w:val="left" w:pos="360"/>
        </w:tabs>
        <w:ind w:left="360"/>
        <w:rPr>
          <w:sz w:val="24"/>
          <w:szCs w:val="24"/>
        </w:rPr>
      </w:pPr>
      <w:r w:rsidRPr="006C7FAE">
        <w:rPr>
          <w:sz w:val="24"/>
          <w:szCs w:val="24"/>
        </w:rPr>
        <w:t xml:space="preserve"> </w:t>
      </w:r>
    </w:p>
    <w:p w:rsidR="000F19A5" w:rsidRPr="00E17EC2" w:rsidP="000C68EF" w14:paraId="20C3E4AB" w14:textId="53485BDA">
      <w:pPr>
        <w:pStyle w:val="ListParagraph"/>
        <w:numPr>
          <w:ilvl w:val="0"/>
          <w:numId w:val="13"/>
        </w:numPr>
        <w:tabs>
          <w:tab w:val="left" w:pos="720"/>
        </w:tabs>
        <w:overflowPunct/>
        <w:autoSpaceDE/>
        <w:autoSpaceDN/>
        <w:adjustRightInd/>
        <w:spacing w:line="259" w:lineRule="auto"/>
        <w:textAlignment w:val="auto"/>
        <w:rPr>
          <w:b/>
          <w:sz w:val="24"/>
          <w:szCs w:val="24"/>
        </w:rPr>
      </w:pPr>
      <w:r w:rsidRPr="00E17EC2">
        <w:rPr>
          <w:sz w:val="24"/>
          <w:szCs w:val="24"/>
        </w:rPr>
        <w:t xml:space="preserve">requiring respondents to report information to the agency more than quarterly; </w:t>
      </w:r>
      <w:r w:rsidRPr="00E17EC2">
        <w:rPr>
          <w:b/>
          <w:sz w:val="24"/>
          <w:szCs w:val="24"/>
        </w:rPr>
        <w:t>Not Applicable</w:t>
      </w:r>
    </w:p>
    <w:p w:rsidR="000F19A5" w:rsidRPr="001D46F9" w:rsidP="000F19A5" w14:paraId="1EF0F9D5" w14:textId="77777777">
      <w:pPr>
        <w:pStyle w:val="ListParagraph"/>
        <w:tabs>
          <w:tab w:val="left" w:pos="720"/>
        </w:tabs>
        <w:overflowPunct/>
        <w:autoSpaceDE/>
        <w:autoSpaceDN/>
        <w:adjustRightInd/>
        <w:spacing w:line="259" w:lineRule="auto"/>
        <w:textAlignment w:val="auto"/>
        <w:rPr>
          <w:sz w:val="24"/>
          <w:szCs w:val="24"/>
        </w:rPr>
      </w:pPr>
    </w:p>
    <w:p w:rsidR="000F19A5" w:rsidRPr="00E17EC2" w:rsidP="00B869E9" w14:paraId="31745C02" w14:textId="01D75CE8">
      <w:pPr>
        <w:pStyle w:val="ListParagraph"/>
        <w:numPr>
          <w:ilvl w:val="0"/>
          <w:numId w:val="13"/>
        </w:numPr>
        <w:tabs>
          <w:tab w:val="left" w:pos="720"/>
          <w:tab w:val="left" w:pos="810"/>
        </w:tabs>
        <w:overflowPunct/>
        <w:autoSpaceDE/>
        <w:autoSpaceDN/>
        <w:adjustRightInd/>
        <w:spacing w:line="259" w:lineRule="auto"/>
        <w:textAlignment w:val="auto"/>
        <w:rPr>
          <w:b/>
          <w:sz w:val="24"/>
          <w:szCs w:val="24"/>
        </w:rPr>
      </w:pPr>
      <w:r w:rsidRPr="00E17EC2">
        <w:rPr>
          <w:sz w:val="24"/>
          <w:szCs w:val="24"/>
        </w:rPr>
        <w:t>requiring respondents to prepare a written response to a collection of information in fewer than</w:t>
      </w:r>
      <w:r w:rsidRPr="00E17EC2" w:rsidR="00025B57">
        <w:rPr>
          <w:sz w:val="24"/>
          <w:szCs w:val="24"/>
        </w:rPr>
        <w:t xml:space="preserve"> 30</w:t>
      </w:r>
      <w:r w:rsidRPr="00E17EC2">
        <w:rPr>
          <w:sz w:val="24"/>
          <w:szCs w:val="24"/>
        </w:rPr>
        <w:t xml:space="preserve"> days after receipt of </w:t>
      </w:r>
      <w:r w:rsidRPr="00E17EC2">
        <w:rPr>
          <w:sz w:val="24"/>
          <w:szCs w:val="24"/>
        </w:rPr>
        <w:t>it;</w:t>
      </w:r>
      <w:r w:rsidRPr="001D46F9">
        <w:t xml:space="preserve"> </w:t>
      </w:r>
      <w:r w:rsidR="00E17EC2">
        <w:t xml:space="preserve"> </w:t>
      </w:r>
      <w:r w:rsidRPr="00E17EC2">
        <w:rPr>
          <w:b/>
          <w:sz w:val="24"/>
          <w:szCs w:val="24"/>
        </w:rPr>
        <w:t>Not</w:t>
      </w:r>
      <w:r w:rsidRPr="00E17EC2">
        <w:rPr>
          <w:b/>
          <w:sz w:val="24"/>
          <w:szCs w:val="24"/>
        </w:rPr>
        <w:t xml:space="preserve"> Applicable</w:t>
      </w:r>
    </w:p>
    <w:p w:rsidR="005E0F54" w:rsidP="005E0F54" w14:paraId="1CA53C79" w14:textId="77777777">
      <w:pPr>
        <w:pStyle w:val="ListParagraph"/>
        <w:tabs>
          <w:tab w:val="left" w:pos="720"/>
        </w:tabs>
        <w:overflowPunct/>
        <w:autoSpaceDE/>
        <w:autoSpaceDN/>
        <w:adjustRightInd/>
        <w:spacing w:line="259" w:lineRule="auto"/>
        <w:textAlignment w:val="auto"/>
        <w:rPr>
          <w:sz w:val="24"/>
          <w:szCs w:val="24"/>
        </w:rPr>
      </w:pPr>
    </w:p>
    <w:p w:rsidR="000F19A5" w:rsidRPr="00E17EC2" w:rsidP="00721C17" w14:paraId="1CE89421" w14:textId="2A19036D">
      <w:pPr>
        <w:pStyle w:val="ListParagraph"/>
        <w:numPr>
          <w:ilvl w:val="0"/>
          <w:numId w:val="13"/>
        </w:numPr>
        <w:tabs>
          <w:tab w:val="left" w:pos="720"/>
        </w:tabs>
        <w:overflowPunct/>
        <w:autoSpaceDE/>
        <w:autoSpaceDN/>
        <w:adjustRightInd/>
        <w:spacing w:line="259" w:lineRule="auto"/>
        <w:textAlignment w:val="auto"/>
        <w:rPr>
          <w:sz w:val="24"/>
          <w:szCs w:val="24"/>
        </w:rPr>
      </w:pPr>
      <w:r w:rsidRPr="00E17EC2">
        <w:rPr>
          <w:sz w:val="24"/>
          <w:szCs w:val="24"/>
        </w:rPr>
        <w:t xml:space="preserve">requiring respondents to submit more than an original and two copies of any </w:t>
      </w:r>
      <w:r w:rsidRPr="00E17EC2">
        <w:rPr>
          <w:sz w:val="24"/>
          <w:szCs w:val="24"/>
        </w:rPr>
        <w:t>document;</w:t>
      </w:r>
      <w:r w:rsidRPr="001D46F9">
        <w:t xml:space="preserve"> </w:t>
      </w:r>
    </w:p>
    <w:p w:rsidR="000F19A5" w:rsidRPr="00572C89" w:rsidP="000F19A5" w14:paraId="4F1042A0" w14:textId="77777777">
      <w:pPr>
        <w:pStyle w:val="ListParagraph"/>
        <w:tabs>
          <w:tab w:val="left" w:pos="720"/>
        </w:tabs>
        <w:overflowPunct/>
        <w:autoSpaceDE/>
        <w:autoSpaceDN/>
        <w:adjustRightInd/>
        <w:spacing w:line="259" w:lineRule="auto"/>
        <w:textAlignment w:val="auto"/>
        <w:rPr>
          <w:b/>
          <w:sz w:val="24"/>
          <w:szCs w:val="24"/>
        </w:rPr>
      </w:pPr>
      <w:r w:rsidRPr="00572C89">
        <w:rPr>
          <w:b/>
          <w:sz w:val="24"/>
          <w:szCs w:val="24"/>
        </w:rPr>
        <w:t>Not Applicable</w:t>
      </w:r>
    </w:p>
    <w:p w:rsidR="000F19A5" w:rsidRPr="000F19A5" w:rsidP="000F19A5" w14:paraId="76C718D3" w14:textId="77777777">
      <w:pPr>
        <w:tabs>
          <w:tab w:val="left" w:pos="720"/>
        </w:tabs>
        <w:overflowPunct/>
        <w:autoSpaceDE/>
        <w:autoSpaceDN/>
        <w:adjustRightInd/>
        <w:spacing w:line="259" w:lineRule="auto"/>
        <w:textAlignment w:val="auto"/>
        <w:rPr>
          <w:sz w:val="24"/>
          <w:szCs w:val="24"/>
        </w:rPr>
      </w:pPr>
    </w:p>
    <w:p w:rsidR="000F19A5" w:rsidRPr="00E17EC2" w:rsidP="002D54DB" w14:paraId="0799CB65" w14:textId="4044C462">
      <w:pPr>
        <w:pStyle w:val="ListParagraph"/>
        <w:numPr>
          <w:ilvl w:val="0"/>
          <w:numId w:val="13"/>
        </w:numPr>
        <w:tabs>
          <w:tab w:val="left" w:pos="720"/>
        </w:tabs>
        <w:overflowPunct/>
        <w:autoSpaceDE/>
        <w:autoSpaceDN/>
        <w:adjustRightInd/>
        <w:spacing w:line="259" w:lineRule="auto"/>
        <w:textAlignment w:val="auto"/>
        <w:rPr>
          <w:b/>
          <w:sz w:val="24"/>
          <w:szCs w:val="24"/>
        </w:rPr>
      </w:pPr>
      <w:r w:rsidRPr="00E17EC2">
        <w:rPr>
          <w:sz w:val="24"/>
          <w:szCs w:val="24"/>
        </w:rPr>
        <w:t xml:space="preserve">requiring respondents to retain records other than health, medical, government contract, grant-in-aid, or tax records for more than three years; </w:t>
      </w:r>
      <w:r w:rsidRPr="00E17EC2">
        <w:rPr>
          <w:b/>
          <w:sz w:val="24"/>
          <w:szCs w:val="24"/>
        </w:rPr>
        <w:t>Not Applicable</w:t>
      </w:r>
    </w:p>
    <w:p w:rsidR="000F19A5" w:rsidRPr="000F19A5" w:rsidP="000F19A5" w14:paraId="6FCF87CE" w14:textId="77777777">
      <w:pPr>
        <w:tabs>
          <w:tab w:val="left" w:pos="720"/>
        </w:tabs>
        <w:overflowPunct/>
        <w:autoSpaceDE/>
        <w:autoSpaceDN/>
        <w:adjustRightInd/>
        <w:spacing w:line="259" w:lineRule="auto"/>
        <w:textAlignment w:val="auto"/>
        <w:rPr>
          <w:sz w:val="24"/>
          <w:szCs w:val="24"/>
        </w:rPr>
      </w:pPr>
    </w:p>
    <w:p w:rsidR="000F19A5" w:rsidRPr="00E17EC2" w:rsidP="00DF6055" w14:paraId="274400B9" w14:textId="013E9535">
      <w:pPr>
        <w:pStyle w:val="ListParagraph"/>
        <w:numPr>
          <w:ilvl w:val="0"/>
          <w:numId w:val="13"/>
        </w:numPr>
        <w:tabs>
          <w:tab w:val="left" w:pos="720"/>
        </w:tabs>
        <w:overflowPunct/>
        <w:autoSpaceDE/>
        <w:autoSpaceDN/>
        <w:adjustRightInd/>
        <w:spacing w:line="259" w:lineRule="auto"/>
        <w:textAlignment w:val="auto"/>
        <w:rPr>
          <w:b/>
          <w:sz w:val="24"/>
          <w:szCs w:val="24"/>
        </w:rPr>
      </w:pPr>
      <w:r w:rsidRPr="00E17EC2">
        <w:rPr>
          <w:sz w:val="24"/>
          <w:szCs w:val="24"/>
        </w:rPr>
        <w:t xml:space="preserve">in connection with a statistical </w:t>
      </w:r>
      <w:r w:rsidRPr="00E17EC2">
        <w:rPr>
          <w:sz w:val="24"/>
          <w:szCs w:val="24"/>
        </w:rPr>
        <w:t>survey,</w:t>
      </w:r>
      <w:r w:rsidRPr="00E17EC2">
        <w:rPr>
          <w:sz w:val="24"/>
          <w:szCs w:val="24"/>
        </w:rPr>
        <w:t xml:space="preserve"> that is not designed to produce valid and relatable results than can be generalized to the universe of study;</w:t>
      </w:r>
      <w:r w:rsidRPr="001D46F9">
        <w:t xml:space="preserve"> </w:t>
      </w:r>
      <w:r w:rsidRPr="00E17EC2">
        <w:rPr>
          <w:b/>
          <w:sz w:val="24"/>
          <w:szCs w:val="24"/>
        </w:rPr>
        <w:t>Not Applicable</w:t>
      </w:r>
    </w:p>
    <w:p w:rsidR="00572C89" w:rsidRPr="000F19A5" w:rsidP="00572C89" w14:paraId="53CE60BA" w14:textId="77777777">
      <w:pPr>
        <w:pStyle w:val="ListParagraph"/>
        <w:tabs>
          <w:tab w:val="left" w:pos="720"/>
        </w:tabs>
        <w:overflowPunct/>
        <w:autoSpaceDE/>
        <w:autoSpaceDN/>
        <w:adjustRightInd/>
        <w:spacing w:line="259" w:lineRule="auto"/>
        <w:textAlignment w:val="auto"/>
        <w:rPr>
          <w:sz w:val="24"/>
          <w:szCs w:val="24"/>
        </w:rPr>
      </w:pPr>
    </w:p>
    <w:p w:rsidR="000F19A5" w:rsidRPr="00E17EC2" w:rsidP="00FB5512" w14:paraId="3AFECC42" w14:textId="2BE337CB">
      <w:pPr>
        <w:pStyle w:val="ListParagraph"/>
        <w:numPr>
          <w:ilvl w:val="0"/>
          <w:numId w:val="13"/>
        </w:numPr>
        <w:tabs>
          <w:tab w:val="left" w:pos="720"/>
        </w:tabs>
        <w:overflowPunct/>
        <w:autoSpaceDE/>
        <w:autoSpaceDN/>
        <w:adjustRightInd/>
        <w:spacing w:line="259" w:lineRule="auto"/>
        <w:textAlignment w:val="auto"/>
        <w:rPr>
          <w:b/>
          <w:sz w:val="24"/>
          <w:szCs w:val="24"/>
        </w:rPr>
      </w:pPr>
      <w:r w:rsidRPr="00E17EC2">
        <w:rPr>
          <w:sz w:val="24"/>
          <w:szCs w:val="24"/>
        </w:rPr>
        <w:t>requiring the use of a statistical data classification that has not been reviewed and   approved by OMB;</w:t>
      </w:r>
      <w:r w:rsidRPr="001D46F9">
        <w:t xml:space="preserve"> </w:t>
      </w:r>
      <w:r w:rsidRPr="00E17EC2">
        <w:rPr>
          <w:b/>
          <w:sz w:val="24"/>
          <w:szCs w:val="24"/>
        </w:rPr>
        <w:t>Not Applicable</w:t>
      </w:r>
    </w:p>
    <w:p w:rsidR="000F19A5" w:rsidRPr="000F19A5" w:rsidP="000F19A5" w14:paraId="5692060C" w14:textId="77777777">
      <w:pPr>
        <w:tabs>
          <w:tab w:val="left" w:pos="720"/>
        </w:tabs>
        <w:overflowPunct/>
        <w:autoSpaceDE/>
        <w:autoSpaceDN/>
        <w:adjustRightInd/>
        <w:spacing w:line="259" w:lineRule="auto"/>
        <w:textAlignment w:val="auto"/>
        <w:rPr>
          <w:sz w:val="24"/>
          <w:szCs w:val="24"/>
        </w:rPr>
      </w:pPr>
    </w:p>
    <w:p w:rsidR="000F19A5" w:rsidRPr="00E17EC2" w:rsidP="00114E5E" w14:paraId="162F9FAF" w14:textId="6627CC20">
      <w:pPr>
        <w:pStyle w:val="ListParagraph"/>
        <w:numPr>
          <w:ilvl w:val="0"/>
          <w:numId w:val="13"/>
        </w:numPr>
        <w:tabs>
          <w:tab w:val="left" w:pos="720"/>
        </w:tabs>
        <w:overflowPunct/>
        <w:autoSpaceDE/>
        <w:autoSpaceDN/>
        <w:adjustRightInd/>
        <w:spacing w:line="259" w:lineRule="auto"/>
        <w:textAlignment w:val="auto"/>
        <w:rPr>
          <w:b/>
          <w:sz w:val="24"/>
          <w:szCs w:val="24"/>
        </w:rPr>
      </w:pPr>
      <w:r w:rsidRPr="00E17EC2">
        <w:rPr>
          <w:sz w:val="24"/>
          <w:szCs w:val="24"/>
        </w:rPr>
        <w:t xml:space="preserve">that include a pledge of confidentiality that is not supported by authority established in statute or regulation; not supported by disclosure and data security policies that are consistent with the confidential us </w:t>
      </w:r>
      <w:r w:rsidRPr="00E17EC2">
        <w:rPr>
          <w:sz w:val="24"/>
          <w:szCs w:val="24"/>
        </w:rPr>
        <w:t>or;</w:t>
      </w:r>
      <w:r w:rsidRPr="00B057E7">
        <w:t xml:space="preserve"> </w:t>
      </w:r>
      <w:r w:rsidRPr="00E17EC2">
        <w:rPr>
          <w:b/>
          <w:sz w:val="24"/>
          <w:szCs w:val="24"/>
        </w:rPr>
        <w:t>Not Applicable</w:t>
      </w:r>
    </w:p>
    <w:p w:rsidR="000F19A5" w:rsidRPr="000F19A5" w:rsidP="000F19A5" w14:paraId="3464B2E4" w14:textId="77777777">
      <w:pPr>
        <w:tabs>
          <w:tab w:val="left" w:pos="720"/>
        </w:tabs>
        <w:overflowPunct/>
        <w:autoSpaceDE/>
        <w:autoSpaceDN/>
        <w:adjustRightInd/>
        <w:spacing w:line="259" w:lineRule="auto"/>
        <w:textAlignment w:val="auto"/>
        <w:rPr>
          <w:sz w:val="24"/>
          <w:szCs w:val="24"/>
        </w:rPr>
      </w:pPr>
    </w:p>
    <w:p w:rsidR="000F19A5" w:rsidRPr="00E17EC2" w:rsidP="008069D6" w14:paraId="1EAC2CED" w14:textId="4F4C0572">
      <w:pPr>
        <w:pStyle w:val="ListParagraph"/>
        <w:numPr>
          <w:ilvl w:val="0"/>
          <w:numId w:val="13"/>
        </w:numPr>
        <w:tabs>
          <w:tab w:val="left" w:pos="720"/>
        </w:tabs>
        <w:overflowPunct/>
        <w:autoSpaceDE/>
        <w:autoSpaceDN/>
        <w:adjustRightInd/>
        <w:spacing w:line="259" w:lineRule="auto"/>
        <w:textAlignment w:val="auto"/>
        <w:rPr>
          <w:b/>
          <w:sz w:val="24"/>
          <w:szCs w:val="24"/>
        </w:rPr>
      </w:pPr>
      <w:r w:rsidRPr="00E17EC2">
        <w:rPr>
          <w:sz w:val="24"/>
          <w:szCs w:val="24"/>
        </w:rPr>
        <w:t xml:space="preserve">requiring respondents to submit proprietary trade </w:t>
      </w:r>
      <w:r w:rsidRPr="00E17EC2">
        <w:rPr>
          <w:sz w:val="24"/>
          <w:szCs w:val="24"/>
        </w:rPr>
        <w:t>secret</w:t>
      </w:r>
      <w:r w:rsidRPr="00E17EC2">
        <w:rPr>
          <w:sz w:val="24"/>
          <w:szCs w:val="24"/>
        </w:rPr>
        <w:t>, or other confidential information unless the agency can demonstrate that it has instituted procedures to protect the information’s confidentiality to the extent permitted by law.</w:t>
      </w:r>
      <w:r w:rsidRPr="00B057E7">
        <w:t xml:space="preserve"> </w:t>
      </w:r>
      <w:r w:rsidRPr="00E17EC2">
        <w:rPr>
          <w:b/>
          <w:sz w:val="24"/>
          <w:szCs w:val="24"/>
        </w:rPr>
        <w:t>Not Applicable</w:t>
      </w:r>
    </w:p>
    <w:p w:rsidR="00967901" w:rsidP="00967901" w14:paraId="6E26AEC0" w14:textId="77777777">
      <w:pPr>
        <w:pStyle w:val="ListParagraph"/>
        <w:ind w:left="1080"/>
        <w:rPr>
          <w:sz w:val="24"/>
          <w:szCs w:val="24"/>
        </w:rPr>
      </w:pPr>
    </w:p>
    <w:p w:rsidR="000F674B" w:rsidP="000F674B" w14:paraId="69EAA043" w14:textId="77777777">
      <w:pPr>
        <w:numPr>
          <w:ilvl w:val="0"/>
          <w:numId w:val="1"/>
        </w:numPr>
        <w:tabs>
          <w:tab w:val="left" w:pos="360"/>
        </w:tabs>
        <w:rPr>
          <w:sz w:val="24"/>
          <w:szCs w:val="24"/>
        </w:rPr>
      </w:pPr>
      <w:r w:rsidRPr="006C7FAE">
        <w:rPr>
          <w:sz w:val="24"/>
          <w:szCs w:val="24"/>
        </w:rPr>
        <w:t xml:space="preserve">If applicable, provide a copy and identify the date and page number of </w:t>
      </w:r>
      <w:r w:rsidRPr="006C7FAE">
        <w:rPr>
          <w:sz w:val="24"/>
          <w:szCs w:val="24"/>
        </w:rPr>
        <w:t>publication</w:t>
      </w:r>
      <w:r w:rsidRPr="006C7FAE">
        <w:rPr>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0F674B" w:rsidP="000F674B" w14:paraId="69132692" w14:textId="77777777">
      <w:pPr>
        <w:tabs>
          <w:tab w:val="left" w:pos="360"/>
        </w:tabs>
        <w:rPr>
          <w:sz w:val="24"/>
          <w:szCs w:val="24"/>
        </w:rPr>
      </w:pPr>
    </w:p>
    <w:p w:rsidR="009328CD" w:rsidRPr="002654AA" w:rsidP="00025B57" w14:paraId="25EE66A8" w14:textId="77777777">
      <w:pPr>
        <w:numPr>
          <w:ilvl w:val="0"/>
          <w:numId w:val="12"/>
        </w:numPr>
        <w:tabs>
          <w:tab w:val="left" w:pos="360"/>
        </w:tabs>
        <w:rPr>
          <w:sz w:val="24"/>
          <w:szCs w:val="24"/>
        </w:rPr>
      </w:pPr>
      <w:r w:rsidRPr="002654AA">
        <w:rPr>
          <w:sz w:val="24"/>
          <w:szCs w:val="24"/>
        </w:rPr>
        <w:t xml:space="preserve">Describe efforts to consult with </w:t>
      </w:r>
      <w:r w:rsidRPr="002654AA">
        <w:rPr>
          <w:sz w:val="24"/>
          <w:szCs w:val="24"/>
        </w:rPr>
        <w:t>persons</w:t>
      </w:r>
      <w:r w:rsidRPr="002654AA">
        <w:rPr>
          <w:sz w:val="24"/>
          <w:szCs w:val="24"/>
        </w:rPr>
        <w:t xml:space="preserve"> outside the agency to obtain their views on the availability of data, frequency of collection, the clarity of instructions and recordkeeping disclosure, or reporting format (if any) and the data elements to be recorded, disclosed, or reported.</w:t>
      </w:r>
    </w:p>
    <w:p w:rsidR="009328CD" w:rsidRPr="002654AA" w:rsidP="00025B57" w14:paraId="45E501D7" w14:textId="77777777">
      <w:pPr>
        <w:keepLines/>
        <w:numPr>
          <w:ilvl w:val="0"/>
          <w:numId w:val="12"/>
        </w:numPr>
        <w:tabs>
          <w:tab w:val="left" w:pos="360"/>
        </w:tabs>
        <w:spacing w:after="80"/>
        <w:rPr>
          <w:b/>
          <w:sz w:val="24"/>
          <w:szCs w:val="24"/>
        </w:rPr>
      </w:pPr>
      <w:r w:rsidRPr="002654AA">
        <w:rPr>
          <w:sz w:val="24"/>
          <w:szCs w:val="24"/>
        </w:rPr>
        <w:t>Consultation</w:t>
      </w:r>
      <w:r w:rsidRPr="002654AA">
        <w:rPr>
          <w:sz w:val="24"/>
          <w:szCs w:val="24"/>
        </w:rPr>
        <w:t xml:space="preserve">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w:t>
      </w:r>
      <w:r w:rsidRPr="002654AA">
        <w:rPr>
          <w:b/>
          <w:sz w:val="24"/>
          <w:szCs w:val="24"/>
        </w:rPr>
        <w:t>.</w:t>
      </w:r>
    </w:p>
    <w:p w:rsidR="003708D2" w:rsidP="008C2643" w14:paraId="78BAA953" w14:textId="77777777">
      <w:pPr>
        <w:keepLines/>
        <w:tabs>
          <w:tab w:val="left" w:pos="360"/>
        </w:tabs>
        <w:spacing w:after="80"/>
        <w:ind w:left="360"/>
        <w:rPr>
          <w:color w:val="00B0F0"/>
          <w:sz w:val="24"/>
          <w:szCs w:val="24"/>
          <w:highlight w:val="yellow"/>
        </w:rPr>
      </w:pPr>
    </w:p>
    <w:p w:rsidR="008C2643" w:rsidP="008C2643" w14:paraId="1F896C39" w14:textId="56EDC9A6">
      <w:pPr>
        <w:keepLines/>
        <w:tabs>
          <w:tab w:val="left" w:pos="360"/>
        </w:tabs>
        <w:spacing w:after="80"/>
        <w:ind w:left="360"/>
        <w:rPr>
          <w:sz w:val="24"/>
          <w:szCs w:val="24"/>
        </w:rPr>
      </w:pPr>
      <w:r w:rsidRPr="008C2643">
        <w:rPr>
          <w:sz w:val="24"/>
          <w:szCs w:val="24"/>
        </w:rPr>
        <w:t xml:space="preserve">In accordance with 5 CFR 1320.8(d), the agency’s notice announcing this collection of information appeared in the Federal Register </w:t>
      </w:r>
      <w:r w:rsidRPr="00A33A62">
        <w:rPr>
          <w:sz w:val="24"/>
          <w:szCs w:val="24"/>
        </w:rPr>
        <w:t xml:space="preserve">on </w:t>
      </w:r>
      <w:r w:rsidRPr="00A33A62" w:rsidR="006C0B79">
        <w:rPr>
          <w:sz w:val="24"/>
          <w:szCs w:val="24"/>
        </w:rPr>
        <w:t>03</w:t>
      </w:r>
      <w:r w:rsidRPr="00A33A62">
        <w:rPr>
          <w:sz w:val="24"/>
          <w:szCs w:val="24"/>
        </w:rPr>
        <w:t>/</w:t>
      </w:r>
      <w:r w:rsidRPr="00A33A62" w:rsidR="006C0B79">
        <w:rPr>
          <w:sz w:val="24"/>
          <w:szCs w:val="24"/>
        </w:rPr>
        <w:t>26</w:t>
      </w:r>
      <w:r w:rsidRPr="00A33A62">
        <w:rPr>
          <w:sz w:val="24"/>
          <w:szCs w:val="24"/>
        </w:rPr>
        <w:t>/</w:t>
      </w:r>
      <w:r w:rsidRPr="00A33A62" w:rsidR="006C0B79">
        <w:rPr>
          <w:sz w:val="24"/>
          <w:szCs w:val="24"/>
        </w:rPr>
        <w:t>2025</w:t>
      </w:r>
      <w:r w:rsidRPr="00A33A62">
        <w:rPr>
          <w:sz w:val="24"/>
          <w:szCs w:val="24"/>
        </w:rPr>
        <w:t xml:space="preserve"> (Volume </w:t>
      </w:r>
      <w:r w:rsidRPr="00A33A62" w:rsidR="006C0B79">
        <w:rPr>
          <w:sz w:val="24"/>
          <w:szCs w:val="24"/>
        </w:rPr>
        <w:t>90</w:t>
      </w:r>
      <w:r w:rsidRPr="00A33A62">
        <w:rPr>
          <w:sz w:val="24"/>
          <w:szCs w:val="24"/>
        </w:rPr>
        <w:t>, No</w:t>
      </w:r>
      <w:r w:rsidRPr="00A33A62" w:rsidR="006C0B79">
        <w:rPr>
          <w:sz w:val="24"/>
          <w:szCs w:val="24"/>
        </w:rPr>
        <w:t>. 57</w:t>
      </w:r>
      <w:r w:rsidRPr="00A33A62">
        <w:rPr>
          <w:sz w:val="24"/>
          <w:szCs w:val="24"/>
        </w:rPr>
        <w:t xml:space="preserve">, Page </w:t>
      </w:r>
      <w:r w:rsidRPr="00A33A62" w:rsidR="00A33A62">
        <w:rPr>
          <w:sz w:val="24"/>
          <w:szCs w:val="24"/>
        </w:rPr>
        <w:t>13774</w:t>
      </w:r>
      <w:r w:rsidRPr="00A33A62">
        <w:rPr>
          <w:sz w:val="24"/>
          <w:szCs w:val="24"/>
        </w:rPr>
        <w:t xml:space="preserve">). The public was given until </w:t>
      </w:r>
      <w:r w:rsidRPr="00A33A62" w:rsidR="00A33A62">
        <w:rPr>
          <w:sz w:val="24"/>
          <w:szCs w:val="24"/>
        </w:rPr>
        <w:t>05</w:t>
      </w:r>
      <w:r w:rsidRPr="00A33A62">
        <w:rPr>
          <w:sz w:val="24"/>
          <w:szCs w:val="24"/>
        </w:rPr>
        <w:t>/</w:t>
      </w:r>
      <w:r w:rsidRPr="00A33A62" w:rsidR="00A33A62">
        <w:rPr>
          <w:sz w:val="24"/>
          <w:szCs w:val="24"/>
        </w:rPr>
        <w:t>27</w:t>
      </w:r>
      <w:r w:rsidRPr="00A33A62">
        <w:rPr>
          <w:sz w:val="24"/>
          <w:szCs w:val="24"/>
        </w:rPr>
        <w:t>/</w:t>
      </w:r>
      <w:r w:rsidRPr="00A33A62" w:rsidR="00A33A62">
        <w:rPr>
          <w:sz w:val="24"/>
          <w:szCs w:val="24"/>
        </w:rPr>
        <w:t>2025</w:t>
      </w:r>
      <w:r w:rsidRPr="00A33A62">
        <w:rPr>
          <w:sz w:val="24"/>
          <w:szCs w:val="24"/>
        </w:rPr>
        <w:t>, to</w:t>
      </w:r>
      <w:r w:rsidRPr="008C2643">
        <w:rPr>
          <w:sz w:val="24"/>
          <w:szCs w:val="24"/>
        </w:rPr>
        <w:t xml:space="preserve"> submit comments on the proposed information collection.  There w</w:t>
      </w:r>
      <w:r w:rsidR="004F2857">
        <w:rPr>
          <w:sz w:val="24"/>
          <w:szCs w:val="24"/>
        </w:rPr>
        <w:t>as one</w:t>
      </w:r>
      <w:r w:rsidRPr="008C2643">
        <w:rPr>
          <w:sz w:val="24"/>
          <w:szCs w:val="24"/>
        </w:rPr>
        <w:t xml:space="preserve"> comment received.</w:t>
      </w:r>
    </w:p>
    <w:p w:rsidR="00CC5440" w:rsidP="00CC5440" w14:paraId="5F69A330" w14:textId="77777777">
      <w:pPr>
        <w:pStyle w:val="NoSpacing"/>
      </w:pPr>
    </w:p>
    <w:p w:rsidR="00035FF4" w:rsidRPr="0087587D" w:rsidP="008C2643" w14:paraId="12176EDB" w14:textId="7CFF0B83">
      <w:pPr>
        <w:keepLines/>
        <w:tabs>
          <w:tab w:val="left" w:pos="360"/>
        </w:tabs>
        <w:spacing w:after="80"/>
        <w:ind w:left="360"/>
        <w:rPr>
          <w:sz w:val="24"/>
          <w:szCs w:val="24"/>
          <w:u w:val="single"/>
        </w:rPr>
      </w:pPr>
      <w:r w:rsidRPr="0087587D">
        <w:rPr>
          <w:sz w:val="24"/>
          <w:szCs w:val="24"/>
          <w:u w:val="single"/>
        </w:rPr>
        <w:t>The comment stated:</w:t>
      </w:r>
    </w:p>
    <w:p w:rsidR="00035FF4" w:rsidP="00035FF4" w14:paraId="07C24B8C" w14:textId="4BD2E54C">
      <w:pPr>
        <w:keepLines/>
        <w:tabs>
          <w:tab w:val="left" w:pos="360"/>
        </w:tabs>
        <w:spacing w:after="80"/>
        <w:ind w:left="720"/>
        <w:rPr>
          <w:sz w:val="24"/>
          <w:szCs w:val="24"/>
        </w:rPr>
      </w:pPr>
      <w:r w:rsidRPr="00035FF4">
        <w:rPr>
          <w:sz w:val="24"/>
          <w:szCs w:val="24"/>
        </w:rPr>
        <w:t>The collection appears to be non-compliant and processed without oversight. This sounds like an agency granted funds for a new project that is not currently under part of their discretion.</w:t>
      </w:r>
    </w:p>
    <w:p w:rsidR="0087587D" w:rsidRPr="0087587D" w:rsidP="007D5645" w14:paraId="71F16772" w14:textId="77777777">
      <w:pPr>
        <w:keepLines/>
        <w:tabs>
          <w:tab w:val="left" w:pos="360"/>
        </w:tabs>
        <w:spacing w:after="80"/>
        <w:ind w:left="360"/>
        <w:rPr>
          <w:sz w:val="24"/>
          <w:szCs w:val="24"/>
          <w:u w:val="single"/>
        </w:rPr>
      </w:pPr>
      <w:r w:rsidRPr="0087587D">
        <w:rPr>
          <w:sz w:val="24"/>
          <w:szCs w:val="24"/>
          <w:u w:val="single"/>
        </w:rPr>
        <w:t>HUD response:</w:t>
      </w:r>
    </w:p>
    <w:p w:rsidR="002F4809" w:rsidRPr="007D5645" w:rsidP="007D5645" w14:paraId="7F66553C" w14:textId="17B0BA8D">
      <w:pPr>
        <w:keepLines/>
        <w:tabs>
          <w:tab w:val="left" w:pos="360"/>
        </w:tabs>
        <w:spacing w:after="80"/>
        <w:ind w:left="360"/>
        <w:rPr>
          <w:sz w:val="24"/>
          <w:szCs w:val="24"/>
        </w:rPr>
      </w:pPr>
      <w:r>
        <w:rPr>
          <w:sz w:val="24"/>
          <w:szCs w:val="24"/>
        </w:rPr>
        <w:t xml:space="preserve">No </w:t>
      </w:r>
      <w:r>
        <w:rPr>
          <w:sz w:val="24"/>
          <w:szCs w:val="24"/>
        </w:rPr>
        <w:t>agency</w:t>
      </w:r>
      <w:r>
        <w:rPr>
          <w:sz w:val="24"/>
          <w:szCs w:val="24"/>
        </w:rPr>
        <w:t xml:space="preserve"> action was taken in response to this comment</w:t>
      </w:r>
      <w:r w:rsidR="00AC756F">
        <w:rPr>
          <w:sz w:val="24"/>
          <w:szCs w:val="24"/>
        </w:rPr>
        <w:t>,</w:t>
      </w:r>
      <w:r>
        <w:rPr>
          <w:sz w:val="24"/>
          <w:szCs w:val="24"/>
        </w:rPr>
        <w:t xml:space="preserve"> </w:t>
      </w:r>
      <w:r w:rsidR="00AC756F">
        <w:rPr>
          <w:sz w:val="24"/>
          <w:szCs w:val="24"/>
        </w:rPr>
        <w:t>as it provided no actionable suggestions or critiques</w:t>
      </w:r>
      <w:r w:rsidR="00B13352">
        <w:rPr>
          <w:sz w:val="24"/>
          <w:szCs w:val="24"/>
        </w:rPr>
        <w:t xml:space="preserve"> of the collection</w:t>
      </w:r>
      <w:r w:rsidR="00AC756F">
        <w:rPr>
          <w:sz w:val="24"/>
          <w:szCs w:val="24"/>
        </w:rPr>
        <w:t>.</w:t>
      </w:r>
      <w:r w:rsidR="00B13352">
        <w:rPr>
          <w:sz w:val="24"/>
          <w:szCs w:val="24"/>
        </w:rPr>
        <w:t xml:space="preserve"> </w:t>
      </w:r>
      <w:r w:rsidR="007D5645">
        <w:rPr>
          <w:sz w:val="24"/>
          <w:szCs w:val="24"/>
        </w:rPr>
        <w:t>O</w:t>
      </w:r>
      <w:r w:rsidR="00346BFE">
        <w:rPr>
          <w:sz w:val="24"/>
          <w:szCs w:val="24"/>
        </w:rPr>
        <w:t xml:space="preserve">versight </w:t>
      </w:r>
      <w:r w:rsidR="00B13352">
        <w:rPr>
          <w:sz w:val="24"/>
          <w:szCs w:val="24"/>
        </w:rPr>
        <w:t xml:space="preserve">of Davis Bacon Labor Standards </w:t>
      </w:r>
      <w:r w:rsidR="007D5645">
        <w:rPr>
          <w:sz w:val="24"/>
          <w:szCs w:val="24"/>
        </w:rPr>
        <w:t xml:space="preserve">and adoption of prevailing wage rates </w:t>
      </w:r>
      <w:r w:rsidR="00441C91">
        <w:rPr>
          <w:sz w:val="24"/>
          <w:szCs w:val="24"/>
        </w:rPr>
        <w:t>on HUD</w:t>
      </w:r>
      <w:r w:rsidR="007D5645">
        <w:rPr>
          <w:sz w:val="24"/>
          <w:szCs w:val="24"/>
        </w:rPr>
        <w:t>-funded</w:t>
      </w:r>
      <w:r w:rsidR="00441C91">
        <w:rPr>
          <w:sz w:val="24"/>
          <w:szCs w:val="24"/>
        </w:rPr>
        <w:t xml:space="preserve"> projects is within the </w:t>
      </w:r>
      <w:r w:rsidR="00BB0BE9">
        <w:rPr>
          <w:sz w:val="24"/>
          <w:szCs w:val="24"/>
        </w:rPr>
        <w:t>authority of the Agency.</w:t>
      </w:r>
    </w:p>
    <w:p w:rsidR="00E17EC2" w:rsidRPr="006C7FAE" w:rsidP="005E0F54" w14:paraId="72EAA64D" w14:textId="49EEED42">
      <w:pPr>
        <w:tabs>
          <w:tab w:val="left" w:pos="360"/>
        </w:tabs>
        <w:ind w:left="720"/>
        <w:rPr>
          <w:sz w:val="24"/>
          <w:szCs w:val="24"/>
        </w:rPr>
      </w:pPr>
      <w:r>
        <w:rPr>
          <w:sz w:val="24"/>
          <w:szCs w:val="24"/>
        </w:rPr>
        <w:tab/>
      </w:r>
    </w:p>
    <w:p w:rsidR="000F674B" w:rsidRPr="00C46768" w:rsidP="00C46768" w14:paraId="258684A1" w14:textId="48D8AEF7">
      <w:pPr>
        <w:pStyle w:val="ListParagraph"/>
        <w:keepLines/>
        <w:numPr>
          <w:ilvl w:val="0"/>
          <w:numId w:val="1"/>
        </w:numPr>
        <w:tabs>
          <w:tab w:val="left" w:pos="360"/>
        </w:tabs>
        <w:spacing w:after="80"/>
        <w:rPr>
          <w:sz w:val="24"/>
          <w:szCs w:val="24"/>
        </w:rPr>
      </w:pPr>
      <w:r w:rsidRPr="00C46768">
        <w:rPr>
          <w:sz w:val="24"/>
          <w:szCs w:val="24"/>
        </w:rPr>
        <w:t>Explain any decision to provide any payment or gift to respondents, other than renumeration of contractors or grantees.</w:t>
      </w:r>
    </w:p>
    <w:p w:rsidR="00C46768" w:rsidRPr="00C46768" w:rsidP="00C46768" w14:paraId="0CE85A31" w14:textId="77777777">
      <w:pPr>
        <w:pStyle w:val="ListParagraph"/>
        <w:keepLines/>
        <w:tabs>
          <w:tab w:val="left" w:pos="360"/>
        </w:tabs>
        <w:spacing w:after="80"/>
        <w:ind w:left="360"/>
        <w:rPr>
          <w:sz w:val="24"/>
          <w:szCs w:val="24"/>
        </w:rPr>
      </w:pPr>
    </w:p>
    <w:p w:rsidR="000F674B" w:rsidP="002654AA" w14:paraId="349ACAE3" w14:textId="2EFAC691">
      <w:pPr>
        <w:tabs>
          <w:tab w:val="left" w:pos="720"/>
        </w:tabs>
        <w:ind w:left="720" w:hanging="360"/>
        <w:rPr>
          <w:spacing w:val="-1"/>
          <w:sz w:val="24"/>
          <w:szCs w:val="24"/>
        </w:rPr>
      </w:pPr>
      <w:r w:rsidRPr="002654AA">
        <w:rPr>
          <w:spacing w:val="-1"/>
          <w:sz w:val="24"/>
          <w:szCs w:val="24"/>
        </w:rPr>
        <w:t>There are no payments or gifts to respondents.</w:t>
      </w:r>
    </w:p>
    <w:p w:rsidR="00941064" w:rsidP="002654AA" w14:paraId="71C90546" w14:textId="77777777">
      <w:pPr>
        <w:tabs>
          <w:tab w:val="left" w:pos="720"/>
        </w:tabs>
        <w:ind w:left="720" w:hanging="360"/>
        <w:rPr>
          <w:spacing w:val="-1"/>
          <w:sz w:val="24"/>
          <w:szCs w:val="24"/>
        </w:rPr>
      </w:pPr>
    </w:p>
    <w:p w:rsidR="00941064" w:rsidP="002654AA" w14:paraId="68659E52" w14:textId="77777777">
      <w:pPr>
        <w:tabs>
          <w:tab w:val="left" w:pos="720"/>
        </w:tabs>
        <w:ind w:left="720" w:hanging="360"/>
        <w:rPr>
          <w:spacing w:val="-1"/>
          <w:sz w:val="24"/>
          <w:szCs w:val="24"/>
        </w:rPr>
      </w:pPr>
    </w:p>
    <w:p w:rsidR="00941064" w:rsidP="002654AA" w14:paraId="0FEA4004" w14:textId="77777777">
      <w:pPr>
        <w:tabs>
          <w:tab w:val="left" w:pos="720"/>
        </w:tabs>
        <w:ind w:left="720" w:hanging="360"/>
        <w:rPr>
          <w:spacing w:val="-1"/>
          <w:sz w:val="24"/>
          <w:szCs w:val="24"/>
        </w:rPr>
      </w:pPr>
    </w:p>
    <w:p w:rsidR="00941064" w:rsidP="002654AA" w14:paraId="1717C80B" w14:textId="77777777">
      <w:pPr>
        <w:tabs>
          <w:tab w:val="left" w:pos="720"/>
        </w:tabs>
        <w:ind w:left="720" w:hanging="360"/>
        <w:rPr>
          <w:spacing w:val="-1"/>
          <w:sz w:val="24"/>
          <w:szCs w:val="24"/>
        </w:rPr>
      </w:pPr>
    </w:p>
    <w:p w:rsidR="00941064" w:rsidRPr="002654AA" w:rsidP="002654AA" w14:paraId="7A07634E" w14:textId="77777777">
      <w:pPr>
        <w:tabs>
          <w:tab w:val="left" w:pos="720"/>
        </w:tabs>
        <w:ind w:left="720" w:hanging="360"/>
        <w:rPr>
          <w:spacing w:val="-1"/>
          <w:sz w:val="24"/>
          <w:szCs w:val="24"/>
        </w:rPr>
      </w:pPr>
    </w:p>
    <w:p w:rsidR="000F674B" w:rsidRPr="006C7FAE" w:rsidP="000F674B" w14:paraId="31663B5C" w14:textId="77777777">
      <w:pPr>
        <w:tabs>
          <w:tab w:val="left" w:pos="360"/>
        </w:tabs>
        <w:ind w:left="360" w:hanging="360"/>
        <w:rPr>
          <w:sz w:val="24"/>
          <w:szCs w:val="24"/>
        </w:rPr>
      </w:pPr>
    </w:p>
    <w:p w:rsidR="000F674B" w:rsidRPr="00EF2F2E" w:rsidP="00EF2F2E" w14:paraId="3A000A8B" w14:textId="0FC4F93C">
      <w:pPr>
        <w:pStyle w:val="ListParagraph"/>
        <w:keepLines/>
        <w:numPr>
          <w:ilvl w:val="0"/>
          <w:numId w:val="9"/>
        </w:numPr>
        <w:tabs>
          <w:tab w:val="left" w:pos="360"/>
        </w:tabs>
        <w:spacing w:after="80"/>
        <w:ind w:left="360"/>
        <w:rPr>
          <w:sz w:val="24"/>
          <w:szCs w:val="24"/>
        </w:rPr>
      </w:pPr>
      <w:r w:rsidRPr="00EF2F2E">
        <w:rPr>
          <w:sz w:val="24"/>
          <w:szCs w:val="24"/>
        </w:rPr>
        <w:t>Describe any assurance of confidentiality provided to respondents and the basis for assurance in statute, regulation or agency policy.</w:t>
      </w:r>
      <w:r w:rsidRPr="000D5079">
        <w:t xml:space="preserve"> </w:t>
      </w:r>
      <w:r w:rsidRPr="00EF2F2E">
        <w:rPr>
          <w:sz w:val="24"/>
          <w:szCs w:val="24"/>
        </w:rPr>
        <w:t>If the collection requires a system of records notice (SORN) or privacy impact assessment (PIA), those should be cited and described here.</w:t>
      </w:r>
    </w:p>
    <w:p w:rsidR="00846578" w:rsidP="00846578" w14:paraId="291F20F3" w14:textId="77777777">
      <w:pPr>
        <w:pStyle w:val="ListParagraph"/>
        <w:keepLines/>
        <w:tabs>
          <w:tab w:val="left" w:pos="360"/>
        </w:tabs>
        <w:spacing w:after="80"/>
        <w:ind w:left="360"/>
        <w:rPr>
          <w:sz w:val="24"/>
          <w:szCs w:val="24"/>
        </w:rPr>
      </w:pPr>
    </w:p>
    <w:p w:rsidR="00036001" w:rsidP="00CC5440" w14:paraId="71448372" w14:textId="77777777">
      <w:pPr>
        <w:keepLines/>
        <w:tabs>
          <w:tab w:val="left" w:pos="360"/>
        </w:tabs>
        <w:ind w:left="360"/>
        <w:rPr>
          <w:sz w:val="24"/>
          <w:szCs w:val="24"/>
        </w:rPr>
      </w:pPr>
      <w:r>
        <w:rPr>
          <w:sz w:val="24"/>
          <w:szCs w:val="24"/>
        </w:rPr>
        <w:t xml:space="preserve">HUD </w:t>
      </w:r>
      <w:r w:rsidRPr="000E5431">
        <w:rPr>
          <w:sz w:val="24"/>
          <w:szCs w:val="24"/>
        </w:rPr>
        <w:t xml:space="preserve">Forms 4750 and 4752 do not collect any confidential information. </w:t>
      </w:r>
      <w:r>
        <w:rPr>
          <w:sz w:val="24"/>
          <w:szCs w:val="24"/>
        </w:rPr>
        <w:t xml:space="preserve">HUD </w:t>
      </w:r>
      <w:r w:rsidRPr="000E5431">
        <w:rPr>
          <w:sz w:val="24"/>
          <w:szCs w:val="24"/>
        </w:rPr>
        <w:t>Form</w:t>
      </w:r>
      <w:r>
        <w:rPr>
          <w:sz w:val="24"/>
          <w:szCs w:val="24"/>
        </w:rPr>
        <w:t xml:space="preserve"> </w:t>
      </w:r>
      <w:r w:rsidRPr="000E5431">
        <w:rPr>
          <w:sz w:val="24"/>
          <w:szCs w:val="24"/>
        </w:rPr>
        <w:t>4751 may contain confidential information, and the document states this fact and how this information may be exempt from Freedom of Information Act (FOIA)</w:t>
      </w:r>
      <w:r w:rsidRPr="002773C2">
        <w:t xml:space="preserve"> </w:t>
      </w:r>
      <w:r w:rsidRPr="002773C2">
        <w:rPr>
          <w:sz w:val="24"/>
          <w:szCs w:val="24"/>
        </w:rPr>
        <w:t>5 U.S.C. § 552,</w:t>
      </w:r>
      <w:r w:rsidRPr="000E5431">
        <w:rPr>
          <w:sz w:val="24"/>
          <w:szCs w:val="24"/>
        </w:rPr>
        <w:t xml:space="preserve"> unless permission is received from participants. </w:t>
      </w:r>
    </w:p>
    <w:p w:rsidR="000F674B" w:rsidRPr="006C7FAE" w:rsidP="000F674B" w14:paraId="7E06BFBD" w14:textId="77777777">
      <w:pPr>
        <w:tabs>
          <w:tab w:val="left" w:pos="360"/>
        </w:tabs>
        <w:ind w:left="360" w:hanging="360"/>
        <w:rPr>
          <w:sz w:val="24"/>
          <w:szCs w:val="24"/>
        </w:rPr>
      </w:pPr>
    </w:p>
    <w:p w:rsidR="000F674B" w:rsidRPr="00846578" w:rsidP="00EF2F2E" w14:paraId="63F6AA06" w14:textId="216E7044">
      <w:pPr>
        <w:pStyle w:val="ListParagraph"/>
        <w:keepLines/>
        <w:numPr>
          <w:ilvl w:val="0"/>
          <w:numId w:val="9"/>
        </w:numPr>
        <w:tabs>
          <w:tab w:val="left" w:pos="360"/>
        </w:tabs>
        <w:spacing w:after="80"/>
        <w:ind w:left="360"/>
        <w:rPr>
          <w:sz w:val="24"/>
          <w:szCs w:val="24"/>
        </w:rPr>
      </w:pPr>
      <w:r w:rsidRPr="00846578">
        <w:rPr>
          <w:sz w:val="24"/>
          <w:szCs w:val="24"/>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846578">
        <w:rPr>
          <w:sz w:val="24"/>
          <w:szCs w:val="24"/>
        </w:rPr>
        <w:t>persons</w:t>
      </w:r>
      <w:r w:rsidRPr="00846578">
        <w:rPr>
          <w:sz w:val="24"/>
          <w:szCs w:val="24"/>
        </w:rPr>
        <w:t xml:space="preserve"> from whom the information is requested, and any steps to be taken to obtain their consent.</w:t>
      </w:r>
    </w:p>
    <w:p w:rsidR="00846578" w:rsidRPr="00846578" w:rsidP="00846578" w14:paraId="4F76F3A9" w14:textId="77777777">
      <w:pPr>
        <w:pStyle w:val="ListParagraph"/>
        <w:keepLines/>
        <w:tabs>
          <w:tab w:val="left" w:pos="360"/>
        </w:tabs>
        <w:spacing w:after="80"/>
        <w:ind w:left="360"/>
        <w:rPr>
          <w:sz w:val="24"/>
          <w:szCs w:val="24"/>
        </w:rPr>
      </w:pPr>
    </w:p>
    <w:p w:rsidR="00CD169F" w:rsidRPr="002654AA" w:rsidP="00CC5440" w14:paraId="59E1B123" w14:textId="77777777">
      <w:pPr>
        <w:keepLines/>
        <w:tabs>
          <w:tab w:val="left" w:pos="630"/>
        </w:tabs>
        <w:spacing w:after="80"/>
        <w:ind w:left="360"/>
        <w:rPr>
          <w:sz w:val="24"/>
          <w:szCs w:val="24"/>
        </w:rPr>
      </w:pPr>
      <w:r w:rsidRPr="002654AA">
        <w:rPr>
          <w:sz w:val="24"/>
          <w:szCs w:val="24"/>
        </w:rPr>
        <w:t>There are no questions of a sensitive nature related to this information collection.</w:t>
      </w:r>
    </w:p>
    <w:p w:rsidR="000F674B" w:rsidP="000F674B" w14:paraId="683E058A" w14:textId="77777777">
      <w:pPr>
        <w:tabs>
          <w:tab w:val="left" w:pos="360"/>
        </w:tabs>
        <w:ind w:left="360" w:hanging="360"/>
        <w:rPr>
          <w:sz w:val="24"/>
          <w:szCs w:val="24"/>
        </w:rPr>
      </w:pPr>
    </w:p>
    <w:p w:rsidR="000F674B" w:rsidP="000F674B" w14:paraId="2E675AC6" w14:textId="77777777">
      <w:pPr>
        <w:tabs>
          <w:tab w:val="left" w:pos="360"/>
        </w:tabs>
        <w:ind w:left="360" w:hanging="360"/>
        <w:rPr>
          <w:sz w:val="24"/>
          <w:szCs w:val="24"/>
        </w:rPr>
      </w:pPr>
      <w:r w:rsidRPr="006C7FAE">
        <w:rPr>
          <w:sz w:val="24"/>
          <w:szCs w:val="24"/>
        </w:rPr>
        <w:t>12.</w:t>
      </w:r>
      <w:r w:rsidRPr="006C7FAE">
        <w:rPr>
          <w:sz w:val="24"/>
          <w:szCs w:val="24"/>
        </w:rPr>
        <w:tab/>
        <w:t>Provide estimates of the hour burden of the collection of information.  The statement should:</w:t>
      </w:r>
    </w:p>
    <w:p w:rsidR="000F674B" w:rsidRPr="006C7FAE" w:rsidP="000F674B" w14:paraId="4E121706" w14:textId="77777777">
      <w:pPr>
        <w:tabs>
          <w:tab w:val="left" w:pos="360"/>
        </w:tabs>
        <w:ind w:left="360" w:hanging="360"/>
        <w:rPr>
          <w:sz w:val="24"/>
          <w:szCs w:val="24"/>
        </w:rPr>
      </w:pPr>
      <w:r w:rsidRPr="006C7FAE">
        <w:rPr>
          <w:sz w:val="24"/>
          <w:szCs w:val="24"/>
        </w:rPr>
        <w:t xml:space="preserve"> </w:t>
      </w:r>
    </w:p>
    <w:p w:rsidR="008A2EA7" w:rsidP="008A2EA7" w14:paraId="7AAAA18D" w14:textId="4E5D0FD3">
      <w:pPr>
        <w:numPr>
          <w:ilvl w:val="0"/>
          <w:numId w:val="2"/>
        </w:numPr>
        <w:tabs>
          <w:tab w:val="left" w:pos="720"/>
        </w:tabs>
        <w:ind w:left="720" w:hanging="384"/>
        <w:rPr>
          <w:sz w:val="24"/>
          <w:szCs w:val="24"/>
        </w:rPr>
      </w:pPr>
      <w:r>
        <w:rPr>
          <w:sz w:val="24"/>
          <w:szCs w:val="24"/>
        </w:rPr>
        <w:t>I</w:t>
      </w:r>
      <w:r w:rsidRPr="006C7FAE">
        <w:rPr>
          <w:sz w:val="24"/>
          <w:szCs w:val="24"/>
        </w:rPr>
        <w:t xml:space="preserve">ndicate the number of respondents, frequency of response, annual hour burden, and an explanation </w:t>
      </w:r>
      <w:r w:rsidRPr="00565D65">
        <w:rPr>
          <w:sz w:val="24"/>
          <w:szCs w:val="24"/>
        </w:rPr>
        <w:t>of how the burden was estimated.</w:t>
      </w:r>
      <w:r w:rsidRPr="006C7FAE">
        <w:rPr>
          <w:sz w:val="24"/>
          <w:szCs w:val="24"/>
        </w:rPr>
        <w:t xml:space="preserve">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w:t>
      </w:r>
      <w:r w:rsidRPr="006C7FAE">
        <w:rPr>
          <w:sz w:val="24"/>
          <w:szCs w:val="24"/>
        </w:rPr>
        <w:t>practices;</w:t>
      </w:r>
      <w:r w:rsidRPr="006C7FAE">
        <w:rPr>
          <w:sz w:val="24"/>
          <w:szCs w:val="24"/>
        </w:rPr>
        <w:t xml:space="preserve"> </w:t>
      </w:r>
    </w:p>
    <w:p w:rsidR="008A2EA7" w:rsidP="008A2EA7" w14:paraId="592A7F28" w14:textId="77777777">
      <w:pPr>
        <w:numPr>
          <w:ilvl w:val="0"/>
          <w:numId w:val="2"/>
        </w:numPr>
        <w:tabs>
          <w:tab w:val="left" w:pos="720"/>
        </w:tabs>
        <w:ind w:left="720" w:hanging="384"/>
        <w:rPr>
          <w:sz w:val="24"/>
          <w:szCs w:val="24"/>
        </w:rPr>
      </w:pPr>
      <w:r w:rsidRPr="008A2EA7">
        <w:rPr>
          <w:sz w:val="24"/>
          <w:szCs w:val="24"/>
        </w:rPr>
        <w:t xml:space="preserve">If this request covers more than one form, provide separate hour burden estimates for each form and aggregate the hour burdens in chart below; and </w:t>
      </w:r>
    </w:p>
    <w:p w:rsidR="000F674B" w:rsidP="008A2EA7" w14:paraId="2A3451D7" w14:textId="11DCA820">
      <w:pPr>
        <w:numPr>
          <w:ilvl w:val="0"/>
          <w:numId w:val="2"/>
        </w:numPr>
        <w:tabs>
          <w:tab w:val="left" w:pos="720"/>
        </w:tabs>
        <w:ind w:left="720" w:hanging="384"/>
        <w:rPr>
          <w:sz w:val="24"/>
          <w:szCs w:val="24"/>
        </w:rPr>
      </w:pPr>
      <w:r w:rsidRPr="008A2EA7">
        <w:rPr>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5E0F54" w:rsidP="005E0F54" w14:paraId="367CD7B7" w14:textId="77777777">
      <w:pPr>
        <w:tabs>
          <w:tab w:val="left" w:pos="720"/>
        </w:tabs>
        <w:ind w:left="720"/>
        <w:rPr>
          <w:sz w:val="24"/>
          <w:szCs w:val="24"/>
        </w:rPr>
      </w:pPr>
    </w:p>
    <w:tbl>
      <w:tblPr>
        <w:tblStyle w:val="TableGrid"/>
        <w:tblpPr w:leftFromText="180" w:rightFromText="180" w:vertAnchor="text" w:horzAnchor="margin" w:tblpX="350" w:tblpY="148"/>
        <w:tblW w:w="9900" w:type="dxa"/>
        <w:tblLayout w:type="fixed"/>
        <w:tblLook w:val="04A0"/>
      </w:tblPr>
      <w:tblGrid>
        <w:gridCol w:w="1980"/>
        <w:gridCol w:w="1170"/>
        <w:gridCol w:w="1165"/>
        <w:gridCol w:w="1350"/>
        <w:gridCol w:w="1080"/>
        <w:gridCol w:w="900"/>
        <w:gridCol w:w="1085"/>
        <w:gridCol w:w="1170"/>
      </w:tblGrid>
      <w:tr w14:paraId="3ADB256F" w14:textId="77777777" w:rsidTr="00CC5440">
        <w:tblPrEx>
          <w:tblW w:w="9900" w:type="dxa"/>
          <w:tblLayout w:type="fixed"/>
          <w:tblLook w:val="04A0"/>
        </w:tblPrEx>
        <w:trPr>
          <w:trHeight w:val="440"/>
        </w:trPr>
        <w:tc>
          <w:tcPr>
            <w:tcW w:w="1980" w:type="dxa"/>
            <w:vAlign w:val="center"/>
          </w:tcPr>
          <w:p w:rsidR="00B01010" w:rsidRPr="000E5431" w:rsidP="00CC5440" w14:paraId="2704EE5B" w14:textId="6A8B2542">
            <w:pPr>
              <w:keepLines/>
              <w:tabs>
                <w:tab w:val="left" w:pos="480"/>
              </w:tabs>
              <w:rPr>
                <w:sz w:val="18"/>
                <w:szCs w:val="18"/>
              </w:rPr>
            </w:pPr>
            <w:r>
              <w:rPr>
                <w:color w:val="000000"/>
                <w:sz w:val="18"/>
                <w:szCs w:val="18"/>
              </w:rPr>
              <w:t>Information Collection</w:t>
            </w:r>
          </w:p>
        </w:tc>
        <w:tc>
          <w:tcPr>
            <w:tcW w:w="1170" w:type="dxa"/>
            <w:vAlign w:val="center"/>
          </w:tcPr>
          <w:p w:rsidR="00B01010" w:rsidRPr="000E5431" w:rsidP="00CC5440" w14:paraId="0338D741" w14:textId="549419F8">
            <w:pPr>
              <w:keepLines/>
              <w:tabs>
                <w:tab w:val="left" w:pos="480"/>
              </w:tabs>
              <w:rPr>
                <w:sz w:val="18"/>
                <w:szCs w:val="18"/>
              </w:rPr>
            </w:pPr>
            <w:r>
              <w:rPr>
                <w:color w:val="000000"/>
                <w:sz w:val="18"/>
                <w:szCs w:val="18"/>
              </w:rPr>
              <w:t>Number of Respondents</w:t>
            </w:r>
          </w:p>
        </w:tc>
        <w:tc>
          <w:tcPr>
            <w:tcW w:w="1165" w:type="dxa"/>
            <w:vAlign w:val="center"/>
          </w:tcPr>
          <w:p w:rsidR="00B01010" w:rsidRPr="000E5431" w:rsidP="00CC5440" w14:paraId="36A682F3" w14:textId="4F59512F">
            <w:pPr>
              <w:keepLines/>
              <w:tabs>
                <w:tab w:val="left" w:pos="480"/>
              </w:tabs>
              <w:rPr>
                <w:sz w:val="18"/>
                <w:szCs w:val="18"/>
              </w:rPr>
            </w:pPr>
            <w:r>
              <w:rPr>
                <w:color w:val="000000"/>
                <w:sz w:val="18"/>
                <w:szCs w:val="18"/>
              </w:rPr>
              <w:t>Frequency of Response</w:t>
            </w:r>
          </w:p>
        </w:tc>
        <w:tc>
          <w:tcPr>
            <w:tcW w:w="1350" w:type="dxa"/>
            <w:vAlign w:val="center"/>
          </w:tcPr>
          <w:p w:rsidR="00B01010" w:rsidRPr="000E5431" w:rsidP="00CC5440" w14:paraId="2CFA6FCF" w14:textId="43170615">
            <w:pPr>
              <w:keepLines/>
              <w:tabs>
                <w:tab w:val="left" w:pos="480"/>
              </w:tabs>
              <w:rPr>
                <w:sz w:val="18"/>
                <w:szCs w:val="18"/>
              </w:rPr>
            </w:pPr>
            <w:r>
              <w:rPr>
                <w:color w:val="000000"/>
                <w:sz w:val="18"/>
                <w:szCs w:val="18"/>
              </w:rPr>
              <w:t>Responses per</w:t>
            </w:r>
            <w:r w:rsidR="00CC5440">
              <w:rPr>
                <w:color w:val="000000"/>
                <w:sz w:val="18"/>
                <w:szCs w:val="18"/>
              </w:rPr>
              <w:t xml:space="preserve"> </w:t>
            </w:r>
            <w:r>
              <w:rPr>
                <w:color w:val="000000"/>
                <w:sz w:val="18"/>
                <w:szCs w:val="18"/>
              </w:rPr>
              <w:t>Annum</w:t>
            </w:r>
          </w:p>
        </w:tc>
        <w:tc>
          <w:tcPr>
            <w:tcW w:w="1080" w:type="dxa"/>
            <w:vAlign w:val="center"/>
          </w:tcPr>
          <w:p w:rsidR="00B01010" w:rsidRPr="000E5431" w:rsidP="00CC5440" w14:paraId="1EA02647" w14:textId="11885F89">
            <w:pPr>
              <w:keepLines/>
              <w:tabs>
                <w:tab w:val="left" w:pos="480"/>
              </w:tabs>
              <w:rPr>
                <w:sz w:val="18"/>
                <w:szCs w:val="18"/>
              </w:rPr>
            </w:pPr>
            <w:r>
              <w:rPr>
                <w:color w:val="000000"/>
                <w:sz w:val="18"/>
                <w:szCs w:val="18"/>
              </w:rPr>
              <w:t>Burden Hours per Response</w:t>
            </w:r>
          </w:p>
        </w:tc>
        <w:tc>
          <w:tcPr>
            <w:tcW w:w="900" w:type="dxa"/>
            <w:vAlign w:val="center"/>
          </w:tcPr>
          <w:p w:rsidR="00B01010" w:rsidRPr="000E5431" w:rsidP="00CC5440" w14:paraId="00E92F9D" w14:textId="36659C7A">
            <w:pPr>
              <w:keepLines/>
              <w:tabs>
                <w:tab w:val="left" w:pos="480"/>
              </w:tabs>
              <w:rPr>
                <w:sz w:val="18"/>
                <w:szCs w:val="18"/>
              </w:rPr>
            </w:pPr>
            <w:r>
              <w:rPr>
                <w:color w:val="000000"/>
                <w:sz w:val="18"/>
                <w:szCs w:val="18"/>
              </w:rPr>
              <w:t>Annual Burden Hours</w:t>
            </w:r>
          </w:p>
        </w:tc>
        <w:tc>
          <w:tcPr>
            <w:tcW w:w="1085" w:type="dxa"/>
            <w:vAlign w:val="center"/>
          </w:tcPr>
          <w:p w:rsidR="00B01010" w:rsidRPr="000E5431" w:rsidP="00CC5440" w14:paraId="0CD447E5" w14:textId="2FAFEB9B">
            <w:pPr>
              <w:keepLines/>
              <w:tabs>
                <w:tab w:val="left" w:pos="480"/>
              </w:tabs>
              <w:rPr>
                <w:sz w:val="18"/>
                <w:szCs w:val="18"/>
              </w:rPr>
            </w:pPr>
            <w:r>
              <w:rPr>
                <w:color w:val="000000"/>
                <w:sz w:val="18"/>
                <w:szCs w:val="18"/>
              </w:rPr>
              <w:t>Hourly Cost Per Response</w:t>
            </w:r>
          </w:p>
        </w:tc>
        <w:tc>
          <w:tcPr>
            <w:tcW w:w="1170" w:type="dxa"/>
            <w:vAlign w:val="center"/>
          </w:tcPr>
          <w:p w:rsidR="00B01010" w:rsidRPr="000E5431" w:rsidP="00CC5440" w14:paraId="46D6D5F6" w14:textId="7776D97A">
            <w:pPr>
              <w:keepLines/>
              <w:tabs>
                <w:tab w:val="left" w:pos="480"/>
              </w:tabs>
              <w:rPr>
                <w:sz w:val="18"/>
                <w:szCs w:val="18"/>
              </w:rPr>
            </w:pPr>
            <w:r>
              <w:rPr>
                <w:color w:val="000000"/>
                <w:sz w:val="18"/>
                <w:szCs w:val="18"/>
              </w:rPr>
              <w:t>Total Cost</w:t>
            </w:r>
          </w:p>
        </w:tc>
      </w:tr>
      <w:tr w14:paraId="7E282B60" w14:textId="77777777" w:rsidTr="00CC5440">
        <w:tblPrEx>
          <w:tblW w:w="9900" w:type="dxa"/>
          <w:tblLayout w:type="fixed"/>
          <w:tblLook w:val="04A0"/>
        </w:tblPrEx>
        <w:tc>
          <w:tcPr>
            <w:tcW w:w="1980" w:type="dxa"/>
            <w:vAlign w:val="center"/>
          </w:tcPr>
          <w:p w:rsidR="00CC5440" w:rsidRPr="000E5431" w:rsidP="00CC5440" w14:paraId="0437D411" w14:textId="0888D3E6">
            <w:pPr>
              <w:keepLines/>
              <w:tabs>
                <w:tab w:val="left" w:pos="480"/>
              </w:tabs>
              <w:rPr>
                <w:sz w:val="18"/>
                <w:szCs w:val="18"/>
              </w:rPr>
            </w:pPr>
            <w:r>
              <w:rPr>
                <w:color w:val="000000"/>
                <w:sz w:val="18"/>
                <w:szCs w:val="18"/>
              </w:rPr>
              <w:t>HUD - 4750 Maintenance Wage Recommendation</w:t>
            </w:r>
          </w:p>
        </w:tc>
        <w:tc>
          <w:tcPr>
            <w:tcW w:w="1170" w:type="dxa"/>
            <w:vAlign w:val="bottom"/>
          </w:tcPr>
          <w:p w:rsidR="00CC5440" w:rsidRPr="000E5431" w:rsidP="00CC5440" w14:paraId="6CCF4140" w14:textId="22708FEE">
            <w:pPr>
              <w:keepLines/>
              <w:tabs>
                <w:tab w:val="left" w:pos="480"/>
              </w:tabs>
              <w:jc w:val="right"/>
              <w:rPr>
                <w:sz w:val="18"/>
                <w:szCs w:val="18"/>
              </w:rPr>
            </w:pPr>
            <w:r>
              <w:rPr>
                <w:color w:val="000000"/>
                <w:sz w:val="18"/>
                <w:szCs w:val="18"/>
              </w:rPr>
              <w:t>1,381.00</w:t>
            </w:r>
          </w:p>
        </w:tc>
        <w:tc>
          <w:tcPr>
            <w:tcW w:w="1165" w:type="dxa"/>
            <w:vAlign w:val="bottom"/>
          </w:tcPr>
          <w:p w:rsidR="00CC5440" w:rsidRPr="000E5431" w:rsidP="00CC5440" w14:paraId="6607337A" w14:textId="018ED5D1">
            <w:pPr>
              <w:keepLines/>
              <w:tabs>
                <w:tab w:val="left" w:pos="480"/>
              </w:tabs>
              <w:jc w:val="right"/>
              <w:rPr>
                <w:sz w:val="18"/>
                <w:szCs w:val="18"/>
              </w:rPr>
            </w:pPr>
            <w:r>
              <w:rPr>
                <w:color w:val="000000"/>
                <w:sz w:val="18"/>
                <w:szCs w:val="18"/>
              </w:rPr>
              <w:t>1.00</w:t>
            </w:r>
          </w:p>
        </w:tc>
        <w:tc>
          <w:tcPr>
            <w:tcW w:w="1350" w:type="dxa"/>
            <w:vAlign w:val="bottom"/>
          </w:tcPr>
          <w:p w:rsidR="00CC5440" w:rsidRPr="000E5431" w:rsidP="00CC5440" w14:paraId="3D4EB9A5" w14:textId="1989373E">
            <w:pPr>
              <w:keepLines/>
              <w:tabs>
                <w:tab w:val="left" w:pos="480"/>
              </w:tabs>
              <w:jc w:val="right"/>
              <w:rPr>
                <w:sz w:val="18"/>
                <w:szCs w:val="18"/>
              </w:rPr>
            </w:pPr>
            <w:r>
              <w:rPr>
                <w:color w:val="000000"/>
                <w:sz w:val="18"/>
                <w:szCs w:val="18"/>
              </w:rPr>
              <w:t>1,381.00</w:t>
            </w:r>
          </w:p>
        </w:tc>
        <w:tc>
          <w:tcPr>
            <w:tcW w:w="1080" w:type="dxa"/>
            <w:vAlign w:val="bottom"/>
          </w:tcPr>
          <w:p w:rsidR="00CC5440" w:rsidRPr="000E5431" w:rsidP="00CC5440" w14:paraId="1034BF1E" w14:textId="1965C30E">
            <w:pPr>
              <w:keepLines/>
              <w:tabs>
                <w:tab w:val="left" w:pos="480"/>
              </w:tabs>
              <w:jc w:val="right"/>
              <w:rPr>
                <w:sz w:val="18"/>
                <w:szCs w:val="18"/>
              </w:rPr>
            </w:pPr>
            <w:r>
              <w:rPr>
                <w:color w:val="000000"/>
                <w:sz w:val="18"/>
                <w:szCs w:val="18"/>
              </w:rPr>
              <w:t>2.00</w:t>
            </w:r>
          </w:p>
        </w:tc>
        <w:tc>
          <w:tcPr>
            <w:tcW w:w="900" w:type="dxa"/>
            <w:vAlign w:val="bottom"/>
          </w:tcPr>
          <w:p w:rsidR="00CC5440" w:rsidRPr="000E5431" w:rsidP="00CC5440" w14:paraId="5294A303" w14:textId="352CE4B7">
            <w:pPr>
              <w:keepLines/>
              <w:tabs>
                <w:tab w:val="left" w:pos="480"/>
              </w:tabs>
              <w:jc w:val="right"/>
              <w:rPr>
                <w:sz w:val="18"/>
                <w:szCs w:val="18"/>
              </w:rPr>
            </w:pPr>
            <w:r>
              <w:rPr>
                <w:color w:val="000000"/>
                <w:sz w:val="18"/>
                <w:szCs w:val="18"/>
              </w:rPr>
              <w:t>2,762.00</w:t>
            </w:r>
          </w:p>
        </w:tc>
        <w:tc>
          <w:tcPr>
            <w:tcW w:w="1085" w:type="dxa"/>
            <w:vAlign w:val="bottom"/>
          </w:tcPr>
          <w:p w:rsidR="00CC5440" w:rsidRPr="000E5431" w:rsidP="00CC5440" w14:paraId="2B3E7E03" w14:textId="6A93581A">
            <w:pPr>
              <w:keepLines/>
              <w:tabs>
                <w:tab w:val="left" w:pos="480"/>
              </w:tabs>
              <w:jc w:val="right"/>
              <w:rPr>
                <w:sz w:val="18"/>
                <w:szCs w:val="18"/>
              </w:rPr>
            </w:pPr>
            <w:r>
              <w:rPr>
                <w:color w:val="000000"/>
                <w:sz w:val="18"/>
                <w:szCs w:val="18"/>
              </w:rPr>
              <w:t xml:space="preserve">$49.50 </w:t>
            </w:r>
          </w:p>
        </w:tc>
        <w:tc>
          <w:tcPr>
            <w:tcW w:w="1170" w:type="dxa"/>
            <w:vAlign w:val="bottom"/>
          </w:tcPr>
          <w:p w:rsidR="00CC5440" w:rsidRPr="000E5431" w:rsidP="00CC5440" w14:paraId="1774FD5A" w14:textId="10539674">
            <w:pPr>
              <w:keepLines/>
              <w:tabs>
                <w:tab w:val="left" w:pos="480"/>
              </w:tabs>
              <w:jc w:val="right"/>
              <w:rPr>
                <w:sz w:val="18"/>
                <w:szCs w:val="18"/>
              </w:rPr>
            </w:pPr>
            <w:r>
              <w:rPr>
                <w:color w:val="000000"/>
                <w:sz w:val="18"/>
                <w:szCs w:val="18"/>
              </w:rPr>
              <w:t xml:space="preserve">$136,719.00 </w:t>
            </w:r>
          </w:p>
        </w:tc>
      </w:tr>
      <w:tr w14:paraId="2D3B839C" w14:textId="77777777" w:rsidTr="00C64C68">
        <w:tblPrEx>
          <w:tblW w:w="9900" w:type="dxa"/>
          <w:tblLayout w:type="fixed"/>
          <w:tblLook w:val="04A0"/>
        </w:tblPrEx>
        <w:tc>
          <w:tcPr>
            <w:tcW w:w="1980" w:type="dxa"/>
            <w:vAlign w:val="center"/>
          </w:tcPr>
          <w:p w:rsidR="00CC5440" w:rsidRPr="000E5431" w:rsidP="00CC5440" w14:paraId="6614FF3A" w14:textId="2D3246FD">
            <w:pPr>
              <w:keepLines/>
              <w:tabs>
                <w:tab w:val="left" w:pos="480"/>
              </w:tabs>
              <w:rPr>
                <w:sz w:val="18"/>
                <w:szCs w:val="18"/>
              </w:rPr>
            </w:pPr>
            <w:r>
              <w:rPr>
                <w:color w:val="000000"/>
                <w:sz w:val="18"/>
                <w:szCs w:val="18"/>
              </w:rPr>
              <w:t>HUD - 4751 Maintenance Wage Rate Survey</w:t>
            </w:r>
          </w:p>
        </w:tc>
        <w:tc>
          <w:tcPr>
            <w:tcW w:w="1170" w:type="dxa"/>
            <w:vAlign w:val="bottom"/>
          </w:tcPr>
          <w:p w:rsidR="00CC5440" w:rsidRPr="000E5431" w:rsidP="00CC5440" w14:paraId="4E904FED" w14:textId="583DB53C">
            <w:pPr>
              <w:keepLines/>
              <w:tabs>
                <w:tab w:val="left" w:pos="480"/>
              </w:tabs>
              <w:jc w:val="right"/>
              <w:rPr>
                <w:sz w:val="18"/>
                <w:szCs w:val="18"/>
              </w:rPr>
            </w:pPr>
            <w:r>
              <w:rPr>
                <w:color w:val="000000"/>
                <w:sz w:val="18"/>
                <w:szCs w:val="18"/>
              </w:rPr>
              <w:t>1,133.00</w:t>
            </w:r>
          </w:p>
        </w:tc>
        <w:tc>
          <w:tcPr>
            <w:tcW w:w="1165" w:type="dxa"/>
            <w:vAlign w:val="bottom"/>
          </w:tcPr>
          <w:p w:rsidR="00CC5440" w:rsidRPr="000E5431" w:rsidP="00CC5440" w14:paraId="11571A9B" w14:textId="11CD79FE">
            <w:pPr>
              <w:keepLines/>
              <w:tabs>
                <w:tab w:val="left" w:pos="480"/>
              </w:tabs>
              <w:jc w:val="right"/>
              <w:rPr>
                <w:sz w:val="18"/>
                <w:szCs w:val="18"/>
              </w:rPr>
            </w:pPr>
            <w:r>
              <w:rPr>
                <w:color w:val="000000"/>
                <w:sz w:val="18"/>
                <w:szCs w:val="18"/>
              </w:rPr>
              <w:t>1.00</w:t>
            </w:r>
          </w:p>
        </w:tc>
        <w:tc>
          <w:tcPr>
            <w:tcW w:w="1350" w:type="dxa"/>
            <w:vAlign w:val="bottom"/>
          </w:tcPr>
          <w:p w:rsidR="00CC5440" w:rsidRPr="000E5431" w:rsidP="00CC5440" w14:paraId="55A4682D" w14:textId="7C7709EA">
            <w:pPr>
              <w:keepLines/>
              <w:tabs>
                <w:tab w:val="left" w:pos="480"/>
              </w:tabs>
              <w:jc w:val="right"/>
              <w:rPr>
                <w:sz w:val="18"/>
                <w:szCs w:val="18"/>
              </w:rPr>
            </w:pPr>
            <w:r>
              <w:rPr>
                <w:color w:val="000000"/>
                <w:sz w:val="18"/>
                <w:szCs w:val="18"/>
              </w:rPr>
              <w:t>1,133.00</w:t>
            </w:r>
          </w:p>
        </w:tc>
        <w:tc>
          <w:tcPr>
            <w:tcW w:w="1080" w:type="dxa"/>
            <w:vAlign w:val="bottom"/>
          </w:tcPr>
          <w:p w:rsidR="00CC5440" w:rsidRPr="000E5431" w:rsidP="00CC5440" w14:paraId="1F3D6536" w14:textId="6F3AB23A">
            <w:pPr>
              <w:keepLines/>
              <w:tabs>
                <w:tab w:val="left" w:pos="480"/>
              </w:tabs>
              <w:ind w:left="480"/>
              <w:jc w:val="right"/>
              <w:rPr>
                <w:sz w:val="18"/>
                <w:szCs w:val="18"/>
              </w:rPr>
            </w:pPr>
            <w:r>
              <w:rPr>
                <w:color w:val="000000"/>
                <w:sz w:val="18"/>
                <w:szCs w:val="18"/>
              </w:rPr>
              <w:t>2.00</w:t>
            </w:r>
          </w:p>
        </w:tc>
        <w:tc>
          <w:tcPr>
            <w:tcW w:w="900" w:type="dxa"/>
            <w:vAlign w:val="bottom"/>
          </w:tcPr>
          <w:p w:rsidR="00CC5440" w:rsidRPr="000E5431" w:rsidP="00CC5440" w14:paraId="11607A73" w14:textId="164F1574">
            <w:pPr>
              <w:keepLines/>
              <w:tabs>
                <w:tab w:val="left" w:pos="480"/>
              </w:tabs>
              <w:jc w:val="right"/>
              <w:rPr>
                <w:sz w:val="18"/>
                <w:szCs w:val="18"/>
              </w:rPr>
            </w:pPr>
            <w:r>
              <w:rPr>
                <w:color w:val="000000"/>
                <w:sz w:val="18"/>
                <w:szCs w:val="18"/>
              </w:rPr>
              <w:t>2,266.00</w:t>
            </w:r>
          </w:p>
        </w:tc>
        <w:tc>
          <w:tcPr>
            <w:tcW w:w="1085" w:type="dxa"/>
          </w:tcPr>
          <w:p w:rsidR="00CC5440" w:rsidP="00CC5440" w14:paraId="5EDF36F0" w14:textId="77777777">
            <w:pPr>
              <w:keepLines/>
              <w:tabs>
                <w:tab w:val="left" w:pos="480"/>
              </w:tabs>
              <w:jc w:val="right"/>
              <w:rPr>
                <w:color w:val="000000"/>
                <w:sz w:val="18"/>
                <w:szCs w:val="18"/>
              </w:rPr>
            </w:pPr>
          </w:p>
          <w:p w:rsidR="00CC5440" w:rsidP="00CC5440" w14:paraId="344B7F36" w14:textId="77777777">
            <w:pPr>
              <w:keepLines/>
              <w:tabs>
                <w:tab w:val="left" w:pos="480"/>
              </w:tabs>
              <w:jc w:val="right"/>
              <w:rPr>
                <w:color w:val="000000"/>
                <w:sz w:val="18"/>
                <w:szCs w:val="18"/>
              </w:rPr>
            </w:pPr>
          </w:p>
          <w:p w:rsidR="00CC5440" w:rsidRPr="000E5431" w:rsidP="00CC5440" w14:paraId="3D46393C" w14:textId="4F5C1548">
            <w:pPr>
              <w:keepLines/>
              <w:tabs>
                <w:tab w:val="left" w:pos="480"/>
              </w:tabs>
              <w:jc w:val="right"/>
              <w:rPr>
                <w:sz w:val="18"/>
                <w:szCs w:val="18"/>
              </w:rPr>
            </w:pPr>
            <w:r w:rsidRPr="000859DC">
              <w:rPr>
                <w:color w:val="000000"/>
                <w:sz w:val="18"/>
                <w:szCs w:val="18"/>
              </w:rPr>
              <w:t xml:space="preserve">$49.50 </w:t>
            </w:r>
          </w:p>
        </w:tc>
        <w:tc>
          <w:tcPr>
            <w:tcW w:w="1170" w:type="dxa"/>
            <w:vAlign w:val="bottom"/>
          </w:tcPr>
          <w:p w:rsidR="00CC5440" w:rsidRPr="000E5431" w:rsidP="00CC5440" w14:paraId="4A0E9A1F" w14:textId="698C8A88">
            <w:pPr>
              <w:keepLines/>
              <w:tabs>
                <w:tab w:val="left" w:pos="480"/>
              </w:tabs>
              <w:jc w:val="right"/>
              <w:rPr>
                <w:sz w:val="18"/>
                <w:szCs w:val="18"/>
              </w:rPr>
            </w:pPr>
            <w:r>
              <w:rPr>
                <w:color w:val="000000"/>
                <w:sz w:val="18"/>
                <w:szCs w:val="18"/>
              </w:rPr>
              <w:t xml:space="preserve">$112,167.00 </w:t>
            </w:r>
          </w:p>
        </w:tc>
      </w:tr>
      <w:tr w14:paraId="25489801" w14:textId="77777777" w:rsidTr="00C64C68">
        <w:tblPrEx>
          <w:tblW w:w="9900" w:type="dxa"/>
          <w:tblLayout w:type="fixed"/>
          <w:tblLook w:val="04A0"/>
        </w:tblPrEx>
        <w:tc>
          <w:tcPr>
            <w:tcW w:w="1980" w:type="dxa"/>
            <w:vAlign w:val="center"/>
          </w:tcPr>
          <w:p w:rsidR="00CC5440" w:rsidRPr="000E5431" w:rsidP="00CC5440" w14:paraId="5F34C42C" w14:textId="5D34F79C">
            <w:pPr>
              <w:keepLines/>
              <w:tabs>
                <w:tab w:val="left" w:pos="480"/>
              </w:tabs>
              <w:rPr>
                <w:sz w:val="18"/>
                <w:szCs w:val="18"/>
              </w:rPr>
            </w:pPr>
            <w:r>
              <w:rPr>
                <w:color w:val="000000"/>
                <w:sz w:val="18"/>
                <w:szCs w:val="18"/>
              </w:rPr>
              <w:t>HUD - 4752 Maintenance Wage Rate Survey – Summary Sheet</w:t>
            </w:r>
          </w:p>
        </w:tc>
        <w:tc>
          <w:tcPr>
            <w:tcW w:w="1170" w:type="dxa"/>
            <w:vAlign w:val="bottom"/>
          </w:tcPr>
          <w:p w:rsidR="00CC5440" w:rsidRPr="000E5431" w:rsidP="00CC5440" w14:paraId="0656B749" w14:textId="6B60428B">
            <w:pPr>
              <w:keepLines/>
              <w:tabs>
                <w:tab w:val="left" w:pos="480"/>
              </w:tabs>
              <w:jc w:val="right"/>
              <w:rPr>
                <w:sz w:val="18"/>
                <w:szCs w:val="18"/>
              </w:rPr>
            </w:pPr>
            <w:r>
              <w:rPr>
                <w:color w:val="000000"/>
                <w:sz w:val="18"/>
                <w:szCs w:val="18"/>
              </w:rPr>
              <w:t>1,133.00</w:t>
            </w:r>
          </w:p>
        </w:tc>
        <w:tc>
          <w:tcPr>
            <w:tcW w:w="1165" w:type="dxa"/>
            <w:vAlign w:val="bottom"/>
          </w:tcPr>
          <w:p w:rsidR="00CC5440" w:rsidRPr="000E5431" w:rsidP="00CC5440" w14:paraId="47C22331" w14:textId="15074B17">
            <w:pPr>
              <w:keepLines/>
              <w:tabs>
                <w:tab w:val="left" w:pos="480"/>
              </w:tabs>
              <w:jc w:val="right"/>
              <w:rPr>
                <w:sz w:val="18"/>
                <w:szCs w:val="18"/>
              </w:rPr>
            </w:pPr>
            <w:r>
              <w:rPr>
                <w:color w:val="000000"/>
                <w:sz w:val="18"/>
                <w:szCs w:val="18"/>
              </w:rPr>
              <w:t>1.00</w:t>
            </w:r>
          </w:p>
        </w:tc>
        <w:tc>
          <w:tcPr>
            <w:tcW w:w="1350" w:type="dxa"/>
            <w:vAlign w:val="bottom"/>
          </w:tcPr>
          <w:p w:rsidR="00CC5440" w:rsidRPr="000E5431" w:rsidP="00CC5440" w14:paraId="7DCCE710" w14:textId="320B153F">
            <w:pPr>
              <w:keepLines/>
              <w:tabs>
                <w:tab w:val="left" w:pos="480"/>
              </w:tabs>
              <w:jc w:val="right"/>
              <w:rPr>
                <w:sz w:val="18"/>
                <w:szCs w:val="18"/>
              </w:rPr>
            </w:pPr>
            <w:r>
              <w:rPr>
                <w:color w:val="000000"/>
                <w:sz w:val="18"/>
                <w:szCs w:val="18"/>
              </w:rPr>
              <w:t>1,133.00</w:t>
            </w:r>
          </w:p>
        </w:tc>
        <w:tc>
          <w:tcPr>
            <w:tcW w:w="1080" w:type="dxa"/>
            <w:vAlign w:val="bottom"/>
          </w:tcPr>
          <w:p w:rsidR="00CC5440" w:rsidRPr="000E5431" w:rsidP="00CC5440" w14:paraId="38C94FF7" w14:textId="64D3F75A">
            <w:pPr>
              <w:keepLines/>
              <w:tabs>
                <w:tab w:val="left" w:pos="480"/>
              </w:tabs>
              <w:ind w:left="480"/>
              <w:jc w:val="right"/>
              <w:rPr>
                <w:sz w:val="18"/>
                <w:szCs w:val="18"/>
              </w:rPr>
            </w:pPr>
            <w:r>
              <w:rPr>
                <w:color w:val="000000"/>
                <w:sz w:val="18"/>
                <w:szCs w:val="18"/>
              </w:rPr>
              <w:t>4.00</w:t>
            </w:r>
          </w:p>
        </w:tc>
        <w:tc>
          <w:tcPr>
            <w:tcW w:w="900" w:type="dxa"/>
            <w:vAlign w:val="bottom"/>
          </w:tcPr>
          <w:p w:rsidR="00CC5440" w:rsidRPr="000E5431" w:rsidP="00CC5440" w14:paraId="1E0D9A03" w14:textId="72F6B5DD">
            <w:pPr>
              <w:keepLines/>
              <w:tabs>
                <w:tab w:val="left" w:pos="480"/>
              </w:tabs>
              <w:jc w:val="right"/>
              <w:rPr>
                <w:sz w:val="18"/>
                <w:szCs w:val="18"/>
              </w:rPr>
            </w:pPr>
            <w:r>
              <w:rPr>
                <w:color w:val="000000"/>
                <w:sz w:val="18"/>
                <w:szCs w:val="18"/>
              </w:rPr>
              <w:t>4,532.00</w:t>
            </w:r>
          </w:p>
        </w:tc>
        <w:tc>
          <w:tcPr>
            <w:tcW w:w="1085" w:type="dxa"/>
          </w:tcPr>
          <w:p w:rsidR="00CC5440" w:rsidP="00CC5440" w14:paraId="00C55648" w14:textId="77777777">
            <w:pPr>
              <w:keepLines/>
              <w:tabs>
                <w:tab w:val="left" w:pos="480"/>
              </w:tabs>
              <w:jc w:val="right"/>
              <w:rPr>
                <w:color w:val="000000"/>
                <w:sz w:val="18"/>
                <w:szCs w:val="18"/>
              </w:rPr>
            </w:pPr>
          </w:p>
          <w:p w:rsidR="00CC5440" w:rsidP="00CC5440" w14:paraId="2D8BB14B" w14:textId="77777777">
            <w:pPr>
              <w:keepLines/>
              <w:tabs>
                <w:tab w:val="left" w:pos="480"/>
              </w:tabs>
              <w:jc w:val="right"/>
              <w:rPr>
                <w:color w:val="000000"/>
                <w:sz w:val="18"/>
                <w:szCs w:val="18"/>
              </w:rPr>
            </w:pPr>
          </w:p>
          <w:p w:rsidR="00CC5440" w:rsidP="00CC5440" w14:paraId="631D595F" w14:textId="77777777">
            <w:pPr>
              <w:keepLines/>
              <w:tabs>
                <w:tab w:val="left" w:pos="480"/>
              </w:tabs>
              <w:jc w:val="right"/>
              <w:rPr>
                <w:color w:val="000000"/>
                <w:sz w:val="18"/>
                <w:szCs w:val="18"/>
              </w:rPr>
            </w:pPr>
          </w:p>
          <w:p w:rsidR="00CC5440" w:rsidRPr="000E5431" w:rsidP="00CC5440" w14:paraId="0ADA326B" w14:textId="77FA6FA8">
            <w:pPr>
              <w:keepLines/>
              <w:tabs>
                <w:tab w:val="left" w:pos="480"/>
              </w:tabs>
              <w:jc w:val="right"/>
              <w:rPr>
                <w:sz w:val="18"/>
                <w:szCs w:val="18"/>
              </w:rPr>
            </w:pPr>
            <w:r w:rsidRPr="000859DC">
              <w:rPr>
                <w:color w:val="000000"/>
                <w:sz w:val="18"/>
                <w:szCs w:val="18"/>
              </w:rPr>
              <w:t xml:space="preserve">$49.50 </w:t>
            </w:r>
          </w:p>
        </w:tc>
        <w:tc>
          <w:tcPr>
            <w:tcW w:w="1170" w:type="dxa"/>
            <w:vAlign w:val="bottom"/>
          </w:tcPr>
          <w:p w:rsidR="00CC5440" w:rsidRPr="000E5431" w:rsidP="00CC5440" w14:paraId="6FCCF7BA" w14:textId="09AC8157">
            <w:pPr>
              <w:keepLines/>
              <w:tabs>
                <w:tab w:val="left" w:pos="480"/>
              </w:tabs>
              <w:jc w:val="right"/>
              <w:rPr>
                <w:sz w:val="18"/>
                <w:szCs w:val="18"/>
              </w:rPr>
            </w:pPr>
            <w:r>
              <w:rPr>
                <w:color w:val="000000"/>
                <w:sz w:val="18"/>
                <w:szCs w:val="18"/>
              </w:rPr>
              <w:t xml:space="preserve">$224,334.00 </w:t>
            </w:r>
          </w:p>
        </w:tc>
      </w:tr>
      <w:tr w14:paraId="479835AB" w14:textId="77777777" w:rsidTr="00C64C68">
        <w:tblPrEx>
          <w:tblW w:w="9900" w:type="dxa"/>
          <w:tblLayout w:type="fixed"/>
          <w:tblLook w:val="04A0"/>
        </w:tblPrEx>
        <w:trPr>
          <w:trHeight w:val="248"/>
        </w:trPr>
        <w:tc>
          <w:tcPr>
            <w:tcW w:w="1980" w:type="dxa"/>
            <w:vAlign w:val="center"/>
          </w:tcPr>
          <w:p w:rsidR="00CC5440" w:rsidRPr="000E5431" w:rsidP="00CC5440" w14:paraId="6CFC1489" w14:textId="6A2E9D45">
            <w:pPr>
              <w:keepLines/>
              <w:tabs>
                <w:tab w:val="left" w:pos="480"/>
              </w:tabs>
              <w:rPr>
                <w:b/>
                <w:sz w:val="18"/>
                <w:szCs w:val="18"/>
              </w:rPr>
            </w:pPr>
            <w:r>
              <w:rPr>
                <w:b/>
                <w:bCs/>
                <w:color w:val="000000"/>
                <w:sz w:val="18"/>
                <w:szCs w:val="18"/>
              </w:rPr>
              <w:t>Total</w:t>
            </w:r>
          </w:p>
        </w:tc>
        <w:tc>
          <w:tcPr>
            <w:tcW w:w="1170" w:type="dxa"/>
            <w:vAlign w:val="bottom"/>
          </w:tcPr>
          <w:p w:rsidR="00CC5440" w:rsidRPr="000E5431" w:rsidP="00CC5440" w14:paraId="1DACB220" w14:textId="5257A742">
            <w:pPr>
              <w:keepLines/>
              <w:tabs>
                <w:tab w:val="left" w:pos="480"/>
              </w:tabs>
              <w:jc w:val="right"/>
              <w:rPr>
                <w:sz w:val="18"/>
                <w:szCs w:val="18"/>
              </w:rPr>
            </w:pPr>
            <w:r>
              <w:rPr>
                <w:color w:val="000000"/>
                <w:sz w:val="18"/>
                <w:szCs w:val="18"/>
              </w:rPr>
              <w:t>3,647.00</w:t>
            </w:r>
          </w:p>
        </w:tc>
        <w:tc>
          <w:tcPr>
            <w:tcW w:w="1165" w:type="dxa"/>
            <w:vAlign w:val="bottom"/>
          </w:tcPr>
          <w:p w:rsidR="00CC5440" w:rsidRPr="000E5431" w:rsidP="00CC5440" w14:paraId="053A2DE6" w14:textId="4A8E1518">
            <w:pPr>
              <w:keepLines/>
              <w:tabs>
                <w:tab w:val="left" w:pos="480"/>
              </w:tabs>
              <w:ind w:left="480"/>
              <w:jc w:val="right"/>
              <w:rPr>
                <w:sz w:val="18"/>
                <w:szCs w:val="18"/>
              </w:rPr>
            </w:pPr>
            <w:r>
              <w:rPr>
                <w:color w:val="000000"/>
                <w:sz w:val="18"/>
                <w:szCs w:val="18"/>
              </w:rPr>
              <w:t> </w:t>
            </w:r>
          </w:p>
        </w:tc>
        <w:tc>
          <w:tcPr>
            <w:tcW w:w="1350" w:type="dxa"/>
            <w:vAlign w:val="bottom"/>
          </w:tcPr>
          <w:p w:rsidR="00CC5440" w:rsidRPr="000E5431" w:rsidP="00CC5440" w14:paraId="23FF93D8" w14:textId="7CCC12F6">
            <w:pPr>
              <w:keepLines/>
              <w:tabs>
                <w:tab w:val="left" w:pos="480"/>
              </w:tabs>
              <w:ind w:left="480"/>
              <w:jc w:val="right"/>
              <w:rPr>
                <w:sz w:val="18"/>
                <w:szCs w:val="18"/>
              </w:rPr>
            </w:pPr>
            <w:r>
              <w:rPr>
                <w:color w:val="000000"/>
                <w:sz w:val="18"/>
                <w:szCs w:val="18"/>
              </w:rPr>
              <w:t>3,647.00</w:t>
            </w:r>
          </w:p>
        </w:tc>
        <w:tc>
          <w:tcPr>
            <w:tcW w:w="1080" w:type="dxa"/>
            <w:vAlign w:val="bottom"/>
          </w:tcPr>
          <w:p w:rsidR="00CC5440" w:rsidRPr="000E5431" w:rsidP="00CC5440" w14:paraId="1ED77D4B" w14:textId="749DF449">
            <w:pPr>
              <w:keepLines/>
              <w:tabs>
                <w:tab w:val="left" w:pos="480"/>
              </w:tabs>
              <w:jc w:val="right"/>
              <w:rPr>
                <w:sz w:val="18"/>
                <w:szCs w:val="18"/>
              </w:rPr>
            </w:pPr>
            <w:r>
              <w:rPr>
                <w:color w:val="000000"/>
                <w:sz w:val="18"/>
                <w:szCs w:val="18"/>
              </w:rPr>
              <w:t>8.00</w:t>
            </w:r>
          </w:p>
        </w:tc>
        <w:tc>
          <w:tcPr>
            <w:tcW w:w="900" w:type="dxa"/>
            <w:vAlign w:val="bottom"/>
          </w:tcPr>
          <w:p w:rsidR="00CC5440" w:rsidRPr="000E5431" w:rsidP="00CC5440" w14:paraId="4BEE6616" w14:textId="7DABDE5C">
            <w:pPr>
              <w:keepLines/>
              <w:tabs>
                <w:tab w:val="left" w:pos="480"/>
              </w:tabs>
              <w:jc w:val="right"/>
              <w:rPr>
                <w:sz w:val="18"/>
                <w:szCs w:val="18"/>
              </w:rPr>
            </w:pPr>
            <w:r>
              <w:rPr>
                <w:color w:val="000000"/>
                <w:sz w:val="18"/>
                <w:szCs w:val="18"/>
              </w:rPr>
              <w:t>9,560.00</w:t>
            </w:r>
          </w:p>
        </w:tc>
        <w:tc>
          <w:tcPr>
            <w:tcW w:w="1085" w:type="dxa"/>
          </w:tcPr>
          <w:p w:rsidR="00CC5440" w:rsidRPr="000E5431" w:rsidP="00CC5440" w14:paraId="13CF2A8B" w14:textId="788A84C5">
            <w:pPr>
              <w:keepLines/>
              <w:tabs>
                <w:tab w:val="left" w:pos="480"/>
              </w:tabs>
              <w:jc w:val="right"/>
              <w:rPr>
                <w:sz w:val="18"/>
                <w:szCs w:val="18"/>
              </w:rPr>
            </w:pPr>
            <w:r w:rsidRPr="000859DC">
              <w:rPr>
                <w:color w:val="000000"/>
                <w:sz w:val="18"/>
                <w:szCs w:val="18"/>
              </w:rPr>
              <w:t xml:space="preserve">$49.50 </w:t>
            </w:r>
          </w:p>
        </w:tc>
        <w:tc>
          <w:tcPr>
            <w:tcW w:w="1170" w:type="dxa"/>
            <w:vAlign w:val="bottom"/>
          </w:tcPr>
          <w:p w:rsidR="00CC5440" w:rsidRPr="000E5431" w:rsidP="00CC5440" w14:paraId="0D9FD417" w14:textId="2EE09D1C">
            <w:pPr>
              <w:keepLines/>
              <w:tabs>
                <w:tab w:val="left" w:pos="480"/>
              </w:tabs>
              <w:jc w:val="right"/>
              <w:rPr>
                <w:sz w:val="18"/>
                <w:szCs w:val="18"/>
              </w:rPr>
            </w:pPr>
            <w:r>
              <w:rPr>
                <w:color w:val="000000"/>
                <w:sz w:val="18"/>
                <w:szCs w:val="18"/>
              </w:rPr>
              <w:t xml:space="preserve">$473,220.00 </w:t>
            </w:r>
          </w:p>
        </w:tc>
      </w:tr>
    </w:tbl>
    <w:p w:rsidR="00BF01EA" w:rsidRPr="00B2042F" w:rsidP="00CC5440" w14:paraId="354FCD9E" w14:textId="0B885C64">
      <w:pPr>
        <w:ind w:firstLine="360"/>
      </w:pPr>
      <w:r w:rsidRPr="00B2042F">
        <w:t xml:space="preserve">*Note: HUD requires this information every </w:t>
      </w:r>
      <w:r w:rsidR="00CC5440">
        <w:t>3</w:t>
      </w:r>
      <w:r w:rsidRPr="00B2042F">
        <w:t xml:space="preserve"> years and the table reflects this.</w:t>
      </w:r>
    </w:p>
    <w:p w:rsidR="00BF01EA" w:rsidP="005E0F54" w14:paraId="3B8CE39E" w14:textId="77777777">
      <w:pPr>
        <w:tabs>
          <w:tab w:val="left" w:pos="720"/>
        </w:tabs>
        <w:ind w:left="720"/>
        <w:rPr>
          <w:sz w:val="24"/>
          <w:szCs w:val="24"/>
        </w:rPr>
      </w:pPr>
    </w:p>
    <w:p w:rsidR="00FD0C61" w:rsidRPr="000E5431" w:rsidP="00FD0C61" w14:paraId="39F7977C" w14:textId="38ECEAA9">
      <w:pPr>
        <w:ind w:left="360"/>
        <w:rPr>
          <w:sz w:val="24"/>
          <w:szCs w:val="24"/>
        </w:rPr>
      </w:pPr>
      <w:r w:rsidRPr="000E5431">
        <w:rPr>
          <w:sz w:val="24"/>
          <w:szCs w:val="24"/>
        </w:rPr>
        <w:t xml:space="preserve">Hours estimated per form is based upon field staff </w:t>
      </w:r>
      <w:r w:rsidRPr="000E5431" w:rsidR="00DD1DA1">
        <w:rPr>
          <w:sz w:val="24"/>
          <w:szCs w:val="24"/>
        </w:rPr>
        <w:t>experience</w:t>
      </w:r>
      <w:r w:rsidRPr="000E5431">
        <w:rPr>
          <w:sz w:val="24"/>
          <w:szCs w:val="24"/>
        </w:rPr>
        <w:t xml:space="preserve"> in working with </w:t>
      </w:r>
      <w:r w:rsidR="00DD1DA1">
        <w:rPr>
          <w:sz w:val="24"/>
          <w:szCs w:val="24"/>
        </w:rPr>
        <w:t>Local Contracting Agencies (</w:t>
      </w:r>
      <w:r w:rsidRPr="000E5431">
        <w:rPr>
          <w:sz w:val="24"/>
          <w:szCs w:val="24"/>
        </w:rPr>
        <w:t>LCAs</w:t>
      </w:r>
      <w:r w:rsidR="00DD1DA1">
        <w:rPr>
          <w:sz w:val="24"/>
          <w:szCs w:val="24"/>
        </w:rPr>
        <w:t>)</w:t>
      </w:r>
      <w:r w:rsidRPr="000E5431">
        <w:rPr>
          <w:sz w:val="24"/>
          <w:szCs w:val="24"/>
        </w:rPr>
        <w:t>. Not all LCAs use this form to recommend to HUD maintenance wage rates; and therefore, the total number does not include all LCAs in the U.S. Instead</w:t>
      </w:r>
      <w:r>
        <w:rPr>
          <w:sz w:val="24"/>
          <w:szCs w:val="24"/>
        </w:rPr>
        <w:t>,</w:t>
      </w:r>
      <w:r w:rsidRPr="000E5431">
        <w:rPr>
          <w:sz w:val="24"/>
          <w:szCs w:val="24"/>
        </w:rPr>
        <w:t xml:space="preserve"> some LCAs use </w:t>
      </w:r>
      <w:r w:rsidRPr="000E5431" w:rsidR="00DD1DA1">
        <w:rPr>
          <w:sz w:val="24"/>
          <w:szCs w:val="24"/>
        </w:rPr>
        <w:t>BLS</w:t>
      </w:r>
      <w:r w:rsidRPr="000E5431">
        <w:rPr>
          <w:sz w:val="24"/>
          <w:szCs w:val="24"/>
        </w:rPr>
        <w:t xml:space="preserve"> or State labor data to make recommendations to HUD.</w:t>
      </w:r>
    </w:p>
    <w:p w:rsidR="00FD0C61" w:rsidRPr="000E5431" w:rsidP="00FD0C61" w14:paraId="6A7B5114" w14:textId="77777777">
      <w:pPr>
        <w:tabs>
          <w:tab w:val="left" w:pos="360"/>
        </w:tabs>
        <w:ind w:left="360" w:hanging="360"/>
        <w:rPr>
          <w:sz w:val="24"/>
          <w:szCs w:val="24"/>
        </w:rPr>
      </w:pPr>
    </w:p>
    <w:p w:rsidR="00FD0C61" w:rsidRPr="008A2EA7" w:rsidP="00FD0C61" w14:paraId="11F9DF48" w14:textId="71D86577">
      <w:pPr>
        <w:tabs>
          <w:tab w:val="left" w:pos="720"/>
        </w:tabs>
        <w:ind w:left="360"/>
        <w:rPr>
          <w:sz w:val="24"/>
          <w:szCs w:val="24"/>
        </w:rPr>
      </w:pPr>
      <w:r>
        <w:rPr>
          <w:sz w:val="24"/>
          <w:szCs w:val="24"/>
        </w:rPr>
        <w:t>Cost per hour</w:t>
      </w:r>
      <w:r w:rsidRPr="005E6D2D">
        <w:rPr>
          <w:sz w:val="24"/>
          <w:szCs w:val="24"/>
        </w:rPr>
        <w:t xml:space="preserve"> is set at the median hourly rate of a General</w:t>
      </w:r>
      <w:r w:rsidR="005D6F8F">
        <w:rPr>
          <w:sz w:val="24"/>
          <w:szCs w:val="24"/>
        </w:rPr>
        <w:t xml:space="preserve"> and</w:t>
      </w:r>
      <w:r w:rsidRPr="005E6D2D">
        <w:rPr>
          <w:sz w:val="24"/>
          <w:szCs w:val="24"/>
        </w:rPr>
        <w:t xml:space="preserve"> Operation</w:t>
      </w:r>
      <w:r w:rsidR="007C27EB">
        <w:rPr>
          <w:sz w:val="24"/>
          <w:szCs w:val="24"/>
        </w:rPr>
        <w:t>s</w:t>
      </w:r>
      <w:r w:rsidRPr="005E6D2D">
        <w:rPr>
          <w:sz w:val="24"/>
          <w:szCs w:val="24"/>
        </w:rPr>
        <w:t xml:space="preserve"> Manager, per OES, </w:t>
      </w:r>
      <w:hyperlink r:id="rId12" w:history="1">
        <w:r w:rsidRPr="008F3B51" w:rsidR="00CC5440">
          <w:rPr>
            <w:rStyle w:val="Hyperlink"/>
          </w:rPr>
          <w:t>https://data.bls.gov/oesprofile/</w:t>
        </w:r>
      </w:hyperlink>
      <w:r w:rsidR="0008583D">
        <w:t xml:space="preserve">. </w:t>
      </w:r>
      <w:r w:rsidR="006E20D8">
        <w:rPr>
          <w:sz w:val="24"/>
          <w:szCs w:val="24"/>
        </w:rPr>
        <w:t xml:space="preserve"> </w:t>
      </w:r>
      <w:r w:rsidRPr="0008583D" w:rsidR="0008583D">
        <w:rPr>
          <w:sz w:val="24"/>
          <w:szCs w:val="24"/>
        </w:rPr>
        <w:t>In lieu of surveying, local entities using HUD forms 4751 and 4752, the Agencies may use the Bureau of Labor Statistics at DOL or state labor databases to recommend prevailing maintenance wage rates to HUD. However, this data is often not appropriate for rural areas and Native American tribes as the survey responses to Bureau of Labor Statistics (BLS) efforts or state databases are insufficient or may be inaccurate as they include labor data from urban areas, which will cause incorrect data and therefore higher labor costs. The number of responses in question 12 takes these factors into consideration.</w:t>
      </w:r>
    </w:p>
    <w:p w:rsidR="7A6C27FC" w:rsidP="005E0F54" w14:paraId="06495ABA" w14:textId="0E017260">
      <w:pPr>
        <w:pStyle w:val="NoSpacing"/>
      </w:pPr>
    </w:p>
    <w:p w:rsidR="000F674B" w:rsidP="000F674B" w14:paraId="30EB9EF5" w14:textId="77777777">
      <w:pPr>
        <w:tabs>
          <w:tab w:val="left" w:pos="360"/>
        </w:tabs>
        <w:ind w:left="360" w:hanging="360"/>
        <w:rPr>
          <w:sz w:val="24"/>
          <w:szCs w:val="24"/>
        </w:rPr>
      </w:pPr>
      <w:r w:rsidRPr="006C7FAE">
        <w:rPr>
          <w:sz w:val="24"/>
          <w:szCs w:val="24"/>
        </w:rPr>
        <w:t>13.</w:t>
      </w:r>
      <w:r w:rsidRPr="006C7FAE">
        <w:rPr>
          <w:sz w:val="24"/>
          <w:szCs w:val="24"/>
        </w:rPr>
        <w:tab/>
        <w:t>Provide an estimate of the total annual cost burden to respondents or recordkeepers resulting from the collection of information</w:t>
      </w:r>
      <w:r>
        <w:rPr>
          <w:sz w:val="24"/>
          <w:szCs w:val="24"/>
        </w:rPr>
        <w:t xml:space="preserve">. </w:t>
      </w:r>
      <w:r w:rsidRPr="000D5079">
        <w:rPr>
          <w:sz w:val="24"/>
          <w:szCs w:val="24"/>
        </w:rPr>
        <w:t>(Do not include the cost of any hour burden already reflected on the burden worksheet</w:t>
      </w:r>
      <w:r w:rsidRPr="006C7FAE">
        <w:rPr>
          <w:sz w:val="24"/>
          <w:szCs w:val="24"/>
        </w:rPr>
        <w:t xml:space="preserve"> shown in Items 12 and 14).</w:t>
      </w:r>
    </w:p>
    <w:p w:rsidR="000F674B" w:rsidRPr="006C7FAE" w:rsidP="000F674B" w14:paraId="5A3DD965" w14:textId="77777777">
      <w:pPr>
        <w:tabs>
          <w:tab w:val="left" w:pos="360"/>
        </w:tabs>
        <w:ind w:left="360" w:hanging="360"/>
        <w:rPr>
          <w:sz w:val="24"/>
          <w:szCs w:val="24"/>
        </w:rPr>
      </w:pPr>
      <w:r w:rsidRPr="006C7FAE">
        <w:rPr>
          <w:sz w:val="24"/>
          <w:szCs w:val="24"/>
        </w:rPr>
        <w:t xml:space="preserve"> </w:t>
      </w:r>
    </w:p>
    <w:p w:rsidR="000F674B" w:rsidRPr="006C7FAE" w:rsidP="000F674B" w14:paraId="11C9E0F8" w14:textId="4A0064EF">
      <w:pPr>
        <w:numPr>
          <w:ilvl w:val="0"/>
          <w:numId w:val="2"/>
        </w:numPr>
        <w:tabs>
          <w:tab w:val="left" w:pos="360"/>
        </w:tabs>
        <w:ind w:left="480"/>
        <w:rPr>
          <w:sz w:val="24"/>
          <w:szCs w:val="24"/>
        </w:rPr>
      </w:pPr>
      <w:r w:rsidRPr="006C7FAE">
        <w:rPr>
          <w:sz w:val="24"/>
          <w:szCs w:val="24"/>
        </w:rPr>
        <w:t xml:space="preserve">The cost estimate should be split into two components: (a) a total capital and start-up cost component (annualized over its expected useful life); and (b) a total operation and maintenance purchase of services component.  The estimates should </w:t>
      </w:r>
      <w:r w:rsidRPr="006C7FAE">
        <w:rPr>
          <w:sz w:val="24"/>
          <w:szCs w:val="24"/>
        </w:rPr>
        <w:t>take into account</w:t>
      </w:r>
      <w:r w:rsidRPr="006C7FAE">
        <w:rPr>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6C7FAE">
        <w:rPr>
          <w:sz w:val="24"/>
          <w:szCs w:val="24"/>
        </w:rPr>
        <w:t>time period</w:t>
      </w:r>
      <w:r w:rsidRPr="006C7FAE">
        <w:rPr>
          <w:sz w:val="24"/>
          <w:szCs w:val="24"/>
        </w:rPr>
        <w:t xml:space="preserve"> over which costs will be incurred.  Capital and start-up costs include, among other items, preparations for collecting information such as purchasing computers and software; monitoring, sampling, drilling and testing equipment; and record storage </w:t>
      </w:r>
      <w:r w:rsidRPr="006C7FAE" w:rsidR="00B73B0D">
        <w:rPr>
          <w:sz w:val="24"/>
          <w:szCs w:val="24"/>
        </w:rPr>
        <w:t>facilities.</w:t>
      </w:r>
      <w:r w:rsidRPr="006C7FAE">
        <w:rPr>
          <w:sz w:val="24"/>
          <w:szCs w:val="24"/>
        </w:rPr>
        <w:t xml:space="preserve"> </w:t>
      </w:r>
    </w:p>
    <w:p w:rsidR="000F674B" w:rsidRPr="006C7FAE" w:rsidP="000F674B" w14:paraId="08C84571" w14:textId="77777777">
      <w:pPr>
        <w:numPr>
          <w:ilvl w:val="0"/>
          <w:numId w:val="2"/>
        </w:numPr>
        <w:tabs>
          <w:tab w:val="left" w:pos="360"/>
        </w:tabs>
        <w:ind w:left="480"/>
        <w:rPr>
          <w:sz w:val="24"/>
          <w:szCs w:val="24"/>
        </w:rPr>
      </w:pPr>
      <w:r w:rsidRPr="006C7FAE">
        <w:rPr>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0F674B" w:rsidP="000F674B" w14:paraId="061CAE23" w14:textId="77777777">
      <w:pPr>
        <w:keepLines/>
        <w:numPr>
          <w:ilvl w:val="0"/>
          <w:numId w:val="2"/>
        </w:numPr>
        <w:tabs>
          <w:tab w:val="left" w:pos="360"/>
        </w:tabs>
        <w:spacing w:after="80"/>
        <w:ind w:left="480"/>
        <w:rPr>
          <w:sz w:val="24"/>
          <w:szCs w:val="24"/>
        </w:rPr>
      </w:pPr>
      <w:r w:rsidRPr="7A6C27FC">
        <w:rPr>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5E0F54" w:rsidP="00426890" w14:paraId="3584DB1E" w14:textId="77777777">
      <w:pPr>
        <w:keepLines/>
        <w:tabs>
          <w:tab w:val="left" w:pos="480"/>
        </w:tabs>
        <w:ind w:left="480"/>
        <w:rPr>
          <w:sz w:val="24"/>
          <w:szCs w:val="24"/>
        </w:rPr>
      </w:pPr>
    </w:p>
    <w:p w:rsidR="00426890" w:rsidRPr="00B73B0D" w:rsidP="00426890" w14:paraId="70F8A12A" w14:textId="54DD91A8">
      <w:pPr>
        <w:keepLines/>
        <w:tabs>
          <w:tab w:val="left" w:pos="480"/>
        </w:tabs>
        <w:ind w:left="480"/>
        <w:rPr>
          <w:sz w:val="24"/>
          <w:szCs w:val="24"/>
        </w:rPr>
      </w:pPr>
      <w:r w:rsidRPr="00B73B0D">
        <w:rPr>
          <w:sz w:val="24"/>
          <w:szCs w:val="24"/>
        </w:rPr>
        <w:t>There are no additional capital or start-up costs.  There are no operation and maintenance purchases of service components required for collecting this information.</w:t>
      </w:r>
    </w:p>
    <w:p w:rsidR="005E0F54" w:rsidRPr="006C7FAE" w:rsidP="00A55BB8" w14:paraId="04F4FEC8" w14:textId="77777777">
      <w:pPr>
        <w:keepLines/>
        <w:tabs>
          <w:tab w:val="left" w:pos="360"/>
        </w:tabs>
        <w:spacing w:after="80"/>
        <w:rPr>
          <w:sz w:val="24"/>
          <w:szCs w:val="24"/>
        </w:rPr>
      </w:pPr>
    </w:p>
    <w:p w:rsidR="000F674B" w:rsidP="000F674B" w14:paraId="15511D07" w14:textId="77777777">
      <w:pPr>
        <w:keepLines/>
        <w:tabs>
          <w:tab w:val="left" w:pos="360"/>
        </w:tabs>
        <w:spacing w:after="80"/>
        <w:ind w:left="360" w:hanging="360"/>
        <w:rPr>
          <w:sz w:val="24"/>
          <w:szCs w:val="24"/>
        </w:rPr>
      </w:pPr>
      <w:r w:rsidRPr="7A6C27FC">
        <w:rPr>
          <w:sz w:val="24"/>
          <w:szCs w:val="24"/>
        </w:rPr>
        <w:t>14.</w:t>
      </w:r>
      <w:r>
        <w:tab/>
      </w:r>
      <w:r w:rsidRPr="7A6C27FC">
        <w:rPr>
          <w:sz w:val="24"/>
          <w:szCs w:val="24"/>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w:t>
      </w:r>
      <w:r w:rsidRPr="7A6C27FC">
        <w:rPr>
          <w:sz w:val="24"/>
          <w:szCs w:val="24"/>
        </w:rPr>
        <w:t>expense</w:t>
      </w:r>
      <w:r w:rsidRPr="7A6C27FC">
        <w:rPr>
          <w:sz w:val="24"/>
          <w:szCs w:val="24"/>
        </w:rPr>
        <w:t xml:space="preserve"> that would not have been incurred without this collection of information.  Agencies also may aggregate cost estimates from Items 12, 13, and 14 in a single table.</w:t>
      </w:r>
    </w:p>
    <w:tbl>
      <w:tblPr>
        <w:tblStyle w:val="TableGrid"/>
        <w:tblpPr w:leftFromText="180" w:rightFromText="180" w:vertAnchor="text" w:horzAnchor="margin" w:tblpX="445" w:tblpY="390"/>
        <w:tblW w:w="9985" w:type="dxa"/>
        <w:tblLayout w:type="fixed"/>
        <w:tblLook w:val="04A0"/>
      </w:tblPr>
      <w:tblGrid>
        <w:gridCol w:w="1885"/>
        <w:gridCol w:w="1260"/>
        <w:gridCol w:w="1170"/>
        <w:gridCol w:w="1080"/>
        <w:gridCol w:w="1170"/>
        <w:gridCol w:w="1080"/>
        <w:gridCol w:w="990"/>
        <w:gridCol w:w="1350"/>
      </w:tblGrid>
      <w:tr w14:paraId="249FEF25" w14:textId="77777777" w:rsidTr="008859FF">
        <w:tblPrEx>
          <w:tblW w:w="9985" w:type="dxa"/>
          <w:tblLayout w:type="fixed"/>
          <w:tblLook w:val="04A0"/>
        </w:tblPrEx>
        <w:trPr>
          <w:trHeight w:val="440"/>
        </w:trPr>
        <w:tc>
          <w:tcPr>
            <w:tcW w:w="1885" w:type="dxa"/>
            <w:vAlign w:val="bottom"/>
          </w:tcPr>
          <w:p w:rsidR="004E2547" w:rsidRPr="008859FF" w:rsidP="008859FF" w14:paraId="6CDBB50A" w14:textId="3FDEE1DB">
            <w:pPr>
              <w:pStyle w:val="NoSpacing"/>
              <w:rPr>
                <w:sz w:val="18"/>
                <w:szCs w:val="18"/>
              </w:rPr>
            </w:pPr>
            <w:r w:rsidRPr="008859FF">
              <w:rPr>
                <w:sz w:val="18"/>
                <w:szCs w:val="18"/>
              </w:rPr>
              <w:t>Information Collection</w:t>
            </w:r>
          </w:p>
        </w:tc>
        <w:tc>
          <w:tcPr>
            <w:tcW w:w="1260" w:type="dxa"/>
            <w:vAlign w:val="bottom"/>
          </w:tcPr>
          <w:p w:rsidR="004E2547" w:rsidRPr="008859FF" w:rsidP="008859FF" w14:paraId="43BD4495" w14:textId="52EBE5D4">
            <w:pPr>
              <w:pStyle w:val="NoSpacing"/>
              <w:rPr>
                <w:sz w:val="18"/>
                <w:szCs w:val="18"/>
              </w:rPr>
            </w:pPr>
            <w:r w:rsidRPr="008859FF">
              <w:rPr>
                <w:sz w:val="18"/>
                <w:szCs w:val="18"/>
              </w:rPr>
              <w:t>Number of Respondents</w:t>
            </w:r>
          </w:p>
        </w:tc>
        <w:tc>
          <w:tcPr>
            <w:tcW w:w="1170" w:type="dxa"/>
            <w:vAlign w:val="bottom"/>
          </w:tcPr>
          <w:p w:rsidR="004E2547" w:rsidRPr="008859FF" w:rsidP="008859FF" w14:paraId="4EFCDD06" w14:textId="3B6070BA">
            <w:pPr>
              <w:pStyle w:val="NoSpacing"/>
              <w:rPr>
                <w:sz w:val="18"/>
                <w:szCs w:val="18"/>
              </w:rPr>
            </w:pPr>
            <w:r w:rsidRPr="008859FF">
              <w:rPr>
                <w:sz w:val="18"/>
                <w:szCs w:val="18"/>
              </w:rPr>
              <w:t>Frequency of Response</w:t>
            </w:r>
          </w:p>
        </w:tc>
        <w:tc>
          <w:tcPr>
            <w:tcW w:w="1080" w:type="dxa"/>
            <w:vAlign w:val="bottom"/>
          </w:tcPr>
          <w:p w:rsidR="004E2547" w:rsidRPr="008859FF" w:rsidP="008859FF" w14:paraId="55B8014D" w14:textId="64D43DAE">
            <w:pPr>
              <w:pStyle w:val="NoSpacing"/>
              <w:rPr>
                <w:sz w:val="18"/>
                <w:szCs w:val="18"/>
              </w:rPr>
            </w:pPr>
            <w:r w:rsidRPr="008859FF">
              <w:rPr>
                <w:sz w:val="18"/>
                <w:szCs w:val="18"/>
              </w:rPr>
              <w:t>Responses per Annum</w:t>
            </w:r>
          </w:p>
        </w:tc>
        <w:tc>
          <w:tcPr>
            <w:tcW w:w="1170" w:type="dxa"/>
            <w:vAlign w:val="bottom"/>
          </w:tcPr>
          <w:p w:rsidR="004E2547" w:rsidRPr="008859FF" w:rsidP="008859FF" w14:paraId="0F16C3D0" w14:textId="1E24C15D">
            <w:pPr>
              <w:pStyle w:val="NoSpacing"/>
              <w:rPr>
                <w:sz w:val="18"/>
                <w:szCs w:val="18"/>
              </w:rPr>
            </w:pPr>
            <w:r w:rsidRPr="008859FF">
              <w:rPr>
                <w:sz w:val="18"/>
                <w:szCs w:val="18"/>
              </w:rPr>
              <w:t>Burden Hours per Response</w:t>
            </w:r>
          </w:p>
        </w:tc>
        <w:tc>
          <w:tcPr>
            <w:tcW w:w="1080" w:type="dxa"/>
            <w:vAlign w:val="bottom"/>
          </w:tcPr>
          <w:p w:rsidR="004E2547" w:rsidRPr="008859FF" w:rsidP="008859FF" w14:paraId="7762B80F" w14:textId="350C537A">
            <w:pPr>
              <w:pStyle w:val="NoSpacing"/>
              <w:rPr>
                <w:sz w:val="18"/>
                <w:szCs w:val="18"/>
              </w:rPr>
            </w:pPr>
            <w:r w:rsidRPr="008859FF">
              <w:rPr>
                <w:sz w:val="18"/>
                <w:szCs w:val="18"/>
              </w:rPr>
              <w:t>Annual Burden Hours</w:t>
            </w:r>
          </w:p>
        </w:tc>
        <w:tc>
          <w:tcPr>
            <w:tcW w:w="990" w:type="dxa"/>
            <w:vAlign w:val="bottom"/>
          </w:tcPr>
          <w:p w:rsidR="004E2547" w:rsidRPr="008859FF" w:rsidP="008859FF" w14:paraId="213C0BD1" w14:textId="40CD194B">
            <w:pPr>
              <w:pStyle w:val="NoSpacing"/>
              <w:rPr>
                <w:sz w:val="18"/>
                <w:szCs w:val="18"/>
              </w:rPr>
            </w:pPr>
            <w:r w:rsidRPr="008859FF">
              <w:rPr>
                <w:sz w:val="18"/>
                <w:szCs w:val="18"/>
              </w:rPr>
              <w:t>Hourly Cost Per Response</w:t>
            </w:r>
          </w:p>
        </w:tc>
        <w:tc>
          <w:tcPr>
            <w:tcW w:w="1350" w:type="dxa"/>
          </w:tcPr>
          <w:p w:rsidR="004E2547" w:rsidRPr="008859FF" w:rsidP="008859FF" w14:paraId="1D283443" w14:textId="77D67C60">
            <w:pPr>
              <w:pStyle w:val="NoSpacing"/>
              <w:rPr>
                <w:sz w:val="18"/>
                <w:szCs w:val="18"/>
              </w:rPr>
            </w:pPr>
            <w:r w:rsidRPr="008859FF">
              <w:rPr>
                <w:sz w:val="18"/>
                <w:szCs w:val="18"/>
              </w:rPr>
              <w:t>Total Cost</w:t>
            </w:r>
          </w:p>
        </w:tc>
      </w:tr>
      <w:tr w14:paraId="574F2CA4" w14:textId="77777777" w:rsidTr="008859FF">
        <w:tblPrEx>
          <w:tblW w:w="9985" w:type="dxa"/>
          <w:tblLayout w:type="fixed"/>
          <w:tblLook w:val="04A0"/>
        </w:tblPrEx>
        <w:trPr>
          <w:trHeight w:val="468"/>
        </w:trPr>
        <w:tc>
          <w:tcPr>
            <w:tcW w:w="1885" w:type="dxa"/>
            <w:vAlign w:val="bottom"/>
          </w:tcPr>
          <w:p w:rsidR="004E2547" w:rsidRPr="008859FF" w:rsidP="008859FF" w14:paraId="26A613B8" w14:textId="05E37B43">
            <w:pPr>
              <w:pStyle w:val="NoSpacing"/>
              <w:rPr>
                <w:sz w:val="18"/>
                <w:szCs w:val="18"/>
              </w:rPr>
            </w:pPr>
            <w:r w:rsidRPr="008859FF">
              <w:rPr>
                <w:sz w:val="18"/>
                <w:szCs w:val="18"/>
              </w:rPr>
              <w:t>HUD - 4750 Maintenance Wage Recommendation</w:t>
            </w:r>
          </w:p>
        </w:tc>
        <w:tc>
          <w:tcPr>
            <w:tcW w:w="1260" w:type="dxa"/>
            <w:vAlign w:val="center"/>
          </w:tcPr>
          <w:p w:rsidR="004E2547" w:rsidRPr="008859FF" w:rsidP="008859FF" w14:paraId="4C4F32F0" w14:textId="2990F7F8">
            <w:pPr>
              <w:pStyle w:val="NoSpacing"/>
              <w:rPr>
                <w:sz w:val="18"/>
                <w:szCs w:val="18"/>
              </w:rPr>
            </w:pPr>
            <w:r w:rsidRPr="008859FF">
              <w:rPr>
                <w:sz w:val="18"/>
                <w:szCs w:val="18"/>
              </w:rPr>
              <w:t>1,381.00</w:t>
            </w:r>
          </w:p>
        </w:tc>
        <w:tc>
          <w:tcPr>
            <w:tcW w:w="1170" w:type="dxa"/>
            <w:vAlign w:val="center"/>
          </w:tcPr>
          <w:p w:rsidR="004E2547" w:rsidRPr="008859FF" w:rsidP="008859FF" w14:paraId="15620AC4" w14:textId="58F836A6">
            <w:pPr>
              <w:pStyle w:val="NoSpacing"/>
              <w:rPr>
                <w:sz w:val="18"/>
                <w:szCs w:val="18"/>
              </w:rPr>
            </w:pPr>
            <w:r w:rsidRPr="008859FF">
              <w:rPr>
                <w:sz w:val="18"/>
                <w:szCs w:val="18"/>
              </w:rPr>
              <w:t>1.00</w:t>
            </w:r>
          </w:p>
        </w:tc>
        <w:tc>
          <w:tcPr>
            <w:tcW w:w="1080" w:type="dxa"/>
            <w:vAlign w:val="center"/>
          </w:tcPr>
          <w:p w:rsidR="004E2547" w:rsidRPr="008859FF" w:rsidP="008859FF" w14:paraId="6D43B20E" w14:textId="76069667">
            <w:pPr>
              <w:pStyle w:val="NoSpacing"/>
              <w:rPr>
                <w:sz w:val="18"/>
                <w:szCs w:val="18"/>
              </w:rPr>
            </w:pPr>
            <w:r w:rsidRPr="008859FF">
              <w:rPr>
                <w:sz w:val="18"/>
                <w:szCs w:val="18"/>
              </w:rPr>
              <w:t>1,381.00</w:t>
            </w:r>
          </w:p>
        </w:tc>
        <w:tc>
          <w:tcPr>
            <w:tcW w:w="1170" w:type="dxa"/>
            <w:vAlign w:val="center"/>
          </w:tcPr>
          <w:p w:rsidR="004E2547" w:rsidRPr="008859FF" w:rsidP="008859FF" w14:paraId="5912AD68" w14:textId="1F38BA5F">
            <w:pPr>
              <w:pStyle w:val="NoSpacing"/>
              <w:rPr>
                <w:sz w:val="18"/>
                <w:szCs w:val="18"/>
              </w:rPr>
            </w:pPr>
            <w:r w:rsidRPr="008859FF">
              <w:rPr>
                <w:sz w:val="18"/>
                <w:szCs w:val="18"/>
              </w:rPr>
              <w:t>2.00</w:t>
            </w:r>
          </w:p>
        </w:tc>
        <w:tc>
          <w:tcPr>
            <w:tcW w:w="1080" w:type="dxa"/>
          </w:tcPr>
          <w:p w:rsidR="004E2547" w:rsidRPr="008859FF" w:rsidP="008859FF" w14:paraId="3C936565" w14:textId="1C75CB20">
            <w:pPr>
              <w:pStyle w:val="NoSpacing"/>
              <w:rPr>
                <w:sz w:val="18"/>
                <w:szCs w:val="18"/>
              </w:rPr>
            </w:pPr>
            <w:r w:rsidRPr="008859FF">
              <w:rPr>
                <w:sz w:val="18"/>
                <w:szCs w:val="18"/>
              </w:rPr>
              <w:t>2,762.00</w:t>
            </w:r>
          </w:p>
        </w:tc>
        <w:tc>
          <w:tcPr>
            <w:tcW w:w="990" w:type="dxa"/>
          </w:tcPr>
          <w:p w:rsidR="004E2547" w:rsidRPr="008859FF" w:rsidP="008859FF" w14:paraId="7DA59BC5" w14:textId="66599316">
            <w:pPr>
              <w:pStyle w:val="NoSpacing"/>
              <w:rPr>
                <w:sz w:val="18"/>
                <w:szCs w:val="18"/>
              </w:rPr>
            </w:pPr>
            <w:r w:rsidRPr="008859FF">
              <w:rPr>
                <w:sz w:val="18"/>
                <w:szCs w:val="18"/>
              </w:rPr>
              <w:t>$51.00</w:t>
            </w:r>
          </w:p>
        </w:tc>
        <w:tc>
          <w:tcPr>
            <w:tcW w:w="1350" w:type="dxa"/>
          </w:tcPr>
          <w:p w:rsidR="004E2547" w:rsidRPr="008859FF" w:rsidP="008859FF" w14:paraId="354014C2" w14:textId="52ABC3F6">
            <w:pPr>
              <w:pStyle w:val="NoSpacing"/>
              <w:rPr>
                <w:sz w:val="18"/>
                <w:szCs w:val="18"/>
              </w:rPr>
            </w:pPr>
            <w:r w:rsidRPr="008859FF">
              <w:rPr>
                <w:sz w:val="18"/>
                <w:szCs w:val="18"/>
              </w:rPr>
              <w:t>$140,862.00</w:t>
            </w:r>
          </w:p>
        </w:tc>
      </w:tr>
      <w:tr w14:paraId="1CC78409" w14:textId="77777777" w:rsidTr="008859FF">
        <w:tblPrEx>
          <w:tblW w:w="9985" w:type="dxa"/>
          <w:tblLayout w:type="fixed"/>
          <w:tblLook w:val="04A0"/>
        </w:tblPrEx>
        <w:tc>
          <w:tcPr>
            <w:tcW w:w="1885" w:type="dxa"/>
            <w:vAlign w:val="bottom"/>
          </w:tcPr>
          <w:p w:rsidR="004E2547" w:rsidRPr="008859FF" w:rsidP="008859FF" w14:paraId="13707F13" w14:textId="3D9E4F23">
            <w:pPr>
              <w:pStyle w:val="NoSpacing"/>
              <w:rPr>
                <w:sz w:val="18"/>
                <w:szCs w:val="18"/>
              </w:rPr>
            </w:pPr>
            <w:r w:rsidRPr="008859FF">
              <w:rPr>
                <w:sz w:val="18"/>
                <w:szCs w:val="18"/>
              </w:rPr>
              <w:t>HUD - 4751 Maintenance Wage Rate Survey</w:t>
            </w:r>
          </w:p>
        </w:tc>
        <w:tc>
          <w:tcPr>
            <w:tcW w:w="1260" w:type="dxa"/>
            <w:vAlign w:val="center"/>
          </w:tcPr>
          <w:p w:rsidR="004E2547" w:rsidRPr="008859FF" w:rsidP="008859FF" w14:paraId="5DC7BA2B" w14:textId="53AA2F55">
            <w:pPr>
              <w:pStyle w:val="NoSpacing"/>
              <w:rPr>
                <w:sz w:val="18"/>
                <w:szCs w:val="18"/>
              </w:rPr>
            </w:pPr>
            <w:r w:rsidRPr="008859FF">
              <w:rPr>
                <w:sz w:val="18"/>
                <w:szCs w:val="18"/>
              </w:rPr>
              <w:t>1,133.00</w:t>
            </w:r>
          </w:p>
        </w:tc>
        <w:tc>
          <w:tcPr>
            <w:tcW w:w="1170" w:type="dxa"/>
            <w:vAlign w:val="center"/>
          </w:tcPr>
          <w:p w:rsidR="004E2547" w:rsidRPr="008859FF" w:rsidP="008859FF" w14:paraId="523DDB49" w14:textId="295CA33D">
            <w:pPr>
              <w:pStyle w:val="NoSpacing"/>
              <w:rPr>
                <w:sz w:val="18"/>
                <w:szCs w:val="18"/>
              </w:rPr>
            </w:pPr>
            <w:r w:rsidRPr="008859FF">
              <w:rPr>
                <w:sz w:val="18"/>
                <w:szCs w:val="18"/>
              </w:rPr>
              <w:t>1.00</w:t>
            </w:r>
          </w:p>
        </w:tc>
        <w:tc>
          <w:tcPr>
            <w:tcW w:w="1080" w:type="dxa"/>
            <w:vAlign w:val="center"/>
          </w:tcPr>
          <w:p w:rsidR="004E2547" w:rsidRPr="008859FF" w:rsidP="008859FF" w14:paraId="2A126D4B" w14:textId="2C2B0837">
            <w:pPr>
              <w:pStyle w:val="NoSpacing"/>
              <w:rPr>
                <w:sz w:val="18"/>
                <w:szCs w:val="18"/>
              </w:rPr>
            </w:pPr>
            <w:r w:rsidRPr="008859FF">
              <w:rPr>
                <w:sz w:val="18"/>
                <w:szCs w:val="18"/>
              </w:rPr>
              <w:t>1,133.00</w:t>
            </w:r>
          </w:p>
        </w:tc>
        <w:tc>
          <w:tcPr>
            <w:tcW w:w="1170" w:type="dxa"/>
            <w:vAlign w:val="center"/>
          </w:tcPr>
          <w:p w:rsidR="004E2547" w:rsidRPr="008859FF" w:rsidP="008859FF" w14:paraId="1FF78DB2" w14:textId="7AD790A7">
            <w:pPr>
              <w:pStyle w:val="NoSpacing"/>
              <w:rPr>
                <w:sz w:val="18"/>
                <w:szCs w:val="18"/>
              </w:rPr>
            </w:pPr>
            <w:r w:rsidRPr="008859FF">
              <w:rPr>
                <w:sz w:val="18"/>
                <w:szCs w:val="18"/>
              </w:rPr>
              <w:t>2.00</w:t>
            </w:r>
          </w:p>
        </w:tc>
        <w:tc>
          <w:tcPr>
            <w:tcW w:w="1080" w:type="dxa"/>
          </w:tcPr>
          <w:p w:rsidR="004E2547" w:rsidRPr="008859FF" w:rsidP="008859FF" w14:paraId="7703A906" w14:textId="38B0FF07">
            <w:pPr>
              <w:pStyle w:val="NoSpacing"/>
              <w:rPr>
                <w:sz w:val="18"/>
                <w:szCs w:val="18"/>
              </w:rPr>
            </w:pPr>
            <w:r w:rsidRPr="008859FF">
              <w:rPr>
                <w:sz w:val="18"/>
                <w:szCs w:val="18"/>
              </w:rPr>
              <w:t>2,266.00</w:t>
            </w:r>
          </w:p>
        </w:tc>
        <w:tc>
          <w:tcPr>
            <w:tcW w:w="990" w:type="dxa"/>
          </w:tcPr>
          <w:p w:rsidR="004E2547" w:rsidRPr="008859FF" w:rsidP="008859FF" w14:paraId="62783055" w14:textId="156C9FB7">
            <w:pPr>
              <w:pStyle w:val="NoSpacing"/>
              <w:rPr>
                <w:sz w:val="18"/>
                <w:szCs w:val="18"/>
              </w:rPr>
            </w:pPr>
            <w:r w:rsidRPr="008859FF">
              <w:rPr>
                <w:sz w:val="18"/>
                <w:szCs w:val="18"/>
              </w:rPr>
              <w:t>$51.00</w:t>
            </w:r>
          </w:p>
        </w:tc>
        <w:tc>
          <w:tcPr>
            <w:tcW w:w="1350" w:type="dxa"/>
          </w:tcPr>
          <w:p w:rsidR="004E2547" w:rsidRPr="008859FF" w:rsidP="008859FF" w14:paraId="39F9E16C" w14:textId="22899B52">
            <w:pPr>
              <w:pStyle w:val="NoSpacing"/>
              <w:rPr>
                <w:sz w:val="18"/>
                <w:szCs w:val="18"/>
              </w:rPr>
            </w:pPr>
            <w:r w:rsidRPr="008859FF">
              <w:rPr>
                <w:sz w:val="18"/>
                <w:szCs w:val="18"/>
              </w:rPr>
              <w:t>$115,566.00</w:t>
            </w:r>
          </w:p>
        </w:tc>
      </w:tr>
      <w:tr w14:paraId="011A53BC" w14:textId="77777777" w:rsidTr="008859FF">
        <w:tblPrEx>
          <w:tblW w:w="9985" w:type="dxa"/>
          <w:tblLayout w:type="fixed"/>
          <w:tblLook w:val="04A0"/>
        </w:tblPrEx>
        <w:tc>
          <w:tcPr>
            <w:tcW w:w="1885" w:type="dxa"/>
            <w:vAlign w:val="bottom"/>
          </w:tcPr>
          <w:p w:rsidR="004E2547" w:rsidRPr="008859FF" w:rsidP="008859FF" w14:paraId="2D20FF19" w14:textId="1B703B29">
            <w:pPr>
              <w:pStyle w:val="NoSpacing"/>
              <w:rPr>
                <w:sz w:val="18"/>
                <w:szCs w:val="18"/>
              </w:rPr>
            </w:pPr>
            <w:r w:rsidRPr="008859FF">
              <w:rPr>
                <w:sz w:val="18"/>
                <w:szCs w:val="18"/>
              </w:rPr>
              <w:t>HUD - 4752 Maintenance Wage Rate Survey – Summary Sheet</w:t>
            </w:r>
          </w:p>
        </w:tc>
        <w:tc>
          <w:tcPr>
            <w:tcW w:w="1260" w:type="dxa"/>
            <w:vAlign w:val="center"/>
          </w:tcPr>
          <w:p w:rsidR="004E2547" w:rsidRPr="008859FF" w:rsidP="008859FF" w14:paraId="65E733E7" w14:textId="28605CCE">
            <w:pPr>
              <w:pStyle w:val="NoSpacing"/>
              <w:rPr>
                <w:sz w:val="18"/>
                <w:szCs w:val="18"/>
              </w:rPr>
            </w:pPr>
            <w:r w:rsidRPr="008859FF">
              <w:rPr>
                <w:sz w:val="18"/>
                <w:szCs w:val="18"/>
              </w:rPr>
              <w:t>1,133.00</w:t>
            </w:r>
          </w:p>
        </w:tc>
        <w:tc>
          <w:tcPr>
            <w:tcW w:w="1170" w:type="dxa"/>
            <w:vAlign w:val="center"/>
          </w:tcPr>
          <w:p w:rsidR="004E2547" w:rsidRPr="008859FF" w:rsidP="008859FF" w14:paraId="71BF0C3E" w14:textId="72E712C6">
            <w:pPr>
              <w:pStyle w:val="NoSpacing"/>
              <w:rPr>
                <w:sz w:val="18"/>
                <w:szCs w:val="18"/>
              </w:rPr>
            </w:pPr>
            <w:r w:rsidRPr="008859FF">
              <w:rPr>
                <w:sz w:val="18"/>
                <w:szCs w:val="18"/>
              </w:rPr>
              <w:t>1.00</w:t>
            </w:r>
          </w:p>
        </w:tc>
        <w:tc>
          <w:tcPr>
            <w:tcW w:w="1080" w:type="dxa"/>
            <w:vAlign w:val="center"/>
          </w:tcPr>
          <w:p w:rsidR="004E2547" w:rsidRPr="008859FF" w:rsidP="008859FF" w14:paraId="494592DF" w14:textId="0DFC7AA7">
            <w:pPr>
              <w:pStyle w:val="NoSpacing"/>
              <w:rPr>
                <w:sz w:val="18"/>
                <w:szCs w:val="18"/>
              </w:rPr>
            </w:pPr>
            <w:r w:rsidRPr="008859FF">
              <w:rPr>
                <w:sz w:val="18"/>
                <w:szCs w:val="18"/>
              </w:rPr>
              <w:t>1,133.00</w:t>
            </w:r>
          </w:p>
        </w:tc>
        <w:tc>
          <w:tcPr>
            <w:tcW w:w="1170" w:type="dxa"/>
            <w:vAlign w:val="center"/>
          </w:tcPr>
          <w:p w:rsidR="004E2547" w:rsidRPr="008859FF" w:rsidP="008859FF" w14:paraId="0D2041AB" w14:textId="78ADD93D">
            <w:pPr>
              <w:pStyle w:val="NoSpacing"/>
              <w:rPr>
                <w:sz w:val="18"/>
                <w:szCs w:val="18"/>
              </w:rPr>
            </w:pPr>
            <w:r w:rsidRPr="008859FF">
              <w:rPr>
                <w:sz w:val="18"/>
                <w:szCs w:val="18"/>
              </w:rPr>
              <w:t>4.00</w:t>
            </w:r>
          </w:p>
        </w:tc>
        <w:tc>
          <w:tcPr>
            <w:tcW w:w="1080" w:type="dxa"/>
          </w:tcPr>
          <w:p w:rsidR="004E2547" w:rsidRPr="008859FF" w:rsidP="008859FF" w14:paraId="2983E9A1" w14:textId="6F7BC6CA">
            <w:pPr>
              <w:pStyle w:val="NoSpacing"/>
              <w:rPr>
                <w:sz w:val="18"/>
                <w:szCs w:val="18"/>
              </w:rPr>
            </w:pPr>
            <w:r w:rsidRPr="008859FF">
              <w:rPr>
                <w:sz w:val="18"/>
                <w:szCs w:val="18"/>
              </w:rPr>
              <w:t>4,532.00</w:t>
            </w:r>
          </w:p>
        </w:tc>
        <w:tc>
          <w:tcPr>
            <w:tcW w:w="990" w:type="dxa"/>
          </w:tcPr>
          <w:p w:rsidR="004E2547" w:rsidRPr="008859FF" w:rsidP="008859FF" w14:paraId="44A69B48" w14:textId="0337F877">
            <w:pPr>
              <w:pStyle w:val="NoSpacing"/>
              <w:rPr>
                <w:sz w:val="18"/>
                <w:szCs w:val="18"/>
              </w:rPr>
            </w:pPr>
            <w:r w:rsidRPr="008859FF">
              <w:rPr>
                <w:sz w:val="18"/>
                <w:szCs w:val="18"/>
              </w:rPr>
              <w:t>$51.00</w:t>
            </w:r>
          </w:p>
        </w:tc>
        <w:tc>
          <w:tcPr>
            <w:tcW w:w="1350" w:type="dxa"/>
          </w:tcPr>
          <w:p w:rsidR="004E2547" w:rsidRPr="008859FF" w:rsidP="008859FF" w14:paraId="2077B8A6" w14:textId="1418624C">
            <w:pPr>
              <w:pStyle w:val="NoSpacing"/>
              <w:rPr>
                <w:sz w:val="18"/>
                <w:szCs w:val="18"/>
              </w:rPr>
            </w:pPr>
            <w:r w:rsidRPr="008859FF">
              <w:rPr>
                <w:sz w:val="18"/>
                <w:szCs w:val="18"/>
              </w:rPr>
              <w:t>$231,132.00</w:t>
            </w:r>
          </w:p>
        </w:tc>
      </w:tr>
      <w:tr w14:paraId="188006FE" w14:textId="77777777" w:rsidTr="008859FF">
        <w:tblPrEx>
          <w:tblW w:w="9985" w:type="dxa"/>
          <w:tblLayout w:type="fixed"/>
          <w:tblLook w:val="04A0"/>
        </w:tblPrEx>
        <w:trPr>
          <w:trHeight w:val="192"/>
        </w:trPr>
        <w:tc>
          <w:tcPr>
            <w:tcW w:w="1885" w:type="dxa"/>
            <w:vAlign w:val="bottom"/>
          </w:tcPr>
          <w:p w:rsidR="004E2547" w:rsidRPr="008859FF" w:rsidP="008859FF" w14:paraId="6A0B0D4A" w14:textId="0FFEE461">
            <w:pPr>
              <w:pStyle w:val="NoSpacing"/>
              <w:rPr>
                <w:b/>
                <w:sz w:val="18"/>
                <w:szCs w:val="18"/>
              </w:rPr>
            </w:pPr>
            <w:r w:rsidRPr="008859FF">
              <w:rPr>
                <w:b/>
                <w:sz w:val="18"/>
                <w:szCs w:val="18"/>
              </w:rPr>
              <w:t>Total</w:t>
            </w:r>
          </w:p>
        </w:tc>
        <w:tc>
          <w:tcPr>
            <w:tcW w:w="1260" w:type="dxa"/>
            <w:vAlign w:val="center"/>
          </w:tcPr>
          <w:p w:rsidR="004E2547" w:rsidRPr="008859FF" w:rsidP="008859FF" w14:paraId="4509C05A" w14:textId="519F7261">
            <w:pPr>
              <w:pStyle w:val="NoSpacing"/>
              <w:rPr>
                <w:sz w:val="18"/>
                <w:szCs w:val="18"/>
              </w:rPr>
            </w:pPr>
            <w:r w:rsidRPr="008859FF">
              <w:rPr>
                <w:sz w:val="18"/>
                <w:szCs w:val="18"/>
              </w:rPr>
              <w:t>3,647.00</w:t>
            </w:r>
          </w:p>
        </w:tc>
        <w:tc>
          <w:tcPr>
            <w:tcW w:w="1170" w:type="dxa"/>
            <w:vAlign w:val="center"/>
          </w:tcPr>
          <w:p w:rsidR="004E2547" w:rsidRPr="008859FF" w:rsidP="008859FF" w14:paraId="2225144A" w14:textId="5FC7C385">
            <w:pPr>
              <w:pStyle w:val="NoSpacing"/>
              <w:rPr>
                <w:sz w:val="18"/>
                <w:szCs w:val="18"/>
              </w:rPr>
            </w:pPr>
          </w:p>
        </w:tc>
        <w:tc>
          <w:tcPr>
            <w:tcW w:w="1080" w:type="dxa"/>
            <w:vAlign w:val="center"/>
          </w:tcPr>
          <w:p w:rsidR="004E2547" w:rsidRPr="008859FF" w:rsidP="008859FF" w14:paraId="03881B53" w14:textId="0F529652">
            <w:pPr>
              <w:pStyle w:val="NoSpacing"/>
              <w:rPr>
                <w:sz w:val="18"/>
                <w:szCs w:val="18"/>
              </w:rPr>
            </w:pPr>
            <w:r w:rsidRPr="008859FF">
              <w:rPr>
                <w:sz w:val="18"/>
                <w:szCs w:val="18"/>
              </w:rPr>
              <w:t>3,647.00</w:t>
            </w:r>
          </w:p>
        </w:tc>
        <w:tc>
          <w:tcPr>
            <w:tcW w:w="1170" w:type="dxa"/>
            <w:vAlign w:val="center"/>
          </w:tcPr>
          <w:p w:rsidR="004E2547" w:rsidRPr="008859FF" w:rsidP="008859FF" w14:paraId="178CFAB9" w14:textId="154E5A5C">
            <w:pPr>
              <w:pStyle w:val="NoSpacing"/>
              <w:rPr>
                <w:sz w:val="18"/>
                <w:szCs w:val="18"/>
              </w:rPr>
            </w:pPr>
            <w:r w:rsidRPr="008859FF">
              <w:rPr>
                <w:sz w:val="18"/>
                <w:szCs w:val="18"/>
              </w:rPr>
              <w:t>8.00</w:t>
            </w:r>
          </w:p>
        </w:tc>
        <w:tc>
          <w:tcPr>
            <w:tcW w:w="1080" w:type="dxa"/>
          </w:tcPr>
          <w:p w:rsidR="004E2547" w:rsidRPr="008859FF" w:rsidP="008859FF" w14:paraId="167B4E32" w14:textId="0622F986">
            <w:pPr>
              <w:pStyle w:val="NoSpacing"/>
              <w:rPr>
                <w:sz w:val="18"/>
                <w:szCs w:val="18"/>
              </w:rPr>
            </w:pPr>
            <w:r w:rsidRPr="008859FF">
              <w:rPr>
                <w:sz w:val="18"/>
                <w:szCs w:val="18"/>
              </w:rPr>
              <w:t>9,560.00</w:t>
            </w:r>
          </w:p>
        </w:tc>
        <w:tc>
          <w:tcPr>
            <w:tcW w:w="990" w:type="dxa"/>
            <w:vAlign w:val="center"/>
          </w:tcPr>
          <w:p w:rsidR="004E2547" w:rsidRPr="008859FF" w:rsidP="008859FF" w14:paraId="1373967B" w14:textId="323B65BA">
            <w:pPr>
              <w:pStyle w:val="NoSpacing"/>
              <w:rPr>
                <w:sz w:val="18"/>
                <w:szCs w:val="18"/>
              </w:rPr>
            </w:pPr>
          </w:p>
        </w:tc>
        <w:tc>
          <w:tcPr>
            <w:tcW w:w="1350" w:type="dxa"/>
          </w:tcPr>
          <w:p w:rsidR="004E2547" w:rsidRPr="008859FF" w:rsidP="008859FF" w14:paraId="38183FB0" w14:textId="067FB85B">
            <w:pPr>
              <w:pStyle w:val="NoSpacing"/>
              <w:rPr>
                <w:sz w:val="18"/>
                <w:szCs w:val="18"/>
              </w:rPr>
            </w:pPr>
            <w:r w:rsidRPr="008859FF">
              <w:rPr>
                <w:sz w:val="18"/>
                <w:szCs w:val="18"/>
              </w:rPr>
              <w:t>$487,560.00</w:t>
            </w:r>
          </w:p>
        </w:tc>
      </w:tr>
    </w:tbl>
    <w:p w:rsidR="00436805" w:rsidP="0032275C" w14:paraId="3616E64B" w14:textId="77777777"/>
    <w:p w:rsidR="00436805" w:rsidRPr="00B2042F" w:rsidP="008859FF" w14:paraId="6E2D3EAA" w14:textId="6919D4AE">
      <w:pPr>
        <w:pStyle w:val="NoSpacing"/>
        <w:ind w:firstLine="360"/>
        <w:rPr>
          <w:sz w:val="18"/>
          <w:szCs w:val="18"/>
        </w:rPr>
      </w:pPr>
      <w:r w:rsidRPr="00B2042F">
        <w:rPr>
          <w:sz w:val="18"/>
          <w:szCs w:val="18"/>
        </w:rPr>
        <w:t xml:space="preserve">*HUD requires this information every </w:t>
      </w:r>
      <w:r w:rsidR="00CC5440">
        <w:rPr>
          <w:sz w:val="18"/>
          <w:szCs w:val="18"/>
        </w:rPr>
        <w:t xml:space="preserve">3 </w:t>
      </w:r>
      <w:r w:rsidRPr="00B2042F">
        <w:rPr>
          <w:sz w:val="18"/>
          <w:szCs w:val="18"/>
        </w:rPr>
        <w:t>years and the table reflects this.</w:t>
      </w:r>
    </w:p>
    <w:p w:rsidR="00436805" w:rsidP="00436805" w14:paraId="16640DD0" w14:textId="77777777">
      <w:pPr>
        <w:pStyle w:val="NoSpacing"/>
        <w:ind w:left="360"/>
        <w:rPr>
          <w:sz w:val="24"/>
          <w:szCs w:val="24"/>
        </w:rPr>
      </w:pPr>
    </w:p>
    <w:p w:rsidR="00141C3A" w:rsidP="0093126E" w14:paraId="43C555F8" w14:textId="2F6C784D">
      <w:pPr>
        <w:keepLines/>
        <w:tabs>
          <w:tab w:val="left" w:pos="360"/>
        </w:tabs>
        <w:spacing w:after="80"/>
        <w:ind w:left="360" w:hanging="360"/>
        <w:rPr>
          <w:sz w:val="24"/>
          <w:szCs w:val="24"/>
        </w:rPr>
      </w:pPr>
      <w:r>
        <w:rPr>
          <w:sz w:val="24"/>
          <w:szCs w:val="24"/>
        </w:rPr>
        <w:tab/>
      </w:r>
      <w:r w:rsidRPr="0008583D">
        <w:rPr>
          <w:sz w:val="24"/>
          <w:szCs w:val="24"/>
        </w:rPr>
        <w:t xml:space="preserve">The cost per hour is based at 2026 GS-13 Step 1 for “Rest of U.S.” from information provided by U.S. Office of Personnel Management at </w:t>
      </w:r>
      <w:hyperlink r:id="rId13" w:history="1">
        <w:r w:rsidRPr="0008583D">
          <w:rPr>
            <w:rStyle w:val="Hyperlink"/>
            <w:sz w:val="24"/>
            <w:szCs w:val="24"/>
          </w:rPr>
          <w:t>https://www.opm.gov/policy-data-oversight/pay-leave/salaries-wages/salary-tables/pdf/2026/RUS.pdf</w:t>
        </w:r>
      </w:hyperlink>
    </w:p>
    <w:p w:rsidR="0008583D" w:rsidRPr="0093126E" w:rsidP="0093126E" w14:paraId="66A51876" w14:textId="77777777">
      <w:pPr>
        <w:keepLines/>
        <w:tabs>
          <w:tab w:val="left" w:pos="360"/>
        </w:tabs>
        <w:spacing w:after="80"/>
        <w:ind w:left="360" w:hanging="360"/>
        <w:rPr>
          <w:color w:val="00B0F0"/>
          <w:sz w:val="24"/>
          <w:szCs w:val="24"/>
        </w:rPr>
      </w:pPr>
    </w:p>
    <w:p w:rsidR="000F674B" w:rsidP="000F674B" w14:paraId="5D2C6545" w14:textId="77777777">
      <w:pPr>
        <w:keepLines/>
        <w:tabs>
          <w:tab w:val="left" w:pos="360"/>
        </w:tabs>
        <w:spacing w:after="80"/>
        <w:ind w:left="360" w:hanging="360"/>
        <w:rPr>
          <w:sz w:val="24"/>
          <w:szCs w:val="24"/>
        </w:rPr>
      </w:pPr>
      <w:r w:rsidRPr="006C7FAE">
        <w:rPr>
          <w:sz w:val="24"/>
          <w:szCs w:val="24"/>
        </w:rPr>
        <w:t>15.</w:t>
      </w:r>
      <w:r w:rsidRPr="006C7FAE">
        <w:rPr>
          <w:sz w:val="24"/>
          <w:szCs w:val="24"/>
        </w:rPr>
        <w:tab/>
        <w:t>Explain the reasons for any program changes or adjustments reported in Items 1</w:t>
      </w:r>
      <w:r>
        <w:rPr>
          <w:sz w:val="24"/>
          <w:szCs w:val="24"/>
        </w:rPr>
        <w:t>2</w:t>
      </w:r>
      <w:r w:rsidRPr="006C7FAE">
        <w:rPr>
          <w:sz w:val="24"/>
          <w:szCs w:val="24"/>
        </w:rPr>
        <w:t xml:space="preserve"> and 14 of the </w:t>
      </w:r>
      <w:r>
        <w:rPr>
          <w:sz w:val="24"/>
          <w:szCs w:val="24"/>
        </w:rPr>
        <w:t>Supporting Statement</w:t>
      </w:r>
      <w:r w:rsidRPr="006C7FAE">
        <w:rPr>
          <w:sz w:val="24"/>
          <w:szCs w:val="24"/>
        </w:rPr>
        <w:t>.</w:t>
      </w:r>
    </w:p>
    <w:p w:rsidR="00006B9C" w:rsidRPr="004B0531" w:rsidP="004B0531" w14:paraId="7BD9B010" w14:textId="59FFA61F">
      <w:pPr>
        <w:spacing w:before="276" w:line="276" w:lineRule="exact"/>
        <w:ind w:left="450" w:right="72"/>
        <w:rPr>
          <w:sz w:val="24"/>
        </w:rPr>
      </w:pPr>
      <w:r>
        <w:rPr>
          <w:sz w:val="24"/>
        </w:rPr>
        <w:t>This is a</w:t>
      </w:r>
      <w:r w:rsidR="000D5E32">
        <w:rPr>
          <w:sz w:val="24"/>
        </w:rPr>
        <w:t xml:space="preserve"> request for reinstatement without change. </w:t>
      </w:r>
      <w:r w:rsidR="00231F36">
        <w:rPr>
          <w:sz w:val="24"/>
        </w:rPr>
        <w:t xml:space="preserve">The forms themselves were not changed. </w:t>
      </w:r>
      <w:r w:rsidR="000D5E32">
        <w:rPr>
          <w:sz w:val="24"/>
        </w:rPr>
        <w:t xml:space="preserve">The only changes made </w:t>
      </w:r>
      <w:r w:rsidR="0004688D">
        <w:rPr>
          <w:sz w:val="24"/>
        </w:rPr>
        <w:t>to this Supporting Statement were</w:t>
      </w:r>
      <w:r w:rsidRPr="004B0531" w:rsidR="004B0531">
        <w:rPr>
          <w:sz w:val="24"/>
        </w:rPr>
        <w:t xml:space="preserve"> to hourly costs per response to account for changes in estimated hourly rates based on Bureau of Labor Statistics and OPM data. </w:t>
      </w:r>
    </w:p>
    <w:p w:rsidR="00006B9C" w:rsidP="00006B9C" w14:paraId="6678A3B4" w14:textId="77777777">
      <w:pPr>
        <w:keepLines/>
        <w:tabs>
          <w:tab w:val="left" w:pos="360"/>
        </w:tabs>
        <w:spacing w:after="80"/>
        <w:ind w:left="720" w:hanging="360"/>
        <w:rPr>
          <w:sz w:val="24"/>
          <w:szCs w:val="24"/>
        </w:rPr>
      </w:pPr>
    </w:p>
    <w:p w:rsidR="000F674B" w:rsidP="000F674B" w14:paraId="3023F405" w14:textId="77777777">
      <w:pPr>
        <w:keepLines/>
        <w:tabs>
          <w:tab w:val="left" w:pos="360"/>
        </w:tabs>
        <w:spacing w:after="80"/>
        <w:ind w:left="360" w:hanging="360"/>
        <w:rPr>
          <w:sz w:val="24"/>
          <w:szCs w:val="24"/>
        </w:rPr>
      </w:pPr>
      <w:r w:rsidRPr="006C7FAE">
        <w:rPr>
          <w:sz w:val="24"/>
          <w:szCs w:val="24"/>
        </w:rPr>
        <w:t>16.</w:t>
      </w:r>
      <w:r w:rsidRPr="006C7FAE">
        <w:rPr>
          <w:sz w:val="24"/>
          <w:szCs w:val="24"/>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E0F54" w:rsidP="005E0F54" w14:paraId="55998F61" w14:textId="77777777">
      <w:pPr>
        <w:pStyle w:val="NoSpacing"/>
      </w:pPr>
    </w:p>
    <w:p w:rsidR="00A15159" w:rsidRPr="003708D2" w:rsidP="00A15159" w14:paraId="65D48C2B" w14:textId="7EA9DD3E">
      <w:pPr>
        <w:keepLines/>
        <w:tabs>
          <w:tab w:val="left" w:pos="360"/>
          <w:tab w:val="left" w:pos="720"/>
        </w:tabs>
        <w:ind w:left="360"/>
        <w:rPr>
          <w:sz w:val="24"/>
          <w:szCs w:val="24"/>
        </w:rPr>
      </w:pPr>
      <w:r w:rsidRPr="003708D2">
        <w:rPr>
          <w:sz w:val="24"/>
          <w:szCs w:val="24"/>
        </w:rPr>
        <w:t xml:space="preserve">  </w:t>
      </w:r>
      <w:r w:rsidRPr="003708D2">
        <w:rPr>
          <w:sz w:val="24"/>
          <w:szCs w:val="24"/>
        </w:rPr>
        <w:t>The information gathered from this collection will not be published by HUD.</w:t>
      </w:r>
      <w:r w:rsidRPr="003708D2" w:rsidR="00BE14BB">
        <w:rPr>
          <w:sz w:val="24"/>
          <w:szCs w:val="24"/>
        </w:rPr>
        <w:t xml:space="preserve"> </w:t>
      </w:r>
    </w:p>
    <w:p w:rsidR="000F674B" w:rsidRPr="006C7FAE" w:rsidP="000F674B" w14:paraId="52C45A66" w14:textId="77777777">
      <w:pPr>
        <w:tabs>
          <w:tab w:val="left" w:pos="360"/>
        </w:tabs>
        <w:ind w:left="360" w:hanging="360"/>
        <w:rPr>
          <w:sz w:val="24"/>
          <w:szCs w:val="24"/>
        </w:rPr>
      </w:pPr>
    </w:p>
    <w:p w:rsidR="000F674B" w:rsidP="000F674B" w14:paraId="51CCD8CA" w14:textId="77777777">
      <w:pPr>
        <w:keepLines/>
        <w:tabs>
          <w:tab w:val="left" w:pos="360"/>
        </w:tabs>
        <w:spacing w:after="80"/>
        <w:ind w:left="360" w:hanging="360"/>
        <w:rPr>
          <w:sz w:val="24"/>
          <w:szCs w:val="24"/>
        </w:rPr>
      </w:pPr>
      <w:r w:rsidRPr="006C7FAE">
        <w:rPr>
          <w:sz w:val="24"/>
          <w:szCs w:val="24"/>
        </w:rPr>
        <w:t>17.</w:t>
      </w:r>
      <w:r w:rsidRPr="006C7FAE">
        <w:rPr>
          <w:sz w:val="24"/>
          <w:szCs w:val="24"/>
        </w:rPr>
        <w:tab/>
        <w:t>If seeking approval to not display the expiration date for OMB approval of the information collection, explain the reasons that display would be inappropriate.</w:t>
      </w:r>
    </w:p>
    <w:p w:rsidR="00AC3BC5" w:rsidP="005E0F54" w14:paraId="38FBAA35" w14:textId="77777777">
      <w:pPr>
        <w:pStyle w:val="NoSpacing"/>
      </w:pPr>
    </w:p>
    <w:p w:rsidR="000F674B" w:rsidRPr="003708D2" w:rsidP="000F674B" w14:paraId="3AA5A024" w14:textId="2698F195">
      <w:pPr>
        <w:ind w:left="432"/>
        <w:rPr>
          <w:sz w:val="24"/>
          <w:szCs w:val="24"/>
        </w:rPr>
      </w:pPr>
      <w:r w:rsidRPr="003708D2">
        <w:rPr>
          <w:sz w:val="24"/>
          <w:szCs w:val="24"/>
        </w:rPr>
        <w:t xml:space="preserve"> </w:t>
      </w:r>
      <w:r w:rsidRPr="003708D2">
        <w:rPr>
          <w:sz w:val="24"/>
          <w:szCs w:val="24"/>
        </w:rPr>
        <w:t>HUD is not seeking approval to avoid displaying the expiration date for this information collection.</w:t>
      </w:r>
    </w:p>
    <w:p w:rsidR="000F674B" w:rsidRPr="006C7FAE" w:rsidP="000F674B" w14:paraId="7EFD47FC" w14:textId="77777777">
      <w:pPr>
        <w:keepLines/>
        <w:tabs>
          <w:tab w:val="left" w:pos="360"/>
        </w:tabs>
        <w:spacing w:after="80"/>
        <w:ind w:left="360" w:hanging="360"/>
        <w:rPr>
          <w:sz w:val="24"/>
          <w:szCs w:val="24"/>
        </w:rPr>
      </w:pPr>
    </w:p>
    <w:p w:rsidR="000F674B" w:rsidP="000F674B" w14:paraId="55BF969E" w14:textId="048E2D44">
      <w:pPr>
        <w:keepLines/>
        <w:tabs>
          <w:tab w:val="left" w:pos="360"/>
        </w:tabs>
        <w:spacing w:after="80"/>
        <w:ind w:left="360" w:hanging="360"/>
        <w:rPr>
          <w:sz w:val="24"/>
          <w:szCs w:val="24"/>
        </w:rPr>
      </w:pPr>
      <w:r w:rsidRPr="006C7FAE">
        <w:rPr>
          <w:sz w:val="24"/>
          <w:szCs w:val="24"/>
        </w:rPr>
        <w:t>18.</w:t>
      </w:r>
      <w:r w:rsidRPr="006C7FAE">
        <w:rPr>
          <w:sz w:val="24"/>
          <w:szCs w:val="24"/>
        </w:rPr>
        <w:tab/>
        <w:t>Explain each exception to the certification stateme</w:t>
      </w:r>
      <w:r w:rsidR="00941064">
        <w:rPr>
          <w:sz w:val="24"/>
          <w:szCs w:val="24"/>
        </w:rPr>
        <w:t>nt.</w:t>
      </w:r>
    </w:p>
    <w:p w:rsidR="00C81E92" w:rsidRPr="006C7FAE" w:rsidP="005E0F54" w14:paraId="471DB002" w14:textId="77777777">
      <w:pPr>
        <w:pStyle w:val="NoSpacing"/>
      </w:pPr>
    </w:p>
    <w:p w:rsidR="00353414" w:rsidRPr="003708D2" w:rsidP="003708D2" w14:paraId="4AC27175" w14:textId="664A7585">
      <w:pPr>
        <w:keepLines/>
        <w:tabs>
          <w:tab w:val="left" w:pos="450"/>
          <w:tab w:val="left" w:pos="540"/>
        </w:tabs>
        <w:ind w:left="450"/>
        <w:rPr>
          <w:sz w:val="24"/>
          <w:szCs w:val="24"/>
        </w:rPr>
      </w:pPr>
      <w:r w:rsidRPr="003708D2">
        <w:rPr>
          <w:sz w:val="24"/>
          <w:szCs w:val="24"/>
        </w:rPr>
        <w:t>There are no exceptions to the Certification Statement identified.</w:t>
      </w:r>
    </w:p>
    <w:sectPr w:rsidSect="000F674B">
      <w:pgSz w:w="12240" w:h="15840"/>
      <w:pgMar w:top="1440" w:right="1440" w:bottom="1440" w:left="900" w:header="480" w:footer="480" w:gutter="0"/>
      <w:cols w:space="480" w:equalWidth="0">
        <w:col w:w="10080" w:space="0"/>
      </w:cols>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PMingLiU">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B26EA4E0"/>
    <w:lvl w:ilvl="0">
      <w:start w:val="0"/>
      <w:numFmt w:val="decimal"/>
      <w:lvlText w:val="*"/>
      <w:lvlJc w:val="left"/>
    </w:lvl>
  </w:abstractNum>
  <w:abstractNum w:abstractNumId="1">
    <w:nsid w:val="0302074F"/>
    <w:multiLevelType w:val="hybridMultilevel"/>
    <w:tmpl w:val="41D2616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030637B8"/>
    <w:multiLevelType w:val="hybridMultilevel"/>
    <w:tmpl w:val="90F0BC1E"/>
    <w:lvl w:ilvl="0">
      <w:start w:val="1"/>
      <w:numFmt w:val="bullet"/>
      <w:lvlText w:val=""/>
      <w:lvlJc w:val="left"/>
      <w:pPr>
        <w:ind w:left="540" w:hanging="360"/>
      </w:pPr>
      <w:rPr>
        <w:rFonts w:ascii="Symbol" w:hAnsi="Symbol" w:hint="default"/>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3">
    <w:nsid w:val="068B23E3"/>
    <w:multiLevelType w:val="hybridMultilevel"/>
    <w:tmpl w:val="E4F2B2D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4">
    <w:nsid w:val="093A31A3"/>
    <w:multiLevelType w:val="hybridMultilevel"/>
    <w:tmpl w:val="41D2616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18A65BBF"/>
    <w:multiLevelType w:val="hybridMultilevel"/>
    <w:tmpl w:val="FAD8BB8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6">
    <w:nsid w:val="22C04E40"/>
    <w:multiLevelType w:val="hybridMultilevel"/>
    <w:tmpl w:val="413AC0A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7">
    <w:nsid w:val="27523372"/>
    <w:multiLevelType w:val="multilevel"/>
    <w:tmpl w:val="C22EE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D8638C6"/>
    <w:multiLevelType w:val="hybridMultilevel"/>
    <w:tmpl w:val="3D400DEE"/>
    <w:lvl w:ilvl="0">
      <w:start w:val="0"/>
      <w:numFmt w:val="bullet"/>
      <w:lvlText w:val="•"/>
      <w:lvlJc w:val="left"/>
      <w:pPr>
        <w:ind w:left="720" w:hanging="360"/>
      </w:pPr>
      <w:rPr>
        <w:rFonts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713161F"/>
    <w:multiLevelType w:val="hybridMultilevel"/>
    <w:tmpl w:val="AFFCC9BC"/>
    <w:lvl w:ilvl="0">
      <w:start w:val="0"/>
      <w:numFmt w:val="bullet"/>
      <w:lvlText w:val="•"/>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D151797"/>
    <w:multiLevelType w:val="hybridMultilevel"/>
    <w:tmpl w:val="4F5AA7C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1">
    <w:nsid w:val="4B206095"/>
    <w:multiLevelType w:val="singleLevel"/>
    <w:tmpl w:val="2FA6477C"/>
    <w:lvl w:ilvl="0">
      <w:start w:val="7"/>
      <w:numFmt w:val="decimal"/>
      <w:lvlText w:val="%1. "/>
      <w:legacy w:legacy="1" w:legacySpace="0" w:legacyIndent="360"/>
      <w:lvlJc w:val="left"/>
      <w:pPr>
        <w:ind w:left="360" w:hanging="360"/>
      </w:pPr>
      <w:rPr>
        <w:rFonts w:ascii="Times New Roman" w:hAnsi="Times New Roman" w:hint="default"/>
        <w:b w:val="0"/>
        <w:i w:val="0"/>
        <w:sz w:val="24"/>
        <w:szCs w:val="24"/>
        <w:u w:val="none"/>
      </w:rPr>
    </w:lvl>
  </w:abstractNum>
  <w:abstractNum w:abstractNumId="12">
    <w:nsid w:val="4D6B54EB"/>
    <w:multiLevelType w:val="hybridMultilevel"/>
    <w:tmpl w:val="E348FD2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51A85A75"/>
    <w:multiLevelType w:val="hybridMultilevel"/>
    <w:tmpl w:val="3AD45FC8"/>
    <w:lvl w:ilvl="0">
      <w:start w:val="1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9AC737A"/>
    <w:multiLevelType w:val="hybridMultilevel"/>
    <w:tmpl w:val="D8D267E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5">
    <w:nsid w:val="6A1A2C99"/>
    <w:multiLevelType w:val="hybridMultilevel"/>
    <w:tmpl w:val="C5B2B3A8"/>
    <w:lvl w:ilvl="0">
      <w:start w:val="1"/>
      <w:numFmt w:val="bullet"/>
      <w:lvlText w:val=""/>
      <w:lvlJc w:val="left"/>
      <w:pPr>
        <w:ind w:left="1080" w:hanging="360"/>
      </w:pPr>
      <w:rPr>
        <w:rFonts w:ascii="Symbol" w:hAnsi="Symbol" w:hint="default"/>
        <w:b w:val="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755C2B7B"/>
    <w:multiLevelType w:val="hybridMultilevel"/>
    <w:tmpl w:val="70586CCC"/>
    <w:lvl w:ilvl="0">
      <w:start w:val="1"/>
      <w:numFmt w:val="bullet"/>
      <w:lvlText w:val=""/>
      <w:lvlJc w:val="left"/>
      <w:pPr>
        <w:ind w:left="1440" w:hanging="360"/>
      </w:pPr>
      <w:rPr>
        <w:rFonts w:ascii="Symbol" w:hAnsi="Symbol" w:hint="default"/>
        <w:sz w:val="16"/>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493954902">
    <w:abstractNumId w:val="11"/>
  </w:num>
  <w:num w:numId="2" w16cid:durableId="1018459861">
    <w:abstractNumId w:val="0"/>
    <w:lvlOverride w:ilvl="0">
      <w:lvl w:ilvl="0">
        <w:start w:val="1"/>
        <w:numFmt w:val="bullet"/>
        <w:lvlText w:val=""/>
        <w:legacy w:legacy="1" w:legacySpace="0" w:legacyIndent="144"/>
        <w:lvlJc w:val="left"/>
        <w:pPr>
          <w:ind w:left="684" w:hanging="144"/>
        </w:pPr>
        <w:rPr>
          <w:rFonts w:ascii="Symbol" w:hAnsi="Symbol" w:hint="default"/>
          <w:sz w:val="16"/>
        </w:rPr>
      </w:lvl>
    </w:lvlOverride>
  </w:num>
  <w:num w:numId="3" w16cid:durableId="727456158">
    <w:abstractNumId w:val="6"/>
  </w:num>
  <w:num w:numId="4" w16cid:durableId="1074744570">
    <w:abstractNumId w:val="5"/>
  </w:num>
  <w:num w:numId="5" w16cid:durableId="275523574">
    <w:abstractNumId w:val="14"/>
  </w:num>
  <w:num w:numId="6" w16cid:durableId="1004672065">
    <w:abstractNumId w:val="3"/>
  </w:num>
  <w:num w:numId="7" w16cid:durableId="647782089">
    <w:abstractNumId w:val="10"/>
  </w:num>
  <w:num w:numId="8" w16cid:durableId="160972105">
    <w:abstractNumId w:val="7"/>
  </w:num>
  <w:num w:numId="9" w16cid:durableId="363335984">
    <w:abstractNumId w:val="13"/>
  </w:num>
  <w:num w:numId="10" w16cid:durableId="1152135661">
    <w:abstractNumId w:val="2"/>
  </w:num>
  <w:num w:numId="11" w16cid:durableId="65344899">
    <w:abstractNumId w:val="15"/>
  </w:num>
  <w:num w:numId="12" w16cid:durableId="1354069337">
    <w:abstractNumId w:val="8"/>
  </w:num>
  <w:num w:numId="13" w16cid:durableId="1261641548">
    <w:abstractNumId w:val="9"/>
  </w:num>
  <w:num w:numId="14" w16cid:durableId="1040059280">
    <w:abstractNumId w:val="1"/>
  </w:num>
  <w:num w:numId="15" w16cid:durableId="1536654052">
    <w:abstractNumId w:val="4"/>
  </w:num>
  <w:num w:numId="16" w16cid:durableId="1722509655">
    <w:abstractNumId w:val="16"/>
  </w:num>
  <w:num w:numId="17" w16cid:durableId="8116770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74B"/>
    <w:rsid w:val="000033CE"/>
    <w:rsid w:val="00006B9C"/>
    <w:rsid w:val="00024F11"/>
    <w:rsid w:val="00025B57"/>
    <w:rsid w:val="000271D9"/>
    <w:rsid w:val="00035FF4"/>
    <w:rsid w:val="00036001"/>
    <w:rsid w:val="0004688D"/>
    <w:rsid w:val="000627CC"/>
    <w:rsid w:val="00065BA0"/>
    <w:rsid w:val="0006763C"/>
    <w:rsid w:val="0008401B"/>
    <w:rsid w:val="0008583D"/>
    <w:rsid w:val="000859DC"/>
    <w:rsid w:val="0009647B"/>
    <w:rsid w:val="000A3A6B"/>
    <w:rsid w:val="000A53BB"/>
    <w:rsid w:val="000B00B4"/>
    <w:rsid w:val="000B0DAD"/>
    <w:rsid w:val="000C30BD"/>
    <w:rsid w:val="000C3DE2"/>
    <w:rsid w:val="000C68EF"/>
    <w:rsid w:val="000D5079"/>
    <w:rsid w:val="000D5E32"/>
    <w:rsid w:val="000E5431"/>
    <w:rsid w:val="000E59DE"/>
    <w:rsid w:val="000F19A5"/>
    <w:rsid w:val="000F3423"/>
    <w:rsid w:val="000F674B"/>
    <w:rsid w:val="00114E5E"/>
    <w:rsid w:val="001260F9"/>
    <w:rsid w:val="00135957"/>
    <w:rsid w:val="00141C3A"/>
    <w:rsid w:val="00143516"/>
    <w:rsid w:val="001622AB"/>
    <w:rsid w:val="00167E53"/>
    <w:rsid w:val="001733BC"/>
    <w:rsid w:val="00180EFF"/>
    <w:rsid w:val="001870F8"/>
    <w:rsid w:val="001B573E"/>
    <w:rsid w:val="001C098C"/>
    <w:rsid w:val="001C125C"/>
    <w:rsid w:val="001C7106"/>
    <w:rsid w:val="001D46F9"/>
    <w:rsid w:val="001D7D53"/>
    <w:rsid w:val="001F0E7E"/>
    <w:rsid w:val="001F6F30"/>
    <w:rsid w:val="0021479F"/>
    <w:rsid w:val="00222DC4"/>
    <w:rsid w:val="00231F36"/>
    <w:rsid w:val="00231F4D"/>
    <w:rsid w:val="00241ADB"/>
    <w:rsid w:val="00252062"/>
    <w:rsid w:val="00254D9C"/>
    <w:rsid w:val="00256FCB"/>
    <w:rsid w:val="00263692"/>
    <w:rsid w:val="002654AA"/>
    <w:rsid w:val="002773C2"/>
    <w:rsid w:val="002977E0"/>
    <w:rsid w:val="002A2003"/>
    <w:rsid w:val="002C146C"/>
    <w:rsid w:val="002D54DB"/>
    <w:rsid w:val="002F188E"/>
    <w:rsid w:val="002F4809"/>
    <w:rsid w:val="002F5AF6"/>
    <w:rsid w:val="00315776"/>
    <w:rsid w:val="003166B9"/>
    <w:rsid w:val="0032275C"/>
    <w:rsid w:val="00322BF3"/>
    <w:rsid w:val="003245FD"/>
    <w:rsid w:val="00327887"/>
    <w:rsid w:val="00346BFE"/>
    <w:rsid w:val="00351AD0"/>
    <w:rsid w:val="00353414"/>
    <w:rsid w:val="00354863"/>
    <w:rsid w:val="00354ECD"/>
    <w:rsid w:val="003561E5"/>
    <w:rsid w:val="003708D2"/>
    <w:rsid w:val="00390794"/>
    <w:rsid w:val="00391891"/>
    <w:rsid w:val="003A0BB5"/>
    <w:rsid w:val="003A1FCD"/>
    <w:rsid w:val="003A6F51"/>
    <w:rsid w:val="003C3B93"/>
    <w:rsid w:val="003C3E20"/>
    <w:rsid w:val="003C52E0"/>
    <w:rsid w:val="003D1BF2"/>
    <w:rsid w:val="003D4E22"/>
    <w:rsid w:val="003F2BE7"/>
    <w:rsid w:val="003F7360"/>
    <w:rsid w:val="00406B39"/>
    <w:rsid w:val="00416266"/>
    <w:rsid w:val="00422BDF"/>
    <w:rsid w:val="00426890"/>
    <w:rsid w:val="00434412"/>
    <w:rsid w:val="00436805"/>
    <w:rsid w:val="00441C91"/>
    <w:rsid w:val="004427A9"/>
    <w:rsid w:val="00445AFC"/>
    <w:rsid w:val="004479EE"/>
    <w:rsid w:val="004517BB"/>
    <w:rsid w:val="004711C0"/>
    <w:rsid w:val="00476842"/>
    <w:rsid w:val="00491230"/>
    <w:rsid w:val="00496F7F"/>
    <w:rsid w:val="004B0531"/>
    <w:rsid w:val="004B7CD6"/>
    <w:rsid w:val="004B7FBF"/>
    <w:rsid w:val="004E1992"/>
    <w:rsid w:val="004E2547"/>
    <w:rsid w:val="004F0C31"/>
    <w:rsid w:val="004F1C90"/>
    <w:rsid w:val="004F2857"/>
    <w:rsid w:val="004F6334"/>
    <w:rsid w:val="00502FD3"/>
    <w:rsid w:val="0051321F"/>
    <w:rsid w:val="00522F5B"/>
    <w:rsid w:val="00527486"/>
    <w:rsid w:val="0054064E"/>
    <w:rsid w:val="00547D03"/>
    <w:rsid w:val="0055331A"/>
    <w:rsid w:val="00556F59"/>
    <w:rsid w:val="00560AD9"/>
    <w:rsid w:val="00565D65"/>
    <w:rsid w:val="00570A05"/>
    <w:rsid w:val="0057158A"/>
    <w:rsid w:val="00572C89"/>
    <w:rsid w:val="00576A8B"/>
    <w:rsid w:val="0058181B"/>
    <w:rsid w:val="00583BFC"/>
    <w:rsid w:val="005A4AB2"/>
    <w:rsid w:val="005A5835"/>
    <w:rsid w:val="005A70FF"/>
    <w:rsid w:val="005B1077"/>
    <w:rsid w:val="005B7E9F"/>
    <w:rsid w:val="005C0564"/>
    <w:rsid w:val="005C17C2"/>
    <w:rsid w:val="005D35C4"/>
    <w:rsid w:val="005D6F8F"/>
    <w:rsid w:val="005E0F54"/>
    <w:rsid w:val="005E1B09"/>
    <w:rsid w:val="005E1DC3"/>
    <w:rsid w:val="005E4B26"/>
    <w:rsid w:val="005E5840"/>
    <w:rsid w:val="005E6D2D"/>
    <w:rsid w:val="00611F17"/>
    <w:rsid w:val="00640021"/>
    <w:rsid w:val="006435BB"/>
    <w:rsid w:val="006445AA"/>
    <w:rsid w:val="006519B1"/>
    <w:rsid w:val="006544F8"/>
    <w:rsid w:val="0065501C"/>
    <w:rsid w:val="0066168E"/>
    <w:rsid w:val="006644C4"/>
    <w:rsid w:val="00667D00"/>
    <w:rsid w:val="00676791"/>
    <w:rsid w:val="00680D08"/>
    <w:rsid w:val="006A287B"/>
    <w:rsid w:val="006A3B0F"/>
    <w:rsid w:val="006B5598"/>
    <w:rsid w:val="006B61BB"/>
    <w:rsid w:val="006B6CF8"/>
    <w:rsid w:val="006C0B79"/>
    <w:rsid w:val="006C7FAE"/>
    <w:rsid w:val="006D39AA"/>
    <w:rsid w:val="006D6933"/>
    <w:rsid w:val="006E20D8"/>
    <w:rsid w:val="006F1EAB"/>
    <w:rsid w:val="006F3208"/>
    <w:rsid w:val="006F4AEB"/>
    <w:rsid w:val="006F511D"/>
    <w:rsid w:val="0070013F"/>
    <w:rsid w:val="00721C17"/>
    <w:rsid w:val="007427A9"/>
    <w:rsid w:val="007454D4"/>
    <w:rsid w:val="00746296"/>
    <w:rsid w:val="0074643F"/>
    <w:rsid w:val="007519D3"/>
    <w:rsid w:val="007525B3"/>
    <w:rsid w:val="00764C8F"/>
    <w:rsid w:val="007725DD"/>
    <w:rsid w:val="00774CF6"/>
    <w:rsid w:val="007938D9"/>
    <w:rsid w:val="007B49F0"/>
    <w:rsid w:val="007B55D3"/>
    <w:rsid w:val="007C27EB"/>
    <w:rsid w:val="007C4B32"/>
    <w:rsid w:val="007C5572"/>
    <w:rsid w:val="007C5A1F"/>
    <w:rsid w:val="007D14F8"/>
    <w:rsid w:val="007D5645"/>
    <w:rsid w:val="007D5B61"/>
    <w:rsid w:val="007E0D2D"/>
    <w:rsid w:val="007F7D60"/>
    <w:rsid w:val="007F7EEF"/>
    <w:rsid w:val="00803744"/>
    <w:rsid w:val="008043A1"/>
    <w:rsid w:val="008069D6"/>
    <w:rsid w:val="00810377"/>
    <w:rsid w:val="00824130"/>
    <w:rsid w:val="00846578"/>
    <w:rsid w:val="008702BE"/>
    <w:rsid w:val="0087587D"/>
    <w:rsid w:val="008763AD"/>
    <w:rsid w:val="008825B4"/>
    <w:rsid w:val="008859FF"/>
    <w:rsid w:val="00891211"/>
    <w:rsid w:val="00892EA6"/>
    <w:rsid w:val="008A2EA7"/>
    <w:rsid w:val="008A606E"/>
    <w:rsid w:val="008C2643"/>
    <w:rsid w:val="008E4570"/>
    <w:rsid w:val="008F3B51"/>
    <w:rsid w:val="008F6F17"/>
    <w:rsid w:val="0090783B"/>
    <w:rsid w:val="00911DBC"/>
    <w:rsid w:val="00917CC9"/>
    <w:rsid w:val="0093126E"/>
    <w:rsid w:val="009328CD"/>
    <w:rsid w:val="00941064"/>
    <w:rsid w:val="00945C11"/>
    <w:rsid w:val="00967901"/>
    <w:rsid w:val="00984327"/>
    <w:rsid w:val="00993D58"/>
    <w:rsid w:val="00997EBC"/>
    <w:rsid w:val="009A4B3E"/>
    <w:rsid w:val="009E6C05"/>
    <w:rsid w:val="009F01C9"/>
    <w:rsid w:val="00A00673"/>
    <w:rsid w:val="00A125FE"/>
    <w:rsid w:val="00A14BA4"/>
    <w:rsid w:val="00A15159"/>
    <w:rsid w:val="00A31CD0"/>
    <w:rsid w:val="00A33A62"/>
    <w:rsid w:val="00A55BB8"/>
    <w:rsid w:val="00A73C55"/>
    <w:rsid w:val="00AA1952"/>
    <w:rsid w:val="00AA3B7C"/>
    <w:rsid w:val="00AA53AD"/>
    <w:rsid w:val="00AB0D4A"/>
    <w:rsid w:val="00AC3BC5"/>
    <w:rsid w:val="00AC756F"/>
    <w:rsid w:val="00AE1E12"/>
    <w:rsid w:val="00AE3FB7"/>
    <w:rsid w:val="00AE6099"/>
    <w:rsid w:val="00AF0FC0"/>
    <w:rsid w:val="00B00678"/>
    <w:rsid w:val="00B01010"/>
    <w:rsid w:val="00B056B8"/>
    <w:rsid w:val="00B057E7"/>
    <w:rsid w:val="00B1079B"/>
    <w:rsid w:val="00B12B9F"/>
    <w:rsid w:val="00B13352"/>
    <w:rsid w:val="00B14C44"/>
    <w:rsid w:val="00B173A2"/>
    <w:rsid w:val="00B2042F"/>
    <w:rsid w:val="00B219CA"/>
    <w:rsid w:val="00B233BE"/>
    <w:rsid w:val="00B2466B"/>
    <w:rsid w:val="00B328C1"/>
    <w:rsid w:val="00B33560"/>
    <w:rsid w:val="00B34CBA"/>
    <w:rsid w:val="00B73B0D"/>
    <w:rsid w:val="00B7540B"/>
    <w:rsid w:val="00B82784"/>
    <w:rsid w:val="00B869E9"/>
    <w:rsid w:val="00BA1672"/>
    <w:rsid w:val="00BA3DAD"/>
    <w:rsid w:val="00BB0BE9"/>
    <w:rsid w:val="00BC06BE"/>
    <w:rsid w:val="00BD1C68"/>
    <w:rsid w:val="00BD76E8"/>
    <w:rsid w:val="00BE14BB"/>
    <w:rsid w:val="00BF01EA"/>
    <w:rsid w:val="00BF63CD"/>
    <w:rsid w:val="00C16AA9"/>
    <w:rsid w:val="00C46768"/>
    <w:rsid w:val="00C61FA9"/>
    <w:rsid w:val="00C64300"/>
    <w:rsid w:val="00C6448D"/>
    <w:rsid w:val="00C65F3C"/>
    <w:rsid w:val="00C75CE8"/>
    <w:rsid w:val="00C81CDC"/>
    <w:rsid w:val="00C81E92"/>
    <w:rsid w:val="00C964A7"/>
    <w:rsid w:val="00CA3E91"/>
    <w:rsid w:val="00CC4158"/>
    <w:rsid w:val="00CC5440"/>
    <w:rsid w:val="00CD169F"/>
    <w:rsid w:val="00CE4C30"/>
    <w:rsid w:val="00CE7AD7"/>
    <w:rsid w:val="00CF1CE5"/>
    <w:rsid w:val="00CF6C90"/>
    <w:rsid w:val="00CF774C"/>
    <w:rsid w:val="00CF7C2A"/>
    <w:rsid w:val="00D17D0A"/>
    <w:rsid w:val="00D30106"/>
    <w:rsid w:val="00D55742"/>
    <w:rsid w:val="00D57B88"/>
    <w:rsid w:val="00D7765A"/>
    <w:rsid w:val="00D8599F"/>
    <w:rsid w:val="00D96716"/>
    <w:rsid w:val="00DC3B03"/>
    <w:rsid w:val="00DD1DA1"/>
    <w:rsid w:val="00DD1DC1"/>
    <w:rsid w:val="00DD7ADA"/>
    <w:rsid w:val="00DE4B47"/>
    <w:rsid w:val="00DE7A4D"/>
    <w:rsid w:val="00DF6055"/>
    <w:rsid w:val="00DF6132"/>
    <w:rsid w:val="00DF784E"/>
    <w:rsid w:val="00E02085"/>
    <w:rsid w:val="00E17AC7"/>
    <w:rsid w:val="00E17EC2"/>
    <w:rsid w:val="00E33474"/>
    <w:rsid w:val="00E438E1"/>
    <w:rsid w:val="00E614C2"/>
    <w:rsid w:val="00E63E37"/>
    <w:rsid w:val="00E64F8C"/>
    <w:rsid w:val="00E655A5"/>
    <w:rsid w:val="00E7324E"/>
    <w:rsid w:val="00EA4340"/>
    <w:rsid w:val="00EA4397"/>
    <w:rsid w:val="00EC2498"/>
    <w:rsid w:val="00EE2703"/>
    <w:rsid w:val="00EE41DF"/>
    <w:rsid w:val="00EE4342"/>
    <w:rsid w:val="00EF1F8C"/>
    <w:rsid w:val="00EF2F2E"/>
    <w:rsid w:val="00EF7C2E"/>
    <w:rsid w:val="00F16B3B"/>
    <w:rsid w:val="00F32363"/>
    <w:rsid w:val="00F42BDF"/>
    <w:rsid w:val="00F4760A"/>
    <w:rsid w:val="00F50CAD"/>
    <w:rsid w:val="00F60E84"/>
    <w:rsid w:val="00F67FA7"/>
    <w:rsid w:val="00F729B1"/>
    <w:rsid w:val="00F75AEC"/>
    <w:rsid w:val="00F76F89"/>
    <w:rsid w:val="00FB5512"/>
    <w:rsid w:val="00FC1842"/>
    <w:rsid w:val="00FC1F90"/>
    <w:rsid w:val="00FC25C2"/>
    <w:rsid w:val="00FC2825"/>
    <w:rsid w:val="00FC4562"/>
    <w:rsid w:val="00FD0C61"/>
    <w:rsid w:val="00FD18DC"/>
    <w:rsid w:val="00FE4045"/>
    <w:rsid w:val="00FE587F"/>
    <w:rsid w:val="00FF2A68"/>
    <w:rsid w:val="00FF57B9"/>
    <w:rsid w:val="01171908"/>
    <w:rsid w:val="07B6F947"/>
    <w:rsid w:val="1D5FA552"/>
    <w:rsid w:val="2142C6D2"/>
    <w:rsid w:val="21FC4A21"/>
    <w:rsid w:val="22C8234B"/>
    <w:rsid w:val="2E84334A"/>
    <w:rsid w:val="3991905C"/>
    <w:rsid w:val="3CC10F0D"/>
    <w:rsid w:val="3DAE4DAF"/>
    <w:rsid w:val="4369836F"/>
    <w:rsid w:val="44AEB971"/>
    <w:rsid w:val="4A04719B"/>
    <w:rsid w:val="4A49FA10"/>
    <w:rsid w:val="4B847EFF"/>
    <w:rsid w:val="59216378"/>
    <w:rsid w:val="59390D12"/>
    <w:rsid w:val="5AF98103"/>
    <w:rsid w:val="5BA47D8E"/>
    <w:rsid w:val="5CFC1DDA"/>
    <w:rsid w:val="62D7C0AD"/>
    <w:rsid w:val="681C8713"/>
    <w:rsid w:val="69898882"/>
    <w:rsid w:val="6EA1ED0A"/>
    <w:rsid w:val="709B95A8"/>
    <w:rsid w:val="72963F56"/>
    <w:rsid w:val="74A8836D"/>
    <w:rsid w:val="762599BA"/>
    <w:rsid w:val="782B500A"/>
    <w:rsid w:val="79E02878"/>
    <w:rsid w:val="7A6C27F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38CE1D0"/>
  <w15:chartTrackingRefBased/>
  <w15:docId w15:val="{7A65EC4B-1D0C-4C88-B29F-3849ED2B2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674B"/>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0F67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67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67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67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67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674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674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674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674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7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67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67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67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67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67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67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67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674B"/>
    <w:rPr>
      <w:rFonts w:eastAsiaTheme="majorEastAsia" w:cstheme="majorBidi"/>
      <w:color w:val="272727" w:themeColor="text1" w:themeTint="D8"/>
    </w:rPr>
  </w:style>
  <w:style w:type="paragraph" w:styleId="Title">
    <w:name w:val="Title"/>
    <w:basedOn w:val="Normal"/>
    <w:next w:val="Normal"/>
    <w:link w:val="TitleChar"/>
    <w:uiPriority w:val="10"/>
    <w:qFormat/>
    <w:rsid w:val="000F674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67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67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67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674B"/>
    <w:pPr>
      <w:spacing w:before="160"/>
      <w:jc w:val="center"/>
    </w:pPr>
    <w:rPr>
      <w:i/>
      <w:iCs/>
      <w:color w:val="404040" w:themeColor="text1" w:themeTint="BF"/>
    </w:rPr>
  </w:style>
  <w:style w:type="character" w:customStyle="1" w:styleId="QuoteChar">
    <w:name w:val="Quote Char"/>
    <w:basedOn w:val="DefaultParagraphFont"/>
    <w:link w:val="Quote"/>
    <w:uiPriority w:val="29"/>
    <w:rsid w:val="000F674B"/>
    <w:rPr>
      <w:i/>
      <w:iCs/>
      <w:color w:val="404040" w:themeColor="text1" w:themeTint="BF"/>
    </w:rPr>
  </w:style>
  <w:style w:type="paragraph" w:styleId="ListParagraph">
    <w:name w:val="List Paragraph"/>
    <w:basedOn w:val="Normal"/>
    <w:uiPriority w:val="34"/>
    <w:qFormat/>
    <w:rsid w:val="000F674B"/>
    <w:pPr>
      <w:ind w:left="720"/>
      <w:contextualSpacing/>
    </w:pPr>
  </w:style>
  <w:style w:type="character" w:styleId="IntenseEmphasis">
    <w:name w:val="Intense Emphasis"/>
    <w:basedOn w:val="DefaultParagraphFont"/>
    <w:uiPriority w:val="21"/>
    <w:qFormat/>
    <w:rsid w:val="000F674B"/>
    <w:rPr>
      <w:i/>
      <w:iCs/>
      <w:color w:val="0F4761" w:themeColor="accent1" w:themeShade="BF"/>
    </w:rPr>
  </w:style>
  <w:style w:type="paragraph" w:styleId="IntenseQuote">
    <w:name w:val="Intense Quote"/>
    <w:basedOn w:val="Normal"/>
    <w:next w:val="Normal"/>
    <w:link w:val="IntenseQuoteChar"/>
    <w:uiPriority w:val="30"/>
    <w:qFormat/>
    <w:rsid w:val="000F67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674B"/>
    <w:rPr>
      <w:i/>
      <w:iCs/>
      <w:color w:val="0F4761" w:themeColor="accent1" w:themeShade="BF"/>
    </w:rPr>
  </w:style>
  <w:style w:type="character" w:styleId="IntenseReference">
    <w:name w:val="Intense Reference"/>
    <w:basedOn w:val="DefaultParagraphFont"/>
    <w:uiPriority w:val="32"/>
    <w:qFormat/>
    <w:rsid w:val="000F674B"/>
    <w:rPr>
      <w:b/>
      <w:bCs/>
      <w:smallCaps/>
      <w:color w:val="0F4761" w:themeColor="accent1" w:themeShade="BF"/>
      <w:spacing w:val="5"/>
    </w:rPr>
  </w:style>
  <w:style w:type="paragraph" w:styleId="Header">
    <w:name w:val="header"/>
    <w:basedOn w:val="Normal"/>
    <w:link w:val="HeaderChar"/>
    <w:semiHidden/>
    <w:rsid w:val="000F674B"/>
    <w:pPr>
      <w:tabs>
        <w:tab w:val="center" w:pos="4320"/>
        <w:tab w:val="right" w:pos="8640"/>
      </w:tabs>
    </w:pPr>
  </w:style>
  <w:style w:type="character" w:customStyle="1" w:styleId="HeaderChar">
    <w:name w:val="Header Char"/>
    <w:basedOn w:val="DefaultParagraphFont"/>
    <w:link w:val="Header"/>
    <w:semiHidden/>
    <w:rsid w:val="000F674B"/>
    <w:rPr>
      <w:rFonts w:ascii="Times New Roman" w:eastAsia="Times New Roman" w:hAnsi="Times New Roman" w:cs="Times New Roman"/>
      <w:kern w:val="0"/>
      <w:sz w:val="20"/>
      <w:szCs w:val="20"/>
      <w14:ligatures w14:val="none"/>
    </w:rPr>
  </w:style>
  <w:style w:type="paragraph" w:styleId="Revision">
    <w:name w:val="Revision"/>
    <w:hidden/>
    <w:uiPriority w:val="99"/>
    <w:semiHidden/>
    <w:rsid w:val="003F2BE7"/>
    <w:pPr>
      <w:spacing w:after="0" w:line="240" w:lineRule="auto"/>
    </w:pPr>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sid w:val="00CF1CE5"/>
    <w:rPr>
      <w:sz w:val="16"/>
      <w:szCs w:val="16"/>
    </w:rPr>
  </w:style>
  <w:style w:type="paragraph" w:styleId="CommentText">
    <w:name w:val="annotation text"/>
    <w:basedOn w:val="Normal"/>
    <w:link w:val="CommentTextChar"/>
    <w:uiPriority w:val="99"/>
    <w:unhideWhenUsed/>
    <w:rsid w:val="00CF1CE5"/>
    <w:pPr>
      <w:overflowPunct/>
      <w:autoSpaceDE/>
      <w:autoSpaceDN/>
      <w:adjustRightInd/>
      <w:textAlignment w:val="auto"/>
    </w:pPr>
    <w:rPr>
      <w:rFonts w:eastAsia="PMingLiU"/>
    </w:rPr>
  </w:style>
  <w:style w:type="character" w:customStyle="1" w:styleId="CommentTextChar">
    <w:name w:val="Comment Text Char"/>
    <w:basedOn w:val="DefaultParagraphFont"/>
    <w:link w:val="CommentText"/>
    <w:uiPriority w:val="99"/>
    <w:rsid w:val="00CF1CE5"/>
    <w:rPr>
      <w:rFonts w:ascii="Times New Roman" w:eastAsia="PMingLiU" w:hAnsi="Times New Roman" w:cs="Times New Roman"/>
      <w:kern w:val="0"/>
      <w:sz w:val="20"/>
      <w:szCs w:val="20"/>
      <w14:ligatures w14:val="none"/>
    </w:rPr>
  </w:style>
  <w:style w:type="character" w:customStyle="1" w:styleId="cf01">
    <w:name w:val="cf01"/>
    <w:basedOn w:val="DefaultParagraphFont"/>
    <w:rsid w:val="00CF1CE5"/>
    <w:rPr>
      <w:rFonts w:ascii="Segoe UI" w:hAnsi="Segoe UI" w:cs="Segoe UI" w:hint="default"/>
      <w:sz w:val="18"/>
      <w:szCs w:val="18"/>
    </w:rPr>
  </w:style>
  <w:style w:type="paragraph" w:styleId="CommentSubject">
    <w:name w:val="annotation subject"/>
    <w:basedOn w:val="CommentText"/>
    <w:next w:val="CommentText"/>
    <w:link w:val="CommentSubjectChar"/>
    <w:uiPriority w:val="99"/>
    <w:semiHidden/>
    <w:unhideWhenUsed/>
    <w:rsid w:val="00C75CE8"/>
    <w:pPr>
      <w:overflowPunct w:val="0"/>
      <w:autoSpaceDE w:val="0"/>
      <w:autoSpaceDN w:val="0"/>
      <w:adjustRightInd w:val="0"/>
      <w:textAlignment w:val="baseline"/>
    </w:pPr>
    <w:rPr>
      <w:rFonts w:eastAsia="Times New Roman"/>
      <w:b/>
      <w:bCs/>
    </w:rPr>
  </w:style>
  <w:style w:type="character" w:customStyle="1" w:styleId="CommentSubjectChar">
    <w:name w:val="Comment Subject Char"/>
    <w:basedOn w:val="CommentTextChar"/>
    <w:link w:val="CommentSubject"/>
    <w:uiPriority w:val="99"/>
    <w:semiHidden/>
    <w:rsid w:val="00C75CE8"/>
    <w:rPr>
      <w:rFonts w:ascii="Times New Roman" w:eastAsia="Times New Roman" w:hAnsi="Times New Roman" w:cs="Times New Roman"/>
      <w:b/>
      <w:bCs/>
      <w:kern w:val="0"/>
      <w:sz w:val="20"/>
      <w:szCs w:val="20"/>
      <w14:ligatures w14:val="none"/>
    </w:rPr>
  </w:style>
  <w:style w:type="paragraph" w:styleId="Footer">
    <w:name w:val="footer"/>
    <w:basedOn w:val="Normal"/>
    <w:link w:val="FooterChar"/>
    <w:uiPriority w:val="99"/>
    <w:unhideWhenUsed/>
    <w:rsid w:val="00A73C55"/>
    <w:pPr>
      <w:tabs>
        <w:tab w:val="center" w:pos="4680"/>
        <w:tab w:val="right" w:pos="9360"/>
      </w:tabs>
    </w:pPr>
  </w:style>
  <w:style w:type="character" w:customStyle="1" w:styleId="FooterChar">
    <w:name w:val="Footer Char"/>
    <w:basedOn w:val="DefaultParagraphFont"/>
    <w:link w:val="Footer"/>
    <w:uiPriority w:val="99"/>
    <w:rsid w:val="00A73C55"/>
    <w:rPr>
      <w:rFonts w:ascii="Times New Roman" w:eastAsia="Times New Roman" w:hAnsi="Times New Roman" w:cs="Times New Roman"/>
      <w:kern w:val="0"/>
      <w:sz w:val="20"/>
      <w:szCs w:val="20"/>
      <w14:ligatures w14:val="none"/>
    </w:rPr>
  </w:style>
  <w:style w:type="character" w:styleId="Hyperlink">
    <w:name w:val="Hyperlink"/>
    <w:basedOn w:val="DefaultParagraphFont"/>
    <w:uiPriority w:val="99"/>
    <w:unhideWhenUsed/>
    <w:rsid w:val="0058181B"/>
    <w:rPr>
      <w:color w:val="467886" w:themeColor="hyperlink"/>
      <w:u w:val="single"/>
    </w:rPr>
  </w:style>
  <w:style w:type="character" w:styleId="UnresolvedMention">
    <w:name w:val="Unresolved Mention"/>
    <w:basedOn w:val="DefaultParagraphFont"/>
    <w:uiPriority w:val="99"/>
    <w:semiHidden/>
    <w:unhideWhenUsed/>
    <w:rsid w:val="0058181B"/>
    <w:rPr>
      <w:color w:val="605E5C"/>
      <w:shd w:val="clear" w:color="auto" w:fill="E1DFDD"/>
    </w:rPr>
  </w:style>
  <w:style w:type="table" w:styleId="TableGrid">
    <w:name w:val="Table Grid"/>
    <w:basedOn w:val="TableNormal"/>
    <w:uiPriority w:val="39"/>
    <w:rsid w:val="00AA3B7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E0F54"/>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style>
  <w:style w:type="character" w:styleId="FollowedHyperlink">
    <w:name w:val="FollowedHyperlink"/>
    <w:basedOn w:val="DefaultParagraphFont"/>
    <w:uiPriority w:val="99"/>
    <w:semiHidden/>
    <w:unhideWhenUsed/>
    <w:rsid w:val="006A3B0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uscode.house.gov/view.xhtml?req=(title:25%20section:4225%20edition:prelim)" TargetMode="External" /><Relationship Id="rId11" Type="http://schemas.openxmlformats.org/officeDocument/2006/relationships/hyperlink" Target="https://www.hud.gov/contactus/local" TargetMode="External" /><Relationship Id="rId12" Type="http://schemas.openxmlformats.org/officeDocument/2006/relationships/hyperlink" Target="https://data.bls.gov/oesprofile/" TargetMode="External" /><Relationship Id="rId13" Type="http://schemas.openxmlformats.org/officeDocument/2006/relationships/hyperlink" Target="https://www.opm.gov/policy-data-oversight/pay-leave/salaries-wages/salary-tables/pdf/2026/RUS.pdf"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govinfo.gov/content/pkg/USCODE-2009-title42/pdf/USCODE-2009-title42-chap8.pdf" TargetMode="External" /><Relationship Id="rId9" Type="http://schemas.openxmlformats.org/officeDocument/2006/relationships/hyperlink" Target="https://uscode.house.gov/view.xhtml?req=(title:25%20section:4114%20edition:preli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EEAAB5-4294-40E3-A256-99FA2E8AB53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BB01807-CC47-4D8A-BE7F-7F16CDA99F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341600C-F0E1-4CC7-859F-06EF9023598E}">
  <ds:schemaRefs>
    <ds:schemaRef ds:uri="http://schemas.openxmlformats.org/officeDocument/2006/bibliography"/>
  </ds:schemaRefs>
</ds:datastoreItem>
</file>

<file path=customXml/itemProps4.xml><?xml version="1.0" encoding="utf-8"?>
<ds:datastoreItem xmlns:ds="http://schemas.openxmlformats.org/officeDocument/2006/customXml" ds:itemID="{A8BC5A10-9D68-4F9A-A061-6B7F93FDB9F4}">
  <ds:schemaRefs>
    <ds:schemaRef ds:uri="http://schemas.microsoft.com/sharepoint/v3/contenttype/forms"/>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2932</Words>
  <Characters>16777</Characters>
  <Application>Microsoft Office Word</Application>
  <DocSecurity>0</DocSecurity>
  <Lines>419</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Guido, Anna P</dc:creator>
  <cp:lastModifiedBy>Guido, Anna P</cp:lastModifiedBy>
  <cp:revision>2</cp:revision>
  <cp:lastPrinted>2024-12-16T14:38:00Z</cp:lastPrinted>
  <dcterms:created xsi:type="dcterms:W3CDTF">2026-03-12T12:44:00Z</dcterms:created>
  <dcterms:modified xsi:type="dcterms:W3CDTF">2026-03-12T12:44:00Z</dcterms:modified>
</cp:coreProperties>
</file>