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61F54" w14:paraId="627894F3" w14:textId="77777777">
      <w:pPr>
        <w:jc w:val="center"/>
        <w:rPr>
          <w:b/>
          <w:bCs/>
        </w:rPr>
      </w:pPr>
      <w:r>
        <w:rPr>
          <w:b/>
          <w:bCs/>
        </w:rPr>
        <w:t xml:space="preserve">Department </w:t>
      </w:r>
      <w:r>
        <w:rPr>
          <w:b/>
          <w:bCs/>
        </w:rPr>
        <w:tab/>
        <w:t>of Transportation</w:t>
      </w:r>
    </w:p>
    <w:p w:rsidR="00E61F54" w14:paraId="46F721F7" w14:textId="77777777">
      <w:pPr>
        <w:jc w:val="center"/>
        <w:rPr>
          <w:b/>
          <w:bCs/>
        </w:rPr>
      </w:pPr>
      <w:r>
        <w:rPr>
          <w:b/>
          <w:bCs/>
        </w:rPr>
        <w:t>Office of the Chief Information Officer</w:t>
      </w:r>
    </w:p>
    <w:p w:rsidR="00E61F54" w14:paraId="11DEEBF5" w14:textId="77777777">
      <w:pPr>
        <w:jc w:val="center"/>
        <w:rPr>
          <w:bCs/>
        </w:rPr>
      </w:pPr>
    </w:p>
    <w:p w:rsidR="00E61F54" w14:paraId="300EC6B5" w14:textId="77777777">
      <w:pPr>
        <w:jc w:val="center"/>
        <w:rPr>
          <w:b/>
          <w:bCs/>
        </w:rPr>
      </w:pPr>
      <w:r>
        <w:rPr>
          <w:b/>
          <w:bCs/>
        </w:rPr>
        <w:t xml:space="preserve">Supporting Statement </w:t>
      </w:r>
    </w:p>
    <w:p w:rsidR="00E61F54" w14:paraId="41E9EA24" w14:textId="77777777">
      <w:pPr>
        <w:widowControl w:val="0"/>
        <w:tabs>
          <w:tab w:val="center" w:pos="4680"/>
        </w:tabs>
        <w:jc w:val="center"/>
        <w:rPr>
          <w:b/>
          <w:color w:val="FF0000"/>
          <w:szCs w:val="24"/>
        </w:rPr>
      </w:pPr>
      <w:r>
        <w:rPr>
          <w:b/>
          <w:bCs/>
        </w:rPr>
        <w:t>“</w:t>
      </w:r>
      <w:r>
        <w:rPr>
          <w:b/>
          <w:szCs w:val="24"/>
        </w:rPr>
        <w:t>Annual Report for Gas Distribution Operators</w:t>
      </w:r>
      <w:r>
        <w:rPr>
          <w:b/>
          <w:bCs/>
        </w:rPr>
        <w:t>”</w:t>
      </w:r>
    </w:p>
    <w:p w:rsidR="00E61F54" w14:paraId="45C83F7E" w14:textId="77777777">
      <w:pPr>
        <w:jc w:val="center"/>
        <w:rPr>
          <w:b/>
          <w:bCs/>
        </w:rPr>
      </w:pPr>
      <w:r>
        <w:rPr>
          <w:b/>
          <w:bCs/>
        </w:rPr>
        <w:t>OMB Control No. 2137-0629</w:t>
      </w:r>
    </w:p>
    <w:p w:rsidR="00E61F54" w14:paraId="47DFDF8B" w14:textId="69046D6D">
      <w:pPr>
        <w:rPr>
          <w:b/>
          <w:bCs/>
          <w:u w:val="single"/>
        </w:rPr>
      </w:pPr>
      <w:r>
        <w:rPr>
          <w:b/>
          <w:bCs/>
          <w:u w:val="single"/>
        </w:rPr>
        <w:t>INTRODUCTION</w:t>
      </w:r>
    </w:p>
    <w:p w:rsidR="00E61F54" w14:paraId="728FAB57" w14:textId="77777777"/>
    <w:p w:rsidR="00E61F54" w14:paraId="0CAD0C43" w14:textId="75670732">
      <w:r>
        <w:t xml:space="preserve">The Pipeline and Hazardous Materials Safety Administration (PHMSA) requests approval from the Office of Management and Budget (OMB) </w:t>
      </w:r>
      <w:r w:rsidR="000564DF">
        <w:t>to renew</w:t>
      </w:r>
      <w:r>
        <w:t xml:space="preserve"> a currently approved collection entitled </w:t>
      </w:r>
      <w:r>
        <w:rPr>
          <w:bCs/>
        </w:rPr>
        <w:t xml:space="preserve">“Annual Report for Gas Distribution Operators” </w:t>
      </w:r>
      <w:r w:rsidR="000564DF">
        <w:rPr>
          <w:bCs/>
        </w:rPr>
        <w:t xml:space="preserve">under </w:t>
      </w:r>
      <w:r>
        <w:rPr>
          <w:bCs/>
        </w:rPr>
        <w:t xml:space="preserve">OMB Control No. 2137-0629.  </w:t>
      </w:r>
      <w:r>
        <w:t xml:space="preserve">The </w:t>
      </w:r>
      <w:r>
        <w:t>current expiration</w:t>
      </w:r>
      <w:r>
        <w:t xml:space="preserve"> date for this information collection is </w:t>
      </w:r>
      <w:r w:rsidR="000564DF">
        <w:t>June 30, 2026</w:t>
      </w:r>
      <w:r>
        <w:t xml:space="preserve">.  </w:t>
      </w:r>
    </w:p>
    <w:p w:rsidR="00E61F54" w14:paraId="65BC304B" w14:textId="77777777"/>
    <w:p w:rsidR="00E61F54" w14:paraId="1CD546DA" w14:textId="0C8C039A">
      <w:pPr>
        <w:rPr>
          <w:szCs w:val="24"/>
        </w:rPr>
      </w:pPr>
    </w:p>
    <w:p w:rsidR="00E61F54" w14:paraId="3D0BE71F" w14:textId="77777777">
      <w:pPr>
        <w:rPr>
          <w:b/>
          <w:szCs w:val="24"/>
        </w:rPr>
      </w:pPr>
      <w:r>
        <w:rPr>
          <w:b/>
          <w:szCs w:val="24"/>
        </w:rPr>
        <w:t>Part A. Justification</w:t>
      </w:r>
    </w:p>
    <w:p w:rsidR="00E61F54" w14:paraId="0CAE6682" w14:textId="77777777">
      <w:pPr>
        <w:jc w:val="center"/>
        <w:rPr>
          <w:b/>
          <w:szCs w:val="24"/>
        </w:rPr>
      </w:pPr>
    </w:p>
    <w:p w:rsidR="00E61F54" w14:paraId="199F3F54" w14:textId="77777777">
      <w:pPr>
        <w:numPr>
          <w:ilvl w:val="0"/>
          <w:numId w:val="16"/>
        </w:numPr>
        <w:tabs>
          <w:tab w:val="num" w:pos="0"/>
          <w:tab w:val="left" w:pos="540"/>
          <w:tab w:val="clear" w:pos="720"/>
        </w:tabs>
        <w:ind w:left="0" w:firstLine="0"/>
        <w:rPr>
          <w:color w:val="FF0000"/>
          <w:szCs w:val="24"/>
        </w:rPr>
      </w:pPr>
      <w:r>
        <w:rPr>
          <w:b/>
          <w:szCs w:val="24"/>
          <w:u w:val="single"/>
        </w:rPr>
        <w:t>Circumstances that make the collection of information necessary</w:t>
      </w:r>
      <w:r>
        <w:rPr>
          <w:b/>
          <w:szCs w:val="24"/>
        </w:rPr>
        <w:t xml:space="preserve">.  </w:t>
      </w:r>
    </w:p>
    <w:p w:rsidR="00E61F54" w14:paraId="0D4D328A" w14:textId="77777777">
      <w:pPr>
        <w:tabs>
          <w:tab w:val="left" w:pos="540"/>
        </w:tabs>
        <w:rPr>
          <w:color w:val="FF0000"/>
          <w:szCs w:val="24"/>
        </w:rPr>
      </w:pPr>
    </w:p>
    <w:p w:rsidR="00E61F54" w14:paraId="65989460" w14:textId="77777777">
      <w:r>
        <w:rPr>
          <w:szCs w:val="24"/>
        </w:rPr>
        <w:t>A</w:t>
      </w:r>
      <w:r>
        <w:t xml:space="preserve">nnual reports inform PHMSA and the public about the extent of gas distribution pipeline systems and leaks from these systems.  The National Transportation Safety Board (NTSB), the U.S. Department of Transportation’s Office of the Inspector General, and the General Accounting Office all urged PHMSA to collect this information.  The information is an essential part of PHMSA’s overall effort to characterize the extent and safety record of natural gas distribution pipeline systems.  </w:t>
      </w:r>
    </w:p>
    <w:p w:rsidR="00E61F54" w14:paraId="29810237" w14:textId="77777777"/>
    <w:p w:rsidR="00E61F54" w14:paraId="553EBB91" w14:textId="77777777">
      <w:pPr>
        <w:rPr>
          <w:szCs w:val="24"/>
        </w:rPr>
      </w:pPr>
      <w:r>
        <w:t xml:space="preserve">The requirements for annual reporting are in 49 CFR Part 191.   The PHMSA delegation of authority is found in 49 CFR 1.97 which allows for PHMSA to exercise the authority vested in the Secretary in under Chapter 601 of title 49, U.S.C.  The specific legislative authority cites for the requirements in 49 CFR Part 191 include49 U.S.C. 60102, 60103, 60104, 60108, 60117, 60118, 60124 and 60139.  </w:t>
      </w:r>
    </w:p>
    <w:p w:rsidR="00E61F54" w14:paraId="62AE7D5E" w14:textId="77777777">
      <w:pPr>
        <w:rPr>
          <w:szCs w:val="24"/>
        </w:rPr>
      </w:pPr>
    </w:p>
    <w:p w:rsidR="00E61F54" w14:paraId="5B0C7B3A" w14:textId="77777777">
      <w:r>
        <w:rPr>
          <w:szCs w:val="24"/>
        </w:rPr>
        <w:t>This collection supports the DOT strategic safety mission by providing metrics that enable PHMSA to be aware of  and mitigate inherent risks in the operation of gas distribution pipelines.</w:t>
      </w:r>
    </w:p>
    <w:p w:rsidR="00E61F54" w14:paraId="08E0587C" w14:textId="77777777">
      <w:pPr>
        <w:widowControl w:val="0"/>
        <w:tabs>
          <w:tab w:val="left" w:pos="540"/>
        </w:tabs>
        <w:ind w:left="1440"/>
        <w:rPr>
          <w:b/>
          <w:szCs w:val="24"/>
        </w:rPr>
      </w:pPr>
    </w:p>
    <w:p w:rsidR="00E61F54" w14:paraId="21AF3C8E" w14:textId="77777777">
      <w:pPr>
        <w:widowControl w:val="0"/>
        <w:tabs>
          <w:tab w:val="left" w:pos="540"/>
        </w:tabs>
        <w:ind w:left="1440"/>
        <w:rPr>
          <w:b/>
          <w:szCs w:val="24"/>
        </w:rPr>
      </w:pPr>
    </w:p>
    <w:p w:rsidR="00E61F54" w14:paraId="5AB2CD34" w14:textId="77777777">
      <w:pPr>
        <w:widowControl w:val="0"/>
        <w:tabs>
          <w:tab w:val="left" w:pos="540"/>
        </w:tabs>
        <w:rPr>
          <w:b/>
          <w:szCs w:val="24"/>
        </w:rPr>
      </w:pPr>
      <w:r>
        <w:rPr>
          <w:b/>
          <w:szCs w:val="24"/>
        </w:rPr>
        <w:t xml:space="preserve">2. </w:t>
      </w:r>
      <w:r>
        <w:rPr>
          <w:b/>
          <w:szCs w:val="24"/>
        </w:rPr>
        <w:tab/>
      </w:r>
      <w:r>
        <w:rPr>
          <w:b/>
          <w:szCs w:val="24"/>
          <w:u w:val="single"/>
        </w:rPr>
        <w:t>How, by whom, and for what purpose the information is to be used</w:t>
      </w:r>
      <w:r>
        <w:rPr>
          <w:b/>
          <w:szCs w:val="24"/>
        </w:rPr>
        <w:t>.</w:t>
      </w:r>
      <w:r>
        <w:rPr>
          <w:szCs w:val="24"/>
        </w:rPr>
        <w:t xml:space="preserve">  </w:t>
      </w:r>
    </w:p>
    <w:p w:rsidR="00E61F54" w14:paraId="187737E2" w14:textId="77777777">
      <w:pPr>
        <w:widowControl w:val="0"/>
        <w:tabs>
          <w:tab w:val="left" w:pos="540"/>
        </w:tabs>
      </w:pPr>
    </w:p>
    <w:p w:rsidR="00E61F54" w14:paraId="30A79379" w14:textId="77777777">
      <w:pPr>
        <w:widowControl w:val="0"/>
        <w:tabs>
          <w:tab w:val="left" w:pos="540"/>
        </w:tabs>
      </w:pPr>
      <w:r>
        <w:t xml:space="preserve">PHMSA uses this information collection to gather annual report data from gas distribution pipeline operators.    The annual report form collects data about the pipe material, size, and age.  The form also collects data on leaks from these systems as well as excavation damages.  PHMSA uses the information to track the extent of gas distribution systems and normalize incident and leak rates.  </w:t>
      </w:r>
    </w:p>
    <w:p w:rsidR="00E61F54" w14:paraId="27D14F8B" w14:textId="77777777">
      <w:pPr>
        <w:widowControl w:val="0"/>
        <w:tabs>
          <w:tab w:val="left" w:pos="540"/>
        </w:tabs>
        <w:rPr>
          <w:b/>
          <w:szCs w:val="24"/>
        </w:rPr>
      </w:pPr>
      <w:r>
        <w:rPr>
          <w:b/>
          <w:szCs w:val="24"/>
        </w:rPr>
        <w:t xml:space="preserve"> </w:t>
      </w:r>
    </w:p>
    <w:p w:rsidR="00E61F54" w14:paraId="23E53F05" w14:textId="77777777">
      <w:pPr>
        <w:widowControl w:val="0"/>
        <w:tabs>
          <w:tab w:val="left" w:pos="540"/>
        </w:tabs>
        <w:rPr>
          <w:b/>
          <w:szCs w:val="24"/>
        </w:rPr>
      </w:pPr>
      <w:r>
        <w:rPr>
          <w:b/>
          <w:szCs w:val="24"/>
        </w:rPr>
        <w:t>3.</w:t>
      </w:r>
      <w:r>
        <w:rPr>
          <w:b/>
          <w:szCs w:val="24"/>
        </w:rPr>
        <w:tab/>
      </w:r>
      <w:r>
        <w:rPr>
          <w:b/>
          <w:szCs w:val="24"/>
          <w:u w:val="single"/>
        </w:rPr>
        <w:t>Extent of automated information collection</w:t>
      </w:r>
      <w:r>
        <w:rPr>
          <w:b/>
          <w:szCs w:val="24"/>
        </w:rPr>
        <w:t xml:space="preserve">.  </w:t>
      </w:r>
    </w:p>
    <w:p w:rsidR="00E61F54" w14:paraId="2CAF6D26" w14:textId="77777777"/>
    <w:p w:rsidR="00E61F54" w14:paraId="60FB0579" w14:textId="77777777">
      <w:r>
        <w:t xml:space="preserve">PHMSA requires operators to submit all required reports electronically with an exception for those operators to whom electronic submissions would pose an undue burden and hardship.  Pipeline operators are encouraged to file the annual reports on-line at www.opsweb.phmsa.dot.gov.  </w:t>
      </w:r>
    </w:p>
    <w:p w:rsidR="00E61F54" w14:paraId="190DD56A" w14:textId="77777777"/>
    <w:p w:rsidR="00E61F54" w14:paraId="42C110E9" w14:textId="77777777"/>
    <w:p w:rsidR="00E61F54" w14:paraId="03B2867A" w14:textId="77777777">
      <w:pPr>
        <w:widowControl w:val="0"/>
        <w:tabs>
          <w:tab w:val="left" w:pos="540"/>
        </w:tabs>
        <w:ind w:left="720"/>
        <w:rPr>
          <w:b/>
          <w:szCs w:val="24"/>
        </w:rPr>
      </w:pPr>
    </w:p>
    <w:p w:rsidR="00E61F54" w14:paraId="72DDA2E6" w14:textId="77777777">
      <w:pPr>
        <w:widowControl w:val="0"/>
        <w:numPr>
          <w:ilvl w:val="0"/>
          <w:numId w:val="11"/>
        </w:numPr>
        <w:tabs>
          <w:tab w:val="num" w:pos="-90"/>
          <w:tab w:val="left" w:pos="0"/>
          <w:tab w:val="left" w:pos="540"/>
          <w:tab w:val="clear" w:pos="720"/>
        </w:tabs>
        <w:ind w:left="-90" w:firstLine="0"/>
        <w:rPr>
          <w:b/>
          <w:szCs w:val="24"/>
          <w:u w:val="single"/>
        </w:rPr>
      </w:pPr>
      <w:r>
        <w:rPr>
          <w:b/>
          <w:szCs w:val="24"/>
          <w:u w:val="single"/>
        </w:rPr>
        <w:t>Describe efforts to identify duplication.</w:t>
      </w:r>
      <w:r>
        <w:rPr>
          <w:b/>
          <w:szCs w:val="24"/>
        </w:rPr>
        <w:t xml:space="preserve">   </w:t>
      </w:r>
    </w:p>
    <w:p w:rsidR="00E61F54" w14:paraId="3BBF54AE" w14:textId="77777777"/>
    <w:p w:rsidR="00E61F54" w14:paraId="36206C41" w14:textId="77777777">
      <w:r>
        <w:t>PHMSA is the only federal agency that collects information related to miles of mains, number of services, leaks, and excavation damages for gas distribution pipeline systems.  No similar information is requested by the government or industry.</w:t>
      </w:r>
    </w:p>
    <w:p w:rsidR="00E61F54" w14:paraId="14E5D9AD" w14:textId="77777777">
      <w:pPr>
        <w:widowControl w:val="0"/>
        <w:tabs>
          <w:tab w:val="left" w:pos="0"/>
          <w:tab w:val="left" w:pos="540"/>
        </w:tabs>
        <w:ind w:left="-90"/>
        <w:rPr>
          <w:b/>
          <w:szCs w:val="24"/>
        </w:rPr>
      </w:pPr>
    </w:p>
    <w:p w:rsidR="00E61F54" w14:paraId="50DC7014" w14:textId="77777777">
      <w:pPr>
        <w:widowControl w:val="0"/>
        <w:tabs>
          <w:tab w:val="left" w:pos="540"/>
        </w:tabs>
        <w:ind w:left="720"/>
        <w:rPr>
          <w:szCs w:val="24"/>
        </w:rPr>
      </w:pPr>
      <w:r>
        <w:rPr>
          <w:szCs w:val="24"/>
        </w:rPr>
        <w:t xml:space="preserve">                      </w:t>
      </w:r>
    </w:p>
    <w:p w:rsidR="00E61F54" w14:paraId="33C48BE1" w14:textId="77777777">
      <w:pPr>
        <w:widowControl w:val="0"/>
        <w:tabs>
          <w:tab w:val="left" w:pos="540"/>
        </w:tabs>
        <w:rPr>
          <w:b/>
          <w:szCs w:val="24"/>
        </w:rPr>
      </w:pPr>
      <w:r>
        <w:rPr>
          <w:b/>
          <w:szCs w:val="24"/>
        </w:rPr>
        <w:t>5.</w:t>
      </w:r>
      <w:r>
        <w:rPr>
          <w:b/>
          <w:szCs w:val="24"/>
        </w:rPr>
        <w:tab/>
      </w:r>
      <w:r>
        <w:rPr>
          <w:b/>
          <w:szCs w:val="24"/>
          <w:u w:val="single"/>
        </w:rPr>
        <w:t>Efforts to minimize the burden on small businesses</w:t>
      </w:r>
    </w:p>
    <w:p w:rsidR="00E61F54" w14:paraId="1636FDB3" w14:textId="77777777">
      <w:pPr>
        <w:widowControl w:val="0"/>
        <w:tabs>
          <w:tab w:val="left" w:pos="540"/>
        </w:tabs>
      </w:pPr>
    </w:p>
    <w:p w:rsidR="00E61F54" w14:paraId="56AF7007" w14:textId="77777777">
      <w:pPr>
        <w:widowControl w:val="0"/>
        <w:tabs>
          <w:tab w:val="left" w:pos="540"/>
        </w:tabs>
        <w:rPr>
          <w:b/>
          <w:szCs w:val="24"/>
        </w:rPr>
      </w:pPr>
      <w:r>
        <w:t>For PHMSA to be able to effectively carry out its legislative mandate and monitor natural gas pipeline safety, it is essential that both large and small operators of pipelines provide annual reports.</w:t>
      </w:r>
    </w:p>
    <w:p w:rsidR="00E61F54" w14:paraId="236998A2" w14:textId="77777777">
      <w:pPr>
        <w:widowControl w:val="0"/>
        <w:tabs>
          <w:tab w:val="left" w:pos="540"/>
        </w:tabs>
        <w:rPr>
          <w:b/>
          <w:szCs w:val="24"/>
        </w:rPr>
      </w:pPr>
    </w:p>
    <w:p w:rsidR="00E61F54" w14:paraId="25113B65" w14:textId="77777777">
      <w:pPr>
        <w:widowControl w:val="0"/>
        <w:tabs>
          <w:tab w:val="left" w:pos="0"/>
          <w:tab w:val="left" w:pos="540"/>
        </w:tabs>
        <w:ind w:left="-90"/>
        <w:rPr>
          <w:szCs w:val="24"/>
        </w:rPr>
      </w:pPr>
    </w:p>
    <w:p w:rsidR="00E61F54" w14:paraId="2120628B" w14:textId="77777777">
      <w:pPr>
        <w:widowControl w:val="0"/>
        <w:tabs>
          <w:tab w:val="left" w:pos="540"/>
        </w:tabs>
        <w:rPr>
          <w:szCs w:val="24"/>
        </w:rPr>
      </w:pPr>
      <w:r>
        <w:rPr>
          <w:b/>
          <w:szCs w:val="24"/>
        </w:rPr>
        <w:t>6.</w:t>
      </w:r>
      <w:r>
        <w:rPr>
          <w:b/>
          <w:szCs w:val="24"/>
        </w:rPr>
        <w:tab/>
      </w:r>
      <w:r>
        <w:rPr>
          <w:b/>
          <w:szCs w:val="24"/>
          <w:u w:val="single"/>
        </w:rPr>
        <w:t>Impact of less frequent collection of information</w:t>
      </w:r>
      <w:r>
        <w:rPr>
          <w:szCs w:val="24"/>
        </w:rPr>
        <w:t xml:space="preserve">.  </w:t>
      </w:r>
    </w:p>
    <w:p w:rsidR="00E61F54" w14:paraId="72712198" w14:textId="77777777">
      <w:pPr>
        <w:widowControl w:val="0"/>
        <w:tabs>
          <w:tab w:val="left" w:pos="540"/>
        </w:tabs>
        <w:rPr>
          <w:b/>
          <w:szCs w:val="24"/>
        </w:rPr>
      </w:pPr>
    </w:p>
    <w:p w:rsidR="00E61F54" w14:paraId="7922BFC6" w14:textId="77777777">
      <w:r>
        <w:t xml:space="preserve">The biennial report to Congress mandated by 49 U.S.C. 60124(b) would not have current information without the annual reports.  Less frequent information collection could compromise the safety and economic viability of the </w:t>
      </w:r>
      <w:smartTag w:uri="urn:schemas-microsoft-com:office:smarttags" w:element="place">
        <w:smartTag w:uri="urn:schemas-microsoft-com:office:smarttags" w:element="country-region">
          <w:r>
            <w:t>U.S.</w:t>
          </w:r>
        </w:smartTag>
      </w:smartTag>
      <w:r>
        <w:t xml:space="preserve"> pipeline system.    </w:t>
      </w:r>
    </w:p>
    <w:p w:rsidR="00E61F54" w14:paraId="4523FD00" w14:textId="77777777">
      <w:pPr>
        <w:widowControl w:val="0"/>
        <w:tabs>
          <w:tab w:val="left" w:pos="540"/>
        </w:tabs>
        <w:rPr>
          <w:szCs w:val="24"/>
        </w:rPr>
      </w:pPr>
    </w:p>
    <w:p w:rsidR="00E61F54" w14:paraId="10ADBC66" w14:textId="77777777">
      <w:pPr>
        <w:widowControl w:val="0"/>
        <w:tabs>
          <w:tab w:val="left" w:pos="540"/>
        </w:tabs>
        <w:rPr>
          <w:b/>
          <w:szCs w:val="24"/>
        </w:rPr>
      </w:pPr>
      <w:r>
        <w:rPr>
          <w:b/>
          <w:szCs w:val="24"/>
        </w:rPr>
        <w:t>7.</w:t>
      </w:r>
      <w:r>
        <w:rPr>
          <w:b/>
          <w:szCs w:val="24"/>
        </w:rPr>
        <w:tab/>
      </w:r>
      <w:r>
        <w:rPr>
          <w:b/>
          <w:szCs w:val="24"/>
          <w:u w:val="single"/>
        </w:rPr>
        <w:t>Special Circumstances</w:t>
      </w:r>
      <w:r>
        <w:rPr>
          <w:b/>
          <w:szCs w:val="24"/>
        </w:rPr>
        <w:t xml:space="preserve">.  </w:t>
      </w:r>
    </w:p>
    <w:p w:rsidR="00E61F54" w14:paraId="74214EE5" w14:textId="77777777">
      <w:pPr>
        <w:widowControl w:val="0"/>
        <w:tabs>
          <w:tab w:val="left" w:pos="540"/>
        </w:tabs>
        <w:rPr>
          <w:szCs w:val="24"/>
        </w:rPr>
      </w:pPr>
    </w:p>
    <w:p w:rsidR="00E61F54" w14:paraId="3CDCB016" w14:textId="77777777">
      <w:r>
        <w:t>There are no special circumstances within this request.</w:t>
      </w:r>
    </w:p>
    <w:p w:rsidR="00E61F54" w14:paraId="795C106F" w14:textId="77777777">
      <w:pPr>
        <w:widowControl w:val="0"/>
        <w:tabs>
          <w:tab w:val="left" w:pos="540"/>
        </w:tabs>
        <w:rPr>
          <w:szCs w:val="24"/>
        </w:rPr>
      </w:pPr>
      <w:r>
        <w:rPr>
          <w:szCs w:val="24"/>
        </w:rPr>
        <w:t xml:space="preserve"> </w:t>
      </w:r>
    </w:p>
    <w:p w:rsidR="00E61F54" w14:paraId="5BEF675C" w14:textId="77777777">
      <w:pPr>
        <w:widowControl w:val="0"/>
        <w:tabs>
          <w:tab w:val="left" w:pos="540"/>
        </w:tabs>
        <w:rPr>
          <w:b/>
          <w:szCs w:val="24"/>
        </w:rPr>
      </w:pPr>
      <w:r>
        <w:rPr>
          <w:b/>
          <w:szCs w:val="24"/>
        </w:rPr>
        <w:t>8.</w:t>
      </w:r>
      <w:r>
        <w:rPr>
          <w:b/>
          <w:szCs w:val="24"/>
        </w:rPr>
        <w:tab/>
      </w:r>
      <w:r>
        <w:rPr>
          <w:b/>
          <w:szCs w:val="24"/>
          <w:u w:val="single"/>
        </w:rPr>
        <w:t>Compliance with 5 CFR 1320.8(d)</w:t>
      </w:r>
      <w:r>
        <w:rPr>
          <w:b/>
          <w:szCs w:val="24"/>
        </w:rPr>
        <w:t>.</w:t>
      </w:r>
      <w:r>
        <w:rPr>
          <w:szCs w:val="24"/>
        </w:rPr>
        <w:t xml:space="preserve">  </w:t>
      </w:r>
    </w:p>
    <w:p w:rsidR="00E61F54" w14:paraId="0A5D2A23" w14:textId="77777777">
      <w:pPr>
        <w:widowControl w:val="0"/>
        <w:tabs>
          <w:tab w:val="left" w:pos="540"/>
        </w:tabs>
        <w:rPr>
          <w:szCs w:val="24"/>
        </w:rPr>
      </w:pPr>
    </w:p>
    <w:p w:rsidR="000564DF" w:rsidRPr="000564DF" w:rsidP="000564DF" w14:paraId="2700B6B4" w14:textId="77777777">
      <w:pPr>
        <w:jc w:val="both"/>
      </w:pPr>
      <w:bookmarkStart w:id="0" w:name="_Hlk221119958"/>
      <w:r w:rsidRPr="000564DF">
        <w:t>PHMSA published a notice in the Federal Register [90 FR 31748] on July 15, 2025. PHMSA did not receive any comments pertaining to this information collection request.</w:t>
      </w:r>
    </w:p>
    <w:bookmarkEnd w:id="0"/>
    <w:p w:rsidR="00FF5EA0" w:rsidRPr="00FF5EA0" w:rsidP="00FF5EA0" w14:paraId="7D93AFB5" w14:textId="77777777">
      <w:pPr>
        <w:rPr>
          <w:szCs w:val="24"/>
        </w:rPr>
      </w:pPr>
    </w:p>
    <w:p w:rsidR="00E61F54" w14:paraId="4886B730" w14:textId="77777777">
      <w:pPr>
        <w:widowControl w:val="0"/>
        <w:numPr>
          <w:ilvl w:val="0"/>
          <w:numId w:val="9"/>
        </w:numPr>
        <w:tabs>
          <w:tab w:val="num" w:pos="90"/>
          <w:tab w:val="left" w:pos="540"/>
          <w:tab w:val="clear" w:pos="720"/>
        </w:tabs>
        <w:ind w:left="0" w:firstLine="0"/>
        <w:rPr>
          <w:b/>
          <w:szCs w:val="24"/>
        </w:rPr>
      </w:pPr>
      <w:r>
        <w:rPr>
          <w:b/>
          <w:szCs w:val="24"/>
          <w:u w:val="single"/>
        </w:rPr>
        <w:t>Payment or gifts to respondents.</w:t>
      </w:r>
      <w:r>
        <w:rPr>
          <w:b/>
          <w:szCs w:val="24"/>
        </w:rPr>
        <w:t xml:space="preserve">   </w:t>
      </w:r>
    </w:p>
    <w:p w:rsidR="008C3DB6" w14:paraId="3B341599" w14:textId="77777777">
      <w:pPr>
        <w:jc w:val="both"/>
        <w:rPr>
          <w:szCs w:val="24"/>
        </w:rPr>
      </w:pPr>
    </w:p>
    <w:p w:rsidR="00E61F54" w14:paraId="5A2FEB7B" w14:textId="70BA6EA8">
      <w:pPr>
        <w:jc w:val="both"/>
      </w:pPr>
      <w:r>
        <w:t>There is no payment or gift provided to respondents associated with this collection of information.</w:t>
      </w:r>
    </w:p>
    <w:p w:rsidR="00E61F54" w14:paraId="7B69C065" w14:textId="77777777">
      <w:pPr>
        <w:widowControl w:val="0"/>
        <w:tabs>
          <w:tab w:val="left" w:pos="540"/>
        </w:tabs>
        <w:rPr>
          <w:szCs w:val="24"/>
        </w:rPr>
      </w:pPr>
    </w:p>
    <w:p w:rsidR="00E61F54" w14:paraId="2306E66B" w14:textId="77777777">
      <w:pPr>
        <w:widowControl w:val="0"/>
        <w:tabs>
          <w:tab w:val="left" w:pos="540"/>
        </w:tabs>
        <w:rPr>
          <w:b/>
          <w:szCs w:val="24"/>
        </w:rPr>
      </w:pPr>
      <w:r>
        <w:rPr>
          <w:b/>
          <w:szCs w:val="24"/>
        </w:rPr>
        <w:t>10.</w:t>
      </w:r>
      <w:r>
        <w:rPr>
          <w:b/>
          <w:szCs w:val="24"/>
        </w:rPr>
        <w:tab/>
      </w:r>
      <w:r>
        <w:rPr>
          <w:b/>
          <w:szCs w:val="24"/>
          <w:u w:val="single"/>
        </w:rPr>
        <w:t>Assurance of confidentiality</w:t>
      </w:r>
      <w:r>
        <w:rPr>
          <w:b/>
          <w:szCs w:val="24"/>
        </w:rPr>
        <w:t xml:space="preserve">.  </w:t>
      </w:r>
    </w:p>
    <w:p w:rsidR="00E61F54" w14:paraId="5AC256EF" w14:textId="77777777">
      <w:pPr>
        <w:widowControl w:val="0"/>
        <w:tabs>
          <w:tab w:val="left" w:pos="540"/>
        </w:tabs>
        <w:rPr>
          <w:b/>
          <w:szCs w:val="24"/>
        </w:rPr>
      </w:pPr>
    </w:p>
    <w:p w:rsidR="00E61F54" w14:paraId="6C8DF446" w14:textId="77777777">
      <w:pPr>
        <w:widowControl w:val="0"/>
        <w:tabs>
          <w:tab w:val="left" w:pos="540"/>
        </w:tabs>
        <w:rPr>
          <w:bCs/>
        </w:rPr>
      </w:pPr>
      <w:r>
        <w:rPr>
          <w:bCs/>
        </w:rPr>
        <w:t>PHMSA does not have the authority to assure confidentiality.</w:t>
      </w:r>
    </w:p>
    <w:p w:rsidR="00E61F54" w14:paraId="1CE11F63" w14:textId="77777777">
      <w:pPr>
        <w:widowControl w:val="0"/>
        <w:tabs>
          <w:tab w:val="left" w:pos="540"/>
        </w:tabs>
        <w:rPr>
          <w:b/>
          <w:szCs w:val="24"/>
        </w:rPr>
      </w:pPr>
    </w:p>
    <w:p w:rsidR="00E61F54" w14:paraId="037DD97B" w14:textId="77777777">
      <w:pPr>
        <w:widowControl w:val="0"/>
        <w:tabs>
          <w:tab w:val="left" w:pos="540"/>
        </w:tabs>
        <w:rPr>
          <w:b/>
          <w:szCs w:val="24"/>
        </w:rPr>
      </w:pPr>
      <w:r>
        <w:rPr>
          <w:b/>
          <w:szCs w:val="24"/>
        </w:rPr>
        <w:t>11.</w:t>
      </w:r>
      <w:r>
        <w:rPr>
          <w:b/>
          <w:szCs w:val="24"/>
        </w:rPr>
        <w:tab/>
      </w:r>
      <w:r>
        <w:rPr>
          <w:b/>
          <w:szCs w:val="24"/>
          <w:u w:val="single"/>
        </w:rPr>
        <w:t>Justification for collection of sensitive information</w:t>
      </w:r>
      <w:r>
        <w:rPr>
          <w:b/>
          <w:szCs w:val="24"/>
        </w:rPr>
        <w:t xml:space="preserve">.  </w:t>
      </w:r>
    </w:p>
    <w:p w:rsidR="00E61F54" w14:paraId="0E0D0639" w14:textId="77777777">
      <w:pPr>
        <w:widowControl w:val="0"/>
        <w:tabs>
          <w:tab w:val="left" w:pos="540"/>
        </w:tabs>
        <w:rPr>
          <w:b/>
          <w:szCs w:val="24"/>
        </w:rPr>
      </w:pPr>
    </w:p>
    <w:p w:rsidR="00E61F54" w14:paraId="24B47793" w14:textId="77777777">
      <w:pPr>
        <w:widowControl w:val="0"/>
        <w:tabs>
          <w:tab w:val="left" w:pos="540"/>
        </w:tabs>
      </w:pPr>
      <w:r>
        <w:t>This information collection does not involve questions of a sensitive nature.</w:t>
      </w:r>
    </w:p>
    <w:p w:rsidR="00E61F54" w14:paraId="3A5C0517" w14:textId="77777777">
      <w:pPr>
        <w:widowControl w:val="0"/>
        <w:tabs>
          <w:tab w:val="left" w:pos="540"/>
        </w:tabs>
        <w:rPr>
          <w:b/>
          <w:szCs w:val="24"/>
        </w:rPr>
      </w:pPr>
    </w:p>
    <w:p w:rsidR="00E61F54" w14:paraId="773C1027" w14:textId="77777777">
      <w:pPr>
        <w:widowControl w:val="0"/>
        <w:tabs>
          <w:tab w:val="left" w:pos="540"/>
        </w:tabs>
        <w:rPr>
          <w:b/>
          <w:szCs w:val="24"/>
        </w:rPr>
      </w:pPr>
      <w:r>
        <w:rPr>
          <w:b/>
          <w:szCs w:val="24"/>
        </w:rPr>
        <w:t>12.</w:t>
      </w:r>
      <w:r>
        <w:rPr>
          <w:b/>
          <w:szCs w:val="24"/>
        </w:rPr>
        <w:tab/>
      </w:r>
      <w:r>
        <w:rPr>
          <w:b/>
          <w:szCs w:val="24"/>
          <w:u w:val="single"/>
        </w:rPr>
        <w:t xml:space="preserve">Estimate of burden hours for information requested. </w:t>
      </w:r>
      <w:r>
        <w:rPr>
          <w:b/>
          <w:szCs w:val="24"/>
        </w:rPr>
        <w:t xml:space="preserve"> </w:t>
      </w:r>
    </w:p>
    <w:p w:rsidR="00E61F54" w14:paraId="5644AF56" w14:textId="77777777">
      <w:pPr>
        <w:widowControl w:val="0"/>
        <w:tabs>
          <w:tab w:val="left" w:pos="540"/>
        </w:tabs>
        <w:rPr>
          <w:szCs w:val="24"/>
        </w:rPr>
      </w:pPr>
    </w:p>
    <w:p w:rsidR="000564DF" w:rsidP="00812553" w14:paraId="16EBECF4" w14:textId="6D64A66C">
      <w:pPr>
        <w:widowControl w:val="0"/>
        <w:tabs>
          <w:tab w:val="left" w:pos="540"/>
        </w:tabs>
        <w:jc w:val="center"/>
        <w:rPr>
          <w:b/>
          <w:szCs w:val="24"/>
        </w:rPr>
      </w:pPr>
      <w:r>
        <w:rPr>
          <w:b/>
          <w:szCs w:val="24"/>
        </w:rPr>
        <w:t>Estimated Burden Calculation</w:t>
      </w:r>
    </w:p>
    <w:p w:rsidR="000564DF" w:rsidP="00812553" w14:paraId="56A4DF17" w14:textId="77777777">
      <w:pPr>
        <w:widowControl w:val="0"/>
        <w:tabs>
          <w:tab w:val="left" w:pos="540"/>
        </w:tabs>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1"/>
        <w:gridCol w:w="3118"/>
        <w:gridCol w:w="3111"/>
      </w:tblGrid>
      <w:tr w14:paraId="34A3BD77" w14:textId="77777777" w:rsidTr="004A2B8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shd w:val="clear" w:color="auto" w:fill="auto"/>
          </w:tcPr>
          <w:p w:rsidR="000564DF" w:rsidP="004A2B8E" w14:paraId="2E22681F" w14:textId="77777777">
            <w:pPr>
              <w:widowControl w:val="0"/>
              <w:tabs>
                <w:tab w:val="left" w:pos="540"/>
              </w:tabs>
              <w:jc w:val="center"/>
              <w:rPr>
                <w:b/>
                <w:szCs w:val="24"/>
              </w:rPr>
            </w:pPr>
            <w:r>
              <w:rPr>
                <w:b/>
                <w:szCs w:val="24"/>
              </w:rPr>
              <w:t>Number of Operators</w:t>
            </w:r>
          </w:p>
        </w:tc>
        <w:tc>
          <w:tcPr>
            <w:tcW w:w="3192" w:type="dxa"/>
            <w:shd w:val="clear" w:color="auto" w:fill="auto"/>
          </w:tcPr>
          <w:p w:rsidR="000564DF" w:rsidP="004A2B8E" w14:paraId="790138A3" w14:textId="77777777">
            <w:pPr>
              <w:widowControl w:val="0"/>
              <w:tabs>
                <w:tab w:val="left" w:pos="540"/>
              </w:tabs>
              <w:jc w:val="center"/>
              <w:rPr>
                <w:b/>
                <w:szCs w:val="24"/>
              </w:rPr>
            </w:pPr>
            <w:r>
              <w:rPr>
                <w:b/>
                <w:szCs w:val="24"/>
              </w:rPr>
              <w:t>Hours to Complete</w:t>
            </w:r>
          </w:p>
        </w:tc>
        <w:tc>
          <w:tcPr>
            <w:tcW w:w="3192" w:type="dxa"/>
            <w:shd w:val="clear" w:color="auto" w:fill="auto"/>
          </w:tcPr>
          <w:p w:rsidR="000564DF" w:rsidP="004A2B8E" w14:paraId="3EE6BB14" w14:textId="77777777">
            <w:pPr>
              <w:widowControl w:val="0"/>
              <w:tabs>
                <w:tab w:val="left" w:pos="540"/>
              </w:tabs>
              <w:jc w:val="center"/>
              <w:rPr>
                <w:b/>
                <w:szCs w:val="24"/>
              </w:rPr>
            </w:pPr>
            <w:r>
              <w:rPr>
                <w:b/>
                <w:szCs w:val="24"/>
              </w:rPr>
              <w:t>Total Burden</w:t>
            </w:r>
          </w:p>
        </w:tc>
      </w:tr>
      <w:tr w14:paraId="6B361357" w14:textId="77777777" w:rsidTr="004A2B8E">
        <w:tblPrEx>
          <w:tblW w:w="0" w:type="auto"/>
          <w:tblLook w:val="04A0"/>
        </w:tblPrEx>
        <w:tc>
          <w:tcPr>
            <w:tcW w:w="3192" w:type="dxa"/>
            <w:shd w:val="clear" w:color="auto" w:fill="auto"/>
          </w:tcPr>
          <w:p w:rsidR="000564DF" w:rsidP="004A2B8E" w14:paraId="08A857D9" w14:textId="77777777">
            <w:pPr>
              <w:widowControl w:val="0"/>
              <w:tabs>
                <w:tab w:val="left" w:pos="540"/>
              </w:tabs>
              <w:jc w:val="center"/>
              <w:rPr>
                <w:b/>
                <w:szCs w:val="24"/>
              </w:rPr>
            </w:pPr>
            <w:r>
              <w:rPr>
                <w:b/>
                <w:szCs w:val="24"/>
              </w:rPr>
              <w:t>1,446</w:t>
            </w:r>
          </w:p>
        </w:tc>
        <w:tc>
          <w:tcPr>
            <w:tcW w:w="3192" w:type="dxa"/>
            <w:shd w:val="clear" w:color="auto" w:fill="auto"/>
          </w:tcPr>
          <w:p w:rsidR="000564DF" w:rsidP="004A2B8E" w14:paraId="3D3EDC99" w14:textId="77777777">
            <w:pPr>
              <w:widowControl w:val="0"/>
              <w:tabs>
                <w:tab w:val="left" w:pos="540"/>
              </w:tabs>
              <w:jc w:val="center"/>
              <w:rPr>
                <w:b/>
                <w:szCs w:val="24"/>
              </w:rPr>
            </w:pPr>
            <w:r>
              <w:rPr>
                <w:b/>
                <w:szCs w:val="24"/>
              </w:rPr>
              <w:t>20</w:t>
            </w:r>
          </w:p>
        </w:tc>
        <w:tc>
          <w:tcPr>
            <w:tcW w:w="3192" w:type="dxa"/>
            <w:shd w:val="clear" w:color="auto" w:fill="auto"/>
          </w:tcPr>
          <w:p w:rsidR="000564DF" w:rsidP="004A2B8E" w14:paraId="2FA1BF56" w14:textId="77777777">
            <w:pPr>
              <w:widowControl w:val="0"/>
              <w:tabs>
                <w:tab w:val="left" w:pos="540"/>
              </w:tabs>
              <w:jc w:val="center"/>
              <w:rPr>
                <w:b/>
                <w:szCs w:val="24"/>
              </w:rPr>
            </w:pPr>
            <w:r>
              <w:rPr>
                <w:b/>
                <w:szCs w:val="24"/>
              </w:rPr>
              <w:t>28,920</w:t>
            </w:r>
          </w:p>
        </w:tc>
      </w:tr>
    </w:tbl>
    <w:p w:rsidR="00E61F54" w14:paraId="010F6260" w14:textId="77777777">
      <w:pPr>
        <w:widowControl w:val="0"/>
        <w:tabs>
          <w:tab w:val="left" w:pos="540"/>
        </w:tabs>
        <w:rPr>
          <w:b/>
          <w:szCs w:val="24"/>
        </w:rPr>
      </w:pPr>
    </w:p>
    <w:p w:rsidR="00E61F54" w14:paraId="463DB393" w14:textId="77777777">
      <w:pPr>
        <w:widowControl w:val="0"/>
        <w:tabs>
          <w:tab w:val="left" w:pos="270"/>
          <w:tab w:val="left" w:pos="540"/>
        </w:tabs>
        <w:rPr>
          <w:b/>
          <w:szCs w:val="24"/>
        </w:rPr>
      </w:pPr>
    </w:p>
    <w:p w:rsidR="00371C11" w:rsidRPr="00294EFB" w:rsidP="00E46EFC" w14:paraId="6BB5527E" w14:textId="3EA4EEF4">
      <w:pPr>
        <w:shd w:val="clear" w:color="auto" w:fill="FFFFFF"/>
        <w:spacing w:after="150"/>
        <w:ind w:firstLine="720"/>
        <w:rPr>
          <w:rFonts w:eastAsia="Arial Unicode MS"/>
          <w:szCs w:val="24"/>
        </w:rPr>
      </w:pPr>
      <w:r>
        <w:rPr>
          <w:szCs w:val="24"/>
        </w:rPr>
        <w:t>There are approximately 1,446 gas distribution operators.  These operators are required to submit annual reports for their pipeline systems to PHMSA on a yearly basis</w:t>
      </w:r>
      <w:r w:rsidR="000564DF">
        <w:rPr>
          <w:szCs w:val="24"/>
        </w:rPr>
        <w:t>. PHMSA estimates it will take operators approximately 20 hours to complete each annual report submission for a t</w:t>
      </w:r>
      <w:r>
        <w:rPr>
          <w:rFonts w:eastAsia="Arial Unicode MS"/>
          <w:szCs w:val="24"/>
        </w:rPr>
        <w:t>otal annual burden of 28,920 hours [20 hours x 1,446 reports].</w:t>
      </w:r>
    </w:p>
    <w:p w:rsidR="00E61F54" w14:paraId="62704A4C" w14:textId="77777777">
      <w:pPr>
        <w:widowControl w:val="0"/>
        <w:tabs>
          <w:tab w:val="left" w:pos="270"/>
          <w:tab w:val="left" w:pos="540"/>
        </w:tabs>
        <w:rPr>
          <w:szCs w:val="24"/>
        </w:rPr>
      </w:pPr>
    </w:p>
    <w:p w:rsidR="00E61F54" w14:paraId="24928576" w14:textId="77777777">
      <w:pPr>
        <w:widowControl w:val="0"/>
        <w:tabs>
          <w:tab w:val="left" w:pos="540"/>
        </w:tabs>
        <w:rPr>
          <w:b/>
          <w:szCs w:val="24"/>
        </w:rPr>
      </w:pPr>
      <w:r>
        <w:rPr>
          <w:b/>
          <w:szCs w:val="24"/>
        </w:rPr>
        <w:t>13.</w:t>
      </w:r>
      <w:r>
        <w:rPr>
          <w:b/>
          <w:szCs w:val="24"/>
        </w:rPr>
        <w:tab/>
      </w:r>
      <w:r>
        <w:rPr>
          <w:b/>
          <w:szCs w:val="24"/>
          <w:u w:val="single"/>
        </w:rPr>
        <w:t>Estimate of the total annual costs burden</w:t>
      </w:r>
      <w:r>
        <w:rPr>
          <w:b/>
          <w:szCs w:val="24"/>
        </w:rPr>
        <w:t xml:space="preserve">.  </w:t>
      </w:r>
    </w:p>
    <w:p w:rsidR="00E61F54" w14:paraId="2416CF5E" w14:textId="77777777">
      <w:pPr>
        <w:widowControl w:val="0"/>
        <w:tabs>
          <w:tab w:val="left" w:pos="540"/>
        </w:tabs>
        <w:rPr>
          <w:b/>
          <w:szCs w:val="24"/>
        </w:rPr>
      </w:pPr>
    </w:p>
    <w:p w:rsidR="00E61F54" w14:paraId="144CA56A" w14:textId="77777777">
      <w:pPr>
        <w:widowControl w:val="0"/>
        <w:tabs>
          <w:tab w:val="left" w:pos="540"/>
        </w:tabs>
      </w:pPr>
    </w:p>
    <w:p w:rsidR="00E61F54" w14:paraId="5B729DFD" w14:textId="4425BD9B">
      <w:pPr>
        <w:widowControl w:val="0"/>
        <w:tabs>
          <w:tab w:val="left" w:pos="540"/>
        </w:tabs>
      </w:pPr>
      <w:r>
        <w:t xml:space="preserve">PHMSA </w:t>
      </w:r>
      <w:r w:rsidR="009C606C">
        <w:t xml:space="preserve">expects the annual reports to be completed by a senior engineer with </w:t>
      </w:r>
      <w:r>
        <w:t>an average loaded wage rate of $74.05 per hour. This figure was calculated from the wage rates for the various occupation codes in North American Industry Classification System (NAICS) 486200 – Pipeline Transportation of Natural Gas.</w:t>
      </w:r>
    </w:p>
    <w:p w:rsidR="00E61F54" w14:paraId="5723D284" w14:textId="77777777"/>
    <w:p w:rsidR="00E61F54" w14:paraId="14500977" w14:textId="7702543F">
      <w:r>
        <w:t>The total annual estimated costs for this information collection with all of the incorporated proposals would be $</w:t>
      </w:r>
      <w:r w:rsidR="00E46EFC">
        <w:t>2,141,526</w:t>
      </w:r>
      <w:r>
        <w:t xml:space="preserve"> ($74.05 * </w:t>
      </w:r>
      <w:r w:rsidR="00E46EFC">
        <w:t>28,920</w:t>
      </w:r>
      <w:r>
        <w:t xml:space="preserve"> hours).</w:t>
      </w:r>
    </w:p>
    <w:p w:rsidR="00E61F54" w14:paraId="5D87E934" w14:textId="77777777">
      <w:pPr>
        <w:rPr>
          <w:b/>
          <w:szCs w:val="24"/>
        </w:rPr>
      </w:pPr>
    </w:p>
    <w:p w:rsidR="00E61F54" w14:paraId="420A5AF7" w14:textId="77777777">
      <w:pPr>
        <w:widowControl w:val="0"/>
        <w:tabs>
          <w:tab w:val="left" w:pos="540"/>
        </w:tabs>
        <w:rPr>
          <w:b/>
          <w:szCs w:val="24"/>
        </w:rPr>
      </w:pPr>
      <w:r>
        <w:rPr>
          <w:b/>
          <w:szCs w:val="24"/>
        </w:rPr>
        <w:t>14.</w:t>
      </w:r>
      <w:r>
        <w:rPr>
          <w:b/>
          <w:szCs w:val="24"/>
        </w:rPr>
        <w:tab/>
      </w:r>
      <w:r>
        <w:rPr>
          <w:b/>
          <w:szCs w:val="24"/>
          <w:u w:val="single"/>
        </w:rPr>
        <w:t>Estimates of costs to the Federal Government</w:t>
      </w:r>
      <w:r>
        <w:rPr>
          <w:b/>
          <w:szCs w:val="24"/>
        </w:rPr>
        <w:t xml:space="preserve">.  </w:t>
      </w:r>
    </w:p>
    <w:p w:rsidR="00E61F54" w14:paraId="22507EDD" w14:textId="77777777">
      <w:pPr>
        <w:widowControl w:val="0"/>
        <w:tabs>
          <w:tab w:val="left" w:pos="540"/>
        </w:tabs>
        <w:rPr>
          <w:b/>
          <w:szCs w:val="24"/>
        </w:rPr>
      </w:pPr>
    </w:p>
    <w:p w:rsidR="00E61F54" w14:paraId="051FA28E" w14:textId="77777777">
      <w:pPr>
        <w:widowControl w:val="0"/>
        <w:tabs>
          <w:tab w:val="left" w:pos="540"/>
        </w:tabs>
      </w:pPr>
      <w:r>
        <w:t xml:space="preserve">The estimated cost to the Federal Government for the development, maintenance, and operation of the the Gas Distribution Annual Report data collection is approximately </w:t>
      </w:r>
      <w:r w:rsidRPr="008A6895">
        <w:t>$76,700.00</w:t>
      </w:r>
      <w:r>
        <w:t xml:space="preserve">.  This estimate includes the costs of acquiring contractor time (3 man months total using a blended rate for developers, database admin, and analysts for requirements and testing.  This also includes the  annual Operations &amp;Maintenance costs which are estimated to be $15,000 for contractor support to address any issues, correct operator reports, if needed, and to patch/upgrade software and hardware as required.  There is an additional $1, 700 for Federal FTE to manage the operations and maintenance of the application, which includes user support.  </w:t>
      </w:r>
    </w:p>
    <w:p w:rsidR="00E61F54" w14:paraId="29ABD2E4" w14:textId="77777777">
      <w:pPr>
        <w:widowControl w:val="0"/>
        <w:tabs>
          <w:tab w:val="left" w:pos="540"/>
        </w:tabs>
        <w:rPr>
          <w:color w:val="FF0000"/>
          <w:szCs w:val="24"/>
        </w:rPr>
      </w:pPr>
    </w:p>
    <w:p w:rsidR="00E61F54" w14:paraId="3FC63C3C" w14:textId="77777777">
      <w:pPr>
        <w:widowControl w:val="0"/>
        <w:numPr>
          <w:ilvl w:val="0"/>
          <w:numId w:val="10"/>
        </w:numPr>
        <w:tabs>
          <w:tab w:val="num" w:pos="0"/>
          <w:tab w:val="left" w:pos="540"/>
          <w:tab w:val="clear" w:pos="720"/>
        </w:tabs>
        <w:ind w:left="0" w:firstLine="0"/>
        <w:rPr>
          <w:b/>
          <w:szCs w:val="24"/>
        </w:rPr>
      </w:pPr>
      <w:r>
        <w:rPr>
          <w:b/>
          <w:szCs w:val="24"/>
          <w:u w:val="single"/>
        </w:rPr>
        <w:t>Explanation of the program change or adjustments</w:t>
      </w:r>
      <w:r>
        <w:rPr>
          <w:b/>
          <w:szCs w:val="24"/>
        </w:rPr>
        <w:t xml:space="preserve">.  </w:t>
      </w:r>
    </w:p>
    <w:p w:rsidR="00E61F54" w14:paraId="3301A79C" w14:textId="20E8B728">
      <w:pPr>
        <w:autoSpaceDE w:val="0"/>
        <w:autoSpaceDN w:val="0"/>
        <w:rPr>
          <w:szCs w:val="24"/>
        </w:rPr>
      </w:pPr>
    </w:p>
    <w:p w:rsidR="000564DF" w:rsidRPr="000564DF" w:rsidP="000564DF" w14:paraId="25B157CF" w14:textId="77777777">
      <w:pPr>
        <w:spacing w:after="200"/>
        <w:contextualSpacing/>
      </w:pPr>
      <w:r w:rsidRPr="000564DF">
        <w:t xml:space="preserve">There are no changes to this information collection </w:t>
      </w:r>
      <w:r w:rsidRPr="000564DF">
        <w:t>at this time</w:t>
      </w:r>
      <w:r w:rsidRPr="000564DF">
        <w:t>.</w:t>
      </w:r>
    </w:p>
    <w:p w:rsidR="00D83FFC" w14:paraId="1AC74762" w14:textId="77777777">
      <w:pPr>
        <w:autoSpaceDE w:val="0"/>
        <w:autoSpaceDN w:val="0"/>
        <w:rPr>
          <w:szCs w:val="24"/>
        </w:rPr>
      </w:pPr>
    </w:p>
    <w:p w:rsidR="00E61F54" w14:paraId="4F326088" w14:textId="77777777">
      <w:pPr>
        <w:widowControl w:val="0"/>
        <w:tabs>
          <w:tab w:val="left" w:pos="540"/>
        </w:tabs>
        <w:rPr>
          <w:b/>
          <w:szCs w:val="24"/>
        </w:rPr>
      </w:pPr>
      <w:r>
        <w:rPr>
          <w:b/>
          <w:szCs w:val="24"/>
        </w:rPr>
        <w:t>16.</w:t>
      </w:r>
      <w:r>
        <w:rPr>
          <w:b/>
          <w:szCs w:val="24"/>
        </w:rPr>
        <w:tab/>
      </w:r>
      <w:r>
        <w:rPr>
          <w:b/>
          <w:szCs w:val="24"/>
          <w:u w:val="single"/>
        </w:rPr>
        <w:t>Publication of results of data collection</w:t>
      </w:r>
      <w:r>
        <w:rPr>
          <w:b/>
          <w:szCs w:val="24"/>
        </w:rPr>
        <w:t xml:space="preserve">.  </w:t>
      </w:r>
    </w:p>
    <w:p w:rsidR="00E61F54" w14:paraId="5AAE1254" w14:textId="77777777">
      <w:pPr>
        <w:widowControl w:val="0"/>
        <w:tabs>
          <w:tab w:val="left" w:pos="540"/>
        </w:tabs>
        <w:ind w:left="720"/>
        <w:rPr>
          <w:b/>
          <w:szCs w:val="24"/>
        </w:rPr>
      </w:pPr>
    </w:p>
    <w:p w:rsidR="00E61F54" w14:paraId="630200F2" w14:textId="77777777">
      <w:pPr>
        <w:rPr>
          <w:i/>
        </w:rPr>
      </w:pPr>
      <w:r>
        <w:t>PHMSA summarizes the annual report data on its public website and makes the entire data set available for download.</w:t>
      </w:r>
    </w:p>
    <w:p w:rsidR="00E61F54" w14:paraId="5EEB3B59" w14:textId="77777777">
      <w:pPr>
        <w:widowControl w:val="0"/>
        <w:tabs>
          <w:tab w:val="left" w:pos="540"/>
        </w:tabs>
        <w:rPr>
          <w:szCs w:val="24"/>
        </w:rPr>
      </w:pPr>
    </w:p>
    <w:p w:rsidR="00E61F54" w14:paraId="0150B3B5" w14:textId="77777777">
      <w:pPr>
        <w:widowControl w:val="0"/>
        <w:tabs>
          <w:tab w:val="left" w:pos="540"/>
        </w:tabs>
        <w:rPr>
          <w:b/>
          <w:szCs w:val="24"/>
        </w:rPr>
      </w:pPr>
      <w:r>
        <w:rPr>
          <w:b/>
          <w:szCs w:val="24"/>
        </w:rPr>
        <w:t>17.</w:t>
      </w:r>
      <w:r>
        <w:rPr>
          <w:b/>
          <w:szCs w:val="24"/>
        </w:rPr>
        <w:tab/>
      </w:r>
      <w:r>
        <w:rPr>
          <w:b/>
          <w:szCs w:val="24"/>
          <w:u w:val="single"/>
        </w:rPr>
        <w:t>Approval for not displaying the expiration date of OMB approval</w:t>
      </w:r>
      <w:r>
        <w:rPr>
          <w:b/>
          <w:szCs w:val="24"/>
        </w:rPr>
        <w:t xml:space="preserve">.  </w:t>
      </w:r>
    </w:p>
    <w:p w:rsidR="00E61F54" w14:paraId="100AC939" w14:textId="77777777">
      <w:pPr>
        <w:widowControl w:val="0"/>
        <w:tabs>
          <w:tab w:val="left" w:pos="540"/>
        </w:tabs>
        <w:rPr>
          <w:b/>
          <w:szCs w:val="24"/>
        </w:rPr>
      </w:pPr>
    </w:p>
    <w:p w:rsidR="00E61F54" w14:paraId="08D65878" w14:textId="77777777">
      <w:r>
        <w:t>PHMSA will display the expiration date.</w:t>
      </w:r>
    </w:p>
    <w:p w:rsidR="00E61F54" w14:paraId="220C9A85" w14:textId="77777777">
      <w:pPr>
        <w:widowControl w:val="0"/>
        <w:tabs>
          <w:tab w:val="left" w:pos="540"/>
        </w:tabs>
        <w:rPr>
          <w:b/>
          <w:szCs w:val="24"/>
        </w:rPr>
      </w:pPr>
    </w:p>
    <w:p w:rsidR="00E61F54" w14:paraId="5890B4DF" w14:textId="77777777">
      <w:pPr>
        <w:widowControl w:val="0"/>
        <w:numPr>
          <w:ilvl w:val="0"/>
          <w:numId w:val="18"/>
        </w:numPr>
        <w:tabs>
          <w:tab w:val="num" w:pos="0"/>
          <w:tab w:val="left" w:pos="540"/>
          <w:tab w:val="clear" w:pos="900"/>
        </w:tabs>
        <w:ind w:left="0" w:firstLine="0"/>
        <w:rPr>
          <w:bCs/>
        </w:rPr>
      </w:pPr>
      <w:r>
        <w:rPr>
          <w:b/>
          <w:szCs w:val="24"/>
          <w:u w:val="single"/>
        </w:rPr>
        <w:t>Exceptions to the certification statement</w:t>
      </w:r>
      <w:r>
        <w:rPr>
          <w:b/>
          <w:szCs w:val="24"/>
        </w:rPr>
        <w:t xml:space="preserve">.  </w:t>
      </w:r>
    </w:p>
    <w:p w:rsidR="00E61F54" w14:paraId="4277BB52" w14:textId="77777777">
      <w:pPr>
        <w:widowControl w:val="0"/>
        <w:tabs>
          <w:tab w:val="left" w:pos="540"/>
        </w:tabs>
        <w:rPr>
          <w:b/>
          <w:szCs w:val="24"/>
          <w:u w:val="single"/>
        </w:rPr>
      </w:pPr>
    </w:p>
    <w:p w:rsidR="00E61F54" w14:paraId="065A14F4" w14:textId="77777777">
      <w:pPr>
        <w:widowControl w:val="0"/>
        <w:tabs>
          <w:tab w:val="left" w:pos="540"/>
        </w:tabs>
        <w:rPr>
          <w:bCs/>
        </w:rPr>
      </w:pPr>
      <w:r>
        <w:rPr>
          <w:bCs/>
        </w:rPr>
        <w:t>There are no exceptions to the certification statement.</w:t>
      </w:r>
      <w:r>
        <w:rPr>
          <w:b/>
          <w:szCs w:val="24"/>
        </w:rPr>
        <w:t xml:space="preserve"> </w:t>
      </w:r>
    </w:p>
    <w:p w:rsidR="00E61F54" w14:paraId="48E29827" w14:textId="77777777">
      <w:pPr>
        <w:widowControl w:val="0"/>
        <w:tabs>
          <w:tab w:val="left" w:pos="540"/>
        </w:tabs>
        <w:rPr>
          <w:b/>
          <w:szCs w:val="24"/>
        </w:rPr>
      </w:pPr>
      <w:r>
        <w:rPr>
          <w:b/>
          <w:szCs w:val="24"/>
        </w:rPr>
        <w:t xml:space="preserve"> </w:t>
      </w:r>
    </w:p>
    <w:p w:rsidR="00E61F54" w14:paraId="37F3DCE5" w14:textId="77777777">
      <w:pPr>
        <w:widowControl w:val="0"/>
        <w:ind w:left="720"/>
        <w:rPr>
          <w:szCs w:val="24"/>
        </w:rPr>
      </w:pPr>
    </w:p>
    <w:sectPr>
      <w:headerReference w:type="even" r:id="rId7"/>
      <w:headerReference w:type="default" r:id="rId8"/>
      <w:footerReference w:type="even" r:id="rId9"/>
      <w:footerReference w:type="default" r:id="rId10"/>
      <w:footnotePr>
        <w:numFmt w:val="lowerLetter"/>
      </w:footnotePr>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F54" w14:paraId="6182288E"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F54" w14:paraId="05EBEEBB" w14:textId="77777777">
    <w:pPr>
      <w:widowControl w:val="0"/>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F54" w14:paraId="517E0074"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403A">
      <w:rPr>
        <w:rStyle w:val="PageNumber"/>
        <w:noProof/>
      </w:rPr>
      <w:t>4</w:t>
    </w:r>
    <w:r>
      <w:rPr>
        <w:rStyle w:val="PageNumber"/>
      </w:rPr>
      <w:fldChar w:fldCharType="end"/>
    </w:r>
  </w:p>
  <w:p w:rsidR="00E61F54" w14:paraId="69E45394" w14:textId="77777777">
    <w:pPr>
      <w:widowControl w:val="0"/>
    </w:pPr>
  </w:p>
  <w:p w:rsidR="00E61F54" w14:paraId="7767551D"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F54" w14:paraId="79462F5F"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403A">
      <w:rPr>
        <w:rStyle w:val="PageNumber"/>
        <w:noProof/>
      </w:rPr>
      <w:t>5</w:t>
    </w:r>
    <w:r>
      <w:rPr>
        <w:rStyle w:val="PageNumber"/>
      </w:rPr>
      <w:fldChar w:fldCharType="end"/>
    </w:r>
  </w:p>
  <w:p w:rsidR="00E61F54" w14:paraId="149444DA" w14:textId="77777777">
    <w:pPr>
      <w:widowControl w:val="0"/>
    </w:pPr>
  </w:p>
  <w:p w:rsidR="00E61F54" w14:paraId="1722240F"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21C66843"/>
    <w:multiLevelType w:val="hybridMultilevel"/>
    <w:tmpl w:val="F800CCBC"/>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5">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CC427E1"/>
    <w:multiLevelType w:val="hybridMultilevel"/>
    <w:tmpl w:val="59B02EBA"/>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92629F4"/>
    <w:multiLevelType w:val="hybridMultilevel"/>
    <w:tmpl w:val="3D22CB7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98121952">
    <w:abstractNumId w:val="0"/>
  </w:num>
  <w:num w:numId="2" w16cid:durableId="323162710">
    <w:abstractNumId w:val="1"/>
  </w:num>
  <w:num w:numId="3" w16cid:durableId="1252159190">
    <w:abstractNumId w:val="2"/>
  </w:num>
  <w:num w:numId="4" w16cid:durableId="1449160626">
    <w:abstractNumId w:val="3"/>
  </w:num>
  <w:num w:numId="5" w16cid:durableId="517893938">
    <w:abstractNumId w:val="4"/>
  </w:num>
  <w:num w:numId="6" w16cid:durableId="1745445966">
    <w:abstractNumId w:val="5"/>
  </w:num>
  <w:num w:numId="7" w16cid:durableId="1041053202">
    <w:abstractNumId w:val="6"/>
  </w:num>
  <w:num w:numId="8" w16cid:durableId="1460610968">
    <w:abstractNumId w:val="7"/>
  </w:num>
  <w:num w:numId="9" w16cid:durableId="1224289377">
    <w:abstractNumId w:val="20"/>
  </w:num>
  <w:num w:numId="10" w16cid:durableId="2021859096">
    <w:abstractNumId w:val="16"/>
  </w:num>
  <w:num w:numId="11" w16cid:durableId="135415295">
    <w:abstractNumId w:val="18"/>
  </w:num>
  <w:num w:numId="12" w16cid:durableId="502744618">
    <w:abstractNumId w:val="8"/>
  </w:num>
  <w:num w:numId="13" w16cid:durableId="1444763781">
    <w:abstractNumId w:val="11"/>
  </w:num>
  <w:num w:numId="14" w16cid:durableId="1841971049">
    <w:abstractNumId w:val="14"/>
  </w:num>
  <w:num w:numId="15" w16cid:durableId="1748304960">
    <w:abstractNumId w:val="17"/>
  </w:num>
  <w:num w:numId="16" w16cid:durableId="1798452906">
    <w:abstractNumId w:val="12"/>
  </w:num>
  <w:num w:numId="17" w16cid:durableId="351423820">
    <w:abstractNumId w:val="21"/>
  </w:num>
  <w:num w:numId="18" w16cid:durableId="1195923654">
    <w:abstractNumId w:val="15"/>
  </w:num>
  <w:num w:numId="19" w16cid:durableId="430853203">
    <w:abstractNumId w:val="10"/>
  </w:num>
  <w:num w:numId="20" w16cid:durableId="1417441526">
    <w:abstractNumId w:val="23"/>
  </w:num>
  <w:num w:numId="21" w16cid:durableId="163253840">
    <w:abstractNumId w:val="13"/>
  </w:num>
  <w:num w:numId="22" w16cid:durableId="1723752522">
    <w:abstractNumId w:val="19"/>
  </w:num>
  <w:num w:numId="23" w16cid:durableId="565146321">
    <w:abstractNumId w:val="9"/>
  </w:num>
  <w:num w:numId="24" w16cid:durableId="15147584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F54"/>
    <w:rsid w:val="000564DF"/>
    <w:rsid w:val="0012028C"/>
    <w:rsid w:val="0012469E"/>
    <w:rsid w:val="0017403A"/>
    <w:rsid w:val="00225F13"/>
    <w:rsid w:val="00294EFB"/>
    <w:rsid w:val="00371C11"/>
    <w:rsid w:val="004A2B8E"/>
    <w:rsid w:val="004C7568"/>
    <w:rsid w:val="004F78B0"/>
    <w:rsid w:val="00563E9E"/>
    <w:rsid w:val="005A0DDE"/>
    <w:rsid w:val="00723D4E"/>
    <w:rsid w:val="00812553"/>
    <w:rsid w:val="00846584"/>
    <w:rsid w:val="008A6895"/>
    <w:rsid w:val="008C3DB6"/>
    <w:rsid w:val="009C606C"/>
    <w:rsid w:val="00AC3796"/>
    <w:rsid w:val="00B816DA"/>
    <w:rsid w:val="00C06FFD"/>
    <w:rsid w:val="00D83FFC"/>
    <w:rsid w:val="00E21ADA"/>
    <w:rsid w:val="00E46EFC"/>
    <w:rsid w:val="00E61F54"/>
    <w:rsid w:val="00FF5E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35E3B2"/>
  <w15:chartTrackingRefBased/>
  <w15:docId w15:val="{18228B6F-22EA-4C8B-B76A-5A85F03F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character" w:styleId="CommentReference">
    <w:name w:val="annotation reference"/>
    <w:uiPriority w:val="99"/>
    <w:unhideWhenUsed/>
    <w:rPr>
      <w:sz w:val="16"/>
      <w:szCs w:val="16"/>
    </w:rPr>
  </w:style>
  <w:style w:type="character" w:styleId="FootnoteReference">
    <w:name w:val="footnote reference"/>
    <w:rPr>
      <w:rFonts w:ascii="Times New Roman" w:hAnsi="Times New Roman"/>
      <w:vertAlign w:val="superscript"/>
    </w:rPr>
  </w:style>
  <w:style w:type="paragraph" w:styleId="FootnoteText">
    <w:name w:val="footnote text"/>
    <w:basedOn w:val="Normal"/>
    <w:link w:val="FootnoteTextChar"/>
    <w:pPr>
      <w:widowControl w:val="0"/>
      <w:autoSpaceDE w:val="0"/>
      <w:autoSpaceDN w:val="0"/>
      <w:adjustRightInd w:val="0"/>
    </w:pPr>
    <w:rPr>
      <w:sz w:val="20"/>
    </w:rPr>
  </w:style>
  <w:style w:type="character" w:customStyle="1" w:styleId="FootnoteTextChar">
    <w:name w:val="Footnote Text Char"/>
    <w:basedOn w:val="DefaultParagraphFont"/>
    <w:link w:val="FootnoteText"/>
  </w:style>
  <w:style w:type="character" w:styleId="Hyperlink">
    <w:name w:val="Hyperlink"/>
    <w:rPr>
      <w:color w:val="0000FF"/>
      <w:u w:val="single"/>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2.xml><?xml version="1.0" encoding="utf-8"?>
<ds:datastoreItem xmlns:ds="http://schemas.openxmlformats.org/officeDocument/2006/customXml" ds:itemID="{1DDB9934-E710-4008-A6E5-87173975F22B}">
  <ds:schemaRef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88EE4F96-BE1E-4425-AA33-8AC34A855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934</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Hill, Angela (PHMSA)</cp:lastModifiedBy>
  <cp:revision>2</cp:revision>
  <cp:lastPrinted>2009-07-23T15:59:00Z</cp:lastPrinted>
  <dcterms:created xsi:type="dcterms:W3CDTF">2026-03-26T14:30:00Z</dcterms:created>
  <dcterms:modified xsi:type="dcterms:W3CDTF">2026-03-26T14:30:00Z</dcterms:modified>
</cp:coreProperties>
</file>