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53779" w:rsidRPr="00053779" w:rsidP="00053779" w14:paraId="6654F853" w14:textId="64C780B6">
      <w:pPr>
        <w:widowControl/>
        <w:jc w:val="center"/>
        <w:rPr>
          <w:szCs w:val="26"/>
        </w:rPr>
      </w:pPr>
      <w:r w:rsidRPr="00053779">
        <w:rPr>
          <w:szCs w:val="26"/>
        </w:rPr>
        <w:t>UNITED STATES OF AMERICA</w:t>
      </w:r>
    </w:p>
    <w:p w:rsidR="00053779" w:rsidP="00053779" w14:paraId="59009A79" w14:textId="073308B3">
      <w:pPr>
        <w:widowControl/>
        <w:jc w:val="center"/>
      </w:pPr>
      <w:r w:rsidRPr="00053779">
        <w:t>FEDERAL ENERGY REGULATORY COMMISSION</w:t>
      </w:r>
    </w:p>
    <w:p w:rsidR="00053779" w:rsidP="00053779" w14:paraId="54A795DB" w14:textId="77777777">
      <w:pPr>
        <w:widowControl/>
        <w:jc w:val="center"/>
      </w:pPr>
    </w:p>
    <w:p w:rsidR="00AA3844" w:rsidRPr="00053779" w:rsidP="00053779" w14:paraId="3FAC33DB" w14:textId="7E8399B0">
      <w:pPr>
        <w:widowControl/>
        <w:jc w:val="center"/>
      </w:pPr>
      <w:r w:rsidRPr="00053779">
        <w:t xml:space="preserve">[Docket No. </w:t>
      </w:r>
      <w:r w:rsidRPr="00053779" w:rsidR="0005636D">
        <w:t>IC26-10-000</w:t>
      </w:r>
      <w:r w:rsidRPr="00053779">
        <w:t>]</w:t>
      </w:r>
    </w:p>
    <w:p w:rsidR="00AA3844" w:rsidRPr="00F845AE" w:rsidP="00AA3844" w14:paraId="7EEF2D30" w14:textId="77777777">
      <w:pPr>
        <w:widowControl/>
        <w:rPr>
          <w:b/>
          <w:bCs/>
        </w:rPr>
      </w:pPr>
    </w:p>
    <w:p w:rsidR="00AA3844" w:rsidP="00053779" w14:paraId="51763892" w14:textId="5193450F">
      <w:pPr>
        <w:widowControl/>
        <w:jc w:val="center"/>
      </w:pPr>
      <w:r w:rsidRPr="00053779">
        <w:t>Commission Information Collection Activities (FERC-547, FERC-550, FERC-914); Consolidated Comment Request; Extension</w:t>
      </w:r>
      <w:r w:rsidRPr="00053779" w:rsidR="007F2CAA">
        <w:t xml:space="preserve">; </w:t>
      </w:r>
      <w:r w:rsidRPr="00053779" w:rsidR="0027788F">
        <w:t>Correction</w:t>
      </w:r>
    </w:p>
    <w:p w:rsidR="00053779" w:rsidP="00053779" w14:paraId="4466EFC3" w14:textId="77777777">
      <w:pPr>
        <w:widowControl/>
        <w:jc w:val="center"/>
      </w:pPr>
    </w:p>
    <w:p w:rsidR="00053779" w:rsidP="00053779" w14:paraId="3A6BEC63" w14:textId="136E718D">
      <w:pPr>
        <w:widowControl/>
        <w:jc w:val="center"/>
      </w:pPr>
      <w:r w:rsidRPr="00053779">
        <w:t>(April 15, 2026)</w:t>
      </w:r>
    </w:p>
    <w:p w:rsidR="00AA3844" w:rsidRPr="00CA4159" w:rsidP="00AA3844" w14:paraId="3F651F77" w14:textId="77777777">
      <w:pPr>
        <w:widowControl/>
      </w:pPr>
    </w:p>
    <w:p w:rsidR="00AA3844" w:rsidRPr="00B61165" w:rsidP="00AA3844" w14:paraId="2574FDAF" w14:textId="7E268457">
      <w:pPr>
        <w:spacing w:line="480" w:lineRule="auto"/>
      </w:pPr>
      <w:r w:rsidRPr="002F5D27">
        <w:rPr>
          <w:b/>
          <w:bCs/>
        </w:rPr>
        <w:t>AGENCY</w:t>
      </w:r>
      <w:bookmarkStart w:id="0" w:name="_Hlk198214093"/>
      <w:r w:rsidRPr="002F5D27" w:rsidR="00053779">
        <w:rPr>
          <w:b/>
          <w:bCs/>
        </w:rPr>
        <w:t>:</w:t>
      </w:r>
      <w:r w:rsidRPr="00B61165" w:rsidR="00053779">
        <w:t xml:space="preserve"> Federal</w:t>
      </w:r>
      <w:r w:rsidRPr="00B61165">
        <w:t xml:space="preserve"> Energy Regulatory Commission</w:t>
      </w:r>
      <w:bookmarkEnd w:id="0"/>
      <w:r w:rsidRPr="00B61165">
        <w:t>.</w:t>
      </w:r>
    </w:p>
    <w:p w:rsidR="00AA3844" w:rsidRPr="00B61165" w:rsidP="00AA3844" w14:paraId="1434FA2B" w14:textId="6697D111">
      <w:pPr>
        <w:spacing w:line="480" w:lineRule="auto"/>
      </w:pPr>
      <w:r w:rsidRPr="002F5D27">
        <w:rPr>
          <w:b/>
          <w:bCs/>
        </w:rPr>
        <w:t>ACTION</w:t>
      </w:r>
      <w:r w:rsidRPr="002F5D27" w:rsidR="00053779">
        <w:rPr>
          <w:b/>
          <w:bCs/>
        </w:rPr>
        <w:t>:</w:t>
      </w:r>
      <w:r w:rsidRPr="00B61165" w:rsidR="00053779">
        <w:t xml:space="preserve"> </w:t>
      </w:r>
      <w:r w:rsidR="00053779">
        <w:t xml:space="preserve">Errata </w:t>
      </w:r>
      <w:r w:rsidRPr="00B61165" w:rsidR="00053779">
        <w:t>Notice</w:t>
      </w:r>
      <w:r>
        <w:t>; correction.</w:t>
      </w:r>
    </w:p>
    <w:p w:rsidR="006340FB" w:rsidP="00AA3844" w14:paraId="4B0B0EF3" w14:textId="67048184">
      <w:pPr>
        <w:spacing w:line="480" w:lineRule="auto"/>
      </w:pPr>
      <w:r w:rsidRPr="002F5D27">
        <w:rPr>
          <w:b/>
          <w:bCs/>
        </w:rPr>
        <w:t>SUMMARY</w:t>
      </w:r>
      <w:r w:rsidRPr="002F5D27" w:rsidR="00053779">
        <w:rPr>
          <w:b/>
          <w:bCs/>
        </w:rPr>
        <w:t>:</w:t>
      </w:r>
      <w:r w:rsidRPr="00B61165" w:rsidR="00053779">
        <w:t xml:space="preserve"> The</w:t>
      </w:r>
      <w:r w:rsidRPr="00AA3844">
        <w:t xml:space="preserve"> </w:t>
      </w:r>
      <w:r w:rsidRPr="00127FAE" w:rsidR="00127FAE">
        <w:t xml:space="preserve">Federal Energy Regulatory </w:t>
      </w:r>
      <w:r w:rsidRPr="00127FAE" w:rsidR="00FA6E70">
        <w:t xml:space="preserve">Commission </w:t>
      </w:r>
      <w:r w:rsidRPr="00AA3844" w:rsidR="00FA6E70">
        <w:t>published</w:t>
      </w:r>
      <w:r w:rsidR="00127FAE">
        <w:t xml:space="preserve"> </w:t>
      </w:r>
      <w:r w:rsidRPr="00AA3844">
        <w:t xml:space="preserve">in the </w:t>
      </w:r>
      <w:r w:rsidRPr="00805B61">
        <w:rPr>
          <w:i/>
          <w:iCs/>
        </w:rPr>
        <w:t>Federal Register</w:t>
      </w:r>
      <w:r w:rsidRPr="00AA3844">
        <w:t xml:space="preserve"> of </w:t>
      </w:r>
      <w:r w:rsidR="00943A8D">
        <w:t xml:space="preserve">April 14, </w:t>
      </w:r>
      <w:r w:rsidR="00053779">
        <w:t>2026,</w:t>
      </w:r>
      <w:r w:rsidR="00BE1A60">
        <w:t xml:space="preserve"> </w:t>
      </w:r>
      <w:r w:rsidR="00127FAE">
        <w:t xml:space="preserve">a notice </w:t>
      </w:r>
      <w:r w:rsidRPr="00127FAE" w:rsidR="00127FAE">
        <w:t>of information collection and request for comments</w:t>
      </w:r>
      <w:r w:rsidR="00127FAE">
        <w:t>.</w:t>
      </w:r>
      <w:r w:rsidR="0094363F">
        <w:t xml:space="preserve"> </w:t>
      </w:r>
      <w:r w:rsidR="00EE33D4">
        <w:t xml:space="preserve">This notice </w:t>
      </w:r>
      <w:r w:rsidRPr="0066372F" w:rsidR="0066372F">
        <w:t xml:space="preserve">correctly stated that there are no proposed changes to the FERC-550 information collection. However, </w:t>
      </w:r>
      <w:r w:rsidR="0066372F">
        <w:t>one</w:t>
      </w:r>
      <w:r w:rsidRPr="0066372F" w:rsidR="0066372F">
        <w:t xml:space="preserve"> row was inadvertently left out of the burden table.</w:t>
      </w:r>
      <w:r w:rsidR="00EE33D4">
        <w:t xml:space="preserve"> </w:t>
      </w:r>
    </w:p>
    <w:p w:rsidR="006340FB" w:rsidRPr="006340FB" w:rsidP="006340FB" w14:paraId="5C5DF234" w14:textId="1A2F22B9">
      <w:pPr>
        <w:spacing w:line="480" w:lineRule="auto"/>
      </w:pPr>
      <w:r w:rsidRPr="006340FB">
        <w:rPr>
          <w:b/>
          <w:bCs/>
        </w:rPr>
        <w:t>FOR FURTHER INFORMATION</w:t>
      </w:r>
      <w:r>
        <w:rPr>
          <w:b/>
          <w:bCs/>
        </w:rPr>
        <w:t xml:space="preserve"> CONTACT</w:t>
      </w:r>
      <w:r w:rsidRPr="006340FB">
        <w:rPr>
          <w:b/>
          <w:bCs/>
        </w:rPr>
        <w:t>:</w:t>
      </w:r>
      <w:r w:rsidRPr="006340FB">
        <w:t xml:space="preserve">   Kayla Williams, (202) 502-6468. DataClearance@FERC.gov</w:t>
      </w:r>
    </w:p>
    <w:p w:rsidR="006340FB" w:rsidRPr="006340FB" w:rsidP="006340FB" w14:paraId="1B218E5C" w14:textId="77777777">
      <w:pPr>
        <w:spacing w:line="480" w:lineRule="auto"/>
      </w:pPr>
      <w:r w:rsidRPr="006340FB">
        <w:rPr>
          <w:b/>
        </w:rPr>
        <w:t>SUPPLEMENTARY INFORMATION:</w:t>
      </w:r>
      <w:r w:rsidRPr="006340FB">
        <w:t xml:space="preserve">  </w:t>
      </w:r>
    </w:p>
    <w:p w:rsidR="006340FB" w:rsidRPr="00F767A6" w:rsidP="00AA3844" w14:paraId="691F633B" w14:textId="627BA8CB">
      <w:pPr>
        <w:spacing w:line="480" w:lineRule="auto"/>
        <w:rPr>
          <w:b/>
          <w:bCs/>
          <w:szCs w:val="26"/>
        </w:rPr>
      </w:pPr>
      <w:r w:rsidRPr="00F767A6">
        <w:rPr>
          <w:b/>
          <w:bCs/>
          <w:szCs w:val="26"/>
        </w:rPr>
        <w:t>Correction</w:t>
      </w:r>
    </w:p>
    <w:p w:rsidR="00EB4BA9" w:rsidP="00AA3844" w14:paraId="46C7CF75" w14:textId="7F25D737">
      <w:pPr>
        <w:spacing w:line="480" w:lineRule="auto"/>
      </w:pPr>
      <w:r w:rsidRPr="006340FB">
        <w:t xml:space="preserve"> In the Federal Register of </w:t>
      </w:r>
      <w:r w:rsidR="00B96D9F">
        <w:t>April 14, 2026</w:t>
      </w:r>
      <w:r w:rsidRPr="006340FB">
        <w:t xml:space="preserve">, in FR Doc. </w:t>
      </w:r>
      <w:r w:rsidRPr="00A67CD6" w:rsidR="00A67CD6">
        <w:t>2026-07213</w:t>
      </w:r>
      <w:r w:rsidRPr="006340FB">
        <w:t xml:space="preserve">, on page </w:t>
      </w:r>
      <w:r w:rsidR="00053779">
        <w:t>19127</w:t>
      </w:r>
      <w:r w:rsidRPr="006340FB" w:rsidR="00053779">
        <w:t>,</w:t>
      </w:r>
      <w:r w:rsidRPr="002D429E" w:rsidR="00053779">
        <w:t xml:space="preserve"> </w:t>
      </w:r>
      <w:r>
        <w:t xml:space="preserve">correct </w:t>
      </w:r>
      <w:r w:rsidR="002D429E">
        <w:t xml:space="preserve">the table </w:t>
      </w:r>
      <w:r w:rsidRPr="002D429E" w:rsidR="002D429E">
        <w:t xml:space="preserve">FERC–550: OIL PIPELINE RATES—TARIFF FILINGS AND </w:t>
      </w:r>
      <w:r w:rsidRPr="00F97777" w:rsidR="002D429E">
        <w:rPr>
          <w:b/>
          <w:bCs/>
        </w:rPr>
        <w:t xml:space="preserve">DEPRECIATION STUDIES </w:t>
      </w:r>
      <w:r w:rsidRPr="00F97777">
        <w:rPr>
          <w:b/>
          <w:bCs/>
        </w:rPr>
        <w:t>to read</w:t>
      </w:r>
      <w:r>
        <w:t>:</w:t>
      </w:r>
    </w:p>
    <w:p w:rsidR="00F97777" w:rsidP="00AA3844" w14:paraId="2D50D1A4" w14:textId="77777777">
      <w:pPr>
        <w:spacing w:line="480" w:lineRule="auto"/>
      </w:pPr>
    </w:p>
    <w:p w:rsidR="00F97777" w:rsidP="00AA3844" w14:paraId="33A76C6A" w14:textId="77777777">
      <w:pPr>
        <w:spacing w:line="480" w:lineRule="auto"/>
      </w:pPr>
    </w:p>
    <w:p w:rsidR="00F97777" w:rsidP="00AA3844" w14:paraId="74F2E7E4" w14:textId="77777777">
      <w:pPr>
        <w:spacing w:line="480" w:lineRule="auto"/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1"/>
        <w:gridCol w:w="1333"/>
        <w:gridCol w:w="1267"/>
        <w:gridCol w:w="1260"/>
        <w:gridCol w:w="1169"/>
        <w:gridCol w:w="1529"/>
        <w:gridCol w:w="1622"/>
      </w:tblGrid>
      <w:tr w14:paraId="1EB34079" w14:textId="77777777" w:rsidTr="219A2528">
        <w:tblPrEx>
          <w:tblW w:w="515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753" w:type="pct"/>
            <w:shd w:val="clear" w:color="auto" w:fill="D9D9D9" w:themeFill="background1" w:themeFillShade="D9"/>
          </w:tcPr>
          <w:p w:rsidR="000E66E1" w:rsidRPr="00162B98" w:rsidP="00F767A6" w14:paraId="0EDE55F8" w14:textId="77777777">
            <w:pPr>
              <w:rPr>
                <w:b/>
                <w:bCs/>
              </w:rPr>
            </w:pPr>
          </w:p>
        </w:tc>
        <w:tc>
          <w:tcPr>
            <w:tcW w:w="4247" w:type="pct"/>
            <w:gridSpan w:val="6"/>
            <w:shd w:val="clear" w:color="auto" w:fill="D9D9D9" w:themeFill="background1" w:themeFillShade="D9"/>
          </w:tcPr>
          <w:p w:rsidR="000E66E1" w:rsidRPr="00162B98" w:rsidP="00F767A6" w14:paraId="0294BA14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FERC-550: Oil Pipeline Rates ― Tariff Filings and Depreciation Studies</w:t>
            </w:r>
          </w:p>
        </w:tc>
      </w:tr>
      <w:tr w14:paraId="7C398951" w14:textId="77777777" w:rsidTr="219A2528">
        <w:tblPrEx>
          <w:tblW w:w="5150" w:type="pct"/>
          <w:tblInd w:w="-5" w:type="dxa"/>
          <w:tblLayout w:type="fixed"/>
          <w:tblLook w:val="01E0"/>
        </w:tblPrEx>
        <w:trPr>
          <w:cantSplit/>
        </w:trPr>
        <w:tc>
          <w:tcPr>
            <w:tcW w:w="753" w:type="pct"/>
            <w:shd w:val="clear" w:color="auto" w:fill="D9D9D9" w:themeFill="background1" w:themeFillShade="D9"/>
          </w:tcPr>
          <w:p w:rsidR="000E66E1" w:rsidRPr="00162B98" w:rsidP="00F767A6" w14:paraId="5DBD2611" w14:textId="77777777">
            <w:pPr>
              <w:rPr>
                <w:b/>
                <w:bCs/>
              </w:rPr>
            </w:pPr>
          </w:p>
        </w:tc>
        <w:tc>
          <w:tcPr>
            <w:tcW w:w="692" w:type="pct"/>
            <w:shd w:val="clear" w:color="auto" w:fill="D9D9D9" w:themeFill="background1" w:themeFillShade="D9"/>
            <w:vAlign w:val="bottom"/>
          </w:tcPr>
          <w:p w:rsidR="000E66E1" w:rsidRPr="00162B98" w:rsidP="00F767A6" w14:paraId="3C6A4F4A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Number of Respondents</w:t>
            </w:r>
            <w:r w:rsidRPr="00162B98">
              <w:rPr>
                <w:b/>
                <w:bCs/>
              </w:rPr>
              <w:br/>
              <w:t>(1)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bottom"/>
          </w:tcPr>
          <w:p w:rsidR="000E66E1" w:rsidRPr="00162B98" w:rsidP="00F767A6" w14:paraId="5570A00D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Annual Number of Responses per Respondent</w:t>
            </w:r>
          </w:p>
          <w:p w:rsidR="000E66E1" w:rsidRPr="00162B98" w:rsidP="00F767A6" w14:paraId="5CB8E837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(2)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bottom"/>
          </w:tcPr>
          <w:p w:rsidR="000E66E1" w:rsidRPr="00162B98" w:rsidP="00F767A6" w14:paraId="3CB1697C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Total Number of Responses</w:t>
            </w:r>
            <w:r>
              <w:rPr>
                <w:b/>
                <w:bCs/>
                <w:vertAlign w:val="superscript"/>
              </w:rPr>
              <w:footnoteReference w:id="2"/>
            </w:r>
            <w:r w:rsidRPr="00162B98">
              <w:rPr>
                <w:b/>
                <w:bCs/>
              </w:rPr>
              <w:t xml:space="preserve"> (</w:t>
            </w:r>
            <w:r w:rsidRPr="00162B98">
              <w:rPr>
                <w:b/>
                <w:bCs/>
              </w:rPr>
              <w:t>1)*</w:t>
            </w:r>
            <w:r w:rsidRPr="00162B98">
              <w:rPr>
                <w:b/>
                <w:bCs/>
              </w:rPr>
              <w:t>(</w:t>
            </w:r>
            <w:r w:rsidRPr="00162B98">
              <w:rPr>
                <w:b/>
                <w:bCs/>
              </w:rPr>
              <w:t>2)=</w:t>
            </w:r>
            <w:r w:rsidRPr="00162B98">
              <w:rPr>
                <w:b/>
                <w:bCs/>
              </w:rPr>
              <w:t>(3)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bottom"/>
          </w:tcPr>
          <w:p w:rsidR="000E66E1" w:rsidRPr="00162B98" w:rsidP="00F767A6" w14:paraId="7D289C46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Average Burden Hrs. &amp; Cost ($) Per Response</w:t>
            </w:r>
          </w:p>
          <w:p w:rsidR="000E66E1" w:rsidRPr="00162B98" w:rsidP="00F767A6" w14:paraId="1A002EA8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(4)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bottom"/>
          </w:tcPr>
          <w:p w:rsidR="000E66E1" w:rsidRPr="00162B98" w:rsidP="00F767A6" w14:paraId="140A9503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Total Annual Burden Hours &amp; Total Annual Cost ($)</w:t>
            </w:r>
          </w:p>
          <w:p w:rsidR="000E66E1" w:rsidRPr="00162B98" w:rsidP="00F767A6" w14:paraId="75034D7B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(</w:t>
            </w:r>
            <w:r w:rsidRPr="00162B98">
              <w:rPr>
                <w:b/>
                <w:bCs/>
              </w:rPr>
              <w:t>3)*</w:t>
            </w:r>
            <w:r w:rsidRPr="00162B98">
              <w:rPr>
                <w:b/>
                <w:bCs/>
              </w:rPr>
              <w:t>(</w:t>
            </w:r>
            <w:r w:rsidRPr="00162B98">
              <w:rPr>
                <w:b/>
                <w:bCs/>
              </w:rPr>
              <w:t>4)=</w:t>
            </w:r>
            <w:r w:rsidRPr="00162B98">
              <w:rPr>
                <w:b/>
                <w:bCs/>
              </w:rPr>
              <w:t>(5)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bottom"/>
          </w:tcPr>
          <w:p w:rsidR="000E66E1" w:rsidRPr="00162B98" w:rsidP="00F767A6" w14:paraId="1AC06D22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 xml:space="preserve">Cost per </w:t>
            </w:r>
            <w:r w:rsidRPr="00162B98">
              <w:rPr>
                <w:b/>
                <w:bCs/>
              </w:rPr>
              <w:t>Respondent  (</w:t>
            </w:r>
            <w:r w:rsidRPr="00162B98">
              <w:rPr>
                <w:b/>
                <w:bCs/>
              </w:rPr>
              <w:t>$)</w:t>
            </w:r>
          </w:p>
          <w:p w:rsidR="000E66E1" w:rsidRPr="00162B98" w:rsidP="00F767A6" w14:paraId="63277828" w14:textId="77777777">
            <w:pPr>
              <w:rPr>
                <w:b/>
                <w:bCs/>
              </w:rPr>
            </w:pPr>
            <w:r w:rsidRPr="00162B98">
              <w:rPr>
                <w:b/>
                <w:bCs/>
              </w:rPr>
              <w:t>(</w:t>
            </w:r>
            <w:r w:rsidRPr="00162B98">
              <w:rPr>
                <w:b/>
                <w:bCs/>
              </w:rPr>
              <w:t>5)÷</w:t>
            </w:r>
            <w:r w:rsidRPr="00162B98">
              <w:rPr>
                <w:b/>
                <w:bCs/>
              </w:rPr>
              <w:t>(1)</w:t>
            </w:r>
          </w:p>
        </w:tc>
      </w:tr>
      <w:tr w14:paraId="074DC15D" w14:textId="77777777" w:rsidTr="219A2528">
        <w:tblPrEx>
          <w:tblW w:w="5150" w:type="pct"/>
          <w:tblInd w:w="-5" w:type="dxa"/>
          <w:tblLayout w:type="fixed"/>
          <w:tblLook w:val="01E0"/>
        </w:tblPrEx>
        <w:trPr>
          <w:cantSplit/>
        </w:trPr>
        <w:tc>
          <w:tcPr>
            <w:tcW w:w="753" w:type="pct"/>
          </w:tcPr>
          <w:p w:rsidR="000E66E1" w:rsidRPr="00F767A6" w:rsidP="00F767A6" w14:paraId="4655F31E" w14:textId="77777777">
            <w:r w:rsidRPr="00F767A6">
              <w:t>Oil Rates and Tariff Filings</w:t>
            </w:r>
          </w:p>
        </w:tc>
        <w:tc>
          <w:tcPr>
            <w:tcW w:w="692" w:type="pct"/>
          </w:tcPr>
          <w:p w:rsidR="000E66E1" w:rsidRPr="00F767A6" w:rsidP="00F767A6" w14:paraId="6A5CA821" w14:textId="77777777">
            <w:r w:rsidRPr="00F767A6">
              <w:t>261</w:t>
            </w:r>
          </w:p>
          <w:p w:rsidR="000E66E1" w:rsidRPr="00F767A6" w:rsidP="00F767A6" w14:paraId="7FAAD8D8" w14:textId="77777777"/>
        </w:tc>
        <w:tc>
          <w:tcPr>
            <w:tcW w:w="658" w:type="pct"/>
          </w:tcPr>
          <w:p w:rsidR="000E66E1" w:rsidRPr="00F767A6" w:rsidP="00F767A6" w14:paraId="584DD505" w14:textId="77777777">
            <w:r w:rsidRPr="00F767A6">
              <w:t>3</w:t>
            </w:r>
          </w:p>
        </w:tc>
        <w:tc>
          <w:tcPr>
            <w:tcW w:w="654" w:type="pct"/>
          </w:tcPr>
          <w:p w:rsidR="000E66E1" w:rsidRPr="00F767A6" w:rsidP="00F767A6" w14:paraId="3CF21914" w14:textId="77777777">
            <w:r w:rsidRPr="00F767A6">
              <w:t xml:space="preserve">783 </w:t>
            </w:r>
          </w:p>
        </w:tc>
        <w:tc>
          <w:tcPr>
            <w:tcW w:w="607" w:type="pct"/>
          </w:tcPr>
          <w:p w:rsidR="000E66E1" w:rsidRPr="00F767A6" w:rsidP="00F767A6" w14:paraId="2EB8DC33" w14:textId="77777777">
            <w:r w:rsidRPr="00F767A6">
              <w:t xml:space="preserve">7 </w:t>
            </w:r>
            <w:r w:rsidRPr="00F767A6">
              <w:t>hrs.;</w:t>
            </w:r>
          </w:p>
          <w:p w:rsidR="000E66E1" w:rsidRPr="00F767A6" w:rsidP="00F767A6" w14:paraId="04E45265" w14:textId="77777777">
            <w:r w:rsidRPr="00F767A6">
              <w:t>$721</w:t>
            </w:r>
          </w:p>
        </w:tc>
        <w:tc>
          <w:tcPr>
            <w:tcW w:w="794" w:type="pct"/>
          </w:tcPr>
          <w:p w:rsidR="000E66E1" w:rsidRPr="00F767A6" w:rsidP="00F767A6" w14:paraId="46399334" w14:textId="77777777">
            <w:r w:rsidRPr="00F767A6">
              <w:t xml:space="preserve">5,481 </w:t>
            </w:r>
            <w:r w:rsidRPr="00F767A6">
              <w:t>hrs.;</w:t>
            </w:r>
          </w:p>
          <w:p w:rsidR="000E66E1" w:rsidRPr="00F767A6" w:rsidP="00F767A6" w14:paraId="29D119AB" w14:textId="77777777">
            <w:r w:rsidRPr="00F767A6">
              <w:t>$564,543</w:t>
            </w:r>
          </w:p>
        </w:tc>
        <w:tc>
          <w:tcPr>
            <w:tcW w:w="842" w:type="pct"/>
          </w:tcPr>
          <w:p w:rsidR="000E66E1" w:rsidRPr="00F767A6" w:rsidP="00F767A6" w14:paraId="55D27E8D" w14:textId="77777777">
            <w:r w:rsidRPr="00F767A6">
              <w:t>$2,163</w:t>
            </w:r>
          </w:p>
        </w:tc>
      </w:tr>
      <w:tr w14:paraId="58170E6C" w14:textId="77777777" w:rsidTr="219A2528">
        <w:tblPrEx>
          <w:tblW w:w="5150" w:type="pct"/>
          <w:tblInd w:w="-5" w:type="dxa"/>
          <w:tblLayout w:type="fixed"/>
          <w:tblLook w:val="01E0"/>
        </w:tblPrEx>
        <w:trPr>
          <w:cantSplit/>
        </w:trPr>
        <w:tc>
          <w:tcPr>
            <w:tcW w:w="753" w:type="pct"/>
          </w:tcPr>
          <w:p w:rsidR="000E66E1" w:rsidRPr="00F767A6" w:rsidP="00F767A6" w14:paraId="4CFFD3F7" w14:textId="77777777">
            <w:r w:rsidRPr="00F767A6">
              <w:t>Depreciation Studies</w:t>
            </w:r>
          </w:p>
        </w:tc>
        <w:tc>
          <w:tcPr>
            <w:tcW w:w="692" w:type="pct"/>
          </w:tcPr>
          <w:p w:rsidR="000E66E1" w:rsidRPr="00F767A6" w:rsidP="00F767A6" w14:paraId="0D739A01" w14:textId="77777777">
            <w:r w:rsidRPr="00F767A6">
              <w:t>15</w:t>
            </w:r>
          </w:p>
        </w:tc>
        <w:tc>
          <w:tcPr>
            <w:tcW w:w="658" w:type="pct"/>
          </w:tcPr>
          <w:p w:rsidR="000E66E1" w:rsidRPr="00F767A6" w:rsidP="00F767A6" w14:paraId="26E7C1BA" w14:textId="77777777">
            <w:r w:rsidRPr="00F767A6">
              <w:t>1</w:t>
            </w:r>
          </w:p>
        </w:tc>
        <w:tc>
          <w:tcPr>
            <w:tcW w:w="654" w:type="pct"/>
          </w:tcPr>
          <w:p w:rsidR="000E66E1" w:rsidRPr="00F767A6" w:rsidP="00F767A6" w14:paraId="23FFBA3D" w14:textId="77777777">
            <w:r w:rsidRPr="00F767A6">
              <w:t>15</w:t>
            </w:r>
          </w:p>
        </w:tc>
        <w:tc>
          <w:tcPr>
            <w:tcW w:w="607" w:type="pct"/>
          </w:tcPr>
          <w:p w:rsidR="000E66E1" w:rsidRPr="00F767A6" w:rsidP="00F767A6" w14:paraId="24987C72" w14:textId="77777777">
            <w:r w:rsidRPr="00F767A6">
              <w:t xml:space="preserve">40 </w:t>
            </w:r>
            <w:r w:rsidRPr="00F767A6">
              <w:t>hrs.;</w:t>
            </w:r>
          </w:p>
          <w:p w:rsidR="000E66E1" w:rsidRPr="00F767A6" w:rsidP="00F767A6" w14:paraId="08EAE36E" w14:textId="77777777">
            <w:r w:rsidRPr="00F767A6">
              <w:t>$4,120</w:t>
            </w:r>
          </w:p>
        </w:tc>
        <w:tc>
          <w:tcPr>
            <w:tcW w:w="794" w:type="pct"/>
          </w:tcPr>
          <w:p w:rsidR="000E66E1" w:rsidRPr="00F767A6" w:rsidP="00F767A6" w14:paraId="3623A769" w14:textId="77777777">
            <w:r w:rsidRPr="00F767A6">
              <w:t xml:space="preserve">600 </w:t>
            </w:r>
            <w:r w:rsidRPr="00F767A6">
              <w:t>hrs.;</w:t>
            </w:r>
          </w:p>
          <w:p w:rsidR="000E66E1" w:rsidRPr="00F767A6" w:rsidP="00F767A6" w14:paraId="10DA46AE" w14:textId="77777777">
            <w:r w:rsidRPr="00F767A6">
              <w:t>$61,800</w:t>
            </w:r>
          </w:p>
        </w:tc>
        <w:tc>
          <w:tcPr>
            <w:tcW w:w="842" w:type="pct"/>
          </w:tcPr>
          <w:p w:rsidR="000E66E1" w:rsidRPr="00F767A6" w:rsidP="00F767A6" w14:paraId="20D64B64" w14:textId="77777777">
            <w:r w:rsidRPr="00F767A6">
              <w:t>$4,120</w:t>
            </w:r>
          </w:p>
        </w:tc>
      </w:tr>
      <w:tr w14:paraId="6DAD7FEB" w14:textId="77777777" w:rsidTr="219A2528">
        <w:tblPrEx>
          <w:tblW w:w="5150" w:type="pct"/>
          <w:tblInd w:w="-5" w:type="dxa"/>
          <w:tblLayout w:type="fixed"/>
          <w:tblLook w:val="01E0"/>
        </w:tblPrEx>
        <w:trPr>
          <w:cantSplit/>
          <w:trHeight w:val="300"/>
        </w:trPr>
        <w:tc>
          <w:tcPr>
            <w:tcW w:w="1451" w:type="dxa"/>
          </w:tcPr>
          <w:p w:rsidR="000E66E1" w:rsidRPr="00F767A6" w:rsidP="00F767A6" w14:paraId="07912FF0" w14:textId="77777777">
            <w:r w:rsidRPr="00F767A6">
              <w:t>Project</w:t>
            </w:r>
            <w:r>
              <w:rPr>
                <w:vertAlign w:val="superscript"/>
              </w:rPr>
              <w:footnoteReference w:id="3"/>
            </w:r>
            <w:r w:rsidRPr="00F767A6">
              <w:t xml:space="preserve"> Area Labor Wages</w:t>
            </w:r>
          </w:p>
        </w:tc>
        <w:tc>
          <w:tcPr>
            <w:tcW w:w="1333" w:type="dxa"/>
          </w:tcPr>
          <w:p w:rsidR="000E66E1" w:rsidRPr="00F767A6" w:rsidP="00F767A6" w14:paraId="67E8B079" w14:textId="77777777">
            <w:r w:rsidRPr="00F767A6">
              <w:t>7</w:t>
            </w:r>
          </w:p>
        </w:tc>
        <w:tc>
          <w:tcPr>
            <w:tcW w:w="1267" w:type="dxa"/>
          </w:tcPr>
          <w:p w:rsidR="000E66E1" w:rsidRPr="00F767A6" w:rsidP="00F767A6" w14:paraId="64C70B30" w14:textId="77777777">
            <w:r w:rsidRPr="00F767A6">
              <w:t>1</w:t>
            </w:r>
          </w:p>
        </w:tc>
        <w:tc>
          <w:tcPr>
            <w:tcW w:w="1260" w:type="dxa"/>
          </w:tcPr>
          <w:p w:rsidR="000E66E1" w:rsidRPr="00F767A6" w:rsidP="00F767A6" w14:paraId="43052C98" w14:textId="77777777">
            <w:r w:rsidRPr="00F767A6">
              <w:t>7</w:t>
            </w:r>
          </w:p>
        </w:tc>
        <w:tc>
          <w:tcPr>
            <w:tcW w:w="1169" w:type="dxa"/>
          </w:tcPr>
          <w:p w:rsidR="000E66E1" w:rsidRPr="00F767A6" w:rsidP="00F767A6" w14:paraId="388C9C3C" w14:textId="77777777">
            <w:r w:rsidRPr="00F767A6">
              <w:t xml:space="preserve">15 </w:t>
            </w:r>
            <w:r w:rsidRPr="00F767A6">
              <w:t>hrs.;</w:t>
            </w:r>
          </w:p>
          <w:p w:rsidR="000E66E1" w:rsidRPr="00F767A6" w:rsidP="00F767A6" w14:paraId="05527B8C" w14:textId="77777777">
            <w:r w:rsidRPr="00F767A6">
              <w:t>$1,545</w:t>
            </w:r>
          </w:p>
        </w:tc>
        <w:tc>
          <w:tcPr>
            <w:tcW w:w="1529" w:type="dxa"/>
          </w:tcPr>
          <w:p w:rsidR="000E66E1" w:rsidRPr="00F767A6" w:rsidP="00F767A6" w14:paraId="485A63DB" w14:textId="77777777">
            <w:r w:rsidRPr="00F767A6">
              <w:t xml:space="preserve">105 </w:t>
            </w:r>
            <w:r w:rsidRPr="00F767A6">
              <w:t>hrs.;</w:t>
            </w:r>
          </w:p>
          <w:p w:rsidR="000E66E1" w:rsidRPr="00F767A6" w:rsidP="00F767A6" w14:paraId="4EB592A9" w14:textId="77777777">
            <w:r w:rsidRPr="00F767A6">
              <w:t>$10,815</w:t>
            </w:r>
          </w:p>
        </w:tc>
        <w:tc>
          <w:tcPr>
            <w:tcW w:w="1622" w:type="dxa"/>
          </w:tcPr>
          <w:p w:rsidR="000E66E1" w:rsidRPr="00F767A6" w:rsidP="00F767A6" w14:paraId="26C84FE3" w14:textId="77777777">
            <w:r w:rsidRPr="00F767A6">
              <w:t>$1,545</w:t>
            </w:r>
          </w:p>
        </w:tc>
      </w:tr>
      <w:tr w14:paraId="6FBD21C3" w14:textId="77777777" w:rsidTr="219A2528">
        <w:tblPrEx>
          <w:tblW w:w="5150" w:type="pct"/>
          <w:tblInd w:w="-5" w:type="dxa"/>
          <w:tblLayout w:type="fixed"/>
          <w:tblLook w:val="01E0"/>
        </w:tblPrEx>
        <w:trPr>
          <w:cantSplit/>
        </w:trPr>
        <w:tc>
          <w:tcPr>
            <w:tcW w:w="753" w:type="pct"/>
          </w:tcPr>
          <w:p w:rsidR="000E66E1" w:rsidRPr="00F767A6" w:rsidP="00F767A6" w14:paraId="34114D03" w14:textId="77777777">
            <w:r w:rsidRPr="00F767A6">
              <w:t>Total</w:t>
            </w:r>
          </w:p>
        </w:tc>
        <w:tc>
          <w:tcPr>
            <w:tcW w:w="692" w:type="pct"/>
          </w:tcPr>
          <w:p w:rsidR="000E66E1" w:rsidRPr="00F767A6" w:rsidP="00F767A6" w14:paraId="16C442A3" w14:textId="3E4463BA">
            <w:r>
              <w:t>2</w:t>
            </w:r>
            <w:r w:rsidR="182933FF">
              <w:t>83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="000E66E1" w:rsidRPr="00F767A6" w:rsidP="00F767A6" w14:paraId="023D12D4" w14:textId="77777777"/>
        </w:tc>
        <w:tc>
          <w:tcPr>
            <w:tcW w:w="654" w:type="pct"/>
          </w:tcPr>
          <w:p w:rsidR="000E66E1" w:rsidRPr="00F767A6" w:rsidP="00F767A6" w14:paraId="7C07F78C" w14:textId="77777777">
            <w:r w:rsidRPr="00F767A6">
              <w:t>798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:rsidR="000E66E1" w:rsidRPr="00F767A6" w:rsidP="00F767A6" w14:paraId="58B0C054" w14:textId="77777777"/>
        </w:tc>
        <w:tc>
          <w:tcPr>
            <w:tcW w:w="794" w:type="pct"/>
          </w:tcPr>
          <w:p w:rsidR="000E66E1" w:rsidRPr="00F767A6" w:rsidP="00F767A6" w14:paraId="0FCF3AD9" w14:textId="77777777">
            <w:r w:rsidRPr="00F767A6">
              <w:t xml:space="preserve">6,186 </w:t>
            </w:r>
            <w:r w:rsidRPr="00F767A6">
              <w:t>hrs.;</w:t>
            </w:r>
          </w:p>
          <w:p w:rsidR="000E66E1" w:rsidRPr="00F767A6" w:rsidP="00F767A6" w14:paraId="1C1152A1" w14:textId="77777777">
            <w:r w:rsidRPr="00F767A6">
              <w:t>$637,158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:rsidR="000E66E1" w:rsidRPr="00F767A6" w:rsidP="00F767A6" w14:paraId="5F9B9C04" w14:textId="77777777"/>
        </w:tc>
      </w:tr>
    </w:tbl>
    <w:p w:rsidR="00AA023B" w:rsidP="00AA023B" w14:paraId="2CF4AF82" w14:textId="77777777">
      <w:pPr>
        <w:widowControl/>
      </w:pPr>
    </w:p>
    <w:p w:rsidR="00053779" w:rsidP="00AA023B" w14:paraId="0DC7D609" w14:textId="77777777">
      <w:pPr>
        <w:widowControl/>
      </w:pPr>
    </w:p>
    <w:p w:rsidR="00053779" w:rsidP="00AA023B" w14:paraId="0AB72A23" w14:textId="77777777">
      <w:pPr>
        <w:widowControl/>
      </w:pPr>
    </w:p>
    <w:p w:rsidR="00053779" w:rsidP="00AA023B" w14:paraId="17A70753" w14:textId="77777777">
      <w:pPr>
        <w:widowControl/>
      </w:pPr>
    </w:p>
    <w:p w:rsidR="00053779" w:rsidRPr="00053779" w:rsidP="00053779" w14:paraId="4B7FF45F" w14:textId="1EC394F9">
      <w:pPr>
        <w:widowControl/>
        <w:ind w:firstLine="2606"/>
        <w:jc w:val="center"/>
      </w:pPr>
      <w:r w:rsidRPr="00053779">
        <w:t>Debbie-Anne A. Reese,</w:t>
      </w:r>
    </w:p>
    <w:p w:rsidR="00053779" w:rsidRPr="00053779" w:rsidP="00053779" w14:paraId="47003BA3" w14:textId="5036CBD4">
      <w:pPr>
        <w:widowControl/>
        <w:ind w:firstLine="2606"/>
        <w:jc w:val="center"/>
      </w:pPr>
      <w:r w:rsidRPr="00053779">
        <w:t>Secretary.</w:t>
      </w:r>
    </w:p>
    <w:p w:rsidR="00053779" w:rsidP="00AA023B" w14:paraId="72A428F1" w14:textId="77777777">
      <w:pPr>
        <w:widowControl/>
      </w:pPr>
    </w:p>
    <w:sectPr w:rsidSect="00F97777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6363D" w:rsidP="000E66E1" w14:paraId="77E54391" w14:textId="77777777">
      <w:r>
        <w:separator/>
      </w:r>
    </w:p>
  </w:footnote>
  <w:footnote w:type="continuationSeparator" w:id="1">
    <w:p w:rsidR="00F6363D" w:rsidP="000E66E1" w14:paraId="7D2C2129" w14:textId="77777777">
      <w:r>
        <w:continuationSeparator/>
      </w:r>
    </w:p>
  </w:footnote>
  <w:footnote w:id="2">
    <w:p w:rsidR="000E66E1" w:rsidP="000E66E1" w14:paraId="45C52DA6" w14:textId="77777777">
      <w:pPr>
        <w:pStyle w:val="FootnoteText"/>
        <w:rPr>
          <w:sz w:val="26"/>
          <w:szCs w:val="26"/>
        </w:rPr>
      </w:pPr>
    </w:p>
    <w:p w:rsidR="000E66E1" w:rsidP="00D8156E" w14:paraId="3875243A" w14:textId="77777777">
      <w:pPr>
        <w:pStyle w:val="FootnoteText"/>
        <w:rPr>
          <w:sz w:val="26"/>
          <w:szCs w:val="26"/>
        </w:rPr>
      </w:pPr>
      <w:r w:rsidRPr="00BE7E15">
        <w:rPr>
          <w:rStyle w:val="FootnoteReference"/>
          <w:rFonts w:eastAsiaTheme="majorEastAsia"/>
          <w:bCs/>
        </w:rPr>
        <w:footnoteRef/>
      </w:r>
      <w:r w:rsidRPr="001E0A63">
        <w:rPr>
          <w:sz w:val="26"/>
          <w:szCs w:val="26"/>
        </w:rPr>
        <w:t xml:space="preserve"> This figure is rounded.</w:t>
      </w:r>
    </w:p>
    <w:p w:rsidR="00053779" w:rsidP="00D8156E" w14:paraId="7F117CD6" w14:textId="77777777">
      <w:pPr>
        <w:pStyle w:val="FootnoteText"/>
      </w:pPr>
    </w:p>
  </w:footnote>
  <w:footnote w:id="3">
    <w:p w:rsidR="000E66E1" w:rsidP="000E66E1" w14:paraId="00FBA6A2" w14:textId="2C5596A3">
      <w:r w:rsidRPr="009411AB">
        <w:rPr>
          <w:vertAlign w:val="superscript"/>
        </w:rPr>
        <w:footnoteRef/>
      </w:r>
      <w:r>
        <w:t xml:space="preserve"> The 60-day FRN correctly stated that there are no proposed changes to the FERC-550 information collection. However, this row in the table was </w:t>
      </w:r>
      <w:r w:rsidR="00D8156E">
        <w:t>inadvertently</w:t>
      </w:r>
      <w:r>
        <w:t xml:space="preserve"> left out of the burden table.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7" w14:paraId="2429830D" w14:textId="068E7185">
    <w:pPr>
      <w:pStyle w:val="Header"/>
    </w:pPr>
    <w:r w:rsidRPr="00F97777">
      <w:t>Docket No. IC26-10-000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44"/>
    <w:rsid w:val="000250EC"/>
    <w:rsid w:val="00053779"/>
    <w:rsid w:val="0005636D"/>
    <w:rsid w:val="000E66E1"/>
    <w:rsid w:val="00127FAE"/>
    <w:rsid w:val="00144B36"/>
    <w:rsid w:val="00162B98"/>
    <w:rsid w:val="00186473"/>
    <w:rsid w:val="001E0A63"/>
    <w:rsid w:val="0027788F"/>
    <w:rsid w:val="00293F33"/>
    <w:rsid w:val="002D429E"/>
    <w:rsid w:val="002F5D27"/>
    <w:rsid w:val="003131A5"/>
    <w:rsid w:val="003D5927"/>
    <w:rsid w:val="0049731A"/>
    <w:rsid w:val="006340FB"/>
    <w:rsid w:val="00645D7C"/>
    <w:rsid w:val="0066372F"/>
    <w:rsid w:val="007211DA"/>
    <w:rsid w:val="007D6557"/>
    <w:rsid w:val="007F2CAA"/>
    <w:rsid w:val="00805B61"/>
    <w:rsid w:val="00867BD1"/>
    <w:rsid w:val="008C0D17"/>
    <w:rsid w:val="008D0CA6"/>
    <w:rsid w:val="0090417C"/>
    <w:rsid w:val="0094363F"/>
    <w:rsid w:val="00943A8D"/>
    <w:rsid w:val="009C38DA"/>
    <w:rsid w:val="00A26852"/>
    <w:rsid w:val="00A67CD6"/>
    <w:rsid w:val="00AA023B"/>
    <w:rsid w:val="00AA3844"/>
    <w:rsid w:val="00AF08DA"/>
    <w:rsid w:val="00B61165"/>
    <w:rsid w:val="00B63496"/>
    <w:rsid w:val="00B867FD"/>
    <w:rsid w:val="00B96D9F"/>
    <w:rsid w:val="00BB0389"/>
    <w:rsid w:val="00BE1A60"/>
    <w:rsid w:val="00CA4159"/>
    <w:rsid w:val="00D623D8"/>
    <w:rsid w:val="00D8156E"/>
    <w:rsid w:val="00EB4BA9"/>
    <w:rsid w:val="00EE33D4"/>
    <w:rsid w:val="00EE4AF5"/>
    <w:rsid w:val="00F44B26"/>
    <w:rsid w:val="00F6363D"/>
    <w:rsid w:val="00F767A6"/>
    <w:rsid w:val="00F845AE"/>
    <w:rsid w:val="00F97777"/>
    <w:rsid w:val="00FA6E70"/>
    <w:rsid w:val="00FD1CA7"/>
    <w:rsid w:val="182933FF"/>
    <w:rsid w:val="219A25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12644"/>
  <w15:chartTrackingRefBased/>
  <w15:docId w15:val="{21EF8014-0CA6-4929-9C13-8F55B50D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84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84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84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84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84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84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3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8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7FA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6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Footnote Reference (EIS),Footnote reference (EA),Styl,Style 11,Style 12,Style 13,Style 15,Style 16,Style 17,Style 18,Style 19,Style 20,Style 28,Style 30,Style 7,Style 8,Style 9,fnr,fr,fr1,fr2,fr3,o,o1,o2,o3"/>
    <w:rsid w:val="000E66E1"/>
    <w:rPr>
      <w:rFonts w:ascii="Times New Roman" w:hAnsi="Times New Roman"/>
      <w:b/>
      <w:sz w:val="26"/>
      <w:szCs w:val="26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777"/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777"/>
    <w:rPr>
      <w:rFonts w:ascii="Times New Roman" w:eastAsia="Times New Roman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Props1.xml><?xml version="1.0" encoding="utf-8"?>
<ds:datastoreItem xmlns:ds="http://schemas.openxmlformats.org/officeDocument/2006/customXml" ds:itemID="{57EC21ED-48C2-467E-AD78-3CCCADEDD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E0F29-C680-401D-9A26-5C782F7FA7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D9BA871-93E1-4652-9B78-2CBB79C5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2A10E-7A6D-4147-9651-25275BCA2E9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5e8733a2-e908-454b-85cf-c9d17e1d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234</Words>
  <Characters>1363</Characters>
  <Application>Microsoft Office Word</Application>
  <DocSecurity>0</DocSecurity>
  <Lines>123</Lines>
  <Paragraphs>66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2026-04-15T17:59:00Z</dcterms:created>
  <dcterms:modified xsi:type="dcterms:W3CDTF">2026-04-15T17:59:00Z</dcterms:modified>
</cp:coreProperties>
</file>