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RPr="005C7E23" w:rsidP="549EAD48" w14:paraId="1D3AF36B" w14:textId="77777777">
      <w:pPr>
        <w:jc w:val="center"/>
        <w:rPr>
          <w:szCs w:val="26"/>
        </w:rPr>
      </w:pPr>
      <w:r w:rsidRPr="005C7E23">
        <w:rPr>
          <w:szCs w:val="26"/>
        </w:rPr>
        <w:t>UNITED STATES OF AMERICA</w:t>
      </w:r>
    </w:p>
    <w:p w:rsidR="00F86890" w:rsidRPr="005C7E23" w:rsidP="549EAD48" w14:paraId="79992091" w14:textId="77777777">
      <w:pPr>
        <w:jc w:val="center"/>
        <w:rPr>
          <w:szCs w:val="26"/>
        </w:rPr>
      </w:pPr>
      <w:r w:rsidRPr="005C7E23">
        <w:rPr>
          <w:szCs w:val="26"/>
        </w:rPr>
        <w:t>FEDERAL ENERGY REGULATORY COMMISSION</w:t>
      </w:r>
    </w:p>
    <w:p w:rsidR="00F86890" w:rsidRPr="005C7E23" w:rsidP="549EAD48" w14:paraId="02834C92" w14:textId="77777777">
      <w:pPr>
        <w:rPr>
          <w:szCs w:val="26"/>
        </w:rPr>
      </w:pPr>
    </w:p>
    <w:p w:rsidR="00F86890" w:rsidRPr="005C7E23" w:rsidP="549EAD48" w14:paraId="021D341E" w14:textId="43DDFFEB">
      <w:pPr>
        <w:jc w:val="center"/>
        <w:rPr>
          <w:szCs w:val="26"/>
        </w:rPr>
      </w:pPr>
      <w:r w:rsidRPr="005C7E23">
        <w:rPr>
          <w:szCs w:val="26"/>
        </w:rPr>
        <w:t xml:space="preserve">[Docket No. </w:t>
      </w:r>
      <w:r w:rsidRPr="005C7E23" w:rsidR="00135C58">
        <w:rPr>
          <w:szCs w:val="26"/>
        </w:rPr>
        <w:t>IC26-10-000</w:t>
      </w:r>
      <w:r w:rsidRPr="005C7E23">
        <w:rPr>
          <w:szCs w:val="26"/>
        </w:rPr>
        <w:t>]</w:t>
      </w:r>
    </w:p>
    <w:p w:rsidR="00F86890" w:rsidRPr="005C7E23" w:rsidP="549EAD48" w14:paraId="3565036C" w14:textId="77777777">
      <w:pPr>
        <w:rPr>
          <w:szCs w:val="26"/>
        </w:rPr>
      </w:pPr>
    </w:p>
    <w:p w:rsidR="00F86890" w:rsidRPr="005C7E23" w:rsidP="549EAD48" w14:paraId="7F410A43" w14:textId="325F3458">
      <w:pPr>
        <w:jc w:val="center"/>
        <w:rPr>
          <w:szCs w:val="26"/>
        </w:rPr>
      </w:pPr>
      <w:r w:rsidRPr="005C7E23">
        <w:rPr>
          <w:szCs w:val="26"/>
        </w:rPr>
        <w:t>COMMISSION INFORMATION COLLECTION ACTIVITIES (FERC-</w:t>
      </w:r>
      <w:r w:rsidRPr="005C7E23" w:rsidR="00DA401A">
        <w:rPr>
          <w:szCs w:val="26"/>
        </w:rPr>
        <w:t>547</w:t>
      </w:r>
      <w:r w:rsidRPr="005C7E23" w:rsidR="007C42B7">
        <w:rPr>
          <w:szCs w:val="26"/>
        </w:rPr>
        <w:t>, FERC-550, FERC</w:t>
      </w:r>
      <w:r w:rsidRPr="005C7E23" w:rsidR="00BA154F">
        <w:rPr>
          <w:szCs w:val="26"/>
        </w:rPr>
        <w:t>-</w:t>
      </w:r>
      <w:r w:rsidRPr="005C7E23" w:rsidR="001458CA">
        <w:rPr>
          <w:szCs w:val="26"/>
        </w:rPr>
        <w:t>914</w:t>
      </w:r>
      <w:r w:rsidRPr="005C7E23">
        <w:rPr>
          <w:szCs w:val="26"/>
        </w:rPr>
        <w:t>);</w:t>
      </w:r>
    </w:p>
    <w:p w:rsidR="00F86890" w:rsidRPr="005C7E23" w:rsidP="549EAD48" w14:paraId="7D33A233" w14:textId="74A8D37B">
      <w:pPr>
        <w:jc w:val="center"/>
        <w:rPr>
          <w:szCs w:val="26"/>
        </w:rPr>
      </w:pPr>
      <w:r w:rsidRPr="005C7E23">
        <w:rPr>
          <w:szCs w:val="26"/>
        </w:rPr>
        <w:t xml:space="preserve">CONSOLIDATED </w:t>
      </w:r>
      <w:r w:rsidRPr="005C7E23">
        <w:rPr>
          <w:szCs w:val="26"/>
        </w:rPr>
        <w:t>COMMENT REQUEST;</w:t>
      </w:r>
      <w:r w:rsidRPr="005C7E23" w:rsidR="005D7F37">
        <w:rPr>
          <w:szCs w:val="26"/>
        </w:rPr>
        <w:t xml:space="preserve"> </w:t>
      </w:r>
      <w:r w:rsidRPr="005C7E23">
        <w:rPr>
          <w:szCs w:val="26"/>
        </w:rPr>
        <w:t>EXTENSION</w:t>
      </w:r>
    </w:p>
    <w:p w:rsidR="005C7E23" w:rsidRPr="005C7E23" w:rsidP="549EAD48" w14:paraId="568B29AE" w14:textId="77777777">
      <w:pPr>
        <w:jc w:val="center"/>
        <w:rPr>
          <w:szCs w:val="26"/>
        </w:rPr>
      </w:pPr>
    </w:p>
    <w:p w:rsidR="00F86890" w:rsidRPr="005C7E23" w:rsidP="549EAD48" w14:paraId="40E27417" w14:textId="77777777">
      <w:pPr>
        <w:rPr>
          <w:szCs w:val="26"/>
        </w:rPr>
      </w:pPr>
    </w:p>
    <w:p w:rsidR="005C7E23" w:rsidRPr="005C7E23" w:rsidP="005C7E23" w14:paraId="5544B782" w14:textId="77777777">
      <w:pPr>
        <w:jc w:val="center"/>
        <w:rPr>
          <w:szCs w:val="26"/>
        </w:rPr>
      </w:pPr>
      <w:r w:rsidRPr="005C7E23">
        <w:rPr>
          <w:szCs w:val="26"/>
        </w:rPr>
        <w:t>(April 9, 2026)</w:t>
      </w:r>
    </w:p>
    <w:p w:rsidR="005C7E23" w:rsidRPr="005C7E23" w:rsidP="005C7E23" w14:paraId="78C8B5DD" w14:textId="77777777">
      <w:pPr>
        <w:jc w:val="center"/>
        <w:rPr>
          <w:szCs w:val="26"/>
        </w:rPr>
      </w:pPr>
    </w:p>
    <w:p w:rsidR="005C7E23" w:rsidRPr="005C7E23" w:rsidP="005C7E23" w14:paraId="5F86276F" w14:textId="77777777">
      <w:pPr>
        <w:jc w:val="center"/>
        <w:rPr>
          <w:szCs w:val="26"/>
        </w:rPr>
      </w:pPr>
    </w:p>
    <w:p w:rsidR="00F86890" w:rsidRPr="005C7E23" w:rsidP="005C7E23" w14:paraId="08B34019" w14:textId="46F5D200">
      <w:pPr>
        <w:tabs>
          <w:tab w:val="left" w:pos="1440"/>
          <w:tab w:val="left" w:pos="1710"/>
          <w:tab w:val="left" w:pos="1800"/>
        </w:tabs>
        <w:rPr>
          <w:szCs w:val="26"/>
        </w:rPr>
      </w:pPr>
      <w:r w:rsidRPr="005C7E23">
        <w:rPr>
          <w:b/>
          <w:bCs/>
          <w:szCs w:val="26"/>
        </w:rPr>
        <w:t>AGENCY:</w:t>
      </w:r>
      <w:r w:rsidRPr="005C7E23">
        <w:rPr>
          <w:szCs w:val="26"/>
        </w:rPr>
        <w:t xml:space="preserve">  </w:t>
      </w:r>
      <w:r w:rsidRPr="005C7E23">
        <w:rPr>
          <w:szCs w:val="26"/>
        </w:rPr>
        <w:t>Federal Energy Regulatory Commission.</w:t>
      </w:r>
    </w:p>
    <w:p w:rsidR="005C7E23" w:rsidRPr="005C7E23" w:rsidP="005C7E23" w14:paraId="5C15DD69" w14:textId="77777777">
      <w:pPr>
        <w:jc w:val="center"/>
        <w:rPr>
          <w:szCs w:val="26"/>
        </w:rPr>
      </w:pPr>
    </w:p>
    <w:p w:rsidR="00F86890" w:rsidRPr="005C7E23" w:rsidP="549EAD48" w14:paraId="5FAEBA59" w14:textId="77777777">
      <w:pPr>
        <w:spacing w:line="480" w:lineRule="auto"/>
        <w:rPr>
          <w:szCs w:val="26"/>
        </w:rPr>
      </w:pPr>
      <w:r w:rsidRPr="005C7E23">
        <w:rPr>
          <w:b/>
          <w:bCs/>
          <w:szCs w:val="26"/>
        </w:rPr>
        <w:t>ACTION:</w:t>
      </w:r>
      <w:r w:rsidRPr="005C7E23">
        <w:rPr>
          <w:szCs w:val="26"/>
        </w:rPr>
        <w:t xml:space="preserve">  </w:t>
      </w:r>
      <w:r w:rsidRPr="005C7E23">
        <w:rPr>
          <w:szCs w:val="26"/>
        </w:rPr>
        <w:t>Notice of information collection and request for comments.</w:t>
      </w:r>
    </w:p>
    <w:p w:rsidR="00463209" w:rsidRPr="005C7E23" w:rsidP="36228562" w14:paraId="0459BB92" w14:textId="0ADA0C83">
      <w:pPr>
        <w:tabs>
          <w:tab w:val="left" w:pos="1800"/>
        </w:tabs>
        <w:spacing w:line="480" w:lineRule="auto"/>
        <w:rPr>
          <w:szCs w:val="26"/>
        </w:rPr>
      </w:pPr>
      <w:r w:rsidRPr="005C7E23">
        <w:rPr>
          <w:b/>
          <w:bCs/>
          <w:szCs w:val="26"/>
        </w:rPr>
        <w:t>SUMMARY:</w:t>
      </w:r>
      <w:r w:rsidRPr="005C7E23">
        <w:rPr>
          <w:szCs w:val="26"/>
        </w:rPr>
        <w:t xml:space="preserve">  </w:t>
      </w:r>
      <w:r w:rsidRPr="005C7E23" w:rsidR="32AF9403">
        <w:rPr>
          <w:color w:val="000000" w:themeColor="text1"/>
          <w:szCs w:val="26"/>
        </w:rPr>
        <w:t xml:space="preserve">In compliance with the requirements of the Paperwork Reduction Act of 1995, 44 USC 3507(a)(1)(D), the Federal Energy Regulatory Commission (Commission or FERC) is submitting </w:t>
      </w:r>
      <w:r w:rsidRPr="005C7E23" w:rsidR="008807D6">
        <w:rPr>
          <w:szCs w:val="26"/>
        </w:rPr>
        <w:t xml:space="preserve">the </w:t>
      </w:r>
      <w:r w:rsidRPr="005C7E23" w:rsidR="00C867BC">
        <w:rPr>
          <w:szCs w:val="26"/>
        </w:rPr>
        <w:t>following</w:t>
      </w:r>
      <w:r w:rsidRPr="005C7E23">
        <w:rPr>
          <w:szCs w:val="26"/>
        </w:rPr>
        <w:t xml:space="preserve"> </w:t>
      </w:r>
      <w:r w:rsidRPr="005C7E23" w:rsidR="00E146ED">
        <w:rPr>
          <w:szCs w:val="26"/>
        </w:rPr>
        <w:t>currently approved information collection</w:t>
      </w:r>
      <w:r w:rsidRPr="005C7E23">
        <w:rPr>
          <w:szCs w:val="26"/>
        </w:rPr>
        <w:t>s</w:t>
      </w:r>
      <w:r w:rsidRPr="005C7E23" w:rsidR="00C867BC">
        <w:rPr>
          <w:szCs w:val="26"/>
        </w:rPr>
        <w:t>:</w:t>
      </w:r>
      <w:r w:rsidRPr="005C7E23" w:rsidR="008B535A">
        <w:rPr>
          <w:szCs w:val="26"/>
        </w:rPr>
        <w:t xml:space="preserve"> </w:t>
      </w:r>
      <w:r w:rsidRPr="005C7E23" w:rsidR="00DA401A">
        <w:rPr>
          <w:szCs w:val="26"/>
        </w:rPr>
        <w:t>FERC-547 (</w:t>
      </w:r>
      <w:bookmarkStart w:id="0" w:name="_Hlk106029981"/>
      <w:r w:rsidRPr="005C7E23" w:rsidR="00DA401A">
        <w:rPr>
          <w:szCs w:val="26"/>
        </w:rPr>
        <w:t>Gas Pipeline Rates: Refund Report Requirements</w:t>
      </w:r>
      <w:bookmarkEnd w:id="0"/>
      <w:r w:rsidRPr="005C7E23" w:rsidR="00DA401A">
        <w:rPr>
          <w:szCs w:val="26"/>
        </w:rPr>
        <w:t>)</w:t>
      </w:r>
      <w:r w:rsidRPr="005C7E23" w:rsidR="00182DA5">
        <w:rPr>
          <w:szCs w:val="26"/>
        </w:rPr>
        <w:t xml:space="preserve">, </w:t>
      </w:r>
      <w:r w:rsidRPr="005C7E23" w:rsidR="008B535A">
        <w:rPr>
          <w:szCs w:val="26"/>
        </w:rPr>
        <w:t>FERC-550 (Oil Pipeline Rates ― Tariff Filings and Depreciation Studies),</w:t>
      </w:r>
      <w:r w:rsidRPr="005C7E23" w:rsidR="0066591B">
        <w:rPr>
          <w:szCs w:val="26"/>
        </w:rPr>
        <w:t xml:space="preserve"> and</w:t>
      </w:r>
      <w:r w:rsidRPr="005C7E23" w:rsidR="008B535A">
        <w:rPr>
          <w:szCs w:val="26"/>
        </w:rPr>
        <w:t xml:space="preserve"> </w:t>
      </w:r>
      <w:r w:rsidRPr="005C7E23" w:rsidR="00DA401A">
        <w:rPr>
          <w:szCs w:val="26"/>
        </w:rPr>
        <w:t>FERC-914 (Cogeneration and Small Power Production – Tariff Filings).</w:t>
      </w:r>
      <w:r w:rsidRPr="005C7E23" w:rsidR="4E3766CD">
        <w:rPr>
          <w:szCs w:val="26"/>
        </w:rPr>
        <w:t xml:space="preserve"> There are no changes to the information collection requirements.</w:t>
      </w:r>
    </w:p>
    <w:p w:rsidR="740D4924" w:rsidRPr="005C7E23" w:rsidP="36228562" w14:paraId="6F41C539" w14:textId="211B6563">
      <w:pPr>
        <w:spacing w:line="480" w:lineRule="auto"/>
        <w:rPr>
          <w:color w:val="000000" w:themeColor="text1"/>
          <w:szCs w:val="26"/>
        </w:rPr>
      </w:pPr>
      <w:r w:rsidRPr="005C7E23">
        <w:rPr>
          <w:b/>
          <w:bCs/>
          <w:color w:val="000000" w:themeColor="text1"/>
          <w:szCs w:val="26"/>
        </w:rPr>
        <w:t>DATES:</w:t>
      </w:r>
      <w:r w:rsidRPr="005C7E23">
        <w:rPr>
          <w:color w:val="000000" w:themeColor="text1"/>
          <w:szCs w:val="26"/>
        </w:rPr>
        <w:t xml:space="preserve"> Comments on the collections of information are due [</w:t>
      </w:r>
      <w:r w:rsidRPr="005C7E23">
        <w:rPr>
          <w:b/>
          <w:bCs/>
          <w:color w:val="000000" w:themeColor="text1"/>
          <w:szCs w:val="26"/>
        </w:rPr>
        <w:t xml:space="preserve">INSERT DATE </w:t>
      </w:r>
      <w:r w:rsidRPr="005C7E23" w:rsidR="4E4E28D9">
        <w:rPr>
          <w:b/>
          <w:bCs/>
          <w:color w:val="000000" w:themeColor="text1"/>
          <w:szCs w:val="26"/>
        </w:rPr>
        <w:t>3</w:t>
      </w:r>
      <w:r w:rsidRPr="005C7E23">
        <w:rPr>
          <w:b/>
          <w:bCs/>
          <w:color w:val="000000" w:themeColor="text1"/>
          <w:szCs w:val="26"/>
        </w:rPr>
        <w:t>0 DAYS AFTER DATE OF PUBLICATION IN THE FEDERAL REGISTER</w:t>
      </w:r>
      <w:r w:rsidRPr="005C7E23">
        <w:rPr>
          <w:color w:val="000000" w:themeColor="text1"/>
          <w:szCs w:val="26"/>
        </w:rPr>
        <w:t xml:space="preserve">]. </w:t>
      </w:r>
    </w:p>
    <w:p w:rsidR="740D4924" w:rsidRPr="005C7E23" w:rsidP="36228562" w14:paraId="3BA85D58" w14:textId="47F12438">
      <w:pPr>
        <w:spacing w:line="480" w:lineRule="auto"/>
        <w:rPr>
          <w:color w:val="000000" w:themeColor="text1"/>
          <w:szCs w:val="26"/>
        </w:rPr>
      </w:pPr>
      <w:r w:rsidRPr="005C7E23">
        <w:rPr>
          <w:b/>
          <w:bCs/>
          <w:color w:val="000000" w:themeColor="text1"/>
          <w:szCs w:val="26"/>
        </w:rPr>
        <w:t>ADDRESSES:</w:t>
      </w:r>
      <w:r w:rsidRPr="005C7E23">
        <w:rPr>
          <w:color w:val="000000" w:themeColor="text1"/>
          <w:szCs w:val="26"/>
        </w:rPr>
        <w:t xml:space="preserve"> </w:t>
      </w:r>
      <w:r w:rsidRPr="005C7E23" w:rsidR="1705C941">
        <w:rPr>
          <w:color w:val="000000" w:themeColor="text1"/>
          <w:szCs w:val="26"/>
        </w:rPr>
        <w:t xml:space="preserve">Send written comments on to OMB through </w:t>
      </w:r>
    </w:p>
    <w:p w:rsidR="740D4924" w:rsidRPr="005C7E23" w:rsidP="6D38A879" w14:paraId="5B9BB7EE" w14:textId="26D93CD5">
      <w:pPr>
        <w:pStyle w:val="ListParagraph"/>
        <w:numPr>
          <w:ilvl w:val="0"/>
          <w:numId w:val="1"/>
        </w:numPr>
        <w:spacing w:line="480" w:lineRule="auto"/>
        <w:rPr>
          <w:color w:val="000000" w:themeColor="text1"/>
          <w:szCs w:val="26"/>
          <w:lang w:val="pt-BR"/>
        </w:rPr>
      </w:pPr>
      <w:r w:rsidRPr="005C7E23">
        <w:rPr>
          <w:szCs w:val="26"/>
          <w:lang w:val="pt-BR"/>
        </w:rPr>
        <w:t xml:space="preserve">FERC-550: </w:t>
      </w:r>
      <w:hyperlink r:id="rId10">
        <w:r w:rsidRPr="005C7E23">
          <w:rPr>
            <w:rStyle w:val="Hyperlink"/>
            <w:szCs w:val="26"/>
            <w:lang w:val="pt-BR"/>
          </w:rPr>
          <w:t>https://www.reginfo.gov/public/do/PRA/icrPublicCommentRequest?ref_nbr=</w:t>
        </w:r>
        <w:r w:rsidRPr="005C7E23" w:rsidR="5E5137BB">
          <w:rPr>
            <w:rStyle w:val="Hyperlink"/>
            <w:szCs w:val="26"/>
            <w:lang w:val="pt-BR"/>
          </w:rPr>
          <w:t>202603-1902-009</w:t>
        </w:r>
        <w:r w:rsidRPr="005C7E23">
          <w:rPr>
            <w:rStyle w:val="Hyperlink"/>
            <w:szCs w:val="26"/>
            <w:lang w:val="pt-BR"/>
          </w:rPr>
          <w:t>.</w:t>
        </w:r>
      </w:hyperlink>
    </w:p>
    <w:p w:rsidR="740D4924" w:rsidRPr="005C7E23" w:rsidP="560E9543" w14:paraId="14F56307" w14:textId="2DFA4AB0">
      <w:pPr>
        <w:pStyle w:val="ListParagraph"/>
        <w:numPr>
          <w:ilvl w:val="0"/>
          <w:numId w:val="1"/>
        </w:numPr>
        <w:spacing w:line="480" w:lineRule="auto"/>
        <w:rPr>
          <w:color w:val="000000" w:themeColor="text1"/>
          <w:szCs w:val="26"/>
          <w:lang w:val="pt-BR"/>
        </w:rPr>
      </w:pPr>
      <w:r w:rsidRPr="005C7E23">
        <w:rPr>
          <w:szCs w:val="26"/>
          <w:lang w:val="pt-BR"/>
        </w:rPr>
        <w:t xml:space="preserve">FERC-547: </w:t>
      </w:r>
      <w:hyperlink r:id="rId11">
        <w:r w:rsidRPr="005C7E23">
          <w:rPr>
            <w:rStyle w:val="Hyperlink"/>
            <w:szCs w:val="26"/>
            <w:lang w:val="pt-BR"/>
          </w:rPr>
          <w:t>https://www.reginfo.gov/public/do/PRA/icrPublicCommentRequest?ref_nbr=</w:t>
        </w:r>
        <w:r w:rsidRPr="005C7E23" w:rsidR="7FCF72DE">
          <w:rPr>
            <w:rStyle w:val="Hyperlink"/>
            <w:szCs w:val="26"/>
            <w:lang w:val="pt-BR"/>
          </w:rPr>
          <w:t>202603-1902-005</w:t>
        </w:r>
      </w:hyperlink>
    </w:p>
    <w:p w:rsidR="740D4924" w:rsidRPr="005C7E23" w:rsidP="36228562" w14:paraId="7AA481A1" w14:textId="47AE3075">
      <w:pPr>
        <w:pStyle w:val="ListParagraph"/>
        <w:numPr>
          <w:ilvl w:val="0"/>
          <w:numId w:val="1"/>
        </w:numPr>
        <w:spacing w:line="480" w:lineRule="auto"/>
        <w:rPr>
          <w:color w:val="000000" w:themeColor="text1"/>
          <w:szCs w:val="26"/>
        </w:rPr>
      </w:pPr>
      <w:r w:rsidRPr="005C7E23">
        <w:rPr>
          <w:szCs w:val="26"/>
        </w:rPr>
        <w:t xml:space="preserve">FEERC-914 </w:t>
      </w:r>
      <w:hyperlink r:id="rId12">
        <w:r w:rsidRPr="005C7E23">
          <w:rPr>
            <w:rStyle w:val="Hyperlink"/>
            <w:szCs w:val="26"/>
          </w:rPr>
          <w:t>https://www.reginfo.gov/public/do/PRA/icrPublicCommentRequest?ref_nbr= 202603-1902-00</w:t>
        </w:r>
        <w:r w:rsidRPr="005C7E23" w:rsidR="38F6F32C">
          <w:rPr>
            <w:rStyle w:val="Hyperlink"/>
            <w:szCs w:val="26"/>
          </w:rPr>
          <w:t>4</w:t>
        </w:r>
      </w:hyperlink>
      <w:r w:rsidRPr="005C7E23">
        <w:rPr>
          <w:color w:val="000000" w:themeColor="text1"/>
          <w:szCs w:val="26"/>
        </w:rPr>
        <w:t xml:space="preserve">  </w:t>
      </w:r>
    </w:p>
    <w:p w:rsidR="740D4924" w:rsidRPr="005C7E23" w:rsidP="36228562" w14:paraId="65F1EA05" w14:textId="74A3EA11">
      <w:pPr>
        <w:spacing w:line="480" w:lineRule="auto"/>
        <w:rPr>
          <w:color w:val="000000" w:themeColor="text1"/>
          <w:szCs w:val="26"/>
        </w:rPr>
      </w:pPr>
      <w:r w:rsidRPr="005C7E23">
        <w:rPr>
          <w:color w:val="000000" w:themeColor="text1"/>
          <w:szCs w:val="26"/>
        </w:rPr>
        <w:t xml:space="preserve">You can also visit </w:t>
      </w:r>
      <w:hyperlink r:id="rId13">
        <w:r w:rsidRPr="005C7E23">
          <w:rPr>
            <w:rStyle w:val="Hyperlink"/>
            <w:szCs w:val="26"/>
          </w:rPr>
          <w:t>https://www.reginfo.gov/public/do/PRAMain</w:t>
        </w:r>
      </w:hyperlink>
      <w:r w:rsidRPr="005C7E23">
        <w:rPr>
          <w:color w:val="000000" w:themeColor="text1"/>
          <w:szCs w:val="26"/>
        </w:rPr>
        <w:t xml:space="preserve"> and use the drop-down under “Currently under Review” to select the “Federal Energy Regulatory Commission” where you can see the open opportunities to provide comments. Comments should be sent within 30 days of publication of this notice.</w:t>
      </w:r>
      <w:r w:rsidRPr="005C7E23">
        <w:rPr>
          <w:szCs w:val="26"/>
        </w:rPr>
        <w:t xml:space="preserve"> </w:t>
      </w:r>
    </w:p>
    <w:p w:rsidR="740D4924" w:rsidRPr="005C7E23" w:rsidP="36228562" w14:paraId="5DD1A881" w14:textId="018F8EAC">
      <w:pPr>
        <w:spacing w:line="480" w:lineRule="auto"/>
        <w:rPr>
          <w:color w:val="000000" w:themeColor="text1"/>
          <w:szCs w:val="26"/>
        </w:rPr>
      </w:pPr>
      <w:r w:rsidRPr="005C7E23">
        <w:rPr>
          <w:color w:val="000000" w:themeColor="text1"/>
          <w:szCs w:val="26"/>
        </w:rPr>
        <w:t>Please submit</w:t>
      </w:r>
      <w:r w:rsidRPr="005C7E23" w:rsidR="719A66EF">
        <w:rPr>
          <w:color w:val="000000" w:themeColor="text1"/>
          <w:szCs w:val="26"/>
        </w:rPr>
        <w:t xml:space="preserve"> a copy of your</w:t>
      </w:r>
      <w:r w:rsidRPr="005C7E23">
        <w:rPr>
          <w:color w:val="000000" w:themeColor="text1"/>
          <w:szCs w:val="26"/>
        </w:rPr>
        <w:t xml:space="preserve"> comments via email to </w:t>
      </w:r>
      <w:hyperlink r:id="rId14">
        <w:r w:rsidRPr="005C7E23">
          <w:rPr>
            <w:rStyle w:val="Hyperlink"/>
            <w:szCs w:val="26"/>
          </w:rPr>
          <w:t>DataClearance@FERC.gov</w:t>
        </w:r>
      </w:hyperlink>
      <w:r w:rsidRPr="005C7E23">
        <w:rPr>
          <w:color w:val="000000" w:themeColor="text1"/>
          <w:szCs w:val="26"/>
        </w:rPr>
        <w:t xml:space="preserve">. </w:t>
      </w:r>
      <w:r w:rsidRPr="005C7E23" w:rsidR="004132B6">
        <w:rPr>
          <w:color w:val="000000" w:themeColor="text1"/>
          <w:szCs w:val="26"/>
        </w:rPr>
        <w:t xml:space="preserve"> </w:t>
      </w:r>
      <w:r w:rsidRPr="005C7E23">
        <w:rPr>
          <w:color w:val="000000" w:themeColor="text1"/>
          <w:szCs w:val="26"/>
        </w:rPr>
        <w:t>You must specify the Docket No. (IC2</w:t>
      </w:r>
      <w:r w:rsidRPr="005C7E23" w:rsidR="008A2949">
        <w:rPr>
          <w:color w:val="000000" w:themeColor="text1"/>
          <w:szCs w:val="26"/>
        </w:rPr>
        <w:t>6</w:t>
      </w:r>
      <w:r w:rsidRPr="005C7E23">
        <w:rPr>
          <w:color w:val="000000" w:themeColor="text1"/>
          <w:szCs w:val="26"/>
        </w:rPr>
        <w:t>-1</w:t>
      </w:r>
      <w:r w:rsidRPr="005C7E23" w:rsidR="008A2949">
        <w:rPr>
          <w:color w:val="000000" w:themeColor="text1"/>
          <w:szCs w:val="26"/>
        </w:rPr>
        <w:t>0</w:t>
      </w:r>
      <w:r w:rsidRPr="005C7E23">
        <w:rPr>
          <w:color w:val="000000" w:themeColor="text1"/>
          <w:szCs w:val="26"/>
        </w:rPr>
        <w:t>-000) and the FERC Information Collection</w:t>
      </w:r>
      <w:r w:rsidRPr="005C7E23">
        <w:rPr>
          <w:b/>
          <w:bCs/>
          <w:color w:val="000000" w:themeColor="text1"/>
          <w:szCs w:val="26"/>
        </w:rPr>
        <w:t xml:space="preserve"> </w:t>
      </w:r>
      <w:r w:rsidRPr="005C7E23">
        <w:rPr>
          <w:color w:val="000000" w:themeColor="text1"/>
          <w:szCs w:val="26"/>
        </w:rPr>
        <w:t>number (</w:t>
      </w:r>
      <w:r w:rsidRPr="005C7E23" w:rsidR="001458CA">
        <w:rPr>
          <w:color w:val="000000" w:themeColor="text1"/>
          <w:szCs w:val="26"/>
        </w:rPr>
        <w:t>FERC-547</w:t>
      </w:r>
      <w:r w:rsidRPr="005C7E23" w:rsidR="007637AD">
        <w:rPr>
          <w:color w:val="000000" w:themeColor="text1"/>
          <w:szCs w:val="26"/>
        </w:rPr>
        <w:t xml:space="preserve">, FERC-550, </w:t>
      </w:r>
      <w:r w:rsidRPr="005C7E23" w:rsidR="001458CA">
        <w:rPr>
          <w:color w:val="000000" w:themeColor="text1"/>
          <w:szCs w:val="26"/>
        </w:rPr>
        <w:t>FERC-914</w:t>
      </w:r>
      <w:r w:rsidRPr="005C7E23">
        <w:rPr>
          <w:color w:val="000000" w:themeColor="text1"/>
          <w:szCs w:val="26"/>
        </w:rPr>
        <w:t>) in your email.</w:t>
      </w:r>
      <w:r w:rsidRPr="005C7E23" w:rsidR="004132B6">
        <w:rPr>
          <w:color w:val="000000" w:themeColor="text1"/>
          <w:szCs w:val="26"/>
        </w:rPr>
        <w:t xml:space="preserve"> </w:t>
      </w:r>
      <w:r w:rsidRPr="005C7E23">
        <w:rPr>
          <w:color w:val="000000" w:themeColor="text1"/>
          <w:szCs w:val="26"/>
        </w:rPr>
        <w:t xml:space="preserve"> If you are unable to file electronically, comments may be filed by USPS mail or by hand (including courier) delivery:</w:t>
      </w:r>
    </w:p>
    <w:p w:rsidR="740D4924" w:rsidRPr="005C7E23" w:rsidP="549EAD48" w14:paraId="5C517DCB" w14:textId="0B9E4010">
      <w:pPr>
        <w:pStyle w:val="ListParagraph"/>
        <w:numPr>
          <w:ilvl w:val="0"/>
          <w:numId w:val="2"/>
        </w:numPr>
        <w:spacing w:line="480" w:lineRule="auto"/>
        <w:rPr>
          <w:color w:val="000000" w:themeColor="text1"/>
          <w:szCs w:val="26"/>
        </w:rPr>
      </w:pPr>
      <w:r w:rsidRPr="005C7E23">
        <w:rPr>
          <w:color w:val="000000" w:themeColor="text1"/>
          <w:szCs w:val="26"/>
        </w:rPr>
        <w:t>Mail via U.S. Postal Service only, addressed to: Federal Energy Regulatory Commission, Secretary of the Commission, 888 First Street, N.E., Washington, DC 20426.</w:t>
      </w:r>
    </w:p>
    <w:p w:rsidR="740D4924" w:rsidRPr="005C7E23" w:rsidP="549EAD48" w14:paraId="16D4AAD1" w14:textId="7DB05EA1">
      <w:pPr>
        <w:pStyle w:val="ListParagraph"/>
        <w:numPr>
          <w:ilvl w:val="0"/>
          <w:numId w:val="2"/>
        </w:numPr>
        <w:spacing w:line="480" w:lineRule="auto"/>
        <w:rPr>
          <w:color w:val="000000" w:themeColor="text1"/>
          <w:szCs w:val="26"/>
        </w:rPr>
      </w:pPr>
      <w:r w:rsidRPr="005C7E23">
        <w:rPr>
          <w:color w:val="000000" w:themeColor="text1"/>
          <w:szCs w:val="26"/>
        </w:rPr>
        <w:t>Hand (including courier) delivery to: Federal Energy Regulatory Commission, 12225 Wilkins Avenue, Rockville, MD 20852.</w:t>
      </w:r>
    </w:p>
    <w:p w:rsidR="740D4924" w:rsidRPr="005C7E23" w:rsidP="7E143282" w14:paraId="6A9D81C1" w14:textId="015594DA">
      <w:pPr>
        <w:spacing w:line="480" w:lineRule="auto"/>
        <w:rPr>
          <w:color w:val="000000" w:themeColor="text1"/>
          <w:szCs w:val="26"/>
        </w:rPr>
      </w:pPr>
      <w:r w:rsidRPr="005C7E23">
        <w:rPr>
          <w:i/>
          <w:iCs/>
          <w:color w:val="000000" w:themeColor="text1"/>
          <w:szCs w:val="26"/>
        </w:rPr>
        <w:t>Docket:</w:t>
      </w:r>
      <w:r w:rsidRPr="005C7E23">
        <w:rPr>
          <w:color w:val="000000" w:themeColor="text1"/>
          <w:szCs w:val="26"/>
        </w:rPr>
        <w:t xml:space="preserve"> To view comments and issuances in this docket, please visit </w:t>
      </w:r>
      <w:hyperlink r:id="rId15">
        <w:r w:rsidRPr="005C7E23">
          <w:rPr>
            <w:rStyle w:val="Hyperlink"/>
            <w:szCs w:val="26"/>
          </w:rPr>
          <w:t>https://elibrary.ferc.gov/eLibrary/search</w:t>
        </w:r>
      </w:hyperlink>
      <w:r w:rsidRPr="005C7E23">
        <w:rPr>
          <w:color w:val="000000" w:themeColor="text1"/>
          <w:szCs w:val="26"/>
        </w:rPr>
        <w:t>.</w:t>
      </w:r>
      <w:r w:rsidRPr="005C7E23" w:rsidR="003219A5">
        <w:rPr>
          <w:color w:val="000000" w:themeColor="text1"/>
          <w:szCs w:val="26"/>
        </w:rPr>
        <w:t xml:space="preserve"> </w:t>
      </w:r>
      <w:r w:rsidRPr="005C7E23" w:rsidR="002E5CD1">
        <w:rPr>
          <w:color w:val="000000" w:themeColor="text1"/>
          <w:szCs w:val="26"/>
        </w:rPr>
        <w:t xml:space="preserve"> </w:t>
      </w:r>
      <w:r w:rsidRPr="005C7E23" w:rsidR="003219A5">
        <w:rPr>
          <w:color w:val="000000" w:themeColor="text1"/>
          <w:szCs w:val="26"/>
        </w:rPr>
        <w:t>Once there</w:t>
      </w:r>
      <w:r w:rsidRPr="005C7E23" w:rsidR="00D45C1F">
        <w:rPr>
          <w:color w:val="000000" w:themeColor="text1"/>
          <w:szCs w:val="26"/>
        </w:rPr>
        <w:t xml:space="preserve">, you can also sign-up for automatic </w:t>
      </w:r>
      <w:r w:rsidRPr="005C7E23" w:rsidR="00863444">
        <w:rPr>
          <w:color w:val="000000" w:themeColor="text1"/>
          <w:szCs w:val="26"/>
        </w:rPr>
        <w:t>notification of activity in</w:t>
      </w:r>
      <w:r w:rsidRPr="005C7E23" w:rsidR="003B0E53">
        <w:rPr>
          <w:color w:val="000000" w:themeColor="text1"/>
          <w:szCs w:val="26"/>
        </w:rPr>
        <w:t xml:space="preserve"> this docket.</w:t>
      </w:r>
    </w:p>
    <w:p w:rsidR="740D4924" w:rsidRPr="005C7E23" w:rsidP="549EAD48" w14:paraId="6720A0BA" w14:textId="13169623">
      <w:pPr>
        <w:spacing w:line="480" w:lineRule="auto"/>
        <w:rPr>
          <w:color w:val="000000" w:themeColor="text1"/>
          <w:szCs w:val="26"/>
        </w:rPr>
      </w:pPr>
      <w:r w:rsidRPr="005C7E23">
        <w:rPr>
          <w:b/>
          <w:bCs/>
          <w:color w:val="000000" w:themeColor="text1"/>
          <w:szCs w:val="26"/>
        </w:rPr>
        <w:t>FOR FURTHER INFORMATION:</w:t>
      </w:r>
      <w:r w:rsidRPr="005C7E23">
        <w:rPr>
          <w:color w:val="000000" w:themeColor="text1"/>
          <w:szCs w:val="26"/>
        </w:rPr>
        <w:t xml:space="preserve"> Kayla Williams may be reached by e-mail at </w:t>
      </w:r>
      <w:hyperlink r:id="rId14">
        <w:r w:rsidRPr="005C7E23">
          <w:rPr>
            <w:rStyle w:val="Hyperlink"/>
            <w:szCs w:val="26"/>
          </w:rPr>
          <w:t>DataClearance@FERC.gov</w:t>
        </w:r>
      </w:hyperlink>
      <w:r w:rsidRPr="005C7E23">
        <w:rPr>
          <w:color w:val="000000" w:themeColor="text1"/>
          <w:szCs w:val="26"/>
        </w:rPr>
        <w:t>, or by telephone at (202)502-6468.</w:t>
      </w:r>
    </w:p>
    <w:p w:rsidR="00C056FE" w:rsidRPr="005C7E23" w:rsidP="549EAD48" w14:paraId="20207DF2" w14:textId="77777777">
      <w:pPr>
        <w:spacing w:line="480" w:lineRule="auto"/>
        <w:rPr>
          <w:szCs w:val="26"/>
        </w:rPr>
      </w:pPr>
      <w:r w:rsidRPr="005C7E23">
        <w:rPr>
          <w:szCs w:val="26"/>
        </w:rPr>
        <w:t xml:space="preserve"> </w:t>
      </w:r>
      <w:r w:rsidRPr="005C7E23">
        <w:rPr>
          <w:b/>
          <w:bCs/>
          <w:szCs w:val="26"/>
        </w:rPr>
        <w:t>SUPPLEMENTARY INFORMATION:</w:t>
      </w:r>
      <w:r w:rsidRPr="005C7E23">
        <w:rPr>
          <w:szCs w:val="26"/>
        </w:rPr>
        <w:t xml:space="preserve">  </w:t>
      </w:r>
    </w:p>
    <w:p w:rsidR="00C056FE" w:rsidRPr="005C7E23" w:rsidP="549EAD48" w14:paraId="198C6D21" w14:textId="3D785AB2">
      <w:pPr>
        <w:spacing w:line="480" w:lineRule="auto"/>
        <w:rPr>
          <w:i/>
          <w:iCs/>
          <w:szCs w:val="26"/>
        </w:rPr>
      </w:pPr>
      <w:r w:rsidRPr="005C7E23">
        <w:rPr>
          <w:i/>
          <w:iCs/>
          <w:szCs w:val="26"/>
        </w:rPr>
        <w:t>Title:</w:t>
      </w:r>
      <w:r w:rsidRPr="005C7E23" w:rsidR="00CD787F">
        <w:rPr>
          <w:i/>
          <w:iCs/>
          <w:szCs w:val="26"/>
        </w:rPr>
        <w:t xml:space="preserve"> </w:t>
      </w:r>
      <w:r w:rsidRPr="005C7E23" w:rsidR="006E61AE">
        <w:rPr>
          <w:szCs w:val="26"/>
        </w:rPr>
        <w:t xml:space="preserve">FERC-547 </w:t>
      </w:r>
      <w:r w:rsidRPr="005C7E23" w:rsidR="0053627E">
        <w:rPr>
          <w:szCs w:val="26"/>
        </w:rPr>
        <w:t>(</w:t>
      </w:r>
      <w:r w:rsidRPr="005C7E23" w:rsidR="006E61AE">
        <w:rPr>
          <w:szCs w:val="26"/>
        </w:rPr>
        <w:t>Gas Pipeline Rates: Refund Report Requirements</w:t>
      </w:r>
      <w:r w:rsidRPr="005C7E23" w:rsidR="0053627E">
        <w:rPr>
          <w:szCs w:val="26"/>
        </w:rPr>
        <w:t>)</w:t>
      </w:r>
      <w:r w:rsidRPr="005C7E23" w:rsidR="006E61AE">
        <w:rPr>
          <w:szCs w:val="26"/>
        </w:rPr>
        <w:t xml:space="preserve">; FERC-550 </w:t>
      </w:r>
      <w:r w:rsidRPr="005C7E23" w:rsidR="0053627E">
        <w:rPr>
          <w:szCs w:val="26"/>
        </w:rPr>
        <w:t>(</w:t>
      </w:r>
      <w:r w:rsidRPr="005C7E23" w:rsidR="006E61AE">
        <w:rPr>
          <w:szCs w:val="26"/>
        </w:rPr>
        <w:t>Oil Pipeline Rates ― Tariff Filings and Depreciation Studies</w:t>
      </w:r>
      <w:r w:rsidRPr="005C7E23" w:rsidR="0053627E">
        <w:rPr>
          <w:szCs w:val="26"/>
        </w:rPr>
        <w:t>)</w:t>
      </w:r>
      <w:r w:rsidRPr="005C7E23" w:rsidR="006E61AE">
        <w:rPr>
          <w:szCs w:val="26"/>
        </w:rPr>
        <w:t>; and FERC-914</w:t>
      </w:r>
      <w:r w:rsidRPr="005C7E23" w:rsidR="0053627E">
        <w:rPr>
          <w:szCs w:val="26"/>
        </w:rPr>
        <w:t xml:space="preserve"> (</w:t>
      </w:r>
      <w:r w:rsidRPr="005C7E23" w:rsidR="006E61AE">
        <w:rPr>
          <w:szCs w:val="26"/>
        </w:rPr>
        <w:t>Cogeneration and Small Power Production – Tariff Filings</w:t>
      </w:r>
      <w:r w:rsidRPr="005C7E23" w:rsidR="0053627E">
        <w:rPr>
          <w:szCs w:val="26"/>
        </w:rPr>
        <w:t>)</w:t>
      </w:r>
      <w:r w:rsidRPr="005C7E23" w:rsidR="006E61AE">
        <w:rPr>
          <w:szCs w:val="26"/>
        </w:rPr>
        <w:t>.</w:t>
      </w:r>
    </w:p>
    <w:p w:rsidR="00C056FE" w:rsidRPr="005C7E23" w:rsidP="549EAD48" w14:paraId="3B435804" w14:textId="082D0791">
      <w:pPr>
        <w:spacing w:line="480" w:lineRule="auto"/>
        <w:rPr>
          <w:szCs w:val="26"/>
        </w:rPr>
      </w:pPr>
      <w:r w:rsidRPr="005C7E23">
        <w:rPr>
          <w:i/>
          <w:iCs/>
          <w:szCs w:val="26"/>
        </w:rPr>
        <w:t>OMB Control N</w:t>
      </w:r>
      <w:r w:rsidRPr="005C7E23" w:rsidR="00E2583B">
        <w:rPr>
          <w:i/>
          <w:iCs/>
          <w:szCs w:val="26"/>
        </w:rPr>
        <w:t>umbers</w:t>
      </w:r>
      <w:r w:rsidRPr="005C7E23">
        <w:rPr>
          <w:i/>
          <w:iCs/>
          <w:szCs w:val="26"/>
        </w:rPr>
        <w:t>:</w:t>
      </w:r>
      <w:r w:rsidRPr="005C7E23" w:rsidR="00F50EDA">
        <w:rPr>
          <w:szCs w:val="26"/>
        </w:rPr>
        <w:t xml:space="preserve"> </w:t>
      </w:r>
      <w:r w:rsidRPr="005C7E23" w:rsidR="002B7BED">
        <w:rPr>
          <w:szCs w:val="26"/>
        </w:rPr>
        <w:t xml:space="preserve">1902-0084, </w:t>
      </w:r>
      <w:r w:rsidRPr="005C7E23" w:rsidR="00C70C05">
        <w:rPr>
          <w:szCs w:val="26"/>
        </w:rPr>
        <w:t xml:space="preserve">1902-0089, </w:t>
      </w:r>
      <w:r w:rsidRPr="005C7E23" w:rsidR="006E61AE">
        <w:rPr>
          <w:szCs w:val="26"/>
        </w:rPr>
        <w:t xml:space="preserve">1902-0231 </w:t>
      </w:r>
    </w:p>
    <w:p w:rsidR="00C056FE" w:rsidRPr="005C7E23" w:rsidP="549EAD48" w14:paraId="219460CE" w14:textId="2D408587">
      <w:pPr>
        <w:spacing w:line="480" w:lineRule="auto"/>
        <w:rPr>
          <w:szCs w:val="26"/>
        </w:rPr>
      </w:pPr>
      <w:r w:rsidRPr="005C7E23">
        <w:rPr>
          <w:i/>
          <w:iCs/>
          <w:szCs w:val="26"/>
        </w:rPr>
        <w:t>Type of Request:</w:t>
      </w:r>
      <w:r w:rsidRPr="005C7E23">
        <w:rPr>
          <w:szCs w:val="26"/>
        </w:rPr>
        <w:t xml:space="preserve"> Three-year extension of the</w:t>
      </w:r>
      <w:r w:rsidRPr="005C7E23" w:rsidR="00691BBF">
        <w:rPr>
          <w:szCs w:val="26"/>
        </w:rPr>
        <w:t xml:space="preserve"> FERC-547</w:t>
      </w:r>
      <w:r w:rsidRPr="005C7E23" w:rsidR="0082185B">
        <w:rPr>
          <w:szCs w:val="26"/>
        </w:rPr>
        <w:t xml:space="preserve">, FERC-550, and </w:t>
      </w:r>
      <w:r w:rsidRPr="005C7E23" w:rsidR="001458CA">
        <w:rPr>
          <w:szCs w:val="26"/>
        </w:rPr>
        <w:t>FERC-914</w:t>
      </w:r>
      <w:r w:rsidRPr="005C7E23">
        <w:rPr>
          <w:szCs w:val="26"/>
        </w:rPr>
        <w:t xml:space="preserve"> information collection </w:t>
      </w:r>
      <w:r w:rsidRPr="005C7E23" w:rsidR="009447D3">
        <w:rPr>
          <w:szCs w:val="26"/>
        </w:rPr>
        <w:t xml:space="preserve">requirements with no changes to the current reporting requirements. </w:t>
      </w:r>
    </w:p>
    <w:p w:rsidR="00F50EDA" w:rsidRPr="005C7E23" w:rsidP="549EAD48" w14:paraId="54528006" w14:textId="5AC8AC68">
      <w:pPr>
        <w:spacing w:line="480" w:lineRule="auto"/>
        <w:rPr>
          <w:i/>
          <w:iCs/>
          <w:szCs w:val="26"/>
        </w:rPr>
      </w:pPr>
      <w:r w:rsidRPr="005C7E23">
        <w:rPr>
          <w:i/>
          <w:iCs/>
          <w:szCs w:val="26"/>
        </w:rPr>
        <w:t xml:space="preserve">Abstract: </w:t>
      </w:r>
    </w:p>
    <w:p w:rsidR="00971E20" w:rsidRPr="005C7E23" w:rsidP="549EAD48" w14:paraId="0B400726" w14:textId="77777777">
      <w:pPr>
        <w:spacing w:line="480" w:lineRule="auto"/>
        <w:rPr>
          <w:b/>
          <w:bCs/>
          <w:szCs w:val="26"/>
        </w:rPr>
      </w:pPr>
      <w:r w:rsidRPr="005C7E23">
        <w:rPr>
          <w:b/>
          <w:bCs/>
          <w:szCs w:val="26"/>
        </w:rPr>
        <w:t>FERC 547: Gas Pipeline Rates: Refund Report Requirements</w:t>
      </w:r>
    </w:p>
    <w:p w:rsidR="00971E20" w:rsidRPr="005C7E23" w:rsidP="00971E20" w14:paraId="1D5F13D0" w14:textId="349DD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5C7E23">
        <w:rPr>
          <w:szCs w:val="26"/>
        </w:rPr>
        <w:tab/>
        <w:t>The Commission uses FERC-547 (Gas Pipeline Rates:  Refund Report Requirements) to implement the statutory refund provisions governed by Sections 4, and 16 of the Natural Gas Act (NGA).</w:t>
      </w:r>
      <w:r>
        <w:rPr>
          <w:rStyle w:val="FootnoteReference"/>
        </w:rPr>
        <w:footnoteReference w:id="2"/>
      </w:r>
      <w:r w:rsidRPr="005C7E23">
        <w:rPr>
          <w:szCs w:val="26"/>
        </w:rPr>
        <w:t xml:space="preserve"> </w:t>
      </w:r>
      <w:r w:rsidRPr="005C7E23" w:rsidR="00726397">
        <w:rPr>
          <w:szCs w:val="26"/>
        </w:rPr>
        <w:t xml:space="preserve"> </w:t>
      </w:r>
      <w:r w:rsidRPr="005C7E23">
        <w:rPr>
          <w:szCs w:val="26"/>
        </w:rPr>
        <w:t xml:space="preserve">Section 4 authorizes the Commission to order a refund (with interest) for any portion of a natural gas company’s increased rate or charge found to be unjust or unreasonable.  Refunds may also be instituted by a natural gas </w:t>
      </w:r>
      <w:r w:rsidRPr="005C7E23">
        <w:rPr>
          <w:szCs w:val="26"/>
        </w:rPr>
        <w:t xml:space="preserve">company as a stipulation to a Commission-approved settlement agreement or a provision under the company’s tariff.  Section 16 of the NGA authorizes the Commission to prescribe rules and regulations necessary to administer its refund mandates.  The Commission’s refund reporting requirements </w:t>
      </w:r>
      <w:bookmarkStart w:id="1" w:name="_Int_s0GlXCnz"/>
      <w:r w:rsidRPr="005C7E23">
        <w:rPr>
          <w:szCs w:val="26"/>
        </w:rPr>
        <w:t>are located in</w:t>
      </w:r>
      <w:bookmarkEnd w:id="1"/>
      <w:r w:rsidRPr="005C7E23">
        <w:rPr>
          <w:szCs w:val="26"/>
        </w:rPr>
        <w:t xml:space="preserve"> 18 C</w:t>
      </w:r>
      <w:r w:rsidRPr="005C7E23" w:rsidR="00583700">
        <w:rPr>
          <w:szCs w:val="26"/>
        </w:rPr>
        <w:t>.</w:t>
      </w:r>
      <w:r w:rsidRPr="005C7E23">
        <w:rPr>
          <w:szCs w:val="26"/>
        </w:rPr>
        <w:t>F</w:t>
      </w:r>
      <w:r w:rsidRPr="005C7E23" w:rsidR="00583700">
        <w:rPr>
          <w:szCs w:val="26"/>
        </w:rPr>
        <w:t>.</w:t>
      </w:r>
      <w:r w:rsidRPr="005C7E23">
        <w:rPr>
          <w:szCs w:val="26"/>
        </w:rPr>
        <w:t>R</w:t>
      </w:r>
      <w:r w:rsidRPr="005C7E23" w:rsidR="00583700">
        <w:rPr>
          <w:szCs w:val="26"/>
        </w:rPr>
        <w:t>.</w:t>
      </w:r>
      <w:r w:rsidRPr="005C7E23">
        <w:rPr>
          <w:szCs w:val="26"/>
        </w:rPr>
        <w:t xml:space="preserve"> </w:t>
      </w:r>
      <w:r w:rsidRPr="005C7E23" w:rsidR="00A038B3">
        <w:rPr>
          <w:szCs w:val="26"/>
        </w:rPr>
        <w:t xml:space="preserve">§ </w:t>
      </w:r>
      <w:r w:rsidRPr="005C7E23">
        <w:rPr>
          <w:szCs w:val="26"/>
        </w:rPr>
        <w:t xml:space="preserve">154.501 (Refund Obligations) and </w:t>
      </w:r>
      <w:r w:rsidRPr="005C7E23" w:rsidR="00D124C8">
        <w:rPr>
          <w:szCs w:val="26"/>
        </w:rPr>
        <w:t xml:space="preserve">18 C.F.R. § </w:t>
      </w:r>
      <w:r w:rsidRPr="005C7E23">
        <w:rPr>
          <w:szCs w:val="26"/>
        </w:rPr>
        <w:t>154.502 (Reports).</w:t>
      </w:r>
    </w:p>
    <w:p w:rsidR="00971E20" w:rsidRPr="005C7E23" w:rsidP="549EAD48" w14:paraId="4339D9A3" w14:textId="55D1F72D">
      <w:pPr>
        <w:spacing w:line="480" w:lineRule="auto"/>
        <w:rPr>
          <w:szCs w:val="26"/>
        </w:rPr>
      </w:pPr>
      <w:r w:rsidRPr="005C7E23">
        <w:rPr>
          <w:szCs w:val="26"/>
        </w:rPr>
        <w:tab/>
        <w:t>The Commission uses the data collected in FERC-547 to monitor refunds owed by natural gas companies to ensure that the flow-through of refunds owed by these companies are made as expeditiously as possible and to assure that refunds are made in compliance with the Commission’s regulations.</w:t>
      </w:r>
    </w:p>
    <w:p w:rsidR="00B21599" w:rsidRPr="005C7E23" w:rsidP="549EAD48" w14:paraId="0FA52803" w14:textId="73BA0AB6">
      <w:pPr>
        <w:spacing w:line="480" w:lineRule="auto"/>
        <w:rPr>
          <w:b/>
          <w:bCs/>
          <w:szCs w:val="26"/>
        </w:rPr>
      </w:pPr>
      <w:r w:rsidRPr="005C7E23">
        <w:rPr>
          <w:b/>
          <w:bCs/>
          <w:szCs w:val="26"/>
        </w:rPr>
        <w:t>FERC 550: Oil Pipeline Rates ― Tariff Filings and Depreciation Studies</w:t>
      </w:r>
    </w:p>
    <w:p w:rsidR="00540AD9" w:rsidRPr="005C7E23" w:rsidP="00F11583" w14:paraId="147ADD84" w14:textId="50BAB682">
      <w:pPr>
        <w:spacing w:line="480" w:lineRule="auto"/>
        <w:ind w:firstLine="360"/>
        <w:rPr>
          <w:szCs w:val="26"/>
        </w:rPr>
      </w:pPr>
      <w:r w:rsidRPr="005C7E23">
        <w:rPr>
          <w:szCs w:val="26"/>
        </w:rPr>
        <w:t xml:space="preserve">The </w:t>
      </w:r>
      <w:r w:rsidRPr="005C7E23">
        <w:rPr>
          <w:szCs w:val="26"/>
        </w:rPr>
        <w:t xml:space="preserve">FERC-550 </w:t>
      </w:r>
      <w:r w:rsidRPr="005C7E23" w:rsidR="0053627E">
        <w:rPr>
          <w:szCs w:val="26"/>
        </w:rPr>
        <w:t xml:space="preserve">550 (Oil Pipeline Rates ― Tariff Filings and Depreciation Studies) </w:t>
      </w:r>
      <w:r w:rsidRPr="005C7E23">
        <w:rPr>
          <w:szCs w:val="26"/>
        </w:rPr>
        <w:t>is required to assist the Commission in implementing the duties and powers that were vested on October 1, 1977, in the Interstate Commerce Commission</w:t>
      </w:r>
      <w:r w:rsidRPr="005C7E23" w:rsidR="0053627E">
        <w:rPr>
          <w:szCs w:val="26"/>
        </w:rPr>
        <w:t xml:space="preserve"> pursuant to </w:t>
      </w:r>
      <w:r w:rsidRPr="005C7E23">
        <w:rPr>
          <w:szCs w:val="26"/>
        </w:rPr>
        <w:t>49 U</w:t>
      </w:r>
      <w:r w:rsidRPr="005C7E23" w:rsidR="0053627E">
        <w:rPr>
          <w:szCs w:val="26"/>
        </w:rPr>
        <w:t>.</w:t>
      </w:r>
      <w:r w:rsidRPr="005C7E23">
        <w:rPr>
          <w:szCs w:val="26"/>
        </w:rPr>
        <w:t>S.C. 60502.  The Commission's regulatory jurisdiction over oil pipelines includes:</w:t>
      </w:r>
    </w:p>
    <w:p w:rsidR="00540AD9" w:rsidRPr="005C7E23" w:rsidP="00540AD9" w14:paraId="4890DA3C" w14:textId="77777777">
      <w:pPr>
        <w:spacing w:line="480" w:lineRule="auto"/>
        <w:ind w:left="360" w:hanging="360"/>
        <w:rPr>
          <w:szCs w:val="26"/>
        </w:rPr>
      </w:pPr>
      <w:r w:rsidRPr="005C7E23">
        <w:rPr>
          <w:szCs w:val="26"/>
        </w:rPr>
        <w:t>•</w:t>
      </w:r>
      <w:r w:rsidRPr="005C7E23">
        <w:rPr>
          <w:szCs w:val="26"/>
        </w:rPr>
        <w:tab/>
        <w:t xml:space="preserve">Regulation of rates and practices of oil pipeline companies engaged in interstate transportation; </w:t>
      </w:r>
    </w:p>
    <w:p w:rsidR="00540AD9" w:rsidRPr="005C7E23" w:rsidP="00540AD9" w14:paraId="7810FBFF" w14:textId="77777777">
      <w:pPr>
        <w:spacing w:line="480" w:lineRule="auto"/>
        <w:ind w:left="360" w:hanging="360"/>
        <w:rPr>
          <w:szCs w:val="26"/>
        </w:rPr>
      </w:pPr>
      <w:r w:rsidRPr="005C7E23">
        <w:rPr>
          <w:szCs w:val="26"/>
        </w:rPr>
        <w:t>•</w:t>
      </w:r>
      <w:r w:rsidRPr="005C7E23">
        <w:rPr>
          <w:szCs w:val="26"/>
        </w:rPr>
        <w:tab/>
        <w:t xml:space="preserve">Establishment of equal service conditions to provide shippers with equal access to pipeline transportation; and </w:t>
      </w:r>
    </w:p>
    <w:p w:rsidR="00540AD9" w:rsidRPr="005C7E23" w:rsidP="00540AD9" w14:paraId="3EA05B6D" w14:textId="77777777">
      <w:pPr>
        <w:spacing w:line="480" w:lineRule="auto"/>
        <w:ind w:left="360" w:hanging="360"/>
        <w:rPr>
          <w:szCs w:val="26"/>
        </w:rPr>
      </w:pPr>
      <w:r w:rsidRPr="005C7E23">
        <w:rPr>
          <w:szCs w:val="26"/>
        </w:rPr>
        <w:t>•</w:t>
      </w:r>
      <w:r w:rsidRPr="005C7E23">
        <w:rPr>
          <w:szCs w:val="26"/>
        </w:rPr>
        <w:tab/>
        <w:t>Establishment of reasonable rates for transporting petroleum and petroleum products by pipeline.</w:t>
      </w:r>
    </w:p>
    <w:p w:rsidR="00540AD9" w:rsidRPr="005C7E23" w:rsidP="00540AD9" w14:paraId="28E02CC1" w14:textId="77777777">
      <w:pPr>
        <w:spacing w:line="480" w:lineRule="auto"/>
        <w:rPr>
          <w:szCs w:val="26"/>
          <w:u w:val="single"/>
        </w:rPr>
      </w:pPr>
      <w:r w:rsidRPr="005C7E23">
        <w:rPr>
          <w:szCs w:val="26"/>
          <w:u w:val="single"/>
        </w:rPr>
        <w:t>Oil Pipeline Tariffs and Rates</w:t>
      </w:r>
    </w:p>
    <w:p w:rsidR="00540AD9" w:rsidRPr="005C7E23" w:rsidP="00540AD9" w14:paraId="3B21BEE2" w14:textId="07207085">
      <w:pPr>
        <w:spacing w:line="480" w:lineRule="auto"/>
        <w:ind w:firstLine="720"/>
        <w:rPr>
          <w:szCs w:val="26"/>
        </w:rPr>
      </w:pPr>
      <w:r w:rsidRPr="005C7E23">
        <w:rPr>
          <w:szCs w:val="26"/>
        </w:rPr>
        <w:t>T</w:t>
      </w:r>
      <w:r w:rsidRPr="005C7E23">
        <w:rPr>
          <w:szCs w:val="26"/>
        </w:rPr>
        <w:t>he FERC-550 data collection provide</w:t>
      </w:r>
      <w:r w:rsidRPr="005C7E23">
        <w:rPr>
          <w:szCs w:val="26"/>
        </w:rPr>
        <w:t>s</w:t>
      </w:r>
      <w:r w:rsidRPr="005C7E23">
        <w:rPr>
          <w:szCs w:val="26"/>
        </w:rPr>
        <w:t xml:space="preserve"> the Commission with the information it needs to analyze proposed tariffs, rates, fares, and charges of oil pipelines and other carriers in connection with the transportation of crude oil and petroleum products.  Specifically, these filings typically include indexing, market-based rates, or initial rate filings.  The Commission uses this information to determine whether the proposed tariffs and rates are just and reasonable.</w:t>
      </w:r>
      <w:r>
        <w:rPr>
          <w:b/>
          <w:bCs/>
          <w:szCs w:val="26"/>
          <w:vertAlign w:val="superscript"/>
        </w:rPr>
        <w:footnoteReference w:id="3"/>
      </w:r>
    </w:p>
    <w:p w:rsidR="00540AD9" w:rsidRPr="005C7E23" w:rsidP="00540AD9" w14:paraId="18A4A49E" w14:textId="6958A750">
      <w:pPr>
        <w:spacing w:line="480" w:lineRule="auto"/>
        <w:ind w:firstLine="720"/>
        <w:rPr>
          <w:szCs w:val="26"/>
        </w:rPr>
      </w:pPr>
      <w:r w:rsidRPr="005C7E23">
        <w:rPr>
          <w:szCs w:val="26"/>
        </w:rPr>
        <w:t>The Commission’s regulations at 18 C</w:t>
      </w:r>
      <w:r w:rsidRPr="005C7E23" w:rsidR="0096058A">
        <w:rPr>
          <w:szCs w:val="26"/>
        </w:rPr>
        <w:t>.</w:t>
      </w:r>
      <w:r w:rsidRPr="005C7E23">
        <w:rPr>
          <w:szCs w:val="26"/>
        </w:rPr>
        <w:t>F</w:t>
      </w:r>
      <w:r w:rsidRPr="005C7E23" w:rsidR="0096058A">
        <w:rPr>
          <w:szCs w:val="26"/>
        </w:rPr>
        <w:t>.</w:t>
      </w:r>
      <w:r w:rsidRPr="005C7E23">
        <w:rPr>
          <w:szCs w:val="26"/>
        </w:rPr>
        <w:t>R</w:t>
      </w:r>
      <w:r w:rsidRPr="005C7E23" w:rsidR="0096058A">
        <w:rPr>
          <w:szCs w:val="26"/>
        </w:rPr>
        <w:t>.</w:t>
      </w:r>
      <w:r w:rsidRPr="005C7E23">
        <w:rPr>
          <w:szCs w:val="26"/>
        </w:rPr>
        <w:t xml:space="preserve"> Parts 341 through 348 provide that letters of transmittal must describe the filings and explain any changes to the carrier's rates, rules, terms or conditions of service; state if a waiver is being requested, and specify the statute, section, regulation, policy, or order requested to be waived; and identify the tariffs supplemental numbers, or tariff sections and the proposed effective date of the tariff publication.  The letter of transmittal must certify that the filing has been sent to each subscriber of the tariff publication.  A carrier may file to amend or modify a tariff contained in a tariff filing at any time during the pendency of the filing.  Carriers must cancel tariffs when the service or transportation movement is terminated.  If the service in connection with the tariff is no longer in interstate commerce, the tariff publication must state so.  Whenever the tariff of a carrier on file with the Commission is to be adopted by another carrier as a result of an acquisition, merger, or name change, the succeeding company must file with the Commission, and post within 30 days after such </w:t>
      </w:r>
      <w:r w:rsidRPr="005C7E23">
        <w:rPr>
          <w:szCs w:val="26"/>
        </w:rPr>
        <w:t>succession, the tariff, or portion thereof, that has been adopted in the electronic format required by</w:t>
      </w:r>
      <w:r w:rsidRPr="005C7E23" w:rsidR="00427B81">
        <w:rPr>
          <w:szCs w:val="26"/>
        </w:rPr>
        <w:t xml:space="preserve"> 18 C.F.R.</w:t>
      </w:r>
      <w:r w:rsidRPr="005C7E23">
        <w:rPr>
          <w:szCs w:val="26"/>
        </w:rPr>
        <w:t xml:space="preserve"> </w:t>
      </w:r>
      <w:r w:rsidRPr="005C7E23" w:rsidR="00AF70D9">
        <w:rPr>
          <w:szCs w:val="26"/>
        </w:rPr>
        <w:t xml:space="preserve">§ 341.1 </w:t>
      </w:r>
      <w:r w:rsidRPr="005C7E23">
        <w:rPr>
          <w:szCs w:val="26"/>
        </w:rPr>
        <w:t xml:space="preserve">bearing the name of the successor company.  </w:t>
      </w:r>
    </w:p>
    <w:p w:rsidR="00540AD9" w:rsidRPr="005C7E23" w:rsidP="00540AD9" w14:paraId="7F4C03EE" w14:textId="77777777">
      <w:pPr>
        <w:spacing w:line="480" w:lineRule="auto"/>
        <w:rPr>
          <w:szCs w:val="26"/>
          <w:u w:val="single"/>
        </w:rPr>
      </w:pPr>
      <w:r w:rsidRPr="005C7E23">
        <w:rPr>
          <w:szCs w:val="26"/>
          <w:u w:val="single"/>
        </w:rPr>
        <w:t>Oil Pipeline Depreciation Studies</w:t>
      </w:r>
    </w:p>
    <w:p w:rsidR="00540AD9" w:rsidRPr="005C7E23" w:rsidP="00F11583" w14:paraId="4CD99332" w14:textId="103B8C76">
      <w:pPr>
        <w:spacing w:line="480" w:lineRule="auto"/>
        <w:ind w:firstLine="720"/>
        <w:rPr>
          <w:szCs w:val="26"/>
        </w:rPr>
      </w:pPr>
      <w:r w:rsidRPr="005C7E23">
        <w:rPr>
          <w:szCs w:val="26"/>
        </w:rPr>
        <w:t xml:space="preserve">The FERC-550 data collection also collects information necessary to inform the Commission about oil pipeline depreciation.  Specifically, </w:t>
      </w:r>
      <w:r w:rsidRPr="005C7E23">
        <w:rPr>
          <w:szCs w:val="26"/>
        </w:rPr>
        <w:t>The Commission’s regulation at 18 C</w:t>
      </w:r>
      <w:r w:rsidRPr="005C7E23" w:rsidR="009873CB">
        <w:rPr>
          <w:szCs w:val="26"/>
        </w:rPr>
        <w:t>.</w:t>
      </w:r>
      <w:r w:rsidRPr="005C7E23">
        <w:rPr>
          <w:szCs w:val="26"/>
        </w:rPr>
        <w:t>F</w:t>
      </w:r>
      <w:r w:rsidRPr="005C7E23" w:rsidR="009873CB">
        <w:rPr>
          <w:szCs w:val="26"/>
        </w:rPr>
        <w:t>.</w:t>
      </w:r>
      <w:r w:rsidRPr="005C7E23">
        <w:rPr>
          <w:szCs w:val="26"/>
        </w:rPr>
        <w:t>R</w:t>
      </w:r>
      <w:r w:rsidRPr="005C7E23" w:rsidR="009873CB">
        <w:rPr>
          <w:szCs w:val="26"/>
        </w:rPr>
        <w:t>.</w:t>
      </w:r>
      <w:r w:rsidRPr="005C7E23" w:rsidR="0076098B">
        <w:rPr>
          <w:szCs w:val="26"/>
        </w:rPr>
        <w:t xml:space="preserve"> §</w:t>
      </w:r>
      <w:r w:rsidRPr="005C7E23">
        <w:rPr>
          <w:szCs w:val="26"/>
        </w:rPr>
        <w:t xml:space="preserve"> 347.1 provides that oil pipelines must file material to support requests for newly established or changed property account depreciation studies.  It requires an applicant to file electronically, and the transmittal letter must give a general description of the change in depreciation rates, certify that the transmittal also has been sent to each shipper and to each subscriber, and state if there are no subscribers.  The proposed depreciation rates being established must be used until they are either accepted or modified by the Commission.  Rates in effect at the time of the proposed revision must continue to be used until the proposed revised rates are approved or modified by the Commission.  The oil pipeline must provide information in sufficient detail to fully explain and justify the proposed rates.  Modifications, additions, and deletions to data elements should be made to reflect the individual circumstances of the carrier’s properties and operations.  </w:t>
      </w:r>
    </w:p>
    <w:p w:rsidR="00B21599" w:rsidRPr="005C7E23" w:rsidP="549EAD48" w14:paraId="27F07FEB" w14:textId="639320C4">
      <w:pPr>
        <w:spacing w:line="480" w:lineRule="auto"/>
        <w:rPr>
          <w:b/>
          <w:bCs/>
          <w:szCs w:val="26"/>
        </w:rPr>
      </w:pPr>
      <w:r w:rsidRPr="005C7E23">
        <w:rPr>
          <w:b/>
          <w:bCs/>
          <w:szCs w:val="26"/>
        </w:rPr>
        <w:t>FERC</w:t>
      </w:r>
      <w:r w:rsidRPr="005C7E23" w:rsidR="00A07486">
        <w:rPr>
          <w:b/>
          <w:bCs/>
          <w:szCs w:val="26"/>
        </w:rPr>
        <w:t xml:space="preserve"> </w:t>
      </w:r>
      <w:r w:rsidRPr="005C7E23">
        <w:rPr>
          <w:b/>
          <w:bCs/>
          <w:szCs w:val="26"/>
        </w:rPr>
        <w:t>914: Cogeneration and Small Power Production – Tariff Filings</w:t>
      </w:r>
    </w:p>
    <w:p w:rsidR="00166D6C" w:rsidRPr="005C7E23" w:rsidP="005E68B5" w14:paraId="14219384" w14:textId="18E60A98">
      <w:pPr>
        <w:spacing w:line="480" w:lineRule="auto"/>
        <w:ind w:firstLine="720"/>
        <w:rPr>
          <w:szCs w:val="26"/>
        </w:rPr>
      </w:pPr>
      <w:r w:rsidRPr="005C7E23">
        <w:rPr>
          <w:szCs w:val="26"/>
        </w:rPr>
        <w:t>The Commission uses the information collected by FERC</w:t>
      </w:r>
      <w:r w:rsidRPr="005C7E23" w:rsidR="00A07486">
        <w:rPr>
          <w:szCs w:val="26"/>
        </w:rPr>
        <w:t>-</w:t>
      </w:r>
      <w:r w:rsidRPr="005C7E23">
        <w:rPr>
          <w:szCs w:val="26"/>
        </w:rPr>
        <w:t xml:space="preserve">914 </w:t>
      </w:r>
      <w:r w:rsidRPr="005C7E23" w:rsidR="00F47569">
        <w:rPr>
          <w:szCs w:val="26"/>
        </w:rPr>
        <w:t>to determine if a small power</w:t>
      </w:r>
      <w:r w:rsidRPr="005C7E23" w:rsidR="00BE2F8F">
        <w:rPr>
          <w:szCs w:val="26"/>
        </w:rPr>
        <w:t xml:space="preserve"> production</w:t>
      </w:r>
      <w:r w:rsidRPr="005C7E23" w:rsidR="00F47569">
        <w:rPr>
          <w:szCs w:val="26"/>
        </w:rPr>
        <w:t xml:space="preserve"> </w:t>
      </w:r>
      <w:r w:rsidRPr="005C7E23" w:rsidR="0090126E">
        <w:rPr>
          <w:szCs w:val="26"/>
        </w:rPr>
        <w:t xml:space="preserve">or cogeneration facility </w:t>
      </w:r>
      <w:r w:rsidRPr="005C7E23" w:rsidR="00BE2F8F">
        <w:rPr>
          <w:szCs w:val="26"/>
        </w:rPr>
        <w:t xml:space="preserve">is </w:t>
      </w:r>
      <w:r w:rsidRPr="005C7E23" w:rsidR="006803CB">
        <w:rPr>
          <w:szCs w:val="26"/>
        </w:rPr>
        <w:t>exempt</w:t>
      </w:r>
      <w:r w:rsidRPr="005C7E23" w:rsidR="00FB2E76">
        <w:rPr>
          <w:szCs w:val="26"/>
        </w:rPr>
        <w:t xml:space="preserve"> for rate regulation under </w:t>
      </w:r>
      <w:r w:rsidRPr="005C7E23" w:rsidR="00BE2F8F">
        <w:rPr>
          <w:szCs w:val="26"/>
        </w:rPr>
        <w:t xml:space="preserve">18 C.F.R. 292. </w:t>
      </w:r>
    </w:p>
    <w:p w:rsidR="005E68B5" w:rsidRPr="005C7E23" w:rsidP="005E68B5" w14:paraId="0BC07E03" w14:textId="11841B8C">
      <w:pPr>
        <w:spacing w:line="480" w:lineRule="auto"/>
        <w:ind w:firstLine="720"/>
        <w:rPr>
          <w:szCs w:val="26"/>
        </w:rPr>
      </w:pPr>
      <w:r w:rsidRPr="005C7E23">
        <w:rPr>
          <w:szCs w:val="26"/>
        </w:rPr>
        <w:t>Section 205(c) of the Federal Power Act (FPA) and 18 C</w:t>
      </w:r>
      <w:r w:rsidRPr="005C7E23" w:rsidR="00BD7CD2">
        <w:rPr>
          <w:szCs w:val="26"/>
        </w:rPr>
        <w:t>.</w:t>
      </w:r>
      <w:r w:rsidRPr="005C7E23">
        <w:rPr>
          <w:szCs w:val="26"/>
        </w:rPr>
        <w:t>F</w:t>
      </w:r>
      <w:r w:rsidRPr="005C7E23" w:rsidR="00BD7CD2">
        <w:rPr>
          <w:szCs w:val="26"/>
        </w:rPr>
        <w:t>.</w:t>
      </w:r>
      <w:r w:rsidRPr="005C7E23">
        <w:rPr>
          <w:szCs w:val="26"/>
        </w:rPr>
        <w:t>R</w:t>
      </w:r>
      <w:r w:rsidRPr="005C7E23" w:rsidR="00BD7CD2">
        <w:rPr>
          <w:szCs w:val="26"/>
        </w:rPr>
        <w:t>.</w:t>
      </w:r>
      <w:r w:rsidRPr="005C7E23">
        <w:rPr>
          <w:szCs w:val="26"/>
        </w:rPr>
        <w:t xml:space="preserve"> </w:t>
      </w:r>
      <w:r w:rsidRPr="005C7E23" w:rsidR="00BD7CD2">
        <w:rPr>
          <w:szCs w:val="26"/>
        </w:rPr>
        <w:t xml:space="preserve">§ </w:t>
      </w:r>
      <w:r w:rsidRPr="005C7E23">
        <w:rPr>
          <w:szCs w:val="26"/>
        </w:rPr>
        <w:t>292 require that every public utility have all its jurisdictional rates and tariffs on file with the Commission and make them available for public inspection, within such time and in such form as the Commission designates.  Section 205(d) of the FPA requires that every public utility must provide notice to the Commission and the public of any changes to its jurisdictional rates and tariffs, file such changes with the Commission, and make them available for public inspection as directed by the Commission.  In addition, FPA section 206 requires the Commission, upon complaint or its own motion, to modify existing rates or services that are found to be unjust, unreasonable, unduly discriminatory, or preferential.  FPA section 207 requires the Commission upon complaint by a state commission and a finding of insufficient interstate service, to order the rendering of adequate interstate service by public utilities, the rates for which would be filed in accordance with FPA sections 205 and 206.</w:t>
      </w:r>
    </w:p>
    <w:p w:rsidR="005E68B5" w:rsidRPr="005C7E23" w:rsidP="005E68B5" w14:paraId="72AEF0E9" w14:textId="091791A4">
      <w:pPr>
        <w:spacing w:line="480" w:lineRule="auto"/>
        <w:rPr>
          <w:bCs/>
          <w:szCs w:val="26"/>
        </w:rPr>
      </w:pPr>
      <w:r w:rsidRPr="005C7E23">
        <w:rPr>
          <w:bCs/>
          <w:szCs w:val="26"/>
        </w:rPr>
        <w:tab/>
      </w:r>
      <w:r w:rsidRPr="005C7E23">
        <w:rPr>
          <w:szCs w:val="26"/>
        </w:rPr>
        <w:t>In Order Nos. 671 and 671-A,</w:t>
      </w:r>
      <w:r>
        <w:rPr>
          <w:b/>
          <w:bCs/>
          <w:szCs w:val="26"/>
          <w:vertAlign w:val="superscript"/>
        </w:rPr>
        <w:footnoteReference w:id="4"/>
      </w:r>
      <w:r w:rsidRPr="005C7E23">
        <w:rPr>
          <w:szCs w:val="26"/>
        </w:rPr>
        <w:t xml:space="preserve"> the Commission revised its regulations that govern qualifying small power production and cogeneration facilities.  The Commission eliminated certain exemptions from rate regulation that were previously available to qualifying facilities.  New qualifying facilities may need to make tariff filings if they do not meet the exemption requirements.</w:t>
      </w:r>
    </w:p>
    <w:p w:rsidR="005E68B5" w:rsidRPr="005C7E23" w:rsidP="00F11583" w14:paraId="63121E4E" w14:textId="683B086F">
      <w:pPr>
        <w:spacing w:line="480" w:lineRule="auto"/>
        <w:ind w:firstLine="720"/>
        <w:rPr>
          <w:szCs w:val="26"/>
        </w:rPr>
      </w:pPr>
      <w:r w:rsidRPr="005C7E23">
        <w:rPr>
          <w:szCs w:val="26"/>
        </w:rPr>
        <w:t>FERC implemented the Congressional mandate of the Energy Policy Act of 2005 (EPAct 2005) to establish criteria for new qualifying cogeneration facilities by:  (1) amending the exemptions available to qualifying facilities from the FPA and from Public Utility Holding Company Act [resulting in the burden imposed by FERC-914, the subject of this notice]; (2) ensuring that these facilities are using their thermal output in a productive and beneficial manner; that the electrical, thermal, chemical and mechanical output of new qualifying cogeneration facilities is used fundamentally for commercial, residential or industrial purposes; and there is continuing progress in the development of efficient electric energy generating technology; (3) amending the FERC Form 556</w:t>
      </w:r>
      <w:r>
        <w:rPr>
          <w:b/>
          <w:szCs w:val="26"/>
          <w:vertAlign w:val="superscript"/>
        </w:rPr>
        <w:footnoteReference w:id="5"/>
      </w:r>
      <w:r w:rsidRPr="005C7E23">
        <w:rPr>
          <w:szCs w:val="26"/>
        </w:rPr>
        <w:t xml:space="preserve"> to reflect the criteria for new qualifying cogeneration facilities; and (4) eliminating ownership limitations for qualifying cogeneration and small power production facilities.  The Commission satisfied the statutory mandate and its continuing obligation to review its policies encouraging cogeneration and small power production, energy conservation, efficient use of facilities and resources by electric utilities, and equitable rates for energy customers.</w:t>
      </w:r>
    </w:p>
    <w:p w:rsidR="009679E3" w:rsidRPr="005C7E23" w:rsidP="549EAD48" w14:paraId="7C064110" w14:textId="1846E87D">
      <w:pPr>
        <w:spacing w:line="480" w:lineRule="auto"/>
        <w:rPr>
          <w:szCs w:val="26"/>
        </w:rPr>
      </w:pPr>
      <w:r w:rsidRPr="005C7E23">
        <w:rPr>
          <w:i/>
          <w:iCs/>
          <w:szCs w:val="26"/>
        </w:rPr>
        <w:t xml:space="preserve">Type of Respondents: </w:t>
      </w:r>
      <w:r w:rsidRPr="005C7E23" w:rsidR="00F11583">
        <w:rPr>
          <w:szCs w:val="26"/>
        </w:rPr>
        <w:t xml:space="preserve">Natural gas companies, Oil pipelines, </w:t>
      </w:r>
      <w:r w:rsidRPr="005C7E23" w:rsidR="00790F7E">
        <w:rPr>
          <w:szCs w:val="26"/>
        </w:rPr>
        <w:t>New qualifying facilities and small power producers that do not meet Commission exemption criteria</w:t>
      </w:r>
      <w:r w:rsidRPr="005C7E23">
        <w:rPr>
          <w:szCs w:val="26"/>
        </w:rPr>
        <w:t xml:space="preserve"> </w:t>
      </w:r>
    </w:p>
    <w:p w:rsidR="00696A1D" w:rsidRPr="005C7E23" w:rsidP="549EAD48" w14:paraId="16FB0FAE" w14:textId="49F65873">
      <w:pPr>
        <w:spacing w:line="480" w:lineRule="auto"/>
        <w:rPr>
          <w:szCs w:val="26"/>
        </w:rPr>
      </w:pPr>
      <w:r w:rsidRPr="005C7E23">
        <w:rPr>
          <w:i/>
          <w:iCs/>
          <w:szCs w:val="26"/>
        </w:rPr>
        <w:t>Estimate of Annual Burden</w:t>
      </w:r>
      <w:r w:rsidRPr="005C7E23" w:rsidR="00790F7E">
        <w:rPr>
          <w:i/>
          <w:iCs/>
          <w:szCs w:val="26"/>
        </w:rPr>
        <w:t>:</w:t>
      </w:r>
      <w:r>
        <w:rPr>
          <w:rStyle w:val="FootnoteReference"/>
          <w:i/>
          <w:iCs/>
        </w:rPr>
        <w:footnoteReference w:id="6"/>
      </w:r>
      <w:r w:rsidRPr="005C7E23" w:rsidR="00790F7E">
        <w:rPr>
          <w:i/>
          <w:iCs/>
          <w:szCs w:val="26"/>
        </w:rPr>
        <w:t xml:space="preserve"> </w:t>
      </w:r>
      <w:r w:rsidRPr="005C7E23">
        <w:rPr>
          <w:i/>
          <w:iCs/>
          <w:szCs w:val="26"/>
        </w:rPr>
        <w:t xml:space="preserve"> </w:t>
      </w:r>
      <w:r w:rsidRPr="005C7E23">
        <w:rPr>
          <w:szCs w:val="26"/>
        </w:rPr>
        <w:t xml:space="preserve">The Commission estimates the annual public reporting burden for </w:t>
      </w:r>
      <w:r w:rsidRPr="005C7E23" w:rsidR="00F71EF6">
        <w:rPr>
          <w:szCs w:val="26"/>
        </w:rPr>
        <w:t xml:space="preserve">each of </w:t>
      </w:r>
      <w:r w:rsidRPr="005C7E23">
        <w:rPr>
          <w:szCs w:val="26"/>
        </w:rPr>
        <w:t>the information collection</w:t>
      </w:r>
      <w:r w:rsidRPr="005C7E23" w:rsidR="0048597F">
        <w:rPr>
          <w:szCs w:val="26"/>
        </w:rPr>
        <w:t>s are</w:t>
      </w:r>
      <w:r w:rsidRPr="005C7E23">
        <w:rPr>
          <w:szCs w:val="26"/>
        </w:rPr>
        <w:t>:</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260"/>
        <w:gridCol w:w="1530"/>
        <w:gridCol w:w="1295"/>
        <w:gridCol w:w="1710"/>
        <w:gridCol w:w="1800"/>
        <w:gridCol w:w="1320"/>
      </w:tblGrid>
      <w:tr w14:paraId="622793A8" w14:textId="77777777" w:rsidTr="00757B8F">
        <w:tblPrEx>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47"/>
          <w:jc w:val="center"/>
        </w:trPr>
        <w:tc>
          <w:tcPr>
            <w:tcW w:w="630" w:type="dxa"/>
            <w:shd w:val="clear" w:color="auto" w:fill="D9D9D9" w:themeFill="background1" w:themeFillShade="D9"/>
          </w:tcPr>
          <w:p w:rsidR="00AD3F3F" w:rsidRPr="005C7E23" w:rsidP="0069306C" w14:paraId="33CE8016" w14:textId="77777777">
            <w:pPr>
              <w:jc w:val="center"/>
              <w:rPr>
                <w:rFonts w:eastAsia="Calibri"/>
                <w:b/>
                <w:szCs w:val="26"/>
              </w:rPr>
            </w:pPr>
          </w:p>
        </w:tc>
        <w:tc>
          <w:tcPr>
            <w:tcW w:w="8915" w:type="dxa"/>
            <w:gridSpan w:val="6"/>
            <w:shd w:val="clear" w:color="auto" w:fill="D9D9D9" w:themeFill="background1" w:themeFillShade="D9"/>
            <w:vAlign w:val="bottom"/>
          </w:tcPr>
          <w:p w:rsidR="00AD3F3F" w:rsidRPr="005C7E23" w:rsidP="0069306C" w14:paraId="288DC767" w14:textId="2059E5B8">
            <w:pPr>
              <w:jc w:val="center"/>
              <w:rPr>
                <w:smallCaps/>
                <w:szCs w:val="26"/>
              </w:rPr>
            </w:pPr>
            <w:r w:rsidRPr="005C7E23">
              <w:rPr>
                <w:rFonts w:eastAsia="Calibri"/>
                <w:b/>
                <w:szCs w:val="26"/>
              </w:rPr>
              <w:t>FERC-547: Gas Pipeline Rates: Refund Report Requirements</w:t>
            </w:r>
          </w:p>
        </w:tc>
      </w:tr>
      <w:tr w14:paraId="236F4A4C" w14:textId="77777777" w:rsidTr="00757B8F">
        <w:tblPrEx>
          <w:tblW w:w="9545" w:type="dxa"/>
          <w:jc w:val="center"/>
          <w:tblLayout w:type="fixed"/>
          <w:tblLook w:val="01E0"/>
        </w:tblPrEx>
        <w:trPr>
          <w:trHeight w:val="638"/>
          <w:jc w:val="center"/>
        </w:trPr>
        <w:tc>
          <w:tcPr>
            <w:tcW w:w="630" w:type="dxa"/>
            <w:shd w:val="clear" w:color="auto" w:fill="D9D9D9" w:themeFill="background1" w:themeFillShade="D9"/>
          </w:tcPr>
          <w:p w:rsidR="00AD3F3F" w:rsidRPr="005C7E23" w:rsidP="0069306C" w14:paraId="48A824E4" w14:textId="77777777">
            <w:pPr>
              <w:jc w:val="center"/>
              <w:rPr>
                <w:b/>
                <w:szCs w:val="26"/>
              </w:rPr>
            </w:pPr>
          </w:p>
        </w:tc>
        <w:tc>
          <w:tcPr>
            <w:tcW w:w="1260" w:type="dxa"/>
            <w:shd w:val="clear" w:color="auto" w:fill="D9D9D9" w:themeFill="background1" w:themeFillShade="D9"/>
            <w:vAlign w:val="bottom"/>
          </w:tcPr>
          <w:p w:rsidR="00AD3F3F" w:rsidRPr="005C7E23" w:rsidP="0069306C" w14:paraId="23587AAF" w14:textId="58E447ED">
            <w:pPr>
              <w:jc w:val="center"/>
              <w:rPr>
                <w:b/>
                <w:szCs w:val="26"/>
              </w:rPr>
            </w:pPr>
            <w:r w:rsidRPr="005C7E23">
              <w:rPr>
                <w:b/>
                <w:szCs w:val="26"/>
              </w:rPr>
              <w:t>Number of Respondents</w:t>
            </w:r>
          </w:p>
          <w:p w:rsidR="00AD3F3F" w:rsidRPr="005C7E23" w:rsidP="0069306C" w14:paraId="14675F92" w14:textId="77777777">
            <w:pPr>
              <w:jc w:val="center"/>
              <w:rPr>
                <w:b/>
                <w:szCs w:val="26"/>
              </w:rPr>
            </w:pPr>
            <w:r w:rsidRPr="005C7E23">
              <w:rPr>
                <w:b/>
                <w:szCs w:val="26"/>
              </w:rPr>
              <w:t>(1)</w:t>
            </w:r>
          </w:p>
        </w:tc>
        <w:tc>
          <w:tcPr>
            <w:tcW w:w="1530" w:type="dxa"/>
            <w:shd w:val="clear" w:color="auto" w:fill="D9D9D9" w:themeFill="background1" w:themeFillShade="D9"/>
            <w:vAlign w:val="bottom"/>
          </w:tcPr>
          <w:p w:rsidR="00AD3F3F" w:rsidRPr="005C7E23" w:rsidP="0069306C" w14:paraId="5CCA2F44" w14:textId="77777777">
            <w:pPr>
              <w:jc w:val="center"/>
              <w:rPr>
                <w:b/>
                <w:szCs w:val="26"/>
              </w:rPr>
            </w:pPr>
            <w:r w:rsidRPr="005C7E23">
              <w:rPr>
                <w:b/>
                <w:szCs w:val="26"/>
              </w:rPr>
              <w:t>Number of Responses Per Respondent</w:t>
            </w:r>
          </w:p>
          <w:p w:rsidR="00AD3F3F" w:rsidRPr="005C7E23" w:rsidP="0069306C" w14:paraId="53842BA1" w14:textId="77777777">
            <w:pPr>
              <w:jc w:val="center"/>
              <w:rPr>
                <w:b/>
                <w:szCs w:val="26"/>
              </w:rPr>
            </w:pPr>
            <w:r w:rsidRPr="005C7E23">
              <w:rPr>
                <w:b/>
                <w:szCs w:val="26"/>
              </w:rPr>
              <w:t>(2)</w:t>
            </w:r>
          </w:p>
        </w:tc>
        <w:tc>
          <w:tcPr>
            <w:tcW w:w="1295" w:type="dxa"/>
            <w:shd w:val="clear" w:color="auto" w:fill="D9D9D9" w:themeFill="background1" w:themeFillShade="D9"/>
            <w:vAlign w:val="bottom"/>
          </w:tcPr>
          <w:p w:rsidR="00AD3F3F" w:rsidRPr="005C7E23" w:rsidP="0069306C" w14:paraId="108A96DC" w14:textId="77777777">
            <w:pPr>
              <w:jc w:val="center"/>
              <w:rPr>
                <w:b/>
                <w:szCs w:val="26"/>
              </w:rPr>
            </w:pPr>
            <w:r w:rsidRPr="005C7E23">
              <w:rPr>
                <w:b/>
                <w:szCs w:val="26"/>
              </w:rPr>
              <w:t>Total Number of Responses</w:t>
            </w:r>
          </w:p>
          <w:p w:rsidR="00AD3F3F" w:rsidRPr="005C7E23" w:rsidP="0069306C" w14:paraId="2FCA2175" w14:textId="77777777">
            <w:pPr>
              <w:ind w:left="72"/>
              <w:jc w:val="center"/>
              <w:rPr>
                <w:b/>
                <w:szCs w:val="26"/>
              </w:rPr>
            </w:pPr>
            <w:r w:rsidRPr="005C7E23">
              <w:rPr>
                <w:b/>
                <w:szCs w:val="26"/>
              </w:rPr>
              <w:t>(1) x (2) = (3)</w:t>
            </w:r>
          </w:p>
        </w:tc>
        <w:tc>
          <w:tcPr>
            <w:tcW w:w="1710" w:type="dxa"/>
            <w:shd w:val="clear" w:color="auto" w:fill="D9D9D9" w:themeFill="background1" w:themeFillShade="D9"/>
            <w:vAlign w:val="bottom"/>
          </w:tcPr>
          <w:p w:rsidR="00AD3F3F" w:rsidRPr="005C7E23" w:rsidP="0069306C" w14:paraId="78724D6F" w14:textId="77777777">
            <w:pPr>
              <w:jc w:val="center"/>
              <w:rPr>
                <w:b/>
                <w:szCs w:val="26"/>
              </w:rPr>
            </w:pPr>
            <w:r w:rsidRPr="005C7E23">
              <w:rPr>
                <w:b/>
                <w:szCs w:val="26"/>
              </w:rPr>
              <w:t>Average Burden Hours &amp; Average Cost</w:t>
            </w:r>
            <w:r>
              <w:rPr>
                <w:rStyle w:val="FootnoteReference"/>
                <w:bCs/>
              </w:rPr>
              <w:footnoteReference w:id="7"/>
            </w:r>
            <w:r w:rsidRPr="005C7E23">
              <w:rPr>
                <w:b/>
                <w:szCs w:val="26"/>
              </w:rPr>
              <w:t xml:space="preserve"> per Response ($)</w:t>
            </w:r>
          </w:p>
          <w:p w:rsidR="00AD3F3F" w:rsidRPr="005C7E23" w:rsidP="0069306C" w14:paraId="5411838C" w14:textId="77777777">
            <w:pPr>
              <w:jc w:val="center"/>
              <w:rPr>
                <w:b/>
                <w:szCs w:val="26"/>
              </w:rPr>
            </w:pPr>
            <w:r w:rsidRPr="005C7E23">
              <w:rPr>
                <w:b/>
                <w:szCs w:val="26"/>
              </w:rPr>
              <w:t>(4)</w:t>
            </w:r>
          </w:p>
        </w:tc>
        <w:tc>
          <w:tcPr>
            <w:tcW w:w="1800" w:type="dxa"/>
            <w:shd w:val="clear" w:color="auto" w:fill="D9D9D9" w:themeFill="background1" w:themeFillShade="D9"/>
            <w:vAlign w:val="bottom"/>
          </w:tcPr>
          <w:p w:rsidR="00AD3F3F" w:rsidRPr="005C7E23" w:rsidP="0069306C" w14:paraId="3EF0852D" w14:textId="77777777">
            <w:pPr>
              <w:jc w:val="center"/>
              <w:rPr>
                <w:b/>
                <w:szCs w:val="26"/>
              </w:rPr>
            </w:pPr>
            <w:r w:rsidRPr="005C7E23">
              <w:rPr>
                <w:b/>
                <w:szCs w:val="26"/>
              </w:rPr>
              <w:t>Total Annual Burden Hours &amp; Total Annual Cost ($)</w:t>
            </w:r>
          </w:p>
          <w:p w:rsidR="00AD3F3F" w:rsidRPr="005C7E23" w:rsidP="0069306C" w14:paraId="2C31D7BB" w14:textId="77777777">
            <w:pPr>
              <w:jc w:val="center"/>
              <w:rPr>
                <w:b/>
                <w:szCs w:val="26"/>
              </w:rPr>
            </w:pPr>
            <w:r w:rsidRPr="005C7E23">
              <w:rPr>
                <w:b/>
                <w:szCs w:val="26"/>
              </w:rPr>
              <w:t>(3) x (4) = (5)</w:t>
            </w:r>
          </w:p>
        </w:tc>
        <w:tc>
          <w:tcPr>
            <w:tcW w:w="1320" w:type="dxa"/>
            <w:shd w:val="clear" w:color="auto" w:fill="D9D9D9" w:themeFill="background1" w:themeFillShade="D9"/>
            <w:vAlign w:val="bottom"/>
          </w:tcPr>
          <w:p w:rsidR="00AD3F3F" w:rsidRPr="005C7E23" w:rsidP="0069306C" w14:paraId="0F2DE63F" w14:textId="77777777">
            <w:pPr>
              <w:jc w:val="center"/>
              <w:rPr>
                <w:b/>
                <w:szCs w:val="26"/>
              </w:rPr>
            </w:pPr>
            <w:r w:rsidRPr="005C7E23">
              <w:rPr>
                <w:b/>
                <w:szCs w:val="26"/>
              </w:rPr>
              <w:t>Cost per Respondent ($)</w:t>
            </w:r>
          </w:p>
          <w:p w:rsidR="00AD3F3F" w:rsidRPr="005C7E23" w:rsidP="0069306C" w14:paraId="6EE6B309" w14:textId="77777777">
            <w:pPr>
              <w:jc w:val="center"/>
              <w:rPr>
                <w:b/>
                <w:szCs w:val="26"/>
              </w:rPr>
            </w:pPr>
            <w:r w:rsidRPr="005C7E23">
              <w:rPr>
                <w:b/>
                <w:szCs w:val="26"/>
              </w:rPr>
              <w:t>(5)</w:t>
            </w:r>
            <w:r w:rsidRPr="005C7E23">
              <w:rPr>
                <w:rFonts w:eastAsia="Calibri"/>
                <w:b/>
                <w:szCs w:val="26"/>
              </w:rPr>
              <w:t xml:space="preserve"> ÷ (1) = (6)</w:t>
            </w:r>
          </w:p>
        </w:tc>
      </w:tr>
      <w:tr w14:paraId="261D414B" w14:textId="77777777" w:rsidTr="00757B8F">
        <w:tblPrEx>
          <w:tblW w:w="9545" w:type="dxa"/>
          <w:jc w:val="center"/>
          <w:tblLayout w:type="fixed"/>
          <w:tblLook w:val="01E0"/>
        </w:tblPrEx>
        <w:trPr>
          <w:jc w:val="center"/>
        </w:trPr>
        <w:tc>
          <w:tcPr>
            <w:tcW w:w="630" w:type="dxa"/>
          </w:tcPr>
          <w:p w:rsidR="00AD3F3F" w:rsidRPr="005C7E23" w:rsidP="0069306C" w14:paraId="4A2BBC95" w14:textId="77777777">
            <w:pPr>
              <w:spacing w:line="276" w:lineRule="auto"/>
              <w:jc w:val="right"/>
              <w:rPr>
                <w:szCs w:val="26"/>
              </w:rPr>
            </w:pPr>
          </w:p>
        </w:tc>
        <w:tc>
          <w:tcPr>
            <w:tcW w:w="1260" w:type="dxa"/>
            <w:vAlign w:val="bottom"/>
          </w:tcPr>
          <w:p w:rsidR="00AD3F3F" w:rsidRPr="005C7E23" w:rsidP="0069306C" w14:paraId="7F81F9FB" w14:textId="271E9B1E">
            <w:pPr>
              <w:spacing w:line="276" w:lineRule="auto"/>
              <w:jc w:val="right"/>
              <w:rPr>
                <w:szCs w:val="26"/>
              </w:rPr>
            </w:pPr>
            <w:r w:rsidRPr="005C7E23">
              <w:rPr>
                <w:szCs w:val="26"/>
              </w:rPr>
              <w:t>2</w:t>
            </w:r>
            <w:r w:rsidRPr="005C7E23" w:rsidR="00021FC7">
              <w:rPr>
                <w:szCs w:val="26"/>
              </w:rPr>
              <w:t>3</w:t>
            </w:r>
          </w:p>
        </w:tc>
        <w:tc>
          <w:tcPr>
            <w:tcW w:w="1530" w:type="dxa"/>
            <w:vAlign w:val="bottom"/>
          </w:tcPr>
          <w:p w:rsidR="00AD3F3F" w:rsidRPr="005C7E23" w:rsidP="0069306C" w14:paraId="3860111D" w14:textId="77777777">
            <w:pPr>
              <w:spacing w:line="276" w:lineRule="auto"/>
              <w:jc w:val="right"/>
              <w:rPr>
                <w:szCs w:val="26"/>
              </w:rPr>
            </w:pPr>
            <w:r w:rsidRPr="005C7E23">
              <w:rPr>
                <w:szCs w:val="26"/>
              </w:rPr>
              <w:t>2</w:t>
            </w:r>
          </w:p>
        </w:tc>
        <w:tc>
          <w:tcPr>
            <w:tcW w:w="1295" w:type="dxa"/>
            <w:vAlign w:val="bottom"/>
          </w:tcPr>
          <w:p w:rsidR="00AD3F3F" w:rsidRPr="005C7E23" w:rsidP="0069306C" w14:paraId="587D53FC" w14:textId="5C318CFD">
            <w:pPr>
              <w:spacing w:line="276" w:lineRule="auto"/>
              <w:jc w:val="right"/>
              <w:rPr>
                <w:szCs w:val="26"/>
              </w:rPr>
            </w:pPr>
            <w:r w:rsidRPr="005C7E23">
              <w:rPr>
                <w:szCs w:val="26"/>
              </w:rPr>
              <w:t>4</w:t>
            </w:r>
            <w:r w:rsidRPr="005C7E23" w:rsidR="007D7ECE">
              <w:rPr>
                <w:szCs w:val="26"/>
              </w:rPr>
              <w:t>6</w:t>
            </w:r>
          </w:p>
        </w:tc>
        <w:tc>
          <w:tcPr>
            <w:tcW w:w="1710" w:type="dxa"/>
            <w:vAlign w:val="bottom"/>
          </w:tcPr>
          <w:p w:rsidR="00AD3F3F" w:rsidRPr="005C7E23" w:rsidP="0069306C" w14:paraId="5B0BCB34" w14:textId="77777777">
            <w:pPr>
              <w:spacing w:line="276" w:lineRule="auto"/>
              <w:jc w:val="right"/>
              <w:rPr>
                <w:szCs w:val="26"/>
              </w:rPr>
            </w:pPr>
            <w:r w:rsidRPr="005C7E23">
              <w:rPr>
                <w:szCs w:val="26"/>
              </w:rPr>
              <w:t xml:space="preserve">2 </w:t>
            </w:r>
            <w:bookmarkStart w:id="2" w:name="_Int_JSTFguyJ"/>
            <w:r w:rsidRPr="005C7E23">
              <w:rPr>
                <w:szCs w:val="26"/>
              </w:rPr>
              <w:t>hrs.;</w:t>
            </w:r>
            <w:bookmarkEnd w:id="2"/>
          </w:p>
          <w:p w:rsidR="00AD3F3F" w:rsidRPr="005C7E23" w:rsidP="0069306C" w14:paraId="6E7F6FDE" w14:textId="11CF7A94">
            <w:pPr>
              <w:spacing w:line="276" w:lineRule="auto"/>
              <w:jc w:val="right"/>
              <w:rPr>
                <w:szCs w:val="26"/>
              </w:rPr>
            </w:pPr>
            <w:r w:rsidRPr="005C7E23">
              <w:rPr>
                <w:szCs w:val="26"/>
              </w:rPr>
              <w:t>$</w:t>
            </w:r>
            <w:r w:rsidRPr="005C7E23" w:rsidR="00EB4EB5">
              <w:rPr>
                <w:szCs w:val="26"/>
              </w:rPr>
              <w:t>206</w:t>
            </w:r>
            <w:r w:rsidRPr="005C7E23">
              <w:rPr>
                <w:szCs w:val="26"/>
              </w:rPr>
              <w:t xml:space="preserve"> </w:t>
            </w:r>
          </w:p>
        </w:tc>
        <w:tc>
          <w:tcPr>
            <w:tcW w:w="1800" w:type="dxa"/>
            <w:vAlign w:val="bottom"/>
          </w:tcPr>
          <w:p w:rsidR="00AD3F3F" w:rsidRPr="005C7E23" w:rsidP="0069306C" w14:paraId="29F379A8" w14:textId="37DF9372">
            <w:pPr>
              <w:spacing w:line="276" w:lineRule="auto"/>
              <w:jc w:val="right"/>
              <w:rPr>
                <w:szCs w:val="26"/>
              </w:rPr>
            </w:pPr>
            <w:r w:rsidRPr="005C7E23">
              <w:rPr>
                <w:szCs w:val="26"/>
              </w:rPr>
              <w:t>92</w:t>
            </w:r>
            <w:r w:rsidRPr="005C7E23">
              <w:rPr>
                <w:szCs w:val="26"/>
              </w:rPr>
              <w:t xml:space="preserve"> </w:t>
            </w:r>
            <w:bookmarkStart w:id="3" w:name="_Int_8sOcI9JU"/>
            <w:r w:rsidRPr="005C7E23">
              <w:rPr>
                <w:szCs w:val="26"/>
              </w:rPr>
              <w:t>hrs.;</w:t>
            </w:r>
            <w:bookmarkEnd w:id="3"/>
          </w:p>
          <w:p w:rsidR="00AD3F3F" w:rsidRPr="005C7E23" w:rsidP="0069306C" w14:paraId="7C8EEBFB" w14:textId="63496329">
            <w:pPr>
              <w:spacing w:line="276" w:lineRule="auto"/>
              <w:jc w:val="right"/>
              <w:rPr>
                <w:szCs w:val="26"/>
              </w:rPr>
            </w:pPr>
            <w:r w:rsidRPr="005C7E23">
              <w:rPr>
                <w:szCs w:val="26"/>
              </w:rPr>
              <w:t>$</w:t>
            </w:r>
            <w:r w:rsidRPr="005C7E23" w:rsidR="001F2D2D">
              <w:rPr>
                <w:szCs w:val="26"/>
              </w:rPr>
              <w:t>9,476</w:t>
            </w:r>
          </w:p>
        </w:tc>
        <w:tc>
          <w:tcPr>
            <w:tcW w:w="1320" w:type="dxa"/>
            <w:vAlign w:val="bottom"/>
          </w:tcPr>
          <w:p w:rsidR="00AD3F3F" w:rsidRPr="005C7E23" w:rsidP="0069306C" w14:paraId="1200071B" w14:textId="6426C8E2">
            <w:pPr>
              <w:spacing w:line="276" w:lineRule="auto"/>
              <w:jc w:val="right"/>
              <w:rPr>
                <w:szCs w:val="26"/>
              </w:rPr>
            </w:pPr>
            <w:r w:rsidRPr="005C7E23">
              <w:rPr>
                <w:szCs w:val="26"/>
              </w:rPr>
              <w:t>$</w:t>
            </w:r>
            <w:r w:rsidRPr="005C7E23" w:rsidR="00CA7B4B">
              <w:rPr>
                <w:szCs w:val="26"/>
              </w:rPr>
              <w:t>412</w:t>
            </w:r>
          </w:p>
        </w:tc>
      </w:tr>
    </w:tbl>
    <w:p w:rsidR="00444207" w:rsidRPr="005C7E23" w:rsidP="549EAD48" w14:paraId="716CBBCD" w14:textId="77777777">
      <w:pPr>
        <w:spacing w:line="480" w:lineRule="auto"/>
        <w:rPr>
          <w:szCs w:val="26"/>
        </w:rPr>
      </w:pP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1"/>
        <w:gridCol w:w="1333"/>
        <w:gridCol w:w="1267"/>
        <w:gridCol w:w="1260"/>
        <w:gridCol w:w="1169"/>
        <w:gridCol w:w="1529"/>
        <w:gridCol w:w="1622"/>
      </w:tblGrid>
      <w:tr w14:paraId="6A0161EE" w14:textId="77777777" w:rsidTr="0069306C">
        <w:tblPrEx>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753" w:type="pct"/>
            <w:shd w:val="clear" w:color="auto" w:fill="D9D9D9"/>
          </w:tcPr>
          <w:p w:rsidR="000B39A6" w:rsidRPr="005C7E23" w:rsidP="0069306C" w14:paraId="7885A7FC" w14:textId="77777777">
            <w:pPr>
              <w:widowControl w:val="0"/>
              <w:autoSpaceDE w:val="0"/>
              <w:autoSpaceDN w:val="0"/>
              <w:adjustRightInd w:val="0"/>
              <w:jc w:val="right"/>
              <w:rPr>
                <w:b/>
                <w:szCs w:val="26"/>
              </w:rPr>
            </w:pPr>
          </w:p>
        </w:tc>
        <w:tc>
          <w:tcPr>
            <w:tcW w:w="4247" w:type="pct"/>
            <w:gridSpan w:val="6"/>
            <w:shd w:val="clear" w:color="auto" w:fill="D9D9D9"/>
          </w:tcPr>
          <w:p w:rsidR="000B39A6" w:rsidRPr="005C7E23" w:rsidP="0069306C" w14:paraId="3A8A62E9" w14:textId="77777777">
            <w:pPr>
              <w:widowControl w:val="0"/>
              <w:autoSpaceDE w:val="0"/>
              <w:autoSpaceDN w:val="0"/>
              <w:adjustRightInd w:val="0"/>
              <w:jc w:val="center"/>
              <w:rPr>
                <w:b/>
                <w:szCs w:val="26"/>
              </w:rPr>
            </w:pPr>
            <w:r w:rsidRPr="005C7E23">
              <w:rPr>
                <w:b/>
                <w:szCs w:val="26"/>
              </w:rPr>
              <w:t>FERC-550: Oil Pipeline Rates ― Tariff Filings and Depreciation Studies</w:t>
            </w:r>
          </w:p>
        </w:tc>
      </w:tr>
      <w:tr w14:paraId="31C11ACB" w14:textId="77777777" w:rsidTr="0069306C">
        <w:tblPrEx>
          <w:tblW w:w="5150" w:type="pct"/>
          <w:tblInd w:w="-5" w:type="dxa"/>
          <w:tblLayout w:type="fixed"/>
          <w:tblLook w:val="01E0"/>
        </w:tblPrEx>
        <w:trPr>
          <w:cantSplit/>
        </w:trPr>
        <w:tc>
          <w:tcPr>
            <w:tcW w:w="753" w:type="pct"/>
            <w:shd w:val="clear" w:color="auto" w:fill="D9D9D9"/>
          </w:tcPr>
          <w:p w:rsidR="000B39A6" w:rsidRPr="005C7E23" w:rsidP="0069306C" w14:paraId="5216C6C5" w14:textId="77777777">
            <w:pPr>
              <w:widowControl w:val="0"/>
              <w:autoSpaceDE w:val="0"/>
              <w:autoSpaceDN w:val="0"/>
              <w:adjustRightInd w:val="0"/>
              <w:jc w:val="center"/>
              <w:rPr>
                <w:b/>
                <w:szCs w:val="26"/>
              </w:rPr>
            </w:pPr>
          </w:p>
        </w:tc>
        <w:tc>
          <w:tcPr>
            <w:tcW w:w="692" w:type="pct"/>
            <w:shd w:val="clear" w:color="auto" w:fill="D9D9D9"/>
            <w:vAlign w:val="bottom"/>
          </w:tcPr>
          <w:p w:rsidR="000B39A6" w:rsidRPr="005C7E23" w:rsidP="0069306C" w14:paraId="4ED44F34" w14:textId="77777777">
            <w:pPr>
              <w:widowControl w:val="0"/>
              <w:autoSpaceDE w:val="0"/>
              <w:autoSpaceDN w:val="0"/>
              <w:adjustRightInd w:val="0"/>
              <w:jc w:val="center"/>
              <w:rPr>
                <w:b/>
                <w:szCs w:val="26"/>
              </w:rPr>
            </w:pPr>
            <w:r w:rsidRPr="005C7E23">
              <w:rPr>
                <w:b/>
                <w:szCs w:val="26"/>
              </w:rPr>
              <w:t>Number of Respondents</w:t>
            </w:r>
            <w:r w:rsidRPr="005C7E23">
              <w:rPr>
                <w:b/>
                <w:szCs w:val="26"/>
              </w:rPr>
              <w:br/>
              <w:t>(1)</w:t>
            </w:r>
          </w:p>
        </w:tc>
        <w:tc>
          <w:tcPr>
            <w:tcW w:w="658" w:type="pct"/>
            <w:shd w:val="clear" w:color="auto" w:fill="D9D9D9"/>
            <w:vAlign w:val="bottom"/>
          </w:tcPr>
          <w:p w:rsidR="000B39A6" w:rsidRPr="005C7E23" w:rsidP="0069306C" w14:paraId="41EF5D59" w14:textId="77777777">
            <w:pPr>
              <w:widowControl w:val="0"/>
              <w:autoSpaceDE w:val="0"/>
              <w:autoSpaceDN w:val="0"/>
              <w:adjustRightInd w:val="0"/>
              <w:jc w:val="center"/>
              <w:rPr>
                <w:b/>
                <w:szCs w:val="26"/>
              </w:rPr>
            </w:pPr>
            <w:r w:rsidRPr="005C7E23">
              <w:rPr>
                <w:b/>
                <w:szCs w:val="26"/>
              </w:rPr>
              <w:t>Annual Number of Responses per Respondent</w:t>
            </w:r>
          </w:p>
          <w:p w:rsidR="000B39A6" w:rsidRPr="005C7E23" w:rsidP="0069306C" w14:paraId="16DD08E9" w14:textId="77777777">
            <w:pPr>
              <w:widowControl w:val="0"/>
              <w:autoSpaceDE w:val="0"/>
              <w:autoSpaceDN w:val="0"/>
              <w:adjustRightInd w:val="0"/>
              <w:jc w:val="center"/>
              <w:rPr>
                <w:b/>
                <w:szCs w:val="26"/>
              </w:rPr>
            </w:pPr>
            <w:r w:rsidRPr="005C7E23">
              <w:rPr>
                <w:b/>
                <w:szCs w:val="26"/>
              </w:rPr>
              <w:t>(2)</w:t>
            </w:r>
          </w:p>
        </w:tc>
        <w:tc>
          <w:tcPr>
            <w:tcW w:w="654" w:type="pct"/>
            <w:shd w:val="clear" w:color="auto" w:fill="D9D9D9"/>
            <w:vAlign w:val="bottom"/>
          </w:tcPr>
          <w:p w:rsidR="000B39A6" w:rsidRPr="005C7E23" w:rsidP="0069306C" w14:paraId="38AB8380" w14:textId="77777777">
            <w:pPr>
              <w:widowControl w:val="0"/>
              <w:autoSpaceDE w:val="0"/>
              <w:autoSpaceDN w:val="0"/>
              <w:adjustRightInd w:val="0"/>
              <w:jc w:val="center"/>
              <w:rPr>
                <w:b/>
                <w:szCs w:val="26"/>
              </w:rPr>
            </w:pPr>
            <w:r w:rsidRPr="005C7E23">
              <w:rPr>
                <w:b/>
                <w:szCs w:val="26"/>
              </w:rPr>
              <w:t>Total Number of Responses</w:t>
            </w:r>
            <w:r>
              <w:rPr>
                <w:rStyle w:val="FootnoteReference"/>
              </w:rPr>
              <w:footnoteReference w:id="8"/>
            </w:r>
            <w:r w:rsidRPr="005C7E23">
              <w:rPr>
                <w:b/>
                <w:szCs w:val="26"/>
              </w:rPr>
              <w:t xml:space="preserve"> (1)*(2)=(3)</w:t>
            </w:r>
          </w:p>
        </w:tc>
        <w:tc>
          <w:tcPr>
            <w:tcW w:w="607" w:type="pct"/>
            <w:shd w:val="clear" w:color="auto" w:fill="D9D9D9"/>
            <w:vAlign w:val="bottom"/>
          </w:tcPr>
          <w:p w:rsidR="000B39A6" w:rsidRPr="005C7E23" w:rsidP="0069306C" w14:paraId="26E08976" w14:textId="77777777">
            <w:pPr>
              <w:widowControl w:val="0"/>
              <w:autoSpaceDE w:val="0"/>
              <w:autoSpaceDN w:val="0"/>
              <w:adjustRightInd w:val="0"/>
              <w:jc w:val="center"/>
              <w:rPr>
                <w:b/>
                <w:szCs w:val="26"/>
              </w:rPr>
            </w:pPr>
            <w:r w:rsidRPr="005C7E23">
              <w:rPr>
                <w:b/>
                <w:szCs w:val="26"/>
              </w:rPr>
              <w:t>Average Burden Hrs. &amp; Cost ($) Per Response</w:t>
            </w:r>
          </w:p>
          <w:p w:rsidR="000B39A6" w:rsidRPr="005C7E23" w:rsidP="0069306C" w14:paraId="0F06440B" w14:textId="77777777">
            <w:pPr>
              <w:widowControl w:val="0"/>
              <w:autoSpaceDE w:val="0"/>
              <w:autoSpaceDN w:val="0"/>
              <w:adjustRightInd w:val="0"/>
              <w:jc w:val="center"/>
              <w:rPr>
                <w:b/>
                <w:szCs w:val="26"/>
              </w:rPr>
            </w:pPr>
            <w:r w:rsidRPr="005C7E23">
              <w:rPr>
                <w:b/>
                <w:szCs w:val="26"/>
              </w:rPr>
              <w:t>(4)</w:t>
            </w:r>
          </w:p>
        </w:tc>
        <w:tc>
          <w:tcPr>
            <w:tcW w:w="794" w:type="pct"/>
            <w:shd w:val="clear" w:color="auto" w:fill="D9D9D9"/>
            <w:vAlign w:val="bottom"/>
          </w:tcPr>
          <w:p w:rsidR="000B39A6" w:rsidRPr="005C7E23" w:rsidP="0069306C" w14:paraId="7E6D1B1B" w14:textId="77777777">
            <w:pPr>
              <w:widowControl w:val="0"/>
              <w:autoSpaceDE w:val="0"/>
              <w:autoSpaceDN w:val="0"/>
              <w:adjustRightInd w:val="0"/>
              <w:jc w:val="center"/>
              <w:rPr>
                <w:b/>
                <w:szCs w:val="26"/>
              </w:rPr>
            </w:pPr>
            <w:r w:rsidRPr="005C7E23">
              <w:rPr>
                <w:b/>
                <w:szCs w:val="26"/>
              </w:rPr>
              <w:t>Total Annual Burden Hours &amp; Total Annual Cost ($)</w:t>
            </w:r>
          </w:p>
          <w:p w:rsidR="000B39A6" w:rsidRPr="005C7E23" w:rsidP="0069306C" w14:paraId="3AB5D518" w14:textId="77777777">
            <w:pPr>
              <w:widowControl w:val="0"/>
              <w:autoSpaceDE w:val="0"/>
              <w:autoSpaceDN w:val="0"/>
              <w:adjustRightInd w:val="0"/>
              <w:jc w:val="center"/>
              <w:rPr>
                <w:b/>
                <w:szCs w:val="26"/>
              </w:rPr>
            </w:pPr>
            <w:r w:rsidRPr="005C7E23">
              <w:rPr>
                <w:b/>
                <w:szCs w:val="26"/>
              </w:rPr>
              <w:t>(3)*(4)=(5)</w:t>
            </w:r>
          </w:p>
        </w:tc>
        <w:tc>
          <w:tcPr>
            <w:tcW w:w="842" w:type="pct"/>
            <w:shd w:val="clear" w:color="auto" w:fill="D9D9D9"/>
            <w:vAlign w:val="bottom"/>
          </w:tcPr>
          <w:p w:rsidR="000B39A6" w:rsidRPr="005C7E23" w:rsidP="0069306C" w14:paraId="6CBCBDFA" w14:textId="77777777">
            <w:pPr>
              <w:widowControl w:val="0"/>
              <w:autoSpaceDE w:val="0"/>
              <w:autoSpaceDN w:val="0"/>
              <w:adjustRightInd w:val="0"/>
              <w:jc w:val="center"/>
              <w:rPr>
                <w:b/>
                <w:szCs w:val="26"/>
              </w:rPr>
            </w:pPr>
            <w:r w:rsidRPr="005C7E23">
              <w:rPr>
                <w:b/>
                <w:szCs w:val="26"/>
              </w:rPr>
              <w:t>Cost per Respondent  ($)</w:t>
            </w:r>
          </w:p>
          <w:p w:rsidR="000B39A6" w:rsidRPr="005C7E23" w:rsidP="0069306C" w14:paraId="1FD10BDF" w14:textId="77777777">
            <w:pPr>
              <w:widowControl w:val="0"/>
              <w:autoSpaceDE w:val="0"/>
              <w:autoSpaceDN w:val="0"/>
              <w:adjustRightInd w:val="0"/>
              <w:jc w:val="center"/>
              <w:rPr>
                <w:b/>
                <w:szCs w:val="26"/>
              </w:rPr>
            </w:pPr>
            <w:r w:rsidRPr="005C7E23">
              <w:rPr>
                <w:b/>
                <w:szCs w:val="26"/>
              </w:rPr>
              <w:t>(5)÷(1)</w:t>
            </w:r>
          </w:p>
        </w:tc>
      </w:tr>
      <w:tr w14:paraId="337E1DFF" w14:textId="77777777" w:rsidTr="0069306C">
        <w:tblPrEx>
          <w:tblW w:w="5150" w:type="pct"/>
          <w:tblInd w:w="-5" w:type="dxa"/>
          <w:tblLayout w:type="fixed"/>
          <w:tblLook w:val="01E0"/>
        </w:tblPrEx>
        <w:trPr>
          <w:cantSplit/>
        </w:trPr>
        <w:tc>
          <w:tcPr>
            <w:tcW w:w="753" w:type="pct"/>
          </w:tcPr>
          <w:p w:rsidR="000B39A6" w:rsidRPr="005C7E23" w:rsidP="0069306C" w14:paraId="582D9ABD" w14:textId="77777777">
            <w:pPr>
              <w:widowControl w:val="0"/>
              <w:autoSpaceDE w:val="0"/>
              <w:autoSpaceDN w:val="0"/>
              <w:adjustRightInd w:val="0"/>
              <w:jc w:val="right"/>
              <w:rPr>
                <w:szCs w:val="26"/>
              </w:rPr>
            </w:pPr>
            <w:r w:rsidRPr="005C7E23">
              <w:rPr>
                <w:szCs w:val="26"/>
              </w:rPr>
              <w:t>Oil Rates and Tariff Filings</w:t>
            </w:r>
          </w:p>
        </w:tc>
        <w:tc>
          <w:tcPr>
            <w:tcW w:w="692" w:type="pct"/>
          </w:tcPr>
          <w:p w:rsidR="000B39A6" w:rsidRPr="005C7E23" w:rsidP="0069306C" w14:paraId="689618F4" w14:textId="03D954D3">
            <w:pPr>
              <w:widowControl w:val="0"/>
              <w:autoSpaceDE w:val="0"/>
              <w:autoSpaceDN w:val="0"/>
              <w:adjustRightInd w:val="0"/>
              <w:jc w:val="right"/>
              <w:rPr>
                <w:szCs w:val="26"/>
              </w:rPr>
            </w:pPr>
            <w:r w:rsidRPr="005C7E23">
              <w:rPr>
                <w:szCs w:val="26"/>
              </w:rPr>
              <w:t>2</w:t>
            </w:r>
            <w:r w:rsidRPr="005C7E23" w:rsidR="00B74A00">
              <w:rPr>
                <w:szCs w:val="26"/>
              </w:rPr>
              <w:t>61</w:t>
            </w:r>
          </w:p>
          <w:p w:rsidR="000B39A6" w:rsidRPr="005C7E23" w:rsidP="0069306C" w14:paraId="61482FBE" w14:textId="77777777">
            <w:pPr>
              <w:widowControl w:val="0"/>
              <w:autoSpaceDE w:val="0"/>
              <w:autoSpaceDN w:val="0"/>
              <w:adjustRightInd w:val="0"/>
              <w:jc w:val="right"/>
              <w:rPr>
                <w:szCs w:val="26"/>
              </w:rPr>
            </w:pPr>
          </w:p>
        </w:tc>
        <w:tc>
          <w:tcPr>
            <w:tcW w:w="658" w:type="pct"/>
          </w:tcPr>
          <w:p w:rsidR="000B39A6" w:rsidRPr="005C7E23" w:rsidP="0069306C" w14:paraId="295C6377" w14:textId="77777777">
            <w:pPr>
              <w:widowControl w:val="0"/>
              <w:autoSpaceDE w:val="0"/>
              <w:autoSpaceDN w:val="0"/>
              <w:adjustRightInd w:val="0"/>
              <w:jc w:val="right"/>
              <w:rPr>
                <w:szCs w:val="26"/>
              </w:rPr>
            </w:pPr>
            <w:r w:rsidRPr="005C7E23">
              <w:rPr>
                <w:szCs w:val="26"/>
              </w:rPr>
              <w:t>3</w:t>
            </w:r>
          </w:p>
        </w:tc>
        <w:tc>
          <w:tcPr>
            <w:tcW w:w="654" w:type="pct"/>
          </w:tcPr>
          <w:p w:rsidR="000B39A6" w:rsidRPr="005C7E23" w:rsidP="0069306C" w14:paraId="5860A518" w14:textId="4397E710">
            <w:pPr>
              <w:widowControl w:val="0"/>
              <w:autoSpaceDE w:val="0"/>
              <w:autoSpaceDN w:val="0"/>
              <w:adjustRightInd w:val="0"/>
              <w:jc w:val="right"/>
              <w:rPr>
                <w:szCs w:val="26"/>
              </w:rPr>
            </w:pPr>
            <w:r w:rsidRPr="005C7E23">
              <w:rPr>
                <w:szCs w:val="26"/>
              </w:rPr>
              <w:t>7</w:t>
            </w:r>
            <w:r w:rsidRPr="005C7E23" w:rsidR="006C1C27">
              <w:rPr>
                <w:szCs w:val="26"/>
              </w:rPr>
              <w:t>83</w:t>
            </w:r>
            <w:r w:rsidRPr="005C7E23">
              <w:rPr>
                <w:szCs w:val="26"/>
              </w:rPr>
              <w:t xml:space="preserve"> </w:t>
            </w:r>
          </w:p>
        </w:tc>
        <w:tc>
          <w:tcPr>
            <w:tcW w:w="607" w:type="pct"/>
          </w:tcPr>
          <w:p w:rsidR="000B39A6" w:rsidRPr="005C7E23" w:rsidP="0069306C" w14:paraId="0EAA73E5" w14:textId="77777777">
            <w:pPr>
              <w:widowControl w:val="0"/>
              <w:autoSpaceDE w:val="0"/>
              <w:autoSpaceDN w:val="0"/>
              <w:adjustRightInd w:val="0"/>
              <w:jc w:val="right"/>
              <w:rPr>
                <w:szCs w:val="26"/>
              </w:rPr>
            </w:pPr>
            <w:r w:rsidRPr="005C7E23">
              <w:rPr>
                <w:szCs w:val="26"/>
              </w:rPr>
              <w:t>7 hrs.;</w:t>
            </w:r>
          </w:p>
          <w:p w:rsidR="000B39A6" w:rsidRPr="005C7E23" w:rsidP="0069306C" w14:paraId="3C2CDA6E" w14:textId="3AA555C8">
            <w:pPr>
              <w:widowControl w:val="0"/>
              <w:autoSpaceDE w:val="0"/>
              <w:autoSpaceDN w:val="0"/>
              <w:adjustRightInd w:val="0"/>
              <w:jc w:val="right"/>
              <w:rPr>
                <w:szCs w:val="26"/>
              </w:rPr>
            </w:pPr>
            <w:r w:rsidRPr="005C7E23">
              <w:rPr>
                <w:szCs w:val="26"/>
              </w:rPr>
              <w:t>$</w:t>
            </w:r>
            <w:r w:rsidRPr="005C7E23" w:rsidR="007A051D">
              <w:rPr>
                <w:szCs w:val="26"/>
              </w:rPr>
              <w:t>721</w:t>
            </w:r>
          </w:p>
        </w:tc>
        <w:tc>
          <w:tcPr>
            <w:tcW w:w="794" w:type="pct"/>
          </w:tcPr>
          <w:p w:rsidR="000B39A6" w:rsidRPr="005C7E23" w:rsidP="0069306C" w14:paraId="1FC47751" w14:textId="3588246F">
            <w:pPr>
              <w:widowControl w:val="0"/>
              <w:autoSpaceDE w:val="0"/>
              <w:autoSpaceDN w:val="0"/>
              <w:adjustRightInd w:val="0"/>
              <w:jc w:val="right"/>
              <w:rPr>
                <w:szCs w:val="26"/>
              </w:rPr>
            </w:pPr>
            <w:r w:rsidRPr="005C7E23">
              <w:rPr>
                <w:szCs w:val="26"/>
              </w:rPr>
              <w:t>5,4</w:t>
            </w:r>
            <w:r w:rsidRPr="005C7E23" w:rsidR="00541E83">
              <w:rPr>
                <w:szCs w:val="26"/>
              </w:rPr>
              <w:t>81</w:t>
            </w:r>
            <w:r w:rsidRPr="005C7E23">
              <w:rPr>
                <w:szCs w:val="26"/>
              </w:rPr>
              <w:t xml:space="preserve"> hrs.;</w:t>
            </w:r>
          </w:p>
          <w:p w:rsidR="000B39A6" w:rsidRPr="005C7E23" w:rsidP="0069306C" w14:paraId="4F223198" w14:textId="1EEDDABB">
            <w:pPr>
              <w:widowControl w:val="0"/>
              <w:autoSpaceDE w:val="0"/>
              <w:autoSpaceDN w:val="0"/>
              <w:adjustRightInd w:val="0"/>
              <w:jc w:val="right"/>
              <w:rPr>
                <w:szCs w:val="26"/>
              </w:rPr>
            </w:pPr>
            <w:r w:rsidRPr="005C7E23">
              <w:rPr>
                <w:szCs w:val="26"/>
              </w:rPr>
              <w:t>$</w:t>
            </w:r>
            <w:r w:rsidRPr="005C7E23" w:rsidR="00073F81">
              <w:rPr>
                <w:szCs w:val="26"/>
              </w:rPr>
              <w:t>564,543</w:t>
            </w:r>
          </w:p>
        </w:tc>
        <w:tc>
          <w:tcPr>
            <w:tcW w:w="842" w:type="pct"/>
          </w:tcPr>
          <w:p w:rsidR="000B39A6" w:rsidRPr="005C7E23" w:rsidP="0069306C" w14:paraId="6DD585E2" w14:textId="43516E56">
            <w:pPr>
              <w:widowControl w:val="0"/>
              <w:autoSpaceDE w:val="0"/>
              <w:autoSpaceDN w:val="0"/>
              <w:adjustRightInd w:val="0"/>
              <w:jc w:val="right"/>
              <w:rPr>
                <w:szCs w:val="26"/>
              </w:rPr>
            </w:pPr>
            <w:r w:rsidRPr="005C7E23">
              <w:rPr>
                <w:szCs w:val="26"/>
              </w:rPr>
              <w:t>$</w:t>
            </w:r>
            <w:r w:rsidRPr="005C7E23" w:rsidR="005602C0">
              <w:rPr>
                <w:szCs w:val="26"/>
              </w:rPr>
              <w:t>2,163</w:t>
            </w:r>
          </w:p>
        </w:tc>
      </w:tr>
      <w:tr w14:paraId="3B466B69" w14:textId="77777777" w:rsidTr="0069306C">
        <w:tblPrEx>
          <w:tblW w:w="5150" w:type="pct"/>
          <w:tblInd w:w="-5" w:type="dxa"/>
          <w:tblLayout w:type="fixed"/>
          <w:tblLook w:val="01E0"/>
        </w:tblPrEx>
        <w:trPr>
          <w:cantSplit/>
        </w:trPr>
        <w:tc>
          <w:tcPr>
            <w:tcW w:w="753" w:type="pct"/>
          </w:tcPr>
          <w:p w:rsidR="000B39A6" w:rsidRPr="005C7E23" w:rsidP="0069306C" w14:paraId="085192E3" w14:textId="62BF272F">
            <w:pPr>
              <w:widowControl w:val="0"/>
              <w:autoSpaceDE w:val="0"/>
              <w:autoSpaceDN w:val="0"/>
              <w:adjustRightInd w:val="0"/>
              <w:jc w:val="right"/>
              <w:rPr>
                <w:szCs w:val="26"/>
              </w:rPr>
            </w:pPr>
            <w:r w:rsidRPr="005C7E23">
              <w:rPr>
                <w:szCs w:val="26"/>
              </w:rPr>
              <w:t>Depreciation Studies</w:t>
            </w:r>
          </w:p>
        </w:tc>
        <w:tc>
          <w:tcPr>
            <w:tcW w:w="692" w:type="pct"/>
          </w:tcPr>
          <w:p w:rsidR="000B39A6" w:rsidRPr="005C7E23" w:rsidP="0069306C" w14:paraId="3C7CBA60" w14:textId="42EA8513">
            <w:pPr>
              <w:widowControl w:val="0"/>
              <w:autoSpaceDE w:val="0"/>
              <w:autoSpaceDN w:val="0"/>
              <w:adjustRightInd w:val="0"/>
              <w:jc w:val="right"/>
              <w:rPr>
                <w:szCs w:val="26"/>
              </w:rPr>
            </w:pPr>
            <w:r w:rsidRPr="005C7E23">
              <w:rPr>
                <w:szCs w:val="26"/>
              </w:rPr>
              <w:t>15</w:t>
            </w:r>
          </w:p>
        </w:tc>
        <w:tc>
          <w:tcPr>
            <w:tcW w:w="658" w:type="pct"/>
          </w:tcPr>
          <w:p w:rsidR="000B39A6" w:rsidRPr="005C7E23" w:rsidP="0069306C" w14:paraId="1806B94A" w14:textId="77777777">
            <w:pPr>
              <w:widowControl w:val="0"/>
              <w:autoSpaceDE w:val="0"/>
              <w:autoSpaceDN w:val="0"/>
              <w:adjustRightInd w:val="0"/>
              <w:jc w:val="right"/>
              <w:rPr>
                <w:szCs w:val="26"/>
              </w:rPr>
            </w:pPr>
            <w:r w:rsidRPr="005C7E23">
              <w:rPr>
                <w:szCs w:val="26"/>
              </w:rPr>
              <w:t>1</w:t>
            </w:r>
          </w:p>
        </w:tc>
        <w:tc>
          <w:tcPr>
            <w:tcW w:w="654" w:type="pct"/>
          </w:tcPr>
          <w:p w:rsidR="000B39A6" w:rsidRPr="005C7E23" w:rsidP="0069306C" w14:paraId="54FEF923" w14:textId="3A000012">
            <w:pPr>
              <w:widowControl w:val="0"/>
              <w:autoSpaceDE w:val="0"/>
              <w:autoSpaceDN w:val="0"/>
              <w:adjustRightInd w:val="0"/>
              <w:jc w:val="right"/>
              <w:rPr>
                <w:szCs w:val="26"/>
              </w:rPr>
            </w:pPr>
            <w:r w:rsidRPr="005C7E23">
              <w:rPr>
                <w:szCs w:val="26"/>
              </w:rPr>
              <w:t>15</w:t>
            </w:r>
          </w:p>
        </w:tc>
        <w:tc>
          <w:tcPr>
            <w:tcW w:w="607" w:type="pct"/>
          </w:tcPr>
          <w:p w:rsidR="000B39A6" w:rsidRPr="005C7E23" w:rsidP="0069306C" w14:paraId="54A8A8D4" w14:textId="77777777">
            <w:pPr>
              <w:widowControl w:val="0"/>
              <w:autoSpaceDE w:val="0"/>
              <w:autoSpaceDN w:val="0"/>
              <w:adjustRightInd w:val="0"/>
              <w:jc w:val="right"/>
              <w:rPr>
                <w:szCs w:val="26"/>
              </w:rPr>
            </w:pPr>
            <w:r w:rsidRPr="005C7E23">
              <w:rPr>
                <w:szCs w:val="26"/>
              </w:rPr>
              <w:t>40 hrs.;</w:t>
            </w:r>
          </w:p>
          <w:p w:rsidR="000B39A6" w:rsidRPr="005C7E23" w:rsidP="0069306C" w14:paraId="6561A32E" w14:textId="435A88EA">
            <w:pPr>
              <w:widowControl w:val="0"/>
              <w:autoSpaceDE w:val="0"/>
              <w:autoSpaceDN w:val="0"/>
              <w:adjustRightInd w:val="0"/>
              <w:jc w:val="right"/>
              <w:rPr>
                <w:szCs w:val="26"/>
              </w:rPr>
            </w:pPr>
            <w:r w:rsidRPr="005C7E23">
              <w:rPr>
                <w:szCs w:val="26"/>
              </w:rPr>
              <w:t>$</w:t>
            </w:r>
            <w:r w:rsidRPr="005C7E23" w:rsidR="00794C25">
              <w:rPr>
                <w:szCs w:val="26"/>
              </w:rPr>
              <w:t>4,120</w:t>
            </w:r>
          </w:p>
        </w:tc>
        <w:tc>
          <w:tcPr>
            <w:tcW w:w="794" w:type="pct"/>
          </w:tcPr>
          <w:p w:rsidR="000B39A6" w:rsidRPr="005C7E23" w:rsidP="0069306C" w14:paraId="6DBE1791" w14:textId="47E27E69">
            <w:pPr>
              <w:widowControl w:val="0"/>
              <w:autoSpaceDE w:val="0"/>
              <w:autoSpaceDN w:val="0"/>
              <w:adjustRightInd w:val="0"/>
              <w:jc w:val="right"/>
              <w:rPr>
                <w:szCs w:val="26"/>
              </w:rPr>
            </w:pPr>
            <w:r w:rsidRPr="005C7E23">
              <w:rPr>
                <w:szCs w:val="26"/>
              </w:rPr>
              <w:t>600</w:t>
            </w:r>
            <w:r w:rsidRPr="005C7E23">
              <w:rPr>
                <w:szCs w:val="26"/>
              </w:rPr>
              <w:t xml:space="preserve"> hrs.;</w:t>
            </w:r>
          </w:p>
          <w:p w:rsidR="000B39A6" w:rsidRPr="005C7E23" w:rsidP="0069306C" w14:paraId="309AF92F" w14:textId="56F612B6">
            <w:pPr>
              <w:widowControl w:val="0"/>
              <w:autoSpaceDE w:val="0"/>
              <w:autoSpaceDN w:val="0"/>
              <w:adjustRightInd w:val="0"/>
              <w:jc w:val="right"/>
              <w:rPr>
                <w:szCs w:val="26"/>
              </w:rPr>
            </w:pPr>
            <w:r w:rsidRPr="005C7E23">
              <w:rPr>
                <w:szCs w:val="26"/>
              </w:rPr>
              <w:t>$</w:t>
            </w:r>
            <w:r w:rsidRPr="005C7E23" w:rsidR="008F24DF">
              <w:rPr>
                <w:szCs w:val="26"/>
              </w:rPr>
              <w:t>61,800</w:t>
            </w:r>
          </w:p>
        </w:tc>
        <w:tc>
          <w:tcPr>
            <w:tcW w:w="842" w:type="pct"/>
          </w:tcPr>
          <w:p w:rsidR="000B39A6" w:rsidRPr="005C7E23" w:rsidP="0069306C" w14:paraId="44563BF1" w14:textId="4CDE291E">
            <w:pPr>
              <w:widowControl w:val="0"/>
              <w:autoSpaceDE w:val="0"/>
              <w:autoSpaceDN w:val="0"/>
              <w:adjustRightInd w:val="0"/>
              <w:jc w:val="right"/>
              <w:rPr>
                <w:szCs w:val="26"/>
              </w:rPr>
            </w:pPr>
            <w:r w:rsidRPr="005C7E23">
              <w:rPr>
                <w:szCs w:val="26"/>
              </w:rPr>
              <w:t>$</w:t>
            </w:r>
            <w:r w:rsidRPr="005C7E23" w:rsidR="00A557D3">
              <w:rPr>
                <w:szCs w:val="26"/>
              </w:rPr>
              <w:t>4,120</w:t>
            </w:r>
          </w:p>
        </w:tc>
      </w:tr>
      <w:tr w14:paraId="54AA364C" w14:textId="77777777" w:rsidTr="0069306C">
        <w:tblPrEx>
          <w:tblW w:w="5150" w:type="pct"/>
          <w:tblInd w:w="-5" w:type="dxa"/>
          <w:tblLayout w:type="fixed"/>
          <w:tblLook w:val="01E0"/>
        </w:tblPrEx>
        <w:trPr>
          <w:cantSplit/>
        </w:trPr>
        <w:tc>
          <w:tcPr>
            <w:tcW w:w="753" w:type="pct"/>
          </w:tcPr>
          <w:p w:rsidR="000B39A6" w:rsidRPr="005C7E23" w:rsidP="0069306C" w14:paraId="17937357" w14:textId="77777777">
            <w:pPr>
              <w:widowControl w:val="0"/>
              <w:autoSpaceDE w:val="0"/>
              <w:autoSpaceDN w:val="0"/>
              <w:adjustRightInd w:val="0"/>
              <w:jc w:val="right"/>
              <w:rPr>
                <w:szCs w:val="26"/>
              </w:rPr>
            </w:pPr>
            <w:r w:rsidRPr="005C7E23">
              <w:rPr>
                <w:szCs w:val="26"/>
              </w:rPr>
              <w:t>Total</w:t>
            </w:r>
          </w:p>
        </w:tc>
        <w:tc>
          <w:tcPr>
            <w:tcW w:w="692" w:type="pct"/>
          </w:tcPr>
          <w:p w:rsidR="000B39A6" w:rsidRPr="005C7E23" w:rsidP="0069306C" w14:paraId="0EBC7C11" w14:textId="57186460">
            <w:pPr>
              <w:widowControl w:val="0"/>
              <w:autoSpaceDE w:val="0"/>
              <w:autoSpaceDN w:val="0"/>
              <w:adjustRightInd w:val="0"/>
              <w:jc w:val="right"/>
              <w:rPr>
                <w:szCs w:val="26"/>
              </w:rPr>
            </w:pPr>
            <w:r w:rsidRPr="005C7E23">
              <w:rPr>
                <w:szCs w:val="26"/>
              </w:rPr>
              <w:t>2</w:t>
            </w:r>
            <w:r w:rsidRPr="005C7E23" w:rsidR="00675461">
              <w:rPr>
                <w:szCs w:val="26"/>
              </w:rPr>
              <w:t>76</w:t>
            </w:r>
          </w:p>
        </w:tc>
        <w:tc>
          <w:tcPr>
            <w:tcW w:w="658" w:type="pct"/>
            <w:shd w:val="clear" w:color="auto" w:fill="D9D9D9" w:themeFill="background1" w:themeFillShade="D9"/>
          </w:tcPr>
          <w:p w:rsidR="000B39A6" w:rsidRPr="005C7E23" w:rsidP="0069306C" w14:paraId="6FF05923" w14:textId="77777777">
            <w:pPr>
              <w:widowControl w:val="0"/>
              <w:autoSpaceDE w:val="0"/>
              <w:autoSpaceDN w:val="0"/>
              <w:adjustRightInd w:val="0"/>
              <w:jc w:val="right"/>
              <w:rPr>
                <w:szCs w:val="26"/>
              </w:rPr>
            </w:pPr>
          </w:p>
        </w:tc>
        <w:tc>
          <w:tcPr>
            <w:tcW w:w="654" w:type="pct"/>
          </w:tcPr>
          <w:p w:rsidR="000B39A6" w:rsidRPr="005C7E23" w:rsidP="0069306C" w14:paraId="7298800F" w14:textId="5DCF95BC">
            <w:pPr>
              <w:widowControl w:val="0"/>
              <w:autoSpaceDE w:val="0"/>
              <w:autoSpaceDN w:val="0"/>
              <w:adjustRightInd w:val="0"/>
              <w:jc w:val="right"/>
              <w:rPr>
                <w:szCs w:val="26"/>
              </w:rPr>
            </w:pPr>
            <w:r w:rsidRPr="005C7E23">
              <w:rPr>
                <w:szCs w:val="26"/>
              </w:rPr>
              <w:t>7</w:t>
            </w:r>
            <w:r w:rsidRPr="005C7E23" w:rsidR="00BB3B04">
              <w:rPr>
                <w:szCs w:val="26"/>
              </w:rPr>
              <w:t>98</w:t>
            </w:r>
          </w:p>
        </w:tc>
        <w:tc>
          <w:tcPr>
            <w:tcW w:w="607" w:type="pct"/>
            <w:shd w:val="clear" w:color="auto" w:fill="D9D9D9" w:themeFill="background1" w:themeFillShade="D9"/>
          </w:tcPr>
          <w:p w:rsidR="000B39A6" w:rsidRPr="005C7E23" w:rsidP="0069306C" w14:paraId="5F75B276" w14:textId="77777777">
            <w:pPr>
              <w:widowControl w:val="0"/>
              <w:autoSpaceDE w:val="0"/>
              <w:autoSpaceDN w:val="0"/>
              <w:adjustRightInd w:val="0"/>
              <w:jc w:val="right"/>
              <w:rPr>
                <w:szCs w:val="26"/>
              </w:rPr>
            </w:pPr>
          </w:p>
        </w:tc>
        <w:tc>
          <w:tcPr>
            <w:tcW w:w="794" w:type="pct"/>
          </w:tcPr>
          <w:p w:rsidR="000B39A6" w:rsidRPr="005C7E23" w:rsidP="0069306C" w14:paraId="414C522D" w14:textId="7FB0257C">
            <w:pPr>
              <w:widowControl w:val="0"/>
              <w:autoSpaceDE w:val="0"/>
              <w:autoSpaceDN w:val="0"/>
              <w:adjustRightInd w:val="0"/>
              <w:jc w:val="right"/>
              <w:rPr>
                <w:szCs w:val="26"/>
              </w:rPr>
            </w:pPr>
            <w:r w:rsidRPr="005C7E23">
              <w:rPr>
                <w:szCs w:val="26"/>
              </w:rPr>
              <w:t>6</w:t>
            </w:r>
            <w:r w:rsidRPr="005C7E23" w:rsidR="00D85D2E">
              <w:rPr>
                <w:szCs w:val="26"/>
              </w:rPr>
              <w:t>,</w:t>
            </w:r>
            <w:r w:rsidRPr="005C7E23">
              <w:rPr>
                <w:szCs w:val="26"/>
              </w:rPr>
              <w:t>081</w:t>
            </w:r>
            <w:r w:rsidRPr="005C7E23">
              <w:rPr>
                <w:szCs w:val="26"/>
              </w:rPr>
              <w:t xml:space="preserve"> hrs.;</w:t>
            </w:r>
          </w:p>
          <w:p w:rsidR="000B39A6" w:rsidRPr="005C7E23" w:rsidP="0069306C" w14:paraId="27F9651C" w14:textId="5367A44B">
            <w:pPr>
              <w:widowControl w:val="0"/>
              <w:autoSpaceDE w:val="0"/>
              <w:autoSpaceDN w:val="0"/>
              <w:adjustRightInd w:val="0"/>
              <w:jc w:val="right"/>
              <w:rPr>
                <w:szCs w:val="26"/>
              </w:rPr>
            </w:pPr>
            <w:r w:rsidRPr="005C7E23">
              <w:rPr>
                <w:szCs w:val="26"/>
              </w:rPr>
              <w:t>$</w:t>
            </w:r>
            <w:r w:rsidRPr="005C7E23" w:rsidR="00FD32FE">
              <w:rPr>
                <w:szCs w:val="26"/>
              </w:rPr>
              <w:t>626,343</w:t>
            </w:r>
          </w:p>
        </w:tc>
        <w:tc>
          <w:tcPr>
            <w:tcW w:w="842" w:type="pct"/>
            <w:shd w:val="clear" w:color="auto" w:fill="D9D9D9" w:themeFill="background1" w:themeFillShade="D9"/>
          </w:tcPr>
          <w:p w:rsidR="000B39A6" w:rsidRPr="005C7E23" w:rsidP="0069306C" w14:paraId="25A8B811" w14:textId="77777777">
            <w:pPr>
              <w:widowControl w:val="0"/>
              <w:autoSpaceDE w:val="0"/>
              <w:autoSpaceDN w:val="0"/>
              <w:adjustRightInd w:val="0"/>
              <w:jc w:val="right"/>
              <w:rPr>
                <w:szCs w:val="26"/>
              </w:rPr>
            </w:pPr>
          </w:p>
        </w:tc>
      </w:tr>
    </w:tbl>
    <w:p w:rsidR="00444207" w:rsidRPr="005C7E23" w:rsidP="549EAD48" w14:paraId="3B9D9067" w14:textId="77777777">
      <w:pPr>
        <w:spacing w:line="480" w:lineRule="auto"/>
        <w:rPr>
          <w:szCs w:val="26"/>
        </w:rPr>
      </w:pPr>
    </w:p>
    <w:tbl>
      <w:tblPr>
        <w:tblW w:w="518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311"/>
        <w:gridCol w:w="1352"/>
        <w:gridCol w:w="1439"/>
        <w:gridCol w:w="1352"/>
        <w:gridCol w:w="989"/>
      </w:tblGrid>
      <w:tr w14:paraId="5178E684" w14:textId="77777777" w:rsidTr="00AD3F3F">
        <w:tblPrEx>
          <w:tblW w:w="518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142339" w:rsidRPr="005C7E23" w:rsidP="0069306C" w14:paraId="00E44D5F" w14:textId="77777777">
            <w:pPr>
              <w:jc w:val="center"/>
              <w:rPr>
                <w:rFonts w:eastAsia="Calibri"/>
                <w:b/>
                <w:szCs w:val="26"/>
              </w:rPr>
            </w:pPr>
            <w:r w:rsidRPr="005C7E23">
              <w:rPr>
                <w:rFonts w:eastAsia="Calibri"/>
                <w:b/>
                <w:szCs w:val="26"/>
              </w:rPr>
              <w:t>FERC-914: Cogeneration and Small Power Production – Tariff Filings</w:t>
            </w:r>
          </w:p>
        </w:tc>
      </w:tr>
      <w:tr w14:paraId="620165BC" w14:textId="77777777" w:rsidTr="001A4591">
        <w:tblPrEx>
          <w:tblW w:w="5186" w:type="pct"/>
          <w:tblInd w:w="-72" w:type="dxa"/>
          <w:tblLayout w:type="fixed"/>
          <w:tblLook w:val="01E0"/>
        </w:tblPrEx>
        <w:trPr>
          <w:cantSplit/>
        </w:trPr>
        <w:tc>
          <w:tcPr>
            <w:tcW w:w="907" w:type="pct"/>
            <w:shd w:val="clear" w:color="auto" w:fill="D9D9D9"/>
          </w:tcPr>
          <w:p w:rsidR="00142339" w:rsidRPr="005C7E23" w:rsidP="0069306C" w14:paraId="263027DA" w14:textId="77777777">
            <w:pPr>
              <w:jc w:val="center"/>
              <w:rPr>
                <w:rFonts w:eastAsia="Calibri"/>
                <w:b/>
                <w:szCs w:val="26"/>
              </w:rPr>
            </w:pPr>
          </w:p>
        </w:tc>
        <w:tc>
          <w:tcPr>
            <w:tcW w:w="771" w:type="pct"/>
            <w:shd w:val="clear" w:color="auto" w:fill="D9D9D9"/>
            <w:vAlign w:val="bottom"/>
          </w:tcPr>
          <w:p w:rsidR="00142339" w:rsidRPr="005C7E23" w:rsidP="0069306C" w14:paraId="2075A998" w14:textId="77777777">
            <w:pPr>
              <w:jc w:val="center"/>
              <w:rPr>
                <w:rFonts w:eastAsia="Calibri"/>
                <w:b/>
                <w:szCs w:val="26"/>
              </w:rPr>
            </w:pPr>
            <w:r w:rsidRPr="005C7E23">
              <w:rPr>
                <w:rFonts w:eastAsia="Calibri"/>
                <w:b/>
                <w:szCs w:val="26"/>
              </w:rPr>
              <w:t>Number of Respondents</w:t>
            </w:r>
            <w:r w:rsidRPr="005C7E23">
              <w:rPr>
                <w:rFonts w:eastAsia="Calibri"/>
                <w:b/>
                <w:szCs w:val="26"/>
              </w:rPr>
              <w:br/>
              <w:t>(1)</w:t>
            </w:r>
          </w:p>
        </w:tc>
        <w:tc>
          <w:tcPr>
            <w:tcW w:w="676" w:type="pct"/>
            <w:shd w:val="clear" w:color="auto" w:fill="D9D9D9"/>
            <w:vAlign w:val="bottom"/>
          </w:tcPr>
          <w:p w:rsidR="00142339" w:rsidRPr="005C7E23" w:rsidP="0069306C" w14:paraId="5CF7E610" w14:textId="77777777">
            <w:pPr>
              <w:jc w:val="center"/>
              <w:rPr>
                <w:rFonts w:eastAsia="Calibri"/>
                <w:b/>
                <w:szCs w:val="26"/>
              </w:rPr>
            </w:pPr>
            <w:r w:rsidRPr="005C7E23">
              <w:rPr>
                <w:rFonts w:eastAsia="Calibri"/>
                <w:b/>
                <w:szCs w:val="26"/>
              </w:rPr>
              <w:t>Annual Number of Responses per Respondent</w:t>
            </w:r>
          </w:p>
          <w:p w:rsidR="00142339" w:rsidRPr="005C7E23" w:rsidP="0069306C" w14:paraId="2D41D658" w14:textId="77777777">
            <w:pPr>
              <w:jc w:val="center"/>
              <w:rPr>
                <w:rFonts w:eastAsia="Calibri"/>
                <w:b/>
                <w:szCs w:val="26"/>
              </w:rPr>
            </w:pPr>
            <w:r w:rsidRPr="005C7E23">
              <w:rPr>
                <w:rFonts w:eastAsia="Calibri"/>
                <w:b/>
                <w:szCs w:val="26"/>
              </w:rPr>
              <w:t>(2)</w:t>
            </w:r>
          </w:p>
        </w:tc>
        <w:tc>
          <w:tcPr>
            <w:tcW w:w="697" w:type="pct"/>
            <w:shd w:val="clear" w:color="auto" w:fill="D9D9D9"/>
            <w:vAlign w:val="bottom"/>
          </w:tcPr>
          <w:p w:rsidR="00142339" w:rsidRPr="005C7E23" w:rsidP="0069306C" w14:paraId="51C8C256" w14:textId="77777777">
            <w:pPr>
              <w:jc w:val="center"/>
              <w:rPr>
                <w:rFonts w:eastAsia="Calibri"/>
                <w:b/>
                <w:szCs w:val="26"/>
              </w:rPr>
            </w:pPr>
            <w:r w:rsidRPr="005C7E23">
              <w:rPr>
                <w:rFonts w:eastAsia="Calibri"/>
                <w:b/>
                <w:szCs w:val="26"/>
              </w:rPr>
              <w:t>Total Number of Responses (1)*(2)=(3)</w:t>
            </w:r>
          </w:p>
        </w:tc>
        <w:tc>
          <w:tcPr>
            <w:tcW w:w="742" w:type="pct"/>
            <w:shd w:val="clear" w:color="auto" w:fill="D9D9D9"/>
            <w:vAlign w:val="bottom"/>
          </w:tcPr>
          <w:p w:rsidR="00142339" w:rsidRPr="005C7E23" w:rsidP="0069306C" w14:paraId="1DD44B50" w14:textId="77777777">
            <w:pPr>
              <w:jc w:val="center"/>
              <w:rPr>
                <w:rFonts w:eastAsia="Calibri"/>
                <w:b/>
                <w:szCs w:val="26"/>
              </w:rPr>
            </w:pPr>
            <w:r w:rsidRPr="005C7E23">
              <w:rPr>
                <w:rFonts w:eastAsia="Calibri"/>
                <w:b/>
                <w:szCs w:val="26"/>
              </w:rPr>
              <w:t>Average Burden Hours &amp; Cost ($) Per Response</w:t>
            </w:r>
          </w:p>
          <w:p w:rsidR="00142339" w:rsidRPr="005C7E23" w:rsidP="0069306C" w14:paraId="745A0F61" w14:textId="77777777">
            <w:pPr>
              <w:jc w:val="center"/>
              <w:rPr>
                <w:rFonts w:eastAsia="Calibri"/>
                <w:b/>
                <w:szCs w:val="26"/>
              </w:rPr>
            </w:pPr>
            <w:r w:rsidRPr="005C7E23">
              <w:rPr>
                <w:rFonts w:eastAsia="Calibri"/>
                <w:b/>
                <w:szCs w:val="26"/>
              </w:rPr>
              <w:t>(4)</w:t>
            </w:r>
          </w:p>
        </w:tc>
        <w:tc>
          <w:tcPr>
            <w:tcW w:w="697" w:type="pct"/>
            <w:shd w:val="clear" w:color="auto" w:fill="D9D9D9"/>
            <w:vAlign w:val="bottom"/>
          </w:tcPr>
          <w:p w:rsidR="00142339" w:rsidRPr="005C7E23" w:rsidP="0069306C" w14:paraId="3E0CFBD7" w14:textId="77777777">
            <w:pPr>
              <w:jc w:val="center"/>
              <w:rPr>
                <w:rFonts w:eastAsia="Calibri"/>
                <w:b/>
                <w:szCs w:val="26"/>
              </w:rPr>
            </w:pPr>
            <w:r w:rsidRPr="005C7E23">
              <w:rPr>
                <w:rFonts w:eastAsia="Calibri"/>
                <w:b/>
                <w:szCs w:val="26"/>
              </w:rPr>
              <w:t>Total Annual Burden Hours &amp; Total Annual Cost ($)</w:t>
            </w:r>
          </w:p>
          <w:p w:rsidR="00142339" w:rsidRPr="005C7E23" w:rsidP="0069306C" w14:paraId="13264DD6" w14:textId="77777777">
            <w:pPr>
              <w:jc w:val="center"/>
              <w:rPr>
                <w:rFonts w:eastAsia="Calibri"/>
                <w:b/>
                <w:szCs w:val="26"/>
              </w:rPr>
            </w:pPr>
            <w:r w:rsidRPr="005C7E23">
              <w:rPr>
                <w:rFonts w:eastAsia="Calibri"/>
                <w:b/>
                <w:szCs w:val="26"/>
              </w:rPr>
              <w:t>(3)*(4)=(5)</w:t>
            </w:r>
          </w:p>
        </w:tc>
        <w:tc>
          <w:tcPr>
            <w:tcW w:w="511" w:type="pct"/>
            <w:shd w:val="clear" w:color="auto" w:fill="D9D9D9"/>
            <w:vAlign w:val="bottom"/>
          </w:tcPr>
          <w:p w:rsidR="00142339" w:rsidRPr="005C7E23" w:rsidP="0069306C" w14:paraId="3F84BF58" w14:textId="77777777">
            <w:pPr>
              <w:jc w:val="center"/>
              <w:rPr>
                <w:rFonts w:eastAsia="Calibri"/>
                <w:b/>
                <w:szCs w:val="26"/>
              </w:rPr>
            </w:pPr>
            <w:r w:rsidRPr="005C7E23">
              <w:rPr>
                <w:rFonts w:eastAsia="Calibri"/>
                <w:b/>
                <w:szCs w:val="26"/>
              </w:rPr>
              <w:t>Cost per Respondent</w:t>
            </w:r>
          </w:p>
          <w:p w:rsidR="00142339" w:rsidRPr="005C7E23" w:rsidP="0069306C" w14:paraId="62AD5A13" w14:textId="77777777">
            <w:pPr>
              <w:jc w:val="center"/>
              <w:rPr>
                <w:rFonts w:eastAsia="Calibri"/>
                <w:b/>
                <w:szCs w:val="26"/>
              </w:rPr>
            </w:pPr>
            <w:r w:rsidRPr="005C7E23">
              <w:rPr>
                <w:rFonts w:eastAsia="Calibri"/>
                <w:b/>
                <w:szCs w:val="26"/>
              </w:rPr>
              <w:t xml:space="preserve"> ($)</w:t>
            </w:r>
          </w:p>
          <w:p w:rsidR="00142339" w:rsidRPr="005C7E23" w:rsidP="0069306C" w14:paraId="2F657334" w14:textId="77777777">
            <w:pPr>
              <w:jc w:val="center"/>
              <w:rPr>
                <w:rFonts w:eastAsia="Calibri"/>
                <w:b/>
                <w:szCs w:val="26"/>
              </w:rPr>
            </w:pPr>
            <w:r w:rsidRPr="005C7E23">
              <w:rPr>
                <w:rFonts w:eastAsia="Calibri"/>
                <w:b/>
                <w:szCs w:val="26"/>
              </w:rPr>
              <w:t>(5)÷(1)</w:t>
            </w:r>
          </w:p>
        </w:tc>
      </w:tr>
      <w:tr w14:paraId="335983F6" w14:textId="77777777" w:rsidTr="001A4591">
        <w:tblPrEx>
          <w:tblW w:w="5186" w:type="pct"/>
          <w:tblInd w:w="-72" w:type="dxa"/>
          <w:tblLayout w:type="fixed"/>
          <w:tblLook w:val="01E0"/>
        </w:tblPrEx>
        <w:trPr>
          <w:cantSplit/>
          <w:trHeight w:val="350"/>
        </w:trPr>
        <w:tc>
          <w:tcPr>
            <w:tcW w:w="907" w:type="pct"/>
          </w:tcPr>
          <w:p w:rsidR="00142339" w:rsidRPr="005C7E23" w:rsidP="0069306C" w14:paraId="6AA8C0F3" w14:textId="77777777">
            <w:pPr>
              <w:rPr>
                <w:rFonts w:eastAsia="Calibri"/>
                <w:szCs w:val="26"/>
              </w:rPr>
            </w:pPr>
            <w:r w:rsidRPr="005C7E23">
              <w:rPr>
                <w:rFonts w:eastAsia="Calibri"/>
                <w:szCs w:val="26"/>
              </w:rPr>
              <w:t>FPA Section 205 Filings</w:t>
            </w:r>
          </w:p>
        </w:tc>
        <w:tc>
          <w:tcPr>
            <w:tcW w:w="771" w:type="pct"/>
          </w:tcPr>
          <w:p w:rsidR="00142339" w:rsidRPr="005C7E23" w:rsidP="0069306C" w14:paraId="66FF1A71" w14:textId="77777777">
            <w:pPr>
              <w:jc w:val="right"/>
              <w:rPr>
                <w:rFonts w:eastAsia="Calibri"/>
                <w:szCs w:val="26"/>
              </w:rPr>
            </w:pPr>
            <w:r w:rsidRPr="005C7E23">
              <w:rPr>
                <w:rFonts w:eastAsia="Calibri"/>
                <w:szCs w:val="26"/>
              </w:rPr>
              <w:t>40</w:t>
            </w:r>
          </w:p>
        </w:tc>
        <w:tc>
          <w:tcPr>
            <w:tcW w:w="676" w:type="pct"/>
          </w:tcPr>
          <w:p w:rsidR="00142339" w:rsidRPr="005C7E23" w:rsidP="0069306C" w14:paraId="63A65E08" w14:textId="77777777">
            <w:pPr>
              <w:jc w:val="right"/>
              <w:rPr>
                <w:rFonts w:eastAsia="Calibri"/>
                <w:szCs w:val="26"/>
              </w:rPr>
            </w:pPr>
            <w:r w:rsidRPr="005C7E23">
              <w:rPr>
                <w:rFonts w:eastAsia="Calibri"/>
                <w:szCs w:val="26"/>
              </w:rPr>
              <w:t>1</w:t>
            </w:r>
          </w:p>
        </w:tc>
        <w:tc>
          <w:tcPr>
            <w:tcW w:w="697" w:type="pct"/>
          </w:tcPr>
          <w:p w:rsidR="00142339" w:rsidRPr="005C7E23" w:rsidP="0069306C" w14:paraId="007231DA" w14:textId="77777777">
            <w:pPr>
              <w:jc w:val="right"/>
              <w:rPr>
                <w:rFonts w:eastAsia="Calibri"/>
                <w:szCs w:val="26"/>
              </w:rPr>
            </w:pPr>
            <w:r w:rsidRPr="005C7E23">
              <w:rPr>
                <w:rFonts w:eastAsia="Calibri"/>
                <w:szCs w:val="26"/>
              </w:rPr>
              <w:t>40</w:t>
            </w:r>
          </w:p>
        </w:tc>
        <w:tc>
          <w:tcPr>
            <w:tcW w:w="742" w:type="pct"/>
          </w:tcPr>
          <w:p w:rsidR="00142339" w:rsidRPr="005C7E23" w:rsidP="0069306C" w14:paraId="37EF1C9C" w14:textId="77777777">
            <w:pPr>
              <w:jc w:val="right"/>
              <w:rPr>
                <w:rFonts w:eastAsia="Calibri"/>
                <w:szCs w:val="26"/>
              </w:rPr>
            </w:pPr>
            <w:r w:rsidRPr="005C7E23">
              <w:rPr>
                <w:rFonts w:eastAsia="Calibri"/>
                <w:szCs w:val="26"/>
              </w:rPr>
              <w:t xml:space="preserve">185 hrs.; </w:t>
            </w:r>
          </w:p>
          <w:p w:rsidR="00142339" w:rsidRPr="005C7E23" w:rsidP="0069306C" w14:paraId="6B297126" w14:textId="00738348">
            <w:pPr>
              <w:jc w:val="right"/>
              <w:rPr>
                <w:rFonts w:eastAsia="Calibri"/>
                <w:szCs w:val="26"/>
              </w:rPr>
            </w:pPr>
            <w:r w:rsidRPr="005C7E23">
              <w:rPr>
                <w:rFonts w:eastAsia="Calibri"/>
                <w:szCs w:val="26"/>
              </w:rPr>
              <w:t>$</w:t>
            </w:r>
            <w:r w:rsidRPr="005C7E23" w:rsidR="00E32E67">
              <w:rPr>
                <w:rFonts w:eastAsia="Calibri"/>
                <w:szCs w:val="26"/>
              </w:rPr>
              <w:t>19,055</w:t>
            </w:r>
          </w:p>
        </w:tc>
        <w:tc>
          <w:tcPr>
            <w:tcW w:w="697" w:type="pct"/>
          </w:tcPr>
          <w:p w:rsidR="00142339" w:rsidRPr="005C7E23" w:rsidP="0069306C" w14:paraId="2FE6BA5D" w14:textId="77777777">
            <w:pPr>
              <w:jc w:val="right"/>
              <w:rPr>
                <w:rFonts w:eastAsia="Calibri"/>
                <w:szCs w:val="26"/>
              </w:rPr>
            </w:pPr>
            <w:r w:rsidRPr="005C7E23">
              <w:rPr>
                <w:rFonts w:eastAsia="Calibri"/>
                <w:szCs w:val="26"/>
              </w:rPr>
              <w:t xml:space="preserve">7,400hrs.; </w:t>
            </w:r>
          </w:p>
          <w:p w:rsidR="00142339" w:rsidRPr="005C7E23" w:rsidP="0069306C" w14:paraId="4188497E" w14:textId="02E6DA0F">
            <w:pPr>
              <w:jc w:val="right"/>
              <w:rPr>
                <w:rFonts w:eastAsia="Calibri"/>
                <w:szCs w:val="26"/>
              </w:rPr>
            </w:pPr>
            <w:r w:rsidRPr="005C7E23">
              <w:rPr>
                <w:rFonts w:eastAsia="Calibri"/>
                <w:szCs w:val="26"/>
              </w:rPr>
              <w:t>$</w:t>
            </w:r>
            <w:r w:rsidRPr="005C7E23" w:rsidR="001A2840">
              <w:rPr>
                <w:rFonts w:eastAsia="Calibri"/>
                <w:szCs w:val="26"/>
              </w:rPr>
              <w:t>762,200</w:t>
            </w:r>
          </w:p>
        </w:tc>
        <w:tc>
          <w:tcPr>
            <w:tcW w:w="511" w:type="pct"/>
          </w:tcPr>
          <w:p w:rsidR="00142339" w:rsidRPr="005C7E23" w:rsidP="0069306C" w14:paraId="24783A19" w14:textId="432AB397">
            <w:pPr>
              <w:jc w:val="right"/>
              <w:rPr>
                <w:rFonts w:eastAsia="Calibri"/>
                <w:szCs w:val="26"/>
              </w:rPr>
            </w:pPr>
            <w:r w:rsidRPr="005C7E23">
              <w:rPr>
                <w:rFonts w:eastAsia="Calibri"/>
                <w:szCs w:val="26"/>
              </w:rPr>
              <w:t>$</w:t>
            </w:r>
            <w:r w:rsidRPr="005C7E23" w:rsidR="001A4591">
              <w:rPr>
                <w:szCs w:val="26"/>
              </w:rPr>
              <w:t xml:space="preserve"> </w:t>
            </w:r>
            <w:r w:rsidRPr="005C7E23" w:rsidR="001A4591">
              <w:rPr>
                <w:rFonts w:eastAsia="Calibri"/>
                <w:szCs w:val="26"/>
              </w:rPr>
              <w:t>19,055</w:t>
            </w:r>
          </w:p>
        </w:tc>
      </w:tr>
      <w:tr w14:paraId="197B9E71" w14:textId="77777777" w:rsidTr="001A4591">
        <w:tblPrEx>
          <w:tblW w:w="5186" w:type="pct"/>
          <w:tblInd w:w="-72" w:type="dxa"/>
          <w:tblLayout w:type="fixed"/>
          <w:tblLook w:val="01E0"/>
        </w:tblPrEx>
        <w:trPr>
          <w:cantSplit/>
        </w:trPr>
        <w:tc>
          <w:tcPr>
            <w:tcW w:w="907" w:type="pct"/>
          </w:tcPr>
          <w:p w:rsidR="00142339" w:rsidRPr="005C7E23" w:rsidP="0069306C" w14:paraId="0C2834A9" w14:textId="77777777">
            <w:pPr>
              <w:rPr>
                <w:rFonts w:eastAsia="Calibri"/>
                <w:szCs w:val="26"/>
              </w:rPr>
            </w:pPr>
            <w:r w:rsidRPr="005C7E23">
              <w:rPr>
                <w:rFonts w:eastAsia="Calibri"/>
                <w:szCs w:val="26"/>
              </w:rPr>
              <w:t xml:space="preserve">Electric Quarterly Reports </w:t>
            </w:r>
          </w:p>
        </w:tc>
        <w:tc>
          <w:tcPr>
            <w:tcW w:w="771" w:type="pct"/>
          </w:tcPr>
          <w:p w:rsidR="00142339" w:rsidRPr="005C7E23" w:rsidP="0069306C" w14:paraId="7D78E506" w14:textId="77777777">
            <w:pPr>
              <w:jc w:val="right"/>
              <w:rPr>
                <w:rFonts w:eastAsia="Calibri"/>
                <w:szCs w:val="26"/>
              </w:rPr>
            </w:pPr>
            <w:r w:rsidRPr="005C7E23">
              <w:rPr>
                <w:rFonts w:eastAsia="Calibri"/>
                <w:szCs w:val="26"/>
              </w:rPr>
              <w:t>35</w:t>
            </w:r>
          </w:p>
        </w:tc>
        <w:tc>
          <w:tcPr>
            <w:tcW w:w="676" w:type="pct"/>
          </w:tcPr>
          <w:p w:rsidR="00142339" w:rsidRPr="005C7E23" w:rsidP="0069306C" w14:paraId="21F708C6" w14:textId="77777777">
            <w:pPr>
              <w:jc w:val="right"/>
              <w:rPr>
                <w:rFonts w:eastAsia="Calibri"/>
                <w:szCs w:val="26"/>
              </w:rPr>
            </w:pPr>
            <w:r w:rsidRPr="005C7E23">
              <w:rPr>
                <w:rFonts w:eastAsia="Calibri"/>
                <w:szCs w:val="26"/>
              </w:rPr>
              <w:t>4</w:t>
            </w:r>
          </w:p>
        </w:tc>
        <w:tc>
          <w:tcPr>
            <w:tcW w:w="697" w:type="pct"/>
          </w:tcPr>
          <w:p w:rsidR="00142339" w:rsidRPr="005C7E23" w:rsidP="0069306C" w14:paraId="1D18557F" w14:textId="77777777">
            <w:pPr>
              <w:jc w:val="right"/>
              <w:rPr>
                <w:rFonts w:eastAsia="Calibri"/>
                <w:szCs w:val="26"/>
              </w:rPr>
            </w:pPr>
            <w:r w:rsidRPr="005C7E23">
              <w:rPr>
                <w:rFonts w:eastAsia="Calibri"/>
                <w:szCs w:val="26"/>
              </w:rPr>
              <w:t>140</w:t>
            </w:r>
          </w:p>
        </w:tc>
        <w:tc>
          <w:tcPr>
            <w:tcW w:w="742" w:type="pct"/>
          </w:tcPr>
          <w:p w:rsidR="00142339" w:rsidRPr="005C7E23" w:rsidP="0069306C" w14:paraId="49949A24" w14:textId="77777777">
            <w:pPr>
              <w:jc w:val="right"/>
              <w:rPr>
                <w:rFonts w:eastAsia="Calibri"/>
                <w:szCs w:val="26"/>
              </w:rPr>
            </w:pPr>
            <w:r w:rsidRPr="005C7E23">
              <w:rPr>
                <w:rFonts w:eastAsia="Calibri"/>
                <w:szCs w:val="26"/>
              </w:rPr>
              <w:t>6 hrs.;</w:t>
            </w:r>
          </w:p>
          <w:p w:rsidR="00142339" w:rsidRPr="005C7E23" w:rsidP="0069306C" w14:paraId="64EA28F9" w14:textId="65ACA459">
            <w:pPr>
              <w:jc w:val="right"/>
              <w:rPr>
                <w:rFonts w:eastAsia="Calibri"/>
                <w:szCs w:val="26"/>
              </w:rPr>
            </w:pPr>
            <w:r w:rsidRPr="005C7E23">
              <w:rPr>
                <w:rFonts w:eastAsia="Calibri"/>
                <w:szCs w:val="26"/>
              </w:rPr>
              <w:t>$</w:t>
            </w:r>
            <w:r w:rsidRPr="005C7E23" w:rsidR="00FC3976">
              <w:rPr>
                <w:rFonts w:eastAsia="Calibri"/>
                <w:szCs w:val="26"/>
              </w:rPr>
              <w:t>618</w:t>
            </w:r>
          </w:p>
        </w:tc>
        <w:tc>
          <w:tcPr>
            <w:tcW w:w="697" w:type="pct"/>
          </w:tcPr>
          <w:p w:rsidR="00142339" w:rsidRPr="005C7E23" w:rsidP="0069306C" w14:paraId="0632C6C1" w14:textId="77777777">
            <w:pPr>
              <w:jc w:val="right"/>
              <w:rPr>
                <w:rFonts w:eastAsia="Calibri"/>
                <w:szCs w:val="26"/>
              </w:rPr>
            </w:pPr>
            <w:r w:rsidRPr="005C7E23">
              <w:rPr>
                <w:rFonts w:eastAsia="Calibri"/>
                <w:szCs w:val="26"/>
              </w:rPr>
              <w:t>840 hrs,;</w:t>
            </w:r>
          </w:p>
          <w:p w:rsidR="00142339" w:rsidRPr="005C7E23" w:rsidP="0069306C" w14:paraId="64FF9BF9" w14:textId="7AA79F7A">
            <w:pPr>
              <w:jc w:val="right"/>
              <w:rPr>
                <w:rFonts w:eastAsia="Calibri"/>
                <w:szCs w:val="26"/>
              </w:rPr>
            </w:pPr>
            <w:r w:rsidRPr="005C7E23">
              <w:rPr>
                <w:rFonts w:eastAsia="Calibri"/>
                <w:szCs w:val="26"/>
              </w:rPr>
              <w:t>$</w:t>
            </w:r>
            <w:r w:rsidRPr="005C7E23" w:rsidR="00B63E28">
              <w:rPr>
                <w:rFonts w:eastAsia="Calibri"/>
                <w:szCs w:val="26"/>
              </w:rPr>
              <w:t>86,520</w:t>
            </w:r>
          </w:p>
        </w:tc>
        <w:tc>
          <w:tcPr>
            <w:tcW w:w="511" w:type="pct"/>
          </w:tcPr>
          <w:p w:rsidR="00142339" w:rsidRPr="005C7E23" w:rsidP="0069306C" w14:paraId="3D0F92B2" w14:textId="3124CCD1">
            <w:pPr>
              <w:jc w:val="right"/>
              <w:rPr>
                <w:rFonts w:eastAsia="Calibri"/>
                <w:szCs w:val="26"/>
              </w:rPr>
            </w:pPr>
            <w:r w:rsidRPr="005C7E23">
              <w:rPr>
                <w:rFonts w:eastAsia="Calibri"/>
                <w:szCs w:val="26"/>
              </w:rPr>
              <w:t>$</w:t>
            </w:r>
            <w:r w:rsidRPr="005C7E23" w:rsidR="00DB27D1">
              <w:rPr>
                <w:szCs w:val="26"/>
              </w:rPr>
              <w:t xml:space="preserve"> </w:t>
            </w:r>
            <w:r w:rsidRPr="005C7E23" w:rsidR="00DB27D1">
              <w:rPr>
                <w:rFonts w:eastAsia="Calibri"/>
                <w:szCs w:val="26"/>
              </w:rPr>
              <w:t>2,472</w:t>
            </w:r>
          </w:p>
        </w:tc>
      </w:tr>
      <w:tr w14:paraId="1962ADE4" w14:textId="77777777" w:rsidTr="001A4591">
        <w:tblPrEx>
          <w:tblW w:w="5186" w:type="pct"/>
          <w:tblInd w:w="-72" w:type="dxa"/>
          <w:tblLayout w:type="fixed"/>
          <w:tblLook w:val="01E0"/>
        </w:tblPrEx>
        <w:trPr>
          <w:cantSplit/>
        </w:trPr>
        <w:tc>
          <w:tcPr>
            <w:tcW w:w="907" w:type="pct"/>
          </w:tcPr>
          <w:p w:rsidR="00142339" w:rsidRPr="005C7E23" w:rsidP="0069306C" w14:paraId="367A1E7B" w14:textId="77777777">
            <w:pPr>
              <w:rPr>
                <w:rFonts w:eastAsia="Calibri"/>
                <w:szCs w:val="26"/>
              </w:rPr>
            </w:pPr>
            <w:r w:rsidRPr="005C7E23">
              <w:rPr>
                <w:rFonts w:eastAsia="Calibri"/>
                <w:szCs w:val="26"/>
              </w:rPr>
              <w:t>Change of Status</w:t>
            </w:r>
          </w:p>
        </w:tc>
        <w:tc>
          <w:tcPr>
            <w:tcW w:w="771" w:type="pct"/>
          </w:tcPr>
          <w:p w:rsidR="00142339" w:rsidRPr="005C7E23" w:rsidP="0069306C" w14:paraId="05F02ED4" w14:textId="77777777">
            <w:pPr>
              <w:jc w:val="right"/>
              <w:rPr>
                <w:rFonts w:eastAsia="Calibri"/>
                <w:szCs w:val="26"/>
              </w:rPr>
            </w:pPr>
            <w:r w:rsidRPr="005C7E23">
              <w:rPr>
                <w:rFonts w:eastAsia="Calibri"/>
                <w:szCs w:val="26"/>
              </w:rPr>
              <w:t>10</w:t>
            </w:r>
          </w:p>
        </w:tc>
        <w:tc>
          <w:tcPr>
            <w:tcW w:w="676" w:type="pct"/>
          </w:tcPr>
          <w:p w:rsidR="00142339" w:rsidRPr="005C7E23" w:rsidP="0069306C" w14:paraId="6A411BD5" w14:textId="77777777">
            <w:pPr>
              <w:jc w:val="right"/>
              <w:rPr>
                <w:rFonts w:eastAsia="Calibri"/>
                <w:szCs w:val="26"/>
              </w:rPr>
            </w:pPr>
            <w:r w:rsidRPr="005C7E23">
              <w:rPr>
                <w:rFonts w:eastAsia="Calibri"/>
                <w:szCs w:val="26"/>
              </w:rPr>
              <w:t>1</w:t>
            </w:r>
          </w:p>
        </w:tc>
        <w:tc>
          <w:tcPr>
            <w:tcW w:w="697" w:type="pct"/>
          </w:tcPr>
          <w:p w:rsidR="00142339" w:rsidRPr="005C7E23" w:rsidP="0069306C" w14:paraId="5ED5A9A5" w14:textId="77777777">
            <w:pPr>
              <w:jc w:val="right"/>
              <w:rPr>
                <w:rFonts w:eastAsia="Calibri"/>
                <w:szCs w:val="26"/>
              </w:rPr>
            </w:pPr>
            <w:r w:rsidRPr="005C7E23">
              <w:rPr>
                <w:rFonts w:eastAsia="Calibri"/>
                <w:szCs w:val="26"/>
              </w:rPr>
              <w:t>10</w:t>
            </w:r>
          </w:p>
        </w:tc>
        <w:tc>
          <w:tcPr>
            <w:tcW w:w="742" w:type="pct"/>
          </w:tcPr>
          <w:p w:rsidR="00142339" w:rsidRPr="005C7E23" w:rsidP="0069306C" w14:paraId="45DA1507" w14:textId="77777777">
            <w:pPr>
              <w:jc w:val="right"/>
              <w:rPr>
                <w:rFonts w:eastAsia="Calibri"/>
                <w:szCs w:val="26"/>
              </w:rPr>
            </w:pPr>
            <w:r w:rsidRPr="005C7E23">
              <w:rPr>
                <w:rFonts w:eastAsia="Calibri"/>
                <w:szCs w:val="26"/>
              </w:rPr>
              <w:t>3 hrs.;</w:t>
            </w:r>
          </w:p>
          <w:p w:rsidR="00142339" w:rsidRPr="005C7E23" w:rsidP="0069306C" w14:paraId="5A659192" w14:textId="665940A2">
            <w:pPr>
              <w:jc w:val="right"/>
              <w:rPr>
                <w:rFonts w:eastAsia="Calibri"/>
                <w:szCs w:val="26"/>
              </w:rPr>
            </w:pPr>
            <w:r w:rsidRPr="005C7E23">
              <w:rPr>
                <w:rFonts w:eastAsia="Calibri"/>
                <w:szCs w:val="26"/>
              </w:rPr>
              <w:t>$</w:t>
            </w:r>
            <w:r w:rsidRPr="005C7E23" w:rsidR="007B122D">
              <w:rPr>
                <w:rFonts w:eastAsia="Calibri"/>
                <w:szCs w:val="26"/>
              </w:rPr>
              <w:t>3</w:t>
            </w:r>
            <w:r w:rsidRPr="005C7E23" w:rsidR="00501C2A">
              <w:rPr>
                <w:rFonts w:eastAsia="Calibri"/>
                <w:szCs w:val="26"/>
              </w:rPr>
              <w:t>09</w:t>
            </w:r>
          </w:p>
        </w:tc>
        <w:tc>
          <w:tcPr>
            <w:tcW w:w="697" w:type="pct"/>
          </w:tcPr>
          <w:p w:rsidR="00142339" w:rsidRPr="005C7E23" w:rsidP="0069306C" w14:paraId="058E7AB0" w14:textId="77777777">
            <w:pPr>
              <w:jc w:val="right"/>
              <w:rPr>
                <w:rFonts w:eastAsia="Calibri"/>
                <w:szCs w:val="26"/>
              </w:rPr>
            </w:pPr>
            <w:r w:rsidRPr="005C7E23">
              <w:rPr>
                <w:rFonts w:eastAsia="Calibri"/>
                <w:szCs w:val="26"/>
              </w:rPr>
              <w:t>30 hrs.;</w:t>
            </w:r>
          </w:p>
          <w:p w:rsidR="00142339" w:rsidRPr="005C7E23" w:rsidP="0069306C" w14:paraId="460573F3" w14:textId="5C09477D">
            <w:pPr>
              <w:jc w:val="right"/>
              <w:rPr>
                <w:rFonts w:eastAsia="Calibri"/>
                <w:szCs w:val="26"/>
              </w:rPr>
            </w:pPr>
            <w:r w:rsidRPr="005C7E23">
              <w:rPr>
                <w:rFonts w:eastAsia="Calibri"/>
                <w:szCs w:val="26"/>
              </w:rPr>
              <w:t>$</w:t>
            </w:r>
            <w:r w:rsidRPr="005C7E23" w:rsidR="00F6230E">
              <w:rPr>
                <w:szCs w:val="26"/>
              </w:rPr>
              <w:t xml:space="preserve"> </w:t>
            </w:r>
            <w:r w:rsidRPr="005C7E23" w:rsidR="00F6230E">
              <w:rPr>
                <w:rFonts w:eastAsia="Calibri"/>
                <w:szCs w:val="26"/>
              </w:rPr>
              <w:t>3,090</w:t>
            </w:r>
          </w:p>
        </w:tc>
        <w:tc>
          <w:tcPr>
            <w:tcW w:w="511" w:type="pct"/>
          </w:tcPr>
          <w:p w:rsidR="00142339" w:rsidRPr="005C7E23" w:rsidP="0069306C" w14:paraId="5A3E0C17" w14:textId="40DD258F">
            <w:pPr>
              <w:jc w:val="right"/>
              <w:rPr>
                <w:rFonts w:eastAsia="Calibri"/>
                <w:szCs w:val="26"/>
              </w:rPr>
            </w:pPr>
            <w:r w:rsidRPr="005C7E23">
              <w:rPr>
                <w:rFonts w:eastAsia="Calibri"/>
                <w:szCs w:val="26"/>
              </w:rPr>
              <w:t>$</w:t>
            </w:r>
            <w:r w:rsidRPr="005C7E23" w:rsidR="00501C2A">
              <w:rPr>
                <w:szCs w:val="26"/>
              </w:rPr>
              <w:t xml:space="preserve"> </w:t>
            </w:r>
            <w:r w:rsidRPr="005C7E23" w:rsidR="00501C2A">
              <w:rPr>
                <w:rFonts w:eastAsia="Calibri"/>
                <w:szCs w:val="26"/>
              </w:rPr>
              <w:t>309</w:t>
            </w:r>
          </w:p>
        </w:tc>
      </w:tr>
      <w:tr w14:paraId="2E5D376A" w14:textId="77777777" w:rsidTr="001A4591">
        <w:tblPrEx>
          <w:tblW w:w="5186" w:type="pct"/>
          <w:tblInd w:w="-72" w:type="dxa"/>
          <w:tblLayout w:type="fixed"/>
          <w:tblLook w:val="01E0"/>
        </w:tblPrEx>
        <w:trPr>
          <w:cantSplit/>
          <w:trHeight w:val="485"/>
        </w:trPr>
        <w:tc>
          <w:tcPr>
            <w:tcW w:w="907" w:type="pct"/>
            <w:tcBorders>
              <w:bottom w:val="single" w:sz="4" w:space="0" w:color="auto"/>
            </w:tcBorders>
          </w:tcPr>
          <w:p w:rsidR="00142339" w:rsidRPr="005C7E23" w:rsidP="0069306C" w14:paraId="79B5CE01" w14:textId="77777777">
            <w:pPr>
              <w:rPr>
                <w:rFonts w:eastAsia="Calibri"/>
                <w:b/>
                <w:szCs w:val="26"/>
              </w:rPr>
            </w:pPr>
            <w:r w:rsidRPr="005C7E23">
              <w:rPr>
                <w:rFonts w:eastAsia="Calibri"/>
                <w:b/>
                <w:szCs w:val="26"/>
              </w:rPr>
              <w:t>TOTAL</w:t>
            </w:r>
          </w:p>
        </w:tc>
        <w:tc>
          <w:tcPr>
            <w:tcW w:w="1447" w:type="pct"/>
            <w:gridSpan w:val="2"/>
            <w:tcBorders>
              <w:bottom w:val="single" w:sz="4" w:space="0" w:color="auto"/>
            </w:tcBorders>
            <w:shd w:val="clear" w:color="auto" w:fill="D9D9D9"/>
          </w:tcPr>
          <w:p w:rsidR="00142339" w:rsidRPr="005C7E23" w:rsidP="0069306C" w14:paraId="4EACF5D2" w14:textId="77777777">
            <w:pPr>
              <w:jc w:val="right"/>
              <w:rPr>
                <w:rFonts w:eastAsia="Calibri"/>
                <w:szCs w:val="26"/>
              </w:rPr>
            </w:pPr>
          </w:p>
        </w:tc>
        <w:tc>
          <w:tcPr>
            <w:tcW w:w="697" w:type="pct"/>
            <w:tcBorders>
              <w:bottom w:val="single" w:sz="4" w:space="0" w:color="auto"/>
            </w:tcBorders>
          </w:tcPr>
          <w:p w:rsidR="00142339" w:rsidRPr="005C7E23" w:rsidP="0069306C" w14:paraId="5C5F640F" w14:textId="77777777">
            <w:pPr>
              <w:jc w:val="right"/>
              <w:rPr>
                <w:rFonts w:eastAsia="Calibri"/>
                <w:b/>
                <w:szCs w:val="26"/>
              </w:rPr>
            </w:pPr>
            <w:r w:rsidRPr="005C7E23">
              <w:rPr>
                <w:rFonts w:eastAsia="Calibri"/>
                <w:b/>
                <w:szCs w:val="26"/>
              </w:rPr>
              <w:t>190</w:t>
            </w:r>
          </w:p>
        </w:tc>
        <w:tc>
          <w:tcPr>
            <w:tcW w:w="742" w:type="pct"/>
            <w:tcBorders>
              <w:bottom w:val="single" w:sz="4" w:space="0" w:color="auto"/>
            </w:tcBorders>
            <w:shd w:val="clear" w:color="auto" w:fill="D9D9D9"/>
          </w:tcPr>
          <w:p w:rsidR="00142339" w:rsidRPr="005C7E23" w:rsidP="0069306C" w14:paraId="528E8D6F" w14:textId="77777777">
            <w:pPr>
              <w:jc w:val="right"/>
              <w:rPr>
                <w:rFonts w:eastAsia="Calibri"/>
                <w:szCs w:val="26"/>
              </w:rPr>
            </w:pPr>
          </w:p>
        </w:tc>
        <w:tc>
          <w:tcPr>
            <w:tcW w:w="697" w:type="pct"/>
            <w:tcBorders>
              <w:bottom w:val="single" w:sz="4" w:space="0" w:color="auto"/>
            </w:tcBorders>
          </w:tcPr>
          <w:p w:rsidR="00142339" w:rsidRPr="005C7E23" w:rsidP="0069306C" w14:paraId="41D4AA13" w14:textId="77777777">
            <w:pPr>
              <w:jc w:val="right"/>
              <w:rPr>
                <w:rFonts w:eastAsia="Calibri"/>
                <w:b/>
                <w:szCs w:val="26"/>
              </w:rPr>
            </w:pPr>
            <w:r w:rsidRPr="005C7E23">
              <w:rPr>
                <w:rFonts w:eastAsia="Calibri"/>
                <w:b/>
                <w:szCs w:val="26"/>
              </w:rPr>
              <w:t>8,270 hrs.;</w:t>
            </w:r>
          </w:p>
          <w:p w:rsidR="00142339" w:rsidRPr="005C7E23" w:rsidP="0069306C" w14:paraId="168D7113" w14:textId="28137BCA">
            <w:pPr>
              <w:jc w:val="right"/>
              <w:rPr>
                <w:rFonts w:eastAsia="Calibri"/>
                <w:b/>
                <w:szCs w:val="26"/>
              </w:rPr>
            </w:pPr>
            <w:r w:rsidRPr="005C7E23">
              <w:rPr>
                <w:rFonts w:eastAsia="Calibri"/>
                <w:b/>
                <w:szCs w:val="26"/>
              </w:rPr>
              <w:t>$</w:t>
            </w:r>
            <w:r w:rsidRPr="005C7E23" w:rsidR="007D7432">
              <w:rPr>
                <w:szCs w:val="26"/>
              </w:rPr>
              <w:t xml:space="preserve"> </w:t>
            </w:r>
            <w:r w:rsidRPr="005C7E23" w:rsidR="007D7432">
              <w:rPr>
                <w:rFonts w:eastAsia="Calibri"/>
                <w:b/>
                <w:szCs w:val="26"/>
              </w:rPr>
              <w:t>851,810</w:t>
            </w:r>
          </w:p>
        </w:tc>
        <w:tc>
          <w:tcPr>
            <w:tcW w:w="511" w:type="pct"/>
            <w:tcBorders>
              <w:bottom w:val="single" w:sz="4" w:space="0" w:color="auto"/>
            </w:tcBorders>
          </w:tcPr>
          <w:p w:rsidR="00142339" w:rsidRPr="005C7E23" w:rsidP="0069306C" w14:paraId="4B379508" w14:textId="77777777">
            <w:pPr>
              <w:jc w:val="right"/>
              <w:rPr>
                <w:rFonts w:eastAsia="Calibri"/>
                <w:b/>
                <w:szCs w:val="26"/>
              </w:rPr>
            </w:pPr>
          </w:p>
        </w:tc>
      </w:tr>
    </w:tbl>
    <w:p w:rsidR="00F86890" w:rsidRPr="005C7E23" w:rsidP="549EAD48" w14:paraId="4414225D" w14:textId="77777777">
      <w:pPr>
        <w:spacing w:line="480" w:lineRule="auto"/>
        <w:rPr>
          <w:szCs w:val="26"/>
        </w:rPr>
      </w:pPr>
    </w:p>
    <w:p w:rsidR="003D396A" w:rsidP="549EAD48" w14:paraId="48B94481" w14:textId="77777777">
      <w:pPr>
        <w:spacing w:line="480" w:lineRule="auto"/>
        <w:rPr>
          <w:szCs w:val="26"/>
        </w:rPr>
      </w:pPr>
      <w:r w:rsidRPr="005C7E23">
        <w:rPr>
          <w:i/>
          <w:iCs/>
          <w:szCs w:val="26"/>
        </w:rPr>
        <w:t xml:space="preserve">Comments:  </w:t>
      </w:r>
      <w:r w:rsidRPr="005C7E23" w:rsidR="00F86890">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Pr="005C7E23" w:rsidR="009447D3">
        <w:rPr>
          <w:szCs w:val="26"/>
        </w:rPr>
        <w:t xml:space="preserve">and cost </w:t>
      </w:r>
      <w:r w:rsidRPr="005C7E23" w:rsidR="00F86890">
        <w:rPr>
          <w:szCs w:val="26"/>
        </w:rPr>
        <w:t xml:space="preserve">of the collection of information, including the validity of the methodology and assumptions used; (3) ways to enhance the quality, utility and clarity of the information </w:t>
      </w:r>
      <w:r w:rsidRPr="005C7E23" w:rsidR="00647B24">
        <w:rPr>
          <w:szCs w:val="26"/>
        </w:rPr>
        <w:t>collection</w:t>
      </w:r>
      <w:r w:rsidRPr="005C7E23" w:rsidR="00F86890">
        <w:rPr>
          <w:szCs w:val="26"/>
        </w:rPr>
        <w:t xml:space="preserve">; and (4) ways to minimize the burden of the </w:t>
      </w:r>
    </w:p>
    <w:p w:rsidR="003D396A" w:rsidP="549EAD48" w14:paraId="12C99BCF" w14:textId="77777777">
      <w:pPr>
        <w:spacing w:line="480" w:lineRule="auto"/>
        <w:rPr>
          <w:szCs w:val="26"/>
        </w:rPr>
      </w:pPr>
    </w:p>
    <w:p w:rsidR="00F86890" w:rsidRPr="005C7E23" w:rsidP="549EAD48" w14:paraId="537730BC" w14:textId="2661D8DF">
      <w:pPr>
        <w:spacing w:line="480" w:lineRule="auto"/>
        <w:rPr>
          <w:szCs w:val="26"/>
        </w:rPr>
      </w:pPr>
      <w:r w:rsidRPr="005C7E23">
        <w:rPr>
          <w:szCs w:val="26"/>
        </w:rPr>
        <w:t>collection of information on those who are to respond, i</w:t>
      </w:r>
      <w:r w:rsidRPr="005C7E23" w:rsidR="00647B24">
        <w:rPr>
          <w:szCs w:val="26"/>
        </w:rPr>
        <w:t xml:space="preserve">ncluding the use of </w:t>
      </w:r>
      <w:r w:rsidRPr="005C7E23">
        <w:rPr>
          <w:szCs w:val="26"/>
        </w:rPr>
        <w:t xml:space="preserve">automated collection techniques or other forms of information technology.  </w:t>
      </w:r>
    </w:p>
    <w:p w:rsidR="004530E0" w:rsidRPr="005C7E23" w:rsidP="549EAD48" w14:paraId="1E958C2B" w14:textId="77777777">
      <w:pPr>
        <w:spacing w:line="480" w:lineRule="auto"/>
        <w:ind w:firstLine="720"/>
        <w:rPr>
          <w:szCs w:val="26"/>
        </w:rPr>
      </w:pPr>
    </w:p>
    <w:p w:rsidR="004530E0" w:rsidRPr="005C7E23" w:rsidP="549EAD48" w14:paraId="6A2F085D" w14:textId="77777777">
      <w:pPr>
        <w:rPr>
          <w:szCs w:val="26"/>
        </w:rPr>
      </w:pPr>
    </w:p>
    <w:p w:rsidR="679453F5" w:rsidRPr="005C7E23" w:rsidP="549EAD48" w14:paraId="72FB0FE5" w14:textId="32B44CE5">
      <w:pPr>
        <w:jc w:val="center"/>
        <w:rPr>
          <w:szCs w:val="26"/>
        </w:rPr>
      </w:pPr>
      <w:r w:rsidRPr="005C7E23">
        <w:rPr>
          <w:szCs w:val="26"/>
        </w:rPr>
        <w:t xml:space="preserve">Debbie-Anne A. Reese,  </w:t>
      </w:r>
    </w:p>
    <w:p w:rsidR="0078241C" w:rsidRPr="005C7E23" w:rsidP="549EAD48" w14:paraId="7FE0FDE5" w14:textId="77777777">
      <w:pPr>
        <w:jc w:val="center"/>
        <w:rPr>
          <w:szCs w:val="26"/>
        </w:rPr>
      </w:pPr>
      <w:r w:rsidRPr="005C7E23">
        <w:rPr>
          <w:szCs w:val="26"/>
        </w:rPr>
        <w:t>Secretary.</w:t>
      </w:r>
    </w:p>
    <w:sectPr w:rsidSect="00EF5878">
      <w:headerReference w:type="even" r:id="rId16"/>
      <w:headerReference w:type="defaul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047F" w14:paraId="19C5F9BB" w14:textId="77777777">
      <w:r>
        <w:separator/>
      </w:r>
    </w:p>
  </w:footnote>
  <w:footnote w:type="continuationSeparator" w:id="1">
    <w:p w:rsidR="00A6047F" w14:paraId="30418837" w14:textId="77777777">
      <w:r>
        <w:continuationSeparator/>
      </w:r>
    </w:p>
  </w:footnote>
  <w:footnote w:id="2">
    <w:p w:rsidR="00971E20" w:rsidRPr="008A69F4" w:rsidP="00757B8F" w14:paraId="6F6869E4" w14:textId="398F0421">
      <w:pPr>
        <w:pStyle w:val="FootnoteText"/>
        <w:ind w:firstLine="720"/>
        <w:rPr>
          <w:sz w:val="26"/>
          <w:szCs w:val="26"/>
        </w:rPr>
      </w:pPr>
      <w:r w:rsidRPr="005C7E23">
        <w:rPr>
          <w:rStyle w:val="FootnoteReference"/>
        </w:rPr>
        <w:footnoteRef/>
      </w:r>
      <w:r w:rsidRPr="008A69F4">
        <w:rPr>
          <w:sz w:val="26"/>
          <w:szCs w:val="26"/>
        </w:rPr>
        <w:t xml:space="preserve"> 15 U.S.C. 717-717w.</w:t>
      </w:r>
    </w:p>
  </w:footnote>
  <w:footnote w:id="3">
    <w:p w:rsidR="0053627E" w:rsidRPr="005C7E23" w:rsidP="0053627E" w14:paraId="641BC0E0" w14:textId="77777777">
      <w:pPr>
        <w:pStyle w:val="FootnoteText"/>
        <w:ind w:firstLine="720"/>
        <w:rPr>
          <w:sz w:val="26"/>
          <w:szCs w:val="26"/>
        </w:rPr>
      </w:pPr>
      <w:r w:rsidRPr="005C7E23">
        <w:rPr>
          <w:rStyle w:val="FootnoteReference"/>
        </w:rPr>
        <w:footnoteRef/>
      </w:r>
      <w:r w:rsidRPr="005C7E23">
        <w:rPr>
          <w:sz w:val="26"/>
          <w:szCs w:val="26"/>
          <w:vertAlign w:val="superscript"/>
        </w:rPr>
        <w:t xml:space="preserve"> </w:t>
      </w:r>
      <w:r w:rsidRPr="005C7E23">
        <w:rPr>
          <w:sz w:val="26"/>
          <w:szCs w:val="26"/>
        </w:rPr>
        <w:t>18 C.F.R. Parts 341 through 348 (2025).</w:t>
      </w:r>
    </w:p>
  </w:footnote>
  <w:footnote w:id="4">
    <w:p w:rsidR="005E68B5" w:rsidRPr="00617EF5" w:rsidP="005C7E23" w14:paraId="43364E31" w14:textId="3E9E2707">
      <w:pPr>
        <w:pStyle w:val="FootnoteText"/>
        <w:spacing w:after="260"/>
        <w:ind w:firstLine="720"/>
        <w:rPr>
          <w:sz w:val="26"/>
          <w:szCs w:val="26"/>
        </w:rPr>
      </w:pPr>
      <w:r w:rsidRPr="00617EF5">
        <w:rPr>
          <w:rStyle w:val="FootnoteReference"/>
        </w:rPr>
        <w:footnoteRef/>
      </w:r>
      <w:r w:rsidRPr="00617EF5">
        <w:rPr>
          <w:sz w:val="26"/>
          <w:szCs w:val="26"/>
        </w:rPr>
        <w:t xml:space="preserve"> </w:t>
      </w:r>
      <w:r w:rsidRPr="00757B8F">
        <w:rPr>
          <w:i/>
          <w:iCs/>
          <w:sz w:val="26"/>
          <w:szCs w:val="26"/>
        </w:rPr>
        <w:t>Revised Regulations Governing Small Power Production and Cogeneration Facilities</w:t>
      </w:r>
      <w:r w:rsidRPr="00617EF5">
        <w:rPr>
          <w:sz w:val="26"/>
          <w:szCs w:val="26"/>
        </w:rPr>
        <w:t xml:space="preserve">, Order No. 671, 71 FR 7852 (2/15/2006), FERC Stats. &amp; Regs. ¶ 31,203 (2006); and </w:t>
      </w:r>
      <w:r w:rsidRPr="00757B8F">
        <w:rPr>
          <w:i/>
          <w:iCs/>
          <w:sz w:val="26"/>
          <w:szCs w:val="26"/>
        </w:rPr>
        <w:t>Revised Regulations Governing Small Power Production and Cogeneration Facilities,</w:t>
      </w:r>
      <w:r w:rsidRPr="00617EF5">
        <w:rPr>
          <w:sz w:val="26"/>
          <w:szCs w:val="26"/>
        </w:rPr>
        <w:t xml:space="preserve"> Order 671-A, 71 FR 30585 (5/30/2006</w:t>
      </w:r>
      <w:r w:rsidR="00BD7CD2">
        <w:rPr>
          <w:sz w:val="26"/>
          <w:szCs w:val="26"/>
        </w:rPr>
        <w:t>)</w:t>
      </w:r>
      <w:r w:rsidRPr="00617EF5">
        <w:rPr>
          <w:sz w:val="26"/>
          <w:szCs w:val="26"/>
        </w:rPr>
        <w:t>.</w:t>
      </w:r>
    </w:p>
  </w:footnote>
  <w:footnote w:id="5">
    <w:p w:rsidR="005E68B5" w:rsidP="005C7E23" w14:paraId="1562937B" w14:textId="77777777">
      <w:pPr>
        <w:pStyle w:val="FootnoteText"/>
        <w:spacing w:after="260"/>
        <w:ind w:firstLine="720"/>
        <w:rPr>
          <w:sz w:val="26"/>
          <w:szCs w:val="26"/>
        </w:rPr>
      </w:pPr>
      <w:r w:rsidRPr="005C7E23">
        <w:rPr>
          <w:rStyle w:val="FootnoteReference"/>
        </w:rPr>
        <w:footnoteRef/>
      </w:r>
      <w:r w:rsidRPr="00617EF5">
        <w:rPr>
          <w:sz w:val="26"/>
          <w:szCs w:val="26"/>
        </w:rPr>
        <w:t xml:space="preserve"> The FERC</w:t>
      </w:r>
      <w:r>
        <w:rPr>
          <w:sz w:val="26"/>
          <w:szCs w:val="26"/>
        </w:rPr>
        <w:t xml:space="preserve"> Form </w:t>
      </w:r>
      <w:r w:rsidRPr="00617EF5">
        <w:rPr>
          <w:sz w:val="26"/>
          <w:szCs w:val="26"/>
        </w:rPr>
        <w:t xml:space="preserve">556 </w:t>
      </w:r>
      <w:r>
        <w:rPr>
          <w:sz w:val="26"/>
          <w:szCs w:val="26"/>
        </w:rPr>
        <w:t>(</w:t>
      </w:r>
      <w:r w:rsidRPr="003E3AA7">
        <w:rPr>
          <w:sz w:val="26"/>
          <w:szCs w:val="26"/>
        </w:rPr>
        <w:t>Certification of Qualifying Facility (QF) Status for a Small Power Production or Cogeneration Facility</w:t>
      </w:r>
      <w:r>
        <w:rPr>
          <w:sz w:val="26"/>
          <w:szCs w:val="26"/>
        </w:rPr>
        <w:t>)</w:t>
      </w:r>
      <w:r w:rsidRPr="003E3AA7">
        <w:rPr>
          <w:sz w:val="26"/>
          <w:szCs w:val="26"/>
        </w:rPr>
        <w:t xml:space="preserve"> </w:t>
      </w:r>
      <w:r w:rsidRPr="00617EF5">
        <w:rPr>
          <w:sz w:val="26"/>
          <w:szCs w:val="26"/>
        </w:rPr>
        <w:t>is cleared separately as OMB Control No. 1902-0075 and is not a subject of this notice.</w:t>
      </w:r>
    </w:p>
    <w:p w:rsidR="00AF70D9" w:rsidRPr="00617EF5" w:rsidP="005E68B5" w14:paraId="5E3ACF59" w14:textId="77777777">
      <w:pPr>
        <w:pStyle w:val="FootnoteText"/>
        <w:rPr>
          <w:sz w:val="26"/>
          <w:szCs w:val="26"/>
        </w:rPr>
      </w:pPr>
    </w:p>
  </w:footnote>
  <w:footnote w:id="6">
    <w:p w:rsidR="00696A1D" w:rsidRPr="0069306C" w:rsidP="005C7E23" w14:paraId="1978C3D4" w14:textId="77777777">
      <w:pPr>
        <w:pStyle w:val="FootnoteText"/>
        <w:spacing w:after="260"/>
        <w:ind w:firstLine="720"/>
        <w:rPr>
          <w:sz w:val="26"/>
          <w:szCs w:val="26"/>
        </w:rPr>
      </w:pPr>
      <w:r w:rsidRPr="0069306C">
        <w:rPr>
          <w:rStyle w:val="FootnoteReference"/>
        </w:rPr>
        <w:footnoteRef/>
      </w:r>
      <w:r w:rsidRPr="0069306C">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rsidR="00AD3F3F" w:rsidP="005C7E23" w14:paraId="4B5EB3B6" w14:textId="107B72D3">
      <w:pPr>
        <w:pStyle w:val="FootnoteText"/>
        <w:spacing w:after="260"/>
        <w:ind w:firstLine="720"/>
      </w:pPr>
      <w:r>
        <w:rPr>
          <w:rStyle w:val="FootnoteReference"/>
        </w:rPr>
        <w:footnoteRef/>
      </w:r>
      <w:r>
        <w:t xml:space="preserve"> </w:t>
      </w:r>
      <w:r w:rsidRPr="00A3163F">
        <w:rPr>
          <w:rFonts w:eastAsia="Calibri"/>
          <w:sz w:val="26"/>
          <w:szCs w:val="26"/>
        </w:rPr>
        <w:t xml:space="preserve">FERC staff estimates that industry costs for salary plus benefits are </w:t>
      </w:r>
      <w:r w:rsidRPr="00764B12">
        <w:rPr>
          <w:rFonts w:eastAsia="Calibri"/>
          <w:sz w:val="26"/>
          <w:szCs w:val="26"/>
        </w:rPr>
        <w:t>similar to Commission costs.  The cost figure is the FY20</w:t>
      </w:r>
      <w:r>
        <w:rPr>
          <w:rFonts w:eastAsia="Calibri"/>
          <w:sz w:val="26"/>
          <w:szCs w:val="26"/>
        </w:rPr>
        <w:t>2</w:t>
      </w:r>
      <w:r w:rsidR="006D7941">
        <w:rPr>
          <w:rFonts w:eastAsia="Calibri"/>
          <w:sz w:val="26"/>
          <w:szCs w:val="26"/>
        </w:rPr>
        <w:t>5</w:t>
      </w:r>
      <w:r w:rsidRPr="00764B12">
        <w:rPr>
          <w:rFonts w:eastAsia="Calibri"/>
          <w:sz w:val="26"/>
          <w:szCs w:val="26"/>
        </w:rPr>
        <w:t xml:space="preserve"> FERC average annual salary</w:t>
      </w:r>
      <w:r w:rsidRPr="00A3163F">
        <w:rPr>
          <w:rFonts w:eastAsia="Calibri"/>
          <w:sz w:val="26"/>
          <w:szCs w:val="26"/>
        </w:rPr>
        <w:t xml:space="preserve"> plus benefits ($</w:t>
      </w:r>
      <w:r w:rsidRPr="0061232B" w:rsidR="0016074B">
        <w:rPr>
          <w:rFonts w:eastAsia="Calibri"/>
          <w:sz w:val="26"/>
          <w:szCs w:val="26"/>
        </w:rPr>
        <w:t>214,093</w:t>
      </w:r>
      <w:r w:rsidRPr="00A3163F">
        <w:rPr>
          <w:rFonts w:eastAsia="Calibri"/>
          <w:sz w:val="26"/>
          <w:szCs w:val="26"/>
        </w:rPr>
        <w:t>year or $</w:t>
      </w:r>
      <w:r w:rsidR="0069306C">
        <w:rPr>
          <w:rFonts w:eastAsia="Calibri"/>
          <w:sz w:val="26"/>
          <w:szCs w:val="26"/>
        </w:rPr>
        <w:t>103</w:t>
      </w:r>
      <w:r w:rsidRPr="00A3163F">
        <w:rPr>
          <w:rFonts w:eastAsia="Calibri"/>
          <w:sz w:val="26"/>
          <w:szCs w:val="26"/>
        </w:rPr>
        <w:t xml:space="preserve">/hour).  </w:t>
      </w:r>
    </w:p>
  </w:footnote>
  <w:footnote w:id="8">
    <w:p w:rsidR="000B39A6" w:rsidP="005C7E23" w14:paraId="20F1DE73" w14:textId="06980E0D">
      <w:pPr>
        <w:pStyle w:val="FootnoteText"/>
        <w:spacing w:after="260"/>
        <w:ind w:firstLine="720"/>
      </w:pPr>
      <w:r w:rsidRPr="005C7E23">
        <w:rPr>
          <w:rStyle w:val="FootnoteReference"/>
        </w:rPr>
        <w:footnoteRef/>
      </w:r>
      <w:r w:rsidRPr="005C7E23">
        <w:rPr>
          <w:sz w:val="26"/>
          <w:szCs w:val="26"/>
        </w:rPr>
        <w:t xml:space="preserve"> </w:t>
      </w:r>
      <w:r w:rsidRPr="001E0A63">
        <w:rPr>
          <w:sz w:val="26"/>
          <w:szCs w:val="26"/>
        </w:rPr>
        <w:t>This figure is rounded.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167CFF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9AA" w:rsidP="005E318F" w14:paraId="5473127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0287677"/>
      <w:docPartObj>
        <w:docPartGallery w:val="Page Numbers (Top of Page)"/>
        <w:docPartUnique/>
      </w:docPartObj>
    </w:sdtPr>
    <w:sdtEndPr>
      <w:rPr>
        <w:noProof/>
      </w:rPr>
    </w:sdtEndPr>
    <w:sdtContent>
      <w:p w:rsidR="005C7E23" w14:paraId="5E2673D6" w14:textId="74BFA055">
        <w:pPr>
          <w:pStyle w:val="Header"/>
        </w:pPr>
        <w:r w:rsidRPr="005C7E23">
          <w:t xml:space="preserve">Docket No. IC26-10-000  </w:t>
        </w:r>
        <w:r>
          <w:tab/>
        </w:r>
        <w:r>
          <w:tab/>
        </w:r>
        <w:r>
          <w:fldChar w:fldCharType="begin"/>
        </w:r>
        <w:r>
          <w:instrText xml:space="preserve"> PAGE   \* MERGEFORMAT </w:instrText>
        </w:r>
        <w:r>
          <w:fldChar w:fldCharType="separate"/>
        </w:r>
        <w:r>
          <w:rPr>
            <w:noProof/>
          </w:rPr>
          <w:t>2</w:t>
        </w:r>
        <w:r>
          <w:rPr>
            <w:noProof/>
          </w:rPr>
          <w:fldChar w:fldCharType="end"/>
        </w:r>
      </w:p>
    </w:sdtContent>
  </w:sdt>
  <w:p w:rsidR="004D79AA" w:rsidP="005E318F" w14:paraId="5EB90FBC" w14:textId="274A082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B8EBCA3"/>
    <w:multiLevelType w:val="hybridMultilevel"/>
    <w:tmpl w:val="85B84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BBF315"/>
    <w:multiLevelType w:val="hybridMultilevel"/>
    <w:tmpl w:val="F5F8B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9615089">
    <w:abstractNumId w:val="3"/>
  </w:num>
  <w:num w:numId="2" w16cid:durableId="843394719">
    <w:abstractNumId w:val="4"/>
  </w:num>
  <w:num w:numId="3" w16cid:durableId="1872111158">
    <w:abstractNumId w:val="2"/>
  </w:num>
  <w:num w:numId="4" w16cid:durableId="126822442">
    <w:abstractNumId w:val="0"/>
  </w:num>
  <w:num w:numId="5" w16cid:durableId="128334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90"/>
    <w:rsid w:val="0000007C"/>
    <w:rsid w:val="00002127"/>
    <w:rsid w:val="0000305D"/>
    <w:rsid w:val="00003A58"/>
    <w:rsid w:val="00004A34"/>
    <w:rsid w:val="00004D97"/>
    <w:rsid w:val="00004E01"/>
    <w:rsid w:val="00014E36"/>
    <w:rsid w:val="00021FC7"/>
    <w:rsid w:val="00024ECA"/>
    <w:rsid w:val="00036EF0"/>
    <w:rsid w:val="00036FEC"/>
    <w:rsid w:val="00041471"/>
    <w:rsid w:val="00043468"/>
    <w:rsid w:val="000436E9"/>
    <w:rsid w:val="0005366B"/>
    <w:rsid w:val="00055C05"/>
    <w:rsid w:val="0006335A"/>
    <w:rsid w:val="000721F3"/>
    <w:rsid w:val="00072256"/>
    <w:rsid w:val="00072448"/>
    <w:rsid w:val="00073F81"/>
    <w:rsid w:val="00080D5F"/>
    <w:rsid w:val="000838BE"/>
    <w:rsid w:val="000854B7"/>
    <w:rsid w:val="000860C4"/>
    <w:rsid w:val="00093E92"/>
    <w:rsid w:val="000A140E"/>
    <w:rsid w:val="000A27CA"/>
    <w:rsid w:val="000A5308"/>
    <w:rsid w:val="000A7D1F"/>
    <w:rsid w:val="000B186B"/>
    <w:rsid w:val="000B39A6"/>
    <w:rsid w:val="000B723A"/>
    <w:rsid w:val="000C22B5"/>
    <w:rsid w:val="000C47F2"/>
    <w:rsid w:val="000C56A4"/>
    <w:rsid w:val="000D2F74"/>
    <w:rsid w:val="000D3639"/>
    <w:rsid w:val="000D5216"/>
    <w:rsid w:val="000D7956"/>
    <w:rsid w:val="000E393C"/>
    <w:rsid w:val="000E6699"/>
    <w:rsid w:val="000F1B56"/>
    <w:rsid w:val="000F23CF"/>
    <w:rsid w:val="000F3E00"/>
    <w:rsid w:val="00103D50"/>
    <w:rsid w:val="00104E11"/>
    <w:rsid w:val="00114B14"/>
    <w:rsid w:val="00122326"/>
    <w:rsid w:val="001240FD"/>
    <w:rsid w:val="00125F00"/>
    <w:rsid w:val="00135C58"/>
    <w:rsid w:val="00142339"/>
    <w:rsid w:val="001458CA"/>
    <w:rsid w:val="00146600"/>
    <w:rsid w:val="00146B5E"/>
    <w:rsid w:val="001470C0"/>
    <w:rsid w:val="001475FE"/>
    <w:rsid w:val="00150CA6"/>
    <w:rsid w:val="00152C88"/>
    <w:rsid w:val="0015638D"/>
    <w:rsid w:val="0016074B"/>
    <w:rsid w:val="00163BBE"/>
    <w:rsid w:val="00166D6C"/>
    <w:rsid w:val="001726F3"/>
    <w:rsid w:val="00176646"/>
    <w:rsid w:val="00176D66"/>
    <w:rsid w:val="00181F00"/>
    <w:rsid w:val="00182B17"/>
    <w:rsid w:val="00182DA5"/>
    <w:rsid w:val="001844F3"/>
    <w:rsid w:val="00194042"/>
    <w:rsid w:val="0019407A"/>
    <w:rsid w:val="0019691F"/>
    <w:rsid w:val="001A2840"/>
    <w:rsid w:val="001A29CA"/>
    <w:rsid w:val="001A4577"/>
    <w:rsid w:val="001A4591"/>
    <w:rsid w:val="001A576C"/>
    <w:rsid w:val="001A5E0A"/>
    <w:rsid w:val="001A6B7C"/>
    <w:rsid w:val="001A7291"/>
    <w:rsid w:val="001B40FA"/>
    <w:rsid w:val="001B49BD"/>
    <w:rsid w:val="001B6B4A"/>
    <w:rsid w:val="001C3324"/>
    <w:rsid w:val="001C3703"/>
    <w:rsid w:val="001C4D3A"/>
    <w:rsid w:val="001C5D46"/>
    <w:rsid w:val="001E0A63"/>
    <w:rsid w:val="001E69DB"/>
    <w:rsid w:val="001F0B06"/>
    <w:rsid w:val="001F2664"/>
    <w:rsid w:val="001F2D2D"/>
    <w:rsid w:val="001F47CB"/>
    <w:rsid w:val="00201833"/>
    <w:rsid w:val="00204D0F"/>
    <w:rsid w:val="00205D28"/>
    <w:rsid w:val="002146CF"/>
    <w:rsid w:val="00215A17"/>
    <w:rsid w:val="002265E9"/>
    <w:rsid w:val="0024028A"/>
    <w:rsid w:val="00241BFD"/>
    <w:rsid w:val="00247487"/>
    <w:rsid w:val="00251C88"/>
    <w:rsid w:val="00252CD0"/>
    <w:rsid w:val="002677D6"/>
    <w:rsid w:val="00271EA5"/>
    <w:rsid w:val="0027273D"/>
    <w:rsid w:val="002747C8"/>
    <w:rsid w:val="00275AEC"/>
    <w:rsid w:val="0027644E"/>
    <w:rsid w:val="00285E62"/>
    <w:rsid w:val="0028677A"/>
    <w:rsid w:val="0029476E"/>
    <w:rsid w:val="00296592"/>
    <w:rsid w:val="002A0390"/>
    <w:rsid w:val="002A531E"/>
    <w:rsid w:val="002A6174"/>
    <w:rsid w:val="002B43A6"/>
    <w:rsid w:val="002B62A0"/>
    <w:rsid w:val="002B7BED"/>
    <w:rsid w:val="002C0ECB"/>
    <w:rsid w:val="002C23E9"/>
    <w:rsid w:val="002E5CD1"/>
    <w:rsid w:val="002E7E7B"/>
    <w:rsid w:val="00310ABC"/>
    <w:rsid w:val="00317A96"/>
    <w:rsid w:val="003219A5"/>
    <w:rsid w:val="00321EB8"/>
    <w:rsid w:val="00323139"/>
    <w:rsid w:val="00335092"/>
    <w:rsid w:val="00341866"/>
    <w:rsid w:val="00356E26"/>
    <w:rsid w:val="00366669"/>
    <w:rsid w:val="00370763"/>
    <w:rsid w:val="00374409"/>
    <w:rsid w:val="003761AD"/>
    <w:rsid w:val="00381700"/>
    <w:rsid w:val="00386BED"/>
    <w:rsid w:val="003A1D7A"/>
    <w:rsid w:val="003B0E53"/>
    <w:rsid w:val="003B4D70"/>
    <w:rsid w:val="003C1644"/>
    <w:rsid w:val="003C1F91"/>
    <w:rsid w:val="003C52B8"/>
    <w:rsid w:val="003D0A9C"/>
    <w:rsid w:val="003D396A"/>
    <w:rsid w:val="003D4832"/>
    <w:rsid w:val="003D6813"/>
    <w:rsid w:val="003E2224"/>
    <w:rsid w:val="003E3AA7"/>
    <w:rsid w:val="003E3D55"/>
    <w:rsid w:val="003F32A9"/>
    <w:rsid w:val="00401F70"/>
    <w:rsid w:val="004132B6"/>
    <w:rsid w:val="00414715"/>
    <w:rsid w:val="004225ED"/>
    <w:rsid w:val="004230B0"/>
    <w:rsid w:val="00423C49"/>
    <w:rsid w:val="00425BE2"/>
    <w:rsid w:val="0042785C"/>
    <w:rsid w:val="00427B81"/>
    <w:rsid w:val="00430164"/>
    <w:rsid w:val="00432C41"/>
    <w:rsid w:val="0043489E"/>
    <w:rsid w:val="004408C8"/>
    <w:rsid w:val="00444207"/>
    <w:rsid w:val="00445CD1"/>
    <w:rsid w:val="00445DDF"/>
    <w:rsid w:val="004525C8"/>
    <w:rsid w:val="004530E0"/>
    <w:rsid w:val="00453F74"/>
    <w:rsid w:val="00455087"/>
    <w:rsid w:val="00455A33"/>
    <w:rsid w:val="00455C4D"/>
    <w:rsid w:val="00462DBE"/>
    <w:rsid w:val="00463209"/>
    <w:rsid w:val="004670F5"/>
    <w:rsid w:val="00470106"/>
    <w:rsid w:val="0047321C"/>
    <w:rsid w:val="004855F2"/>
    <w:rsid w:val="0048597F"/>
    <w:rsid w:val="00485AD1"/>
    <w:rsid w:val="00487256"/>
    <w:rsid w:val="00490E50"/>
    <w:rsid w:val="00493A88"/>
    <w:rsid w:val="0049551B"/>
    <w:rsid w:val="004A1C59"/>
    <w:rsid w:val="004A51DF"/>
    <w:rsid w:val="004A6E59"/>
    <w:rsid w:val="004B665B"/>
    <w:rsid w:val="004C36C3"/>
    <w:rsid w:val="004C3BB0"/>
    <w:rsid w:val="004C3C65"/>
    <w:rsid w:val="004D1EE5"/>
    <w:rsid w:val="004D4CD3"/>
    <w:rsid w:val="004D52AF"/>
    <w:rsid w:val="004D53C3"/>
    <w:rsid w:val="004D778A"/>
    <w:rsid w:val="004D79AA"/>
    <w:rsid w:val="004E57FC"/>
    <w:rsid w:val="004E693F"/>
    <w:rsid w:val="004F3384"/>
    <w:rsid w:val="004F3E67"/>
    <w:rsid w:val="00500CBB"/>
    <w:rsid w:val="00501C2A"/>
    <w:rsid w:val="0050437A"/>
    <w:rsid w:val="00515CA5"/>
    <w:rsid w:val="00517B18"/>
    <w:rsid w:val="00521ABE"/>
    <w:rsid w:val="00521D1E"/>
    <w:rsid w:val="00524B22"/>
    <w:rsid w:val="00530BB4"/>
    <w:rsid w:val="005320C7"/>
    <w:rsid w:val="005324E7"/>
    <w:rsid w:val="005346F4"/>
    <w:rsid w:val="00534B97"/>
    <w:rsid w:val="0053627E"/>
    <w:rsid w:val="00537276"/>
    <w:rsid w:val="00540AD9"/>
    <w:rsid w:val="00541E83"/>
    <w:rsid w:val="00542EAA"/>
    <w:rsid w:val="0054477B"/>
    <w:rsid w:val="00551B13"/>
    <w:rsid w:val="005521E7"/>
    <w:rsid w:val="005524FE"/>
    <w:rsid w:val="00556AC8"/>
    <w:rsid w:val="005602C0"/>
    <w:rsid w:val="005665D1"/>
    <w:rsid w:val="005701E9"/>
    <w:rsid w:val="0057591C"/>
    <w:rsid w:val="00583700"/>
    <w:rsid w:val="00584568"/>
    <w:rsid w:val="0058734A"/>
    <w:rsid w:val="0058744A"/>
    <w:rsid w:val="00590265"/>
    <w:rsid w:val="005916D2"/>
    <w:rsid w:val="00592AD7"/>
    <w:rsid w:val="00594550"/>
    <w:rsid w:val="005953A4"/>
    <w:rsid w:val="005A02C5"/>
    <w:rsid w:val="005A6D8E"/>
    <w:rsid w:val="005B0E46"/>
    <w:rsid w:val="005C7E23"/>
    <w:rsid w:val="005D0272"/>
    <w:rsid w:val="005D49CD"/>
    <w:rsid w:val="005D7F37"/>
    <w:rsid w:val="005E318F"/>
    <w:rsid w:val="005E68B5"/>
    <w:rsid w:val="005E6B6B"/>
    <w:rsid w:val="005F6851"/>
    <w:rsid w:val="005F7F80"/>
    <w:rsid w:val="006053EE"/>
    <w:rsid w:val="006070B9"/>
    <w:rsid w:val="0061232B"/>
    <w:rsid w:val="00617E46"/>
    <w:rsid w:val="00617EF5"/>
    <w:rsid w:val="0062025E"/>
    <w:rsid w:val="00620566"/>
    <w:rsid w:val="006206BE"/>
    <w:rsid w:val="00625088"/>
    <w:rsid w:val="00625882"/>
    <w:rsid w:val="006276C9"/>
    <w:rsid w:val="006346F8"/>
    <w:rsid w:val="006400D4"/>
    <w:rsid w:val="00647B24"/>
    <w:rsid w:val="00656DF0"/>
    <w:rsid w:val="0065768D"/>
    <w:rsid w:val="00660AAB"/>
    <w:rsid w:val="0066591B"/>
    <w:rsid w:val="00672BEA"/>
    <w:rsid w:val="00675461"/>
    <w:rsid w:val="006803CB"/>
    <w:rsid w:val="0068483B"/>
    <w:rsid w:val="006868DC"/>
    <w:rsid w:val="006902C3"/>
    <w:rsid w:val="0069142C"/>
    <w:rsid w:val="00691BBF"/>
    <w:rsid w:val="0069306C"/>
    <w:rsid w:val="00694675"/>
    <w:rsid w:val="00695504"/>
    <w:rsid w:val="00696A1D"/>
    <w:rsid w:val="006A2074"/>
    <w:rsid w:val="006A4D89"/>
    <w:rsid w:val="006A64E7"/>
    <w:rsid w:val="006B1592"/>
    <w:rsid w:val="006B4821"/>
    <w:rsid w:val="006C1C27"/>
    <w:rsid w:val="006C57B1"/>
    <w:rsid w:val="006D06E2"/>
    <w:rsid w:val="006D549E"/>
    <w:rsid w:val="006D7941"/>
    <w:rsid w:val="006E6000"/>
    <w:rsid w:val="006E61AE"/>
    <w:rsid w:val="006E7FB0"/>
    <w:rsid w:val="006F4A80"/>
    <w:rsid w:val="006F77BE"/>
    <w:rsid w:val="0070048D"/>
    <w:rsid w:val="00703DFC"/>
    <w:rsid w:val="0070558B"/>
    <w:rsid w:val="0071251E"/>
    <w:rsid w:val="00715910"/>
    <w:rsid w:val="00720B54"/>
    <w:rsid w:val="00720E07"/>
    <w:rsid w:val="0072437C"/>
    <w:rsid w:val="00725908"/>
    <w:rsid w:val="00726397"/>
    <w:rsid w:val="0072643A"/>
    <w:rsid w:val="00736059"/>
    <w:rsid w:val="00741AFA"/>
    <w:rsid w:val="00750B05"/>
    <w:rsid w:val="00757B8F"/>
    <w:rsid w:val="0076098B"/>
    <w:rsid w:val="007637AD"/>
    <w:rsid w:val="00764A91"/>
    <w:rsid w:val="00764B12"/>
    <w:rsid w:val="00766823"/>
    <w:rsid w:val="007671C9"/>
    <w:rsid w:val="007726D7"/>
    <w:rsid w:val="00773856"/>
    <w:rsid w:val="007754ED"/>
    <w:rsid w:val="0078241C"/>
    <w:rsid w:val="00785CF9"/>
    <w:rsid w:val="007909C0"/>
    <w:rsid w:val="00790F7E"/>
    <w:rsid w:val="00794C25"/>
    <w:rsid w:val="007957B9"/>
    <w:rsid w:val="007A051D"/>
    <w:rsid w:val="007A46B4"/>
    <w:rsid w:val="007A5C4A"/>
    <w:rsid w:val="007B122D"/>
    <w:rsid w:val="007C42B7"/>
    <w:rsid w:val="007D2400"/>
    <w:rsid w:val="007D4A4A"/>
    <w:rsid w:val="007D7432"/>
    <w:rsid w:val="007D7ECE"/>
    <w:rsid w:val="007E1527"/>
    <w:rsid w:val="007E2A21"/>
    <w:rsid w:val="007E3E4C"/>
    <w:rsid w:val="007E52AC"/>
    <w:rsid w:val="007E6973"/>
    <w:rsid w:val="007E699A"/>
    <w:rsid w:val="007E7573"/>
    <w:rsid w:val="007F4F94"/>
    <w:rsid w:val="007F5D6C"/>
    <w:rsid w:val="007F7E3C"/>
    <w:rsid w:val="0082185B"/>
    <w:rsid w:val="00827DA2"/>
    <w:rsid w:val="0083270A"/>
    <w:rsid w:val="00834B9E"/>
    <w:rsid w:val="0083507A"/>
    <w:rsid w:val="00837441"/>
    <w:rsid w:val="008410EA"/>
    <w:rsid w:val="00841CCE"/>
    <w:rsid w:val="00852671"/>
    <w:rsid w:val="00855320"/>
    <w:rsid w:val="00855434"/>
    <w:rsid w:val="00862196"/>
    <w:rsid w:val="00863444"/>
    <w:rsid w:val="0086417D"/>
    <w:rsid w:val="00865949"/>
    <w:rsid w:val="00865E72"/>
    <w:rsid w:val="0087254C"/>
    <w:rsid w:val="008807D6"/>
    <w:rsid w:val="00880EEA"/>
    <w:rsid w:val="008814F7"/>
    <w:rsid w:val="0089028F"/>
    <w:rsid w:val="00891E91"/>
    <w:rsid w:val="00893FB3"/>
    <w:rsid w:val="008956A4"/>
    <w:rsid w:val="008A2949"/>
    <w:rsid w:val="008A32DE"/>
    <w:rsid w:val="008A3B1D"/>
    <w:rsid w:val="008A52CD"/>
    <w:rsid w:val="008A69F4"/>
    <w:rsid w:val="008B535A"/>
    <w:rsid w:val="008B5814"/>
    <w:rsid w:val="008C0051"/>
    <w:rsid w:val="008D5F60"/>
    <w:rsid w:val="008D7DF2"/>
    <w:rsid w:val="008E4CB7"/>
    <w:rsid w:val="008F24DF"/>
    <w:rsid w:val="008F4AD4"/>
    <w:rsid w:val="008F5384"/>
    <w:rsid w:val="008F66AB"/>
    <w:rsid w:val="008F77FF"/>
    <w:rsid w:val="00900862"/>
    <w:rsid w:val="0090126E"/>
    <w:rsid w:val="00906BFB"/>
    <w:rsid w:val="00910DAF"/>
    <w:rsid w:val="00910DD8"/>
    <w:rsid w:val="009124A0"/>
    <w:rsid w:val="009131BC"/>
    <w:rsid w:val="0091686D"/>
    <w:rsid w:val="00920A1C"/>
    <w:rsid w:val="00924105"/>
    <w:rsid w:val="00924B80"/>
    <w:rsid w:val="0093210C"/>
    <w:rsid w:val="00937BCD"/>
    <w:rsid w:val="009447D3"/>
    <w:rsid w:val="009537F4"/>
    <w:rsid w:val="009547CB"/>
    <w:rsid w:val="00954DC7"/>
    <w:rsid w:val="009555CC"/>
    <w:rsid w:val="00956FF9"/>
    <w:rsid w:val="0096058A"/>
    <w:rsid w:val="00961DAE"/>
    <w:rsid w:val="00963C0C"/>
    <w:rsid w:val="00966148"/>
    <w:rsid w:val="009679E3"/>
    <w:rsid w:val="00970735"/>
    <w:rsid w:val="009713C5"/>
    <w:rsid w:val="00971E20"/>
    <w:rsid w:val="0097434D"/>
    <w:rsid w:val="00976278"/>
    <w:rsid w:val="00977E05"/>
    <w:rsid w:val="009873CB"/>
    <w:rsid w:val="00991D87"/>
    <w:rsid w:val="009947B6"/>
    <w:rsid w:val="00994B38"/>
    <w:rsid w:val="00997AE4"/>
    <w:rsid w:val="009A61E8"/>
    <w:rsid w:val="009B027F"/>
    <w:rsid w:val="009B7DFA"/>
    <w:rsid w:val="009C2E1C"/>
    <w:rsid w:val="009D505F"/>
    <w:rsid w:val="009E03E5"/>
    <w:rsid w:val="009E1DA1"/>
    <w:rsid w:val="009E7D6B"/>
    <w:rsid w:val="009F1C04"/>
    <w:rsid w:val="009F4AB4"/>
    <w:rsid w:val="009F71DC"/>
    <w:rsid w:val="00A038B3"/>
    <w:rsid w:val="00A05DCB"/>
    <w:rsid w:val="00A07486"/>
    <w:rsid w:val="00A0763E"/>
    <w:rsid w:val="00A15BF1"/>
    <w:rsid w:val="00A17794"/>
    <w:rsid w:val="00A226EE"/>
    <w:rsid w:val="00A3163F"/>
    <w:rsid w:val="00A34319"/>
    <w:rsid w:val="00A344FB"/>
    <w:rsid w:val="00A34518"/>
    <w:rsid w:val="00A35158"/>
    <w:rsid w:val="00A3726A"/>
    <w:rsid w:val="00A40B65"/>
    <w:rsid w:val="00A41408"/>
    <w:rsid w:val="00A4355D"/>
    <w:rsid w:val="00A43829"/>
    <w:rsid w:val="00A51FCA"/>
    <w:rsid w:val="00A536DA"/>
    <w:rsid w:val="00A557D3"/>
    <w:rsid w:val="00A56980"/>
    <w:rsid w:val="00A6047F"/>
    <w:rsid w:val="00A60681"/>
    <w:rsid w:val="00A72F11"/>
    <w:rsid w:val="00A85DE0"/>
    <w:rsid w:val="00A96311"/>
    <w:rsid w:val="00A9631E"/>
    <w:rsid w:val="00A97EA0"/>
    <w:rsid w:val="00AA044E"/>
    <w:rsid w:val="00AA7819"/>
    <w:rsid w:val="00AB0A99"/>
    <w:rsid w:val="00AB20D8"/>
    <w:rsid w:val="00AB436E"/>
    <w:rsid w:val="00AB5B88"/>
    <w:rsid w:val="00AC4CC5"/>
    <w:rsid w:val="00AC7480"/>
    <w:rsid w:val="00AD0DF7"/>
    <w:rsid w:val="00AD3F3F"/>
    <w:rsid w:val="00AE07DB"/>
    <w:rsid w:val="00AE0995"/>
    <w:rsid w:val="00AE40BF"/>
    <w:rsid w:val="00AE4572"/>
    <w:rsid w:val="00AE61E0"/>
    <w:rsid w:val="00AF159D"/>
    <w:rsid w:val="00AF4F93"/>
    <w:rsid w:val="00AF70D9"/>
    <w:rsid w:val="00B018B9"/>
    <w:rsid w:val="00B1101F"/>
    <w:rsid w:val="00B21599"/>
    <w:rsid w:val="00B2439B"/>
    <w:rsid w:val="00B3254F"/>
    <w:rsid w:val="00B33628"/>
    <w:rsid w:val="00B337D1"/>
    <w:rsid w:val="00B37926"/>
    <w:rsid w:val="00B41025"/>
    <w:rsid w:val="00B43366"/>
    <w:rsid w:val="00B4431A"/>
    <w:rsid w:val="00B460AF"/>
    <w:rsid w:val="00B52047"/>
    <w:rsid w:val="00B62B35"/>
    <w:rsid w:val="00B63E28"/>
    <w:rsid w:val="00B710EA"/>
    <w:rsid w:val="00B74A00"/>
    <w:rsid w:val="00B75595"/>
    <w:rsid w:val="00B806DB"/>
    <w:rsid w:val="00B81BC5"/>
    <w:rsid w:val="00B82155"/>
    <w:rsid w:val="00B835C5"/>
    <w:rsid w:val="00B97BC8"/>
    <w:rsid w:val="00BA154F"/>
    <w:rsid w:val="00BA5E98"/>
    <w:rsid w:val="00BA7314"/>
    <w:rsid w:val="00BA7702"/>
    <w:rsid w:val="00BB1C54"/>
    <w:rsid w:val="00BB3B04"/>
    <w:rsid w:val="00BB544C"/>
    <w:rsid w:val="00BC1B93"/>
    <w:rsid w:val="00BD0A6B"/>
    <w:rsid w:val="00BD15D4"/>
    <w:rsid w:val="00BD1C91"/>
    <w:rsid w:val="00BD7CD2"/>
    <w:rsid w:val="00BE2F8F"/>
    <w:rsid w:val="00BE59AE"/>
    <w:rsid w:val="00BF0461"/>
    <w:rsid w:val="00BF144D"/>
    <w:rsid w:val="00C01927"/>
    <w:rsid w:val="00C01B8E"/>
    <w:rsid w:val="00C0487E"/>
    <w:rsid w:val="00C056FE"/>
    <w:rsid w:val="00C05E2D"/>
    <w:rsid w:val="00C1080B"/>
    <w:rsid w:val="00C13D4D"/>
    <w:rsid w:val="00C14CA1"/>
    <w:rsid w:val="00C209EA"/>
    <w:rsid w:val="00C20BA6"/>
    <w:rsid w:val="00C211B3"/>
    <w:rsid w:val="00C24A08"/>
    <w:rsid w:val="00C3310F"/>
    <w:rsid w:val="00C33BBC"/>
    <w:rsid w:val="00C34E88"/>
    <w:rsid w:val="00C41350"/>
    <w:rsid w:val="00C446C7"/>
    <w:rsid w:val="00C45E37"/>
    <w:rsid w:val="00C4788A"/>
    <w:rsid w:val="00C52455"/>
    <w:rsid w:val="00C53513"/>
    <w:rsid w:val="00C56512"/>
    <w:rsid w:val="00C63FEE"/>
    <w:rsid w:val="00C67ED4"/>
    <w:rsid w:val="00C70C05"/>
    <w:rsid w:val="00C70D6C"/>
    <w:rsid w:val="00C71F08"/>
    <w:rsid w:val="00C856C1"/>
    <w:rsid w:val="00C867BC"/>
    <w:rsid w:val="00C90210"/>
    <w:rsid w:val="00C92C75"/>
    <w:rsid w:val="00C936A0"/>
    <w:rsid w:val="00C950B8"/>
    <w:rsid w:val="00C9728E"/>
    <w:rsid w:val="00C97402"/>
    <w:rsid w:val="00CA5395"/>
    <w:rsid w:val="00CA582B"/>
    <w:rsid w:val="00CA5D25"/>
    <w:rsid w:val="00CA7B4B"/>
    <w:rsid w:val="00CB10EF"/>
    <w:rsid w:val="00CC084C"/>
    <w:rsid w:val="00CC226F"/>
    <w:rsid w:val="00CC2F18"/>
    <w:rsid w:val="00CC312A"/>
    <w:rsid w:val="00CC643A"/>
    <w:rsid w:val="00CC74B4"/>
    <w:rsid w:val="00CD31E5"/>
    <w:rsid w:val="00CD787F"/>
    <w:rsid w:val="00CE0248"/>
    <w:rsid w:val="00CE07FB"/>
    <w:rsid w:val="00CE0EF2"/>
    <w:rsid w:val="00CE5F90"/>
    <w:rsid w:val="00CE64F2"/>
    <w:rsid w:val="00CF522A"/>
    <w:rsid w:val="00CF5B9A"/>
    <w:rsid w:val="00D02D61"/>
    <w:rsid w:val="00D124C8"/>
    <w:rsid w:val="00D179B1"/>
    <w:rsid w:val="00D20E2B"/>
    <w:rsid w:val="00D23599"/>
    <w:rsid w:val="00D26397"/>
    <w:rsid w:val="00D33436"/>
    <w:rsid w:val="00D3481B"/>
    <w:rsid w:val="00D4094C"/>
    <w:rsid w:val="00D43998"/>
    <w:rsid w:val="00D45C1F"/>
    <w:rsid w:val="00D47828"/>
    <w:rsid w:val="00D52556"/>
    <w:rsid w:val="00D569DA"/>
    <w:rsid w:val="00D57269"/>
    <w:rsid w:val="00D63246"/>
    <w:rsid w:val="00D63C82"/>
    <w:rsid w:val="00D67693"/>
    <w:rsid w:val="00D70098"/>
    <w:rsid w:val="00D70310"/>
    <w:rsid w:val="00D76D45"/>
    <w:rsid w:val="00D77890"/>
    <w:rsid w:val="00D85D2E"/>
    <w:rsid w:val="00D87C24"/>
    <w:rsid w:val="00D90CBF"/>
    <w:rsid w:val="00D90F48"/>
    <w:rsid w:val="00D9166B"/>
    <w:rsid w:val="00D92CB4"/>
    <w:rsid w:val="00D93E95"/>
    <w:rsid w:val="00D94313"/>
    <w:rsid w:val="00DA401A"/>
    <w:rsid w:val="00DA6F3C"/>
    <w:rsid w:val="00DA7F57"/>
    <w:rsid w:val="00DB27D1"/>
    <w:rsid w:val="00DB44CE"/>
    <w:rsid w:val="00DB7694"/>
    <w:rsid w:val="00DC05D3"/>
    <w:rsid w:val="00DC09DD"/>
    <w:rsid w:val="00DC0CCD"/>
    <w:rsid w:val="00DC4367"/>
    <w:rsid w:val="00DC55A8"/>
    <w:rsid w:val="00DD02E8"/>
    <w:rsid w:val="00DD2712"/>
    <w:rsid w:val="00DD328A"/>
    <w:rsid w:val="00DD3E84"/>
    <w:rsid w:val="00DD6DE4"/>
    <w:rsid w:val="00DF281F"/>
    <w:rsid w:val="00DF30B6"/>
    <w:rsid w:val="00DF3DC8"/>
    <w:rsid w:val="00DF57D1"/>
    <w:rsid w:val="00E027CE"/>
    <w:rsid w:val="00E04324"/>
    <w:rsid w:val="00E063CD"/>
    <w:rsid w:val="00E0745C"/>
    <w:rsid w:val="00E102DA"/>
    <w:rsid w:val="00E146ED"/>
    <w:rsid w:val="00E16FE0"/>
    <w:rsid w:val="00E2091C"/>
    <w:rsid w:val="00E2583B"/>
    <w:rsid w:val="00E310B1"/>
    <w:rsid w:val="00E32E67"/>
    <w:rsid w:val="00E357E3"/>
    <w:rsid w:val="00E4230F"/>
    <w:rsid w:val="00E436DC"/>
    <w:rsid w:val="00E43FF3"/>
    <w:rsid w:val="00E52021"/>
    <w:rsid w:val="00E521EB"/>
    <w:rsid w:val="00E57F5B"/>
    <w:rsid w:val="00E60318"/>
    <w:rsid w:val="00E6445A"/>
    <w:rsid w:val="00E6573E"/>
    <w:rsid w:val="00E65C79"/>
    <w:rsid w:val="00E702F0"/>
    <w:rsid w:val="00E808CB"/>
    <w:rsid w:val="00E839AB"/>
    <w:rsid w:val="00E92ACF"/>
    <w:rsid w:val="00E9701C"/>
    <w:rsid w:val="00EA07A3"/>
    <w:rsid w:val="00EA26F9"/>
    <w:rsid w:val="00EA2DA2"/>
    <w:rsid w:val="00EA3C6C"/>
    <w:rsid w:val="00EA5739"/>
    <w:rsid w:val="00EB4EB5"/>
    <w:rsid w:val="00EB6EE6"/>
    <w:rsid w:val="00EC0705"/>
    <w:rsid w:val="00EC4610"/>
    <w:rsid w:val="00EC4C08"/>
    <w:rsid w:val="00EC5F23"/>
    <w:rsid w:val="00EC657E"/>
    <w:rsid w:val="00EC7372"/>
    <w:rsid w:val="00ED4124"/>
    <w:rsid w:val="00ED7206"/>
    <w:rsid w:val="00EE4F64"/>
    <w:rsid w:val="00EE5F32"/>
    <w:rsid w:val="00EE64A4"/>
    <w:rsid w:val="00EE6A4D"/>
    <w:rsid w:val="00EF5878"/>
    <w:rsid w:val="00F02508"/>
    <w:rsid w:val="00F02B46"/>
    <w:rsid w:val="00F04F98"/>
    <w:rsid w:val="00F05061"/>
    <w:rsid w:val="00F11275"/>
    <w:rsid w:val="00F11583"/>
    <w:rsid w:val="00F15EB8"/>
    <w:rsid w:val="00F17D46"/>
    <w:rsid w:val="00F2283B"/>
    <w:rsid w:val="00F239CB"/>
    <w:rsid w:val="00F252DC"/>
    <w:rsid w:val="00F30FE9"/>
    <w:rsid w:val="00F31331"/>
    <w:rsid w:val="00F33CC9"/>
    <w:rsid w:val="00F34211"/>
    <w:rsid w:val="00F4212C"/>
    <w:rsid w:val="00F42509"/>
    <w:rsid w:val="00F42ADB"/>
    <w:rsid w:val="00F43903"/>
    <w:rsid w:val="00F47569"/>
    <w:rsid w:val="00F500B7"/>
    <w:rsid w:val="00F50EDA"/>
    <w:rsid w:val="00F550F8"/>
    <w:rsid w:val="00F567F0"/>
    <w:rsid w:val="00F619B0"/>
    <w:rsid w:val="00F6230E"/>
    <w:rsid w:val="00F62C6E"/>
    <w:rsid w:val="00F63C6E"/>
    <w:rsid w:val="00F63D43"/>
    <w:rsid w:val="00F67CA1"/>
    <w:rsid w:val="00F71EF6"/>
    <w:rsid w:val="00F72A15"/>
    <w:rsid w:val="00F72D69"/>
    <w:rsid w:val="00F730F8"/>
    <w:rsid w:val="00F73CC7"/>
    <w:rsid w:val="00F75289"/>
    <w:rsid w:val="00F76482"/>
    <w:rsid w:val="00F80272"/>
    <w:rsid w:val="00F81786"/>
    <w:rsid w:val="00F86890"/>
    <w:rsid w:val="00F86A26"/>
    <w:rsid w:val="00F94545"/>
    <w:rsid w:val="00FA1560"/>
    <w:rsid w:val="00FA2A52"/>
    <w:rsid w:val="00FA4464"/>
    <w:rsid w:val="00FA5171"/>
    <w:rsid w:val="00FA7792"/>
    <w:rsid w:val="00FB2E76"/>
    <w:rsid w:val="00FB5088"/>
    <w:rsid w:val="00FC34C8"/>
    <w:rsid w:val="00FC3976"/>
    <w:rsid w:val="00FC4CD8"/>
    <w:rsid w:val="00FC5E3E"/>
    <w:rsid w:val="00FC6869"/>
    <w:rsid w:val="00FD32FE"/>
    <w:rsid w:val="00FE439E"/>
    <w:rsid w:val="07DEE470"/>
    <w:rsid w:val="0D4DB07B"/>
    <w:rsid w:val="120A4FCC"/>
    <w:rsid w:val="1705C941"/>
    <w:rsid w:val="1A6E6E0B"/>
    <w:rsid w:val="29A2266B"/>
    <w:rsid w:val="32AF9403"/>
    <w:rsid w:val="36228562"/>
    <w:rsid w:val="38F6F32C"/>
    <w:rsid w:val="4BB99918"/>
    <w:rsid w:val="4E3766CD"/>
    <w:rsid w:val="4E4E28D9"/>
    <w:rsid w:val="549EAD48"/>
    <w:rsid w:val="560E9543"/>
    <w:rsid w:val="5CBA0B73"/>
    <w:rsid w:val="5E5137BB"/>
    <w:rsid w:val="5EFAF138"/>
    <w:rsid w:val="679453F5"/>
    <w:rsid w:val="6CE1A582"/>
    <w:rsid w:val="6D38A879"/>
    <w:rsid w:val="719A66EF"/>
    <w:rsid w:val="740D4924"/>
    <w:rsid w:val="77105CB7"/>
    <w:rsid w:val="7E143282"/>
    <w:rsid w:val="7FCF72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21D8B7"/>
  <w15:chartTrackingRefBased/>
  <w15:docId w15:val="{E498BB7A-6C60-4736-8489-6F754A47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3"/>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ootnote Text MRP,fn,ft Char"/>
    <w:basedOn w:val="Normal"/>
    <w:link w:val="FootnoteTextChar"/>
    <w:qFormat/>
    <w:rsid w:val="00D20E2B"/>
    <w:rPr>
      <w:sz w:val="22"/>
      <w:szCs w:val="20"/>
    </w:rPr>
  </w:style>
  <w:style w:type="paragraph" w:styleId="Header">
    <w:name w:val="header"/>
    <w:basedOn w:val="Normal"/>
    <w:link w:val="HeaderChar"/>
    <w:uiPriority w:val="99"/>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5"/>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549EAD48"/>
    <w:pPr>
      <w:ind w:left="720"/>
      <w:contextualSpacing/>
    </w:pPr>
  </w:style>
  <w:style w:type="character" w:customStyle="1" w:styleId="FootnoteTextChar">
    <w:name w:val="Footnote Text Char"/>
    <w:aliases w:val=" Char Char1,Char Char1,Footnote Text Char Char Char Char Char1 Char1,Footnote Text Char Char Char Char1,Footnote Text Char Char Char2,Footnote Text Char Char1 Char1,Footnote Text Char1 Char Char,Footnote Text Char1 Char2,fn Char1"/>
    <w:basedOn w:val="DefaultParagraphFont"/>
    <w:link w:val="FootnoteText"/>
    <w:uiPriority w:val="99"/>
    <w:rsid w:val="005E68B5"/>
    <w:rPr>
      <w:sz w:val="22"/>
    </w:rPr>
  </w:style>
  <w:style w:type="character" w:customStyle="1" w:styleId="FootnoteTextChar2">
    <w:name w:val="Footnote Text Char2"/>
    <w:aliases w:val=" Char Char,Char Char,Footnote Text Char Char Char Char,Footnote Text Char Char Char Char Char1 Char,Footnote Text Char Char Char1,Footnote Text Char Char1 Char,Footnote Text Char Char2,Footnote Text Char1 Char1,fn Char,ft Char Char"/>
    <w:rsid w:val="00971E20"/>
    <w:rPr>
      <w:sz w:val="22"/>
    </w:rPr>
  </w:style>
  <w:style w:type="paragraph" w:styleId="Revision">
    <w:name w:val="Revision"/>
    <w:hidden/>
    <w:uiPriority w:val="99"/>
    <w:semiHidden/>
    <w:rsid w:val="004525C8"/>
    <w:rPr>
      <w:sz w:val="26"/>
      <w:szCs w:val="24"/>
    </w:rPr>
  </w:style>
  <w:style w:type="character" w:styleId="CommentReference">
    <w:name w:val="annotation reference"/>
    <w:basedOn w:val="DefaultParagraphFont"/>
    <w:rsid w:val="00BD7CD2"/>
    <w:rPr>
      <w:sz w:val="16"/>
      <w:szCs w:val="16"/>
    </w:rPr>
  </w:style>
  <w:style w:type="paragraph" w:styleId="CommentText">
    <w:name w:val="annotation text"/>
    <w:basedOn w:val="Normal"/>
    <w:link w:val="CommentTextChar"/>
    <w:rsid w:val="00BD7CD2"/>
    <w:rPr>
      <w:sz w:val="20"/>
      <w:szCs w:val="20"/>
    </w:rPr>
  </w:style>
  <w:style w:type="character" w:customStyle="1" w:styleId="CommentTextChar">
    <w:name w:val="Comment Text Char"/>
    <w:basedOn w:val="DefaultParagraphFont"/>
    <w:link w:val="CommentText"/>
    <w:rsid w:val="00BD7CD2"/>
  </w:style>
  <w:style w:type="paragraph" w:styleId="CommentSubject">
    <w:name w:val="annotation subject"/>
    <w:basedOn w:val="CommentText"/>
    <w:next w:val="CommentText"/>
    <w:link w:val="CommentSubjectChar"/>
    <w:rsid w:val="00BD7CD2"/>
    <w:rPr>
      <w:b/>
      <w:bCs/>
    </w:rPr>
  </w:style>
  <w:style w:type="character" w:customStyle="1" w:styleId="CommentSubjectChar">
    <w:name w:val="Comment Subject Char"/>
    <w:basedOn w:val="CommentTextChar"/>
    <w:link w:val="CommentSubject"/>
    <w:rsid w:val="00BD7CD2"/>
    <w:rPr>
      <w:b/>
      <w:bCs/>
    </w:rPr>
  </w:style>
  <w:style w:type="character" w:customStyle="1" w:styleId="HeaderChar">
    <w:name w:val="Header Char"/>
    <w:basedOn w:val="DefaultParagraphFont"/>
    <w:link w:val="Header"/>
    <w:uiPriority w:val="99"/>
    <w:rsid w:val="005C7E23"/>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3-1902-009" TargetMode="External" /><Relationship Id="rId11" Type="http://schemas.openxmlformats.org/officeDocument/2006/relationships/hyperlink" Target="https://www.reginfo.gov/public/do/PRA/icrPublicCommentRequest?ref_nbr=202603-1902-005" TargetMode="External" /><Relationship Id="rId12" Type="http://schemas.openxmlformats.org/officeDocument/2006/relationships/hyperlink" Target="https://www.reginfo.gov/public/do/PRA/icrPublicCommentRequest?ref_nbr=202603-1902-004" TargetMode="External" /><Relationship Id="rId13" Type="http://schemas.openxmlformats.org/officeDocument/2006/relationships/hyperlink" Target="https://www.reginfo.gov/public/do/PRAMain" TargetMode="External" /><Relationship Id="rId14" Type="http://schemas.openxmlformats.org/officeDocument/2006/relationships/hyperlink" Target="mailto:DataClearance@FERC.gov" TargetMode="External" /><Relationship Id="rId15" Type="http://schemas.openxmlformats.org/officeDocument/2006/relationships/hyperlink" Target="https://elibrary.ferc.gov/eLibrary/search"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E8E2-88DB-435D-9869-A6FED61F2D69}">
  <ds:schemaRefs>
    <ds:schemaRef ds:uri="http://schemas.microsoft.com/sharepoint/v3/contenttype/forms"/>
  </ds:schemaRefs>
</ds:datastoreItem>
</file>

<file path=customXml/itemProps2.xml><?xml version="1.0" encoding="utf-8"?>
<ds:datastoreItem xmlns:ds="http://schemas.openxmlformats.org/officeDocument/2006/customXml" ds:itemID="{5AD19A6D-02CD-4B72-8B2B-4E5C05A18FB3}">
  <ds:schemaRefs>
    <ds:schemaRef ds:uri="Microsoft.SharePoint.Taxonomy.ContentTypeSync"/>
  </ds:schemaRefs>
</ds:datastoreItem>
</file>

<file path=customXml/itemProps3.xml><?xml version="1.0" encoding="utf-8"?>
<ds:datastoreItem xmlns:ds="http://schemas.openxmlformats.org/officeDocument/2006/customXml" ds:itemID="{BF66309F-315B-4913-8B56-69F4E60B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88AEC3-7B5A-4E74-878A-52DAD39B2C3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C692064-1DB4-4C0D-9A73-8AF9ED95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TotalTime>
  <Pages>11</Pages>
  <Words>2029</Words>
  <Characters>11794</Characters>
  <Application>Microsoft Office Word</Application>
  <DocSecurity>0</DocSecurity>
  <Lines>406</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2026-04-09T17:15:00Z</dcterms:created>
  <dcterms:modified xsi:type="dcterms:W3CDTF">2026-04-09T17:36:00Z</dcterms:modified>
</cp:coreProperties>
</file>