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604E" w:rsidP="00A2604E" w14:paraId="1502CB1A" w14:textId="44E8076E">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4F8A8585">
      <w:pPr>
        <w:jc w:val="center"/>
      </w:pPr>
      <w:r w:rsidRPr="00980E58">
        <w:t>[</w:t>
      </w:r>
      <w:r w:rsidRPr="007633DD">
        <w:t>Docket No</w:t>
      </w:r>
      <w:r w:rsidRPr="00413FDE">
        <w:t xml:space="preserve">. </w:t>
      </w:r>
      <w:r w:rsidRPr="00413FDE" w:rsidR="00613169">
        <w:t>IC</w:t>
      </w:r>
      <w:r w:rsidRPr="00413FDE" w:rsidR="00FB078F">
        <w:t>2</w:t>
      </w:r>
      <w:r w:rsidR="004C5691">
        <w:t>6</w:t>
      </w:r>
      <w:r w:rsidRPr="00413FDE" w:rsidR="00613169">
        <w:t>-</w:t>
      </w:r>
      <w:r w:rsidR="004C5691">
        <w:t>1</w:t>
      </w:r>
      <w:r w:rsidR="002A54AD">
        <w:t>-</w:t>
      </w:r>
      <w:r w:rsidRPr="00413FDE" w:rsidR="00613169">
        <w:t>000</w:t>
      </w:r>
      <w:r w:rsidRPr="00413FDE">
        <w:t>]</w:t>
      </w:r>
    </w:p>
    <w:p w:rsidR="00A2604E" w:rsidP="00A2604E" w14:paraId="4D16FE54" w14:textId="77777777"/>
    <w:p w:rsidR="00A2604E" w:rsidP="00A2604E" w14:paraId="0627AE31" w14:textId="0DD9A004">
      <w:pPr>
        <w:jc w:val="center"/>
      </w:pPr>
      <w:r>
        <w:t>COMMISSION INFORMATION COLLECTION ACTIVITIES (FERC-</w:t>
      </w:r>
      <w:r w:rsidR="007E3E34">
        <w:t>725Z</w:t>
      </w:r>
      <w:r>
        <w:t>)</w:t>
      </w:r>
      <w:r w:rsidR="002673C4">
        <w:t xml:space="preserve"> </w:t>
      </w:r>
    </w:p>
    <w:p w:rsidR="00A2604E" w:rsidP="00A2604E" w14:paraId="3B5240D4" w14:textId="77777777">
      <w:pPr>
        <w:jc w:val="center"/>
      </w:pPr>
      <w:r>
        <w:t>COMMENT REQUEST; EXTENSION</w:t>
      </w:r>
    </w:p>
    <w:p w:rsidR="00881405" w:rsidP="00A2604E" w14:paraId="5D8DD33D" w14:textId="77777777">
      <w:pPr>
        <w:jc w:val="center"/>
      </w:pPr>
    </w:p>
    <w:p w:rsidR="00A074D4" w:rsidP="00BC06A5" w14:paraId="5787FF48" w14:textId="15A705AA">
      <w:pPr>
        <w:jc w:val="center"/>
      </w:pPr>
      <w:r w:rsidRPr="00BC06A5">
        <w:t>(</w:t>
      </w:r>
      <w:r w:rsidR="006B5FBC">
        <w:t>March 26, 2026</w:t>
      </w:r>
      <w:r w:rsidRPr="00BC06A5">
        <w:t>)</w:t>
      </w:r>
    </w:p>
    <w:p w:rsidR="00BC06A5" w:rsidRPr="00BC06A5" w:rsidP="00BC06A5" w14:paraId="02B857EE" w14:textId="77777777"/>
    <w:p w:rsidR="00A2604E" w:rsidP="00A2604E" w14:paraId="735A1E72" w14:textId="156B8DE0">
      <w:r w:rsidRPr="00AB4DBF">
        <w:rPr>
          <w:b/>
        </w:rPr>
        <w:t>AGENCY</w:t>
      </w:r>
      <w:r w:rsidRPr="00AB4DBF" w:rsidR="00F47E5B">
        <w:rPr>
          <w:b/>
        </w:rPr>
        <w:t>:</w:t>
      </w:r>
      <w:r w:rsidRPr="00AB4DBF" w:rsidR="00F47E5B">
        <w:t xml:space="preserve"> Federal</w:t>
      </w:r>
      <w:r w:rsidRPr="00AB4DBF">
        <w:t xml:space="preserve"> Energy Regulatory Commission.</w:t>
      </w:r>
    </w:p>
    <w:p w:rsidR="00A2604E" w:rsidRPr="00AB4DBF" w:rsidP="00266255" w14:paraId="634EF64B" w14:textId="0593DD7E">
      <w:pPr>
        <w:tabs>
          <w:tab w:val="left" w:pos="1590"/>
        </w:tabs>
      </w:pPr>
      <w:r>
        <w:tab/>
      </w:r>
    </w:p>
    <w:p w:rsidR="00A2604E" w:rsidP="00A2604E" w14:paraId="674B9740" w14:textId="1A2B687B">
      <w:pPr>
        <w:spacing w:line="480" w:lineRule="auto"/>
      </w:pPr>
      <w:r w:rsidRPr="00CE64F2">
        <w:rPr>
          <w:b/>
        </w:rPr>
        <w:t>ACTION</w:t>
      </w:r>
      <w:bookmarkStart w:id="0" w:name="_Hlk68091542"/>
      <w:r w:rsidRPr="00CE64F2" w:rsidR="00F47E5B">
        <w:rPr>
          <w:b/>
        </w:rPr>
        <w:t>:</w:t>
      </w:r>
      <w:r w:rsidR="00F47E5B">
        <w:t xml:space="preserve"> Notice</w:t>
      </w:r>
      <w:r>
        <w:t xml:space="preserve"> of information collection </w:t>
      </w:r>
      <w:bookmarkEnd w:id="0"/>
      <w:r>
        <w:t>and request for comments.</w:t>
      </w:r>
    </w:p>
    <w:p w:rsidR="00B556C9" w:rsidRPr="00E92411" w:rsidP="00B82CB5" w14:paraId="35DEAE81" w14:textId="41D70521">
      <w:pPr>
        <w:spacing w:line="480" w:lineRule="auto"/>
        <w:rPr>
          <w:rFonts w:eastAsiaTheme="minorHAnsi"/>
          <w:szCs w:val="26"/>
        </w:rPr>
      </w:pPr>
      <w:r w:rsidRPr="00CE64F2">
        <w:rPr>
          <w:b/>
        </w:rPr>
        <w:t>SUMMARY</w:t>
      </w:r>
      <w:r w:rsidRPr="00CE64F2" w:rsidR="00F47E5B">
        <w:rPr>
          <w:b/>
        </w:rPr>
        <w:t>:</w:t>
      </w:r>
      <w:r w:rsidR="00F47E5B">
        <w:t xml:space="preserve"> In</w:t>
      </w:r>
      <w:r>
        <w:t xml:space="preserve"> compliance with the requirements of the Paperwork Reduction Act of 1995</w:t>
      </w:r>
      <w:r w:rsidR="009E2D84">
        <w:t xml:space="preserve">, </w:t>
      </w:r>
      <w:r>
        <w:t>the Federal Energy Regulatory Commission (Commission or FERC) is soliciting public comment</w:t>
      </w:r>
      <w:r w:rsidR="00F47E5B">
        <w:t>s</w:t>
      </w:r>
      <w:r>
        <w:t xml:space="preserve"> on the currently approved information collection</w:t>
      </w:r>
      <w:r w:rsidR="001579BB">
        <w:t>,</w:t>
      </w:r>
      <w:r w:rsidRPr="00C43470" w:rsidR="00C43470">
        <w:t xml:space="preserve"> </w:t>
      </w:r>
      <w:bookmarkStart w:id="1" w:name="_Hlk102460280"/>
      <w:r w:rsidRPr="004C232C" w:rsidR="007E3E34">
        <w:t>FERC-725Z (</w:t>
      </w:r>
      <w:bookmarkStart w:id="2" w:name="_Hlk108785701"/>
      <w:r w:rsidRPr="004C232C" w:rsidR="007E3E34">
        <w:t>Mandatory Reliability Standards</w:t>
      </w:r>
      <w:r w:rsidRPr="004C232C" w:rsidR="00F47E5B">
        <w:t>: IRO</w:t>
      </w:r>
      <w:r w:rsidRPr="004C232C" w:rsidR="007E3E34">
        <w:t xml:space="preserve"> Reliability Standards</w:t>
      </w:r>
      <w:bookmarkEnd w:id="2"/>
      <w:r w:rsidRPr="004C232C" w:rsidR="007E3E34">
        <w:t>)</w:t>
      </w:r>
      <w:r w:rsidR="00150CBC">
        <w:rPr>
          <w:rFonts w:eastAsiaTheme="minorHAnsi"/>
          <w:szCs w:val="26"/>
        </w:rPr>
        <w:t>.</w:t>
      </w:r>
      <w:r w:rsidR="00E92411">
        <w:rPr>
          <w:rFonts w:eastAsiaTheme="minorHAnsi"/>
          <w:szCs w:val="26"/>
        </w:rPr>
        <w:t xml:space="preserve"> </w:t>
      </w:r>
      <w:r w:rsidRPr="00E92411" w:rsidR="00E92411">
        <w:rPr>
          <w:rFonts w:eastAsiaTheme="minorHAnsi"/>
          <w:szCs w:val="26"/>
        </w:rPr>
        <w:t xml:space="preserve">There are no changes to the reporting requirements with this information collection. No comments were received on the 60-day notice that ended on </w:t>
      </w:r>
      <w:r w:rsidR="001E236C">
        <w:rPr>
          <w:rFonts w:eastAsiaTheme="minorHAnsi"/>
          <w:szCs w:val="26"/>
        </w:rPr>
        <w:t xml:space="preserve">March </w:t>
      </w:r>
      <w:r w:rsidR="0092314F">
        <w:rPr>
          <w:rFonts w:eastAsiaTheme="minorHAnsi"/>
          <w:szCs w:val="26"/>
        </w:rPr>
        <w:t>1</w:t>
      </w:r>
      <w:r w:rsidR="00762BCB">
        <w:rPr>
          <w:rFonts w:eastAsiaTheme="minorHAnsi"/>
          <w:szCs w:val="26"/>
        </w:rPr>
        <w:t>6</w:t>
      </w:r>
      <w:r w:rsidRPr="00E92411" w:rsidR="00E92411">
        <w:rPr>
          <w:rFonts w:eastAsiaTheme="minorHAnsi"/>
          <w:szCs w:val="26"/>
        </w:rPr>
        <w:t>, 202</w:t>
      </w:r>
      <w:r w:rsidR="00762BCB">
        <w:rPr>
          <w:rFonts w:eastAsiaTheme="minorHAnsi"/>
          <w:szCs w:val="26"/>
        </w:rPr>
        <w:t>6</w:t>
      </w:r>
      <w:r w:rsidRPr="00E92411" w:rsidR="00E92411">
        <w:rPr>
          <w:rFonts w:eastAsiaTheme="minorHAnsi"/>
          <w:szCs w:val="26"/>
        </w:rPr>
        <w:t>.</w:t>
      </w:r>
    </w:p>
    <w:bookmarkEnd w:id="1"/>
    <w:p w:rsidR="00A2604E" w:rsidRPr="00524164" w:rsidP="00A2604E" w14:paraId="5C5B574A" w14:textId="0285D3DE">
      <w:pPr>
        <w:spacing w:line="480" w:lineRule="auto"/>
      </w:pPr>
      <w:r w:rsidRPr="00CE64F2">
        <w:rPr>
          <w:b/>
        </w:rPr>
        <w:t>DATES</w:t>
      </w:r>
      <w:r w:rsidRPr="00CE64F2" w:rsidR="00F47E5B">
        <w:rPr>
          <w:b/>
        </w:rPr>
        <w:t>:</w:t>
      </w:r>
      <w:r w:rsidR="00F47E5B">
        <w:t xml:space="preserve"> Comments</w:t>
      </w:r>
      <w:r>
        <w:t xml:space="preserve"> on the collection of information are </w:t>
      </w:r>
      <w:r w:rsidRPr="00B24588">
        <w:t>due [</w:t>
      </w:r>
      <w:r w:rsidR="00CD56E5">
        <w:rPr>
          <w:b/>
        </w:rPr>
        <w:t>INSERT DATE</w:t>
      </w:r>
      <w:r w:rsidRPr="00A07154">
        <w:rPr>
          <w:b/>
        </w:rPr>
        <w:t xml:space="preserve"> </w:t>
      </w:r>
      <w:r w:rsidR="00E92411">
        <w:rPr>
          <w:b/>
        </w:rPr>
        <w:t>3</w:t>
      </w:r>
      <w:r w:rsidRPr="00A07154">
        <w:rPr>
          <w:b/>
        </w:rPr>
        <w:t xml:space="preserve">0 days after </w:t>
      </w:r>
      <w:r w:rsidRPr="00A07154" w:rsidR="00CA6D76">
        <w:rPr>
          <w:b/>
        </w:rPr>
        <w:t xml:space="preserve">date of </w:t>
      </w:r>
      <w:r w:rsidRPr="00A07154">
        <w:rPr>
          <w:b/>
        </w:rPr>
        <w:t>publication in the Federal Register</w:t>
      </w:r>
      <w:r w:rsidRPr="00524164">
        <w:t xml:space="preserve">]. </w:t>
      </w:r>
    </w:p>
    <w:p w:rsidR="00C5793F" w:rsidRPr="00C5793F" w:rsidP="00C5793F" w14:paraId="24DCF61C" w14:textId="40BA4DC9">
      <w:pPr>
        <w:spacing w:line="480" w:lineRule="auto"/>
      </w:pPr>
      <w:r w:rsidRPr="00524164">
        <w:rPr>
          <w:b/>
        </w:rPr>
        <w:t>ADDRESSES:</w:t>
      </w:r>
      <w:r w:rsidRPr="00524164">
        <w:t xml:space="preserve">  </w:t>
      </w:r>
      <w:r w:rsidRPr="00C5793F">
        <w:t>Send written comments on FERC-725</w:t>
      </w:r>
      <w:r w:rsidR="00980450">
        <w:t>Z</w:t>
      </w:r>
      <w:r w:rsidRPr="00C5793F">
        <w:t xml:space="preserve"> to OMB through https://www.reginfo.gov/public/do/PRA/icrPublicCommentRequest?ref_nbr=</w:t>
      </w:r>
      <w:r w:rsidRPr="00980450" w:rsidR="00980450">
        <w:t>202603-1902-008</w:t>
      </w:r>
      <w:r w:rsidRPr="00C5793F">
        <w:t xml:space="preserve">.  You can also visit </w:t>
      </w:r>
      <w:hyperlink r:id="rId10" w:tgtFrame="_blank" w:history="1">
        <w:r w:rsidRPr="00C5793F">
          <w:rPr>
            <w:rStyle w:val="Hyperlink"/>
          </w:rPr>
          <w:t>https://www.reginfo.gov/public/do/PRAMain</w:t>
        </w:r>
      </w:hyperlink>
      <w:r w:rsidRPr="00C5793F">
        <w:t xml:space="preserve"> and use the drop-down under “Currently under Review” to select the “Federal Energy Regulatory Commission” where you can see the open opportunities to provide comments. Comments should be sent within 30 days of publication of this notice. </w:t>
      </w:r>
    </w:p>
    <w:p w:rsidR="00C5793F" w:rsidRPr="00C5793F" w:rsidP="00C5793F" w14:paraId="4BDA49DE" w14:textId="2E01FBD5">
      <w:pPr>
        <w:spacing w:line="480" w:lineRule="auto"/>
      </w:pPr>
      <w:r w:rsidRPr="00C5793F">
        <w:t xml:space="preserve">Please submit a copy of your comments to the Commission via email to </w:t>
      </w:r>
      <w:hyperlink r:id="rId11" w:tgtFrame="_blank" w:history="1">
        <w:r w:rsidRPr="00C5793F">
          <w:rPr>
            <w:rStyle w:val="Hyperlink"/>
          </w:rPr>
          <w:t>DataClearance@FERC.gov</w:t>
        </w:r>
      </w:hyperlink>
      <w:r w:rsidRPr="00C5793F">
        <w:t xml:space="preserve">. You must specify </w:t>
      </w:r>
      <w:r w:rsidRPr="00C5793F">
        <w:t>the</w:t>
      </w:r>
      <w:r w:rsidR="00F47E5B">
        <w:t xml:space="preserve"> </w:t>
      </w:r>
      <w:r w:rsidRPr="00C5793F">
        <w:t>Docket</w:t>
      </w:r>
      <w:r w:rsidRPr="00C5793F">
        <w:t xml:space="preserve"> No. (IC2</w:t>
      </w:r>
      <w:r w:rsidR="00F1300A">
        <w:t>6</w:t>
      </w:r>
      <w:r w:rsidRPr="00C5793F">
        <w:t>-1-000) and the FERC Information Collection number (FERC-725</w:t>
      </w:r>
      <w:r w:rsidR="00F1300A">
        <w:t>Z</w:t>
      </w:r>
      <w:r w:rsidRPr="00C5793F">
        <w:t>) in your email. If you are unable to file electronically, comments may be filed by USPS mail or by hand (including courier) delivery: </w:t>
      </w:r>
    </w:p>
    <w:p w:rsidR="00C5793F" w:rsidRPr="00C5793F" w:rsidP="00C5793F" w14:paraId="10509E3F" w14:textId="77777777">
      <w:pPr>
        <w:numPr>
          <w:ilvl w:val="0"/>
          <w:numId w:val="20"/>
        </w:numPr>
        <w:spacing w:line="480" w:lineRule="auto"/>
      </w:pPr>
      <w:r w:rsidRPr="00C5793F">
        <w:t>Mail via U.S. Postal Service Only: Federal Energy Regulatory Commission, Secretary of the Commission, 888 First Street, N.E., Washington, DC 20426. </w:t>
      </w:r>
    </w:p>
    <w:p w:rsidR="00C5793F" w:rsidRPr="00C5793F" w:rsidP="00C5793F" w14:paraId="7FD38D22" w14:textId="77777777">
      <w:pPr>
        <w:numPr>
          <w:ilvl w:val="0"/>
          <w:numId w:val="21"/>
        </w:numPr>
        <w:spacing w:line="480" w:lineRule="auto"/>
      </w:pPr>
      <w:r w:rsidRPr="00C5793F">
        <w:t>All other delivery methods: Federal Energy Regulatory Commission, Secretary of the Commission, 12225 Wilkins Avenue, Rockville, MD 20852. </w:t>
      </w:r>
    </w:p>
    <w:p w:rsidR="00C5793F" w:rsidRPr="00C5793F" w:rsidP="00C5793F" w14:paraId="71DA3EAB" w14:textId="79A4E353">
      <w:pPr>
        <w:spacing w:line="480" w:lineRule="auto"/>
      </w:pPr>
      <w:r w:rsidRPr="00C5793F">
        <w:rPr>
          <w:i/>
          <w:iCs/>
        </w:rPr>
        <w:t>Docket</w:t>
      </w:r>
      <w:r w:rsidRPr="00C5793F">
        <w:t xml:space="preserve">:  To view comments and issuances in this docket, please visit </w:t>
      </w:r>
      <w:hyperlink r:id="rId12" w:tgtFrame="_blank" w:history="1">
        <w:r w:rsidRPr="00C5793F">
          <w:rPr>
            <w:rStyle w:val="Hyperlink"/>
          </w:rPr>
          <w:t>https://elibrary.ferc.gov/eLibrary/search</w:t>
        </w:r>
      </w:hyperlink>
      <w:r w:rsidRPr="00C5793F">
        <w:t xml:space="preserve">. Once there, you can also </w:t>
      </w:r>
      <w:r w:rsidRPr="00C5793F" w:rsidR="00F47E5B">
        <w:t>sign up</w:t>
      </w:r>
      <w:r w:rsidRPr="00C5793F">
        <w:t xml:space="preserve"> for automatic notification of activity in this docket.  </w:t>
      </w:r>
    </w:p>
    <w:p w:rsidR="00C5793F" w:rsidRPr="00C5793F" w:rsidP="00C5793F" w14:paraId="5CA326EC" w14:textId="119CA6CD">
      <w:pPr>
        <w:spacing w:line="480" w:lineRule="auto"/>
        <w:rPr>
          <w:b/>
        </w:rPr>
      </w:pPr>
      <w:r w:rsidRPr="00C5793F">
        <w:rPr>
          <w:b/>
          <w:bCs/>
        </w:rPr>
        <w:t>FOR FURTHER INFORMATION CONTACT</w:t>
      </w:r>
      <w:r w:rsidRPr="00C5793F" w:rsidR="00F47E5B">
        <w:rPr>
          <w:b/>
          <w:bCs/>
        </w:rPr>
        <w:t>:</w:t>
      </w:r>
      <w:r w:rsidRPr="00C5793F" w:rsidR="00F47E5B">
        <w:t xml:space="preserve"> Kayla</w:t>
      </w:r>
      <w:r w:rsidRPr="00C5793F">
        <w:t xml:space="preserve"> Williams, (202) 502-6468. </w:t>
      </w:r>
      <w:hyperlink r:id="rId11" w:tgtFrame="_blank" w:history="1">
        <w:r w:rsidRPr="00C5793F">
          <w:rPr>
            <w:rStyle w:val="Hyperlink"/>
          </w:rPr>
          <w:t>DataClearance@FERC.gov</w:t>
        </w:r>
      </w:hyperlink>
      <w:r w:rsidRPr="00C5793F">
        <w:rPr>
          <w:b/>
        </w:rPr>
        <w:t> </w:t>
      </w:r>
    </w:p>
    <w:p w:rsidR="00974659" w:rsidRPr="00974659" w:rsidP="00C5793F" w14:paraId="3CCB58E8" w14:textId="7A190EDC">
      <w:pPr>
        <w:spacing w:line="480" w:lineRule="auto"/>
      </w:pPr>
      <w:r w:rsidRPr="00974659">
        <w:rPr>
          <w:b/>
        </w:rPr>
        <w:t>SUPPLEMENTARY INFORMATION:</w:t>
      </w:r>
      <w:r w:rsidRPr="00974659">
        <w:t xml:space="preserve">  </w:t>
      </w:r>
    </w:p>
    <w:p w:rsidR="005B45D2" w:rsidRPr="00304734" w:rsidP="005B45D2" w14:paraId="209673F3" w14:textId="194D424A">
      <w:pPr>
        <w:spacing w:line="480" w:lineRule="auto"/>
        <w:rPr>
          <w:i/>
        </w:rPr>
      </w:pPr>
      <w:r w:rsidRPr="004C19E9">
        <w:rPr>
          <w:i/>
        </w:rPr>
        <w:t xml:space="preserve">Title: </w:t>
      </w:r>
      <w:r w:rsidRPr="004C19E9">
        <w:t>FERC-725Z (Mandatory Reliability Standards</w:t>
      </w:r>
      <w:r w:rsidRPr="004C19E9" w:rsidR="00F47E5B">
        <w:t>: IRO</w:t>
      </w:r>
      <w:r w:rsidRPr="004C19E9">
        <w:t xml:space="preserve"> Reliability Standards)</w:t>
      </w:r>
      <w:r w:rsidRPr="00304734">
        <w:t>.</w:t>
      </w:r>
    </w:p>
    <w:p w:rsidR="005B45D2" w:rsidP="005B45D2" w14:paraId="46EAEC2C" w14:textId="77777777">
      <w:pPr>
        <w:spacing w:line="480" w:lineRule="auto"/>
      </w:pPr>
      <w:r w:rsidRPr="00304734">
        <w:rPr>
          <w:i/>
        </w:rPr>
        <w:t>OMB Control No.:</w:t>
      </w:r>
      <w:r w:rsidRPr="00304734">
        <w:t xml:space="preserve"> 1902-0276</w:t>
      </w:r>
    </w:p>
    <w:p w:rsidR="005B45D2" w:rsidRPr="000836D6" w:rsidP="005B45D2" w14:paraId="3D7324FB" w14:textId="0C144883">
      <w:pPr>
        <w:spacing w:line="480" w:lineRule="auto"/>
        <w:rPr>
          <w:rFonts w:eastAsia="Calibri"/>
          <w:szCs w:val="26"/>
        </w:rPr>
      </w:pPr>
      <w:r w:rsidRPr="000836D6">
        <w:rPr>
          <w:rFonts w:eastAsia="Calibri"/>
          <w:i/>
          <w:szCs w:val="26"/>
        </w:rPr>
        <w:t>Type of Request:</w:t>
      </w:r>
      <w:r w:rsidRPr="000836D6">
        <w:rPr>
          <w:rFonts w:eastAsia="Calibri"/>
          <w:szCs w:val="26"/>
        </w:rPr>
        <w:t xml:space="preserve"> </w:t>
      </w:r>
      <w:r w:rsidR="0061527E">
        <w:rPr>
          <w:rFonts w:eastAsia="Calibri"/>
          <w:szCs w:val="26"/>
        </w:rPr>
        <w:t>Extension</w:t>
      </w:r>
      <w:r w:rsidRPr="000836D6">
        <w:rPr>
          <w:rFonts w:eastAsia="Calibri"/>
          <w:szCs w:val="26"/>
        </w:rPr>
        <w:t xml:space="preserve"> to th</w:t>
      </w:r>
      <w:r w:rsidR="0061527E">
        <w:rPr>
          <w:rFonts w:eastAsia="Calibri"/>
          <w:szCs w:val="26"/>
        </w:rPr>
        <w:t>is currently approved information collection.</w:t>
      </w:r>
    </w:p>
    <w:p w:rsidR="0061527E" w:rsidP="0061527E" w14:paraId="7836DBAB" w14:textId="2752037F">
      <w:pPr>
        <w:spacing w:line="480" w:lineRule="auto"/>
        <w:rPr>
          <w:szCs w:val="26"/>
        </w:rPr>
      </w:pPr>
      <w:r w:rsidRPr="00802910">
        <w:rPr>
          <w:rFonts w:eastAsia="Calibri"/>
          <w:i/>
          <w:szCs w:val="26"/>
        </w:rPr>
        <w:t xml:space="preserve">Abstract: </w:t>
      </w:r>
      <w:r w:rsidRPr="00802910">
        <w:rPr>
          <w:rFonts w:eastAsia="Calibri"/>
          <w:color w:val="000000"/>
          <w:szCs w:val="26"/>
        </w:rPr>
        <w:t xml:space="preserve"> </w:t>
      </w:r>
      <w:r>
        <w:rPr>
          <w:szCs w:val="26"/>
        </w:rPr>
        <w:t>On August 8, 2005, The Electricity Modernization Act of 2005, which is Title XII of the Energy Policy Act of 2005 (</w:t>
      </w:r>
      <w:r>
        <w:rPr>
          <w:szCs w:val="26"/>
        </w:rPr>
        <w:t>EPAct</w:t>
      </w:r>
      <w:r>
        <w:rPr>
          <w:szCs w:val="26"/>
        </w:rPr>
        <w:t xml:space="preserve"> 2005), was enacted into law.</w:t>
      </w:r>
      <w:r>
        <w:rPr>
          <w:szCs w:val="26"/>
          <w:vertAlign w:val="superscript"/>
        </w:rPr>
        <w:footnoteReference w:id="3"/>
      </w:r>
      <w:r>
        <w:rPr>
          <w:szCs w:val="26"/>
        </w:rPr>
        <w:t xml:space="preserve">  Under section 215 of the Federal Power Act (FPA)</w:t>
      </w:r>
      <w:r w:rsidR="003B1E84">
        <w:rPr>
          <w:szCs w:val="26"/>
        </w:rPr>
        <w:t xml:space="preserve"> implemented in 18 CFR 40</w:t>
      </w:r>
      <w:r>
        <w:rPr>
          <w:szCs w:val="26"/>
        </w:rPr>
        <w:t>, the Commission requires a Commission-certified Electric Reliability Organization (ERO) to develop mandatory and enforceable Reliability Standards</w:t>
      </w:r>
      <w:r>
        <w:rPr>
          <w:szCs w:val="26"/>
          <w:vertAlign w:val="superscript"/>
        </w:rPr>
        <w:footnoteReference w:id="4"/>
      </w:r>
      <w:r>
        <w:rPr>
          <w:szCs w:val="26"/>
        </w:rPr>
        <w:t xml:space="preserve">, which are subject to Commission review and approval.  In 2006, the Commission established a process to select and certify an ERO and, subsequently, certified the </w:t>
      </w:r>
      <w:r>
        <w:rPr>
          <w:rFonts w:eastAsia="Calibri"/>
          <w:szCs w:val="26"/>
        </w:rPr>
        <w:t>North American Electric Reliability Corporation</w:t>
      </w:r>
      <w:r>
        <w:rPr>
          <w:szCs w:val="26"/>
        </w:rPr>
        <w:t xml:space="preserve"> (NERC) as the ERO.</w:t>
      </w:r>
      <w:r>
        <w:rPr>
          <w:szCs w:val="26"/>
          <w:vertAlign w:val="superscript"/>
        </w:rPr>
        <w:footnoteReference w:id="5"/>
      </w:r>
      <w:r>
        <w:rPr>
          <w:szCs w:val="26"/>
          <w:vertAlign w:val="superscript"/>
        </w:rPr>
        <w:t xml:space="preserve"> </w:t>
      </w:r>
      <w:r>
        <w:rPr>
          <w:szCs w:val="26"/>
        </w:rPr>
        <w:t xml:space="preserve"> </w:t>
      </w:r>
    </w:p>
    <w:p w:rsidR="0061527E" w:rsidP="0061527E" w14:paraId="6B962E46" w14:textId="598C0335">
      <w:pPr>
        <w:spacing w:line="480" w:lineRule="auto"/>
        <w:rPr>
          <w:szCs w:val="26"/>
        </w:rPr>
      </w:pPr>
      <w:r>
        <w:rPr>
          <w:szCs w:val="26"/>
        </w:rPr>
        <w:t>The ERO develops proposed Reliability Standards</w:t>
      </w:r>
      <w:r>
        <w:rPr>
          <w:rStyle w:val="FootnoteReference"/>
        </w:rPr>
        <w:footnoteReference w:id="6"/>
      </w:r>
      <w:r>
        <w:rPr>
          <w:szCs w:val="26"/>
        </w:rPr>
        <w:t xml:space="preserve"> and, if approved by NERC, submits them to the Commission for review and approval.  </w:t>
      </w:r>
      <w:r w:rsidR="007816E0">
        <w:rPr>
          <w:szCs w:val="26"/>
        </w:rPr>
        <w:t>When</w:t>
      </w:r>
      <w:r>
        <w:rPr>
          <w:szCs w:val="26"/>
        </w:rPr>
        <w:t xml:space="preserve"> the standards are approved by </w:t>
      </w:r>
      <w:r>
        <w:rPr>
          <w:szCs w:val="26"/>
        </w:rPr>
        <w:t>the Commission, the Reliability Standards become mandatory and must be enforced by the ERO, subject to Commission oversight</w:t>
      </w:r>
      <w:r w:rsidR="003B1E84">
        <w:rPr>
          <w:szCs w:val="26"/>
        </w:rPr>
        <w:t>.</w:t>
      </w:r>
    </w:p>
    <w:p w:rsidR="0069580A" w:rsidP="005178DE" w14:paraId="53981F32" w14:textId="3950CB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Pr>
          <w:rFonts w:eastAsia="Calibri"/>
          <w:color w:val="000000"/>
          <w:szCs w:val="26"/>
        </w:rPr>
        <w:t>NERC established the following IRO standards within FERC-725Z:</w:t>
      </w:r>
    </w:p>
    <w:p w:rsidR="00C10548" w:rsidP="005178DE" w14:paraId="236C504C" w14:textId="684F70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bookmarkStart w:id="3" w:name="_Hlk212457547"/>
      <w:r w:rsidRPr="0094052C">
        <w:rPr>
          <w:rFonts w:eastAsia="Calibri"/>
          <w:color w:val="000000"/>
          <w:szCs w:val="26"/>
        </w:rPr>
        <w:t>IRO-001-4</w:t>
      </w:r>
      <w:r>
        <w:rPr>
          <w:rFonts w:eastAsia="Calibri"/>
          <w:color w:val="000000"/>
          <w:szCs w:val="26"/>
        </w:rPr>
        <w:t xml:space="preserve"> </w:t>
      </w:r>
      <w:bookmarkEnd w:id="3"/>
      <w:r w:rsidR="00511D99">
        <w:rPr>
          <w:rFonts w:eastAsia="Calibri"/>
          <w:color w:val="000000"/>
          <w:szCs w:val="26"/>
        </w:rPr>
        <w:t>(</w:t>
      </w:r>
      <w:r w:rsidRPr="00511D99" w:rsidR="00511D99">
        <w:rPr>
          <w:rFonts w:eastAsia="Calibri"/>
          <w:color w:val="000000"/>
          <w:szCs w:val="26"/>
        </w:rPr>
        <w:t>Reliability Coordination – Responsibilities</w:t>
      </w:r>
      <w:r w:rsidR="00511D99">
        <w:rPr>
          <w:rFonts w:eastAsia="Calibri"/>
          <w:color w:val="000000"/>
          <w:szCs w:val="26"/>
        </w:rPr>
        <w:t xml:space="preserve">) </w:t>
      </w:r>
      <w:r>
        <w:rPr>
          <w:rFonts w:eastAsia="Calibri"/>
          <w:color w:val="000000"/>
          <w:szCs w:val="26"/>
        </w:rPr>
        <w:t>purpose is to</w:t>
      </w:r>
      <w:r>
        <w:t xml:space="preserve"> establish the responsibility of Reliability Coordinators to act or direct other entities to act.</w:t>
      </w:r>
      <w:r>
        <w:rPr>
          <w:rFonts w:eastAsia="Calibri"/>
          <w:color w:val="000000"/>
          <w:szCs w:val="26"/>
        </w:rPr>
        <w:t xml:space="preserve">  </w:t>
      </w:r>
      <w:r w:rsidR="00511D99">
        <w:rPr>
          <w:rFonts w:eastAsia="Calibri"/>
          <w:color w:val="000000"/>
          <w:szCs w:val="26"/>
        </w:rPr>
        <w:t>Applicable transmission operator, balancing authority, generator operator and distribution provider shall follow the operating instructions from their r</w:t>
      </w:r>
      <w:r w:rsidRPr="00511D99" w:rsidR="00511D99">
        <w:rPr>
          <w:rFonts w:eastAsia="Calibri"/>
          <w:color w:val="000000"/>
          <w:szCs w:val="26"/>
        </w:rPr>
        <w:t xml:space="preserve">eliability </w:t>
      </w:r>
      <w:r w:rsidR="00511D99">
        <w:rPr>
          <w:rFonts w:eastAsia="Calibri"/>
          <w:color w:val="000000"/>
          <w:szCs w:val="26"/>
        </w:rPr>
        <w:t>c</w:t>
      </w:r>
      <w:r w:rsidRPr="00511D99" w:rsidR="00511D99">
        <w:rPr>
          <w:rFonts w:eastAsia="Calibri"/>
          <w:color w:val="000000"/>
          <w:szCs w:val="26"/>
        </w:rPr>
        <w:t xml:space="preserve">oordinator </w:t>
      </w:r>
      <w:r w:rsidR="00511D99">
        <w:rPr>
          <w:rFonts w:eastAsia="Calibri"/>
          <w:color w:val="000000"/>
          <w:szCs w:val="26"/>
        </w:rPr>
        <w:t xml:space="preserve">or inform the reliability coordinator why they cannot comply.  </w:t>
      </w:r>
    </w:p>
    <w:p w:rsidR="00802910" w:rsidRPr="007816E0" w:rsidP="00802910" w14:paraId="28390A1A" w14:textId="766C5B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sidRPr="0094052C">
        <w:rPr>
          <w:rFonts w:eastAsia="Calibri"/>
          <w:color w:val="000000"/>
          <w:szCs w:val="26"/>
        </w:rPr>
        <w:t>IRO-002-7</w:t>
      </w:r>
      <w:r w:rsidRPr="0061527E" w:rsidR="0061527E">
        <w:rPr>
          <w:rFonts w:eastAsia="Calibri"/>
          <w:color w:val="000000"/>
          <w:szCs w:val="26"/>
        </w:rPr>
        <w:t xml:space="preserve"> (Reliability Coordination, Monitoring and Analysis)</w:t>
      </w:r>
      <w:r w:rsidR="00511D99">
        <w:rPr>
          <w:rFonts w:eastAsia="Calibri"/>
          <w:color w:val="000000"/>
          <w:szCs w:val="26"/>
        </w:rPr>
        <w:t xml:space="preserve"> purpose is t</w:t>
      </w:r>
      <w:r w:rsidRPr="00511D99" w:rsidR="00511D99">
        <w:rPr>
          <w:rFonts w:eastAsia="Calibri"/>
          <w:color w:val="000000"/>
          <w:szCs w:val="26"/>
        </w:rPr>
        <w:t xml:space="preserve">o provide </w:t>
      </w:r>
      <w:r w:rsidR="00E45A20">
        <w:rPr>
          <w:rFonts w:eastAsia="Calibri"/>
          <w:color w:val="000000"/>
          <w:szCs w:val="26"/>
        </w:rPr>
        <w:t>s</w:t>
      </w:r>
      <w:r w:rsidRPr="00511D99" w:rsidR="00511D99">
        <w:rPr>
          <w:rFonts w:eastAsia="Calibri"/>
          <w:color w:val="000000"/>
          <w:szCs w:val="26"/>
        </w:rPr>
        <w:t xml:space="preserve">ystem </w:t>
      </w:r>
      <w:r w:rsidR="00E45A20">
        <w:rPr>
          <w:rFonts w:eastAsia="Calibri"/>
          <w:color w:val="000000"/>
          <w:szCs w:val="26"/>
        </w:rPr>
        <w:t>o</w:t>
      </w:r>
      <w:r w:rsidRPr="00511D99" w:rsidR="00511D99">
        <w:rPr>
          <w:rFonts w:eastAsia="Calibri"/>
          <w:color w:val="000000"/>
          <w:szCs w:val="26"/>
        </w:rPr>
        <w:t>perators with the capabilities necessary to monitor and analyze data needed to perform their reliability functions</w:t>
      </w:r>
      <w:r w:rsidRPr="0061527E" w:rsidR="0061527E">
        <w:rPr>
          <w:rFonts w:eastAsia="Calibri"/>
          <w:color w:val="000000"/>
          <w:szCs w:val="26"/>
        </w:rPr>
        <w:t xml:space="preserve">.  </w:t>
      </w:r>
      <w:r w:rsidR="00511D99">
        <w:rPr>
          <w:rFonts w:eastAsia="Calibri"/>
          <w:color w:val="000000"/>
          <w:szCs w:val="26"/>
        </w:rPr>
        <w:t xml:space="preserve">The requirements of IRO-002-7 </w:t>
      </w:r>
      <w:r w:rsidR="00E45A20">
        <w:rPr>
          <w:rFonts w:eastAsia="Calibri"/>
          <w:color w:val="000000"/>
          <w:szCs w:val="26"/>
        </w:rPr>
        <w:t>define data exchange capabilities, testing functionality, notifications when those capabilities are not available, monitor status at facilities, and some personnel functions.  IRO-002-7 does have a WECC Variance t</w:t>
      </w:r>
      <w:r w:rsidRPr="00E45A20" w:rsidR="00E45A20">
        <w:rPr>
          <w:rFonts w:eastAsia="Calibri"/>
          <w:color w:val="000000"/>
          <w:szCs w:val="26"/>
        </w:rPr>
        <w:t xml:space="preserve">o develop a methodology that creates models for performing </w:t>
      </w:r>
      <w:r w:rsidR="00E45A20">
        <w:rPr>
          <w:rFonts w:eastAsia="Calibri"/>
          <w:color w:val="000000"/>
          <w:szCs w:val="26"/>
        </w:rPr>
        <w:t>o</w:t>
      </w:r>
      <w:r w:rsidRPr="00E45A20" w:rsidR="00E45A20">
        <w:rPr>
          <w:rFonts w:eastAsia="Calibri"/>
          <w:color w:val="000000"/>
          <w:szCs w:val="26"/>
        </w:rPr>
        <w:t xml:space="preserve">perational </w:t>
      </w:r>
      <w:r w:rsidR="00E45A20">
        <w:rPr>
          <w:rFonts w:eastAsia="Calibri"/>
          <w:color w:val="000000"/>
          <w:szCs w:val="26"/>
        </w:rPr>
        <w:t>p</w:t>
      </w:r>
      <w:r w:rsidRPr="00E45A20" w:rsidR="00E45A20">
        <w:rPr>
          <w:rFonts w:eastAsia="Calibri"/>
          <w:color w:val="000000"/>
          <w:szCs w:val="26"/>
        </w:rPr>
        <w:t xml:space="preserve">lanning </w:t>
      </w:r>
      <w:r w:rsidR="00E45A20">
        <w:rPr>
          <w:rFonts w:eastAsia="Calibri"/>
          <w:color w:val="000000"/>
          <w:szCs w:val="26"/>
        </w:rPr>
        <w:t>a</w:t>
      </w:r>
      <w:r w:rsidRPr="00E45A20" w:rsidR="00E45A20">
        <w:rPr>
          <w:rFonts w:eastAsia="Calibri"/>
          <w:color w:val="000000"/>
          <w:szCs w:val="26"/>
        </w:rPr>
        <w:t xml:space="preserve">nalyses and </w:t>
      </w:r>
      <w:r w:rsidR="00E45A20">
        <w:rPr>
          <w:rFonts w:eastAsia="Calibri"/>
          <w:color w:val="000000"/>
          <w:szCs w:val="26"/>
        </w:rPr>
        <w:t>r</w:t>
      </w:r>
      <w:r w:rsidRPr="00E45A20" w:rsidR="00E45A20">
        <w:rPr>
          <w:rFonts w:eastAsia="Calibri"/>
          <w:color w:val="000000"/>
          <w:szCs w:val="26"/>
        </w:rPr>
        <w:t xml:space="preserve">eal-time </w:t>
      </w:r>
      <w:r w:rsidR="00E45A20">
        <w:rPr>
          <w:rFonts w:eastAsia="Calibri"/>
          <w:color w:val="000000"/>
          <w:szCs w:val="26"/>
        </w:rPr>
        <w:t>a</w:t>
      </w:r>
      <w:r w:rsidRPr="00E45A20" w:rsidR="00E45A20">
        <w:rPr>
          <w:rFonts w:eastAsia="Calibri"/>
          <w:color w:val="000000"/>
          <w:szCs w:val="26"/>
        </w:rPr>
        <w:t>ssessments</w:t>
      </w:r>
      <w:r w:rsidR="00E45A20">
        <w:rPr>
          <w:rFonts w:eastAsia="Calibri"/>
          <w:color w:val="000000"/>
          <w:szCs w:val="26"/>
        </w:rPr>
        <w:t xml:space="preserve">. </w:t>
      </w:r>
    </w:p>
    <w:p w:rsidR="00802910" w:rsidP="00802910" w14:paraId="101A2894" w14:textId="3F3E13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sidRPr="007816E0">
        <w:rPr>
          <w:rFonts w:eastAsia="Calibri"/>
          <w:color w:val="000000"/>
          <w:szCs w:val="26"/>
        </w:rPr>
        <w:t>C</w:t>
      </w:r>
      <w:r w:rsidRPr="007816E0" w:rsidR="00183AE2">
        <w:rPr>
          <w:rFonts w:eastAsia="Calibri"/>
          <w:color w:val="000000"/>
          <w:szCs w:val="26"/>
        </w:rPr>
        <w:t xml:space="preserve">urrently effective </w:t>
      </w:r>
      <w:r w:rsidRPr="0094052C" w:rsidR="005643A4">
        <w:rPr>
          <w:rFonts w:eastAsia="Calibri"/>
          <w:color w:val="000000"/>
          <w:szCs w:val="26"/>
        </w:rPr>
        <w:t>IRO-009-2</w:t>
      </w:r>
      <w:r w:rsidRPr="007816E0" w:rsidR="005643A4">
        <w:rPr>
          <w:rFonts w:eastAsia="Calibri"/>
          <w:color w:val="000000"/>
          <w:szCs w:val="26"/>
        </w:rPr>
        <w:t xml:space="preserve"> applicable to</w:t>
      </w:r>
      <w:r w:rsidRPr="007816E0" w:rsidR="00E12B64">
        <w:rPr>
          <w:rFonts w:eastAsia="Calibri"/>
          <w:color w:val="000000"/>
          <w:szCs w:val="26"/>
        </w:rPr>
        <w:t xml:space="preserve"> reliability coordinators</w:t>
      </w:r>
      <w:r w:rsidRPr="007816E0" w:rsidR="00A86F33">
        <w:rPr>
          <w:rFonts w:eastAsia="Calibri"/>
          <w:color w:val="000000"/>
          <w:szCs w:val="26"/>
        </w:rPr>
        <w:t xml:space="preserve"> and</w:t>
      </w:r>
      <w:r w:rsidRPr="007816E0" w:rsidR="005643A4">
        <w:rPr>
          <w:rFonts w:eastAsia="Calibri"/>
          <w:color w:val="000000"/>
          <w:szCs w:val="26"/>
        </w:rPr>
        <w:t xml:space="preserve"> the purpose of the standard </w:t>
      </w:r>
      <w:r w:rsidRPr="007816E0">
        <w:rPr>
          <w:rFonts w:eastAsia="Calibri"/>
          <w:color w:val="000000"/>
          <w:szCs w:val="26"/>
        </w:rPr>
        <w:t>is t</w:t>
      </w:r>
      <w:r w:rsidRPr="007816E0" w:rsidR="00E2515D">
        <w:rPr>
          <w:rFonts w:eastAsia="Calibri"/>
          <w:color w:val="000000"/>
          <w:szCs w:val="26"/>
        </w:rPr>
        <w:t>o prevent instability, uncontrolled separation, or cascading outages that adversely impact the reliability of the interconnection by ensuring prompt action to prevent or mitigate instances of exceeding Interconnection Reliability Operating Limits</w:t>
      </w:r>
      <w:r w:rsidRPr="00E2515D" w:rsidR="00E2515D">
        <w:rPr>
          <w:rFonts w:eastAsia="Calibri"/>
          <w:color w:val="000000"/>
          <w:szCs w:val="26"/>
        </w:rPr>
        <w:t xml:space="preserve"> </w:t>
      </w:r>
      <w:r w:rsidRPr="00E2515D" w:rsidR="00E2515D">
        <w:rPr>
          <w:rFonts w:eastAsia="Calibri"/>
          <w:color w:val="000000"/>
          <w:szCs w:val="26"/>
        </w:rPr>
        <w:t>(IROLs).</w:t>
      </w:r>
      <w:r w:rsidR="0076204E">
        <w:rPr>
          <w:rFonts w:eastAsia="Calibri"/>
          <w:color w:val="000000"/>
          <w:szCs w:val="26"/>
        </w:rPr>
        <w:t xml:space="preserve">  </w:t>
      </w:r>
      <w:r w:rsidRPr="00DF6BE7" w:rsidR="00DF6BE7">
        <w:rPr>
          <w:rFonts w:eastAsia="Calibri"/>
          <w:color w:val="000000"/>
          <w:szCs w:val="26"/>
        </w:rPr>
        <w:t>The standard mandates that a Reliability Coordinator must have operating processes to prevent IROL exceedance and, if an exceedance is predicted, initiate those processes. It also requires them to mitigate exceedances when they occur and coordinate their actions with neighboring Reliability Coordinators in situations where there is a difference in IROLs</w:t>
      </w:r>
      <w:r w:rsidR="00DF6BE7">
        <w:rPr>
          <w:rFonts w:eastAsia="Calibri"/>
          <w:color w:val="000000"/>
          <w:szCs w:val="26"/>
        </w:rPr>
        <w:t xml:space="preserve">.  </w:t>
      </w:r>
      <w:r w:rsidRPr="00E2515D" w:rsidR="00E2515D">
        <w:rPr>
          <w:rFonts w:eastAsia="Calibri"/>
          <w:color w:val="000000"/>
          <w:szCs w:val="26"/>
        </w:rPr>
        <w:cr/>
      </w:r>
      <w:r w:rsidRPr="00802910">
        <w:rPr>
          <w:rFonts w:eastAsia="Calibri"/>
          <w:color w:val="000000"/>
          <w:szCs w:val="26"/>
        </w:rPr>
        <w:t xml:space="preserve">Additionally, regarding data exchange, NERC cites Reliability Standard </w:t>
      </w:r>
      <w:r w:rsidRPr="00105464">
        <w:rPr>
          <w:rFonts w:eastAsia="Calibri"/>
          <w:color w:val="000000"/>
          <w:szCs w:val="26"/>
        </w:rPr>
        <w:t>IRO-010-</w:t>
      </w:r>
      <w:r w:rsidRPr="00105464" w:rsidR="008A6F05">
        <w:rPr>
          <w:rFonts w:eastAsia="Calibri"/>
          <w:color w:val="000000"/>
          <w:szCs w:val="26"/>
        </w:rPr>
        <w:t>5</w:t>
      </w:r>
      <w:r w:rsidRPr="00802910">
        <w:rPr>
          <w:rFonts w:eastAsia="Calibri"/>
          <w:color w:val="000000"/>
          <w:szCs w:val="26"/>
        </w:rPr>
        <w:t xml:space="preserve"> (Reliability Coordinator Data Specification and Collection) and its stated purpose of preventing instability, uncontrolled separation, or cascading outages “by ensuring the Reliability Coordinator has the data it needs to monitor and assess the operation of its Reliability Coordinator Area.”  </w:t>
      </w:r>
      <w:r w:rsidR="000C4EE8">
        <w:rPr>
          <w:rFonts w:eastAsia="Calibri"/>
          <w:color w:val="000000"/>
          <w:szCs w:val="26"/>
        </w:rPr>
        <w:t>In</w:t>
      </w:r>
      <w:r w:rsidRPr="00802910">
        <w:rPr>
          <w:rFonts w:eastAsia="Calibri"/>
          <w:color w:val="000000"/>
          <w:szCs w:val="26"/>
        </w:rPr>
        <w:t xml:space="preserve"> IRO-010-</w:t>
      </w:r>
      <w:r w:rsidR="008A6F05">
        <w:rPr>
          <w:rFonts w:eastAsia="Calibri"/>
          <w:color w:val="000000"/>
          <w:szCs w:val="26"/>
        </w:rPr>
        <w:t>5</w:t>
      </w:r>
      <w:r w:rsidR="00056F85">
        <w:rPr>
          <w:rFonts w:eastAsia="Calibri"/>
          <w:color w:val="000000"/>
          <w:szCs w:val="26"/>
        </w:rPr>
        <w:t xml:space="preserve"> </w:t>
      </w:r>
      <w:r w:rsidR="007609E6">
        <w:rPr>
          <w:rFonts w:eastAsia="Calibri"/>
          <w:color w:val="000000"/>
          <w:szCs w:val="26"/>
        </w:rPr>
        <w:t xml:space="preserve">required in the </w:t>
      </w:r>
      <w:r w:rsidR="00F47E5B">
        <w:rPr>
          <w:rFonts w:eastAsia="Calibri"/>
          <w:color w:val="000000"/>
          <w:szCs w:val="26"/>
        </w:rPr>
        <w:t>standard</w:t>
      </w:r>
      <w:r w:rsidRPr="00802910" w:rsidR="00F47E5B">
        <w:rPr>
          <w:rFonts w:eastAsia="Calibri"/>
          <w:color w:val="000000"/>
          <w:szCs w:val="26"/>
        </w:rPr>
        <w:t xml:space="preserve"> that</w:t>
      </w:r>
      <w:r w:rsidR="00DD624A">
        <w:rPr>
          <w:rFonts w:eastAsia="Calibri"/>
          <w:color w:val="000000"/>
          <w:szCs w:val="26"/>
        </w:rPr>
        <w:t xml:space="preserve"> </w:t>
      </w:r>
      <w:r w:rsidRPr="00802910">
        <w:rPr>
          <w:rFonts w:eastAsia="Calibri"/>
          <w:color w:val="000000"/>
          <w:szCs w:val="26"/>
        </w:rPr>
        <w:t xml:space="preserve">the reliability coordinator must specify the data necessary for it to perform its operational planning analyses and provide the specifications to the entities from which it needs data who then must comply with the data request using a mutually agreeable format and security protocols.  </w:t>
      </w:r>
    </w:p>
    <w:p w:rsidR="004A3AAB" w:rsidP="00802910" w14:paraId="0F028D53" w14:textId="1239B3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105464">
        <w:t>IRO-014-3</w:t>
      </w:r>
      <w:r>
        <w:t xml:space="preserve"> purpose is to</w:t>
      </w:r>
      <w:r>
        <w:t xml:space="preserve"> ensure that each Reliability Coordinator’s operations are coordinated such that they will not adversely impact other Reliability Coordinator Areas and to preserve the reliability benefits of interconnected operations</w:t>
      </w:r>
      <w:r>
        <w:t>.</w:t>
      </w:r>
      <w:r w:rsidR="00F74D5D">
        <w:t xml:space="preserve"> </w:t>
      </w:r>
      <w:r w:rsidR="00605266">
        <w:t xml:space="preserve">IRO-014-3 </w:t>
      </w:r>
      <w:r w:rsidR="00F47E5B">
        <w:t>standard requires</w:t>
      </w:r>
      <w:r w:rsidRPr="003934CF" w:rsidR="003934CF">
        <w:t xml:space="preserve"> Reliability Coordinators (RCs) to coordinate operating procedures and handle emergencies to ensure interconnected operations remain reliable and do not negatively impact neighboring RC areas.</w:t>
      </w:r>
    </w:p>
    <w:p w:rsidR="0069580A" w:rsidP="00802910" w14:paraId="0BF2D3AB" w14:textId="4886B1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sidRPr="00105464">
        <w:t xml:space="preserve">IRO-017-1 </w:t>
      </w:r>
      <w:r w:rsidRPr="00105464" w:rsidR="00731128">
        <w:t>(</w:t>
      </w:r>
      <w:r w:rsidR="00731128">
        <w:t xml:space="preserve">Outage Coordination) </w:t>
      </w:r>
      <w:r>
        <w:t xml:space="preserve">purpose is to ensure that outages are properly coordinated in the Operations Planning time horizon and Near-Term Transmission </w:t>
      </w:r>
      <w:r>
        <w:t>Planning Horizon.</w:t>
      </w:r>
      <w:r w:rsidR="00C73CB5">
        <w:t xml:space="preserve">  </w:t>
      </w:r>
      <w:r w:rsidRPr="006F7FB7" w:rsidR="00D94E45">
        <w:t>IRO-017-1, known as "Outage Coordination," establishes requirements for coordinating generation and transmission outages to maintain bulk electric system reliability. </w:t>
      </w:r>
      <w:r w:rsidR="003278E6">
        <w:t xml:space="preserve"> </w:t>
      </w:r>
      <w:r w:rsidR="00731128">
        <w:t>Reliability coordinators, planning coordinators, balancing authorities, transmission owners and transmission planners are applicable entities for IRO-017-1.</w:t>
      </w:r>
      <w:r w:rsidR="008F70CC">
        <w:t xml:space="preserve">  </w:t>
      </w:r>
      <w:r w:rsidR="00D94E45">
        <w:t xml:space="preserve"> </w:t>
      </w:r>
    </w:p>
    <w:p w:rsidR="0061527E" w:rsidRPr="00802910" w:rsidP="0061527E" w14:paraId="6F4C03DA" w14:textId="1EEC846F">
      <w:pPr>
        <w:spacing w:line="480" w:lineRule="auto"/>
        <w:rPr>
          <w:rFonts w:eastAsia="Calibri"/>
          <w:szCs w:val="26"/>
        </w:rPr>
      </w:pPr>
      <w:r w:rsidRPr="00105464">
        <w:rPr>
          <w:rFonts w:eastAsia="Calibri"/>
          <w:szCs w:val="26"/>
        </w:rPr>
        <w:t>IRO-018-1</w:t>
      </w:r>
      <w:r w:rsidRPr="00105464" w:rsidR="00EB5E69">
        <w:rPr>
          <w:rFonts w:eastAsia="Calibri"/>
          <w:szCs w:val="26"/>
        </w:rPr>
        <w:t>(</w:t>
      </w:r>
      <w:r w:rsidRPr="00105464" w:rsidR="00EB5E69">
        <w:rPr>
          <w:rFonts w:eastAsia="Calibri"/>
          <w:szCs w:val="26"/>
        </w:rPr>
        <w:t>i</w:t>
      </w:r>
      <w:r w:rsidRPr="00105464" w:rsidR="00EB5E69">
        <w:rPr>
          <w:rFonts w:eastAsia="Calibri"/>
          <w:szCs w:val="26"/>
        </w:rPr>
        <w:t>)</w:t>
      </w:r>
      <w:r w:rsidRPr="0061527E">
        <w:rPr>
          <w:rFonts w:eastAsia="Calibri"/>
          <w:szCs w:val="26"/>
        </w:rPr>
        <w:t xml:space="preserve"> </w:t>
      </w:r>
      <w:r w:rsidRPr="0061527E">
        <w:rPr>
          <w:szCs w:val="26"/>
        </w:rPr>
        <w:t xml:space="preserve">(Reliability Coordinator Real-time Reliability Monitoring and Analysis Capabilities), submitted by North American Electric Reliability Corporation (NERC). </w:t>
      </w:r>
      <w:r w:rsidRPr="00A6484C" w:rsidR="00A6484C">
        <w:rPr>
          <w:szCs w:val="26"/>
        </w:rPr>
        <w:t>IRO-018-1</w:t>
      </w:r>
      <w:r w:rsidR="00EB5E69">
        <w:rPr>
          <w:szCs w:val="26"/>
        </w:rPr>
        <w:t>(</w:t>
      </w:r>
      <w:r w:rsidR="00EB5E69">
        <w:rPr>
          <w:szCs w:val="26"/>
        </w:rPr>
        <w:t>i</w:t>
      </w:r>
      <w:r w:rsidR="00EB5E69">
        <w:rPr>
          <w:szCs w:val="26"/>
        </w:rPr>
        <w:t>)</w:t>
      </w:r>
      <w:r w:rsidRPr="00A6484C" w:rsidR="00A6484C">
        <w:rPr>
          <w:szCs w:val="26"/>
        </w:rPr>
        <w:t xml:space="preserve"> mandates that Reliability Coordinators (RCs) possess real-time monitoring and analysis tools to ensure bulk electric system reliability. This standard, which includes requirements for RCs, aims to enhance system operators' awareness of monitoring tools and data quality.</w:t>
      </w:r>
      <w:r w:rsidR="00A6484C">
        <w:rPr>
          <w:szCs w:val="26"/>
        </w:rPr>
        <w:t xml:space="preserve"> </w:t>
      </w:r>
      <w:r w:rsidRPr="0061527E">
        <w:rPr>
          <w:szCs w:val="26"/>
        </w:rPr>
        <w:t xml:space="preserve">In this order, the </w:t>
      </w:r>
      <w:r w:rsidRPr="0061527E">
        <w:rPr>
          <w:rFonts w:eastAsia="Calibri"/>
          <w:szCs w:val="26"/>
        </w:rPr>
        <w:t>Reliability Standards build on monitoring, real-time assessments and support effective situational awareness.  The Reliability Standards accomplish this by requiring applicable entities to</w:t>
      </w:r>
      <w:r w:rsidRPr="0061527E" w:rsidR="007816E0">
        <w:rPr>
          <w:rFonts w:eastAsia="Calibri"/>
          <w:szCs w:val="26"/>
        </w:rPr>
        <w:t>: (</w:t>
      </w:r>
      <w:r w:rsidRPr="0061527E">
        <w:rPr>
          <w:rFonts w:eastAsia="Calibri"/>
          <w:szCs w:val="26"/>
        </w:rPr>
        <w:t>1) provide notification to operators of real-time monitoring alarm failures; (2) provide operators with indications of the quality of information being provided by their monitoring and analysis capabilities; and (3) address deficiencies in the quality of information being provided by their monitoring and analysis capabilities.</w:t>
      </w:r>
    </w:p>
    <w:p w:rsidR="00E36908" w:rsidRPr="00802910" w:rsidP="00802910" w14:paraId="3C18DCED" w14:textId="474C6D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sidRPr="00802910">
        <w:rPr>
          <w:rFonts w:eastAsia="Calibri"/>
          <w:color w:val="000000"/>
          <w:szCs w:val="26"/>
        </w:rPr>
        <w:t xml:space="preserve">NERC observes that the performance of the requirements it cites is premised on the existence of data exchange capabilities, regardless of whether a separate requirement expressly requires the reliability coordinator to have data exchange capabilities in place.  </w:t>
      </w:r>
    </w:p>
    <w:p w:rsidR="00E36908" w:rsidRPr="00E36908" w:rsidP="00E36908" w14:paraId="34C8A92A" w14:textId="099FA5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sidRPr="00E36908">
        <w:rPr>
          <w:rFonts w:eastAsia="Calibri"/>
          <w:color w:val="000000"/>
          <w:szCs w:val="26"/>
        </w:rPr>
        <w:t>In review th</w:t>
      </w:r>
      <w:r w:rsidR="004F1EF9">
        <w:rPr>
          <w:rFonts w:eastAsia="Calibri"/>
          <w:color w:val="000000"/>
          <w:szCs w:val="26"/>
        </w:rPr>
        <w:t>is</w:t>
      </w:r>
      <w:r w:rsidRPr="00E36908">
        <w:rPr>
          <w:rFonts w:eastAsia="Calibri"/>
          <w:color w:val="000000"/>
          <w:szCs w:val="26"/>
        </w:rPr>
        <w:t xml:space="preserve"> 725Z collection for the IRO Reliability Standards, the number of entities/respondents was checked and broken down into the appliable type of entity for </w:t>
      </w:r>
      <w:r w:rsidRPr="00E36908">
        <w:rPr>
          <w:rFonts w:eastAsia="Calibri"/>
          <w:color w:val="000000"/>
          <w:szCs w:val="26"/>
        </w:rPr>
        <w:t xml:space="preserve">each reliability standard.  </w:t>
      </w:r>
      <w:r w:rsidR="004F1EF9">
        <w:rPr>
          <w:rFonts w:eastAsia="Calibri"/>
          <w:color w:val="000000"/>
          <w:szCs w:val="26"/>
        </w:rPr>
        <w:t xml:space="preserve">As we continue to combine various work projects associated with the 725Z collection there was an increase in the number of responses from 953 to 2,687.  The increase is largely associated with capturing </w:t>
      </w:r>
      <w:r w:rsidR="00F47E5B">
        <w:rPr>
          <w:rFonts w:eastAsia="Calibri"/>
          <w:color w:val="000000"/>
          <w:szCs w:val="26"/>
        </w:rPr>
        <w:t>all</w:t>
      </w:r>
      <w:r w:rsidR="004F1EF9">
        <w:rPr>
          <w:rFonts w:eastAsia="Calibri"/>
          <w:color w:val="000000"/>
          <w:szCs w:val="26"/>
        </w:rPr>
        <w:t xml:space="preserve"> the reliability standard applicable entities into this single collection and the single largest contributor was the addition of generator owners in reliability standard IRO-001-4.  These adjustment</w:t>
      </w:r>
      <w:r w:rsidR="00455407">
        <w:rPr>
          <w:rFonts w:eastAsia="Calibri"/>
          <w:color w:val="000000"/>
          <w:szCs w:val="26"/>
        </w:rPr>
        <w:t>s</w:t>
      </w:r>
      <w:r w:rsidR="004F1EF9">
        <w:rPr>
          <w:rFonts w:eastAsia="Calibri"/>
          <w:color w:val="000000"/>
          <w:szCs w:val="26"/>
        </w:rPr>
        <w:t xml:space="preserve"> in response count will provide a more accurate representation of all the entities under the 725Z collection. </w:t>
      </w:r>
      <w:r w:rsidR="004F1EF9">
        <w:rPr>
          <w:rFonts w:eastAsia="Calibri"/>
          <w:color w:val="000000"/>
          <w:szCs w:val="26"/>
          <w:highlight w:val="lightGray"/>
        </w:rPr>
        <w:t xml:space="preserve"> </w:t>
      </w:r>
      <w:r w:rsidRPr="00E36908" w:rsidR="00B87284">
        <w:rPr>
          <w:rFonts w:eastAsia="Calibri"/>
          <w:color w:val="000000"/>
          <w:szCs w:val="26"/>
        </w:rPr>
        <w:t xml:space="preserve">Staff looked at each reliability standard as its own unique project and in doing so eliminated the multiple entity count </w:t>
      </w:r>
      <w:r w:rsidR="00B87284">
        <w:rPr>
          <w:rFonts w:eastAsia="Calibri"/>
          <w:color w:val="000000"/>
          <w:szCs w:val="26"/>
        </w:rPr>
        <w:t xml:space="preserve">by making a more accurate representation of the </w:t>
      </w:r>
      <w:r w:rsidRPr="00E36908" w:rsidR="00B87284">
        <w:rPr>
          <w:rFonts w:eastAsia="Calibri"/>
          <w:color w:val="000000"/>
          <w:szCs w:val="26"/>
        </w:rPr>
        <w:t>number of responses</w:t>
      </w:r>
      <w:r w:rsidRPr="00E36908">
        <w:rPr>
          <w:rFonts w:eastAsia="Calibri"/>
          <w:color w:val="000000"/>
          <w:szCs w:val="26"/>
        </w:rPr>
        <w:t xml:space="preserve">.  </w:t>
      </w:r>
    </w:p>
    <w:p w:rsidR="005B45D2" w:rsidP="005B45D2" w14:paraId="28F600CC" w14:textId="2EEFFCEC">
      <w:pPr>
        <w:spacing w:line="480" w:lineRule="auto"/>
        <w:rPr>
          <w:szCs w:val="26"/>
          <w:vertAlign w:val="superscript"/>
        </w:rPr>
      </w:pPr>
      <w:r w:rsidRPr="000836D6">
        <w:rPr>
          <w:rFonts w:eastAsia="Calibri"/>
          <w:i/>
          <w:szCs w:val="26"/>
        </w:rPr>
        <w:t xml:space="preserve">Type of Respondents: </w:t>
      </w:r>
      <w:r w:rsidRPr="000836D6">
        <w:rPr>
          <w:rFonts w:eastAsia="Calibri"/>
          <w:szCs w:val="26"/>
        </w:rPr>
        <w:t>Reliability coordinators (RC)</w:t>
      </w:r>
      <w:r w:rsidR="00731128">
        <w:rPr>
          <w:rFonts w:eastAsia="Calibri"/>
          <w:szCs w:val="26"/>
        </w:rPr>
        <w:t xml:space="preserve">, </w:t>
      </w:r>
      <w:r w:rsidR="00F07A19">
        <w:t xml:space="preserve">Planning Coordinators </w:t>
      </w:r>
      <w:r w:rsidR="003B1E84">
        <w:t>(PC)</w:t>
      </w:r>
      <w:r w:rsidR="00731128">
        <w:t xml:space="preserve">, </w:t>
      </w:r>
      <w:r w:rsidR="00F07A19">
        <w:t xml:space="preserve">Balancing </w:t>
      </w:r>
      <w:r w:rsidR="00731128">
        <w:t>authorities</w:t>
      </w:r>
      <w:r w:rsidR="003B1E84">
        <w:t xml:space="preserve"> (BA)</w:t>
      </w:r>
      <w:r w:rsidR="00731128">
        <w:t xml:space="preserve">, </w:t>
      </w:r>
      <w:r w:rsidR="00F07A19">
        <w:t xml:space="preserve">Transmission Owners </w:t>
      </w:r>
      <w:r w:rsidR="003B1E84">
        <w:t>(TO)</w:t>
      </w:r>
      <w:r w:rsidR="00733C60">
        <w:t xml:space="preserve">, </w:t>
      </w:r>
      <w:bookmarkStart w:id="4" w:name="_Hlk212458350"/>
      <w:r w:rsidR="00F07A19">
        <w:t xml:space="preserve">Transmission Planners </w:t>
      </w:r>
      <w:r w:rsidR="00733C60">
        <w:t xml:space="preserve">(TP), Transmission Operators </w:t>
      </w:r>
      <w:r w:rsidR="003B1E84">
        <w:t>(TOP)</w:t>
      </w:r>
      <w:r w:rsidR="00F07A19">
        <w:t>, Distribution Planners (DP)</w:t>
      </w:r>
      <w:bookmarkEnd w:id="4"/>
      <w:r w:rsidRPr="000836D6" w:rsidR="00731128">
        <w:rPr>
          <w:rFonts w:eastAsia="Calibri"/>
          <w:szCs w:val="26"/>
        </w:rPr>
        <w:t xml:space="preserve"> </w:t>
      </w:r>
      <w:r w:rsidR="00731128">
        <w:rPr>
          <w:rFonts w:eastAsia="Calibri"/>
          <w:szCs w:val="26"/>
        </w:rPr>
        <w:t>are</w:t>
      </w:r>
      <w:r w:rsidR="002F30F4">
        <w:rPr>
          <w:rFonts w:eastAsia="Calibri"/>
          <w:szCs w:val="26"/>
        </w:rPr>
        <w:t xml:space="preserve"> included</w:t>
      </w:r>
      <w:r w:rsidR="00731128">
        <w:rPr>
          <w:rFonts w:eastAsia="Calibri"/>
          <w:szCs w:val="26"/>
        </w:rPr>
        <w:t xml:space="preserve"> entities for </w:t>
      </w:r>
      <w:r w:rsidRPr="003B1D59">
        <w:rPr>
          <w:i/>
          <w:szCs w:val="26"/>
        </w:rPr>
        <w:t>Estimate of Annual Burden</w:t>
      </w:r>
      <w:r>
        <w:rPr>
          <w:i/>
          <w:szCs w:val="26"/>
        </w:rPr>
        <w:t>:</w:t>
      </w:r>
      <w:r>
        <w:rPr>
          <w:rStyle w:val="FootnoteReference"/>
          <w:i/>
        </w:rPr>
        <w:footnoteReference w:id="7"/>
      </w:r>
      <w:r w:rsidRPr="003B1D59">
        <w:rPr>
          <w:i/>
          <w:szCs w:val="26"/>
        </w:rPr>
        <w:t xml:space="preserve"> </w:t>
      </w:r>
      <w:r w:rsidRPr="003B1D59">
        <w:rPr>
          <w:szCs w:val="26"/>
        </w:rPr>
        <w:t xml:space="preserve">The Commission estimates the </w:t>
      </w:r>
      <w:r>
        <w:rPr>
          <w:szCs w:val="26"/>
        </w:rPr>
        <w:t>changes</w:t>
      </w:r>
      <w:r w:rsidRPr="003B1D59">
        <w:rPr>
          <w:szCs w:val="26"/>
        </w:rPr>
        <w:t xml:space="preserve"> in the annual public reporting burden</w:t>
      </w:r>
      <w:r>
        <w:rPr>
          <w:szCs w:val="26"/>
        </w:rPr>
        <w:t xml:space="preserve"> and cost</w:t>
      </w:r>
      <w:r>
        <w:rPr>
          <w:rStyle w:val="FootnoteReference"/>
        </w:rPr>
        <w:footnoteReference w:id="8"/>
      </w:r>
      <w:r w:rsidRPr="003B1D59">
        <w:rPr>
          <w:szCs w:val="26"/>
        </w:rPr>
        <w:t xml:space="preserve"> as follows</w:t>
      </w:r>
      <w:r>
        <w:rPr>
          <w:szCs w:val="26"/>
        </w:rPr>
        <w:t>.</w:t>
      </w:r>
      <w:r w:rsidRPr="00A54D1C">
        <w:rPr>
          <w:szCs w:val="26"/>
          <w:vertAlign w:val="superscript"/>
        </w:rPr>
        <w:t xml:space="preserve"> </w:t>
      </w:r>
      <w:r>
        <w:rPr>
          <w:szCs w:val="26"/>
          <w:vertAlign w:val="superscript"/>
        </w:rPr>
        <w:t xml:space="preserve"> </w:t>
      </w:r>
    </w:p>
    <w:tbl>
      <w:tblPr>
        <w:tblW w:w="5195"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61"/>
        <w:gridCol w:w="1539"/>
        <w:gridCol w:w="1137"/>
        <w:gridCol w:w="1133"/>
        <w:gridCol w:w="1488"/>
        <w:gridCol w:w="1607"/>
        <w:gridCol w:w="1350"/>
      </w:tblGrid>
      <w:tr w14:paraId="2FEB7E63" w14:textId="31E58177" w:rsidTr="00183612">
        <w:tblPrEx>
          <w:tblW w:w="5195"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jc w:val="right"/>
        </w:trPr>
        <w:tc>
          <w:tcPr>
            <w:tcW w:w="5000" w:type="pct"/>
            <w:gridSpan w:val="7"/>
            <w:shd w:val="clear" w:color="auto" w:fill="D9D9D9"/>
          </w:tcPr>
          <w:p w:rsidR="000D24D1" w:rsidRPr="00B762E2" w:rsidP="00183612" w14:paraId="0089576C" w14:textId="675C1B47">
            <w:pPr>
              <w:jc w:val="right"/>
              <w:rPr>
                <w:rFonts w:eastAsia="Calibri"/>
                <w:b/>
                <w:sz w:val="20"/>
                <w:szCs w:val="20"/>
              </w:rPr>
            </w:pPr>
            <w:r w:rsidRPr="00B762E2">
              <w:rPr>
                <w:rFonts w:eastAsia="Calibri"/>
                <w:b/>
                <w:sz w:val="20"/>
                <w:szCs w:val="20"/>
              </w:rPr>
              <w:t>FERC-725Z --</w:t>
            </w:r>
            <w:r w:rsidRPr="00B762E2">
              <w:rPr>
                <w:rFonts w:eastAsia="Calibri"/>
                <w:sz w:val="20"/>
                <w:szCs w:val="20"/>
              </w:rPr>
              <w:t xml:space="preserve"> Reporting and Recordkeeping Requirements</w:t>
            </w:r>
            <w:r>
              <w:rPr>
                <w:rFonts w:eastAsia="Calibri"/>
                <w:sz w:val="20"/>
                <w:szCs w:val="20"/>
              </w:rPr>
              <w:t xml:space="preserve"> for Reliability Standards IRO-00</w:t>
            </w:r>
            <w:r w:rsidR="007816E0">
              <w:rPr>
                <w:rFonts w:eastAsia="Calibri"/>
                <w:sz w:val="20"/>
                <w:szCs w:val="20"/>
              </w:rPr>
              <w:t>1</w:t>
            </w:r>
            <w:r>
              <w:rPr>
                <w:rFonts w:eastAsia="Calibri"/>
                <w:sz w:val="20"/>
                <w:szCs w:val="20"/>
              </w:rPr>
              <w:t>, IRO-00</w:t>
            </w:r>
            <w:r w:rsidR="007816E0">
              <w:rPr>
                <w:rFonts w:eastAsia="Calibri"/>
                <w:sz w:val="20"/>
                <w:szCs w:val="20"/>
              </w:rPr>
              <w:t>2</w:t>
            </w:r>
            <w:r>
              <w:rPr>
                <w:rFonts w:eastAsia="Calibri"/>
                <w:sz w:val="20"/>
                <w:szCs w:val="20"/>
              </w:rPr>
              <w:t>, IRO-008,</w:t>
            </w:r>
            <w:r w:rsidR="00454D90">
              <w:rPr>
                <w:rFonts w:eastAsia="Calibri"/>
                <w:sz w:val="20"/>
                <w:szCs w:val="20"/>
              </w:rPr>
              <w:t xml:space="preserve"> </w:t>
            </w:r>
            <w:r w:rsidRPr="00006BD6" w:rsidR="00006BD6">
              <w:rPr>
                <w:rFonts w:eastAsia="Calibri"/>
                <w:sz w:val="20"/>
                <w:szCs w:val="20"/>
              </w:rPr>
              <w:t>IRO-009</w:t>
            </w:r>
            <w:r w:rsidR="00006BD6">
              <w:rPr>
                <w:rFonts w:eastAsia="Calibri"/>
                <w:sz w:val="20"/>
                <w:szCs w:val="20"/>
              </w:rPr>
              <w:t>,</w:t>
            </w:r>
            <w:r w:rsidRPr="00006BD6" w:rsidR="00006BD6">
              <w:rPr>
                <w:rFonts w:eastAsia="Calibri"/>
                <w:sz w:val="20"/>
                <w:szCs w:val="20"/>
              </w:rPr>
              <w:t xml:space="preserve"> </w:t>
            </w:r>
            <w:r>
              <w:rPr>
                <w:rFonts w:eastAsia="Calibri"/>
                <w:sz w:val="20"/>
                <w:szCs w:val="20"/>
              </w:rPr>
              <w:t>IRO</w:t>
            </w:r>
            <w:r w:rsidR="00316DFE">
              <w:rPr>
                <w:rFonts w:eastAsia="Calibri"/>
                <w:sz w:val="20"/>
                <w:szCs w:val="20"/>
              </w:rPr>
              <w:t>-</w:t>
            </w:r>
            <w:r>
              <w:rPr>
                <w:rFonts w:eastAsia="Calibri"/>
                <w:sz w:val="20"/>
                <w:szCs w:val="20"/>
              </w:rPr>
              <w:t>010, IRO-014, IRO-017, and IRO-018.</w:t>
            </w:r>
          </w:p>
        </w:tc>
      </w:tr>
      <w:tr w14:paraId="74330D4A" w14:textId="5CD86027" w:rsidTr="00266255">
        <w:tblPrEx>
          <w:tblW w:w="5195" w:type="pct"/>
          <w:jc w:val="right"/>
          <w:tblLayout w:type="fixed"/>
          <w:tblLook w:val="01E0"/>
        </w:tblPrEx>
        <w:trPr>
          <w:cantSplit/>
          <w:jc w:val="right"/>
        </w:trPr>
        <w:tc>
          <w:tcPr>
            <w:tcW w:w="752" w:type="pct"/>
            <w:tcBorders>
              <w:bottom w:val="single" w:sz="4" w:space="0" w:color="auto"/>
            </w:tcBorders>
            <w:shd w:val="clear" w:color="auto" w:fill="D9D9D9"/>
          </w:tcPr>
          <w:p w:rsidR="000D24D1" w:rsidRPr="00B762E2" w:rsidP="00266255" w14:paraId="785C5FA0" w14:textId="1960C9CE">
            <w:pPr>
              <w:jc w:val="center"/>
              <w:rPr>
                <w:rFonts w:eastAsia="Calibri"/>
                <w:b/>
                <w:sz w:val="20"/>
                <w:szCs w:val="20"/>
              </w:rPr>
            </w:pPr>
            <w:r w:rsidRPr="00B762E2">
              <w:rPr>
                <w:rFonts w:eastAsia="Calibri"/>
                <w:b/>
                <w:sz w:val="20"/>
                <w:szCs w:val="20"/>
              </w:rPr>
              <w:t>Information Collection Requirements</w:t>
            </w:r>
          </w:p>
        </w:tc>
        <w:tc>
          <w:tcPr>
            <w:tcW w:w="792" w:type="pct"/>
            <w:tcBorders>
              <w:bottom w:val="single" w:sz="4" w:space="0" w:color="auto"/>
            </w:tcBorders>
            <w:shd w:val="clear" w:color="auto" w:fill="D9D9D9"/>
          </w:tcPr>
          <w:p w:rsidR="000D24D1" w:rsidRPr="00B762E2" w:rsidP="00266255" w14:paraId="0ACD634B" w14:textId="1D5D535A">
            <w:pPr>
              <w:jc w:val="center"/>
              <w:rPr>
                <w:rFonts w:eastAsia="Calibri"/>
                <w:b/>
                <w:sz w:val="20"/>
                <w:szCs w:val="20"/>
              </w:rPr>
            </w:pPr>
            <w:r w:rsidRPr="00B762E2">
              <w:rPr>
                <w:rFonts w:eastAsia="Calibri"/>
                <w:b/>
                <w:sz w:val="20"/>
                <w:szCs w:val="20"/>
              </w:rPr>
              <w:t>No. of Respondents &amp; Type of Entity</w:t>
            </w:r>
          </w:p>
          <w:p w:rsidR="000D24D1" w:rsidRPr="00B762E2" w:rsidP="00266255" w14:paraId="0466EE2B" w14:textId="2AB530D8">
            <w:pPr>
              <w:jc w:val="center"/>
              <w:rPr>
                <w:rFonts w:eastAsia="Calibri"/>
                <w:b/>
                <w:sz w:val="20"/>
                <w:szCs w:val="20"/>
              </w:rPr>
            </w:pPr>
            <w:r w:rsidRPr="00B762E2">
              <w:rPr>
                <w:rFonts w:eastAsia="Calibri"/>
                <w:b/>
                <w:sz w:val="20"/>
                <w:szCs w:val="20"/>
              </w:rPr>
              <w:t>(1)</w:t>
            </w:r>
            <w:r>
              <w:rPr>
                <w:rStyle w:val="FootnoteReference"/>
                <w:rFonts w:eastAsia="Calibri"/>
                <w:b w:val="0"/>
              </w:rPr>
              <w:footnoteReference w:id="9"/>
            </w:r>
          </w:p>
        </w:tc>
        <w:tc>
          <w:tcPr>
            <w:tcW w:w="585" w:type="pct"/>
            <w:tcBorders>
              <w:bottom w:val="single" w:sz="4" w:space="0" w:color="auto"/>
            </w:tcBorders>
            <w:shd w:val="clear" w:color="auto" w:fill="D9D9D9"/>
          </w:tcPr>
          <w:p w:rsidR="000D24D1" w:rsidP="00266255" w14:paraId="07166B9C" w14:textId="77777777">
            <w:pPr>
              <w:jc w:val="center"/>
              <w:rPr>
                <w:rFonts w:eastAsia="Calibri"/>
                <w:b/>
                <w:sz w:val="20"/>
                <w:szCs w:val="20"/>
              </w:rPr>
            </w:pPr>
            <w:r w:rsidRPr="00B762E2">
              <w:rPr>
                <w:rFonts w:eastAsia="Calibri"/>
                <w:b/>
                <w:sz w:val="20"/>
                <w:szCs w:val="20"/>
              </w:rPr>
              <w:t>Annual No. of Responses per Respondent</w:t>
            </w:r>
          </w:p>
          <w:p w:rsidR="000D24D1" w:rsidRPr="00B762E2" w:rsidP="00266255" w14:paraId="46E441C2" w14:textId="04934541">
            <w:pPr>
              <w:jc w:val="center"/>
              <w:rPr>
                <w:rFonts w:eastAsia="Calibri"/>
                <w:b/>
                <w:sz w:val="20"/>
                <w:szCs w:val="20"/>
              </w:rPr>
            </w:pPr>
            <w:r>
              <w:rPr>
                <w:rFonts w:eastAsia="Calibri"/>
                <w:b/>
                <w:sz w:val="20"/>
                <w:szCs w:val="20"/>
              </w:rPr>
              <w:t>(2)</w:t>
            </w:r>
          </w:p>
        </w:tc>
        <w:tc>
          <w:tcPr>
            <w:tcW w:w="583" w:type="pct"/>
            <w:tcBorders>
              <w:bottom w:val="single" w:sz="4" w:space="0" w:color="auto"/>
            </w:tcBorders>
            <w:shd w:val="clear" w:color="auto" w:fill="D9D9D9"/>
          </w:tcPr>
          <w:p w:rsidR="000D24D1" w:rsidRPr="00B762E2" w:rsidP="00266255" w14:paraId="4F62A4B9" w14:textId="24434476">
            <w:pPr>
              <w:jc w:val="center"/>
              <w:rPr>
                <w:rFonts w:eastAsia="Calibri"/>
                <w:b/>
                <w:sz w:val="20"/>
                <w:szCs w:val="20"/>
              </w:rPr>
            </w:pPr>
            <w:r w:rsidRPr="00B762E2">
              <w:rPr>
                <w:rFonts w:eastAsia="Calibri"/>
                <w:b/>
                <w:sz w:val="20"/>
                <w:szCs w:val="20"/>
              </w:rPr>
              <w:t>Total No. of Responses (</w:t>
            </w:r>
            <w:r w:rsidRPr="00B762E2" w:rsidR="007816E0">
              <w:rPr>
                <w:rFonts w:eastAsia="Calibri"/>
                <w:b/>
                <w:sz w:val="20"/>
                <w:szCs w:val="20"/>
              </w:rPr>
              <w:t>1) *</w:t>
            </w:r>
            <w:r w:rsidRPr="00B762E2">
              <w:rPr>
                <w:rFonts w:eastAsia="Calibri"/>
                <w:b/>
                <w:sz w:val="20"/>
                <w:szCs w:val="20"/>
              </w:rPr>
              <w:t>(</w:t>
            </w:r>
            <w:r w:rsidRPr="00B762E2" w:rsidR="007816E0">
              <w:rPr>
                <w:rFonts w:eastAsia="Calibri"/>
                <w:b/>
                <w:sz w:val="20"/>
                <w:szCs w:val="20"/>
              </w:rPr>
              <w:t>2) = (</w:t>
            </w:r>
            <w:r w:rsidRPr="00B762E2">
              <w:rPr>
                <w:rFonts w:eastAsia="Calibri"/>
                <w:b/>
                <w:sz w:val="20"/>
                <w:szCs w:val="20"/>
              </w:rPr>
              <w:t>3)</w:t>
            </w:r>
          </w:p>
        </w:tc>
        <w:tc>
          <w:tcPr>
            <w:tcW w:w="766" w:type="pct"/>
            <w:tcBorders>
              <w:bottom w:val="single" w:sz="4" w:space="0" w:color="auto"/>
            </w:tcBorders>
            <w:shd w:val="clear" w:color="auto" w:fill="D9D9D9"/>
          </w:tcPr>
          <w:p w:rsidR="000D24D1" w:rsidRPr="00B762E2" w:rsidP="00266255" w14:paraId="3CB36216" w14:textId="77777777">
            <w:pPr>
              <w:jc w:val="center"/>
              <w:rPr>
                <w:rFonts w:eastAsia="Calibri"/>
                <w:b/>
                <w:sz w:val="20"/>
                <w:szCs w:val="20"/>
              </w:rPr>
            </w:pPr>
            <w:r w:rsidRPr="00B762E2">
              <w:rPr>
                <w:rFonts w:eastAsia="Calibri"/>
                <w:b/>
                <w:sz w:val="20"/>
                <w:szCs w:val="20"/>
              </w:rPr>
              <w:t>Average Burden Hours &amp; Cost Per Response ($)</w:t>
            </w:r>
          </w:p>
          <w:p w:rsidR="000D24D1" w:rsidRPr="00B762E2" w:rsidP="00266255" w14:paraId="16563BBB" w14:textId="48C6C85F">
            <w:pPr>
              <w:jc w:val="center"/>
              <w:rPr>
                <w:rFonts w:eastAsia="Calibri"/>
                <w:b/>
                <w:sz w:val="20"/>
                <w:szCs w:val="20"/>
              </w:rPr>
            </w:pPr>
            <w:r w:rsidRPr="00B762E2">
              <w:rPr>
                <w:rFonts w:eastAsia="Calibri"/>
                <w:b/>
                <w:sz w:val="20"/>
                <w:szCs w:val="20"/>
              </w:rPr>
              <w:t>(4)</w:t>
            </w:r>
          </w:p>
        </w:tc>
        <w:tc>
          <w:tcPr>
            <w:tcW w:w="827" w:type="pct"/>
            <w:tcBorders>
              <w:bottom w:val="single" w:sz="4" w:space="0" w:color="auto"/>
            </w:tcBorders>
            <w:shd w:val="clear" w:color="auto" w:fill="D9D9D9"/>
          </w:tcPr>
          <w:p w:rsidR="000D24D1" w:rsidRPr="00B762E2" w:rsidP="00266255" w14:paraId="678BC487" w14:textId="77777777">
            <w:pPr>
              <w:jc w:val="center"/>
              <w:rPr>
                <w:rFonts w:eastAsia="Calibri"/>
                <w:b/>
                <w:sz w:val="20"/>
                <w:szCs w:val="20"/>
              </w:rPr>
            </w:pPr>
            <w:r w:rsidRPr="00B762E2">
              <w:rPr>
                <w:rFonts w:eastAsia="Calibri"/>
                <w:b/>
                <w:sz w:val="20"/>
                <w:szCs w:val="20"/>
              </w:rPr>
              <w:t>Total Annual Burden Hours &amp; Total Annual Cost ($)</w:t>
            </w:r>
          </w:p>
          <w:p w:rsidR="000D24D1" w:rsidRPr="00B762E2" w:rsidP="00266255" w14:paraId="3C2B3B1F" w14:textId="3500506B">
            <w:pPr>
              <w:jc w:val="center"/>
              <w:rPr>
                <w:rFonts w:eastAsia="Calibri"/>
                <w:b/>
                <w:sz w:val="20"/>
                <w:szCs w:val="20"/>
              </w:rPr>
            </w:pPr>
            <w:r w:rsidRPr="00B762E2">
              <w:rPr>
                <w:rFonts w:eastAsia="Calibri"/>
                <w:b/>
                <w:sz w:val="20"/>
                <w:szCs w:val="20"/>
              </w:rPr>
              <w:t>(</w:t>
            </w:r>
            <w:r w:rsidRPr="00B762E2" w:rsidR="007816E0">
              <w:rPr>
                <w:rFonts w:eastAsia="Calibri"/>
                <w:b/>
                <w:sz w:val="20"/>
                <w:szCs w:val="20"/>
              </w:rPr>
              <w:t>3) *</w:t>
            </w:r>
            <w:r w:rsidRPr="00B762E2">
              <w:rPr>
                <w:rFonts w:eastAsia="Calibri"/>
                <w:b/>
                <w:sz w:val="20"/>
                <w:szCs w:val="20"/>
              </w:rPr>
              <w:t>(</w:t>
            </w:r>
            <w:r w:rsidRPr="00B762E2" w:rsidR="007816E0">
              <w:rPr>
                <w:rFonts w:eastAsia="Calibri"/>
                <w:b/>
                <w:sz w:val="20"/>
                <w:szCs w:val="20"/>
              </w:rPr>
              <w:t>4) = (</w:t>
            </w:r>
            <w:r w:rsidRPr="00B762E2">
              <w:rPr>
                <w:rFonts w:eastAsia="Calibri"/>
                <w:b/>
                <w:sz w:val="20"/>
                <w:szCs w:val="20"/>
              </w:rPr>
              <w:t>5)</w:t>
            </w:r>
          </w:p>
        </w:tc>
        <w:tc>
          <w:tcPr>
            <w:tcW w:w="695" w:type="pct"/>
            <w:tcBorders>
              <w:bottom w:val="single" w:sz="4" w:space="0" w:color="auto"/>
            </w:tcBorders>
            <w:shd w:val="clear" w:color="auto" w:fill="D9D9D9"/>
          </w:tcPr>
          <w:p w:rsidR="000D24D1" w:rsidP="00266255" w14:paraId="740B8278" w14:textId="77777777">
            <w:pPr>
              <w:jc w:val="center"/>
              <w:rPr>
                <w:rFonts w:eastAsia="Calibri"/>
                <w:b/>
                <w:sz w:val="20"/>
                <w:szCs w:val="20"/>
              </w:rPr>
            </w:pPr>
            <w:r>
              <w:rPr>
                <w:rFonts w:eastAsia="Calibri"/>
                <w:b/>
                <w:sz w:val="20"/>
                <w:szCs w:val="20"/>
              </w:rPr>
              <w:t>Total Annual Burden Cost</w:t>
            </w:r>
          </w:p>
          <w:p w:rsidR="00464627" w:rsidRPr="00B762E2" w:rsidP="00266255" w14:paraId="73EDA603" w14:textId="6BDC1E20">
            <w:pPr>
              <w:jc w:val="center"/>
              <w:rPr>
                <w:rFonts w:eastAsia="Calibri"/>
                <w:b/>
                <w:sz w:val="20"/>
                <w:szCs w:val="20"/>
              </w:rPr>
            </w:pPr>
            <w:r>
              <w:rPr>
                <w:rFonts w:eastAsia="Calibri"/>
                <w:b/>
                <w:sz w:val="20"/>
                <w:szCs w:val="20"/>
              </w:rPr>
              <w:t>(5) / (1)</w:t>
            </w:r>
          </w:p>
        </w:tc>
      </w:tr>
      <w:tr w14:paraId="1DC14715" w14:textId="77777777" w:rsidTr="00266255">
        <w:tblPrEx>
          <w:tblW w:w="5195" w:type="pct"/>
          <w:jc w:val="right"/>
          <w:tblLayout w:type="fixed"/>
          <w:tblLook w:val="01E0"/>
        </w:tblPrEx>
        <w:trPr>
          <w:cantSplit/>
          <w:jc w:val="right"/>
        </w:trPr>
        <w:tc>
          <w:tcPr>
            <w:tcW w:w="752" w:type="pct"/>
            <w:vMerge w:val="restart"/>
            <w:tcBorders>
              <w:top w:val="single" w:sz="4" w:space="0" w:color="auto"/>
              <w:left w:val="single" w:sz="4" w:space="0" w:color="auto"/>
              <w:right w:val="single" w:sz="4" w:space="0" w:color="auto"/>
            </w:tcBorders>
            <w:hideMark/>
          </w:tcPr>
          <w:p w:rsidR="009E0135" w:rsidRPr="007816E0" w:rsidP="00183612" w14:paraId="6F601BF2" w14:textId="77777777">
            <w:pPr>
              <w:jc w:val="right"/>
              <w:rPr>
                <w:rFonts w:eastAsia="Calibri"/>
                <w:sz w:val="20"/>
                <w:szCs w:val="20"/>
              </w:rPr>
            </w:pPr>
          </w:p>
          <w:p w:rsidR="009E0135" w:rsidRPr="007816E0" w:rsidP="00183612" w14:paraId="20442917" w14:textId="5958FBC9">
            <w:pPr>
              <w:jc w:val="right"/>
              <w:rPr>
                <w:rFonts w:eastAsia="Calibri"/>
                <w:sz w:val="20"/>
                <w:szCs w:val="20"/>
              </w:rPr>
            </w:pPr>
            <w:r w:rsidRPr="007816E0">
              <w:rPr>
                <w:rFonts w:eastAsia="Calibri"/>
                <w:sz w:val="20"/>
                <w:szCs w:val="20"/>
              </w:rPr>
              <w:t>IRO-001-4</w:t>
            </w:r>
          </w:p>
          <w:p w:rsidR="009E0135" w:rsidRPr="007816E0" w:rsidP="00183612" w14:paraId="33387746" w14:textId="6D06E8D4">
            <w:pPr>
              <w:jc w:val="right"/>
              <w:rPr>
                <w:rFonts w:eastAsia="Calibri"/>
                <w:sz w:val="20"/>
                <w:szCs w:val="20"/>
              </w:rPr>
            </w:pPr>
          </w:p>
        </w:tc>
        <w:tc>
          <w:tcPr>
            <w:tcW w:w="792" w:type="pct"/>
            <w:tcBorders>
              <w:top w:val="single" w:sz="4" w:space="0" w:color="auto"/>
              <w:left w:val="single" w:sz="4" w:space="0" w:color="auto"/>
              <w:bottom w:val="single" w:sz="4" w:space="0" w:color="auto"/>
              <w:right w:val="single" w:sz="4" w:space="0" w:color="auto"/>
            </w:tcBorders>
            <w:hideMark/>
          </w:tcPr>
          <w:p w:rsidR="009E0135" w:rsidRPr="007816E0" w:rsidP="00183612" w14:paraId="18447F8A" w14:textId="38B6FF7C">
            <w:pPr>
              <w:jc w:val="right"/>
              <w:rPr>
                <w:rFonts w:eastAsia="Calibri"/>
                <w:sz w:val="20"/>
                <w:szCs w:val="20"/>
              </w:rPr>
            </w:pPr>
            <w:r w:rsidRPr="007816E0">
              <w:rPr>
                <w:rFonts w:eastAsia="Calibri"/>
                <w:sz w:val="20"/>
                <w:szCs w:val="20"/>
              </w:rPr>
              <w:t>12 (RC)</w:t>
            </w:r>
          </w:p>
        </w:tc>
        <w:tc>
          <w:tcPr>
            <w:tcW w:w="585" w:type="pct"/>
            <w:tcBorders>
              <w:top w:val="single" w:sz="4" w:space="0" w:color="auto"/>
              <w:left w:val="single" w:sz="4" w:space="0" w:color="auto"/>
              <w:bottom w:val="single" w:sz="4" w:space="0" w:color="auto"/>
              <w:right w:val="single" w:sz="4" w:space="0" w:color="auto"/>
            </w:tcBorders>
            <w:hideMark/>
          </w:tcPr>
          <w:p w:rsidR="009E0135" w:rsidRPr="007816E0" w:rsidP="00183612" w14:paraId="16DD9313" w14:textId="77777777">
            <w:pPr>
              <w:jc w:val="right"/>
              <w:rPr>
                <w:rFonts w:eastAsia="Calibri"/>
                <w:sz w:val="20"/>
                <w:szCs w:val="20"/>
              </w:rPr>
            </w:pPr>
            <w:r w:rsidRPr="007816E0">
              <w:rPr>
                <w:rFonts w:eastAsia="Calibri"/>
                <w:sz w:val="20"/>
                <w:szCs w:val="20"/>
              </w:rPr>
              <w:t>1</w:t>
            </w:r>
          </w:p>
        </w:tc>
        <w:tc>
          <w:tcPr>
            <w:tcW w:w="583" w:type="pct"/>
            <w:tcBorders>
              <w:top w:val="single" w:sz="4" w:space="0" w:color="auto"/>
              <w:left w:val="single" w:sz="4" w:space="0" w:color="auto"/>
              <w:bottom w:val="single" w:sz="4" w:space="0" w:color="auto"/>
              <w:right w:val="single" w:sz="4" w:space="0" w:color="auto"/>
            </w:tcBorders>
            <w:hideMark/>
          </w:tcPr>
          <w:p w:rsidR="009E0135" w:rsidRPr="00266255" w:rsidP="00183612" w14:paraId="4D5FED62" w14:textId="3112D461">
            <w:pPr>
              <w:jc w:val="right"/>
              <w:rPr>
                <w:rFonts w:eastAsia="Calibri"/>
                <w:sz w:val="20"/>
                <w:szCs w:val="20"/>
              </w:rPr>
            </w:pPr>
            <w:r w:rsidRPr="00266255">
              <w:rPr>
                <w:rFonts w:eastAsia="Calibri"/>
                <w:sz w:val="20"/>
                <w:szCs w:val="20"/>
              </w:rPr>
              <w:t>1</w:t>
            </w:r>
            <w:r w:rsidRPr="00266255" w:rsidR="007B254D">
              <w:rPr>
                <w:rFonts w:eastAsia="Calibri"/>
                <w:sz w:val="20"/>
                <w:szCs w:val="20"/>
              </w:rPr>
              <w:t>2</w:t>
            </w:r>
          </w:p>
        </w:tc>
        <w:tc>
          <w:tcPr>
            <w:tcW w:w="766" w:type="pct"/>
            <w:tcBorders>
              <w:top w:val="single" w:sz="4" w:space="0" w:color="auto"/>
              <w:left w:val="single" w:sz="4" w:space="0" w:color="auto"/>
              <w:bottom w:val="single" w:sz="4" w:space="0" w:color="auto"/>
              <w:right w:val="single" w:sz="4" w:space="0" w:color="auto"/>
            </w:tcBorders>
            <w:hideMark/>
          </w:tcPr>
          <w:p w:rsidR="009E0135" w:rsidRPr="00266255" w:rsidP="00183612" w14:paraId="7422AC41" w14:textId="3A6A6D00">
            <w:pPr>
              <w:jc w:val="right"/>
              <w:rPr>
                <w:rFonts w:eastAsia="Calibri"/>
                <w:sz w:val="20"/>
                <w:szCs w:val="20"/>
              </w:rPr>
            </w:pPr>
            <w:r w:rsidRPr="00266255">
              <w:rPr>
                <w:rFonts w:eastAsia="Calibri"/>
                <w:sz w:val="20"/>
                <w:szCs w:val="20"/>
              </w:rPr>
              <w:t>24</w:t>
            </w:r>
            <w:r w:rsidRPr="00266255" w:rsidR="00300D86">
              <w:rPr>
                <w:rFonts w:eastAsia="Calibri"/>
                <w:sz w:val="20"/>
                <w:szCs w:val="20"/>
              </w:rPr>
              <w:t xml:space="preserve"> </w:t>
            </w:r>
            <w:r w:rsidRPr="00266255">
              <w:rPr>
                <w:rFonts w:eastAsia="Calibri"/>
                <w:sz w:val="20"/>
                <w:szCs w:val="20"/>
              </w:rPr>
              <w:t>hrs.</w:t>
            </w:r>
          </w:p>
          <w:p w:rsidR="009E0135" w:rsidRPr="00266255" w:rsidP="00183612" w14:paraId="713729C7" w14:textId="31A431CA">
            <w:pPr>
              <w:jc w:val="right"/>
              <w:rPr>
                <w:rFonts w:eastAsia="Calibri"/>
                <w:sz w:val="20"/>
                <w:szCs w:val="20"/>
              </w:rPr>
            </w:pPr>
            <w:r w:rsidRPr="00266255">
              <w:rPr>
                <w:rFonts w:eastAsia="Calibri"/>
                <w:sz w:val="20"/>
                <w:szCs w:val="20"/>
              </w:rPr>
              <w:t>$</w:t>
            </w:r>
            <w:r w:rsidRPr="00266255" w:rsidR="00E403C6">
              <w:rPr>
                <w:rFonts w:eastAsia="Calibri"/>
                <w:sz w:val="20"/>
                <w:szCs w:val="20"/>
              </w:rPr>
              <w:t>1,524.48</w:t>
            </w:r>
          </w:p>
        </w:tc>
        <w:tc>
          <w:tcPr>
            <w:tcW w:w="827" w:type="pct"/>
            <w:tcBorders>
              <w:top w:val="single" w:sz="4" w:space="0" w:color="auto"/>
              <w:left w:val="single" w:sz="4" w:space="0" w:color="auto"/>
              <w:bottom w:val="single" w:sz="4" w:space="0" w:color="auto"/>
              <w:right w:val="single" w:sz="4" w:space="0" w:color="auto"/>
            </w:tcBorders>
            <w:hideMark/>
          </w:tcPr>
          <w:p w:rsidR="009E0135" w:rsidRPr="00266255" w:rsidP="00183612" w14:paraId="6C4AB459" w14:textId="1FE45D39">
            <w:pPr>
              <w:jc w:val="right"/>
              <w:rPr>
                <w:rFonts w:eastAsia="Calibri"/>
                <w:sz w:val="20"/>
                <w:szCs w:val="20"/>
              </w:rPr>
            </w:pPr>
            <w:r w:rsidRPr="00266255">
              <w:rPr>
                <w:rFonts w:eastAsia="Calibri"/>
                <w:sz w:val="20"/>
                <w:szCs w:val="20"/>
              </w:rPr>
              <w:t>288</w:t>
            </w:r>
            <w:r w:rsidRPr="00266255" w:rsidR="00300D86">
              <w:rPr>
                <w:rFonts w:eastAsia="Calibri"/>
                <w:sz w:val="20"/>
                <w:szCs w:val="20"/>
              </w:rPr>
              <w:t xml:space="preserve"> </w:t>
            </w:r>
            <w:r w:rsidRPr="00266255">
              <w:rPr>
                <w:rFonts w:eastAsia="Calibri"/>
                <w:sz w:val="20"/>
                <w:szCs w:val="20"/>
              </w:rPr>
              <w:t>hrs.</w:t>
            </w:r>
          </w:p>
          <w:p w:rsidR="009E0135" w:rsidRPr="00266255" w:rsidP="00183612" w14:paraId="08F59A52" w14:textId="0316E063">
            <w:pPr>
              <w:jc w:val="right"/>
              <w:rPr>
                <w:rFonts w:eastAsia="Calibri"/>
                <w:sz w:val="20"/>
                <w:szCs w:val="20"/>
              </w:rPr>
            </w:pPr>
            <w:r w:rsidRPr="00266255">
              <w:rPr>
                <w:rFonts w:eastAsia="Calibri"/>
                <w:sz w:val="20"/>
                <w:szCs w:val="20"/>
              </w:rPr>
              <w:t>$</w:t>
            </w:r>
            <w:r w:rsidRPr="00266255" w:rsidR="002F6B17">
              <w:rPr>
                <w:rFonts w:eastAsia="Calibri"/>
                <w:sz w:val="20"/>
                <w:szCs w:val="20"/>
              </w:rPr>
              <w:t>18,293.76</w:t>
            </w:r>
          </w:p>
        </w:tc>
        <w:tc>
          <w:tcPr>
            <w:tcW w:w="695" w:type="pct"/>
            <w:tcBorders>
              <w:top w:val="single" w:sz="4" w:space="0" w:color="auto"/>
              <w:left w:val="single" w:sz="4" w:space="0" w:color="auto"/>
              <w:bottom w:val="single" w:sz="4" w:space="0" w:color="auto"/>
              <w:right w:val="single" w:sz="4" w:space="0" w:color="auto"/>
            </w:tcBorders>
          </w:tcPr>
          <w:p w:rsidR="009E0135" w:rsidRPr="00266255" w:rsidP="00183612" w14:paraId="686F2A53" w14:textId="1FAAECD1">
            <w:pPr>
              <w:jc w:val="right"/>
              <w:rPr>
                <w:rFonts w:eastAsia="Calibri"/>
                <w:sz w:val="20"/>
                <w:szCs w:val="20"/>
              </w:rPr>
            </w:pPr>
            <w:r w:rsidRPr="00266255">
              <w:rPr>
                <w:rFonts w:eastAsia="Calibri"/>
                <w:sz w:val="20"/>
                <w:szCs w:val="20"/>
              </w:rPr>
              <w:t>$</w:t>
            </w:r>
            <w:r w:rsidRPr="00266255" w:rsidR="00E403C6">
              <w:rPr>
                <w:rFonts w:eastAsia="Calibri"/>
                <w:sz w:val="20"/>
                <w:szCs w:val="20"/>
              </w:rPr>
              <w:t>1,524.48</w:t>
            </w:r>
          </w:p>
          <w:p w:rsidR="009E0135" w:rsidRPr="00266255" w:rsidP="00183612" w14:paraId="0BB79AFB" w14:textId="77777777">
            <w:pPr>
              <w:jc w:val="right"/>
              <w:rPr>
                <w:rFonts w:eastAsia="Calibri"/>
                <w:sz w:val="20"/>
                <w:szCs w:val="20"/>
              </w:rPr>
            </w:pPr>
          </w:p>
        </w:tc>
      </w:tr>
      <w:tr w14:paraId="1FA9CB02" w14:textId="77777777" w:rsidTr="00266255">
        <w:tblPrEx>
          <w:tblW w:w="5195" w:type="pct"/>
          <w:jc w:val="right"/>
          <w:tblLayout w:type="fixed"/>
          <w:tblLook w:val="01E0"/>
        </w:tblPrEx>
        <w:trPr>
          <w:cantSplit/>
          <w:trHeight w:val="548"/>
          <w:jc w:val="right"/>
        </w:trPr>
        <w:tc>
          <w:tcPr>
            <w:tcW w:w="752" w:type="pct"/>
            <w:vMerge/>
            <w:tcBorders>
              <w:top w:val="single" w:sz="4" w:space="0" w:color="auto"/>
              <w:left w:val="single" w:sz="4" w:space="0" w:color="auto"/>
              <w:right w:val="single" w:sz="4" w:space="0" w:color="auto"/>
            </w:tcBorders>
          </w:tcPr>
          <w:p w:rsidR="005B5596" w:rsidRPr="007816E0" w:rsidP="00183612" w14:paraId="0237F031" w14:textId="77777777">
            <w:pPr>
              <w:jc w:val="right"/>
              <w:rPr>
                <w:rFonts w:eastAsia="Calibri"/>
                <w:sz w:val="20"/>
                <w:szCs w:val="20"/>
              </w:rPr>
            </w:pPr>
          </w:p>
        </w:tc>
        <w:tc>
          <w:tcPr>
            <w:tcW w:w="792" w:type="pct"/>
            <w:tcBorders>
              <w:top w:val="single" w:sz="4" w:space="0" w:color="auto"/>
              <w:left w:val="single" w:sz="4" w:space="0" w:color="auto"/>
              <w:bottom w:val="single" w:sz="4" w:space="0" w:color="auto"/>
              <w:right w:val="single" w:sz="4" w:space="0" w:color="auto"/>
            </w:tcBorders>
          </w:tcPr>
          <w:p w:rsidR="005B5596" w:rsidRPr="007816E0" w:rsidP="00183612" w14:paraId="37063C7A" w14:textId="2A24DEDB">
            <w:pPr>
              <w:jc w:val="right"/>
              <w:rPr>
                <w:rFonts w:eastAsia="Calibri"/>
                <w:sz w:val="20"/>
                <w:szCs w:val="20"/>
              </w:rPr>
            </w:pPr>
            <w:r>
              <w:rPr>
                <w:rFonts w:eastAsia="Calibri"/>
                <w:sz w:val="20"/>
                <w:szCs w:val="20"/>
              </w:rPr>
              <w:t xml:space="preserve">97 </w:t>
            </w:r>
            <w:r>
              <w:rPr>
                <w:rFonts w:eastAsia="Calibri"/>
                <w:sz w:val="20"/>
                <w:szCs w:val="20"/>
              </w:rPr>
              <w:t>(BA)</w:t>
            </w:r>
          </w:p>
        </w:tc>
        <w:tc>
          <w:tcPr>
            <w:tcW w:w="585" w:type="pct"/>
            <w:tcBorders>
              <w:top w:val="single" w:sz="4" w:space="0" w:color="auto"/>
              <w:left w:val="single" w:sz="4" w:space="0" w:color="auto"/>
              <w:bottom w:val="single" w:sz="4" w:space="0" w:color="auto"/>
              <w:right w:val="single" w:sz="4" w:space="0" w:color="auto"/>
            </w:tcBorders>
          </w:tcPr>
          <w:p w:rsidR="005B5596" w:rsidRPr="007816E0" w:rsidP="00183612" w14:paraId="054AE267" w14:textId="55BFFB8D">
            <w:pPr>
              <w:jc w:val="right"/>
              <w:rPr>
                <w:rFonts w:eastAsia="Calibri"/>
                <w:sz w:val="20"/>
                <w:szCs w:val="20"/>
              </w:rPr>
            </w:pPr>
            <w:r>
              <w:rPr>
                <w:rFonts w:eastAsia="Calibri"/>
                <w:sz w:val="20"/>
                <w:szCs w:val="20"/>
              </w:rPr>
              <w:t>1</w:t>
            </w:r>
          </w:p>
        </w:tc>
        <w:tc>
          <w:tcPr>
            <w:tcW w:w="583" w:type="pct"/>
            <w:tcBorders>
              <w:top w:val="single" w:sz="4" w:space="0" w:color="auto"/>
              <w:left w:val="single" w:sz="4" w:space="0" w:color="auto"/>
              <w:bottom w:val="single" w:sz="4" w:space="0" w:color="auto"/>
              <w:right w:val="single" w:sz="4" w:space="0" w:color="auto"/>
            </w:tcBorders>
          </w:tcPr>
          <w:p w:rsidR="005B5596" w:rsidRPr="00266255" w:rsidP="00183612" w14:paraId="24DC37E0" w14:textId="00DD0AD4">
            <w:pPr>
              <w:jc w:val="right"/>
              <w:rPr>
                <w:rFonts w:eastAsia="Calibri"/>
                <w:sz w:val="20"/>
                <w:szCs w:val="20"/>
              </w:rPr>
            </w:pPr>
            <w:r w:rsidRPr="00266255">
              <w:rPr>
                <w:rFonts w:eastAsia="Calibri"/>
                <w:sz w:val="20"/>
                <w:szCs w:val="20"/>
              </w:rPr>
              <w:t>97</w:t>
            </w:r>
          </w:p>
        </w:tc>
        <w:tc>
          <w:tcPr>
            <w:tcW w:w="766" w:type="pct"/>
            <w:tcBorders>
              <w:top w:val="single" w:sz="4" w:space="0" w:color="auto"/>
              <w:left w:val="single" w:sz="4" w:space="0" w:color="auto"/>
              <w:bottom w:val="single" w:sz="4" w:space="0" w:color="auto"/>
              <w:right w:val="single" w:sz="4" w:space="0" w:color="auto"/>
            </w:tcBorders>
          </w:tcPr>
          <w:p w:rsidR="005B5596" w:rsidRPr="00266255" w:rsidP="00183612" w14:paraId="2F585788" w14:textId="11BC5A40">
            <w:pPr>
              <w:jc w:val="right"/>
              <w:rPr>
                <w:rFonts w:eastAsia="Calibri"/>
                <w:sz w:val="20"/>
                <w:szCs w:val="20"/>
              </w:rPr>
            </w:pPr>
            <w:r w:rsidRPr="00266255">
              <w:rPr>
                <w:rFonts w:eastAsia="Calibri"/>
                <w:sz w:val="20"/>
                <w:szCs w:val="20"/>
              </w:rPr>
              <w:t>4 hrs.</w:t>
            </w:r>
            <w:r w:rsidRPr="00266255" w:rsidR="00477CD5">
              <w:rPr>
                <w:rFonts w:eastAsia="Calibri"/>
                <w:sz w:val="20"/>
                <w:szCs w:val="20"/>
              </w:rPr>
              <w:br/>
              <w:t>$254.08</w:t>
            </w:r>
          </w:p>
        </w:tc>
        <w:tc>
          <w:tcPr>
            <w:tcW w:w="827" w:type="pct"/>
            <w:tcBorders>
              <w:top w:val="single" w:sz="4" w:space="0" w:color="auto"/>
              <w:left w:val="single" w:sz="4" w:space="0" w:color="auto"/>
              <w:bottom w:val="single" w:sz="4" w:space="0" w:color="auto"/>
              <w:right w:val="single" w:sz="4" w:space="0" w:color="auto"/>
            </w:tcBorders>
          </w:tcPr>
          <w:p w:rsidR="005B5596" w:rsidRPr="00266255" w:rsidP="00183612" w14:paraId="6B22B6FF" w14:textId="724947B3">
            <w:pPr>
              <w:jc w:val="right"/>
              <w:rPr>
                <w:rFonts w:eastAsia="Calibri"/>
                <w:sz w:val="20"/>
                <w:szCs w:val="20"/>
              </w:rPr>
            </w:pPr>
            <w:r w:rsidRPr="00266255">
              <w:rPr>
                <w:rFonts w:eastAsia="Calibri"/>
                <w:sz w:val="20"/>
                <w:szCs w:val="20"/>
              </w:rPr>
              <w:t>388 hrs.</w:t>
            </w:r>
            <w:r w:rsidRPr="00266255">
              <w:rPr>
                <w:rFonts w:eastAsia="Calibri"/>
                <w:sz w:val="20"/>
                <w:szCs w:val="20"/>
              </w:rPr>
              <w:br/>
              <w:t>$24,645.76</w:t>
            </w:r>
          </w:p>
        </w:tc>
        <w:tc>
          <w:tcPr>
            <w:tcW w:w="695" w:type="pct"/>
            <w:tcBorders>
              <w:top w:val="single" w:sz="4" w:space="0" w:color="auto"/>
              <w:left w:val="single" w:sz="4" w:space="0" w:color="auto"/>
              <w:bottom w:val="single" w:sz="4" w:space="0" w:color="auto"/>
              <w:right w:val="single" w:sz="4" w:space="0" w:color="auto"/>
            </w:tcBorders>
          </w:tcPr>
          <w:p w:rsidR="005B5596" w:rsidRPr="00266255" w:rsidP="00183612" w14:paraId="2DD3567D" w14:textId="632816B6">
            <w:pPr>
              <w:jc w:val="right"/>
              <w:rPr>
                <w:rFonts w:eastAsia="Calibri"/>
                <w:sz w:val="20"/>
                <w:szCs w:val="20"/>
              </w:rPr>
            </w:pPr>
            <w:r w:rsidRPr="00266255">
              <w:rPr>
                <w:rFonts w:eastAsia="Calibri"/>
                <w:sz w:val="20"/>
                <w:szCs w:val="20"/>
              </w:rPr>
              <w:t>$254.08</w:t>
            </w:r>
          </w:p>
        </w:tc>
      </w:tr>
      <w:tr w14:paraId="7E3FADD9" w14:textId="77777777" w:rsidTr="00876056">
        <w:tblPrEx>
          <w:tblW w:w="5195" w:type="pct"/>
          <w:jc w:val="right"/>
          <w:tblLayout w:type="fixed"/>
          <w:tblLook w:val="01E0"/>
        </w:tblPrEx>
        <w:trPr>
          <w:cantSplit/>
          <w:jc w:val="right"/>
        </w:trPr>
        <w:tc>
          <w:tcPr>
            <w:tcW w:w="752" w:type="pct"/>
            <w:vMerge/>
            <w:tcBorders>
              <w:top w:val="single" w:sz="4" w:space="0" w:color="auto"/>
              <w:left w:val="single" w:sz="4" w:space="0" w:color="auto"/>
              <w:right w:val="single" w:sz="4" w:space="0" w:color="auto"/>
            </w:tcBorders>
          </w:tcPr>
          <w:p w:rsidR="005B5596" w:rsidRPr="007816E0" w:rsidP="00183612" w14:paraId="42126A51" w14:textId="77777777">
            <w:pPr>
              <w:jc w:val="right"/>
              <w:rPr>
                <w:rFonts w:eastAsia="Calibri"/>
                <w:sz w:val="20"/>
                <w:szCs w:val="20"/>
              </w:rPr>
            </w:pPr>
          </w:p>
        </w:tc>
        <w:tc>
          <w:tcPr>
            <w:tcW w:w="792" w:type="pct"/>
            <w:tcBorders>
              <w:top w:val="single" w:sz="4" w:space="0" w:color="auto"/>
              <w:left w:val="single" w:sz="4" w:space="0" w:color="auto"/>
              <w:bottom w:val="single" w:sz="4" w:space="0" w:color="auto"/>
              <w:right w:val="single" w:sz="4" w:space="0" w:color="auto"/>
            </w:tcBorders>
          </w:tcPr>
          <w:p w:rsidR="005B5596" w:rsidRPr="007816E0" w:rsidP="00183612" w14:paraId="57858AF4" w14:textId="6C2C1BE2">
            <w:pPr>
              <w:jc w:val="right"/>
              <w:rPr>
                <w:rFonts w:eastAsia="Calibri"/>
                <w:sz w:val="20"/>
                <w:szCs w:val="20"/>
              </w:rPr>
            </w:pPr>
            <w:r>
              <w:rPr>
                <w:rFonts w:eastAsia="Calibri"/>
                <w:sz w:val="20"/>
                <w:szCs w:val="20"/>
              </w:rPr>
              <w:t xml:space="preserve">1314 </w:t>
            </w:r>
            <w:r>
              <w:rPr>
                <w:rFonts w:eastAsia="Calibri"/>
                <w:sz w:val="20"/>
                <w:szCs w:val="20"/>
              </w:rPr>
              <w:t>(GO)</w:t>
            </w:r>
          </w:p>
        </w:tc>
        <w:tc>
          <w:tcPr>
            <w:tcW w:w="585" w:type="pct"/>
            <w:tcBorders>
              <w:top w:val="single" w:sz="4" w:space="0" w:color="auto"/>
              <w:left w:val="single" w:sz="4" w:space="0" w:color="auto"/>
              <w:bottom w:val="single" w:sz="4" w:space="0" w:color="auto"/>
              <w:right w:val="single" w:sz="4" w:space="0" w:color="auto"/>
            </w:tcBorders>
          </w:tcPr>
          <w:p w:rsidR="005B5596" w:rsidRPr="007816E0" w:rsidP="00183612" w14:paraId="39309133" w14:textId="377E8BE5">
            <w:pPr>
              <w:jc w:val="right"/>
              <w:rPr>
                <w:rFonts w:eastAsia="Calibri"/>
                <w:sz w:val="20"/>
                <w:szCs w:val="20"/>
              </w:rPr>
            </w:pPr>
            <w:r>
              <w:rPr>
                <w:rFonts w:eastAsia="Calibri"/>
                <w:sz w:val="20"/>
                <w:szCs w:val="20"/>
              </w:rPr>
              <w:t>1</w:t>
            </w:r>
          </w:p>
        </w:tc>
        <w:tc>
          <w:tcPr>
            <w:tcW w:w="583" w:type="pct"/>
            <w:tcBorders>
              <w:top w:val="single" w:sz="4" w:space="0" w:color="auto"/>
              <w:left w:val="single" w:sz="4" w:space="0" w:color="auto"/>
              <w:bottom w:val="single" w:sz="4" w:space="0" w:color="auto"/>
              <w:right w:val="single" w:sz="4" w:space="0" w:color="auto"/>
            </w:tcBorders>
          </w:tcPr>
          <w:p w:rsidR="005B5596" w:rsidRPr="00266255" w:rsidP="00183612" w14:paraId="173F3436" w14:textId="123F5732">
            <w:pPr>
              <w:jc w:val="right"/>
              <w:rPr>
                <w:rFonts w:eastAsia="Calibri"/>
                <w:sz w:val="20"/>
                <w:szCs w:val="20"/>
              </w:rPr>
            </w:pPr>
            <w:r w:rsidRPr="00266255">
              <w:rPr>
                <w:rFonts w:eastAsia="Calibri"/>
                <w:sz w:val="20"/>
                <w:szCs w:val="20"/>
              </w:rPr>
              <w:t>1314</w:t>
            </w:r>
          </w:p>
        </w:tc>
        <w:tc>
          <w:tcPr>
            <w:tcW w:w="766" w:type="pct"/>
            <w:tcBorders>
              <w:top w:val="single" w:sz="4" w:space="0" w:color="auto"/>
              <w:left w:val="single" w:sz="4" w:space="0" w:color="auto"/>
              <w:bottom w:val="single" w:sz="4" w:space="0" w:color="auto"/>
              <w:right w:val="single" w:sz="4" w:space="0" w:color="auto"/>
            </w:tcBorders>
          </w:tcPr>
          <w:p w:rsidR="005B5596" w:rsidRPr="00266255" w:rsidP="00183612" w14:paraId="6EC2B78F" w14:textId="04D8B5D2">
            <w:pPr>
              <w:jc w:val="right"/>
              <w:rPr>
                <w:rFonts w:eastAsia="Calibri"/>
                <w:sz w:val="20"/>
                <w:szCs w:val="20"/>
              </w:rPr>
            </w:pPr>
            <w:r w:rsidRPr="00266255">
              <w:rPr>
                <w:rFonts w:eastAsia="Calibri"/>
                <w:sz w:val="20"/>
                <w:szCs w:val="20"/>
              </w:rPr>
              <w:t>4 hrs.</w:t>
            </w:r>
            <w:r w:rsidRPr="00266255" w:rsidR="00477CD5">
              <w:rPr>
                <w:rFonts w:eastAsia="Calibri"/>
                <w:sz w:val="20"/>
                <w:szCs w:val="20"/>
              </w:rPr>
              <w:br/>
              <w:t>$254.08</w:t>
            </w:r>
          </w:p>
        </w:tc>
        <w:tc>
          <w:tcPr>
            <w:tcW w:w="827" w:type="pct"/>
            <w:tcBorders>
              <w:top w:val="single" w:sz="4" w:space="0" w:color="auto"/>
              <w:left w:val="single" w:sz="4" w:space="0" w:color="auto"/>
              <w:bottom w:val="single" w:sz="4" w:space="0" w:color="auto"/>
              <w:right w:val="single" w:sz="4" w:space="0" w:color="auto"/>
            </w:tcBorders>
          </w:tcPr>
          <w:p w:rsidR="005B5596" w:rsidRPr="00266255" w:rsidP="00183612" w14:paraId="3F08CEC7" w14:textId="2CDA3775">
            <w:pPr>
              <w:jc w:val="right"/>
              <w:rPr>
                <w:rFonts w:eastAsia="Calibri"/>
                <w:sz w:val="20"/>
                <w:szCs w:val="20"/>
              </w:rPr>
            </w:pPr>
            <w:r w:rsidRPr="00266255">
              <w:rPr>
                <w:rFonts w:eastAsia="Calibri"/>
                <w:sz w:val="20"/>
                <w:szCs w:val="20"/>
              </w:rPr>
              <w:t>5,256 hrs.</w:t>
            </w:r>
            <w:r w:rsidRPr="00266255">
              <w:rPr>
                <w:rFonts w:eastAsia="Calibri"/>
                <w:sz w:val="20"/>
                <w:szCs w:val="20"/>
              </w:rPr>
              <w:br/>
              <w:t>$333,861.12</w:t>
            </w:r>
          </w:p>
        </w:tc>
        <w:tc>
          <w:tcPr>
            <w:tcW w:w="695" w:type="pct"/>
            <w:tcBorders>
              <w:top w:val="single" w:sz="4" w:space="0" w:color="auto"/>
              <w:left w:val="single" w:sz="4" w:space="0" w:color="auto"/>
              <w:bottom w:val="single" w:sz="4" w:space="0" w:color="auto"/>
              <w:right w:val="single" w:sz="4" w:space="0" w:color="auto"/>
            </w:tcBorders>
          </w:tcPr>
          <w:p w:rsidR="005B5596" w:rsidRPr="00266255" w:rsidP="00183612" w14:paraId="4FF17C70" w14:textId="2F18F836">
            <w:pPr>
              <w:jc w:val="right"/>
              <w:rPr>
                <w:rFonts w:eastAsia="Calibri"/>
                <w:sz w:val="20"/>
                <w:szCs w:val="20"/>
              </w:rPr>
            </w:pPr>
            <w:r w:rsidRPr="00266255">
              <w:rPr>
                <w:rFonts w:eastAsia="Calibri"/>
                <w:sz w:val="20"/>
                <w:szCs w:val="20"/>
              </w:rPr>
              <w:t>$254.08</w:t>
            </w:r>
          </w:p>
        </w:tc>
      </w:tr>
      <w:tr w14:paraId="1E379AB4" w14:textId="77777777" w:rsidTr="00876056">
        <w:tblPrEx>
          <w:tblW w:w="5195" w:type="pct"/>
          <w:jc w:val="right"/>
          <w:tblLayout w:type="fixed"/>
          <w:tblLook w:val="01E0"/>
        </w:tblPrEx>
        <w:trPr>
          <w:cantSplit/>
          <w:jc w:val="right"/>
        </w:trPr>
        <w:tc>
          <w:tcPr>
            <w:tcW w:w="752" w:type="pct"/>
            <w:vMerge/>
            <w:tcBorders>
              <w:top w:val="single" w:sz="4" w:space="0" w:color="auto"/>
              <w:left w:val="single" w:sz="4" w:space="0" w:color="auto"/>
              <w:right w:val="single" w:sz="4" w:space="0" w:color="auto"/>
            </w:tcBorders>
          </w:tcPr>
          <w:p w:rsidR="005B5596" w:rsidRPr="007816E0" w:rsidP="00183612" w14:paraId="1A7C5720" w14:textId="77777777">
            <w:pPr>
              <w:jc w:val="right"/>
              <w:rPr>
                <w:rFonts w:eastAsia="Calibri"/>
                <w:sz w:val="20"/>
                <w:szCs w:val="20"/>
              </w:rPr>
            </w:pPr>
          </w:p>
        </w:tc>
        <w:tc>
          <w:tcPr>
            <w:tcW w:w="792" w:type="pct"/>
            <w:tcBorders>
              <w:top w:val="single" w:sz="4" w:space="0" w:color="auto"/>
              <w:left w:val="single" w:sz="4" w:space="0" w:color="auto"/>
              <w:bottom w:val="single" w:sz="4" w:space="0" w:color="auto"/>
              <w:right w:val="single" w:sz="4" w:space="0" w:color="auto"/>
            </w:tcBorders>
          </w:tcPr>
          <w:p w:rsidR="005B5596" w:rsidRPr="007816E0" w:rsidP="00183612" w14:paraId="2F272C76" w14:textId="2396240E">
            <w:pPr>
              <w:jc w:val="right"/>
              <w:rPr>
                <w:rFonts w:eastAsia="Calibri"/>
                <w:sz w:val="20"/>
                <w:szCs w:val="20"/>
              </w:rPr>
            </w:pPr>
            <w:r>
              <w:rPr>
                <w:rFonts w:eastAsia="Calibri"/>
                <w:sz w:val="20"/>
                <w:szCs w:val="20"/>
              </w:rPr>
              <w:t xml:space="preserve">298 </w:t>
            </w:r>
            <w:r>
              <w:rPr>
                <w:rFonts w:eastAsia="Calibri"/>
                <w:sz w:val="20"/>
                <w:szCs w:val="20"/>
              </w:rPr>
              <w:t>(DP)</w:t>
            </w:r>
          </w:p>
        </w:tc>
        <w:tc>
          <w:tcPr>
            <w:tcW w:w="585" w:type="pct"/>
            <w:tcBorders>
              <w:top w:val="single" w:sz="4" w:space="0" w:color="auto"/>
              <w:left w:val="single" w:sz="4" w:space="0" w:color="auto"/>
              <w:bottom w:val="single" w:sz="4" w:space="0" w:color="auto"/>
              <w:right w:val="single" w:sz="4" w:space="0" w:color="auto"/>
            </w:tcBorders>
          </w:tcPr>
          <w:p w:rsidR="005B5596" w:rsidRPr="007816E0" w:rsidP="00183612" w14:paraId="0CE16970" w14:textId="09E1FF1D">
            <w:pPr>
              <w:jc w:val="right"/>
              <w:rPr>
                <w:rFonts w:eastAsia="Calibri"/>
                <w:sz w:val="20"/>
                <w:szCs w:val="20"/>
              </w:rPr>
            </w:pPr>
            <w:r>
              <w:rPr>
                <w:rFonts w:eastAsia="Calibri"/>
                <w:sz w:val="20"/>
                <w:szCs w:val="20"/>
              </w:rPr>
              <w:t>1</w:t>
            </w:r>
          </w:p>
        </w:tc>
        <w:tc>
          <w:tcPr>
            <w:tcW w:w="583" w:type="pct"/>
            <w:tcBorders>
              <w:top w:val="single" w:sz="4" w:space="0" w:color="auto"/>
              <w:left w:val="single" w:sz="4" w:space="0" w:color="auto"/>
              <w:bottom w:val="single" w:sz="4" w:space="0" w:color="auto"/>
              <w:right w:val="single" w:sz="4" w:space="0" w:color="auto"/>
            </w:tcBorders>
          </w:tcPr>
          <w:p w:rsidR="005B5596" w:rsidRPr="00266255" w:rsidP="00183612" w14:paraId="3E969480" w14:textId="3C062452">
            <w:pPr>
              <w:jc w:val="right"/>
              <w:rPr>
                <w:rFonts w:eastAsia="Calibri"/>
                <w:sz w:val="20"/>
                <w:szCs w:val="20"/>
              </w:rPr>
            </w:pPr>
            <w:r w:rsidRPr="00266255">
              <w:rPr>
                <w:rFonts w:eastAsia="Calibri"/>
                <w:sz w:val="20"/>
                <w:szCs w:val="20"/>
              </w:rPr>
              <w:t>298</w:t>
            </w:r>
          </w:p>
        </w:tc>
        <w:tc>
          <w:tcPr>
            <w:tcW w:w="766" w:type="pct"/>
            <w:tcBorders>
              <w:top w:val="single" w:sz="4" w:space="0" w:color="auto"/>
              <w:left w:val="single" w:sz="4" w:space="0" w:color="auto"/>
              <w:bottom w:val="single" w:sz="4" w:space="0" w:color="auto"/>
              <w:right w:val="single" w:sz="4" w:space="0" w:color="auto"/>
            </w:tcBorders>
          </w:tcPr>
          <w:p w:rsidR="005B5596" w:rsidRPr="00266255" w:rsidP="00183612" w14:paraId="31CBCFC9" w14:textId="391EE22A">
            <w:pPr>
              <w:jc w:val="right"/>
              <w:rPr>
                <w:rFonts w:eastAsia="Calibri"/>
                <w:sz w:val="20"/>
                <w:szCs w:val="20"/>
              </w:rPr>
            </w:pPr>
            <w:r w:rsidRPr="00266255">
              <w:rPr>
                <w:rFonts w:eastAsia="Calibri"/>
                <w:sz w:val="20"/>
                <w:szCs w:val="20"/>
              </w:rPr>
              <w:t>4 hrs.</w:t>
            </w:r>
            <w:r w:rsidRPr="00266255" w:rsidR="00477CD5">
              <w:rPr>
                <w:rFonts w:eastAsia="Calibri"/>
                <w:sz w:val="20"/>
                <w:szCs w:val="20"/>
              </w:rPr>
              <w:br/>
              <w:t>$254.08</w:t>
            </w:r>
          </w:p>
        </w:tc>
        <w:tc>
          <w:tcPr>
            <w:tcW w:w="827" w:type="pct"/>
            <w:tcBorders>
              <w:top w:val="single" w:sz="4" w:space="0" w:color="auto"/>
              <w:left w:val="single" w:sz="4" w:space="0" w:color="auto"/>
              <w:bottom w:val="single" w:sz="4" w:space="0" w:color="auto"/>
              <w:right w:val="single" w:sz="4" w:space="0" w:color="auto"/>
            </w:tcBorders>
          </w:tcPr>
          <w:p w:rsidR="005B5596" w:rsidRPr="00266255" w:rsidP="00183612" w14:paraId="57581ED2" w14:textId="77777777">
            <w:pPr>
              <w:jc w:val="right"/>
              <w:rPr>
                <w:rFonts w:eastAsia="Calibri"/>
                <w:sz w:val="20"/>
                <w:szCs w:val="20"/>
              </w:rPr>
            </w:pPr>
            <w:r w:rsidRPr="00266255">
              <w:rPr>
                <w:rFonts w:eastAsia="Calibri"/>
                <w:sz w:val="20"/>
                <w:szCs w:val="20"/>
              </w:rPr>
              <w:t>1,192hrs.</w:t>
            </w:r>
          </w:p>
          <w:p w:rsidR="00477CD5" w:rsidRPr="00266255" w:rsidP="00183612" w14:paraId="72EF3153" w14:textId="631EEF7C">
            <w:pPr>
              <w:jc w:val="right"/>
              <w:rPr>
                <w:rFonts w:eastAsia="Calibri"/>
                <w:sz w:val="20"/>
                <w:szCs w:val="20"/>
              </w:rPr>
            </w:pPr>
            <w:r w:rsidRPr="00266255">
              <w:rPr>
                <w:rFonts w:eastAsia="Calibri"/>
                <w:sz w:val="20"/>
                <w:szCs w:val="20"/>
              </w:rPr>
              <w:t>$75,715.84</w:t>
            </w:r>
          </w:p>
        </w:tc>
        <w:tc>
          <w:tcPr>
            <w:tcW w:w="695" w:type="pct"/>
            <w:tcBorders>
              <w:top w:val="single" w:sz="4" w:space="0" w:color="auto"/>
              <w:left w:val="single" w:sz="4" w:space="0" w:color="auto"/>
              <w:bottom w:val="single" w:sz="4" w:space="0" w:color="auto"/>
              <w:right w:val="single" w:sz="4" w:space="0" w:color="auto"/>
            </w:tcBorders>
          </w:tcPr>
          <w:p w:rsidR="005B5596" w:rsidRPr="00266255" w:rsidP="00183612" w14:paraId="5D443F27" w14:textId="13D05385">
            <w:pPr>
              <w:jc w:val="right"/>
              <w:rPr>
                <w:rFonts w:eastAsia="Calibri"/>
                <w:sz w:val="20"/>
                <w:szCs w:val="20"/>
              </w:rPr>
            </w:pPr>
            <w:r w:rsidRPr="00266255">
              <w:rPr>
                <w:rFonts w:eastAsia="Calibri"/>
                <w:sz w:val="20"/>
                <w:szCs w:val="20"/>
              </w:rPr>
              <w:t>$254.08</w:t>
            </w:r>
          </w:p>
        </w:tc>
      </w:tr>
      <w:tr w14:paraId="20346187" w14:textId="77777777" w:rsidTr="00266255">
        <w:tblPrEx>
          <w:tblW w:w="5195" w:type="pct"/>
          <w:jc w:val="right"/>
          <w:tblLayout w:type="fixed"/>
          <w:tblLook w:val="01E0"/>
        </w:tblPrEx>
        <w:trPr>
          <w:cantSplit/>
          <w:jc w:val="right"/>
        </w:trPr>
        <w:tc>
          <w:tcPr>
            <w:tcW w:w="752" w:type="pct"/>
            <w:vMerge/>
            <w:tcBorders>
              <w:left w:val="single" w:sz="4" w:space="0" w:color="auto"/>
              <w:bottom w:val="single" w:sz="4" w:space="0" w:color="auto"/>
              <w:right w:val="single" w:sz="4" w:space="0" w:color="auto"/>
            </w:tcBorders>
          </w:tcPr>
          <w:p w:rsidR="009E0135" w:rsidRPr="007816E0" w:rsidP="00183612" w14:paraId="556E0CFB" w14:textId="23C2C7CC">
            <w:pPr>
              <w:jc w:val="right"/>
              <w:rPr>
                <w:rFonts w:eastAsia="Calibri"/>
                <w:sz w:val="20"/>
                <w:szCs w:val="20"/>
              </w:rPr>
            </w:pPr>
          </w:p>
        </w:tc>
        <w:tc>
          <w:tcPr>
            <w:tcW w:w="792" w:type="pct"/>
            <w:tcBorders>
              <w:top w:val="single" w:sz="4" w:space="0" w:color="auto"/>
              <w:left w:val="single" w:sz="4" w:space="0" w:color="auto"/>
              <w:bottom w:val="single" w:sz="4" w:space="0" w:color="auto"/>
              <w:right w:val="single" w:sz="4" w:space="0" w:color="auto"/>
            </w:tcBorders>
          </w:tcPr>
          <w:p w:rsidR="009E0135" w:rsidRPr="007816E0" w:rsidP="00183612" w14:paraId="79F4E9CC" w14:textId="7B4BBFE7">
            <w:pPr>
              <w:jc w:val="right"/>
              <w:rPr>
                <w:rFonts w:eastAsia="Calibri"/>
                <w:sz w:val="20"/>
                <w:szCs w:val="20"/>
              </w:rPr>
            </w:pPr>
            <w:r w:rsidRPr="007816E0">
              <w:rPr>
                <w:rFonts w:eastAsia="Calibri"/>
                <w:sz w:val="20"/>
                <w:szCs w:val="20"/>
              </w:rPr>
              <w:t>16</w:t>
            </w:r>
            <w:r>
              <w:rPr>
                <w:rFonts w:eastAsia="Calibri"/>
                <w:sz w:val="20"/>
                <w:szCs w:val="20"/>
              </w:rPr>
              <w:t>6</w:t>
            </w:r>
            <w:r w:rsidRPr="007816E0">
              <w:rPr>
                <w:rFonts w:eastAsia="Calibri"/>
                <w:sz w:val="20"/>
                <w:szCs w:val="20"/>
              </w:rPr>
              <w:t xml:space="preserve"> </w:t>
            </w:r>
            <w:r w:rsidRPr="007816E0">
              <w:rPr>
                <w:rFonts w:eastAsia="Calibri"/>
                <w:sz w:val="20"/>
                <w:szCs w:val="20"/>
              </w:rPr>
              <w:t>(TOP)</w:t>
            </w:r>
          </w:p>
        </w:tc>
        <w:tc>
          <w:tcPr>
            <w:tcW w:w="585" w:type="pct"/>
            <w:tcBorders>
              <w:top w:val="single" w:sz="4" w:space="0" w:color="auto"/>
              <w:left w:val="single" w:sz="4" w:space="0" w:color="auto"/>
              <w:bottom w:val="single" w:sz="4" w:space="0" w:color="auto"/>
              <w:right w:val="single" w:sz="4" w:space="0" w:color="auto"/>
            </w:tcBorders>
          </w:tcPr>
          <w:p w:rsidR="009E0135" w:rsidRPr="007816E0" w:rsidP="00183612" w14:paraId="43BA3789" w14:textId="6F2A6F2A">
            <w:pPr>
              <w:jc w:val="right"/>
              <w:rPr>
                <w:rFonts w:eastAsia="Calibri"/>
                <w:sz w:val="20"/>
                <w:szCs w:val="20"/>
              </w:rPr>
            </w:pPr>
            <w:r w:rsidRPr="007816E0">
              <w:rPr>
                <w:rFonts w:eastAsia="Calibri"/>
                <w:sz w:val="20"/>
                <w:szCs w:val="20"/>
              </w:rPr>
              <w:t>1</w:t>
            </w:r>
          </w:p>
        </w:tc>
        <w:tc>
          <w:tcPr>
            <w:tcW w:w="583" w:type="pct"/>
            <w:tcBorders>
              <w:top w:val="single" w:sz="4" w:space="0" w:color="auto"/>
              <w:left w:val="single" w:sz="4" w:space="0" w:color="auto"/>
              <w:bottom w:val="single" w:sz="4" w:space="0" w:color="auto"/>
              <w:right w:val="single" w:sz="4" w:space="0" w:color="auto"/>
            </w:tcBorders>
          </w:tcPr>
          <w:p w:rsidR="009E0135" w:rsidRPr="00266255" w:rsidP="00183612" w14:paraId="59F1697F" w14:textId="240DF7AE">
            <w:pPr>
              <w:jc w:val="right"/>
              <w:rPr>
                <w:rFonts w:eastAsia="Calibri"/>
                <w:sz w:val="20"/>
                <w:szCs w:val="20"/>
              </w:rPr>
            </w:pPr>
            <w:r w:rsidRPr="00266255">
              <w:rPr>
                <w:rFonts w:eastAsia="Calibri"/>
                <w:sz w:val="20"/>
                <w:szCs w:val="20"/>
              </w:rPr>
              <w:t>166</w:t>
            </w:r>
          </w:p>
        </w:tc>
        <w:tc>
          <w:tcPr>
            <w:tcW w:w="766" w:type="pct"/>
            <w:tcBorders>
              <w:top w:val="single" w:sz="4" w:space="0" w:color="auto"/>
              <w:left w:val="single" w:sz="4" w:space="0" w:color="auto"/>
              <w:bottom w:val="single" w:sz="4" w:space="0" w:color="auto"/>
              <w:right w:val="single" w:sz="4" w:space="0" w:color="auto"/>
            </w:tcBorders>
          </w:tcPr>
          <w:p w:rsidR="007C75B8" w:rsidRPr="00266255" w:rsidP="00183612" w14:paraId="24DFF7B0" w14:textId="16D92921">
            <w:pPr>
              <w:jc w:val="right"/>
              <w:rPr>
                <w:rFonts w:eastAsia="Calibri"/>
                <w:sz w:val="20"/>
                <w:szCs w:val="20"/>
              </w:rPr>
            </w:pPr>
            <w:r w:rsidRPr="00266255">
              <w:rPr>
                <w:rFonts w:eastAsia="Calibri"/>
                <w:sz w:val="20"/>
                <w:szCs w:val="20"/>
              </w:rPr>
              <w:t>12</w:t>
            </w:r>
            <w:r w:rsidRPr="00266255">
              <w:rPr>
                <w:rFonts w:eastAsia="Calibri"/>
                <w:sz w:val="20"/>
                <w:szCs w:val="20"/>
              </w:rPr>
              <w:t xml:space="preserve"> hrs.</w:t>
            </w:r>
          </w:p>
          <w:p w:rsidR="009E0135" w:rsidRPr="00266255" w:rsidP="00183612" w14:paraId="1D69081A" w14:textId="46E3A44E">
            <w:pPr>
              <w:jc w:val="right"/>
              <w:rPr>
                <w:rFonts w:eastAsia="Calibri"/>
                <w:sz w:val="20"/>
                <w:szCs w:val="20"/>
              </w:rPr>
            </w:pPr>
            <w:r w:rsidRPr="00266255">
              <w:rPr>
                <w:rFonts w:eastAsia="Calibri"/>
                <w:sz w:val="20"/>
                <w:szCs w:val="20"/>
              </w:rPr>
              <w:t>$</w:t>
            </w:r>
            <w:r w:rsidRPr="00266255" w:rsidR="0092779E">
              <w:rPr>
                <w:rFonts w:eastAsia="Calibri"/>
                <w:sz w:val="20"/>
                <w:szCs w:val="20"/>
              </w:rPr>
              <w:t>762.24</w:t>
            </w:r>
          </w:p>
        </w:tc>
        <w:tc>
          <w:tcPr>
            <w:tcW w:w="827" w:type="pct"/>
            <w:tcBorders>
              <w:top w:val="single" w:sz="4" w:space="0" w:color="auto"/>
              <w:left w:val="single" w:sz="4" w:space="0" w:color="auto"/>
              <w:bottom w:val="single" w:sz="4" w:space="0" w:color="auto"/>
              <w:right w:val="single" w:sz="4" w:space="0" w:color="auto"/>
            </w:tcBorders>
          </w:tcPr>
          <w:p w:rsidR="007C75B8" w:rsidRPr="00266255" w:rsidP="00183612" w14:paraId="198E2B74" w14:textId="262312DD">
            <w:pPr>
              <w:jc w:val="right"/>
              <w:rPr>
                <w:rFonts w:eastAsia="Calibri"/>
                <w:sz w:val="20"/>
                <w:szCs w:val="20"/>
              </w:rPr>
            </w:pPr>
            <w:r w:rsidRPr="00266255">
              <w:rPr>
                <w:rFonts w:eastAsia="Calibri"/>
                <w:sz w:val="20"/>
                <w:szCs w:val="20"/>
              </w:rPr>
              <w:t>1,992</w:t>
            </w:r>
            <w:r w:rsidRPr="00266255">
              <w:rPr>
                <w:rFonts w:eastAsia="Calibri"/>
                <w:sz w:val="20"/>
                <w:szCs w:val="20"/>
              </w:rPr>
              <w:t xml:space="preserve"> hrs.</w:t>
            </w:r>
          </w:p>
          <w:p w:rsidR="009E0135" w:rsidRPr="00266255" w:rsidP="00183612" w14:paraId="6168948D" w14:textId="2A97698D">
            <w:pPr>
              <w:jc w:val="right"/>
              <w:rPr>
                <w:rFonts w:eastAsia="Calibri"/>
                <w:sz w:val="20"/>
                <w:szCs w:val="20"/>
              </w:rPr>
            </w:pPr>
            <w:r w:rsidRPr="00266255">
              <w:rPr>
                <w:rFonts w:eastAsia="Calibri"/>
                <w:sz w:val="20"/>
                <w:szCs w:val="20"/>
              </w:rPr>
              <w:t>$</w:t>
            </w:r>
            <w:r w:rsidRPr="00266255" w:rsidR="00BC2F30">
              <w:rPr>
                <w:rFonts w:eastAsia="Calibri"/>
                <w:sz w:val="20"/>
                <w:szCs w:val="20"/>
              </w:rPr>
              <w:t>126,531.84</w:t>
            </w:r>
          </w:p>
        </w:tc>
        <w:tc>
          <w:tcPr>
            <w:tcW w:w="695" w:type="pct"/>
            <w:tcBorders>
              <w:top w:val="single" w:sz="4" w:space="0" w:color="auto"/>
              <w:left w:val="single" w:sz="4" w:space="0" w:color="auto"/>
              <w:bottom w:val="single" w:sz="4" w:space="0" w:color="auto"/>
              <w:right w:val="single" w:sz="4" w:space="0" w:color="auto"/>
            </w:tcBorders>
          </w:tcPr>
          <w:p w:rsidR="009E0135" w:rsidRPr="00266255" w:rsidP="00183612" w14:paraId="0417CD87" w14:textId="0DB901B8">
            <w:pPr>
              <w:jc w:val="right"/>
              <w:rPr>
                <w:rFonts w:eastAsia="Calibri"/>
                <w:sz w:val="20"/>
                <w:szCs w:val="20"/>
              </w:rPr>
            </w:pPr>
            <w:r w:rsidRPr="00266255">
              <w:rPr>
                <w:rFonts w:eastAsia="Calibri"/>
                <w:sz w:val="20"/>
                <w:szCs w:val="20"/>
              </w:rPr>
              <w:t>$</w:t>
            </w:r>
            <w:r w:rsidRPr="00266255" w:rsidR="006C44D8">
              <w:rPr>
                <w:rFonts w:eastAsia="Calibri"/>
                <w:sz w:val="20"/>
                <w:szCs w:val="20"/>
              </w:rPr>
              <w:t>762.24</w:t>
            </w:r>
          </w:p>
        </w:tc>
      </w:tr>
      <w:tr w14:paraId="35BB593F" w14:textId="77777777" w:rsidTr="00266255">
        <w:tblPrEx>
          <w:tblW w:w="5195" w:type="pct"/>
          <w:jc w:val="right"/>
          <w:tblLayout w:type="fixed"/>
          <w:tblLook w:val="01E0"/>
        </w:tblPrEx>
        <w:trPr>
          <w:cantSplit/>
          <w:jc w:val="right"/>
        </w:trPr>
        <w:tc>
          <w:tcPr>
            <w:tcW w:w="752" w:type="pct"/>
            <w:tcBorders>
              <w:top w:val="single" w:sz="4" w:space="0" w:color="auto"/>
              <w:left w:val="single" w:sz="4" w:space="0" w:color="auto"/>
              <w:bottom w:val="single" w:sz="4" w:space="0" w:color="auto"/>
              <w:right w:val="single" w:sz="4" w:space="0" w:color="auto"/>
            </w:tcBorders>
            <w:hideMark/>
          </w:tcPr>
          <w:p w:rsidR="000D24D1" w:rsidRPr="007816E0" w:rsidP="00183612" w14:paraId="1AD0B770" w14:textId="6A33443F">
            <w:pPr>
              <w:jc w:val="right"/>
              <w:rPr>
                <w:rFonts w:eastAsia="Calibri"/>
                <w:sz w:val="20"/>
                <w:szCs w:val="20"/>
              </w:rPr>
            </w:pPr>
            <w:r w:rsidRPr="007816E0">
              <w:rPr>
                <w:rFonts w:eastAsia="Calibri"/>
                <w:sz w:val="20"/>
                <w:szCs w:val="20"/>
              </w:rPr>
              <w:t>IRO-002-</w:t>
            </w:r>
            <w:r w:rsidRPr="007816E0" w:rsidR="00F53412">
              <w:rPr>
                <w:rFonts w:eastAsia="Calibri"/>
                <w:sz w:val="20"/>
                <w:szCs w:val="20"/>
              </w:rPr>
              <w:t>7</w:t>
            </w:r>
          </w:p>
        </w:tc>
        <w:tc>
          <w:tcPr>
            <w:tcW w:w="792" w:type="pct"/>
            <w:tcBorders>
              <w:top w:val="single" w:sz="4" w:space="0" w:color="auto"/>
              <w:left w:val="single" w:sz="4" w:space="0" w:color="auto"/>
              <w:bottom w:val="single" w:sz="4" w:space="0" w:color="auto"/>
              <w:right w:val="single" w:sz="4" w:space="0" w:color="auto"/>
            </w:tcBorders>
            <w:hideMark/>
          </w:tcPr>
          <w:p w:rsidR="000D24D1" w:rsidRPr="007816E0" w:rsidP="00183612" w14:paraId="541A101D" w14:textId="7B93787A">
            <w:pPr>
              <w:jc w:val="right"/>
              <w:rPr>
                <w:rFonts w:eastAsia="Calibri"/>
                <w:sz w:val="20"/>
                <w:szCs w:val="20"/>
              </w:rPr>
            </w:pPr>
            <w:r w:rsidRPr="007816E0">
              <w:rPr>
                <w:rFonts w:eastAsia="Calibri"/>
                <w:sz w:val="20"/>
                <w:szCs w:val="20"/>
              </w:rPr>
              <w:t xml:space="preserve">12 </w:t>
            </w:r>
            <w:r w:rsidRPr="007816E0">
              <w:rPr>
                <w:rFonts w:eastAsia="Calibri"/>
                <w:sz w:val="20"/>
                <w:szCs w:val="20"/>
              </w:rPr>
              <w:t>(RC)</w:t>
            </w:r>
          </w:p>
        </w:tc>
        <w:tc>
          <w:tcPr>
            <w:tcW w:w="585" w:type="pct"/>
            <w:tcBorders>
              <w:top w:val="single" w:sz="4" w:space="0" w:color="auto"/>
              <w:left w:val="single" w:sz="4" w:space="0" w:color="auto"/>
              <w:bottom w:val="single" w:sz="4" w:space="0" w:color="auto"/>
              <w:right w:val="single" w:sz="4" w:space="0" w:color="auto"/>
            </w:tcBorders>
            <w:hideMark/>
          </w:tcPr>
          <w:p w:rsidR="000D24D1" w:rsidRPr="007816E0" w:rsidP="00183612" w14:paraId="06E90CDE" w14:textId="77777777">
            <w:pPr>
              <w:jc w:val="right"/>
              <w:rPr>
                <w:rFonts w:eastAsia="Calibri"/>
                <w:sz w:val="20"/>
                <w:szCs w:val="20"/>
              </w:rPr>
            </w:pPr>
            <w:r w:rsidRPr="007816E0">
              <w:rPr>
                <w:rFonts w:eastAsia="Calibri"/>
                <w:sz w:val="20"/>
                <w:szCs w:val="20"/>
              </w:rPr>
              <w:t>1</w:t>
            </w:r>
          </w:p>
        </w:tc>
        <w:tc>
          <w:tcPr>
            <w:tcW w:w="583" w:type="pct"/>
            <w:tcBorders>
              <w:top w:val="single" w:sz="4" w:space="0" w:color="auto"/>
              <w:left w:val="single" w:sz="4" w:space="0" w:color="auto"/>
              <w:bottom w:val="single" w:sz="4" w:space="0" w:color="auto"/>
              <w:right w:val="single" w:sz="4" w:space="0" w:color="auto"/>
            </w:tcBorders>
            <w:hideMark/>
          </w:tcPr>
          <w:p w:rsidR="000D24D1" w:rsidRPr="00266255" w:rsidP="00183612" w14:paraId="359F5C71" w14:textId="39642F3A">
            <w:pPr>
              <w:jc w:val="right"/>
              <w:rPr>
                <w:rFonts w:eastAsia="Calibri"/>
                <w:sz w:val="20"/>
                <w:szCs w:val="20"/>
              </w:rPr>
            </w:pPr>
            <w:r w:rsidRPr="00266255">
              <w:rPr>
                <w:rFonts w:eastAsia="Calibri"/>
                <w:sz w:val="20"/>
                <w:szCs w:val="20"/>
              </w:rPr>
              <w:t>12</w:t>
            </w:r>
          </w:p>
        </w:tc>
        <w:tc>
          <w:tcPr>
            <w:tcW w:w="766" w:type="pct"/>
            <w:tcBorders>
              <w:top w:val="single" w:sz="4" w:space="0" w:color="auto"/>
              <w:left w:val="single" w:sz="4" w:space="0" w:color="auto"/>
              <w:bottom w:val="single" w:sz="4" w:space="0" w:color="auto"/>
              <w:right w:val="single" w:sz="4" w:space="0" w:color="auto"/>
            </w:tcBorders>
            <w:hideMark/>
          </w:tcPr>
          <w:p w:rsidR="000D24D1" w:rsidRPr="00266255" w:rsidP="00183612" w14:paraId="3DAA32F1" w14:textId="53748422">
            <w:pPr>
              <w:jc w:val="right"/>
              <w:rPr>
                <w:rFonts w:eastAsia="Calibri"/>
                <w:sz w:val="20"/>
                <w:szCs w:val="20"/>
              </w:rPr>
            </w:pPr>
            <w:r w:rsidRPr="00266255">
              <w:rPr>
                <w:rFonts w:eastAsia="Calibri"/>
                <w:sz w:val="20"/>
                <w:szCs w:val="20"/>
              </w:rPr>
              <w:t>24</w:t>
            </w:r>
            <w:r w:rsidRPr="00266255">
              <w:rPr>
                <w:rFonts w:eastAsia="Calibri"/>
                <w:sz w:val="20"/>
                <w:szCs w:val="20"/>
              </w:rPr>
              <w:t xml:space="preserve"> hrs.</w:t>
            </w:r>
            <w:r w:rsidRPr="00266255" w:rsidR="00844C6B">
              <w:rPr>
                <w:rFonts w:eastAsia="Calibri"/>
                <w:sz w:val="20"/>
                <w:szCs w:val="20"/>
              </w:rPr>
              <w:t>,</w:t>
            </w:r>
          </w:p>
          <w:p w:rsidR="000D24D1" w:rsidRPr="00266255" w:rsidP="00183612" w14:paraId="457123DD" w14:textId="0D83ABDD">
            <w:pPr>
              <w:jc w:val="right"/>
              <w:rPr>
                <w:rFonts w:eastAsia="Calibri"/>
                <w:sz w:val="20"/>
                <w:szCs w:val="20"/>
              </w:rPr>
            </w:pPr>
            <w:r w:rsidRPr="00266255">
              <w:rPr>
                <w:rFonts w:eastAsia="Calibri"/>
                <w:sz w:val="20"/>
                <w:szCs w:val="20"/>
              </w:rPr>
              <w:t>$</w:t>
            </w:r>
            <w:r w:rsidRPr="00266255" w:rsidR="006C44D8">
              <w:rPr>
                <w:rFonts w:eastAsia="Calibri"/>
                <w:sz w:val="20"/>
                <w:szCs w:val="20"/>
              </w:rPr>
              <w:t>1,524.48</w:t>
            </w:r>
          </w:p>
        </w:tc>
        <w:tc>
          <w:tcPr>
            <w:tcW w:w="827" w:type="pct"/>
            <w:tcBorders>
              <w:top w:val="single" w:sz="4" w:space="0" w:color="auto"/>
              <w:left w:val="single" w:sz="4" w:space="0" w:color="auto"/>
              <w:bottom w:val="single" w:sz="4" w:space="0" w:color="auto"/>
              <w:right w:val="single" w:sz="4" w:space="0" w:color="auto"/>
            </w:tcBorders>
            <w:hideMark/>
          </w:tcPr>
          <w:p w:rsidR="000D24D1" w:rsidRPr="00266255" w:rsidP="00183612" w14:paraId="2079A6BC" w14:textId="0F6503B9">
            <w:pPr>
              <w:jc w:val="right"/>
              <w:rPr>
                <w:rFonts w:eastAsia="Calibri"/>
                <w:sz w:val="20"/>
                <w:szCs w:val="20"/>
              </w:rPr>
            </w:pPr>
            <w:r w:rsidRPr="00266255">
              <w:rPr>
                <w:rFonts w:eastAsia="Calibri"/>
                <w:sz w:val="20"/>
                <w:szCs w:val="20"/>
              </w:rPr>
              <w:t>288</w:t>
            </w:r>
            <w:r w:rsidRPr="00266255" w:rsidR="00BC6F10">
              <w:rPr>
                <w:rFonts w:eastAsia="Calibri"/>
                <w:sz w:val="20"/>
                <w:szCs w:val="20"/>
              </w:rPr>
              <w:t xml:space="preserve"> </w:t>
            </w:r>
            <w:r w:rsidRPr="00266255">
              <w:rPr>
                <w:rFonts w:eastAsia="Calibri"/>
                <w:sz w:val="20"/>
                <w:szCs w:val="20"/>
              </w:rPr>
              <w:t>hrs., $</w:t>
            </w:r>
            <w:r w:rsidRPr="00266255" w:rsidR="00C90E29">
              <w:rPr>
                <w:rFonts w:eastAsia="Calibri"/>
                <w:sz w:val="20"/>
                <w:szCs w:val="20"/>
              </w:rPr>
              <w:t>18,293.76</w:t>
            </w:r>
          </w:p>
        </w:tc>
        <w:tc>
          <w:tcPr>
            <w:tcW w:w="695" w:type="pct"/>
            <w:tcBorders>
              <w:top w:val="single" w:sz="4" w:space="0" w:color="auto"/>
              <w:left w:val="single" w:sz="4" w:space="0" w:color="auto"/>
              <w:bottom w:val="single" w:sz="4" w:space="0" w:color="auto"/>
              <w:right w:val="single" w:sz="4" w:space="0" w:color="auto"/>
            </w:tcBorders>
            <w:hideMark/>
          </w:tcPr>
          <w:p w:rsidR="000D24D1" w:rsidRPr="00266255" w:rsidP="00183612" w14:paraId="75FE3EC7" w14:textId="314C79CB">
            <w:pPr>
              <w:jc w:val="right"/>
              <w:rPr>
                <w:rFonts w:eastAsia="Calibri"/>
                <w:sz w:val="20"/>
                <w:szCs w:val="20"/>
              </w:rPr>
            </w:pPr>
            <w:r w:rsidRPr="00266255">
              <w:rPr>
                <w:rFonts w:eastAsia="Calibri"/>
                <w:sz w:val="20"/>
                <w:szCs w:val="20"/>
              </w:rPr>
              <w:t>$</w:t>
            </w:r>
            <w:r w:rsidRPr="00266255" w:rsidR="005A3BB9">
              <w:rPr>
                <w:rFonts w:eastAsia="Calibri"/>
                <w:sz w:val="20"/>
                <w:szCs w:val="20"/>
              </w:rPr>
              <w:t>1,524.48</w:t>
            </w:r>
          </w:p>
        </w:tc>
      </w:tr>
      <w:tr w14:paraId="19CBD53E" w14:textId="77777777" w:rsidTr="00266255">
        <w:tblPrEx>
          <w:tblW w:w="5195" w:type="pct"/>
          <w:jc w:val="right"/>
          <w:tblLayout w:type="fixed"/>
          <w:tblLook w:val="01E0"/>
        </w:tblPrEx>
        <w:trPr>
          <w:cantSplit/>
          <w:jc w:val="right"/>
        </w:trPr>
        <w:tc>
          <w:tcPr>
            <w:tcW w:w="752" w:type="pct"/>
            <w:tcBorders>
              <w:top w:val="single" w:sz="4" w:space="0" w:color="auto"/>
              <w:left w:val="single" w:sz="4" w:space="0" w:color="auto"/>
              <w:bottom w:val="single" w:sz="4" w:space="0" w:color="auto"/>
              <w:right w:val="single" w:sz="4" w:space="0" w:color="auto"/>
            </w:tcBorders>
            <w:hideMark/>
          </w:tcPr>
          <w:p w:rsidR="000D24D1" w:rsidRPr="007816E0" w:rsidP="00183612" w14:paraId="6F5B9096" w14:textId="3A22BFB0">
            <w:pPr>
              <w:jc w:val="right"/>
              <w:rPr>
                <w:rFonts w:eastAsia="Calibri"/>
                <w:sz w:val="20"/>
                <w:szCs w:val="20"/>
              </w:rPr>
            </w:pPr>
            <w:r>
              <w:rPr>
                <w:rFonts w:eastAsia="Calibri"/>
                <w:sz w:val="20"/>
                <w:szCs w:val="20"/>
              </w:rPr>
              <w:t xml:space="preserve"> </w:t>
            </w:r>
            <w:r w:rsidRPr="007816E0">
              <w:rPr>
                <w:rFonts w:eastAsia="Calibri"/>
                <w:sz w:val="20"/>
                <w:szCs w:val="20"/>
              </w:rPr>
              <w:t>IRO-008-</w:t>
            </w:r>
            <w:r w:rsidR="00251851">
              <w:rPr>
                <w:rFonts w:eastAsia="Calibri"/>
                <w:sz w:val="20"/>
                <w:szCs w:val="20"/>
              </w:rPr>
              <w:t>3</w:t>
            </w:r>
          </w:p>
        </w:tc>
        <w:tc>
          <w:tcPr>
            <w:tcW w:w="792" w:type="pct"/>
            <w:tcBorders>
              <w:top w:val="single" w:sz="4" w:space="0" w:color="auto"/>
              <w:left w:val="single" w:sz="4" w:space="0" w:color="auto"/>
              <w:bottom w:val="single" w:sz="4" w:space="0" w:color="auto"/>
              <w:right w:val="single" w:sz="4" w:space="0" w:color="auto"/>
            </w:tcBorders>
            <w:hideMark/>
          </w:tcPr>
          <w:p w:rsidR="000D24D1" w:rsidRPr="007816E0" w:rsidP="00183612" w14:paraId="26C6CE5E" w14:textId="37519366">
            <w:pPr>
              <w:jc w:val="right"/>
              <w:rPr>
                <w:rFonts w:eastAsia="Calibri"/>
                <w:sz w:val="20"/>
                <w:szCs w:val="20"/>
              </w:rPr>
            </w:pPr>
            <w:r w:rsidRPr="007816E0">
              <w:rPr>
                <w:rFonts w:eastAsia="Calibri"/>
                <w:sz w:val="20"/>
                <w:szCs w:val="20"/>
              </w:rPr>
              <w:t xml:space="preserve">12 </w:t>
            </w:r>
            <w:r w:rsidRPr="007816E0">
              <w:rPr>
                <w:rFonts w:eastAsia="Calibri"/>
                <w:sz w:val="20"/>
                <w:szCs w:val="20"/>
              </w:rPr>
              <w:t>(RC)</w:t>
            </w:r>
          </w:p>
        </w:tc>
        <w:tc>
          <w:tcPr>
            <w:tcW w:w="585" w:type="pct"/>
            <w:tcBorders>
              <w:top w:val="single" w:sz="4" w:space="0" w:color="auto"/>
              <w:left w:val="single" w:sz="4" w:space="0" w:color="auto"/>
              <w:bottom w:val="single" w:sz="4" w:space="0" w:color="auto"/>
              <w:right w:val="single" w:sz="4" w:space="0" w:color="auto"/>
            </w:tcBorders>
            <w:hideMark/>
          </w:tcPr>
          <w:p w:rsidR="000D24D1" w:rsidRPr="007816E0" w:rsidP="00183612" w14:paraId="33E7BA00" w14:textId="4F9091FC">
            <w:pPr>
              <w:jc w:val="right"/>
              <w:rPr>
                <w:rFonts w:eastAsia="Calibri"/>
                <w:sz w:val="20"/>
                <w:szCs w:val="20"/>
              </w:rPr>
            </w:pPr>
            <w:r w:rsidRPr="007816E0">
              <w:rPr>
                <w:rFonts w:eastAsia="Calibri"/>
                <w:sz w:val="20"/>
                <w:szCs w:val="20"/>
              </w:rPr>
              <w:t>1</w:t>
            </w:r>
          </w:p>
        </w:tc>
        <w:tc>
          <w:tcPr>
            <w:tcW w:w="583" w:type="pct"/>
            <w:tcBorders>
              <w:top w:val="single" w:sz="4" w:space="0" w:color="auto"/>
              <w:left w:val="single" w:sz="4" w:space="0" w:color="auto"/>
              <w:bottom w:val="single" w:sz="4" w:space="0" w:color="auto"/>
              <w:right w:val="single" w:sz="4" w:space="0" w:color="auto"/>
            </w:tcBorders>
            <w:hideMark/>
          </w:tcPr>
          <w:p w:rsidR="000D24D1" w:rsidRPr="00266255" w:rsidP="00183612" w14:paraId="5BD76146" w14:textId="64AE8EDD">
            <w:pPr>
              <w:jc w:val="right"/>
              <w:rPr>
                <w:rFonts w:eastAsia="Calibri"/>
                <w:sz w:val="20"/>
                <w:szCs w:val="20"/>
              </w:rPr>
            </w:pPr>
            <w:r w:rsidRPr="00266255">
              <w:rPr>
                <w:rFonts w:eastAsia="Calibri"/>
                <w:sz w:val="20"/>
                <w:szCs w:val="20"/>
              </w:rPr>
              <w:t>12</w:t>
            </w:r>
          </w:p>
        </w:tc>
        <w:tc>
          <w:tcPr>
            <w:tcW w:w="766" w:type="pct"/>
            <w:tcBorders>
              <w:top w:val="single" w:sz="4" w:space="0" w:color="auto"/>
              <w:left w:val="single" w:sz="4" w:space="0" w:color="auto"/>
              <w:bottom w:val="single" w:sz="4" w:space="0" w:color="auto"/>
              <w:right w:val="single" w:sz="4" w:space="0" w:color="auto"/>
            </w:tcBorders>
            <w:hideMark/>
          </w:tcPr>
          <w:p w:rsidR="000D24D1" w:rsidRPr="00266255" w:rsidP="00183612" w14:paraId="70BB9B02" w14:textId="17ABAB0D">
            <w:pPr>
              <w:jc w:val="right"/>
              <w:rPr>
                <w:rFonts w:eastAsia="Calibri"/>
                <w:sz w:val="20"/>
                <w:szCs w:val="20"/>
              </w:rPr>
            </w:pPr>
            <w:r w:rsidRPr="00266255">
              <w:rPr>
                <w:rFonts w:eastAsia="Calibri"/>
                <w:sz w:val="20"/>
                <w:szCs w:val="20"/>
              </w:rPr>
              <w:t>160</w:t>
            </w:r>
            <w:r w:rsidRPr="00266255" w:rsidR="00B649F0">
              <w:rPr>
                <w:rFonts w:eastAsia="Calibri"/>
                <w:sz w:val="20"/>
                <w:szCs w:val="20"/>
              </w:rPr>
              <w:t xml:space="preserve"> </w:t>
            </w:r>
            <w:r w:rsidRPr="00266255">
              <w:rPr>
                <w:rFonts w:eastAsia="Calibri"/>
                <w:sz w:val="20"/>
                <w:szCs w:val="20"/>
              </w:rPr>
              <w:t>hrs.</w:t>
            </w:r>
            <w:r w:rsidRPr="00266255" w:rsidR="00844C6B">
              <w:rPr>
                <w:rFonts w:eastAsia="Calibri"/>
                <w:sz w:val="20"/>
                <w:szCs w:val="20"/>
              </w:rPr>
              <w:t>,</w:t>
            </w:r>
          </w:p>
          <w:p w:rsidR="000D24D1" w:rsidRPr="00266255" w:rsidP="00183612" w14:paraId="6836A119" w14:textId="5DE93351">
            <w:pPr>
              <w:jc w:val="right"/>
              <w:rPr>
                <w:rFonts w:eastAsia="Calibri"/>
                <w:sz w:val="20"/>
                <w:szCs w:val="20"/>
              </w:rPr>
            </w:pPr>
            <w:r w:rsidRPr="00266255">
              <w:rPr>
                <w:rFonts w:eastAsia="Calibri"/>
                <w:sz w:val="20"/>
                <w:szCs w:val="20"/>
              </w:rPr>
              <w:t>$</w:t>
            </w:r>
            <w:r w:rsidRPr="00266255" w:rsidR="006C44D8">
              <w:rPr>
                <w:rFonts w:eastAsia="Calibri"/>
                <w:sz w:val="20"/>
                <w:szCs w:val="20"/>
              </w:rPr>
              <w:t>10,163.2</w:t>
            </w:r>
          </w:p>
        </w:tc>
        <w:tc>
          <w:tcPr>
            <w:tcW w:w="827" w:type="pct"/>
            <w:tcBorders>
              <w:top w:val="single" w:sz="4" w:space="0" w:color="auto"/>
              <w:left w:val="single" w:sz="4" w:space="0" w:color="auto"/>
              <w:bottom w:val="single" w:sz="4" w:space="0" w:color="auto"/>
              <w:right w:val="single" w:sz="4" w:space="0" w:color="auto"/>
            </w:tcBorders>
            <w:hideMark/>
          </w:tcPr>
          <w:p w:rsidR="00844C6B" w:rsidRPr="00266255" w:rsidP="00183612" w14:paraId="05FE9B1E" w14:textId="03806DCC">
            <w:pPr>
              <w:jc w:val="right"/>
              <w:rPr>
                <w:rFonts w:eastAsia="Calibri"/>
                <w:sz w:val="20"/>
                <w:szCs w:val="20"/>
              </w:rPr>
            </w:pPr>
            <w:r w:rsidRPr="00266255">
              <w:rPr>
                <w:rFonts w:eastAsia="Calibri"/>
                <w:sz w:val="20"/>
                <w:szCs w:val="20"/>
              </w:rPr>
              <w:t>1,920</w:t>
            </w:r>
            <w:r w:rsidRPr="00266255" w:rsidR="000D24D1">
              <w:rPr>
                <w:rFonts w:eastAsia="Calibri"/>
                <w:sz w:val="20"/>
                <w:szCs w:val="20"/>
              </w:rPr>
              <w:t xml:space="preserve"> hrs.,</w:t>
            </w:r>
          </w:p>
          <w:p w:rsidR="000D24D1" w:rsidRPr="00266255" w:rsidP="00183612" w14:paraId="12CF2236" w14:textId="56628AB5">
            <w:pPr>
              <w:jc w:val="right"/>
              <w:rPr>
                <w:rFonts w:eastAsia="Calibri"/>
                <w:sz w:val="20"/>
                <w:szCs w:val="20"/>
              </w:rPr>
            </w:pPr>
            <w:r w:rsidRPr="00266255">
              <w:rPr>
                <w:rFonts w:eastAsia="Calibri"/>
                <w:sz w:val="20"/>
                <w:szCs w:val="20"/>
              </w:rPr>
              <w:t>$</w:t>
            </w:r>
            <w:r w:rsidRPr="00266255" w:rsidR="00C93414">
              <w:rPr>
                <w:rFonts w:eastAsia="Calibri"/>
                <w:sz w:val="20"/>
                <w:szCs w:val="20"/>
              </w:rPr>
              <w:t>121,985.4</w:t>
            </w:r>
          </w:p>
        </w:tc>
        <w:tc>
          <w:tcPr>
            <w:tcW w:w="695" w:type="pct"/>
            <w:tcBorders>
              <w:top w:val="single" w:sz="4" w:space="0" w:color="auto"/>
              <w:left w:val="single" w:sz="4" w:space="0" w:color="auto"/>
              <w:bottom w:val="single" w:sz="4" w:space="0" w:color="auto"/>
              <w:right w:val="single" w:sz="4" w:space="0" w:color="auto"/>
            </w:tcBorders>
            <w:hideMark/>
          </w:tcPr>
          <w:p w:rsidR="000D24D1" w:rsidRPr="00266255" w:rsidP="00183612" w14:paraId="2F603B33" w14:textId="1D702B41">
            <w:pPr>
              <w:jc w:val="right"/>
              <w:rPr>
                <w:rFonts w:eastAsia="Calibri"/>
                <w:sz w:val="20"/>
                <w:szCs w:val="20"/>
              </w:rPr>
            </w:pPr>
            <w:r w:rsidRPr="00266255">
              <w:rPr>
                <w:rFonts w:eastAsia="Calibri"/>
                <w:sz w:val="20"/>
                <w:szCs w:val="20"/>
              </w:rPr>
              <w:t>$</w:t>
            </w:r>
            <w:r w:rsidRPr="00266255" w:rsidR="005A3BB9">
              <w:rPr>
                <w:rFonts w:eastAsia="Calibri"/>
                <w:sz w:val="20"/>
                <w:szCs w:val="20"/>
              </w:rPr>
              <w:t>10,163.2</w:t>
            </w:r>
          </w:p>
        </w:tc>
      </w:tr>
      <w:tr w14:paraId="1D9E287F" w14:textId="77777777" w:rsidTr="00266255">
        <w:tblPrEx>
          <w:tblW w:w="5195" w:type="pct"/>
          <w:jc w:val="right"/>
          <w:tblLayout w:type="fixed"/>
          <w:tblLook w:val="01E0"/>
        </w:tblPrEx>
        <w:trPr>
          <w:cantSplit/>
          <w:jc w:val="right"/>
        </w:trPr>
        <w:tc>
          <w:tcPr>
            <w:tcW w:w="752" w:type="pct"/>
            <w:tcBorders>
              <w:top w:val="single" w:sz="4" w:space="0" w:color="auto"/>
              <w:left w:val="single" w:sz="4" w:space="0" w:color="auto"/>
              <w:bottom w:val="single" w:sz="4" w:space="0" w:color="auto"/>
              <w:right w:val="single" w:sz="4" w:space="0" w:color="auto"/>
            </w:tcBorders>
          </w:tcPr>
          <w:p w:rsidR="007C1E73" w:rsidRPr="007816E0" w:rsidP="00183612" w14:paraId="02727566" w14:textId="0385BC0A">
            <w:pPr>
              <w:jc w:val="right"/>
              <w:rPr>
                <w:rFonts w:eastAsia="Calibri"/>
                <w:sz w:val="20"/>
                <w:szCs w:val="20"/>
              </w:rPr>
            </w:pPr>
            <w:r>
              <w:rPr>
                <w:rFonts w:eastAsia="Calibri"/>
                <w:sz w:val="20"/>
                <w:szCs w:val="20"/>
              </w:rPr>
              <w:t xml:space="preserve"> </w:t>
            </w:r>
            <w:r w:rsidRPr="007816E0">
              <w:rPr>
                <w:rFonts w:eastAsia="Calibri"/>
                <w:sz w:val="20"/>
                <w:szCs w:val="20"/>
              </w:rPr>
              <w:t>IRO-009</w:t>
            </w:r>
            <w:r w:rsidRPr="007816E0" w:rsidR="00950F47">
              <w:rPr>
                <w:rFonts w:eastAsia="Calibri"/>
                <w:sz w:val="20"/>
                <w:szCs w:val="20"/>
              </w:rPr>
              <w:t>-2</w:t>
            </w:r>
          </w:p>
        </w:tc>
        <w:tc>
          <w:tcPr>
            <w:tcW w:w="792" w:type="pct"/>
            <w:tcBorders>
              <w:top w:val="single" w:sz="4" w:space="0" w:color="auto"/>
              <w:left w:val="single" w:sz="4" w:space="0" w:color="auto"/>
              <w:bottom w:val="single" w:sz="4" w:space="0" w:color="auto"/>
              <w:right w:val="single" w:sz="4" w:space="0" w:color="auto"/>
            </w:tcBorders>
          </w:tcPr>
          <w:p w:rsidR="007C1E73" w:rsidRPr="007816E0" w:rsidP="00183612" w14:paraId="7C0E69F9" w14:textId="276C235F">
            <w:pPr>
              <w:jc w:val="right"/>
              <w:rPr>
                <w:rFonts w:eastAsia="Calibri"/>
                <w:sz w:val="20"/>
                <w:szCs w:val="20"/>
              </w:rPr>
            </w:pPr>
            <w:r w:rsidRPr="007816E0">
              <w:rPr>
                <w:rFonts w:eastAsia="Calibri"/>
                <w:sz w:val="20"/>
                <w:szCs w:val="20"/>
              </w:rPr>
              <w:t>1</w:t>
            </w:r>
            <w:r w:rsidRPr="007816E0" w:rsidR="00252970">
              <w:rPr>
                <w:rFonts w:eastAsia="Calibri"/>
                <w:sz w:val="20"/>
                <w:szCs w:val="20"/>
              </w:rPr>
              <w:t>2</w:t>
            </w:r>
            <w:r w:rsidRPr="007816E0">
              <w:rPr>
                <w:rFonts w:eastAsia="Calibri"/>
                <w:sz w:val="20"/>
                <w:szCs w:val="20"/>
              </w:rPr>
              <w:t xml:space="preserve"> </w:t>
            </w:r>
            <w:r w:rsidRPr="007816E0" w:rsidR="008E7AEC">
              <w:rPr>
                <w:rFonts w:eastAsia="Calibri"/>
                <w:sz w:val="20"/>
                <w:szCs w:val="20"/>
              </w:rPr>
              <w:t>(RC)</w:t>
            </w:r>
          </w:p>
        </w:tc>
        <w:tc>
          <w:tcPr>
            <w:tcW w:w="585" w:type="pct"/>
            <w:tcBorders>
              <w:top w:val="single" w:sz="4" w:space="0" w:color="auto"/>
              <w:left w:val="single" w:sz="4" w:space="0" w:color="auto"/>
              <w:bottom w:val="single" w:sz="4" w:space="0" w:color="auto"/>
              <w:right w:val="single" w:sz="4" w:space="0" w:color="auto"/>
            </w:tcBorders>
          </w:tcPr>
          <w:p w:rsidR="007C1E73" w:rsidRPr="007816E0" w:rsidP="00183612" w14:paraId="50045DD5" w14:textId="5F68AC9C">
            <w:pPr>
              <w:jc w:val="right"/>
              <w:rPr>
                <w:rFonts w:eastAsia="Calibri"/>
                <w:sz w:val="20"/>
                <w:szCs w:val="20"/>
              </w:rPr>
            </w:pPr>
            <w:r w:rsidRPr="007816E0">
              <w:rPr>
                <w:rFonts w:eastAsia="Calibri"/>
                <w:sz w:val="20"/>
                <w:szCs w:val="20"/>
              </w:rPr>
              <w:t>1</w:t>
            </w:r>
          </w:p>
        </w:tc>
        <w:tc>
          <w:tcPr>
            <w:tcW w:w="583" w:type="pct"/>
            <w:tcBorders>
              <w:top w:val="single" w:sz="4" w:space="0" w:color="auto"/>
              <w:left w:val="single" w:sz="4" w:space="0" w:color="auto"/>
              <w:bottom w:val="single" w:sz="4" w:space="0" w:color="auto"/>
              <w:right w:val="single" w:sz="4" w:space="0" w:color="auto"/>
            </w:tcBorders>
          </w:tcPr>
          <w:p w:rsidR="007C1E73" w:rsidRPr="00266255" w:rsidP="00183612" w14:paraId="5290A632" w14:textId="4008E0C4">
            <w:pPr>
              <w:jc w:val="right"/>
              <w:rPr>
                <w:rFonts w:eastAsia="Calibri"/>
                <w:sz w:val="20"/>
                <w:szCs w:val="20"/>
              </w:rPr>
            </w:pPr>
            <w:r w:rsidRPr="00266255">
              <w:rPr>
                <w:rFonts w:eastAsia="Calibri"/>
                <w:sz w:val="20"/>
                <w:szCs w:val="20"/>
              </w:rPr>
              <w:t>12</w:t>
            </w:r>
          </w:p>
        </w:tc>
        <w:tc>
          <w:tcPr>
            <w:tcW w:w="766" w:type="pct"/>
            <w:tcBorders>
              <w:top w:val="single" w:sz="4" w:space="0" w:color="auto"/>
              <w:left w:val="single" w:sz="4" w:space="0" w:color="auto"/>
              <w:bottom w:val="single" w:sz="4" w:space="0" w:color="auto"/>
              <w:right w:val="single" w:sz="4" w:space="0" w:color="auto"/>
            </w:tcBorders>
          </w:tcPr>
          <w:p w:rsidR="00422A66" w:rsidRPr="00266255" w:rsidP="00183612" w14:paraId="6A1C7946" w14:textId="7100F07E">
            <w:pPr>
              <w:jc w:val="right"/>
              <w:rPr>
                <w:rFonts w:eastAsia="Calibri"/>
                <w:sz w:val="20"/>
                <w:szCs w:val="20"/>
              </w:rPr>
            </w:pPr>
            <w:r w:rsidRPr="00266255">
              <w:rPr>
                <w:rFonts w:eastAsia="Calibri"/>
                <w:sz w:val="20"/>
                <w:szCs w:val="20"/>
              </w:rPr>
              <w:t>12</w:t>
            </w:r>
            <w:r w:rsidRPr="00266255">
              <w:rPr>
                <w:rFonts w:eastAsia="Calibri"/>
                <w:sz w:val="20"/>
                <w:szCs w:val="20"/>
              </w:rPr>
              <w:t xml:space="preserve"> hrs.</w:t>
            </w:r>
          </w:p>
          <w:p w:rsidR="007C1E73" w:rsidRPr="00266255" w:rsidP="00183612" w14:paraId="1244A2A2" w14:textId="73382CDC">
            <w:pPr>
              <w:jc w:val="right"/>
              <w:rPr>
                <w:rFonts w:eastAsia="Calibri"/>
                <w:sz w:val="20"/>
                <w:szCs w:val="20"/>
              </w:rPr>
            </w:pPr>
            <w:r w:rsidRPr="00266255">
              <w:rPr>
                <w:rFonts w:eastAsia="Calibri"/>
                <w:sz w:val="20"/>
                <w:szCs w:val="20"/>
              </w:rPr>
              <w:t>$</w:t>
            </w:r>
            <w:r w:rsidRPr="00266255" w:rsidR="00D50D08">
              <w:rPr>
                <w:rFonts w:eastAsia="Calibri"/>
                <w:sz w:val="20"/>
                <w:szCs w:val="20"/>
              </w:rPr>
              <w:t>762.24</w:t>
            </w:r>
          </w:p>
        </w:tc>
        <w:tc>
          <w:tcPr>
            <w:tcW w:w="827" w:type="pct"/>
            <w:tcBorders>
              <w:top w:val="single" w:sz="4" w:space="0" w:color="auto"/>
              <w:left w:val="single" w:sz="4" w:space="0" w:color="auto"/>
              <w:bottom w:val="single" w:sz="4" w:space="0" w:color="auto"/>
              <w:right w:val="single" w:sz="4" w:space="0" w:color="auto"/>
            </w:tcBorders>
          </w:tcPr>
          <w:p w:rsidR="00422A66" w:rsidRPr="00266255" w:rsidP="00183612" w14:paraId="5F8FACA4" w14:textId="4C16F341">
            <w:pPr>
              <w:jc w:val="right"/>
              <w:rPr>
                <w:rFonts w:eastAsia="Calibri"/>
                <w:sz w:val="20"/>
                <w:szCs w:val="20"/>
              </w:rPr>
            </w:pPr>
            <w:r w:rsidRPr="00266255">
              <w:rPr>
                <w:rFonts w:eastAsia="Calibri"/>
                <w:sz w:val="20"/>
                <w:szCs w:val="20"/>
              </w:rPr>
              <w:t>144</w:t>
            </w:r>
            <w:r w:rsidRPr="00266255">
              <w:rPr>
                <w:rFonts w:eastAsia="Calibri"/>
                <w:sz w:val="20"/>
                <w:szCs w:val="20"/>
              </w:rPr>
              <w:t xml:space="preserve"> hrs.</w:t>
            </w:r>
          </w:p>
          <w:p w:rsidR="007C1E73" w:rsidRPr="00266255" w:rsidP="00183612" w14:paraId="6E1FEBDA" w14:textId="4D1DE25E">
            <w:pPr>
              <w:jc w:val="right"/>
              <w:rPr>
                <w:rFonts w:eastAsia="Calibri"/>
                <w:sz w:val="20"/>
                <w:szCs w:val="20"/>
              </w:rPr>
            </w:pPr>
            <w:r w:rsidRPr="00266255">
              <w:rPr>
                <w:rFonts w:eastAsia="Calibri"/>
                <w:sz w:val="20"/>
                <w:szCs w:val="20"/>
              </w:rPr>
              <w:t>$</w:t>
            </w:r>
            <w:r w:rsidRPr="00266255" w:rsidR="00AF0E80">
              <w:rPr>
                <w:rFonts w:eastAsia="Calibri"/>
                <w:sz w:val="20"/>
                <w:szCs w:val="20"/>
              </w:rPr>
              <w:t>9,146.88</w:t>
            </w:r>
          </w:p>
        </w:tc>
        <w:tc>
          <w:tcPr>
            <w:tcW w:w="695" w:type="pct"/>
            <w:tcBorders>
              <w:top w:val="single" w:sz="4" w:space="0" w:color="auto"/>
              <w:left w:val="single" w:sz="4" w:space="0" w:color="auto"/>
              <w:bottom w:val="single" w:sz="4" w:space="0" w:color="auto"/>
              <w:right w:val="single" w:sz="4" w:space="0" w:color="auto"/>
            </w:tcBorders>
          </w:tcPr>
          <w:p w:rsidR="007C1E73" w:rsidRPr="00266255" w:rsidP="00183612" w14:paraId="59A80394" w14:textId="0E82001A">
            <w:pPr>
              <w:jc w:val="right"/>
              <w:rPr>
                <w:rFonts w:eastAsia="Calibri"/>
                <w:sz w:val="20"/>
                <w:szCs w:val="20"/>
              </w:rPr>
            </w:pPr>
            <w:r w:rsidRPr="00266255">
              <w:rPr>
                <w:rFonts w:eastAsia="Calibri"/>
                <w:sz w:val="20"/>
                <w:szCs w:val="20"/>
              </w:rPr>
              <w:t>$</w:t>
            </w:r>
            <w:r w:rsidRPr="00266255" w:rsidR="00D50D08">
              <w:rPr>
                <w:rFonts w:eastAsia="Calibri"/>
                <w:sz w:val="20"/>
                <w:szCs w:val="20"/>
              </w:rPr>
              <w:t>762.24</w:t>
            </w:r>
          </w:p>
        </w:tc>
      </w:tr>
      <w:tr w14:paraId="68B3DA7D" w14:textId="77777777" w:rsidTr="00266255">
        <w:tblPrEx>
          <w:tblW w:w="5195" w:type="pct"/>
          <w:jc w:val="right"/>
          <w:tblLayout w:type="fixed"/>
          <w:tblLook w:val="01E0"/>
        </w:tblPrEx>
        <w:trPr>
          <w:cantSplit/>
          <w:jc w:val="right"/>
        </w:trPr>
        <w:tc>
          <w:tcPr>
            <w:tcW w:w="752" w:type="pct"/>
            <w:tcBorders>
              <w:top w:val="single" w:sz="4" w:space="0" w:color="auto"/>
              <w:left w:val="single" w:sz="4" w:space="0" w:color="auto"/>
              <w:bottom w:val="single" w:sz="4" w:space="0" w:color="auto"/>
              <w:right w:val="single" w:sz="4" w:space="0" w:color="auto"/>
            </w:tcBorders>
            <w:hideMark/>
          </w:tcPr>
          <w:p w:rsidR="000D24D1" w:rsidRPr="007816E0" w:rsidP="00183612" w14:paraId="3BC06A77" w14:textId="19FBA3A3">
            <w:pPr>
              <w:jc w:val="right"/>
              <w:rPr>
                <w:rFonts w:eastAsia="Calibri"/>
                <w:sz w:val="20"/>
                <w:szCs w:val="20"/>
              </w:rPr>
            </w:pPr>
            <w:r w:rsidRPr="007816E0">
              <w:rPr>
                <w:rFonts w:eastAsia="Calibri"/>
                <w:sz w:val="20"/>
                <w:szCs w:val="20"/>
              </w:rPr>
              <w:t>IRO-010-</w:t>
            </w:r>
            <w:r w:rsidR="00864765">
              <w:rPr>
                <w:rFonts w:eastAsia="Calibri"/>
                <w:sz w:val="20"/>
                <w:szCs w:val="20"/>
              </w:rPr>
              <w:t>5</w:t>
            </w:r>
          </w:p>
        </w:tc>
        <w:tc>
          <w:tcPr>
            <w:tcW w:w="792" w:type="pct"/>
            <w:tcBorders>
              <w:top w:val="single" w:sz="4" w:space="0" w:color="auto"/>
              <w:left w:val="single" w:sz="4" w:space="0" w:color="auto"/>
              <w:bottom w:val="single" w:sz="4" w:space="0" w:color="auto"/>
              <w:right w:val="single" w:sz="4" w:space="0" w:color="auto"/>
            </w:tcBorders>
            <w:hideMark/>
          </w:tcPr>
          <w:p w:rsidR="000D24D1" w:rsidRPr="007816E0" w:rsidP="00183612" w14:paraId="5FC120E2" w14:textId="4AFA84DD">
            <w:pPr>
              <w:jc w:val="right"/>
              <w:rPr>
                <w:rFonts w:eastAsia="Calibri"/>
                <w:sz w:val="20"/>
                <w:szCs w:val="20"/>
              </w:rPr>
            </w:pPr>
            <w:r w:rsidRPr="007816E0">
              <w:rPr>
                <w:rFonts w:eastAsia="Calibri"/>
                <w:sz w:val="20"/>
                <w:szCs w:val="20"/>
              </w:rPr>
              <w:t xml:space="preserve">12 </w:t>
            </w:r>
            <w:r w:rsidRPr="007816E0">
              <w:rPr>
                <w:rFonts w:eastAsia="Calibri"/>
                <w:sz w:val="20"/>
                <w:szCs w:val="20"/>
              </w:rPr>
              <w:t>(RC)</w:t>
            </w:r>
          </w:p>
        </w:tc>
        <w:tc>
          <w:tcPr>
            <w:tcW w:w="585" w:type="pct"/>
            <w:tcBorders>
              <w:top w:val="single" w:sz="4" w:space="0" w:color="auto"/>
              <w:left w:val="single" w:sz="4" w:space="0" w:color="auto"/>
              <w:bottom w:val="single" w:sz="4" w:space="0" w:color="auto"/>
              <w:right w:val="single" w:sz="4" w:space="0" w:color="auto"/>
            </w:tcBorders>
            <w:hideMark/>
          </w:tcPr>
          <w:p w:rsidR="000D24D1" w:rsidRPr="007816E0" w:rsidP="00183612" w14:paraId="0F176D26" w14:textId="77777777">
            <w:pPr>
              <w:jc w:val="right"/>
              <w:rPr>
                <w:rFonts w:eastAsia="Calibri"/>
                <w:sz w:val="20"/>
                <w:szCs w:val="20"/>
              </w:rPr>
            </w:pPr>
            <w:r w:rsidRPr="007816E0">
              <w:rPr>
                <w:rFonts w:eastAsia="Calibri"/>
                <w:sz w:val="20"/>
                <w:szCs w:val="20"/>
              </w:rPr>
              <w:t>1</w:t>
            </w:r>
          </w:p>
        </w:tc>
        <w:tc>
          <w:tcPr>
            <w:tcW w:w="583" w:type="pct"/>
            <w:tcBorders>
              <w:top w:val="single" w:sz="4" w:space="0" w:color="auto"/>
              <w:left w:val="single" w:sz="4" w:space="0" w:color="auto"/>
              <w:bottom w:val="single" w:sz="4" w:space="0" w:color="auto"/>
              <w:right w:val="single" w:sz="4" w:space="0" w:color="auto"/>
            </w:tcBorders>
            <w:hideMark/>
          </w:tcPr>
          <w:p w:rsidR="000D24D1" w:rsidRPr="00266255" w:rsidP="00183612" w14:paraId="10C305A0" w14:textId="07C7DC3E">
            <w:pPr>
              <w:jc w:val="right"/>
              <w:rPr>
                <w:rFonts w:eastAsia="Calibri"/>
                <w:sz w:val="20"/>
                <w:szCs w:val="20"/>
              </w:rPr>
            </w:pPr>
            <w:r w:rsidRPr="00266255">
              <w:rPr>
                <w:rFonts w:eastAsia="Calibri"/>
                <w:sz w:val="20"/>
                <w:szCs w:val="20"/>
              </w:rPr>
              <w:t>12</w:t>
            </w:r>
          </w:p>
        </w:tc>
        <w:tc>
          <w:tcPr>
            <w:tcW w:w="766" w:type="pct"/>
            <w:tcBorders>
              <w:top w:val="single" w:sz="4" w:space="0" w:color="auto"/>
              <w:left w:val="single" w:sz="4" w:space="0" w:color="auto"/>
              <w:bottom w:val="single" w:sz="4" w:space="0" w:color="auto"/>
              <w:right w:val="single" w:sz="4" w:space="0" w:color="auto"/>
            </w:tcBorders>
            <w:hideMark/>
          </w:tcPr>
          <w:p w:rsidR="000D24D1" w:rsidRPr="00266255" w:rsidP="00183612" w14:paraId="24BB9528" w14:textId="1958F4B7">
            <w:pPr>
              <w:jc w:val="right"/>
              <w:rPr>
                <w:rFonts w:eastAsia="Calibri"/>
                <w:sz w:val="20"/>
                <w:szCs w:val="20"/>
              </w:rPr>
            </w:pPr>
            <w:r w:rsidRPr="00266255">
              <w:rPr>
                <w:rFonts w:eastAsia="Calibri"/>
                <w:sz w:val="20"/>
                <w:szCs w:val="20"/>
              </w:rPr>
              <w:t xml:space="preserve">24 </w:t>
            </w:r>
            <w:r w:rsidRPr="00266255">
              <w:rPr>
                <w:rFonts w:eastAsia="Calibri"/>
                <w:sz w:val="20"/>
                <w:szCs w:val="20"/>
              </w:rPr>
              <w:t>hrs.</w:t>
            </w:r>
            <w:r w:rsidRPr="00266255" w:rsidR="00844C6B">
              <w:rPr>
                <w:rFonts w:eastAsia="Calibri"/>
                <w:sz w:val="20"/>
                <w:szCs w:val="20"/>
              </w:rPr>
              <w:t>,</w:t>
            </w:r>
          </w:p>
          <w:p w:rsidR="000D24D1" w:rsidRPr="00266255" w:rsidP="00183612" w14:paraId="4B55E4B1" w14:textId="2C4A91A8">
            <w:pPr>
              <w:jc w:val="right"/>
              <w:rPr>
                <w:rFonts w:eastAsia="Calibri"/>
                <w:sz w:val="20"/>
                <w:szCs w:val="20"/>
              </w:rPr>
            </w:pPr>
            <w:r w:rsidRPr="00266255">
              <w:rPr>
                <w:rFonts w:eastAsia="Calibri"/>
                <w:sz w:val="20"/>
                <w:szCs w:val="20"/>
              </w:rPr>
              <w:t>$</w:t>
            </w:r>
            <w:r w:rsidRPr="00266255" w:rsidR="006C44D8">
              <w:rPr>
                <w:rFonts w:eastAsia="Calibri"/>
                <w:sz w:val="20"/>
                <w:szCs w:val="20"/>
              </w:rPr>
              <w:t>1,524.48</w:t>
            </w:r>
          </w:p>
        </w:tc>
        <w:tc>
          <w:tcPr>
            <w:tcW w:w="827" w:type="pct"/>
            <w:tcBorders>
              <w:top w:val="single" w:sz="4" w:space="0" w:color="auto"/>
              <w:left w:val="single" w:sz="4" w:space="0" w:color="auto"/>
              <w:bottom w:val="single" w:sz="4" w:space="0" w:color="auto"/>
              <w:right w:val="single" w:sz="4" w:space="0" w:color="auto"/>
            </w:tcBorders>
            <w:hideMark/>
          </w:tcPr>
          <w:p w:rsidR="000D24D1" w:rsidRPr="00266255" w:rsidP="00183612" w14:paraId="393326E1" w14:textId="43C293F3">
            <w:pPr>
              <w:jc w:val="right"/>
              <w:rPr>
                <w:rFonts w:eastAsia="Calibri"/>
                <w:sz w:val="20"/>
                <w:szCs w:val="20"/>
              </w:rPr>
            </w:pPr>
            <w:r w:rsidRPr="00266255">
              <w:rPr>
                <w:rFonts w:eastAsia="Calibri"/>
                <w:sz w:val="20"/>
                <w:szCs w:val="20"/>
              </w:rPr>
              <w:t>288</w:t>
            </w:r>
            <w:r w:rsidRPr="00266255" w:rsidR="00D81319">
              <w:rPr>
                <w:rFonts w:eastAsia="Calibri"/>
                <w:sz w:val="20"/>
                <w:szCs w:val="20"/>
              </w:rPr>
              <w:t xml:space="preserve"> </w:t>
            </w:r>
            <w:r w:rsidRPr="00266255">
              <w:rPr>
                <w:rFonts w:eastAsia="Calibri"/>
                <w:sz w:val="20"/>
                <w:szCs w:val="20"/>
              </w:rPr>
              <w:t>hrs.,</w:t>
            </w:r>
            <w:r w:rsidRPr="00266255" w:rsidR="00D81319">
              <w:rPr>
                <w:rFonts w:eastAsia="Calibri"/>
                <w:sz w:val="20"/>
                <w:szCs w:val="20"/>
              </w:rPr>
              <w:t xml:space="preserve"> $</w:t>
            </w:r>
            <w:r w:rsidRPr="00266255" w:rsidR="005174D2">
              <w:rPr>
                <w:rFonts w:eastAsia="Calibri"/>
                <w:sz w:val="20"/>
                <w:szCs w:val="20"/>
              </w:rPr>
              <w:t>18,293.76</w:t>
            </w:r>
          </w:p>
        </w:tc>
        <w:tc>
          <w:tcPr>
            <w:tcW w:w="695" w:type="pct"/>
            <w:tcBorders>
              <w:top w:val="single" w:sz="4" w:space="0" w:color="auto"/>
              <w:left w:val="single" w:sz="4" w:space="0" w:color="auto"/>
              <w:bottom w:val="single" w:sz="4" w:space="0" w:color="auto"/>
              <w:right w:val="single" w:sz="4" w:space="0" w:color="auto"/>
            </w:tcBorders>
            <w:hideMark/>
          </w:tcPr>
          <w:p w:rsidR="000D24D1" w:rsidRPr="00266255" w:rsidP="00183612" w14:paraId="7A6751A3" w14:textId="1AB2BAC7">
            <w:pPr>
              <w:jc w:val="right"/>
              <w:rPr>
                <w:rFonts w:eastAsia="Calibri"/>
                <w:sz w:val="20"/>
                <w:szCs w:val="20"/>
              </w:rPr>
            </w:pPr>
            <w:r w:rsidRPr="00266255">
              <w:rPr>
                <w:rFonts w:eastAsia="Calibri"/>
                <w:sz w:val="20"/>
                <w:szCs w:val="20"/>
              </w:rPr>
              <w:t>$</w:t>
            </w:r>
            <w:r w:rsidRPr="00266255" w:rsidR="00952E30">
              <w:rPr>
                <w:rFonts w:eastAsia="Calibri"/>
                <w:sz w:val="20"/>
                <w:szCs w:val="20"/>
              </w:rPr>
              <w:t>1,524.48</w:t>
            </w:r>
          </w:p>
        </w:tc>
      </w:tr>
      <w:tr w14:paraId="41544F66" w14:textId="77777777" w:rsidTr="00266255">
        <w:tblPrEx>
          <w:tblW w:w="5195" w:type="pct"/>
          <w:jc w:val="right"/>
          <w:tblLayout w:type="fixed"/>
          <w:tblLook w:val="01E0"/>
        </w:tblPrEx>
        <w:trPr>
          <w:cantSplit/>
          <w:jc w:val="right"/>
        </w:trPr>
        <w:tc>
          <w:tcPr>
            <w:tcW w:w="752" w:type="pct"/>
            <w:tcBorders>
              <w:top w:val="single" w:sz="4" w:space="0" w:color="auto"/>
              <w:left w:val="single" w:sz="4" w:space="0" w:color="auto"/>
              <w:bottom w:val="single" w:sz="4" w:space="0" w:color="auto"/>
              <w:right w:val="single" w:sz="4" w:space="0" w:color="auto"/>
            </w:tcBorders>
            <w:hideMark/>
          </w:tcPr>
          <w:p w:rsidR="000D24D1" w:rsidRPr="007816E0" w:rsidP="00183612" w14:paraId="56D1EC6A" w14:textId="77777777">
            <w:pPr>
              <w:jc w:val="right"/>
              <w:rPr>
                <w:rFonts w:eastAsia="Calibri"/>
                <w:sz w:val="20"/>
                <w:szCs w:val="20"/>
              </w:rPr>
            </w:pPr>
            <w:r w:rsidRPr="007816E0">
              <w:rPr>
                <w:rFonts w:eastAsia="Calibri"/>
                <w:sz w:val="20"/>
                <w:szCs w:val="20"/>
              </w:rPr>
              <w:t>IRO-014-3</w:t>
            </w:r>
          </w:p>
        </w:tc>
        <w:tc>
          <w:tcPr>
            <w:tcW w:w="792" w:type="pct"/>
            <w:tcBorders>
              <w:top w:val="single" w:sz="4" w:space="0" w:color="auto"/>
              <w:left w:val="single" w:sz="4" w:space="0" w:color="auto"/>
              <w:bottom w:val="single" w:sz="4" w:space="0" w:color="auto"/>
              <w:right w:val="single" w:sz="4" w:space="0" w:color="auto"/>
            </w:tcBorders>
            <w:hideMark/>
          </w:tcPr>
          <w:p w:rsidR="000D24D1" w:rsidRPr="007816E0" w:rsidP="00183612" w14:paraId="4E6773C7" w14:textId="0BE9A678">
            <w:pPr>
              <w:jc w:val="right"/>
              <w:rPr>
                <w:rFonts w:eastAsia="Calibri"/>
                <w:sz w:val="20"/>
                <w:szCs w:val="20"/>
              </w:rPr>
            </w:pPr>
            <w:r w:rsidRPr="007816E0">
              <w:rPr>
                <w:rFonts w:eastAsia="Calibri"/>
                <w:sz w:val="20"/>
                <w:szCs w:val="20"/>
              </w:rPr>
              <w:t xml:space="preserve">12 </w:t>
            </w:r>
            <w:r w:rsidRPr="007816E0">
              <w:rPr>
                <w:rFonts w:eastAsia="Calibri"/>
                <w:sz w:val="20"/>
                <w:szCs w:val="20"/>
              </w:rPr>
              <w:t>(RC)</w:t>
            </w:r>
          </w:p>
        </w:tc>
        <w:tc>
          <w:tcPr>
            <w:tcW w:w="585" w:type="pct"/>
            <w:tcBorders>
              <w:top w:val="single" w:sz="4" w:space="0" w:color="auto"/>
              <w:left w:val="single" w:sz="4" w:space="0" w:color="auto"/>
              <w:bottom w:val="single" w:sz="4" w:space="0" w:color="auto"/>
              <w:right w:val="single" w:sz="4" w:space="0" w:color="auto"/>
            </w:tcBorders>
            <w:hideMark/>
          </w:tcPr>
          <w:p w:rsidR="000D24D1" w:rsidRPr="007816E0" w:rsidP="00183612" w14:paraId="71D167E4" w14:textId="77777777">
            <w:pPr>
              <w:jc w:val="right"/>
              <w:rPr>
                <w:rFonts w:eastAsia="Calibri"/>
                <w:sz w:val="20"/>
                <w:szCs w:val="20"/>
              </w:rPr>
            </w:pPr>
            <w:r w:rsidRPr="007816E0">
              <w:rPr>
                <w:rFonts w:eastAsia="Calibri"/>
                <w:sz w:val="20"/>
                <w:szCs w:val="20"/>
              </w:rPr>
              <w:t>1</w:t>
            </w:r>
          </w:p>
        </w:tc>
        <w:tc>
          <w:tcPr>
            <w:tcW w:w="583" w:type="pct"/>
            <w:tcBorders>
              <w:top w:val="single" w:sz="4" w:space="0" w:color="auto"/>
              <w:left w:val="single" w:sz="4" w:space="0" w:color="auto"/>
              <w:bottom w:val="single" w:sz="4" w:space="0" w:color="auto"/>
              <w:right w:val="single" w:sz="4" w:space="0" w:color="auto"/>
            </w:tcBorders>
            <w:hideMark/>
          </w:tcPr>
          <w:p w:rsidR="000D24D1" w:rsidRPr="00266255" w:rsidP="00183612" w14:paraId="098B846D" w14:textId="1DA3F6A1">
            <w:pPr>
              <w:jc w:val="right"/>
              <w:rPr>
                <w:rFonts w:eastAsia="Calibri"/>
                <w:sz w:val="20"/>
                <w:szCs w:val="20"/>
              </w:rPr>
            </w:pPr>
            <w:r w:rsidRPr="00266255">
              <w:rPr>
                <w:rFonts w:eastAsia="Calibri"/>
                <w:sz w:val="20"/>
                <w:szCs w:val="20"/>
              </w:rPr>
              <w:t>12</w:t>
            </w:r>
          </w:p>
        </w:tc>
        <w:tc>
          <w:tcPr>
            <w:tcW w:w="766" w:type="pct"/>
            <w:tcBorders>
              <w:top w:val="single" w:sz="4" w:space="0" w:color="auto"/>
              <w:left w:val="single" w:sz="4" w:space="0" w:color="auto"/>
              <w:bottom w:val="single" w:sz="4" w:space="0" w:color="auto"/>
              <w:right w:val="single" w:sz="4" w:space="0" w:color="auto"/>
            </w:tcBorders>
            <w:hideMark/>
          </w:tcPr>
          <w:p w:rsidR="000D24D1" w:rsidRPr="00266255" w:rsidP="00183612" w14:paraId="486400F8" w14:textId="246B7BAB">
            <w:pPr>
              <w:jc w:val="right"/>
              <w:rPr>
                <w:rFonts w:eastAsia="Calibri"/>
                <w:sz w:val="20"/>
                <w:szCs w:val="20"/>
              </w:rPr>
            </w:pPr>
            <w:r w:rsidRPr="00266255">
              <w:rPr>
                <w:rFonts w:eastAsia="Calibri"/>
                <w:sz w:val="20"/>
                <w:szCs w:val="20"/>
              </w:rPr>
              <w:t>12 hrs.</w:t>
            </w:r>
            <w:r w:rsidRPr="00266255" w:rsidR="00844C6B">
              <w:rPr>
                <w:rFonts w:eastAsia="Calibri"/>
                <w:sz w:val="20"/>
                <w:szCs w:val="20"/>
              </w:rPr>
              <w:t>,</w:t>
            </w:r>
          </w:p>
          <w:p w:rsidR="000D24D1" w:rsidRPr="00266255" w:rsidP="00183612" w14:paraId="3F860CD9" w14:textId="55B4348A">
            <w:pPr>
              <w:jc w:val="right"/>
              <w:rPr>
                <w:rFonts w:eastAsia="Calibri"/>
                <w:sz w:val="20"/>
                <w:szCs w:val="20"/>
              </w:rPr>
            </w:pPr>
            <w:r w:rsidRPr="00266255">
              <w:rPr>
                <w:rFonts w:eastAsia="Calibri"/>
                <w:sz w:val="20"/>
                <w:szCs w:val="20"/>
              </w:rPr>
              <w:t>$</w:t>
            </w:r>
            <w:r w:rsidRPr="00266255" w:rsidR="006C44D8">
              <w:rPr>
                <w:rFonts w:eastAsia="Calibri"/>
                <w:sz w:val="20"/>
                <w:szCs w:val="20"/>
              </w:rPr>
              <w:t>762.24</w:t>
            </w:r>
          </w:p>
        </w:tc>
        <w:tc>
          <w:tcPr>
            <w:tcW w:w="827" w:type="pct"/>
            <w:tcBorders>
              <w:top w:val="single" w:sz="4" w:space="0" w:color="auto"/>
              <w:left w:val="single" w:sz="4" w:space="0" w:color="auto"/>
              <w:bottom w:val="single" w:sz="4" w:space="0" w:color="auto"/>
              <w:right w:val="single" w:sz="4" w:space="0" w:color="auto"/>
            </w:tcBorders>
            <w:hideMark/>
          </w:tcPr>
          <w:p w:rsidR="000D24D1" w:rsidRPr="00266255" w:rsidP="00183612" w14:paraId="14A7CA1C" w14:textId="7D508093">
            <w:pPr>
              <w:jc w:val="right"/>
              <w:rPr>
                <w:rFonts w:eastAsia="Calibri"/>
                <w:sz w:val="20"/>
                <w:szCs w:val="20"/>
              </w:rPr>
            </w:pPr>
            <w:r w:rsidRPr="00266255">
              <w:rPr>
                <w:rFonts w:eastAsia="Calibri"/>
                <w:sz w:val="20"/>
                <w:szCs w:val="20"/>
              </w:rPr>
              <w:t xml:space="preserve">144 </w:t>
            </w:r>
            <w:r w:rsidRPr="00266255">
              <w:rPr>
                <w:rFonts w:eastAsia="Calibri"/>
                <w:sz w:val="20"/>
                <w:szCs w:val="20"/>
              </w:rPr>
              <w:t>hrs., $</w:t>
            </w:r>
            <w:r w:rsidRPr="00266255" w:rsidR="009D77AB">
              <w:rPr>
                <w:rFonts w:eastAsia="Calibri"/>
                <w:sz w:val="20"/>
                <w:szCs w:val="20"/>
              </w:rPr>
              <w:t>9,146.88</w:t>
            </w:r>
          </w:p>
        </w:tc>
        <w:tc>
          <w:tcPr>
            <w:tcW w:w="695" w:type="pct"/>
            <w:tcBorders>
              <w:top w:val="single" w:sz="4" w:space="0" w:color="auto"/>
              <w:left w:val="single" w:sz="4" w:space="0" w:color="auto"/>
              <w:bottom w:val="single" w:sz="4" w:space="0" w:color="auto"/>
              <w:right w:val="single" w:sz="4" w:space="0" w:color="auto"/>
            </w:tcBorders>
            <w:hideMark/>
          </w:tcPr>
          <w:p w:rsidR="000D24D1" w:rsidRPr="00266255" w:rsidP="00183612" w14:paraId="04014F85" w14:textId="14617D91">
            <w:pPr>
              <w:jc w:val="right"/>
              <w:rPr>
                <w:rFonts w:eastAsia="Calibri"/>
                <w:sz w:val="20"/>
                <w:szCs w:val="20"/>
              </w:rPr>
            </w:pPr>
            <w:r w:rsidRPr="00266255">
              <w:rPr>
                <w:rFonts w:eastAsia="Calibri"/>
                <w:sz w:val="20"/>
                <w:szCs w:val="20"/>
              </w:rPr>
              <w:t>$</w:t>
            </w:r>
            <w:r w:rsidRPr="00266255" w:rsidR="00D50D08">
              <w:rPr>
                <w:rFonts w:eastAsia="Calibri"/>
                <w:sz w:val="20"/>
                <w:szCs w:val="20"/>
              </w:rPr>
              <w:t>762.24</w:t>
            </w:r>
          </w:p>
        </w:tc>
      </w:tr>
      <w:tr w14:paraId="076C98F1" w14:textId="77777777" w:rsidTr="00266255">
        <w:tblPrEx>
          <w:tblW w:w="5195" w:type="pct"/>
          <w:jc w:val="right"/>
          <w:tblLayout w:type="fixed"/>
          <w:tblLook w:val="01E0"/>
        </w:tblPrEx>
        <w:trPr>
          <w:cantSplit/>
          <w:trHeight w:val="557"/>
          <w:jc w:val="right"/>
        </w:trPr>
        <w:tc>
          <w:tcPr>
            <w:tcW w:w="752" w:type="pct"/>
            <w:vMerge w:val="restart"/>
            <w:tcBorders>
              <w:top w:val="single" w:sz="4" w:space="0" w:color="auto"/>
              <w:left w:val="single" w:sz="4" w:space="0" w:color="auto"/>
              <w:right w:val="single" w:sz="4" w:space="0" w:color="auto"/>
            </w:tcBorders>
            <w:noWrap/>
            <w:hideMark/>
          </w:tcPr>
          <w:p w:rsidR="0022772B" w:rsidRPr="007816E0" w:rsidP="00183612" w14:paraId="2751A647" w14:textId="3F44520C">
            <w:pPr>
              <w:jc w:val="right"/>
              <w:rPr>
                <w:rFonts w:eastAsia="Calibri"/>
                <w:sz w:val="20"/>
                <w:szCs w:val="20"/>
              </w:rPr>
            </w:pPr>
            <w:r w:rsidRPr="007816E0">
              <w:rPr>
                <w:rFonts w:eastAsia="Calibri"/>
                <w:sz w:val="20"/>
                <w:szCs w:val="20"/>
              </w:rPr>
              <w:t>IRO-017-1</w:t>
            </w:r>
          </w:p>
          <w:p w:rsidR="0022772B" w:rsidRPr="007816E0" w:rsidP="00183612" w14:paraId="1F3B9319" w14:textId="1BCC299A">
            <w:pPr>
              <w:jc w:val="right"/>
              <w:rPr>
                <w:rFonts w:eastAsia="Calibri"/>
                <w:sz w:val="20"/>
                <w:szCs w:val="20"/>
              </w:rPr>
            </w:pPr>
          </w:p>
          <w:p w:rsidR="0022772B" w:rsidRPr="007816E0" w:rsidP="00183612" w14:paraId="5A76CABA" w14:textId="0F2BBBB1">
            <w:pPr>
              <w:jc w:val="right"/>
              <w:rPr>
                <w:rFonts w:eastAsia="Calibri"/>
                <w:sz w:val="20"/>
                <w:szCs w:val="20"/>
              </w:rPr>
            </w:pPr>
          </w:p>
        </w:tc>
        <w:tc>
          <w:tcPr>
            <w:tcW w:w="792" w:type="pct"/>
            <w:tcBorders>
              <w:top w:val="single" w:sz="4" w:space="0" w:color="auto"/>
              <w:left w:val="single" w:sz="4" w:space="0" w:color="auto"/>
              <w:bottom w:val="single" w:sz="4" w:space="0" w:color="auto"/>
              <w:right w:val="single" w:sz="4" w:space="0" w:color="auto"/>
            </w:tcBorders>
            <w:hideMark/>
          </w:tcPr>
          <w:p w:rsidR="0022772B" w:rsidRPr="007816E0" w:rsidP="00183612" w14:paraId="1A4C3723" w14:textId="7982C9C4">
            <w:pPr>
              <w:jc w:val="right"/>
              <w:rPr>
                <w:rFonts w:eastAsia="Calibri"/>
                <w:sz w:val="20"/>
                <w:szCs w:val="20"/>
              </w:rPr>
            </w:pPr>
            <w:r w:rsidRPr="007816E0">
              <w:rPr>
                <w:rFonts w:eastAsia="Calibri"/>
                <w:sz w:val="20"/>
                <w:szCs w:val="20"/>
              </w:rPr>
              <w:t>12 (RC)</w:t>
            </w:r>
          </w:p>
        </w:tc>
        <w:tc>
          <w:tcPr>
            <w:tcW w:w="585" w:type="pct"/>
            <w:tcBorders>
              <w:top w:val="single" w:sz="4" w:space="0" w:color="auto"/>
              <w:left w:val="single" w:sz="4" w:space="0" w:color="auto"/>
              <w:bottom w:val="single" w:sz="4" w:space="0" w:color="auto"/>
              <w:right w:val="single" w:sz="4" w:space="0" w:color="auto"/>
            </w:tcBorders>
            <w:hideMark/>
          </w:tcPr>
          <w:p w:rsidR="0022772B" w:rsidRPr="007816E0" w:rsidP="00183612" w14:paraId="78EBECF6" w14:textId="77777777">
            <w:pPr>
              <w:jc w:val="right"/>
              <w:rPr>
                <w:rFonts w:eastAsia="Calibri"/>
                <w:sz w:val="20"/>
                <w:szCs w:val="20"/>
              </w:rPr>
            </w:pPr>
            <w:r w:rsidRPr="007816E0">
              <w:rPr>
                <w:rFonts w:eastAsia="Calibri"/>
                <w:sz w:val="20"/>
                <w:szCs w:val="20"/>
              </w:rPr>
              <w:t>1</w:t>
            </w:r>
          </w:p>
        </w:tc>
        <w:tc>
          <w:tcPr>
            <w:tcW w:w="583" w:type="pct"/>
            <w:tcBorders>
              <w:top w:val="single" w:sz="4" w:space="0" w:color="auto"/>
              <w:left w:val="single" w:sz="4" w:space="0" w:color="auto"/>
              <w:bottom w:val="single" w:sz="4" w:space="0" w:color="auto"/>
              <w:right w:val="single" w:sz="4" w:space="0" w:color="auto"/>
            </w:tcBorders>
            <w:hideMark/>
          </w:tcPr>
          <w:p w:rsidR="0022772B" w:rsidRPr="00266255" w:rsidP="00183612" w14:paraId="0DEEA2DD" w14:textId="298355B9">
            <w:pPr>
              <w:jc w:val="right"/>
              <w:rPr>
                <w:rFonts w:eastAsia="Calibri"/>
                <w:sz w:val="20"/>
                <w:szCs w:val="20"/>
              </w:rPr>
            </w:pPr>
            <w:r w:rsidRPr="00266255">
              <w:rPr>
                <w:rFonts w:eastAsia="Calibri"/>
                <w:sz w:val="20"/>
                <w:szCs w:val="20"/>
              </w:rPr>
              <w:t>12</w:t>
            </w:r>
          </w:p>
        </w:tc>
        <w:tc>
          <w:tcPr>
            <w:tcW w:w="766" w:type="pct"/>
            <w:tcBorders>
              <w:top w:val="single" w:sz="4" w:space="0" w:color="auto"/>
              <w:left w:val="single" w:sz="4" w:space="0" w:color="auto"/>
              <w:bottom w:val="single" w:sz="4" w:space="0" w:color="auto"/>
              <w:right w:val="single" w:sz="4" w:space="0" w:color="auto"/>
            </w:tcBorders>
            <w:hideMark/>
          </w:tcPr>
          <w:p w:rsidR="0022772B" w:rsidRPr="00266255" w:rsidP="00183612" w14:paraId="16EAB7C1" w14:textId="2E7C54E1">
            <w:pPr>
              <w:jc w:val="right"/>
              <w:rPr>
                <w:rFonts w:eastAsia="Calibri"/>
                <w:sz w:val="20"/>
                <w:szCs w:val="20"/>
              </w:rPr>
            </w:pPr>
            <w:r w:rsidRPr="00266255">
              <w:rPr>
                <w:rFonts w:eastAsia="Calibri"/>
                <w:sz w:val="20"/>
                <w:szCs w:val="20"/>
              </w:rPr>
              <w:t>1,200</w:t>
            </w:r>
            <w:r w:rsidRPr="00266255">
              <w:rPr>
                <w:rFonts w:eastAsia="Calibri"/>
                <w:sz w:val="20"/>
                <w:szCs w:val="20"/>
              </w:rPr>
              <w:t xml:space="preserve"> hrs.,</w:t>
            </w:r>
          </w:p>
          <w:p w:rsidR="0022772B" w:rsidRPr="00266255" w:rsidP="00183612" w14:paraId="459814D2" w14:textId="7B1AE862">
            <w:pPr>
              <w:jc w:val="right"/>
              <w:rPr>
                <w:rFonts w:eastAsia="Calibri"/>
                <w:sz w:val="20"/>
                <w:szCs w:val="20"/>
              </w:rPr>
            </w:pPr>
            <w:r w:rsidRPr="00266255">
              <w:rPr>
                <w:rFonts w:eastAsia="Calibri"/>
                <w:sz w:val="20"/>
                <w:szCs w:val="20"/>
              </w:rPr>
              <w:t>$</w:t>
            </w:r>
            <w:r w:rsidRPr="00266255" w:rsidR="006C44D8">
              <w:rPr>
                <w:rFonts w:eastAsia="Calibri"/>
                <w:sz w:val="20"/>
                <w:szCs w:val="20"/>
              </w:rPr>
              <w:t>76,224</w:t>
            </w:r>
          </w:p>
        </w:tc>
        <w:tc>
          <w:tcPr>
            <w:tcW w:w="827" w:type="pct"/>
            <w:tcBorders>
              <w:top w:val="single" w:sz="4" w:space="0" w:color="auto"/>
              <w:left w:val="single" w:sz="4" w:space="0" w:color="auto"/>
              <w:bottom w:val="single" w:sz="4" w:space="0" w:color="auto"/>
              <w:right w:val="single" w:sz="4" w:space="0" w:color="auto"/>
            </w:tcBorders>
            <w:hideMark/>
          </w:tcPr>
          <w:p w:rsidR="0022772B" w:rsidRPr="00266255" w:rsidP="00183612" w14:paraId="3D946FC1" w14:textId="5251E718">
            <w:pPr>
              <w:jc w:val="right"/>
              <w:rPr>
                <w:rFonts w:eastAsia="Calibri"/>
                <w:sz w:val="20"/>
                <w:szCs w:val="20"/>
              </w:rPr>
            </w:pPr>
            <w:r w:rsidRPr="00266255">
              <w:rPr>
                <w:rFonts w:eastAsia="Calibri"/>
                <w:sz w:val="20"/>
                <w:szCs w:val="20"/>
              </w:rPr>
              <w:t>14,400</w:t>
            </w:r>
            <w:r w:rsidRPr="00266255">
              <w:rPr>
                <w:rFonts w:eastAsia="Calibri"/>
                <w:sz w:val="20"/>
                <w:szCs w:val="20"/>
              </w:rPr>
              <w:t xml:space="preserve"> hrs., $</w:t>
            </w:r>
            <w:r w:rsidRPr="00266255" w:rsidR="00377C5C">
              <w:rPr>
                <w:rFonts w:eastAsia="Calibri"/>
                <w:sz w:val="20"/>
                <w:szCs w:val="20"/>
              </w:rPr>
              <w:t>9</w:t>
            </w:r>
            <w:r w:rsidRPr="00266255" w:rsidR="0049659D">
              <w:rPr>
                <w:rFonts w:eastAsia="Calibri"/>
                <w:sz w:val="20"/>
                <w:szCs w:val="20"/>
              </w:rPr>
              <w:t>14,688</w:t>
            </w:r>
          </w:p>
          <w:p w:rsidR="0022772B" w:rsidRPr="00266255" w:rsidP="00183612" w14:paraId="76638E7B" w14:textId="10418B94">
            <w:pPr>
              <w:jc w:val="right"/>
              <w:rPr>
                <w:rFonts w:eastAsia="Calibri"/>
                <w:sz w:val="20"/>
                <w:szCs w:val="20"/>
              </w:rPr>
            </w:pPr>
          </w:p>
        </w:tc>
        <w:tc>
          <w:tcPr>
            <w:tcW w:w="695" w:type="pct"/>
            <w:tcBorders>
              <w:top w:val="single" w:sz="4" w:space="0" w:color="auto"/>
              <w:left w:val="single" w:sz="4" w:space="0" w:color="auto"/>
              <w:bottom w:val="single" w:sz="4" w:space="0" w:color="auto"/>
              <w:right w:val="single" w:sz="4" w:space="0" w:color="auto"/>
            </w:tcBorders>
            <w:hideMark/>
          </w:tcPr>
          <w:p w:rsidR="0022772B" w:rsidRPr="00266255" w:rsidP="00183612" w14:paraId="645E0ED9" w14:textId="2B1B6859">
            <w:pPr>
              <w:jc w:val="right"/>
              <w:rPr>
                <w:rFonts w:eastAsia="Calibri"/>
                <w:sz w:val="20"/>
                <w:szCs w:val="20"/>
              </w:rPr>
            </w:pPr>
            <w:r w:rsidRPr="00266255">
              <w:rPr>
                <w:rFonts w:eastAsia="Calibri"/>
                <w:sz w:val="20"/>
                <w:szCs w:val="20"/>
              </w:rPr>
              <w:t>$</w:t>
            </w:r>
            <w:r w:rsidRPr="00266255" w:rsidR="00952E30">
              <w:rPr>
                <w:rFonts w:eastAsia="Calibri"/>
                <w:sz w:val="20"/>
                <w:szCs w:val="20"/>
              </w:rPr>
              <w:t>76,224</w:t>
            </w:r>
          </w:p>
        </w:tc>
      </w:tr>
      <w:tr w14:paraId="0B525BC4" w14:textId="77777777" w:rsidTr="00266255">
        <w:tblPrEx>
          <w:tblW w:w="5195" w:type="pct"/>
          <w:jc w:val="right"/>
          <w:tblLayout w:type="fixed"/>
          <w:tblLook w:val="01E0"/>
        </w:tblPrEx>
        <w:trPr>
          <w:cantSplit/>
          <w:jc w:val="right"/>
        </w:trPr>
        <w:tc>
          <w:tcPr>
            <w:tcW w:w="752" w:type="pct"/>
            <w:vMerge/>
            <w:tcBorders>
              <w:left w:val="single" w:sz="4" w:space="0" w:color="auto"/>
              <w:right w:val="single" w:sz="4" w:space="0" w:color="auto"/>
            </w:tcBorders>
            <w:noWrap/>
          </w:tcPr>
          <w:p w:rsidR="0022772B" w:rsidRPr="007816E0" w:rsidP="00183612" w14:paraId="64F5B87B" w14:textId="6D2EB9D5">
            <w:pPr>
              <w:jc w:val="right"/>
              <w:rPr>
                <w:rFonts w:eastAsia="Calibri"/>
                <w:sz w:val="20"/>
                <w:szCs w:val="20"/>
              </w:rPr>
            </w:pPr>
          </w:p>
        </w:tc>
        <w:tc>
          <w:tcPr>
            <w:tcW w:w="792" w:type="pct"/>
            <w:tcBorders>
              <w:top w:val="single" w:sz="4" w:space="0" w:color="auto"/>
              <w:left w:val="single" w:sz="4" w:space="0" w:color="auto"/>
              <w:bottom w:val="single" w:sz="4" w:space="0" w:color="auto"/>
              <w:right w:val="single" w:sz="4" w:space="0" w:color="auto"/>
            </w:tcBorders>
          </w:tcPr>
          <w:p w:rsidR="0022772B" w:rsidRPr="007816E0" w:rsidP="00183612" w14:paraId="41B342B1" w14:textId="557EF5FF">
            <w:pPr>
              <w:jc w:val="right"/>
              <w:rPr>
                <w:rFonts w:eastAsia="Calibri"/>
                <w:sz w:val="20"/>
                <w:szCs w:val="20"/>
              </w:rPr>
            </w:pPr>
            <w:r w:rsidRPr="007816E0">
              <w:rPr>
                <w:rFonts w:eastAsia="Calibri"/>
                <w:sz w:val="20"/>
                <w:szCs w:val="20"/>
              </w:rPr>
              <w:t>6</w:t>
            </w:r>
            <w:r>
              <w:rPr>
                <w:rFonts w:eastAsia="Calibri"/>
                <w:sz w:val="20"/>
                <w:szCs w:val="20"/>
              </w:rPr>
              <w:t>2</w:t>
            </w:r>
            <w:r w:rsidRPr="007816E0">
              <w:rPr>
                <w:rFonts w:eastAsia="Calibri"/>
                <w:sz w:val="20"/>
                <w:szCs w:val="20"/>
              </w:rPr>
              <w:t xml:space="preserve"> </w:t>
            </w:r>
            <w:r w:rsidRPr="007816E0">
              <w:rPr>
                <w:rFonts w:eastAsia="Calibri"/>
                <w:sz w:val="20"/>
                <w:szCs w:val="20"/>
              </w:rPr>
              <w:t>(PC)</w:t>
            </w:r>
          </w:p>
        </w:tc>
        <w:tc>
          <w:tcPr>
            <w:tcW w:w="585" w:type="pct"/>
            <w:tcBorders>
              <w:top w:val="single" w:sz="4" w:space="0" w:color="auto"/>
              <w:left w:val="single" w:sz="4" w:space="0" w:color="auto"/>
              <w:bottom w:val="single" w:sz="4" w:space="0" w:color="auto"/>
              <w:right w:val="single" w:sz="4" w:space="0" w:color="auto"/>
            </w:tcBorders>
          </w:tcPr>
          <w:p w:rsidR="0022772B" w:rsidRPr="007816E0" w:rsidP="00183612" w14:paraId="15124B62" w14:textId="0C65537E">
            <w:pPr>
              <w:jc w:val="right"/>
              <w:rPr>
                <w:rFonts w:eastAsia="Calibri"/>
                <w:sz w:val="20"/>
                <w:szCs w:val="20"/>
              </w:rPr>
            </w:pPr>
            <w:r w:rsidRPr="007816E0">
              <w:rPr>
                <w:rFonts w:eastAsia="Calibri"/>
                <w:sz w:val="20"/>
                <w:szCs w:val="20"/>
              </w:rPr>
              <w:t>1</w:t>
            </w:r>
          </w:p>
        </w:tc>
        <w:tc>
          <w:tcPr>
            <w:tcW w:w="583" w:type="pct"/>
            <w:tcBorders>
              <w:top w:val="single" w:sz="4" w:space="0" w:color="auto"/>
              <w:left w:val="single" w:sz="4" w:space="0" w:color="auto"/>
              <w:bottom w:val="single" w:sz="4" w:space="0" w:color="auto"/>
              <w:right w:val="single" w:sz="4" w:space="0" w:color="auto"/>
            </w:tcBorders>
          </w:tcPr>
          <w:p w:rsidR="0022772B" w:rsidRPr="00266255" w:rsidP="00183612" w14:paraId="79E2A239" w14:textId="02B02569">
            <w:pPr>
              <w:jc w:val="right"/>
              <w:rPr>
                <w:rFonts w:eastAsia="Calibri"/>
                <w:sz w:val="20"/>
                <w:szCs w:val="20"/>
              </w:rPr>
            </w:pPr>
            <w:r w:rsidRPr="00266255">
              <w:rPr>
                <w:rFonts w:eastAsia="Calibri"/>
                <w:sz w:val="20"/>
                <w:szCs w:val="20"/>
              </w:rPr>
              <w:t>62</w:t>
            </w:r>
          </w:p>
        </w:tc>
        <w:tc>
          <w:tcPr>
            <w:tcW w:w="766" w:type="pct"/>
            <w:tcBorders>
              <w:top w:val="single" w:sz="4" w:space="0" w:color="auto"/>
              <w:left w:val="single" w:sz="4" w:space="0" w:color="auto"/>
              <w:bottom w:val="single" w:sz="4" w:space="0" w:color="auto"/>
              <w:right w:val="single" w:sz="4" w:space="0" w:color="auto"/>
            </w:tcBorders>
          </w:tcPr>
          <w:p w:rsidR="0022772B" w:rsidRPr="00266255" w:rsidP="00183612" w14:paraId="318A0941" w14:textId="7B8DA3F4">
            <w:pPr>
              <w:jc w:val="right"/>
              <w:rPr>
                <w:rFonts w:eastAsia="Calibri"/>
                <w:sz w:val="20"/>
                <w:szCs w:val="20"/>
              </w:rPr>
            </w:pPr>
            <w:r w:rsidRPr="00266255">
              <w:rPr>
                <w:rFonts w:eastAsia="Calibri"/>
                <w:sz w:val="20"/>
                <w:szCs w:val="20"/>
              </w:rPr>
              <w:t>96</w:t>
            </w:r>
            <w:r w:rsidRPr="00266255">
              <w:rPr>
                <w:rFonts w:eastAsia="Calibri"/>
                <w:sz w:val="20"/>
                <w:szCs w:val="20"/>
              </w:rPr>
              <w:t xml:space="preserve"> hrs.,</w:t>
            </w:r>
          </w:p>
          <w:p w:rsidR="0022772B" w:rsidRPr="00266255" w:rsidP="00183612" w14:paraId="06766AAF" w14:textId="3A97E498">
            <w:pPr>
              <w:jc w:val="right"/>
              <w:rPr>
                <w:rFonts w:eastAsia="Calibri"/>
                <w:sz w:val="20"/>
                <w:szCs w:val="20"/>
              </w:rPr>
            </w:pPr>
            <w:r w:rsidRPr="00266255">
              <w:rPr>
                <w:rFonts w:eastAsia="Calibri"/>
                <w:sz w:val="20"/>
                <w:szCs w:val="20"/>
              </w:rPr>
              <w:t>$</w:t>
            </w:r>
            <w:r w:rsidRPr="00266255" w:rsidR="006C44D8">
              <w:rPr>
                <w:rFonts w:eastAsia="Calibri"/>
                <w:sz w:val="20"/>
                <w:szCs w:val="20"/>
              </w:rPr>
              <w:t>6,097.92</w:t>
            </w:r>
          </w:p>
        </w:tc>
        <w:tc>
          <w:tcPr>
            <w:tcW w:w="827" w:type="pct"/>
            <w:tcBorders>
              <w:top w:val="single" w:sz="4" w:space="0" w:color="auto"/>
              <w:left w:val="single" w:sz="4" w:space="0" w:color="auto"/>
              <w:bottom w:val="single" w:sz="4" w:space="0" w:color="auto"/>
              <w:right w:val="single" w:sz="4" w:space="0" w:color="auto"/>
            </w:tcBorders>
          </w:tcPr>
          <w:p w:rsidR="0022772B" w:rsidRPr="00266255" w:rsidP="00183612" w14:paraId="07E7665D" w14:textId="7AD31C70">
            <w:pPr>
              <w:jc w:val="right"/>
              <w:rPr>
                <w:rFonts w:eastAsia="Calibri"/>
                <w:sz w:val="20"/>
                <w:szCs w:val="20"/>
              </w:rPr>
            </w:pPr>
            <w:r w:rsidRPr="00266255">
              <w:rPr>
                <w:rFonts w:eastAsia="Calibri"/>
                <w:sz w:val="20"/>
                <w:szCs w:val="20"/>
              </w:rPr>
              <w:t>5,704</w:t>
            </w:r>
            <w:r w:rsidRPr="00266255">
              <w:rPr>
                <w:rFonts w:eastAsia="Calibri"/>
                <w:sz w:val="20"/>
                <w:szCs w:val="20"/>
              </w:rPr>
              <w:t xml:space="preserve"> hrs., $</w:t>
            </w:r>
            <w:r w:rsidRPr="00266255" w:rsidR="0088649F">
              <w:rPr>
                <w:rFonts w:eastAsia="Calibri"/>
                <w:sz w:val="20"/>
                <w:szCs w:val="20"/>
              </w:rPr>
              <w:t>362</w:t>
            </w:r>
            <w:r w:rsidRPr="00266255" w:rsidR="004D77CE">
              <w:rPr>
                <w:rFonts w:eastAsia="Calibri"/>
                <w:sz w:val="20"/>
                <w:szCs w:val="20"/>
              </w:rPr>
              <w:t>,318.08</w:t>
            </w:r>
          </w:p>
        </w:tc>
        <w:tc>
          <w:tcPr>
            <w:tcW w:w="695" w:type="pct"/>
            <w:tcBorders>
              <w:top w:val="single" w:sz="4" w:space="0" w:color="auto"/>
              <w:left w:val="single" w:sz="4" w:space="0" w:color="auto"/>
              <w:bottom w:val="single" w:sz="4" w:space="0" w:color="auto"/>
              <w:right w:val="single" w:sz="4" w:space="0" w:color="auto"/>
            </w:tcBorders>
          </w:tcPr>
          <w:p w:rsidR="0022772B" w:rsidRPr="00266255" w:rsidP="00183612" w14:paraId="534EA665" w14:textId="0FF6FE56">
            <w:pPr>
              <w:jc w:val="right"/>
              <w:rPr>
                <w:rFonts w:eastAsia="Calibri"/>
                <w:sz w:val="20"/>
                <w:szCs w:val="20"/>
              </w:rPr>
            </w:pPr>
            <w:r w:rsidRPr="00266255">
              <w:rPr>
                <w:rFonts w:eastAsia="Calibri"/>
                <w:sz w:val="20"/>
                <w:szCs w:val="20"/>
              </w:rPr>
              <w:t>$</w:t>
            </w:r>
            <w:r w:rsidRPr="00266255" w:rsidR="00952E30">
              <w:rPr>
                <w:rFonts w:eastAsia="Calibri"/>
                <w:sz w:val="20"/>
                <w:szCs w:val="20"/>
              </w:rPr>
              <w:t>6,097.92</w:t>
            </w:r>
          </w:p>
        </w:tc>
      </w:tr>
      <w:tr w14:paraId="763ADD0E" w14:textId="77777777" w:rsidTr="00266255">
        <w:tblPrEx>
          <w:tblW w:w="5195" w:type="pct"/>
          <w:jc w:val="right"/>
          <w:tblLayout w:type="fixed"/>
          <w:tblLook w:val="01E0"/>
        </w:tblPrEx>
        <w:trPr>
          <w:cantSplit/>
          <w:jc w:val="right"/>
        </w:trPr>
        <w:tc>
          <w:tcPr>
            <w:tcW w:w="752" w:type="pct"/>
            <w:vMerge/>
            <w:tcBorders>
              <w:left w:val="single" w:sz="4" w:space="0" w:color="auto"/>
              <w:right w:val="single" w:sz="4" w:space="0" w:color="auto"/>
            </w:tcBorders>
            <w:noWrap/>
          </w:tcPr>
          <w:p w:rsidR="0022772B" w:rsidRPr="007816E0" w:rsidP="00183612" w14:paraId="1A1498F5" w14:textId="0A232B39">
            <w:pPr>
              <w:jc w:val="right"/>
              <w:rPr>
                <w:rFonts w:eastAsia="Calibri"/>
                <w:sz w:val="20"/>
                <w:szCs w:val="20"/>
              </w:rPr>
            </w:pPr>
          </w:p>
        </w:tc>
        <w:tc>
          <w:tcPr>
            <w:tcW w:w="792" w:type="pct"/>
            <w:tcBorders>
              <w:top w:val="single" w:sz="4" w:space="0" w:color="auto"/>
              <w:left w:val="single" w:sz="4" w:space="0" w:color="auto"/>
              <w:bottom w:val="single" w:sz="4" w:space="0" w:color="auto"/>
              <w:right w:val="single" w:sz="4" w:space="0" w:color="auto"/>
            </w:tcBorders>
          </w:tcPr>
          <w:p w:rsidR="0022772B" w:rsidRPr="007816E0" w:rsidP="00183612" w14:paraId="233CA5C7" w14:textId="1187D048">
            <w:pPr>
              <w:jc w:val="right"/>
              <w:rPr>
                <w:rFonts w:eastAsia="Calibri"/>
                <w:sz w:val="20"/>
                <w:szCs w:val="20"/>
              </w:rPr>
            </w:pPr>
            <w:r w:rsidRPr="007816E0">
              <w:rPr>
                <w:rFonts w:eastAsia="Calibri"/>
                <w:sz w:val="20"/>
                <w:szCs w:val="20"/>
              </w:rPr>
              <w:t>2</w:t>
            </w:r>
            <w:r>
              <w:rPr>
                <w:rFonts w:eastAsia="Calibri"/>
                <w:sz w:val="20"/>
                <w:szCs w:val="20"/>
              </w:rPr>
              <w:t>11</w:t>
            </w:r>
            <w:r w:rsidRPr="007816E0">
              <w:rPr>
                <w:rFonts w:eastAsia="Calibri"/>
                <w:sz w:val="20"/>
                <w:szCs w:val="20"/>
              </w:rPr>
              <w:t xml:space="preserve"> </w:t>
            </w:r>
            <w:r w:rsidRPr="007816E0">
              <w:rPr>
                <w:rFonts w:eastAsia="Calibri"/>
                <w:sz w:val="20"/>
                <w:szCs w:val="20"/>
              </w:rPr>
              <w:t>(TP)</w:t>
            </w:r>
          </w:p>
        </w:tc>
        <w:tc>
          <w:tcPr>
            <w:tcW w:w="585" w:type="pct"/>
            <w:tcBorders>
              <w:top w:val="single" w:sz="4" w:space="0" w:color="auto"/>
              <w:left w:val="single" w:sz="4" w:space="0" w:color="auto"/>
              <w:bottom w:val="single" w:sz="4" w:space="0" w:color="auto"/>
              <w:right w:val="single" w:sz="4" w:space="0" w:color="auto"/>
            </w:tcBorders>
          </w:tcPr>
          <w:p w:rsidR="0022772B" w:rsidRPr="007816E0" w:rsidP="00183612" w14:paraId="68B094AA" w14:textId="37AC3385">
            <w:pPr>
              <w:jc w:val="right"/>
              <w:rPr>
                <w:rFonts w:eastAsia="Calibri"/>
                <w:sz w:val="20"/>
                <w:szCs w:val="20"/>
              </w:rPr>
            </w:pPr>
            <w:r w:rsidRPr="007816E0">
              <w:rPr>
                <w:rFonts w:eastAsia="Calibri"/>
                <w:sz w:val="20"/>
                <w:szCs w:val="20"/>
              </w:rPr>
              <w:t>1</w:t>
            </w:r>
          </w:p>
        </w:tc>
        <w:tc>
          <w:tcPr>
            <w:tcW w:w="583" w:type="pct"/>
            <w:tcBorders>
              <w:top w:val="single" w:sz="4" w:space="0" w:color="auto"/>
              <w:left w:val="single" w:sz="4" w:space="0" w:color="auto"/>
              <w:bottom w:val="single" w:sz="4" w:space="0" w:color="auto"/>
              <w:right w:val="single" w:sz="4" w:space="0" w:color="auto"/>
            </w:tcBorders>
          </w:tcPr>
          <w:p w:rsidR="0022772B" w:rsidRPr="00266255" w:rsidP="00183612" w14:paraId="594421A3" w14:textId="224E25FC">
            <w:pPr>
              <w:jc w:val="right"/>
              <w:rPr>
                <w:rFonts w:eastAsia="Calibri"/>
                <w:sz w:val="20"/>
                <w:szCs w:val="20"/>
              </w:rPr>
            </w:pPr>
            <w:r w:rsidRPr="00266255">
              <w:rPr>
                <w:rFonts w:eastAsia="Calibri"/>
                <w:sz w:val="20"/>
                <w:szCs w:val="20"/>
              </w:rPr>
              <w:t>211</w:t>
            </w:r>
          </w:p>
        </w:tc>
        <w:tc>
          <w:tcPr>
            <w:tcW w:w="766" w:type="pct"/>
            <w:tcBorders>
              <w:top w:val="single" w:sz="4" w:space="0" w:color="auto"/>
              <w:left w:val="single" w:sz="4" w:space="0" w:color="auto"/>
              <w:bottom w:val="single" w:sz="4" w:space="0" w:color="auto"/>
              <w:right w:val="single" w:sz="4" w:space="0" w:color="auto"/>
            </w:tcBorders>
          </w:tcPr>
          <w:p w:rsidR="0022772B" w:rsidRPr="00266255" w:rsidP="00183612" w14:paraId="68FAB4B5" w14:textId="4676862C">
            <w:pPr>
              <w:jc w:val="right"/>
              <w:rPr>
                <w:rFonts w:eastAsia="Calibri"/>
                <w:sz w:val="20"/>
                <w:szCs w:val="20"/>
              </w:rPr>
            </w:pPr>
            <w:r w:rsidRPr="00266255">
              <w:rPr>
                <w:rFonts w:eastAsia="Calibri"/>
                <w:sz w:val="20"/>
                <w:szCs w:val="20"/>
              </w:rPr>
              <w:t>96</w:t>
            </w:r>
            <w:r w:rsidRPr="00266255">
              <w:rPr>
                <w:rFonts w:eastAsia="Calibri"/>
                <w:sz w:val="20"/>
                <w:szCs w:val="20"/>
              </w:rPr>
              <w:t xml:space="preserve"> hrs.,</w:t>
            </w:r>
          </w:p>
          <w:p w:rsidR="0022772B" w:rsidRPr="00266255" w:rsidP="00183612" w14:paraId="25CB48ED" w14:textId="2B14077E">
            <w:pPr>
              <w:jc w:val="right"/>
              <w:rPr>
                <w:rFonts w:eastAsia="Calibri"/>
                <w:sz w:val="20"/>
                <w:szCs w:val="20"/>
              </w:rPr>
            </w:pPr>
            <w:r w:rsidRPr="00266255">
              <w:rPr>
                <w:rFonts w:eastAsia="Calibri"/>
                <w:sz w:val="20"/>
                <w:szCs w:val="20"/>
              </w:rPr>
              <w:t>$</w:t>
            </w:r>
            <w:r w:rsidRPr="00266255" w:rsidR="006C44D8">
              <w:rPr>
                <w:rFonts w:eastAsia="Calibri"/>
                <w:sz w:val="20"/>
                <w:szCs w:val="20"/>
              </w:rPr>
              <w:t>6,097.92</w:t>
            </w:r>
          </w:p>
        </w:tc>
        <w:tc>
          <w:tcPr>
            <w:tcW w:w="827" w:type="pct"/>
            <w:tcBorders>
              <w:top w:val="single" w:sz="4" w:space="0" w:color="auto"/>
              <w:left w:val="single" w:sz="4" w:space="0" w:color="auto"/>
              <w:bottom w:val="single" w:sz="4" w:space="0" w:color="auto"/>
              <w:right w:val="single" w:sz="4" w:space="0" w:color="auto"/>
            </w:tcBorders>
          </w:tcPr>
          <w:p w:rsidR="0022772B" w:rsidRPr="00266255" w:rsidP="00183612" w14:paraId="02B9765B" w14:textId="00C1E1AB">
            <w:pPr>
              <w:jc w:val="right"/>
              <w:rPr>
                <w:rFonts w:eastAsia="Calibri"/>
                <w:sz w:val="20"/>
                <w:szCs w:val="20"/>
              </w:rPr>
            </w:pPr>
            <w:r w:rsidRPr="00266255">
              <w:rPr>
                <w:rFonts w:eastAsia="Calibri"/>
                <w:sz w:val="20"/>
                <w:szCs w:val="20"/>
              </w:rPr>
              <w:t>20,256</w:t>
            </w:r>
            <w:r w:rsidRPr="00266255">
              <w:rPr>
                <w:rFonts w:eastAsia="Calibri"/>
                <w:sz w:val="20"/>
                <w:szCs w:val="20"/>
              </w:rPr>
              <w:t xml:space="preserve"> hrs., $</w:t>
            </w:r>
            <w:r w:rsidRPr="00266255" w:rsidR="0029416E">
              <w:rPr>
                <w:rFonts w:eastAsia="Calibri"/>
                <w:sz w:val="20"/>
                <w:szCs w:val="20"/>
              </w:rPr>
              <w:t>1,286,661.12</w:t>
            </w:r>
          </w:p>
        </w:tc>
        <w:tc>
          <w:tcPr>
            <w:tcW w:w="695" w:type="pct"/>
            <w:tcBorders>
              <w:top w:val="single" w:sz="4" w:space="0" w:color="auto"/>
              <w:left w:val="single" w:sz="4" w:space="0" w:color="auto"/>
              <w:bottom w:val="single" w:sz="4" w:space="0" w:color="auto"/>
              <w:right w:val="single" w:sz="4" w:space="0" w:color="auto"/>
            </w:tcBorders>
          </w:tcPr>
          <w:p w:rsidR="0022772B" w:rsidRPr="00266255" w:rsidP="00183612" w14:paraId="1FFE34C3" w14:textId="28FB08E2">
            <w:pPr>
              <w:jc w:val="right"/>
              <w:rPr>
                <w:rFonts w:eastAsia="Calibri"/>
                <w:sz w:val="20"/>
                <w:szCs w:val="20"/>
              </w:rPr>
            </w:pPr>
            <w:r w:rsidRPr="00266255">
              <w:rPr>
                <w:rFonts w:eastAsia="Calibri"/>
                <w:sz w:val="20"/>
                <w:szCs w:val="20"/>
              </w:rPr>
              <w:t>$</w:t>
            </w:r>
            <w:r w:rsidRPr="00266255" w:rsidR="00F64FA6">
              <w:rPr>
                <w:rFonts w:eastAsia="Calibri"/>
                <w:sz w:val="20"/>
                <w:szCs w:val="20"/>
              </w:rPr>
              <w:t>6,097.92</w:t>
            </w:r>
          </w:p>
        </w:tc>
      </w:tr>
      <w:tr w14:paraId="32B89456" w14:textId="77777777" w:rsidTr="00266255">
        <w:tblPrEx>
          <w:tblW w:w="5195" w:type="pct"/>
          <w:jc w:val="right"/>
          <w:tblLayout w:type="fixed"/>
          <w:tblLook w:val="01E0"/>
        </w:tblPrEx>
        <w:trPr>
          <w:cantSplit/>
          <w:jc w:val="right"/>
        </w:trPr>
        <w:tc>
          <w:tcPr>
            <w:tcW w:w="752" w:type="pct"/>
            <w:vMerge/>
            <w:tcBorders>
              <w:left w:val="single" w:sz="4" w:space="0" w:color="auto"/>
              <w:right w:val="single" w:sz="4" w:space="0" w:color="auto"/>
            </w:tcBorders>
            <w:noWrap/>
          </w:tcPr>
          <w:p w:rsidR="0022772B" w:rsidRPr="007816E0" w:rsidP="00183612" w14:paraId="7CBC4CAD" w14:textId="6945C5E1">
            <w:pPr>
              <w:jc w:val="right"/>
              <w:rPr>
                <w:rFonts w:eastAsia="Calibri"/>
                <w:sz w:val="20"/>
                <w:szCs w:val="20"/>
              </w:rPr>
            </w:pPr>
          </w:p>
        </w:tc>
        <w:tc>
          <w:tcPr>
            <w:tcW w:w="792" w:type="pct"/>
            <w:tcBorders>
              <w:top w:val="single" w:sz="4" w:space="0" w:color="auto"/>
              <w:left w:val="single" w:sz="4" w:space="0" w:color="auto"/>
              <w:bottom w:val="single" w:sz="4" w:space="0" w:color="auto"/>
              <w:right w:val="single" w:sz="4" w:space="0" w:color="auto"/>
            </w:tcBorders>
          </w:tcPr>
          <w:p w:rsidR="0022772B" w:rsidRPr="007816E0" w:rsidP="00183612" w14:paraId="3169A5B6" w14:textId="41907C93">
            <w:pPr>
              <w:jc w:val="right"/>
              <w:rPr>
                <w:rFonts w:eastAsia="Calibri"/>
                <w:sz w:val="20"/>
                <w:szCs w:val="20"/>
              </w:rPr>
            </w:pPr>
            <w:r w:rsidRPr="007816E0">
              <w:rPr>
                <w:rFonts w:eastAsia="Calibri"/>
                <w:sz w:val="20"/>
                <w:szCs w:val="20"/>
              </w:rPr>
              <w:t>3</w:t>
            </w:r>
            <w:r>
              <w:rPr>
                <w:rFonts w:eastAsia="Calibri"/>
                <w:sz w:val="20"/>
                <w:szCs w:val="20"/>
              </w:rPr>
              <w:t>37</w:t>
            </w:r>
            <w:r w:rsidRPr="007816E0">
              <w:rPr>
                <w:rFonts w:eastAsia="Calibri"/>
                <w:sz w:val="20"/>
                <w:szCs w:val="20"/>
              </w:rPr>
              <w:t xml:space="preserve"> </w:t>
            </w:r>
            <w:r w:rsidRPr="007816E0">
              <w:rPr>
                <w:rFonts w:eastAsia="Calibri"/>
                <w:sz w:val="20"/>
                <w:szCs w:val="20"/>
              </w:rPr>
              <w:t>(TO)</w:t>
            </w:r>
          </w:p>
          <w:p w:rsidR="0022772B" w:rsidRPr="007816E0" w:rsidP="00183612" w14:paraId="5ED6751E" w14:textId="77777777">
            <w:pPr>
              <w:jc w:val="right"/>
              <w:rPr>
                <w:rFonts w:eastAsia="Calibri"/>
                <w:sz w:val="20"/>
                <w:szCs w:val="20"/>
              </w:rPr>
            </w:pPr>
          </w:p>
        </w:tc>
        <w:tc>
          <w:tcPr>
            <w:tcW w:w="585" w:type="pct"/>
            <w:tcBorders>
              <w:top w:val="single" w:sz="4" w:space="0" w:color="auto"/>
              <w:left w:val="single" w:sz="4" w:space="0" w:color="auto"/>
              <w:bottom w:val="single" w:sz="4" w:space="0" w:color="auto"/>
              <w:right w:val="single" w:sz="4" w:space="0" w:color="auto"/>
            </w:tcBorders>
          </w:tcPr>
          <w:p w:rsidR="0022772B" w:rsidRPr="007816E0" w:rsidP="00183612" w14:paraId="6457EBDE" w14:textId="3D07136E">
            <w:pPr>
              <w:jc w:val="right"/>
              <w:rPr>
                <w:rFonts w:eastAsia="Calibri"/>
                <w:sz w:val="20"/>
                <w:szCs w:val="20"/>
              </w:rPr>
            </w:pPr>
            <w:r w:rsidRPr="007816E0">
              <w:rPr>
                <w:rFonts w:eastAsia="Calibri"/>
                <w:sz w:val="20"/>
                <w:szCs w:val="20"/>
              </w:rPr>
              <w:t>1</w:t>
            </w:r>
          </w:p>
        </w:tc>
        <w:tc>
          <w:tcPr>
            <w:tcW w:w="583" w:type="pct"/>
            <w:tcBorders>
              <w:top w:val="single" w:sz="4" w:space="0" w:color="auto"/>
              <w:left w:val="single" w:sz="4" w:space="0" w:color="auto"/>
              <w:bottom w:val="single" w:sz="4" w:space="0" w:color="auto"/>
              <w:right w:val="single" w:sz="4" w:space="0" w:color="auto"/>
            </w:tcBorders>
          </w:tcPr>
          <w:p w:rsidR="0022772B" w:rsidRPr="00266255" w:rsidP="00183612" w14:paraId="1C009A0A" w14:textId="5F07FAC4">
            <w:pPr>
              <w:jc w:val="right"/>
              <w:rPr>
                <w:rFonts w:eastAsia="Calibri"/>
                <w:sz w:val="20"/>
                <w:szCs w:val="20"/>
              </w:rPr>
            </w:pPr>
            <w:r w:rsidRPr="00266255">
              <w:rPr>
                <w:rFonts w:eastAsia="Calibri"/>
                <w:sz w:val="20"/>
                <w:szCs w:val="20"/>
              </w:rPr>
              <w:t>337</w:t>
            </w:r>
          </w:p>
        </w:tc>
        <w:tc>
          <w:tcPr>
            <w:tcW w:w="766" w:type="pct"/>
            <w:tcBorders>
              <w:top w:val="single" w:sz="4" w:space="0" w:color="auto"/>
              <w:left w:val="single" w:sz="4" w:space="0" w:color="auto"/>
              <w:bottom w:val="single" w:sz="4" w:space="0" w:color="auto"/>
              <w:right w:val="single" w:sz="4" w:space="0" w:color="auto"/>
            </w:tcBorders>
          </w:tcPr>
          <w:p w:rsidR="00464627" w:rsidRPr="00266255" w:rsidP="00183612" w14:paraId="0B40ECE4" w14:textId="502C0DD0">
            <w:pPr>
              <w:jc w:val="right"/>
              <w:rPr>
                <w:rFonts w:eastAsia="Calibri"/>
                <w:sz w:val="20"/>
                <w:szCs w:val="20"/>
              </w:rPr>
            </w:pPr>
            <w:r w:rsidRPr="00266255">
              <w:rPr>
                <w:rFonts w:eastAsia="Calibri"/>
                <w:sz w:val="20"/>
                <w:szCs w:val="20"/>
              </w:rPr>
              <w:t>8</w:t>
            </w:r>
            <w:r w:rsidRPr="00266255" w:rsidR="0022772B">
              <w:rPr>
                <w:rFonts w:eastAsia="Calibri"/>
                <w:sz w:val="20"/>
                <w:szCs w:val="20"/>
              </w:rPr>
              <w:t xml:space="preserve"> </w:t>
            </w:r>
            <w:r w:rsidRPr="00266255" w:rsidR="00692635">
              <w:rPr>
                <w:rFonts w:eastAsia="Calibri"/>
                <w:sz w:val="20"/>
                <w:szCs w:val="20"/>
              </w:rPr>
              <w:t>hrs.</w:t>
            </w:r>
            <w:r w:rsidRPr="00266255" w:rsidR="007816E0">
              <w:rPr>
                <w:rFonts w:eastAsia="Calibri"/>
                <w:sz w:val="20"/>
                <w:szCs w:val="20"/>
              </w:rPr>
              <w:t>,</w:t>
            </w:r>
          </w:p>
          <w:p w:rsidR="0022772B" w:rsidRPr="00266255" w:rsidP="00183612" w14:paraId="20CF8D18" w14:textId="451AD1E2">
            <w:pPr>
              <w:jc w:val="right"/>
              <w:rPr>
                <w:rFonts w:eastAsia="Calibri"/>
                <w:sz w:val="20"/>
                <w:szCs w:val="20"/>
              </w:rPr>
            </w:pPr>
            <w:r w:rsidRPr="00266255">
              <w:rPr>
                <w:rFonts w:eastAsia="Calibri"/>
                <w:sz w:val="20"/>
                <w:szCs w:val="20"/>
              </w:rPr>
              <w:t>$</w:t>
            </w:r>
            <w:r w:rsidRPr="00266255" w:rsidR="006C44D8">
              <w:rPr>
                <w:rFonts w:eastAsia="Calibri"/>
                <w:sz w:val="20"/>
                <w:szCs w:val="20"/>
              </w:rPr>
              <w:t>508.12</w:t>
            </w:r>
          </w:p>
          <w:p w:rsidR="0022772B" w:rsidRPr="00266255" w:rsidP="00183612" w14:paraId="5E2224CF" w14:textId="77777777">
            <w:pPr>
              <w:jc w:val="right"/>
              <w:rPr>
                <w:rFonts w:eastAsia="Calibri"/>
                <w:sz w:val="20"/>
                <w:szCs w:val="20"/>
              </w:rPr>
            </w:pPr>
          </w:p>
        </w:tc>
        <w:tc>
          <w:tcPr>
            <w:tcW w:w="827" w:type="pct"/>
            <w:tcBorders>
              <w:top w:val="single" w:sz="4" w:space="0" w:color="auto"/>
              <w:left w:val="single" w:sz="4" w:space="0" w:color="auto"/>
              <w:bottom w:val="single" w:sz="4" w:space="0" w:color="auto"/>
              <w:right w:val="single" w:sz="4" w:space="0" w:color="auto"/>
            </w:tcBorders>
          </w:tcPr>
          <w:p w:rsidR="0022772B" w:rsidRPr="00266255" w:rsidP="00183612" w14:paraId="5564972D" w14:textId="67C2A251">
            <w:pPr>
              <w:jc w:val="right"/>
              <w:rPr>
                <w:rFonts w:eastAsia="Calibri"/>
                <w:sz w:val="20"/>
                <w:szCs w:val="20"/>
              </w:rPr>
            </w:pPr>
            <w:r w:rsidRPr="00266255">
              <w:rPr>
                <w:rFonts w:eastAsia="Calibri"/>
                <w:sz w:val="20"/>
                <w:szCs w:val="20"/>
              </w:rPr>
              <w:t>2,696</w:t>
            </w:r>
            <w:r w:rsidRPr="00266255">
              <w:rPr>
                <w:rFonts w:eastAsia="Calibri"/>
                <w:sz w:val="20"/>
                <w:szCs w:val="20"/>
              </w:rPr>
              <w:t xml:space="preserve"> </w:t>
            </w:r>
            <w:r w:rsidRPr="00266255" w:rsidR="007D4E90">
              <w:rPr>
                <w:rFonts w:eastAsia="Calibri"/>
                <w:sz w:val="20"/>
                <w:szCs w:val="20"/>
              </w:rPr>
              <w:t>hrs</w:t>
            </w:r>
            <w:r w:rsidRPr="00266255">
              <w:rPr>
                <w:rFonts w:eastAsia="Calibri"/>
                <w:sz w:val="20"/>
                <w:szCs w:val="20"/>
              </w:rPr>
              <w:t>., $</w:t>
            </w:r>
            <w:r w:rsidRPr="00266255" w:rsidR="00DD3ED2">
              <w:rPr>
                <w:rFonts w:eastAsia="Calibri"/>
                <w:sz w:val="20"/>
                <w:szCs w:val="20"/>
              </w:rPr>
              <w:t>171,249.92</w:t>
            </w:r>
          </w:p>
          <w:p w:rsidR="0022772B" w:rsidRPr="00266255" w:rsidP="00183612" w14:paraId="5EEAF55C" w14:textId="77777777">
            <w:pPr>
              <w:jc w:val="right"/>
              <w:rPr>
                <w:rFonts w:eastAsia="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22772B" w:rsidRPr="00266255" w:rsidP="00183612" w14:paraId="76D3B44B" w14:textId="30D9E055">
            <w:pPr>
              <w:jc w:val="right"/>
              <w:rPr>
                <w:rFonts w:eastAsia="Calibri"/>
                <w:sz w:val="20"/>
                <w:szCs w:val="20"/>
              </w:rPr>
            </w:pPr>
            <w:r w:rsidRPr="00266255">
              <w:rPr>
                <w:rFonts w:eastAsia="Calibri"/>
                <w:sz w:val="20"/>
                <w:szCs w:val="20"/>
              </w:rPr>
              <w:t>$</w:t>
            </w:r>
            <w:r w:rsidRPr="00266255" w:rsidR="00F64FA6">
              <w:rPr>
                <w:rFonts w:eastAsia="Calibri"/>
                <w:sz w:val="20"/>
                <w:szCs w:val="20"/>
              </w:rPr>
              <w:t>508.12</w:t>
            </w:r>
          </w:p>
        </w:tc>
      </w:tr>
      <w:tr w14:paraId="1E4E5291" w14:textId="77777777" w:rsidTr="00266255">
        <w:tblPrEx>
          <w:tblW w:w="5195" w:type="pct"/>
          <w:jc w:val="right"/>
          <w:tblLayout w:type="fixed"/>
          <w:tblLook w:val="01E0"/>
        </w:tblPrEx>
        <w:trPr>
          <w:cantSplit/>
          <w:jc w:val="right"/>
        </w:trPr>
        <w:tc>
          <w:tcPr>
            <w:tcW w:w="752" w:type="pct"/>
            <w:vMerge/>
            <w:tcBorders>
              <w:left w:val="single" w:sz="4" w:space="0" w:color="auto"/>
              <w:bottom w:val="single" w:sz="4" w:space="0" w:color="auto"/>
              <w:right w:val="single" w:sz="4" w:space="0" w:color="auto"/>
            </w:tcBorders>
            <w:noWrap/>
          </w:tcPr>
          <w:p w:rsidR="0022772B" w:rsidP="00183612" w14:paraId="7E5FA7C7" w14:textId="04A39480">
            <w:pPr>
              <w:jc w:val="right"/>
              <w:rPr>
                <w:rFonts w:eastAsia="Calibri"/>
                <w:sz w:val="20"/>
                <w:szCs w:val="20"/>
              </w:rPr>
            </w:pPr>
          </w:p>
        </w:tc>
        <w:tc>
          <w:tcPr>
            <w:tcW w:w="792" w:type="pct"/>
            <w:tcBorders>
              <w:top w:val="single" w:sz="4" w:space="0" w:color="auto"/>
              <w:left w:val="single" w:sz="4" w:space="0" w:color="auto"/>
              <w:bottom w:val="single" w:sz="4" w:space="0" w:color="auto"/>
              <w:right w:val="single" w:sz="4" w:space="0" w:color="auto"/>
            </w:tcBorders>
          </w:tcPr>
          <w:p w:rsidR="0022772B" w:rsidP="00183612" w14:paraId="36B48823" w14:textId="317FEDBA">
            <w:pPr>
              <w:jc w:val="right"/>
              <w:rPr>
                <w:rFonts w:eastAsia="Calibri"/>
                <w:sz w:val="20"/>
                <w:szCs w:val="20"/>
              </w:rPr>
            </w:pPr>
            <w:r>
              <w:rPr>
                <w:rFonts w:eastAsia="Calibri"/>
                <w:sz w:val="20"/>
                <w:szCs w:val="20"/>
              </w:rPr>
              <w:t xml:space="preserve">97 </w:t>
            </w:r>
            <w:r>
              <w:rPr>
                <w:rFonts w:eastAsia="Calibri"/>
                <w:sz w:val="20"/>
                <w:szCs w:val="20"/>
              </w:rPr>
              <w:t>(BA)</w:t>
            </w:r>
          </w:p>
        </w:tc>
        <w:tc>
          <w:tcPr>
            <w:tcW w:w="585" w:type="pct"/>
            <w:tcBorders>
              <w:top w:val="single" w:sz="4" w:space="0" w:color="auto"/>
              <w:left w:val="single" w:sz="4" w:space="0" w:color="auto"/>
              <w:bottom w:val="single" w:sz="4" w:space="0" w:color="auto"/>
              <w:right w:val="single" w:sz="4" w:space="0" w:color="auto"/>
            </w:tcBorders>
          </w:tcPr>
          <w:p w:rsidR="0022772B" w:rsidP="00183612" w14:paraId="46D77085" w14:textId="546850E4">
            <w:pPr>
              <w:jc w:val="right"/>
              <w:rPr>
                <w:rFonts w:eastAsia="Calibri"/>
                <w:sz w:val="20"/>
                <w:szCs w:val="20"/>
              </w:rPr>
            </w:pPr>
            <w:r>
              <w:rPr>
                <w:rFonts w:eastAsia="Calibri"/>
                <w:sz w:val="20"/>
                <w:szCs w:val="20"/>
              </w:rPr>
              <w:t>1</w:t>
            </w:r>
          </w:p>
        </w:tc>
        <w:tc>
          <w:tcPr>
            <w:tcW w:w="583" w:type="pct"/>
            <w:tcBorders>
              <w:top w:val="single" w:sz="4" w:space="0" w:color="auto"/>
              <w:left w:val="single" w:sz="4" w:space="0" w:color="auto"/>
              <w:bottom w:val="single" w:sz="4" w:space="0" w:color="auto"/>
              <w:right w:val="single" w:sz="4" w:space="0" w:color="auto"/>
            </w:tcBorders>
          </w:tcPr>
          <w:p w:rsidR="0022772B" w:rsidRPr="00266255" w:rsidP="00183612" w14:paraId="520474EF" w14:textId="13CFD20A">
            <w:pPr>
              <w:jc w:val="right"/>
              <w:rPr>
                <w:rFonts w:eastAsia="Calibri"/>
                <w:sz w:val="20"/>
                <w:szCs w:val="20"/>
              </w:rPr>
            </w:pPr>
            <w:r w:rsidRPr="00266255">
              <w:rPr>
                <w:rFonts w:eastAsia="Calibri"/>
                <w:sz w:val="20"/>
                <w:szCs w:val="20"/>
              </w:rPr>
              <w:t>97</w:t>
            </w:r>
          </w:p>
        </w:tc>
        <w:tc>
          <w:tcPr>
            <w:tcW w:w="766" w:type="pct"/>
            <w:tcBorders>
              <w:top w:val="single" w:sz="4" w:space="0" w:color="auto"/>
              <w:left w:val="single" w:sz="4" w:space="0" w:color="auto"/>
              <w:bottom w:val="single" w:sz="4" w:space="0" w:color="auto"/>
              <w:right w:val="single" w:sz="4" w:space="0" w:color="auto"/>
            </w:tcBorders>
          </w:tcPr>
          <w:p w:rsidR="00464627" w:rsidRPr="00266255" w:rsidP="00183612" w14:paraId="4A4DDCBB" w14:textId="0532F04E">
            <w:pPr>
              <w:jc w:val="right"/>
              <w:rPr>
                <w:rFonts w:eastAsia="Calibri"/>
                <w:sz w:val="20"/>
                <w:szCs w:val="20"/>
              </w:rPr>
            </w:pPr>
            <w:r w:rsidRPr="00266255">
              <w:rPr>
                <w:rFonts w:eastAsia="Calibri"/>
                <w:sz w:val="20"/>
                <w:szCs w:val="20"/>
              </w:rPr>
              <w:t>8</w:t>
            </w:r>
            <w:r w:rsidRPr="00266255" w:rsidR="0022772B">
              <w:rPr>
                <w:rFonts w:eastAsia="Calibri"/>
                <w:sz w:val="20"/>
                <w:szCs w:val="20"/>
              </w:rPr>
              <w:t xml:space="preserve"> hr.,</w:t>
            </w:r>
          </w:p>
          <w:p w:rsidR="0022772B" w:rsidRPr="00266255" w:rsidP="00183612" w14:paraId="1006CDC4" w14:textId="26B97877">
            <w:pPr>
              <w:jc w:val="right"/>
              <w:rPr>
                <w:rFonts w:eastAsia="Calibri"/>
                <w:sz w:val="20"/>
                <w:szCs w:val="20"/>
              </w:rPr>
            </w:pPr>
            <w:r w:rsidRPr="00266255">
              <w:rPr>
                <w:rFonts w:eastAsia="Calibri"/>
                <w:sz w:val="20"/>
                <w:szCs w:val="20"/>
              </w:rPr>
              <w:t>$</w:t>
            </w:r>
            <w:r w:rsidRPr="00266255" w:rsidR="006C44D8">
              <w:rPr>
                <w:rFonts w:eastAsia="Calibri"/>
                <w:sz w:val="20"/>
                <w:szCs w:val="20"/>
              </w:rPr>
              <w:t>508.16</w:t>
            </w:r>
          </w:p>
        </w:tc>
        <w:tc>
          <w:tcPr>
            <w:tcW w:w="827" w:type="pct"/>
            <w:tcBorders>
              <w:top w:val="single" w:sz="4" w:space="0" w:color="auto"/>
              <w:left w:val="single" w:sz="4" w:space="0" w:color="auto"/>
              <w:bottom w:val="single" w:sz="4" w:space="0" w:color="auto"/>
              <w:right w:val="single" w:sz="4" w:space="0" w:color="auto"/>
            </w:tcBorders>
          </w:tcPr>
          <w:p w:rsidR="0022772B" w:rsidRPr="00266255" w:rsidP="00183612" w14:paraId="7010A2FB" w14:textId="23232094">
            <w:pPr>
              <w:jc w:val="right"/>
              <w:rPr>
                <w:rFonts w:eastAsia="Calibri"/>
                <w:sz w:val="20"/>
                <w:szCs w:val="20"/>
              </w:rPr>
            </w:pPr>
            <w:r w:rsidRPr="00266255">
              <w:rPr>
                <w:rFonts w:eastAsia="Calibri"/>
                <w:sz w:val="20"/>
                <w:szCs w:val="20"/>
              </w:rPr>
              <w:t xml:space="preserve">776 </w:t>
            </w:r>
            <w:r w:rsidRPr="00266255">
              <w:rPr>
                <w:rFonts w:eastAsia="Calibri"/>
                <w:sz w:val="20"/>
                <w:szCs w:val="20"/>
              </w:rPr>
              <w:t>hrs., $</w:t>
            </w:r>
            <w:r w:rsidRPr="00266255" w:rsidR="00C30B28">
              <w:rPr>
                <w:rFonts w:eastAsia="Calibri"/>
                <w:sz w:val="20"/>
                <w:szCs w:val="20"/>
              </w:rPr>
              <w:t>49,291.52</w:t>
            </w:r>
          </w:p>
        </w:tc>
        <w:tc>
          <w:tcPr>
            <w:tcW w:w="695" w:type="pct"/>
            <w:tcBorders>
              <w:top w:val="single" w:sz="4" w:space="0" w:color="auto"/>
              <w:left w:val="single" w:sz="4" w:space="0" w:color="auto"/>
              <w:bottom w:val="single" w:sz="4" w:space="0" w:color="auto"/>
              <w:right w:val="single" w:sz="4" w:space="0" w:color="auto"/>
            </w:tcBorders>
          </w:tcPr>
          <w:p w:rsidR="0022772B" w:rsidRPr="00266255" w:rsidP="00183612" w14:paraId="49495BAA" w14:textId="15A58DAF">
            <w:pPr>
              <w:jc w:val="right"/>
              <w:rPr>
                <w:rFonts w:eastAsia="Calibri"/>
                <w:sz w:val="20"/>
                <w:szCs w:val="20"/>
              </w:rPr>
            </w:pPr>
            <w:r w:rsidRPr="00266255">
              <w:rPr>
                <w:rFonts w:eastAsia="Calibri"/>
                <w:sz w:val="20"/>
                <w:szCs w:val="20"/>
              </w:rPr>
              <w:t>$</w:t>
            </w:r>
            <w:r w:rsidRPr="00266255" w:rsidR="00F64FA6">
              <w:rPr>
                <w:rFonts w:eastAsia="Calibri"/>
                <w:sz w:val="20"/>
                <w:szCs w:val="20"/>
              </w:rPr>
              <w:t>508.16</w:t>
            </w:r>
          </w:p>
        </w:tc>
      </w:tr>
      <w:tr w14:paraId="74A99957" w14:textId="7F2CC20F" w:rsidTr="00266255">
        <w:tblPrEx>
          <w:tblW w:w="5195" w:type="pct"/>
          <w:jc w:val="right"/>
          <w:tblLayout w:type="fixed"/>
          <w:tblLook w:val="01E0"/>
        </w:tblPrEx>
        <w:trPr>
          <w:cantSplit/>
          <w:trHeight w:val="485"/>
          <w:jc w:val="right"/>
        </w:trPr>
        <w:tc>
          <w:tcPr>
            <w:tcW w:w="752" w:type="pct"/>
          </w:tcPr>
          <w:p w:rsidR="0022772B" w:rsidRPr="00B762E2" w:rsidP="00183612" w14:paraId="6D778213" w14:textId="0B3923BB">
            <w:pPr>
              <w:jc w:val="right"/>
              <w:rPr>
                <w:rFonts w:eastAsia="Calibri"/>
                <w:sz w:val="20"/>
                <w:szCs w:val="20"/>
              </w:rPr>
            </w:pPr>
            <w:r>
              <w:rPr>
                <w:rFonts w:eastAsia="Calibri"/>
                <w:sz w:val="20"/>
                <w:szCs w:val="20"/>
              </w:rPr>
              <w:t>IRO-018-</w:t>
            </w:r>
            <w:r w:rsidR="00EB5E69">
              <w:rPr>
                <w:rFonts w:eastAsia="Calibri"/>
                <w:sz w:val="20"/>
                <w:szCs w:val="20"/>
              </w:rPr>
              <w:t>1(</w:t>
            </w:r>
            <w:r w:rsidR="00EB5E69">
              <w:rPr>
                <w:rFonts w:eastAsia="Calibri"/>
                <w:sz w:val="20"/>
                <w:szCs w:val="20"/>
              </w:rPr>
              <w:t>i</w:t>
            </w:r>
            <w:r w:rsidR="00EB5E69">
              <w:rPr>
                <w:rFonts w:eastAsia="Calibri"/>
                <w:sz w:val="20"/>
                <w:szCs w:val="20"/>
              </w:rPr>
              <w:t>)</w:t>
            </w:r>
          </w:p>
        </w:tc>
        <w:tc>
          <w:tcPr>
            <w:tcW w:w="792" w:type="pct"/>
          </w:tcPr>
          <w:p w:rsidR="0022772B" w:rsidP="00183612" w14:paraId="1CC5FBBB" w14:textId="111D3DC1">
            <w:pPr>
              <w:jc w:val="right"/>
              <w:rPr>
                <w:rFonts w:eastAsia="Calibri"/>
                <w:sz w:val="20"/>
                <w:szCs w:val="20"/>
              </w:rPr>
            </w:pPr>
            <w:r>
              <w:rPr>
                <w:rFonts w:eastAsia="Calibri"/>
                <w:sz w:val="20"/>
                <w:szCs w:val="20"/>
              </w:rPr>
              <w:t>12</w:t>
            </w:r>
            <w:r w:rsidR="00300D86">
              <w:rPr>
                <w:rFonts w:eastAsia="Calibri"/>
                <w:sz w:val="20"/>
                <w:szCs w:val="20"/>
              </w:rPr>
              <w:t xml:space="preserve"> (RC)</w:t>
            </w:r>
          </w:p>
        </w:tc>
        <w:tc>
          <w:tcPr>
            <w:tcW w:w="585" w:type="pct"/>
          </w:tcPr>
          <w:p w:rsidR="0022772B" w:rsidP="00183612" w14:paraId="1323E563" w14:textId="77777777">
            <w:pPr>
              <w:jc w:val="right"/>
              <w:rPr>
                <w:rFonts w:eastAsia="Calibri"/>
                <w:sz w:val="20"/>
                <w:szCs w:val="20"/>
              </w:rPr>
            </w:pPr>
            <w:r>
              <w:rPr>
                <w:rFonts w:eastAsia="Calibri"/>
                <w:sz w:val="20"/>
                <w:szCs w:val="20"/>
              </w:rPr>
              <w:t>1</w:t>
            </w:r>
          </w:p>
        </w:tc>
        <w:tc>
          <w:tcPr>
            <w:tcW w:w="583" w:type="pct"/>
          </w:tcPr>
          <w:p w:rsidR="0022772B" w:rsidRPr="00266255" w:rsidP="00183612" w14:paraId="7256ECE7" w14:textId="29D6C49F">
            <w:pPr>
              <w:jc w:val="right"/>
              <w:rPr>
                <w:rFonts w:eastAsia="Calibri"/>
                <w:sz w:val="20"/>
                <w:szCs w:val="20"/>
              </w:rPr>
            </w:pPr>
            <w:r w:rsidRPr="00266255">
              <w:rPr>
                <w:rFonts w:eastAsia="Calibri"/>
                <w:sz w:val="20"/>
                <w:szCs w:val="20"/>
              </w:rPr>
              <w:t>12</w:t>
            </w:r>
          </w:p>
        </w:tc>
        <w:tc>
          <w:tcPr>
            <w:tcW w:w="766" w:type="pct"/>
          </w:tcPr>
          <w:p w:rsidR="0022772B" w:rsidRPr="00266255" w:rsidP="00183612" w14:paraId="354F61D3" w14:textId="08A49A3B">
            <w:pPr>
              <w:jc w:val="right"/>
              <w:rPr>
                <w:rFonts w:eastAsia="Calibri"/>
                <w:sz w:val="20"/>
                <w:szCs w:val="20"/>
              </w:rPr>
            </w:pPr>
            <w:r w:rsidRPr="00266255">
              <w:rPr>
                <w:rFonts w:eastAsia="Calibri"/>
                <w:sz w:val="20"/>
                <w:szCs w:val="20"/>
              </w:rPr>
              <w:t>34 hrs.,</w:t>
            </w:r>
          </w:p>
          <w:p w:rsidR="0022772B" w:rsidRPr="00266255" w:rsidP="00183612" w14:paraId="0BCB4E0F" w14:textId="2A1C7668">
            <w:pPr>
              <w:jc w:val="right"/>
              <w:rPr>
                <w:rFonts w:eastAsia="Calibri"/>
                <w:sz w:val="20"/>
                <w:szCs w:val="20"/>
              </w:rPr>
            </w:pPr>
            <w:r w:rsidRPr="00266255">
              <w:rPr>
                <w:rFonts w:eastAsia="Calibri"/>
                <w:sz w:val="20"/>
                <w:szCs w:val="20"/>
              </w:rPr>
              <w:t>$</w:t>
            </w:r>
            <w:r w:rsidRPr="00266255" w:rsidR="00286DFD">
              <w:rPr>
                <w:rFonts w:eastAsia="Calibri"/>
                <w:sz w:val="20"/>
                <w:szCs w:val="20"/>
              </w:rPr>
              <w:t>2,159.68</w:t>
            </w:r>
          </w:p>
        </w:tc>
        <w:tc>
          <w:tcPr>
            <w:tcW w:w="827" w:type="pct"/>
          </w:tcPr>
          <w:p w:rsidR="0022772B" w:rsidRPr="00266255" w:rsidP="00183612" w14:paraId="58492D6A" w14:textId="20F73379">
            <w:pPr>
              <w:jc w:val="right"/>
              <w:rPr>
                <w:rFonts w:eastAsia="Calibri"/>
                <w:sz w:val="20"/>
                <w:szCs w:val="20"/>
              </w:rPr>
            </w:pPr>
            <w:r w:rsidRPr="00266255">
              <w:rPr>
                <w:rFonts w:eastAsia="Calibri"/>
                <w:sz w:val="20"/>
                <w:szCs w:val="20"/>
              </w:rPr>
              <w:t xml:space="preserve">408 </w:t>
            </w:r>
            <w:r w:rsidRPr="00266255">
              <w:rPr>
                <w:rFonts w:eastAsia="Calibri"/>
                <w:sz w:val="20"/>
                <w:szCs w:val="20"/>
              </w:rPr>
              <w:t>hrs.,</w:t>
            </w:r>
          </w:p>
          <w:p w:rsidR="0022772B" w:rsidRPr="00266255" w:rsidP="00183612" w14:paraId="117E5DE8" w14:textId="467E6B91">
            <w:pPr>
              <w:jc w:val="right"/>
              <w:rPr>
                <w:rFonts w:eastAsia="Calibri"/>
                <w:sz w:val="20"/>
                <w:szCs w:val="20"/>
              </w:rPr>
            </w:pPr>
            <w:r w:rsidRPr="00266255">
              <w:rPr>
                <w:rFonts w:eastAsia="Calibri"/>
                <w:sz w:val="20"/>
                <w:szCs w:val="20"/>
              </w:rPr>
              <w:t>$</w:t>
            </w:r>
            <w:r w:rsidRPr="00266255" w:rsidR="00467288">
              <w:rPr>
                <w:rFonts w:eastAsia="Calibri"/>
                <w:sz w:val="20"/>
                <w:szCs w:val="20"/>
              </w:rPr>
              <w:t>25,916.16</w:t>
            </w:r>
          </w:p>
        </w:tc>
        <w:tc>
          <w:tcPr>
            <w:tcW w:w="695" w:type="pct"/>
          </w:tcPr>
          <w:p w:rsidR="0022772B" w:rsidRPr="00266255" w:rsidP="00183612" w14:paraId="37E5598F" w14:textId="7AF185DE">
            <w:pPr>
              <w:jc w:val="right"/>
              <w:rPr>
                <w:rFonts w:eastAsia="Calibri"/>
                <w:sz w:val="20"/>
                <w:szCs w:val="20"/>
              </w:rPr>
            </w:pPr>
            <w:r w:rsidRPr="00266255">
              <w:rPr>
                <w:rFonts w:eastAsia="Calibri"/>
                <w:sz w:val="20"/>
                <w:szCs w:val="20"/>
              </w:rPr>
              <w:t>$</w:t>
            </w:r>
            <w:r w:rsidRPr="00266255" w:rsidR="00F64FA6">
              <w:rPr>
                <w:rFonts w:eastAsia="Calibri"/>
                <w:sz w:val="20"/>
                <w:szCs w:val="20"/>
              </w:rPr>
              <w:t>2,159.68</w:t>
            </w:r>
          </w:p>
        </w:tc>
      </w:tr>
      <w:tr w14:paraId="7EA2BA82" w14:textId="57428396" w:rsidTr="00266255">
        <w:tblPrEx>
          <w:tblW w:w="5195" w:type="pct"/>
          <w:jc w:val="right"/>
          <w:tblLayout w:type="fixed"/>
          <w:tblLook w:val="01E0"/>
        </w:tblPrEx>
        <w:trPr>
          <w:cantSplit/>
          <w:trHeight w:val="485"/>
          <w:jc w:val="right"/>
        </w:trPr>
        <w:tc>
          <w:tcPr>
            <w:tcW w:w="752" w:type="pct"/>
            <w:tcBorders>
              <w:bottom w:val="single" w:sz="4" w:space="0" w:color="auto"/>
            </w:tcBorders>
          </w:tcPr>
          <w:p w:rsidR="0022772B" w:rsidRPr="00B762E2" w:rsidP="00183612" w14:paraId="3B03956C" w14:textId="0E398222">
            <w:pPr>
              <w:jc w:val="right"/>
              <w:rPr>
                <w:rFonts w:eastAsia="Calibri"/>
                <w:b/>
                <w:sz w:val="20"/>
                <w:szCs w:val="20"/>
              </w:rPr>
            </w:pPr>
            <w:r w:rsidRPr="00B762E2">
              <w:rPr>
                <w:rFonts w:eastAsia="Calibri"/>
                <w:b/>
                <w:sz w:val="20"/>
                <w:szCs w:val="20"/>
              </w:rPr>
              <w:t xml:space="preserve">Total </w:t>
            </w:r>
            <w:r>
              <w:rPr>
                <w:rFonts w:eastAsia="Calibri"/>
                <w:b/>
                <w:sz w:val="20"/>
                <w:szCs w:val="20"/>
              </w:rPr>
              <w:t xml:space="preserve">for </w:t>
            </w:r>
            <w:r w:rsidRPr="00B762E2">
              <w:rPr>
                <w:rFonts w:eastAsia="Calibri"/>
                <w:b/>
                <w:sz w:val="20"/>
                <w:szCs w:val="20"/>
              </w:rPr>
              <w:t>FERC-725Z</w:t>
            </w:r>
          </w:p>
        </w:tc>
        <w:tc>
          <w:tcPr>
            <w:tcW w:w="792" w:type="pct"/>
            <w:tcBorders>
              <w:bottom w:val="single" w:sz="4" w:space="0" w:color="auto"/>
            </w:tcBorders>
            <w:shd w:val="clear" w:color="auto" w:fill="D9D9D9" w:themeFill="background1" w:themeFillShade="D9"/>
          </w:tcPr>
          <w:p w:rsidR="0022772B" w:rsidRPr="00B762E2" w:rsidP="00183612" w14:paraId="138833AB" w14:textId="77777777">
            <w:pPr>
              <w:jc w:val="right"/>
              <w:rPr>
                <w:rFonts w:eastAsia="Calibri"/>
                <w:sz w:val="20"/>
                <w:szCs w:val="20"/>
              </w:rPr>
            </w:pPr>
          </w:p>
        </w:tc>
        <w:tc>
          <w:tcPr>
            <w:tcW w:w="585" w:type="pct"/>
            <w:tcBorders>
              <w:bottom w:val="single" w:sz="4" w:space="0" w:color="auto"/>
            </w:tcBorders>
            <w:shd w:val="clear" w:color="auto" w:fill="D9D9D9" w:themeFill="background1" w:themeFillShade="D9"/>
          </w:tcPr>
          <w:p w:rsidR="0022772B" w:rsidRPr="00B762E2" w:rsidP="00183612" w14:paraId="6D8962B7" w14:textId="77777777">
            <w:pPr>
              <w:jc w:val="right"/>
              <w:rPr>
                <w:rFonts w:eastAsia="Calibri"/>
                <w:sz w:val="20"/>
                <w:szCs w:val="20"/>
              </w:rPr>
            </w:pPr>
          </w:p>
        </w:tc>
        <w:tc>
          <w:tcPr>
            <w:tcW w:w="583" w:type="pct"/>
            <w:tcBorders>
              <w:bottom w:val="single" w:sz="4" w:space="0" w:color="auto"/>
            </w:tcBorders>
          </w:tcPr>
          <w:p w:rsidR="0022772B" w:rsidRPr="00266255" w:rsidP="00183612" w14:paraId="6B32DC05" w14:textId="7DA240E8">
            <w:pPr>
              <w:jc w:val="right"/>
              <w:rPr>
                <w:rFonts w:eastAsia="Calibri"/>
                <w:sz w:val="20"/>
                <w:szCs w:val="20"/>
              </w:rPr>
            </w:pPr>
            <w:r w:rsidRPr="00266255">
              <w:rPr>
                <w:rFonts w:eastAsia="Calibri"/>
                <w:sz w:val="20"/>
                <w:szCs w:val="20"/>
              </w:rPr>
              <w:t>2,678</w:t>
            </w:r>
          </w:p>
        </w:tc>
        <w:tc>
          <w:tcPr>
            <w:tcW w:w="766" w:type="pct"/>
            <w:tcBorders>
              <w:bottom w:val="single" w:sz="4" w:space="0" w:color="auto"/>
            </w:tcBorders>
            <w:shd w:val="clear" w:color="auto" w:fill="D9D9D9" w:themeFill="background1" w:themeFillShade="D9"/>
          </w:tcPr>
          <w:p w:rsidR="0022772B" w:rsidRPr="00266255" w:rsidP="00183612" w14:paraId="192F8ECD" w14:textId="343F1FFD">
            <w:pPr>
              <w:jc w:val="right"/>
              <w:rPr>
                <w:rFonts w:eastAsia="Calibri"/>
                <w:sz w:val="20"/>
                <w:szCs w:val="20"/>
              </w:rPr>
            </w:pPr>
          </w:p>
        </w:tc>
        <w:tc>
          <w:tcPr>
            <w:tcW w:w="827" w:type="pct"/>
            <w:tcBorders>
              <w:bottom w:val="single" w:sz="4" w:space="0" w:color="auto"/>
            </w:tcBorders>
          </w:tcPr>
          <w:p w:rsidR="0022772B" w:rsidRPr="00266255" w:rsidP="00183612" w14:paraId="1A074A1E" w14:textId="476A26FD">
            <w:pPr>
              <w:jc w:val="right"/>
              <w:rPr>
                <w:rFonts w:eastAsia="Calibri"/>
                <w:sz w:val="20"/>
                <w:szCs w:val="20"/>
              </w:rPr>
            </w:pPr>
            <w:r w:rsidRPr="00266255">
              <w:rPr>
                <w:rFonts w:eastAsia="Calibri"/>
                <w:sz w:val="20"/>
                <w:szCs w:val="20"/>
              </w:rPr>
              <w:t>55</w:t>
            </w:r>
            <w:r w:rsidRPr="00266255" w:rsidR="009602EB">
              <w:rPr>
                <w:rFonts w:eastAsia="Calibri"/>
                <w:sz w:val="20"/>
                <w:szCs w:val="20"/>
              </w:rPr>
              <w:t>,</w:t>
            </w:r>
            <w:r w:rsidRPr="00266255">
              <w:rPr>
                <w:rFonts w:eastAsia="Calibri"/>
                <w:sz w:val="20"/>
                <w:szCs w:val="20"/>
              </w:rPr>
              <w:t>218</w:t>
            </w:r>
            <w:r w:rsidRPr="00266255" w:rsidR="00686019">
              <w:rPr>
                <w:rFonts w:eastAsia="Calibri"/>
                <w:sz w:val="20"/>
                <w:szCs w:val="20"/>
              </w:rPr>
              <w:t xml:space="preserve"> </w:t>
            </w:r>
            <w:r w:rsidRPr="00266255" w:rsidR="00194E0C">
              <w:rPr>
                <w:rFonts w:eastAsia="Calibri"/>
                <w:sz w:val="20"/>
                <w:szCs w:val="20"/>
              </w:rPr>
              <w:t>hrs.,</w:t>
            </w:r>
            <w:r w:rsidRPr="00266255" w:rsidR="00464627">
              <w:rPr>
                <w:rFonts w:eastAsia="Calibri"/>
                <w:sz w:val="20"/>
                <w:szCs w:val="20"/>
              </w:rPr>
              <w:t xml:space="preserve"> $</w:t>
            </w:r>
            <w:r w:rsidRPr="00266255" w:rsidR="00C87BF1">
              <w:rPr>
                <w:rFonts w:eastAsia="Calibri"/>
                <w:sz w:val="20"/>
                <w:szCs w:val="20"/>
              </w:rPr>
              <w:t>3,538,599.16</w:t>
            </w:r>
          </w:p>
          <w:p w:rsidR="00194E0C" w:rsidRPr="00266255" w:rsidP="00183612" w14:paraId="50860000" w14:textId="7BD44927">
            <w:pPr>
              <w:jc w:val="right"/>
              <w:rPr>
                <w:rFonts w:eastAsia="Calibri"/>
                <w:sz w:val="20"/>
                <w:szCs w:val="20"/>
              </w:rPr>
            </w:pPr>
          </w:p>
        </w:tc>
        <w:tc>
          <w:tcPr>
            <w:tcW w:w="695" w:type="pct"/>
            <w:tcBorders>
              <w:bottom w:val="single" w:sz="4" w:space="0" w:color="auto"/>
            </w:tcBorders>
            <w:shd w:val="clear" w:color="auto" w:fill="D9D9D9" w:themeFill="background1" w:themeFillShade="D9"/>
          </w:tcPr>
          <w:p w:rsidR="0022772B" w:rsidRPr="00266255" w:rsidP="00183612" w14:paraId="3FBADC50" w14:textId="769AAD06">
            <w:pPr>
              <w:jc w:val="right"/>
              <w:rPr>
                <w:rFonts w:eastAsia="Calibri"/>
                <w:sz w:val="20"/>
                <w:szCs w:val="20"/>
              </w:rPr>
            </w:pPr>
          </w:p>
        </w:tc>
      </w:tr>
    </w:tbl>
    <w:p w:rsidR="001579BB" w:rsidP="00340DD9" w14:paraId="65231951" w14:textId="77777777">
      <w:pPr>
        <w:autoSpaceDE w:val="0"/>
        <w:autoSpaceDN w:val="0"/>
        <w:adjustRightInd w:val="0"/>
        <w:spacing w:line="480" w:lineRule="auto"/>
        <w:jc w:val="right"/>
        <w:rPr>
          <w:i/>
        </w:rPr>
      </w:pPr>
    </w:p>
    <w:p w:rsidR="00881405" w:rsidP="002906E5" w14:paraId="40735770" w14:textId="42C6F147">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14:paraId="02C177FD" w14:textId="77777777"/>
    <w:p w:rsidR="006B5FBC" w:rsidP="006B5FBC" w14:paraId="2B2004DC" w14:textId="77777777"/>
    <w:p w:rsidR="006B5FBC" w:rsidP="006B5FBC" w14:paraId="419BCAA5" w14:textId="77777777"/>
    <w:p w:rsidR="006B5FBC" w:rsidP="006B5FBC" w14:paraId="468A48AF" w14:textId="77777777"/>
    <w:p w:rsidR="006B5FBC" w:rsidRPr="006B5FBC" w:rsidP="006B5FBC" w14:paraId="79002A7A" w14:textId="6A875319">
      <w:pPr>
        <w:ind w:firstLine="2606"/>
        <w:jc w:val="center"/>
      </w:pPr>
      <w:r w:rsidRPr="006B5FBC">
        <w:t>Debbie-Anne A. Reese,</w:t>
      </w:r>
    </w:p>
    <w:p w:rsidR="006B5FBC" w:rsidRPr="006B5FBC" w:rsidP="006B5FBC" w14:paraId="0D460B67" w14:textId="648BC769">
      <w:pPr>
        <w:ind w:firstLine="2606"/>
        <w:jc w:val="center"/>
      </w:pPr>
      <w:r w:rsidRPr="006B5FBC">
        <w:t>Secretary.</w:t>
      </w:r>
    </w:p>
    <w:p w:rsidR="006B5FBC" w:rsidP="006B5FBC" w14:paraId="7923B944" w14:textId="77777777"/>
    <w:sectPr w:rsidSect="00BF2D74">
      <w:headerReference w:type="defaul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7608F" w:rsidP="00B01B16" w14:paraId="0AC1312A" w14:textId="77777777">
      <w:r>
        <w:separator/>
      </w:r>
    </w:p>
  </w:footnote>
  <w:footnote w:type="continuationSeparator" w:id="1">
    <w:p w:rsidR="00A7608F" w:rsidP="00B01B16" w14:paraId="65F8AD73" w14:textId="77777777">
      <w:r>
        <w:continuationSeparator/>
      </w:r>
    </w:p>
  </w:footnote>
  <w:footnote w:type="continuationNotice" w:id="2">
    <w:p w:rsidR="00A7608F" w14:paraId="27B8AE9B" w14:textId="77777777"/>
  </w:footnote>
  <w:footnote w:id="3">
    <w:p w:rsidR="0061527E" w:rsidP="00BC06A5" w14:paraId="15C61185" w14:textId="77777777">
      <w:pPr>
        <w:pStyle w:val="FootnoteText"/>
        <w:spacing w:after="260"/>
        <w:ind w:firstLine="720"/>
        <w:rPr>
          <w:sz w:val="26"/>
          <w:szCs w:val="26"/>
        </w:rPr>
      </w:pPr>
      <w:r>
        <w:rPr>
          <w:rStyle w:val="FootnoteReference"/>
        </w:rPr>
        <w:footnoteRef/>
      </w:r>
      <w:r>
        <w:rPr>
          <w:sz w:val="26"/>
          <w:szCs w:val="26"/>
        </w:rPr>
        <w:t xml:space="preserve"> The Energy Policy Act of 2005 (EPAct), Pub. L. No 109-58, Title XII, Subtitle A, 119 Stat. 594, 941 (2005), codified at 16 U.S.C. 824o (2000).</w:t>
      </w:r>
    </w:p>
  </w:footnote>
  <w:footnote w:id="4">
    <w:p w:rsidR="0061527E" w:rsidP="00BC06A5" w14:paraId="6A9AE737" w14:textId="5757675C">
      <w:pPr>
        <w:pStyle w:val="FootnoteText"/>
        <w:spacing w:after="260"/>
        <w:ind w:firstLine="720"/>
        <w:rPr>
          <w:sz w:val="26"/>
          <w:szCs w:val="26"/>
        </w:rPr>
      </w:pPr>
      <w:r>
        <w:rPr>
          <w:rStyle w:val="FootnoteReference"/>
        </w:rPr>
        <w:footnoteRef/>
      </w:r>
      <w:r>
        <w:rPr>
          <w:sz w:val="26"/>
          <w:szCs w:val="26"/>
          <w:vertAlign w:val="superscript"/>
        </w:rPr>
        <w:t xml:space="preserve"> </w:t>
      </w:r>
      <w:r>
        <w:rPr>
          <w:sz w:val="26"/>
          <w:szCs w:val="26"/>
        </w:rPr>
        <w:t xml:space="preserve">The Federal Power Act (as modified by the EPAct) states “[t]he </w:t>
      </w:r>
      <w:r w:rsidR="007816E0">
        <w:rPr>
          <w:sz w:val="26"/>
          <w:szCs w:val="26"/>
        </w:rPr>
        <w:t>terms</w:t>
      </w:r>
      <w:r>
        <w:rPr>
          <w:sz w:val="26"/>
          <w:szCs w:val="26"/>
        </w:rPr>
        <w:t xml:space="preserve"> “reliability standard” means a requirement, approved by the Commission under this section, to provide for reliable operation of the bulk-power system. The term includes requirements for the operation of existing bulk-power system facilities, including cybersecurity protection, and the design of planned additions or modifications to such facilities to the extent necessary to provide for reliable operation of the bulk-power system, but the term does not include any requirement to enlarge such facilities or to construct new transmission capacity or generation capacity.”</w:t>
      </w:r>
    </w:p>
  </w:footnote>
  <w:footnote w:id="5">
    <w:p w:rsidR="0061527E" w:rsidRPr="006B5FBC" w:rsidP="00BC06A5" w14:paraId="53A52942" w14:textId="77777777">
      <w:pPr>
        <w:pStyle w:val="FootnoteText"/>
        <w:spacing w:after="260"/>
        <w:ind w:firstLine="720"/>
        <w:rPr>
          <w:sz w:val="26"/>
          <w:szCs w:val="26"/>
        </w:rPr>
      </w:pPr>
      <w:r w:rsidRPr="006B5FBC">
        <w:rPr>
          <w:rStyle w:val="FootnoteReference"/>
        </w:rPr>
        <w:footnoteRef/>
      </w:r>
      <w:r w:rsidRPr="006B5FBC">
        <w:rPr>
          <w:sz w:val="26"/>
          <w:szCs w:val="26"/>
        </w:rPr>
        <w:t xml:space="preserve"> North American Electric Reliability Corp., 116 FERC ¶ 61,062, order on reh’g and compliance, 117 FERC ¶ 61,126 (2006), order on compliance, 118 FERC ¶ 61,190, order on reh’g, 119 FERC ¶ 61,046 (2007), aff’d sub nom. Alcoa Inc. v. FERC, 564 F.3d 1342 (D.C. Cir. 2009).</w:t>
      </w:r>
    </w:p>
  </w:footnote>
  <w:footnote w:id="6">
    <w:p w:rsidR="0061527E" w:rsidP="00BC06A5" w14:paraId="022CA19F" w14:textId="77777777">
      <w:pPr>
        <w:pStyle w:val="FootnoteText"/>
        <w:spacing w:after="260"/>
        <w:ind w:firstLine="720"/>
        <w:rPr>
          <w:sz w:val="26"/>
          <w:szCs w:val="26"/>
        </w:rPr>
      </w:pPr>
      <w:r w:rsidRPr="006B5FBC">
        <w:rPr>
          <w:rStyle w:val="FootnoteReference"/>
        </w:rPr>
        <w:footnoteRef/>
      </w:r>
      <w:r w:rsidRPr="006B5FBC">
        <w:rPr>
          <w:sz w:val="26"/>
          <w:szCs w:val="26"/>
        </w:rPr>
        <w:t xml:space="preserve"> The NERC Standard Processes Manual, Appendix 3A of the NERC Rules Of Procedure, (posted at </w:t>
      </w:r>
      <w:hyperlink r:id="rId1" w:history="1">
        <w:r w:rsidRPr="006B5FBC">
          <w:rPr>
            <w:rStyle w:val="Hyperlink"/>
            <w:sz w:val="26"/>
            <w:szCs w:val="26"/>
          </w:rPr>
          <w:t>https://www.nerc.com/FilingsOrders/us/RuleOfProcedureDL/SPM_Clean_Mar2019.pdf</w:t>
        </w:r>
      </w:hyperlink>
      <w:r w:rsidRPr="006B5FBC">
        <w:rPr>
          <w:rStyle w:val="Hyperlink"/>
          <w:sz w:val="26"/>
          <w:szCs w:val="26"/>
        </w:rPr>
        <w:t xml:space="preserve">) </w:t>
      </w:r>
      <w:r w:rsidRPr="006B5FBC">
        <w:rPr>
          <w:sz w:val="26"/>
          <w:szCs w:val="26"/>
        </w:rPr>
        <w:t>describes the process for developing, modifying, withdrawing, or retiring a Reliability Standard</w:t>
      </w:r>
      <w:r>
        <w:rPr>
          <w:sz w:val="26"/>
          <w:szCs w:val="26"/>
        </w:rPr>
        <w:t>.</w:t>
      </w:r>
    </w:p>
  </w:footnote>
  <w:footnote w:id="7">
    <w:p w:rsidR="005B45D2" w:rsidP="00BC06A5" w14:paraId="6E2EF8BD" w14:textId="4A19E054">
      <w:pPr>
        <w:pStyle w:val="FootnoteText"/>
        <w:spacing w:after="260"/>
        <w:ind w:firstLine="720"/>
        <w:rPr>
          <w:sz w:val="26"/>
          <w:szCs w:val="26"/>
        </w:rPr>
      </w:pPr>
      <w:r w:rsidRPr="00A2003C">
        <w:rPr>
          <w:rStyle w:val="FootnoteReference"/>
        </w:rPr>
        <w:footnoteRef/>
      </w:r>
      <w:r w:rsidRPr="004C19E9">
        <w:rPr>
          <w:sz w:val="26"/>
          <w:szCs w:val="26"/>
        </w:rPr>
        <w:t xml:space="preserve"> Burden is defined as the total time, effort, or financial resources expended by persons to generate, maintain, retain, or disclose or provide information to or for a </w:t>
      </w:r>
      <w:r w:rsidRPr="004C19E9" w:rsidR="007816E0">
        <w:rPr>
          <w:sz w:val="26"/>
          <w:szCs w:val="26"/>
        </w:rPr>
        <w:t>federal</w:t>
      </w:r>
      <w:r w:rsidRPr="004C19E9">
        <w:rPr>
          <w:sz w:val="26"/>
          <w:szCs w:val="26"/>
        </w:rPr>
        <w:t xml:space="preserve"> agency. For further explanation of what is included in the information collection burden, refer to 5 Code of Federal Regulations 1320.3.</w:t>
      </w:r>
    </w:p>
    <w:p w:rsidR="005B45D2" w:rsidRPr="004C19E9" w:rsidP="00BC06A5" w14:paraId="1B0963D2" w14:textId="77777777">
      <w:pPr>
        <w:pStyle w:val="FootnoteText"/>
        <w:spacing w:after="260"/>
        <w:rPr>
          <w:sz w:val="26"/>
          <w:szCs w:val="26"/>
        </w:rPr>
      </w:pPr>
    </w:p>
  </w:footnote>
  <w:footnote w:id="8">
    <w:p w:rsidR="00925976" w:rsidRPr="00266255" w:rsidP="00BC06A5" w14:paraId="77D57E39" w14:textId="57DBED86">
      <w:pPr>
        <w:pStyle w:val="FootnoteText"/>
        <w:spacing w:after="260"/>
        <w:ind w:firstLine="720"/>
        <w:rPr>
          <w:sz w:val="26"/>
          <w:szCs w:val="26"/>
        </w:rPr>
      </w:pPr>
      <w:r w:rsidRPr="00A2003C">
        <w:rPr>
          <w:rStyle w:val="FootnoteReference"/>
        </w:rPr>
        <w:footnoteRef/>
      </w:r>
      <w:r w:rsidRPr="004C19E9">
        <w:rPr>
          <w:sz w:val="26"/>
          <w:szCs w:val="26"/>
        </w:rPr>
        <w:t xml:space="preserve"> </w:t>
      </w:r>
      <w:r w:rsidRPr="00266255">
        <w:rPr>
          <w:sz w:val="26"/>
          <w:szCs w:val="26"/>
        </w:rPr>
        <w:t>The estimated hourly cost (salary plus benefits) is a combination of the following categories from the Bureau of Labor Statistics (BLS) website, May 20</w:t>
      </w:r>
      <w:r w:rsidRPr="00266255" w:rsidR="005B5596">
        <w:rPr>
          <w:sz w:val="26"/>
          <w:szCs w:val="26"/>
        </w:rPr>
        <w:t xml:space="preserve">25 </w:t>
      </w:r>
      <w:hyperlink r:id="rId2" w:history="1">
        <w:r w:rsidRPr="00266255" w:rsidR="00912D35">
          <w:rPr>
            <w:rStyle w:val="Hyperlink"/>
            <w:sz w:val="26"/>
            <w:szCs w:val="26"/>
          </w:rPr>
          <w:t>http://www.bls.gov/oes/current/naics2_22.htm</w:t>
        </w:r>
      </w:hyperlink>
      <w:r w:rsidRPr="00266255">
        <w:rPr>
          <w:sz w:val="26"/>
          <w:szCs w:val="26"/>
        </w:rPr>
        <w:t>:  75% of the average of an Electrical Engineer (17-2071) $71.19/hr., x .75 = 53.3925 ($53.39-rounded) ($53.39/hour);  and 25% of an Information and Record Clerk (43-4199) $40.51/hr., $40.51 x .25 = 10.1275 ($10.13 rounded) ($10.13/hour), for a total ($53.39+$10.13 = $63.52/hour).</w:t>
      </w:r>
    </w:p>
    <w:p w:rsidR="005B45D2" w:rsidRPr="004C19E9" w:rsidP="00BC06A5" w14:paraId="12299B8B" w14:textId="77777777">
      <w:pPr>
        <w:pStyle w:val="FootnoteText"/>
        <w:spacing w:after="260"/>
        <w:ind w:firstLine="720"/>
        <w:rPr>
          <w:sz w:val="26"/>
          <w:szCs w:val="26"/>
        </w:rPr>
      </w:pPr>
    </w:p>
  </w:footnote>
  <w:footnote w:id="9">
    <w:p w:rsidR="00B03919" w:rsidP="00BC06A5" w14:paraId="041F9B93" w14:textId="4BEE1817">
      <w:pPr>
        <w:pStyle w:val="FootnoteText"/>
        <w:spacing w:after="260"/>
      </w:pPr>
      <w:r>
        <w:t xml:space="preserve">      </w:t>
      </w:r>
      <w:r>
        <w:rPr>
          <w:rStyle w:val="FootnoteReference"/>
        </w:rPr>
        <w:footnoteRef/>
      </w:r>
      <w:r>
        <w:t xml:space="preserve"> </w:t>
      </w:r>
      <w:r w:rsidRPr="00266255">
        <w:rPr>
          <w:sz w:val="26"/>
          <w:szCs w:val="26"/>
        </w:rPr>
        <w:t xml:space="preserve">The NERC Compliance Registry, as of July 11, 2025, identifies the following </w:t>
      </w:r>
      <w:r w:rsidRPr="00266255" w:rsidR="005623C2">
        <w:rPr>
          <w:sz w:val="26"/>
          <w:szCs w:val="26"/>
        </w:rPr>
        <w:t xml:space="preserve">NERC </w:t>
      </w:r>
      <w:r w:rsidRPr="00266255">
        <w:rPr>
          <w:sz w:val="26"/>
          <w:szCs w:val="26"/>
        </w:rPr>
        <w:t xml:space="preserve">unique U.S. entities that are subject to mandatory compliance with Reliability Standard IRO-001-4, </w:t>
      </w:r>
      <w:r w:rsidRPr="00266255" w:rsidR="00F07A19">
        <w:rPr>
          <w:sz w:val="26"/>
          <w:szCs w:val="26"/>
        </w:rPr>
        <w:t>IRO-002-7, IRO-008-3, IRO-009-2, IRO-010-5, IRO-04-3, IRO-017-1, IRO-018-</w:t>
      </w:r>
      <w:r w:rsidR="00EB5E69">
        <w:rPr>
          <w:sz w:val="26"/>
          <w:szCs w:val="26"/>
        </w:rPr>
        <w:t>1(i)</w:t>
      </w:r>
      <w:r w:rsidRPr="00266255" w:rsidR="00F07A19">
        <w:rPr>
          <w:sz w:val="26"/>
          <w:szCs w:val="26"/>
        </w:rPr>
        <w:t>.  The number of respondents below is based on an estimate of the NERC compliance registry</w:t>
      </w:r>
      <w:r w:rsidRPr="00266255" w:rsidR="00C11915">
        <w:rPr>
          <w:sz w:val="26"/>
          <w:szCs w:val="26"/>
        </w:rPr>
        <w:t xml:space="preserve"> US only Unique Entities;</w:t>
      </w:r>
      <w:r w:rsidRPr="00266255" w:rsidR="00F07A19">
        <w:rPr>
          <w:sz w:val="26"/>
          <w:szCs w:val="26"/>
        </w:rPr>
        <w:t xml:space="preserve"> for balancing authority, transmission operator (TOP), transmission Planners (TP), distribution planners (DP), generator owner (GO) and reliability coordinator (RC).</w:t>
      </w:r>
      <w:r w:rsidRPr="00F07A19" w:rsidR="00F07A1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B2D5D" w14:paraId="13B0CC0F" w14:textId="51C6E5B9">
        <w:pPr>
          <w:pStyle w:val="Header"/>
        </w:pPr>
        <w:r w:rsidRPr="00D954AE">
          <w:t>Docket No. IC2</w:t>
        </w:r>
        <w:r w:rsidR="004C5691">
          <w:t>6</w:t>
        </w:r>
        <w:r w:rsidRPr="00D954AE">
          <w:t>-</w:t>
        </w:r>
        <w:r w:rsidR="004C5691">
          <w:t>1</w:t>
        </w:r>
        <w:r w:rsidRPr="00D954AE">
          <w:t>-000</w:t>
        </w:r>
        <w:r>
          <w:tab/>
        </w:r>
        <w:r>
          <w:fldChar w:fldCharType="begin"/>
        </w:r>
        <w:r>
          <w:instrText xml:space="preserve"> PAGE   \* MERGEFORMAT </w:instrText>
        </w:r>
        <w:r>
          <w:fldChar w:fldCharType="separate"/>
        </w:r>
        <w:r>
          <w:rPr>
            <w:noProof/>
          </w:rPr>
          <w:t>4</w:t>
        </w:r>
        <w:r>
          <w:rPr>
            <w:noProof/>
          </w:rPr>
          <w:fldChar w:fldCharType="end"/>
        </w:r>
      </w:p>
    </w:sdtContent>
  </w:sdt>
  <w:p w:rsidR="00CB2D5D"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CA5E7B"/>
    <w:multiLevelType w:val="multilevel"/>
    <w:tmpl w:val="A776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6">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nsid w:val="39C61D17"/>
    <w:multiLevelType w:val="multilevel"/>
    <w:tmpl w:val="490A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C386B50"/>
    <w:multiLevelType w:val="hybridMultilevel"/>
    <w:tmpl w:val="E1F069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11">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2ED2099"/>
    <w:multiLevelType w:val="hybridMultilevel"/>
    <w:tmpl w:val="8014E00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58EF0882"/>
    <w:multiLevelType w:val="hybridMultilevel"/>
    <w:tmpl w:val="574699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nsid w:val="77067D2F"/>
    <w:multiLevelType w:val="hybridMultilevel"/>
    <w:tmpl w:val="27F8D9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20528818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2136616">
    <w:abstractNumId w:val="5"/>
  </w:num>
  <w:num w:numId="3" w16cid:durableId="1054235943">
    <w:abstractNumId w:val="12"/>
  </w:num>
  <w:num w:numId="4" w16cid:durableId="41246301">
    <w:abstractNumId w:val="9"/>
  </w:num>
  <w:num w:numId="5" w16cid:durableId="815880421">
    <w:abstractNumId w:val="20"/>
  </w:num>
  <w:num w:numId="6" w16cid:durableId="889611250">
    <w:abstractNumId w:val="2"/>
  </w:num>
  <w:num w:numId="7" w16cid:durableId="1384132760">
    <w:abstractNumId w:val="15"/>
  </w:num>
  <w:num w:numId="8" w16cid:durableId="1872038330">
    <w:abstractNumId w:val="1"/>
  </w:num>
  <w:num w:numId="9" w16cid:durableId="1784376118">
    <w:abstractNumId w:val="11"/>
  </w:num>
  <w:num w:numId="10" w16cid:durableId="1241717986">
    <w:abstractNumId w:val="19"/>
  </w:num>
  <w:num w:numId="11" w16cid:durableId="1036931710">
    <w:abstractNumId w:val="3"/>
  </w:num>
  <w:num w:numId="12" w16cid:durableId="853500610">
    <w:abstractNumId w:val="16"/>
  </w:num>
  <w:num w:numId="13" w16cid:durableId="1650092241">
    <w:abstractNumId w:val="0"/>
  </w:num>
  <w:num w:numId="14" w16cid:durableId="2105222750">
    <w:abstractNumId w:val="17"/>
  </w:num>
  <w:num w:numId="15" w16cid:durableId="844973863">
    <w:abstractNumId w:val="10"/>
  </w:num>
  <w:num w:numId="16" w16cid:durableId="1406685938">
    <w:abstractNumId w:val="18"/>
  </w:num>
  <w:num w:numId="17" w16cid:durableId="469522267">
    <w:abstractNumId w:val="8"/>
  </w:num>
  <w:num w:numId="18" w16cid:durableId="1991980722">
    <w:abstractNumId w:val="14"/>
  </w:num>
  <w:num w:numId="19" w16cid:durableId="1807551975">
    <w:abstractNumId w:val="13"/>
  </w:num>
  <w:num w:numId="20" w16cid:durableId="38208452">
    <w:abstractNumId w:val="7"/>
  </w:num>
  <w:num w:numId="21" w16cid:durableId="1239710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447"/>
    <w:rsid w:val="000021C6"/>
    <w:rsid w:val="00002F5C"/>
    <w:rsid w:val="00006BD6"/>
    <w:rsid w:val="0000758F"/>
    <w:rsid w:val="00014343"/>
    <w:rsid w:val="00023B2D"/>
    <w:rsid w:val="00026C2D"/>
    <w:rsid w:val="00031687"/>
    <w:rsid w:val="000379D6"/>
    <w:rsid w:val="00042F33"/>
    <w:rsid w:val="00044EF1"/>
    <w:rsid w:val="000459B6"/>
    <w:rsid w:val="0005167F"/>
    <w:rsid w:val="00056155"/>
    <w:rsid w:val="00056F85"/>
    <w:rsid w:val="000578D5"/>
    <w:rsid w:val="00062427"/>
    <w:rsid w:val="00064777"/>
    <w:rsid w:val="0006681D"/>
    <w:rsid w:val="00072E34"/>
    <w:rsid w:val="00082413"/>
    <w:rsid w:val="000836D6"/>
    <w:rsid w:val="00083943"/>
    <w:rsid w:val="00084E3D"/>
    <w:rsid w:val="0008692A"/>
    <w:rsid w:val="000908DE"/>
    <w:rsid w:val="00097607"/>
    <w:rsid w:val="000A0250"/>
    <w:rsid w:val="000A0AFD"/>
    <w:rsid w:val="000A1666"/>
    <w:rsid w:val="000A2903"/>
    <w:rsid w:val="000A3078"/>
    <w:rsid w:val="000A3C2F"/>
    <w:rsid w:val="000A6164"/>
    <w:rsid w:val="000A6F37"/>
    <w:rsid w:val="000A7E68"/>
    <w:rsid w:val="000B431B"/>
    <w:rsid w:val="000B5B66"/>
    <w:rsid w:val="000B5C78"/>
    <w:rsid w:val="000C1F51"/>
    <w:rsid w:val="000C4EE8"/>
    <w:rsid w:val="000D24D1"/>
    <w:rsid w:val="000D2970"/>
    <w:rsid w:val="000D318C"/>
    <w:rsid w:val="000D6969"/>
    <w:rsid w:val="000E1256"/>
    <w:rsid w:val="000E2352"/>
    <w:rsid w:val="000E2568"/>
    <w:rsid w:val="000E4C61"/>
    <w:rsid w:val="000F1721"/>
    <w:rsid w:val="000F2202"/>
    <w:rsid w:val="000F23F7"/>
    <w:rsid w:val="000F3964"/>
    <w:rsid w:val="000F3BC3"/>
    <w:rsid w:val="000F562E"/>
    <w:rsid w:val="000F606E"/>
    <w:rsid w:val="001024DD"/>
    <w:rsid w:val="00105464"/>
    <w:rsid w:val="00112B6B"/>
    <w:rsid w:val="00116326"/>
    <w:rsid w:val="00125991"/>
    <w:rsid w:val="00127B23"/>
    <w:rsid w:val="0013070A"/>
    <w:rsid w:val="001309CE"/>
    <w:rsid w:val="0013255C"/>
    <w:rsid w:val="00135501"/>
    <w:rsid w:val="00135FC5"/>
    <w:rsid w:val="001360DD"/>
    <w:rsid w:val="00136591"/>
    <w:rsid w:val="001376CF"/>
    <w:rsid w:val="00137823"/>
    <w:rsid w:val="00150CBC"/>
    <w:rsid w:val="0015445B"/>
    <w:rsid w:val="00156867"/>
    <w:rsid w:val="00156BBB"/>
    <w:rsid w:val="001579BB"/>
    <w:rsid w:val="001600DF"/>
    <w:rsid w:val="00164215"/>
    <w:rsid w:val="001652F9"/>
    <w:rsid w:val="0017164F"/>
    <w:rsid w:val="00171725"/>
    <w:rsid w:val="001754C0"/>
    <w:rsid w:val="0017684C"/>
    <w:rsid w:val="0017763F"/>
    <w:rsid w:val="00177704"/>
    <w:rsid w:val="001818B9"/>
    <w:rsid w:val="00181BF7"/>
    <w:rsid w:val="00183612"/>
    <w:rsid w:val="0018383E"/>
    <w:rsid w:val="00183AE2"/>
    <w:rsid w:val="00184A26"/>
    <w:rsid w:val="00184B43"/>
    <w:rsid w:val="00186AA5"/>
    <w:rsid w:val="0019402A"/>
    <w:rsid w:val="00194E0C"/>
    <w:rsid w:val="001953AE"/>
    <w:rsid w:val="001961CA"/>
    <w:rsid w:val="00197435"/>
    <w:rsid w:val="001974A9"/>
    <w:rsid w:val="001A2B99"/>
    <w:rsid w:val="001A2DAA"/>
    <w:rsid w:val="001A4C99"/>
    <w:rsid w:val="001A4D96"/>
    <w:rsid w:val="001A6645"/>
    <w:rsid w:val="001A6AD6"/>
    <w:rsid w:val="001B0BD2"/>
    <w:rsid w:val="001B562C"/>
    <w:rsid w:val="001B619F"/>
    <w:rsid w:val="001B78B8"/>
    <w:rsid w:val="001C09A7"/>
    <w:rsid w:val="001C543C"/>
    <w:rsid w:val="001C7064"/>
    <w:rsid w:val="001D1C2C"/>
    <w:rsid w:val="001D4087"/>
    <w:rsid w:val="001D578A"/>
    <w:rsid w:val="001D5F38"/>
    <w:rsid w:val="001D73E0"/>
    <w:rsid w:val="001E0123"/>
    <w:rsid w:val="001E236C"/>
    <w:rsid w:val="001E3237"/>
    <w:rsid w:val="001E4805"/>
    <w:rsid w:val="001E7AEB"/>
    <w:rsid w:val="001F1CDF"/>
    <w:rsid w:val="001F5A3B"/>
    <w:rsid w:val="00202E41"/>
    <w:rsid w:val="0020446B"/>
    <w:rsid w:val="00207AE7"/>
    <w:rsid w:val="00210D6D"/>
    <w:rsid w:val="00211105"/>
    <w:rsid w:val="00212633"/>
    <w:rsid w:val="0021300D"/>
    <w:rsid w:val="002131D0"/>
    <w:rsid w:val="00213696"/>
    <w:rsid w:val="00214C36"/>
    <w:rsid w:val="002177E1"/>
    <w:rsid w:val="002228F1"/>
    <w:rsid w:val="00223204"/>
    <w:rsid w:val="00224BF8"/>
    <w:rsid w:val="00224DD2"/>
    <w:rsid w:val="00225D19"/>
    <w:rsid w:val="0022772B"/>
    <w:rsid w:val="002362FA"/>
    <w:rsid w:val="00237607"/>
    <w:rsid w:val="00237AB9"/>
    <w:rsid w:val="0024271E"/>
    <w:rsid w:val="0024309C"/>
    <w:rsid w:val="0024309D"/>
    <w:rsid w:val="00251851"/>
    <w:rsid w:val="00252970"/>
    <w:rsid w:val="00253F98"/>
    <w:rsid w:val="00257CC2"/>
    <w:rsid w:val="00262096"/>
    <w:rsid w:val="00264DB8"/>
    <w:rsid w:val="00264F8F"/>
    <w:rsid w:val="00265B23"/>
    <w:rsid w:val="00266255"/>
    <w:rsid w:val="00266431"/>
    <w:rsid w:val="002673C4"/>
    <w:rsid w:val="00271347"/>
    <w:rsid w:val="00272EB6"/>
    <w:rsid w:val="00273130"/>
    <w:rsid w:val="00274ABD"/>
    <w:rsid w:val="00286DFD"/>
    <w:rsid w:val="002906E5"/>
    <w:rsid w:val="00292A4C"/>
    <w:rsid w:val="0029416E"/>
    <w:rsid w:val="00297211"/>
    <w:rsid w:val="002A54AD"/>
    <w:rsid w:val="002A60B0"/>
    <w:rsid w:val="002B1458"/>
    <w:rsid w:val="002B2B29"/>
    <w:rsid w:val="002B5874"/>
    <w:rsid w:val="002B7504"/>
    <w:rsid w:val="002B7649"/>
    <w:rsid w:val="002B7A37"/>
    <w:rsid w:val="002B7C23"/>
    <w:rsid w:val="002C0DBF"/>
    <w:rsid w:val="002C158C"/>
    <w:rsid w:val="002C2C8B"/>
    <w:rsid w:val="002C3223"/>
    <w:rsid w:val="002C3579"/>
    <w:rsid w:val="002C5E0E"/>
    <w:rsid w:val="002C765E"/>
    <w:rsid w:val="002D17E5"/>
    <w:rsid w:val="002D57E8"/>
    <w:rsid w:val="002E06A0"/>
    <w:rsid w:val="002E1C29"/>
    <w:rsid w:val="002E380B"/>
    <w:rsid w:val="002E68D4"/>
    <w:rsid w:val="002E6DAA"/>
    <w:rsid w:val="002E7818"/>
    <w:rsid w:val="002F1C23"/>
    <w:rsid w:val="002F2AEC"/>
    <w:rsid w:val="002F30F4"/>
    <w:rsid w:val="002F4401"/>
    <w:rsid w:val="002F6B17"/>
    <w:rsid w:val="002F708A"/>
    <w:rsid w:val="00300D86"/>
    <w:rsid w:val="00301E3D"/>
    <w:rsid w:val="00302DD2"/>
    <w:rsid w:val="00303516"/>
    <w:rsid w:val="00304734"/>
    <w:rsid w:val="00306318"/>
    <w:rsid w:val="00306C9F"/>
    <w:rsid w:val="00311D90"/>
    <w:rsid w:val="00314219"/>
    <w:rsid w:val="003149BC"/>
    <w:rsid w:val="00314FB7"/>
    <w:rsid w:val="00316DFE"/>
    <w:rsid w:val="003278E6"/>
    <w:rsid w:val="0033340D"/>
    <w:rsid w:val="00334A29"/>
    <w:rsid w:val="00336AD9"/>
    <w:rsid w:val="00340D3C"/>
    <w:rsid w:val="00340DD9"/>
    <w:rsid w:val="00344143"/>
    <w:rsid w:val="00346A68"/>
    <w:rsid w:val="00353270"/>
    <w:rsid w:val="0036346C"/>
    <w:rsid w:val="00365468"/>
    <w:rsid w:val="003658A2"/>
    <w:rsid w:val="003673EC"/>
    <w:rsid w:val="00367465"/>
    <w:rsid w:val="00370657"/>
    <w:rsid w:val="00373A2E"/>
    <w:rsid w:val="003758CE"/>
    <w:rsid w:val="00376525"/>
    <w:rsid w:val="00377C5C"/>
    <w:rsid w:val="00383B5D"/>
    <w:rsid w:val="003934CF"/>
    <w:rsid w:val="00397ABE"/>
    <w:rsid w:val="003A027F"/>
    <w:rsid w:val="003A2C3F"/>
    <w:rsid w:val="003A32E7"/>
    <w:rsid w:val="003B1D59"/>
    <w:rsid w:val="003B1E84"/>
    <w:rsid w:val="003B435C"/>
    <w:rsid w:val="003B5B0B"/>
    <w:rsid w:val="003C08DE"/>
    <w:rsid w:val="003C3E7A"/>
    <w:rsid w:val="003C716B"/>
    <w:rsid w:val="003D0BB4"/>
    <w:rsid w:val="003D28D2"/>
    <w:rsid w:val="003D361D"/>
    <w:rsid w:val="003D3700"/>
    <w:rsid w:val="003D45EA"/>
    <w:rsid w:val="003D48C9"/>
    <w:rsid w:val="003E1657"/>
    <w:rsid w:val="003E1B25"/>
    <w:rsid w:val="003E1B5A"/>
    <w:rsid w:val="003E40B2"/>
    <w:rsid w:val="003E44AD"/>
    <w:rsid w:val="003E76CC"/>
    <w:rsid w:val="003E7913"/>
    <w:rsid w:val="003F05AF"/>
    <w:rsid w:val="003F0FE7"/>
    <w:rsid w:val="003F2E32"/>
    <w:rsid w:val="003F2EC7"/>
    <w:rsid w:val="003F330B"/>
    <w:rsid w:val="003F362C"/>
    <w:rsid w:val="003F50FD"/>
    <w:rsid w:val="003F570B"/>
    <w:rsid w:val="003F6466"/>
    <w:rsid w:val="003F7A51"/>
    <w:rsid w:val="00400439"/>
    <w:rsid w:val="00400499"/>
    <w:rsid w:val="00407BCE"/>
    <w:rsid w:val="00410A8B"/>
    <w:rsid w:val="00411B62"/>
    <w:rsid w:val="00413AA8"/>
    <w:rsid w:val="00413FDE"/>
    <w:rsid w:val="004177CD"/>
    <w:rsid w:val="00422A66"/>
    <w:rsid w:val="00424476"/>
    <w:rsid w:val="0042688C"/>
    <w:rsid w:val="0042765E"/>
    <w:rsid w:val="00427AE5"/>
    <w:rsid w:val="00430882"/>
    <w:rsid w:val="00432ED8"/>
    <w:rsid w:val="00435317"/>
    <w:rsid w:val="00440E6B"/>
    <w:rsid w:val="004417C4"/>
    <w:rsid w:val="00441F16"/>
    <w:rsid w:val="00443282"/>
    <w:rsid w:val="00445A09"/>
    <w:rsid w:val="00447601"/>
    <w:rsid w:val="00447C9E"/>
    <w:rsid w:val="00450D64"/>
    <w:rsid w:val="004547D5"/>
    <w:rsid w:val="00454B3C"/>
    <w:rsid w:val="00454D90"/>
    <w:rsid w:val="00455407"/>
    <w:rsid w:val="004562F1"/>
    <w:rsid w:val="00457A6F"/>
    <w:rsid w:val="004628F2"/>
    <w:rsid w:val="00464627"/>
    <w:rsid w:val="00465456"/>
    <w:rsid w:val="00467288"/>
    <w:rsid w:val="00471921"/>
    <w:rsid w:val="004728E2"/>
    <w:rsid w:val="00477CD5"/>
    <w:rsid w:val="00480D2D"/>
    <w:rsid w:val="0048307B"/>
    <w:rsid w:val="00491543"/>
    <w:rsid w:val="0049410E"/>
    <w:rsid w:val="0049659D"/>
    <w:rsid w:val="00497638"/>
    <w:rsid w:val="004977C6"/>
    <w:rsid w:val="00497A62"/>
    <w:rsid w:val="004A2FEC"/>
    <w:rsid w:val="004A3AAB"/>
    <w:rsid w:val="004A595E"/>
    <w:rsid w:val="004A661D"/>
    <w:rsid w:val="004A6FC8"/>
    <w:rsid w:val="004C0BC3"/>
    <w:rsid w:val="004C19E9"/>
    <w:rsid w:val="004C232C"/>
    <w:rsid w:val="004C3B59"/>
    <w:rsid w:val="004C5691"/>
    <w:rsid w:val="004C70C8"/>
    <w:rsid w:val="004D105A"/>
    <w:rsid w:val="004D38D0"/>
    <w:rsid w:val="004D4123"/>
    <w:rsid w:val="004D6A0C"/>
    <w:rsid w:val="004D77CE"/>
    <w:rsid w:val="004E303D"/>
    <w:rsid w:val="004E358F"/>
    <w:rsid w:val="004E44F8"/>
    <w:rsid w:val="004E4BE7"/>
    <w:rsid w:val="004E57E5"/>
    <w:rsid w:val="004E683E"/>
    <w:rsid w:val="004F1EF9"/>
    <w:rsid w:val="004F56E3"/>
    <w:rsid w:val="00506F3A"/>
    <w:rsid w:val="00511D99"/>
    <w:rsid w:val="0051279D"/>
    <w:rsid w:val="005174D2"/>
    <w:rsid w:val="005178DE"/>
    <w:rsid w:val="00524164"/>
    <w:rsid w:val="00527733"/>
    <w:rsid w:val="00531000"/>
    <w:rsid w:val="005401E0"/>
    <w:rsid w:val="00541B48"/>
    <w:rsid w:val="00544424"/>
    <w:rsid w:val="005452CC"/>
    <w:rsid w:val="0054746C"/>
    <w:rsid w:val="00551DC6"/>
    <w:rsid w:val="0055326E"/>
    <w:rsid w:val="0055419E"/>
    <w:rsid w:val="005623C2"/>
    <w:rsid w:val="005643A4"/>
    <w:rsid w:val="00565830"/>
    <w:rsid w:val="00565B5E"/>
    <w:rsid w:val="00566B5F"/>
    <w:rsid w:val="00567315"/>
    <w:rsid w:val="00573263"/>
    <w:rsid w:val="005739F7"/>
    <w:rsid w:val="005749DE"/>
    <w:rsid w:val="00575CBF"/>
    <w:rsid w:val="0058195F"/>
    <w:rsid w:val="00584612"/>
    <w:rsid w:val="00584A11"/>
    <w:rsid w:val="00587D1F"/>
    <w:rsid w:val="00592484"/>
    <w:rsid w:val="005951B0"/>
    <w:rsid w:val="005953A1"/>
    <w:rsid w:val="00597970"/>
    <w:rsid w:val="005A0339"/>
    <w:rsid w:val="005A0B82"/>
    <w:rsid w:val="005A0D62"/>
    <w:rsid w:val="005A1E8A"/>
    <w:rsid w:val="005A2F24"/>
    <w:rsid w:val="005A3BB9"/>
    <w:rsid w:val="005A5AB9"/>
    <w:rsid w:val="005A6119"/>
    <w:rsid w:val="005B0254"/>
    <w:rsid w:val="005B05F1"/>
    <w:rsid w:val="005B1C2B"/>
    <w:rsid w:val="005B45D2"/>
    <w:rsid w:val="005B46B5"/>
    <w:rsid w:val="005B46F0"/>
    <w:rsid w:val="005B4DA4"/>
    <w:rsid w:val="005B5596"/>
    <w:rsid w:val="005B7231"/>
    <w:rsid w:val="005C09F1"/>
    <w:rsid w:val="005C12CF"/>
    <w:rsid w:val="005C180F"/>
    <w:rsid w:val="005C77BE"/>
    <w:rsid w:val="005D0259"/>
    <w:rsid w:val="005D0FDC"/>
    <w:rsid w:val="005D238D"/>
    <w:rsid w:val="005D4628"/>
    <w:rsid w:val="005D580E"/>
    <w:rsid w:val="005E0385"/>
    <w:rsid w:val="005E0B1A"/>
    <w:rsid w:val="005E3F8F"/>
    <w:rsid w:val="005E410C"/>
    <w:rsid w:val="005E45C6"/>
    <w:rsid w:val="005E68C8"/>
    <w:rsid w:val="005E68E7"/>
    <w:rsid w:val="005E7063"/>
    <w:rsid w:val="005F2E29"/>
    <w:rsid w:val="005F3AF7"/>
    <w:rsid w:val="005F3B04"/>
    <w:rsid w:val="005F76C7"/>
    <w:rsid w:val="005F7913"/>
    <w:rsid w:val="005F7CE1"/>
    <w:rsid w:val="00602995"/>
    <w:rsid w:val="00605266"/>
    <w:rsid w:val="00611B3A"/>
    <w:rsid w:val="006128A5"/>
    <w:rsid w:val="00613169"/>
    <w:rsid w:val="0061527E"/>
    <w:rsid w:val="00616991"/>
    <w:rsid w:val="00617F2B"/>
    <w:rsid w:val="00621B0B"/>
    <w:rsid w:val="006231CF"/>
    <w:rsid w:val="0062572C"/>
    <w:rsid w:val="00630E07"/>
    <w:rsid w:val="0063784F"/>
    <w:rsid w:val="00637F43"/>
    <w:rsid w:val="00641F0D"/>
    <w:rsid w:val="00642E64"/>
    <w:rsid w:val="00643772"/>
    <w:rsid w:val="00644A1B"/>
    <w:rsid w:val="006452D0"/>
    <w:rsid w:val="00646EDA"/>
    <w:rsid w:val="00650E6C"/>
    <w:rsid w:val="00651150"/>
    <w:rsid w:val="006534CD"/>
    <w:rsid w:val="006536D8"/>
    <w:rsid w:val="00654399"/>
    <w:rsid w:val="00654BA4"/>
    <w:rsid w:val="0066195A"/>
    <w:rsid w:val="0066281B"/>
    <w:rsid w:val="00663A00"/>
    <w:rsid w:val="00663FBE"/>
    <w:rsid w:val="00664931"/>
    <w:rsid w:val="006670C8"/>
    <w:rsid w:val="006841A7"/>
    <w:rsid w:val="00686019"/>
    <w:rsid w:val="00687348"/>
    <w:rsid w:val="00691D3A"/>
    <w:rsid w:val="00692635"/>
    <w:rsid w:val="00693721"/>
    <w:rsid w:val="00694C22"/>
    <w:rsid w:val="006955AE"/>
    <w:rsid w:val="0069580A"/>
    <w:rsid w:val="006961E9"/>
    <w:rsid w:val="006963BC"/>
    <w:rsid w:val="006970F4"/>
    <w:rsid w:val="006A2E15"/>
    <w:rsid w:val="006A4398"/>
    <w:rsid w:val="006A6ACB"/>
    <w:rsid w:val="006B1BFB"/>
    <w:rsid w:val="006B3479"/>
    <w:rsid w:val="006B3A1E"/>
    <w:rsid w:val="006B5FBC"/>
    <w:rsid w:val="006C2EF8"/>
    <w:rsid w:val="006C44D8"/>
    <w:rsid w:val="006C55AE"/>
    <w:rsid w:val="006C60FA"/>
    <w:rsid w:val="006C73D0"/>
    <w:rsid w:val="006D5669"/>
    <w:rsid w:val="006E2D04"/>
    <w:rsid w:val="006E77CC"/>
    <w:rsid w:val="006E7CBB"/>
    <w:rsid w:val="006E7EBE"/>
    <w:rsid w:val="006F7028"/>
    <w:rsid w:val="006F749E"/>
    <w:rsid w:val="006F7FB7"/>
    <w:rsid w:val="007024F1"/>
    <w:rsid w:val="00703D47"/>
    <w:rsid w:val="00707D60"/>
    <w:rsid w:val="00711BC9"/>
    <w:rsid w:val="00713417"/>
    <w:rsid w:val="007142E3"/>
    <w:rsid w:val="00714EDD"/>
    <w:rsid w:val="0071596F"/>
    <w:rsid w:val="00723505"/>
    <w:rsid w:val="00725C38"/>
    <w:rsid w:val="007263B9"/>
    <w:rsid w:val="00731128"/>
    <w:rsid w:val="00733C60"/>
    <w:rsid w:val="007352F2"/>
    <w:rsid w:val="00735A7F"/>
    <w:rsid w:val="0075009F"/>
    <w:rsid w:val="00752A48"/>
    <w:rsid w:val="00752D23"/>
    <w:rsid w:val="00753DA1"/>
    <w:rsid w:val="00757503"/>
    <w:rsid w:val="00757707"/>
    <w:rsid w:val="007609E6"/>
    <w:rsid w:val="00761148"/>
    <w:rsid w:val="0076204E"/>
    <w:rsid w:val="00762BCB"/>
    <w:rsid w:val="007633DD"/>
    <w:rsid w:val="007666B3"/>
    <w:rsid w:val="007755E3"/>
    <w:rsid w:val="00775977"/>
    <w:rsid w:val="007816E0"/>
    <w:rsid w:val="00781E6A"/>
    <w:rsid w:val="0078614C"/>
    <w:rsid w:val="00791F7B"/>
    <w:rsid w:val="007A6DC0"/>
    <w:rsid w:val="007B14DC"/>
    <w:rsid w:val="007B1F57"/>
    <w:rsid w:val="007B254D"/>
    <w:rsid w:val="007B370F"/>
    <w:rsid w:val="007B4938"/>
    <w:rsid w:val="007C1E73"/>
    <w:rsid w:val="007C75B8"/>
    <w:rsid w:val="007D02D8"/>
    <w:rsid w:val="007D18F0"/>
    <w:rsid w:val="007D4E90"/>
    <w:rsid w:val="007E3706"/>
    <w:rsid w:val="007E3E34"/>
    <w:rsid w:val="007E4122"/>
    <w:rsid w:val="007E6C47"/>
    <w:rsid w:val="007F09AC"/>
    <w:rsid w:val="007F3C0E"/>
    <w:rsid w:val="007F4CD3"/>
    <w:rsid w:val="007F61C2"/>
    <w:rsid w:val="008001CE"/>
    <w:rsid w:val="00800590"/>
    <w:rsid w:val="00801456"/>
    <w:rsid w:val="008018DB"/>
    <w:rsid w:val="00802851"/>
    <w:rsid w:val="00802910"/>
    <w:rsid w:val="00803CA2"/>
    <w:rsid w:val="00807CAC"/>
    <w:rsid w:val="00811437"/>
    <w:rsid w:val="008115BF"/>
    <w:rsid w:val="00814301"/>
    <w:rsid w:val="008143B0"/>
    <w:rsid w:val="00816942"/>
    <w:rsid w:val="008212DA"/>
    <w:rsid w:val="00822991"/>
    <w:rsid w:val="00823681"/>
    <w:rsid w:val="00824D81"/>
    <w:rsid w:val="0082638F"/>
    <w:rsid w:val="008341DB"/>
    <w:rsid w:val="00835322"/>
    <w:rsid w:val="00836422"/>
    <w:rsid w:val="008376AE"/>
    <w:rsid w:val="00837BF3"/>
    <w:rsid w:val="008416FD"/>
    <w:rsid w:val="00844C6B"/>
    <w:rsid w:val="00845FCF"/>
    <w:rsid w:val="008507FE"/>
    <w:rsid w:val="00853ABC"/>
    <w:rsid w:val="0086232A"/>
    <w:rsid w:val="008637CD"/>
    <w:rsid w:val="00863E08"/>
    <w:rsid w:val="00864765"/>
    <w:rsid w:val="00866EDE"/>
    <w:rsid w:val="00870066"/>
    <w:rsid w:val="008709BB"/>
    <w:rsid w:val="00871D53"/>
    <w:rsid w:val="00871DCE"/>
    <w:rsid w:val="008755D6"/>
    <w:rsid w:val="00876056"/>
    <w:rsid w:val="00880340"/>
    <w:rsid w:val="008805AB"/>
    <w:rsid w:val="00881405"/>
    <w:rsid w:val="00883F45"/>
    <w:rsid w:val="0088649F"/>
    <w:rsid w:val="00886E29"/>
    <w:rsid w:val="0089069F"/>
    <w:rsid w:val="0089298D"/>
    <w:rsid w:val="00893C9F"/>
    <w:rsid w:val="008943A6"/>
    <w:rsid w:val="00895B40"/>
    <w:rsid w:val="00895DA2"/>
    <w:rsid w:val="00896D2F"/>
    <w:rsid w:val="00896D98"/>
    <w:rsid w:val="00897359"/>
    <w:rsid w:val="0089788C"/>
    <w:rsid w:val="008A050A"/>
    <w:rsid w:val="008A1C9C"/>
    <w:rsid w:val="008A5206"/>
    <w:rsid w:val="008A55FC"/>
    <w:rsid w:val="008A6F05"/>
    <w:rsid w:val="008A7371"/>
    <w:rsid w:val="008A79FF"/>
    <w:rsid w:val="008B0454"/>
    <w:rsid w:val="008B0460"/>
    <w:rsid w:val="008B4B98"/>
    <w:rsid w:val="008B7EC5"/>
    <w:rsid w:val="008D0ACA"/>
    <w:rsid w:val="008D25B7"/>
    <w:rsid w:val="008D5479"/>
    <w:rsid w:val="008E0DC0"/>
    <w:rsid w:val="008E0DF5"/>
    <w:rsid w:val="008E3273"/>
    <w:rsid w:val="008E7AEC"/>
    <w:rsid w:val="008F0C45"/>
    <w:rsid w:val="008F70CC"/>
    <w:rsid w:val="00904B00"/>
    <w:rsid w:val="00910582"/>
    <w:rsid w:val="009112D0"/>
    <w:rsid w:val="00912D35"/>
    <w:rsid w:val="00920472"/>
    <w:rsid w:val="009218A9"/>
    <w:rsid w:val="0092314F"/>
    <w:rsid w:val="00925976"/>
    <w:rsid w:val="00926473"/>
    <w:rsid w:val="0092779E"/>
    <w:rsid w:val="009330C3"/>
    <w:rsid w:val="00934D90"/>
    <w:rsid w:val="0093730C"/>
    <w:rsid w:val="00937B09"/>
    <w:rsid w:val="0094052C"/>
    <w:rsid w:val="00940C0F"/>
    <w:rsid w:val="00944E3A"/>
    <w:rsid w:val="00950F47"/>
    <w:rsid w:val="00951965"/>
    <w:rsid w:val="00951DA7"/>
    <w:rsid w:val="00951DC3"/>
    <w:rsid w:val="00952A41"/>
    <w:rsid w:val="00952E30"/>
    <w:rsid w:val="00954806"/>
    <w:rsid w:val="00955295"/>
    <w:rsid w:val="0095548F"/>
    <w:rsid w:val="00956F66"/>
    <w:rsid w:val="00957820"/>
    <w:rsid w:val="009602EB"/>
    <w:rsid w:val="009615EC"/>
    <w:rsid w:val="00970633"/>
    <w:rsid w:val="009744C8"/>
    <w:rsid w:val="00974530"/>
    <w:rsid w:val="00974659"/>
    <w:rsid w:val="00976F19"/>
    <w:rsid w:val="00980450"/>
    <w:rsid w:val="00980E58"/>
    <w:rsid w:val="009810B5"/>
    <w:rsid w:val="009815BD"/>
    <w:rsid w:val="00981886"/>
    <w:rsid w:val="00984065"/>
    <w:rsid w:val="00990102"/>
    <w:rsid w:val="00990CCA"/>
    <w:rsid w:val="00990FEC"/>
    <w:rsid w:val="00992257"/>
    <w:rsid w:val="009928CD"/>
    <w:rsid w:val="009949AA"/>
    <w:rsid w:val="00995921"/>
    <w:rsid w:val="009A1B08"/>
    <w:rsid w:val="009A5B21"/>
    <w:rsid w:val="009B0524"/>
    <w:rsid w:val="009B166F"/>
    <w:rsid w:val="009B4E79"/>
    <w:rsid w:val="009C3CB9"/>
    <w:rsid w:val="009C4A13"/>
    <w:rsid w:val="009C745D"/>
    <w:rsid w:val="009C7B13"/>
    <w:rsid w:val="009D50C1"/>
    <w:rsid w:val="009D77AB"/>
    <w:rsid w:val="009E0135"/>
    <w:rsid w:val="009E1987"/>
    <w:rsid w:val="009E2D84"/>
    <w:rsid w:val="009E5F55"/>
    <w:rsid w:val="009F279E"/>
    <w:rsid w:val="009F7DE3"/>
    <w:rsid w:val="00A00123"/>
    <w:rsid w:val="00A04C8E"/>
    <w:rsid w:val="00A07154"/>
    <w:rsid w:val="00A074D4"/>
    <w:rsid w:val="00A11111"/>
    <w:rsid w:val="00A11868"/>
    <w:rsid w:val="00A127D3"/>
    <w:rsid w:val="00A130DD"/>
    <w:rsid w:val="00A1386C"/>
    <w:rsid w:val="00A14335"/>
    <w:rsid w:val="00A14B43"/>
    <w:rsid w:val="00A14C58"/>
    <w:rsid w:val="00A166E7"/>
    <w:rsid w:val="00A178B0"/>
    <w:rsid w:val="00A23612"/>
    <w:rsid w:val="00A2604E"/>
    <w:rsid w:val="00A272FE"/>
    <w:rsid w:val="00A27C67"/>
    <w:rsid w:val="00A32860"/>
    <w:rsid w:val="00A40A99"/>
    <w:rsid w:val="00A417A2"/>
    <w:rsid w:val="00A52189"/>
    <w:rsid w:val="00A54D1C"/>
    <w:rsid w:val="00A57463"/>
    <w:rsid w:val="00A6484C"/>
    <w:rsid w:val="00A664DF"/>
    <w:rsid w:val="00A66F71"/>
    <w:rsid w:val="00A7067C"/>
    <w:rsid w:val="00A71219"/>
    <w:rsid w:val="00A713D0"/>
    <w:rsid w:val="00A7224F"/>
    <w:rsid w:val="00A722D4"/>
    <w:rsid w:val="00A73873"/>
    <w:rsid w:val="00A75AAA"/>
    <w:rsid w:val="00A7608F"/>
    <w:rsid w:val="00A80FAD"/>
    <w:rsid w:val="00A81F79"/>
    <w:rsid w:val="00A82A29"/>
    <w:rsid w:val="00A845C4"/>
    <w:rsid w:val="00A85355"/>
    <w:rsid w:val="00A86B6F"/>
    <w:rsid w:val="00A86F33"/>
    <w:rsid w:val="00A9480A"/>
    <w:rsid w:val="00A959E1"/>
    <w:rsid w:val="00AA1CA8"/>
    <w:rsid w:val="00AA3458"/>
    <w:rsid w:val="00AA516A"/>
    <w:rsid w:val="00AA5B0E"/>
    <w:rsid w:val="00AA6402"/>
    <w:rsid w:val="00AA6A4A"/>
    <w:rsid w:val="00AB4DBF"/>
    <w:rsid w:val="00AB65FC"/>
    <w:rsid w:val="00AC0504"/>
    <w:rsid w:val="00AC1DB7"/>
    <w:rsid w:val="00AC381D"/>
    <w:rsid w:val="00AC3A7C"/>
    <w:rsid w:val="00AC564F"/>
    <w:rsid w:val="00AC56B0"/>
    <w:rsid w:val="00AC62A6"/>
    <w:rsid w:val="00AC664F"/>
    <w:rsid w:val="00AC750B"/>
    <w:rsid w:val="00AD1E15"/>
    <w:rsid w:val="00AD6937"/>
    <w:rsid w:val="00AD73E6"/>
    <w:rsid w:val="00AE0543"/>
    <w:rsid w:val="00AE1F12"/>
    <w:rsid w:val="00AE24CC"/>
    <w:rsid w:val="00AE4155"/>
    <w:rsid w:val="00AE4B7C"/>
    <w:rsid w:val="00AE66F6"/>
    <w:rsid w:val="00AF0E80"/>
    <w:rsid w:val="00AF17CE"/>
    <w:rsid w:val="00AF2923"/>
    <w:rsid w:val="00AF2D82"/>
    <w:rsid w:val="00AF336D"/>
    <w:rsid w:val="00AF349B"/>
    <w:rsid w:val="00AF60E7"/>
    <w:rsid w:val="00AF65F0"/>
    <w:rsid w:val="00B009E9"/>
    <w:rsid w:val="00B01711"/>
    <w:rsid w:val="00B01B16"/>
    <w:rsid w:val="00B03919"/>
    <w:rsid w:val="00B062D0"/>
    <w:rsid w:val="00B07674"/>
    <w:rsid w:val="00B11D16"/>
    <w:rsid w:val="00B17A95"/>
    <w:rsid w:val="00B20A44"/>
    <w:rsid w:val="00B20B7B"/>
    <w:rsid w:val="00B242D9"/>
    <w:rsid w:val="00B24588"/>
    <w:rsid w:val="00B3001C"/>
    <w:rsid w:val="00B30F2D"/>
    <w:rsid w:val="00B34928"/>
    <w:rsid w:val="00B35B74"/>
    <w:rsid w:val="00B403F1"/>
    <w:rsid w:val="00B40AB8"/>
    <w:rsid w:val="00B4163B"/>
    <w:rsid w:val="00B43310"/>
    <w:rsid w:val="00B447D7"/>
    <w:rsid w:val="00B464DD"/>
    <w:rsid w:val="00B47655"/>
    <w:rsid w:val="00B51621"/>
    <w:rsid w:val="00B556C9"/>
    <w:rsid w:val="00B60113"/>
    <w:rsid w:val="00B6081E"/>
    <w:rsid w:val="00B61016"/>
    <w:rsid w:val="00B624EB"/>
    <w:rsid w:val="00B649F0"/>
    <w:rsid w:val="00B65D21"/>
    <w:rsid w:val="00B71BAA"/>
    <w:rsid w:val="00B73518"/>
    <w:rsid w:val="00B749B1"/>
    <w:rsid w:val="00B762E2"/>
    <w:rsid w:val="00B76A1F"/>
    <w:rsid w:val="00B806DD"/>
    <w:rsid w:val="00B82CB5"/>
    <w:rsid w:val="00B82F8C"/>
    <w:rsid w:val="00B8460F"/>
    <w:rsid w:val="00B84D34"/>
    <w:rsid w:val="00B86E0E"/>
    <w:rsid w:val="00B87284"/>
    <w:rsid w:val="00B95477"/>
    <w:rsid w:val="00BA1D81"/>
    <w:rsid w:val="00BA7130"/>
    <w:rsid w:val="00BB2E1F"/>
    <w:rsid w:val="00BB436B"/>
    <w:rsid w:val="00BC06A5"/>
    <w:rsid w:val="00BC0A66"/>
    <w:rsid w:val="00BC2F30"/>
    <w:rsid w:val="00BC547E"/>
    <w:rsid w:val="00BC58DF"/>
    <w:rsid w:val="00BC6431"/>
    <w:rsid w:val="00BC6F10"/>
    <w:rsid w:val="00BD205B"/>
    <w:rsid w:val="00BD2C7B"/>
    <w:rsid w:val="00BD74AE"/>
    <w:rsid w:val="00BE16BC"/>
    <w:rsid w:val="00BE3971"/>
    <w:rsid w:val="00BE3FE7"/>
    <w:rsid w:val="00BE6EDF"/>
    <w:rsid w:val="00BE7DD7"/>
    <w:rsid w:val="00BF1FE7"/>
    <w:rsid w:val="00BF2922"/>
    <w:rsid w:val="00BF2D74"/>
    <w:rsid w:val="00BF4CC8"/>
    <w:rsid w:val="00BF51ED"/>
    <w:rsid w:val="00BF6532"/>
    <w:rsid w:val="00BF75B6"/>
    <w:rsid w:val="00C02547"/>
    <w:rsid w:val="00C025C8"/>
    <w:rsid w:val="00C04E54"/>
    <w:rsid w:val="00C058D5"/>
    <w:rsid w:val="00C100D0"/>
    <w:rsid w:val="00C10548"/>
    <w:rsid w:val="00C1124F"/>
    <w:rsid w:val="00C11915"/>
    <w:rsid w:val="00C14903"/>
    <w:rsid w:val="00C15CBB"/>
    <w:rsid w:val="00C1686C"/>
    <w:rsid w:val="00C168F3"/>
    <w:rsid w:val="00C24D66"/>
    <w:rsid w:val="00C30486"/>
    <w:rsid w:val="00C30740"/>
    <w:rsid w:val="00C30B28"/>
    <w:rsid w:val="00C30DED"/>
    <w:rsid w:val="00C367A6"/>
    <w:rsid w:val="00C37BFF"/>
    <w:rsid w:val="00C42500"/>
    <w:rsid w:val="00C43470"/>
    <w:rsid w:val="00C45F17"/>
    <w:rsid w:val="00C46EF0"/>
    <w:rsid w:val="00C47B34"/>
    <w:rsid w:val="00C50BD5"/>
    <w:rsid w:val="00C50E91"/>
    <w:rsid w:val="00C50EB1"/>
    <w:rsid w:val="00C51458"/>
    <w:rsid w:val="00C51E5F"/>
    <w:rsid w:val="00C52E2C"/>
    <w:rsid w:val="00C53580"/>
    <w:rsid w:val="00C55838"/>
    <w:rsid w:val="00C566FB"/>
    <w:rsid w:val="00C56745"/>
    <w:rsid w:val="00C5793F"/>
    <w:rsid w:val="00C57DC6"/>
    <w:rsid w:val="00C63C66"/>
    <w:rsid w:val="00C70729"/>
    <w:rsid w:val="00C71475"/>
    <w:rsid w:val="00C7190C"/>
    <w:rsid w:val="00C73CB5"/>
    <w:rsid w:val="00C76958"/>
    <w:rsid w:val="00C77EF7"/>
    <w:rsid w:val="00C8004C"/>
    <w:rsid w:val="00C80D25"/>
    <w:rsid w:val="00C81407"/>
    <w:rsid w:val="00C82053"/>
    <w:rsid w:val="00C820F1"/>
    <w:rsid w:val="00C822C1"/>
    <w:rsid w:val="00C859F7"/>
    <w:rsid w:val="00C85A38"/>
    <w:rsid w:val="00C85D38"/>
    <w:rsid w:val="00C87BF1"/>
    <w:rsid w:val="00C90DA4"/>
    <w:rsid w:val="00C90E29"/>
    <w:rsid w:val="00C91512"/>
    <w:rsid w:val="00C93414"/>
    <w:rsid w:val="00C93B03"/>
    <w:rsid w:val="00C946D8"/>
    <w:rsid w:val="00C94A53"/>
    <w:rsid w:val="00C94AD8"/>
    <w:rsid w:val="00C95C6C"/>
    <w:rsid w:val="00C96A16"/>
    <w:rsid w:val="00C979AE"/>
    <w:rsid w:val="00CA0DEC"/>
    <w:rsid w:val="00CA2DE2"/>
    <w:rsid w:val="00CA3A85"/>
    <w:rsid w:val="00CA6636"/>
    <w:rsid w:val="00CA6D76"/>
    <w:rsid w:val="00CA7FBE"/>
    <w:rsid w:val="00CB2D5D"/>
    <w:rsid w:val="00CB51CC"/>
    <w:rsid w:val="00CC0389"/>
    <w:rsid w:val="00CC1A72"/>
    <w:rsid w:val="00CC3633"/>
    <w:rsid w:val="00CC5692"/>
    <w:rsid w:val="00CC65F3"/>
    <w:rsid w:val="00CC77A8"/>
    <w:rsid w:val="00CD09E8"/>
    <w:rsid w:val="00CD5131"/>
    <w:rsid w:val="00CD56E5"/>
    <w:rsid w:val="00CE0A6A"/>
    <w:rsid w:val="00CE0C1B"/>
    <w:rsid w:val="00CE64F2"/>
    <w:rsid w:val="00CF0C67"/>
    <w:rsid w:val="00CF0EC6"/>
    <w:rsid w:val="00CF0F40"/>
    <w:rsid w:val="00CF181D"/>
    <w:rsid w:val="00CF2AB9"/>
    <w:rsid w:val="00CF328C"/>
    <w:rsid w:val="00CF3AED"/>
    <w:rsid w:val="00CF4753"/>
    <w:rsid w:val="00CF6C43"/>
    <w:rsid w:val="00D0083B"/>
    <w:rsid w:val="00D01B74"/>
    <w:rsid w:val="00D04DF4"/>
    <w:rsid w:val="00D146F2"/>
    <w:rsid w:val="00D1512E"/>
    <w:rsid w:val="00D15403"/>
    <w:rsid w:val="00D16674"/>
    <w:rsid w:val="00D172D8"/>
    <w:rsid w:val="00D26488"/>
    <w:rsid w:val="00D320B4"/>
    <w:rsid w:val="00D3231A"/>
    <w:rsid w:val="00D32ABC"/>
    <w:rsid w:val="00D35B2D"/>
    <w:rsid w:val="00D36C06"/>
    <w:rsid w:val="00D44183"/>
    <w:rsid w:val="00D44360"/>
    <w:rsid w:val="00D44A55"/>
    <w:rsid w:val="00D46DD0"/>
    <w:rsid w:val="00D47931"/>
    <w:rsid w:val="00D47B74"/>
    <w:rsid w:val="00D47F3F"/>
    <w:rsid w:val="00D50D08"/>
    <w:rsid w:val="00D5261F"/>
    <w:rsid w:val="00D5276C"/>
    <w:rsid w:val="00D61B79"/>
    <w:rsid w:val="00D61E6F"/>
    <w:rsid w:val="00D62C84"/>
    <w:rsid w:val="00D6384D"/>
    <w:rsid w:val="00D653F3"/>
    <w:rsid w:val="00D65EC2"/>
    <w:rsid w:val="00D66B24"/>
    <w:rsid w:val="00D67307"/>
    <w:rsid w:val="00D73E9B"/>
    <w:rsid w:val="00D74951"/>
    <w:rsid w:val="00D74ED8"/>
    <w:rsid w:val="00D808E3"/>
    <w:rsid w:val="00D81319"/>
    <w:rsid w:val="00D85E13"/>
    <w:rsid w:val="00D86288"/>
    <w:rsid w:val="00D872BC"/>
    <w:rsid w:val="00D9114B"/>
    <w:rsid w:val="00D94E45"/>
    <w:rsid w:val="00D954AE"/>
    <w:rsid w:val="00D96929"/>
    <w:rsid w:val="00DA1B6F"/>
    <w:rsid w:val="00DA26BD"/>
    <w:rsid w:val="00DA3C2C"/>
    <w:rsid w:val="00DA529F"/>
    <w:rsid w:val="00DA6D15"/>
    <w:rsid w:val="00DB5AAE"/>
    <w:rsid w:val="00DB636B"/>
    <w:rsid w:val="00DB6882"/>
    <w:rsid w:val="00DC3002"/>
    <w:rsid w:val="00DC4B63"/>
    <w:rsid w:val="00DC4CBB"/>
    <w:rsid w:val="00DC5017"/>
    <w:rsid w:val="00DC5129"/>
    <w:rsid w:val="00DD21FD"/>
    <w:rsid w:val="00DD3ED2"/>
    <w:rsid w:val="00DD624A"/>
    <w:rsid w:val="00DD7F1B"/>
    <w:rsid w:val="00DE1A87"/>
    <w:rsid w:val="00DE451F"/>
    <w:rsid w:val="00DE51FF"/>
    <w:rsid w:val="00DF6BE7"/>
    <w:rsid w:val="00E016FF"/>
    <w:rsid w:val="00E022EF"/>
    <w:rsid w:val="00E03D2D"/>
    <w:rsid w:val="00E12A7A"/>
    <w:rsid w:val="00E12B64"/>
    <w:rsid w:val="00E21B31"/>
    <w:rsid w:val="00E2515D"/>
    <w:rsid w:val="00E275D7"/>
    <w:rsid w:val="00E27FD6"/>
    <w:rsid w:val="00E31C31"/>
    <w:rsid w:val="00E33039"/>
    <w:rsid w:val="00E36908"/>
    <w:rsid w:val="00E36A0F"/>
    <w:rsid w:val="00E400C7"/>
    <w:rsid w:val="00E40322"/>
    <w:rsid w:val="00E403C6"/>
    <w:rsid w:val="00E40CB4"/>
    <w:rsid w:val="00E41DB9"/>
    <w:rsid w:val="00E45A20"/>
    <w:rsid w:val="00E46E40"/>
    <w:rsid w:val="00E56612"/>
    <w:rsid w:val="00E56C41"/>
    <w:rsid w:val="00E618EC"/>
    <w:rsid w:val="00E66C1C"/>
    <w:rsid w:val="00E71CC0"/>
    <w:rsid w:val="00E731AE"/>
    <w:rsid w:val="00E74310"/>
    <w:rsid w:val="00E7509C"/>
    <w:rsid w:val="00E762BB"/>
    <w:rsid w:val="00E865C8"/>
    <w:rsid w:val="00E8661B"/>
    <w:rsid w:val="00E9084E"/>
    <w:rsid w:val="00E92411"/>
    <w:rsid w:val="00E9320C"/>
    <w:rsid w:val="00E962E6"/>
    <w:rsid w:val="00E97D7C"/>
    <w:rsid w:val="00EA105B"/>
    <w:rsid w:val="00EA1793"/>
    <w:rsid w:val="00EA380E"/>
    <w:rsid w:val="00EA689F"/>
    <w:rsid w:val="00EB5E69"/>
    <w:rsid w:val="00EC0459"/>
    <w:rsid w:val="00EC0595"/>
    <w:rsid w:val="00EC1434"/>
    <w:rsid w:val="00EC522B"/>
    <w:rsid w:val="00EC72B0"/>
    <w:rsid w:val="00EC77B3"/>
    <w:rsid w:val="00ED0142"/>
    <w:rsid w:val="00ED0625"/>
    <w:rsid w:val="00ED4E41"/>
    <w:rsid w:val="00ED74AF"/>
    <w:rsid w:val="00EE18F2"/>
    <w:rsid w:val="00EE365D"/>
    <w:rsid w:val="00EE3D79"/>
    <w:rsid w:val="00EE4FFB"/>
    <w:rsid w:val="00EF1169"/>
    <w:rsid w:val="00EF33BE"/>
    <w:rsid w:val="00EF4F97"/>
    <w:rsid w:val="00F03990"/>
    <w:rsid w:val="00F052EA"/>
    <w:rsid w:val="00F05673"/>
    <w:rsid w:val="00F05E5E"/>
    <w:rsid w:val="00F07A19"/>
    <w:rsid w:val="00F12610"/>
    <w:rsid w:val="00F126FC"/>
    <w:rsid w:val="00F12983"/>
    <w:rsid w:val="00F1300A"/>
    <w:rsid w:val="00F15359"/>
    <w:rsid w:val="00F170D7"/>
    <w:rsid w:val="00F173A3"/>
    <w:rsid w:val="00F175C4"/>
    <w:rsid w:val="00F23714"/>
    <w:rsid w:val="00F245A2"/>
    <w:rsid w:val="00F24E4F"/>
    <w:rsid w:val="00F309CB"/>
    <w:rsid w:val="00F33EED"/>
    <w:rsid w:val="00F33EEE"/>
    <w:rsid w:val="00F37677"/>
    <w:rsid w:val="00F37B05"/>
    <w:rsid w:val="00F44A0E"/>
    <w:rsid w:val="00F4763C"/>
    <w:rsid w:val="00F47E5B"/>
    <w:rsid w:val="00F50B5A"/>
    <w:rsid w:val="00F5215C"/>
    <w:rsid w:val="00F53412"/>
    <w:rsid w:val="00F540BA"/>
    <w:rsid w:val="00F54BD7"/>
    <w:rsid w:val="00F570F0"/>
    <w:rsid w:val="00F60E60"/>
    <w:rsid w:val="00F64069"/>
    <w:rsid w:val="00F64D6D"/>
    <w:rsid w:val="00F64FA6"/>
    <w:rsid w:val="00F654D4"/>
    <w:rsid w:val="00F66182"/>
    <w:rsid w:val="00F71399"/>
    <w:rsid w:val="00F740CC"/>
    <w:rsid w:val="00F74D5D"/>
    <w:rsid w:val="00F779BD"/>
    <w:rsid w:val="00F80226"/>
    <w:rsid w:val="00F821C1"/>
    <w:rsid w:val="00F82EE1"/>
    <w:rsid w:val="00F9089B"/>
    <w:rsid w:val="00F93134"/>
    <w:rsid w:val="00F9684D"/>
    <w:rsid w:val="00FA0F32"/>
    <w:rsid w:val="00FA2C2A"/>
    <w:rsid w:val="00FA3E17"/>
    <w:rsid w:val="00FA55E3"/>
    <w:rsid w:val="00FA6B97"/>
    <w:rsid w:val="00FB078F"/>
    <w:rsid w:val="00FB3586"/>
    <w:rsid w:val="00FB6D6F"/>
    <w:rsid w:val="00FC0844"/>
    <w:rsid w:val="00FC128B"/>
    <w:rsid w:val="00FC3F00"/>
    <w:rsid w:val="00FC67F1"/>
    <w:rsid w:val="00FC750D"/>
    <w:rsid w:val="00FD0A06"/>
    <w:rsid w:val="00FD0EA3"/>
    <w:rsid w:val="00FD2359"/>
    <w:rsid w:val="00FD23A2"/>
    <w:rsid w:val="00FE34E4"/>
    <w:rsid w:val="00FE367E"/>
    <w:rsid w:val="00FE3891"/>
    <w:rsid w:val="00FF1D71"/>
    <w:rsid w:val="00FF51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uiPriority w:val="99"/>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customStyle="1" w:styleId="UnresolvedMention1">
    <w:name w:val="Unresolved Mention1"/>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0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Main" TargetMode="External" /><Relationship Id="rId11" Type="http://schemas.openxmlformats.org/officeDocument/2006/relationships/hyperlink" Target="mailto:DataClearance@FERC.gov" TargetMode="External" /><Relationship Id="rId12" Type="http://schemas.openxmlformats.org/officeDocument/2006/relationships/hyperlink" Target="https://elibrary.ferc.gov/eLibrary/search"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nerc.com/FilingsOrders/us/RuleOfProcedureDL/SPM_Clean_Mar2019.pdf" TargetMode="External" /><Relationship Id="rId2" Type="http://schemas.openxmlformats.org/officeDocument/2006/relationships/hyperlink" Target="http://www.bls.gov/oes/current/naics2_2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19711-F954-4D29-891D-6EE80D33B710}">
  <ds:schemaRefs>
    <ds:schemaRef ds:uri="Microsoft.SharePoint.Taxonomy.ContentTypeSync"/>
  </ds:schemaRefs>
</ds:datastoreItem>
</file>

<file path=customXml/itemProps2.xml><?xml version="1.0" encoding="utf-8"?>
<ds:datastoreItem xmlns:ds="http://schemas.openxmlformats.org/officeDocument/2006/customXml" ds:itemID="{5BBB1DD4-8130-4FE7-964C-24C804F058DC}">
  <ds:schemaRefs>
    <ds:schemaRef ds:uri="http://schemas.microsoft.com/office/2006/documentManagement/type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5439FE14-39EF-4D84-9140-A12B85164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A0E044-8E26-43C9-904B-F4760BBA3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1667</Words>
  <Characters>10257</Characters>
  <Application>Microsoft Office Word</Application>
  <DocSecurity>0</DocSecurity>
  <Lines>366</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2016-12-20T13:40:00Z</cp:lastPrinted>
  <dcterms:created xsi:type="dcterms:W3CDTF">2026-04-07T20:18:00Z</dcterms:created>
  <dcterms:modified xsi:type="dcterms:W3CDTF">2026-04-07T20:18:00Z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9b273365-9012-43a9-935c-8c9adbb154ce</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2026-04-07T20:17:29Z</vt:lpwstr>
  </property>
  <property fmtid="{D5CDD505-2E9C-101B-9397-08002B2CF9AE}" pid="8" name="MSIP_Label_bd24d06a-0e85-4d57-b1e0-ba34b1abc708_SiteId">
    <vt:lpwstr>19caa9e9-04ff-43fa-885f-d77fac387903</vt:lpwstr>
  </property>
  <property fmtid="{D5CDD505-2E9C-101B-9397-08002B2CF9AE}" pid="9" name="MSIP_Label_bd24d06a-0e85-4d57-b1e0-ba34b1abc708_Tag">
    <vt:lpwstr>10, 0, 1, 1</vt:lpwstr>
  </property>
</Properties>
</file>