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693F" w:rsidP="009B693F" w:rsidRDefault="009B693F" w14:paraId="27B3DB12" w14:textId="7D74634A">
      <w:pPr>
        <w:spacing w:before="100" w:beforeAutospacing="1" w:after="100" w:afterAutospacing="1" w:line="240" w:lineRule="auto"/>
        <w:outlineLvl w:val="1"/>
        <w:rPr>
          <w:rFonts w:ascii="Times New Roman" w:hAnsi="Times New Roman" w:eastAsia="Times New Roman" w:cs="Times New Roman"/>
          <w:b/>
          <w:bCs/>
          <w:sz w:val="36"/>
          <w:szCs w:val="36"/>
        </w:rPr>
      </w:pPr>
      <w:proofErr w:type="spellStart"/>
      <w:r>
        <w:rPr>
          <w:rFonts w:ascii="Times New Roman" w:hAnsi="Times New Roman" w:eastAsia="Times New Roman" w:cs="Times New Roman"/>
          <w:b/>
          <w:bCs/>
          <w:sz w:val="36"/>
          <w:szCs w:val="36"/>
        </w:rPr>
        <w:t>eCFR</w:t>
      </w:r>
      <w:proofErr w:type="spellEnd"/>
      <w:r>
        <w:rPr>
          <w:rFonts w:ascii="Times New Roman" w:hAnsi="Times New Roman" w:eastAsia="Times New Roman" w:cs="Times New Roman"/>
          <w:b/>
          <w:bCs/>
          <w:sz w:val="36"/>
          <w:szCs w:val="36"/>
        </w:rPr>
        <w:t xml:space="preserve"> as of 6/6/2022</w:t>
      </w:r>
    </w:p>
    <w:p w:rsidR="009B693F" w:rsidP="009B693F" w:rsidRDefault="009B693F" w14:paraId="75121773" w14:textId="39E960FB">
      <w:pPr>
        <w:spacing w:before="100" w:beforeAutospacing="1" w:after="100" w:afterAutospacing="1" w:line="240" w:lineRule="auto"/>
        <w:outlineLvl w:val="1"/>
        <w:rPr>
          <w:rFonts w:ascii="Times New Roman" w:hAnsi="Times New Roman" w:eastAsia="Times New Roman" w:cs="Times New Roman"/>
          <w:b/>
          <w:bCs/>
          <w:sz w:val="36"/>
          <w:szCs w:val="36"/>
        </w:rPr>
      </w:pPr>
      <w:r w:rsidRPr="009B693F">
        <w:rPr>
          <w:rFonts w:ascii="Times New Roman" w:hAnsi="Times New Roman" w:eastAsia="Times New Roman" w:cs="Times New Roman"/>
          <w:b/>
          <w:bCs/>
          <w:sz w:val="36"/>
          <w:szCs w:val="36"/>
        </w:rPr>
        <w:t>Title 18 Chapter I Subchapter B Part 35 Subpart A § 35.10b</w:t>
      </w:r>
    </w:p>
    <w:p w:rsidRPr="009B693F" w:rsidR="009B693F" w:rsidP="009B693F" w:rsidRDefault="009B693F" w14:paraId="33134032" w14:textId="3799F0B3">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5">
        <w:r w:rsidRPr="009B693F">
          <w:rPr>
            <w:rFonts w:ascii="Times New Roman" w:hAnsi="Times New Roman" w:eastAsia="Times New Roman" w:cs="Times New Roman"/>
            <w:b/>
            <w:bCs/>
            <w:color w:val="0000FF"/>
            <w:sz w:val="36"/>
            <w:szCs w:val="36"/>
            <w:u w:val="single"/>
          </w:rPr>
          <w:t>§ 35.10b Electric Quarterly Reports.</w:t>
        </w:r>
      </w:hyperlink>
    </w:p>
    <w:p w:rsidRPr="009B693F" w:rsidR="009B693F" w:rsidP="009B693F" w:rsidRDefault="009B693F" w14:paraId="04929D54" w14:textId="77777777">
      <w:pPr>
        <w:spacing w:before="100" w:beforeAutospacing="1" w:after="100" w:afterAutospacing="1" w:line="240" w:lineRule="auto"/>
        <w:rPr>
          <w:rFonts w:ascii="Times New Roman" w:hAnsi="Times New Roman" w:eastAsia="Times New Roman" w:cs="Times New Roman"/>
          <w:sz w:val="24"/>
          <w:szCs w:val="24"/>
        </w:rPr>
      </w:pPr>
      <w:r w:rsidRPr="009B693F">
        <w:rPr>
          <w:rFonts w:ascii="Times New Roman" w:hAnsi="Times New Roman" w:eastAsia="Times New Roman" w:cs="Times New Roman"/>
          <w:sz w:val="24"/>
          <w:szCs w:val="24"/>
        </w:rPr>
        <w:t xml:space="preserve">Each public utility as well as each non-public utility with more than a </w:t>
      </w:r>
      <w:r w:rsidRPr="009B693F">
        <w:rPr>
          <w:rFonts w:ascii="Times New Roman" w:hAnsi="Times New Roman" w:eastAsia="Times New Roman" w:cs="Times New Roman"/>
          <w:i/>
          <w:iCs/>
          <w:sz w:val="24"/>
          <w:szCs w:val="24"/>
        </w:rPr>
        <w:t>de minimis</w:t>
      </w:r>
      <w:r w:rsidRPr="009B693F">
        <w:rPr>
          <w:rFonts w:ascii="Times New Roman" w:hAnsi="Times New Roman" w:eastAsia="Times New Roman" w:cs="Times New Roman"/>
          <w:sz w:val="24"/>
          <w:szCs w:val="24"/>
        </w:rPr>
        <w:t xml:space="preserve"> market presence shall file an updated Electric Quarterly Report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Electric Quarterly Reports must be prepared in conformance with the Commission's guidance posted on the FERC Web site (</w:t>
      </w:r>
      <w:hyperlink w:tgtFrame="_blank" w:history="1" r:id="rId6">
        <w:r w:rsidRPr="009B693F">
          <w:rPr>
            <w:rFonts w:ascii="Times New Roman" w:hAnsi="Times New Roman" w:eastAsia="Times New Roman" w:cs="Times New Roman"/>
            <w:i/>
            <w:iCs/>
            <w:color w:val="0000FF"/>
            <w:sz w:val="24"/>
            <w:szCs w:val="24"/>
            <w:u w:val="single"/>
          </w:rPr>
          <w:t>http://www.ferc.gov</w:t>
        </w:r>
      </w:hyperlink>
      <w:r w:rsidRPr="009B693F">
        <w:rPr>
          <w:rFonts w:ascii="Times New Roman" w:hAnsi="Times New Roman" w:eastAsia="Times New Roman" w:cs="Times New Roman"/>
          <w:sz w:val="24"/>
          <w:szCs w:val="24"/>
        </w:rPr>
        <w:t xml:space="preserve">). </w:t>
      </w:r>
    </w:p>
    <w:p w:rsidRPr="009B693F" w:rsidR="009B693F" w:rsidP="009B693F" w:rsidRDefault="009B693F" w14:paraId="07AA46DB" w14:textId="77777777">
      <w:pPr>
        <w:spacing w:before="100" w:beforeAutospacing="1" w:after="100" w:afterAutospacing="1" w:line="240" w:lineRule="auto"/>
        <w:ind w:left="180"/>
        <w:rPr>
          <w:rFonts w:ascii="Times New Roman" w:hAnsi="Times New Roman" w:eastAsia="Times New Roman" w:cs="Times New Roman"/>
          <w:sz w:val="24"/>
          <w:szCs w:val="24"/>
        </w:rPr>
      </w:pPr>
      <w:r w:rsidRPr="009B693F">
        <w:rPr>
          <w:rFonts w:ascii="Times New Roman" w:hAnsi="Times New Roman" w:eastAsia="Times New Roman" w:cs="Times New Roman"/>
          <w:sz w:val="24"/>
          <w:szCs w:val="24"/>
        </w:rPr>
        <w:t xml:space="preserve">(a) For purposes of this section, the term “non-public utility” means any market participant that is exempted from the Commission's jurisdiction under </w:t>
      </w:r>
      <w:hyperlink w:tgtFrame="_blank" w:history="1" r:id="rId7">
        <w:r w:rsidRPr="009B693F">
          <w:rPr>
            <w:rFonts w:ascii="Times New Roman" w:hAnsi="Times New Roman" w:eastAsia="Times New Roman" w:cs="Times New Roman"/>
            <w:color w:val="0000FF"/>
            <w:sz w:val="24"/>
            <w:szCs w:val="24"/>
            <w:u w:val="single"/>
          </w:rPr>
          <w:t>16 U.S.C. 824(f)</w:t>
        </w:r>
      </w:hyperlink>
      <w:r w:rsidRPr="009B693F">
        <w:rPr>
          <w:rFonts w:ascii="Times New Roman" w:hAnsi="Times New Roman" w:eastAsia="Times New Roman" w:cs="Times New Roman"/>
          <w:sz w:val="24"/>
          <w:szCs w:val="24"/>
        </w:rPr>
        <w:t xml:space="preserve">. </w:t>
      </w:r>
    </w:p>
    <w:p w:rsidRPr="009B693F" w:rsidR="009B693F" w:rsidP="009B693F" w:rsidRDefault="009B693F" w14:paraId="2A6D00E6" w14:textId="77777777">
      <w:pPr>
        <w:spacing w:before="100" w:beforeAutospacing="1" w:after="100" w:afterAutospacing="1" w:line="240" w:lineRule="auto"/>
        <w:ind w:left="180"/>
        <w:rPr>
          <w:rFonts w:ascii="Times New Roman" w:hAnsi="Times New Roman" w:eastAsia="Times New Roman" w:cs="Times New Roman"/>
          <w:sz w:val="24"/>
          <w:szCs w:val="24"/>
        </w:rPr>
      </w:pPr>
      <w:r w:rsidRPr="009B693F">
        <w:rPr>
          <w:rFonts w:ascii="Times New Roman" w:hAnsi="Times New Roman" w:eastAsia="Times New Roman" w:cs="Times New Roman"/>
          <w:sz w:val="24"/>
          <w:szCs w:val="24"/>
        </w:rPr>
        <w:t xml:space="preserve">The term does not include an entity that engages in purchases or sales of wholesale electric energy or transmission services within the Electric Reliability Council of Texas or any entity that engages solely in sales of wholesale electric energy or transmission services in the states of Alaska or Hawaii. </w:t>
      </w:r>
    </w:p>
    <w:p w:rsidRPr="009B693F" w:rsidR="009B693F" w:rsidP="009B693F" w:rsidRDefault="009B693F" w14:paraId="32C83A04" w14:textId="77777777">
      <w:pPr>
        <w:spacing w:before="100" w:beforeAutospacing="1" w:after="100" w:afterAutospacing="1" w:line="240" w:lineRule="auto"/>
        <w:ind w:left="180"/>
        <w:rPr>
          <w:rFonts w:ascii="Times New Roman" w:hAnsi="Times New Roman" w:eastAsia="Times New Roman" w:cs="Times New Roman"/>
          <w:sz w:val="24"/>
          <w:szCs w:val="24"/>
        </w:rPr>
      </w:pPr>
      <w:r w:rsidRPr="009B693F">
        <w:rPr>
          <w:rFonts w:ascii="Times New Roman" w:hAnsi="Times New Roman" w:eastAsia="Times New Roman" w:cs="Times New Roman"/>
          <w:sz w:val="24"/>
          <w:szCs w:val="24"/>
        </w:rPr>
        <w:t>(b) For purposes of this section, the term “</w:t>
      </w:r>
      <w:r w:rsidRPr="009B693F">
        <w:rPr>
          <w:rFonts w:ascii="Times New Roman" w:hAnsi="Times New Roman" w:eastAsia="Times New Roman" w:cs="Times New Roman"/>
          <w:i/>
          <w:iCs/>
          <w:sz w:val="24"/>
          <w:szCs w:val="24"/>
        </w:rPr>
        <w:t>de minimis</w:t>
      </w:r>
      <w:r w:rsidRPr="009B693F">
        <w:rPr>
          <w:rFonts w:ascii="Times New Roman" w:hAnsi="Times New Roman" w:eastAsia="Times New Roman" w:cs="Times New Roman"/>
          <w:sz w:val="24"/>
          <w:szCs w:val="24"/>
        </w:rPr>
        <w:t xml:space="preserve"> market presence” means any non-public utility that makes 4,000,000 megawatt hours or less of annual wholesale sales, based on the average annual sales for resale over the preceding three years as published by the Energy Information Administration's Form 861. </w:t>
      </w:r>
    </w:p>
    <w:p w:rsidRPr="009B693F" w:rsidR="009B693F" w:rsidP="009B693F" w:rsidRDefault="009B693F" w14:paraId="466689B6" w14:textId="77777777">
      <w:pPr>
        <w:spacing w:before="100" w:beforeAutospacing="1" w:after="100" w:afterAutospacing="1" w:line="240" w:lineRule="auto"/>
        <w:ind w:left="180"/>
        <w:rPr>
          <w:rFonts w:ascii="Times New Roman" w:hAnsi="Times New Roman" w:eastAsia="Times New Roman" w:cs="Times New Roman"/>
          <w:sz w:val="24"/>
          <w:szCs w:val="24"/>
        </w:rPr>
      </w:pPr>
      <w:r w:rsidRPr="009B693F">
        <w:rPr>
          <w:rFonts w:ascii="Times New Roman" w:hAnsi="Times New Roman" w:eastAsia="Times New Roman" w:cs="Times New Roman"/>
          <w:sz w:val="24"/>
          <w:szCs w:val="24"/>
        </w:rPr>
        <w:t xml:space="preserve">(c) For purposes of this section, the following wholesale sales made by a non-public utility with more than a </w:t>
      </w:r>
      <w:r w:rsidRPr="009B693F">
        <w:rPr>
          <w:rFonts w:ascii="Times New Roman" w:hAnsi="Times New Roman" w:eastAsia="Times New Roman" w:cs="Times New Roman"/>
          <w:i/>
          <w:iCs/>
          <w:sz w:val="24"/>
          <w:szCs w:val="24"/>
        </w:rPr>
        <w:t>de minimis</w:t>
      </w:r>
      <w:r w:rsidRPr="009B693F">
        <w:rPr>
          <w:rFonts w:ascii="Times New Roman" w:hAnsi="Times New Roman" w:eastAsia="Times New Roman" w:cs="Times New Roman"/>
          <w:sz w:val="24"/>
          <w:szCs w:val="24"/>
        </w:rPr>
        <w:t xml:space="preserve"> market presence are excluded from the EQR filing requirement: </w:t>
      </w:r>
    </w:p>
    <w:p w:rsidRPr="009B693F" w:rsidR="009B693F" w:rsidP="009B693F" w:rsidRDefault="009B693F" w14:paraId="66BDF849" w14:textId="77777777">
      <w:pPr>
        <w:spacing w:before="100" w:beforeAutospacing="1" w:after="100" w:afterAutospacing="1" w:line="240" w:lineRule="auto"/>
        <w:ind w:left="360"/>
        <w:rPr>
          <w:rFonts w:ascii="Times New Roman" w:hAnsi="Times New Roman" w:eastAsia="Times New Roman" w:cs="Times New Roman"/>
          <w:sz w:val="24"/>
          <w:szCs w:val="24"/>
        </w:rPr>
      </w:pPr>
      <w:r w:rsidRPr="009B693F">
        <w:rPr>
          <w:rFonts w:ascii="Times New Roman" w:hAnsi="Times New Roman" w:eastAsia="Times New Roman" w:cs="Times New Roman"/>
          <w:sz w:val="24"/>
          <w:szCs w:val="24"/>
        </w:rPr>
        <w:t xml:space="preserve">(1) Sales by a non-public utility, such as a cooperative or joint action agency, to its members; and </w:t>
      </w:r>
    </w:p>
    <w:p w:rsidRPr="009B693F" w:rsidR="009B693F" w:rsidP="009B693F" w:rsidRDefault="009B693F" w14:paraId="20EAFB50" w14:textId="77777777">
      <w:pPr>
        <w:spacing w:before="100" w:beforeAutospacing="1" w:after="100" w:afterAutospacing="1" w:line="240" w:lineRule="auto"/>
        <w:ind w:left="360"/>
        <w:rPr>
          <w:rFonts w:ascii="Times New Roman" w:hAnsi="Times New Roman" w:eastAsia="Times New Roman" w:cs="Times New Roman"/>
          <w:sz w:val="24"/>
          <w:szCs w:val="24"/>
        </w:rPr>
      </w:pPr>
      <w:r w:rsidRPr="009B693F">
        <w:rPr>
          <w:rFonts w:ascii="Times New Roman" w:hAnsi="Times New Roman" w:eastAsia="Times New Roman" w:cs="Times New Roman"/>
          <w:sz w:val="24"/>
          <w:szCs w:val="24"/>
        </w:rPr>
        <w:t xml:space="preserve">(2) Sales by a non-public utility under a long-term, cost-based agreement required to be made to certain customers under Federal or state statute. </w:t>
      </w:r>
    </w:p>
    <w:p w:rsidRPr="009B693F" w:rsidR="009B693F" w:rsidP="009B693F" w:rsidRDefault="009B693F" w14:paraId="71B7EA07" w14:textId="77777777">
      <w:pPr>
        <w:spacing w:before="100" w:beforeAutospacing="1" w:after="100" w:afterAutospacing="1" w:line="240" w:lineRule="auto"/>
        <w:rPr>
          <w:rFonts w:ascii="Times New Roman" w:hAnsi="Times New Roman" w:eastAsia="Times New Roman" w:cs="Times New Roman"/>
          <w:sz w:val="24"/>
          <w:szCs w:val="24"/>
        </w:rPr>
      </w:pPr>
      <w:r w:rsidRPr="009B693F">
        <w:rPr>
          <w:rFonts w:ascii="Times New Roman" w:hAnsi="Times New Roman" w:eastAsia="Times New Roman" w:cs="Times New Roman"/>
          <w:sz w:val="24"/>
          <w:szCs w:val="24"/>
        </w:rPr>
        <w:t xml:space="preserve">[Order 768, </w:t>
      </w:r>
      <w:hyperlink w:history="1" r:id="rId8">
        <w:r w:rsidRPr="009B693F">
          <w:rPr>
            <w:rFonts w:ascii="Times New Roman" w:hAnsi="Times New Roman" w:eastAsia="Times New Roman" w:cs="Times New Roman"/>
            <w:color w:val="0000FF"/>
            <w:sz w:val="24"/>
            <w:szCs w:val="24"/>
            <w:u w:val="single"/>
          </w:rPr>
          <w:t>77 FR 61924</w:t>
        </w:r>
      </w:hyperlink>
      <w:r w:rsidRPr="009B693F">
        <w:rPr>
          <w:rFonts w:ascii="Times New Roman" w:hAnsi="Times New Roman" w:eastAsia="Times New Roman" w:cs="Times New Roman"/>
          <w:sz w:val="24"/>
          <w:szCs w:val="24"/>
        </w:rPr>
        <w:t xml:space="preserve">, Oct. 11, 2012, as amended by Order 770, </w:t>
      </w:r>
      <w:hyperlink w:history="1" r:id="rId9">
        <w:r w:rsidRPr="009B693F">
          <w:rPr>
            <w:rFonts w:ascii="Times New Roman" w:hAnsi="Times New Roman" w:eastAsia="Times New Roman" w:cs="Times New Roman"/>
            <w:color w:val="0000FF"/>
            <w:sz w:val="24"/>
            <w:szCs w:val="24"/>
            <w:u w:val="single"/>
          </w:rPr>
          <w:t>77 FR 71299</w:t>
        </w:r>
      </w:hyperlink>
      <w:r w:rsidRPr="009B693F">
        <w:rPr>
          <w:rFonts w:ascii="Times New Roman" w:hAnsi="Times New Roman" w:eastAsia="Times New Roman" w:cs="Times New Roman"/>
          <w:sz w:val="24"/>
          <w:szCs w:val="24"/>
        </w:rPr>
        <w:t>, Nov. 30, 2012]</w:t>
      </w:r>
    </w:p>
    <w:p w:rsidR="00C06288" w:rsidRDefault="00C06288" w14:paraId="4B31514D" w14:textId="77777777"/>
    <w:sectPr w:rsidR="00C0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F004C"/>
    <w:multiLevelType w:val="multilevel"/>
    <w:tmpl w:val="0F34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3F"/>
    <w:rsid w:val="009B693F"/>
    <w:rsid w:val="00C06288"/>
    <w:rsid w:val="00F3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64D3"/>
  <w15:chartTrackingRefBased/>
  <w15:docId w15:val="{FE824170-2799-42F7-9649-B7DE9B80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825644">
      <w:bodyDiv w:val="1"/>
      <w:marLeft w:val="0"/>
      <w:marRight w:val="0"/>
      <w:marTop w:val="0"/>
      <w:marBottom w:val="0"/>
      <w:divBdr>
        <w:top w:val="none" w:sz="0" w:space="0" w:color="auto"/>
        <w:left w:val="none" w:sz="0" w:space="0" w:color="auto"/>
        <w:bottom w:val="none" w:sz="0" w:space="0" w:color="auto"/>
        <w:right w:val="none" w:sz="0" w:space="0" w:color="auto"/>
      </w:divBdr>
      <w:divsChild>
        <w:div w:id="1618946542">
          <w:marLeft w:val="0"/>
          <w:marRight w:val="0"/>
          <w:marTop w:val="0"/>
          <w:marBottom w:val="0"/>
          <w:divBdr>
            <w:top w:val="none" w:sz="0" w:space="0" w:color="auto"/>
            <w:left w:val="none" w:sz="0" w:space="0" w:color="auto"/>
            <w:bottom w:val="none" w:sz="0" w:space="0" w:color="auto"/>
            <w:right w:val="none" w:sz="0" w:space="0" w:color="auto"/>
          </w:divBdr>
        </w:div>
        <w:div w:id="533735478">
          <w:marLeft w:val="0"/>
          <w:marRight w:val="0"/>
          <w:marTop w:val="0"/>
          <w:marBottom w:val="0"/>
          <w:divBdr>
            <w:top w:val="none" w:sz="0" w:space="0" w:color="auto"/>
            <w:left w:val="none" w:sz="0" w:space="0" w:color="auto"/>
            <w:bottom w:val="none" w:sz="0" w:space="0" w:color="auto"/>
            <w:right w:val="none" w:sz="0" w:space="0" w:color="auto"/>
          </w:divBdr>
        </w:div>
        <w:div w:id="991525364">
          <w:marLeft w:val="0"/>
          <w:marRight w:val="0"/>
          <w:marTop w:val="0"/>
          <w:marBottom w:val="0"/>
          <w:divBdr>
            <w:top w:val="none" w:sz="0" w:space="0" w:color="auto"/>
            <w:left w:val="none" w:sz="0" w:space="0" w:color="auto"/>
            <w:bottom w:val="none" w:sz="0" w:space="0" w:color="auto"/>
            <w:right w:val="none" w:sz="0" w:space="0" w:color="auto"/>
          </w:divBdr>
          <w:divsChild>
            <w:div w:id="976180829">
              <w:marLeft w:val="0"/>
              <w:marRight w:val="0"/>
              <w:marTop w:val="0"/>
              <w:marBottom w:val="0"/>
              <w:divBdr>
                <w:top w:val="none" w:sz="0" w:space="0" w:color="auto"/>
                <w:left w:val="none" w:sz="0" w:space="0" w:color="auto"/>
                <w:bottom w:val="none" w:sz="0" w:space="0" w:color="auto"/>
                <w:right w:val="none" w:sz="0" w:space="0" w:color="auto"/>
              </w:divBdr>
            </w:div>
            <w:div w:id="13994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citation/77-FR-61924" TargetMode="External"/><Relationship Id="rId3" Type="http://schemas.openxmlformats.org/officeDocument/2006/relationships/settings" Target="settings.xml"/><Relationship Id="rId7" Type="http://schemas.openxmlformats.org/officeDocument/2006/relationships/hyperlink" Target="https://www.govinfo.gov/link/uscode/16/8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rc.gov" TargetMode="External"/><Relationship Id="rId11" Type="http://schemas.openxmlformats.org/officeDocument/2006/relationships/theme" Target="theme/theme1.xml"/><Relationship Id="rId5" Type="http://schemas.openxmlformats.org/officeDocument/2006/relationships/hyperlink" Target="https://www.ecfr.gov/current/title-18/section-35.10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alregister.gov/citation/77-FR-71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2127</Characters>
  <Application>Microsoft Office Word</Application>
  <DocSecurity>0</DocSecurity>
  <Lines>37</Lines>
  <Paragraphs>10</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2022-06-08T12:53:00Z</dcterms:created>
  <dcterms:modified xsi:type="dcterms:W3CDTF">2022-06-08T12:53:00Z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2022-06-08T12:51:00Z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1bbbd5d7-a825-451d-8c52-04f1f06a014d</vt:lpwstr>
  </property>
  <property fmtid="{D5CDD505-2E9C-101B-9397-08002B2CF9AE}" pid="8" name="MSIP_Label_6155a89b-0f08-4a93-8ea2-8a916d6643b5_ContentBits">
    <vt:lpwstr>0</vt:lpwstr>
  </property>
</Properties>
</file>