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01D3" w14:paraId="23D016C7" w14:textId="77777777">
      <w:pPr>
        <w:jc w:val="center"/>
      </w:pPr>
      <w:r>
        <w:t>188 FERC ¶ 61,214</w:t>
      </w:r>
    </w:p>
    <w:p w:rsidR="00F50584" w:rsidRPr="00CD0B38" w:rsidP="00627555" w14:paraId="6F97F5C1" w14:textId="5DC99659">
      <w:pPr>
        <w:jc w:val="center"/>
      </w:pPr>
      <w:r>
        <w:rPr>
          <w:b/>
        </w:rPr>
        <w:fldChar w:fldCharType="begin"/>
      </w:r>
      <w:r>
        <w:rPr>
          <w:b/>
        </w:rPr>
        <w:instrText xml:space="preserve"> MACROBUTTON  AcceptAllChangesInDoc </w:instrText>
      </w:r>
      <w:r>
        <w:rPr>
          <w:b/>
        </w:rPr>
        <w:fldChar w:fldCharType="end"/>
      </w:r>
      <w:r w:rsidRPr="00CD0B38">
        <w:t>UNITED STATES OF AMERICA</w:t>
      </w:r>
    </w:p>
    <w:p w:rsidR="00F50584" w:rsidRPr="00CD0B38" w14:paraId="33BBEC7E" w14:textId="77777777">
      <w:pPr>
        <w:jc w:val="center"/>
      </w:pPr>
      <w:r w:rsidRPr="00CD0B38">
        <w:t>FEDERAL ENERGY REGULATORY COMMISSION</w:t>
      </w:r>
    </w:p>
    <w:p w:rsidR="00F50584" w:rsidRPr="00CD0B38" w14:paraId="4B6C6F85" w14:textId="77777777"/>
    <w:p w:rsidR="00F50584" w:rsidRPr="00627555" w:rsidP="00627555" w14:paraId="19FF21AD" w14:textId="3E9A8506">
      <w:pPr>
        <w:widowControl/>
      </w:pPr>
      <w:r w:rsidRPr="00627555">
        <w:t xml:space="preserve">Before Commissioners:  Willie L. Phillips, </w:t>
      </w:r>
      <w:r w:rsidRPr="00627555">
        <w:t>Chairman;</w:t>
      </w:r>
    </w:p>
    <w:p w:rsidR="00627555" w:rsidRPr="00627555" w:rsidP="00627555" w14:paraId="6F748578" w14:textId="643144B4">
      <w:pPr>
        <w:widowControl/>
      </w:pPr>
      <w:r w:rsidRPr="00627555">
        <w:t xml:space="preserve">                                        Mark C. Christie, David Rosner, </w:t>
      </w:r>
    </w:p>
    <w:p w:rsidR="00627555" w:rsidRPr="00CD0B38" w:rsidP="00627555" w14:paraId="28BEA8BA" w14:textId="355BAF94">
      <w:pPr>
        <w:widowControl/>
      </w:pPr>
      <w:r w:rsidRPr="00627555">
        <w:t xml:space="preserve">                                        Lindsay S. See and Judy W. Chang.</w:t>
      </w:r>
    </w:p>
    <w:p w:rsidR="00F50584" w:rsidRPr="00CD0B38" w14:paraId="6BBBB3F3"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5934"/>
        <w:gridCol w:w="1535"/>
        <w:gridCol w:w="1891"/>
      </w:tblGrid>
      <w:tr w14:paraId="7E6A35E5" w14:textId="77777777" w:rsidTr="00F5058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c>
          <w:tcPr>
            <w:tcW w:w="6088" w:type="dxa"/>
            <w:shd w:val="clear" w:color="auto" w:fill="auto"/>
          </w:tcPr>
          <w:p w:rsidR="00F50584" w:rsidRPr="00CD0B38" w14:paraId="1AF363C5" w14:textId="77777777">
            <w:pPr>
              <w:widowControl/>
              <w:autoSpaceDE/>
              <w:autoSpaceDN/>
              <w:adjustRightInd/>
              <w:rPr>
                <w:rFonts w:eastAsiaTheme="minorHAnsi" w:cstheme="minorBidi"/>
                <w:szCs w:val="22"/>
              </w:rPr>
            </w:pPr>
            <w:r>
              <w:rPr>
                <w:rFonts w:eastAsiaTheme="minorHAnsi" w:cstheme="minorBidi"/>
                <w:szCs w:val="22"/>
              </w:rPr>
              <w:t>North American Electric Reliability Corp.</w:t>
            </w:r>
          </w:p>
        </w:tc>
        <w:tc>
          <w:tcPr>
            <w:tcW w:w="1560" w:type="dxa"/>
            <w:shd w:val="clear" w:color="auto" w:fill="auto"/>
          </w:tcPr>
          <w:p w:rsidR="00F50584" w:rsidRPr="00CD0B38" w:rsidP="00F50584" w14:paraId="06474507" w14:textId="77777777">
            <w:pPr>
              <w:widowControl/>
              <w:autoSpaceDE/>
              <w:autoSpaceDN/>
              <w:adjustRightInd/>
              <w:jc w:val="right"/>
              <w:rPr>
                <w:rFonts w:eastAsiaTheme="minorHAnsi" w:cstheme="minorBidi"/>
                <w:szCs w:val="22"/>
              </w:rPr>
            </w:pPr>
            <w:r>
              <w:rPr>
                <w:rFonts w:eastAsiaTheme="minorHAnsi" w:cstheme="minorBidi"/>
                <w:szCs w:val="22"/>
              </w:rPr>
              <w:t>Docket No.</w:t>
            </w:r>
          </w:p>
        </w:tc>
        <w:tc>
          <w:tcPr>
            <w:tcW w:w="1928" w:type="dxa"/>
            <w:shd w:val="clear" w:color="auto" w:fill="auto"/>
            <w:tcMar>
              <w:left w:w="144" w:type="dxa"/>
            </w:tcMar>
          </w:tcPr>
          <w:p w:rsidR="00F50584" w:rsidRPr="00CD0B38" w14:paraId="772FC374" w14:textId="74A2EB7A">
            <w:pPr>
              <w:widowControl/>
              <w:autoSpaceDE/>
              <w:autoSpaceDN/>
              <w:adjustRightInd/>
              <w:ind w:left="-135"/>
              <w:rPr>
                <w:rFonts w:eastAsiaTheme="minorHAnsi" w:cstheme="minorBidi"/>
                <w:szCs w:val="22"/>
              </w:rPr>
            </w:pPr>
            <w:r>
              <w:rPr>
                <w:rFonts w:eastAsiaTheme="minorHAnsi" w:cstheme="minorBidi"/>
                <w:szCs w:val="22"/>
              </w:rPr>
              <w:t xml:space="preserve"> </w:t>
            </w:r>
            <w:r>
              <w:rPr>
                <w:rFonts w:eastAsiaTheme="minorHAnsi" w:cstheme="minorBidi"/>
                <w:szCs w:val="22"/>
              </w:rPr>
              <w:t>RD24-7-000</w:t>
            </w:r>
          </w:p>
        </w:tc>
      </w:tr>
    </w:tbl>
    <w:p w:rsidR="00F50584" w:rsidRPr="00CD0B38" w14:paraId="339563F2" w14:textId="77777777">
      <w:pPr>
        <w:jc w:val="center"/>
      </w:pPr>
    </w:p>
    <w:p w:rsidR="00F50584" w:rsidRPr="00CD0B38" w14:paraId="0527FAC2" w14:textId="5C0D2FBF">
      <w:pPr>
        <w:jc w:val="center"/>
      </w:pPr>
      <w:r>
        <w:t>ORDER A</w:t>
      </w:r>
      <w:r w:rsidR="00C80DB8">
        <w:t>PPROVING REGIONAL RELIABILITY STANDARD FAC-501-WECC-4</w:t>
      </w:r>
    </w:p>
    <w:p w:rsidR="00F50584" w:rsidRPr="00CD0B38" w14:paraId="69CB8EA9" w14:textId="77777777">
      <w:pPr>
        <w:jc w:val="center"/>
      </w:pPr>
    </w:p>
    <w:p w:rsidR="00F50584" w:rsidP="00627555" w14:paraId="412CCD59" w14:textId="0DF36DB1">
      <w:pPr>
        <w:widowControl/>
        <w:jc w:val="center"/>
      </w:pPr>
      <w:r w:rsidRPr="00627555">
        <w:t xml:space="preserve">(Issued September </w:t>
      </w:r>
      <w:r w:rsidRPr="00A36B3F">
        <w:t>26</w:t>
      </w:r>
      <w:r w:rsidRPr="00627555">
        <w:t>, 2024)</w:t>
      </w:r>
    </w:p>
    <w:p w:rsidR="00F50584" w:rsidRPr="00C26B1C" w14:paraId="6ECEB502" w14:textId="77777777">
      <w:pPr>
        <w:rPr>
          <w:bCs/>
        </w:rPr>
      </w:pPr>
    </w:p>
    <w:p w:rsidR="00D23A22" w:rsidP="008D4CF9" w14:paraId="1BE4E035" w14:textId="3E8CE1EE">
      <w:pPr>
        <w:pStyle w:val="FERCparanumber"/>
      </w:pPr>
      <w:r w:rsidRPr="005F7E29">
        <w:t xml:space="preserve">On </w:t>
      </w:r>
      <w:r>
        <w:t>May 17</w:t>
      </w:r>
      <w:r w:rsidRPr="005F7E29">
        <w:t>, 202</w:t>
      </w:r>
      <w:r>
        <w:t>4</w:t>
      </w:r>
      <w:r w:rsidRPr="005F7E29">
        <w:t xml:space="preserve">, the North American Electric Reliability Corporation (NERC) </w:t>
      </w:r>
      <w:r>
        <w:t xml:space="preserve">and Western Electricity Coordinating Council (WECC) </w:t>
      </w:r>
      <w:r w:rsidRPr="005F7E29">
        <w:t xml:space="preserve">filed a </w:t>
      </w:r>
      <w:r>
        <w:t xml:space="preserve">joint </w:t>
      </w:r>
      <w:r w:rsidRPr="005F7E29">
        <w:t xml:space="preserve">petition seeking approval of proposed </w:t>
      </w:r>
      <w:r>
        <w:t xml:space="preserve">regional </w:t>
      </w:r>
      <w:r w:rsidRPr="005F7E29">
        <w:t xml:space="preserve">Reliability Standard </w:t>
      </w:r>
      <w:r>
        <w:t xml:space="preserve">FAC-501-WECC-4 </w:t>
      </w:r>
      <w:r w:rsidRPr="005F7E29">
        <w:t>(</w:t>
      </w:r>
      <w:r w:rsidRPr="008568E3">
        <w:t>Transmission Maintenance</w:t>
      </w:r>
      <w:r w:rsidRPr="005F7E29">
        <w:t>)</w:t>
      </w:r>
      <w:r w:rsidR="0071189C">
        <w:t>,</w:t>
      </w:r>
      <w:r w:rsidRPr="005F7E29">
        <w:t xml:space="preserve"> </w:t>
      </w:r>
      <w:r w:rsidR="00A614ED">
        <w:t xml:space="preserve">its </w:t>
      </w:r>
      <w:r w:rsidRPr="005F7E29">
        <w:t xml:space="preserve">associated Violation Risk Factors and Violation </w:t>
      </w:r>
      <w:r>
        <w:t>Severity</w:t>
      </w:r>
      <w:r w:rsidRPr="005F7E29">
        <w:t xml:space="preserve"> Levels, </w:t>
      </w:r>
      <w:r w:rsidR="00962BF3">
        <w:t xml:space="preserve">     </w:t>
      </w:r>
      <w:r w:rsidRPr="005F7E29">
        <w:t>and the proposed implementation plan</w:t>
      </w:r>
      <w:r w:rsidRPr="00A129C8">
        <w:t xml:space="preserve"> </w:t>
      </w:r>
      <w:r>
        <w:t xml:space="preserve">including the </w:t>
      </w:r>
      <w:r w:rsidRPr="005F7E29">
        <w:t xml:space="preserve">retirement of </w:t>
      </w:r>
      <w:r>
        <w:t xml:space="preserve">regional </w:t>
      </w:r>
      <w:r w:rsidRPr="005F7E29">
        <w:t xml:space="preserve">Reliability Standard </w:t>
      </w:r>
      <w:r>
        <w:t>FAC-501-WECC-2</w:t>
      </w:r>
      <w:r w:rsidRPr="005F7E29">
        <w:t>.</w:t>
      </w:r>
      <w:r>
        <w:rPr>
          <w:rStyle w:val="FootnoteReference"/>
        </w:rPr>
        <w:footnoteReference w:id="3"/>
      </w:r>
      <w:r w:rsidR="00BA4D7D">
        <w:t xml:space="preserve">  </w:t>
      </w:r>
      <w:r w:rsidR="005036DB">
        <w:t xml:space="preserve">In addition, </w:t>
      </w:r>
      <w:r w:rsidR="0025030F">
        <w:t xml:space="preserve">WECC </w:t>
      </w:r>
      <w:r w:rsidR="008D4CF9">
        <w:t xml:space="preserve">submits for Commission approval a </w:t>
      </w:r>
      <w:r w:rsidR="00B82E89">
        <w:t xml:space="preserve">standalone </w:t>
      </w:r>
      <w:r w:rsidR="008D4CF9">
        <w:t>process</w:t>
      </w:r>
      <w:r w:rsidR="00B82E89">
        <w:t xml:space="preserve"> document</w:t>
      </w:r>
      <w:r w:rsidR="008D4CF9">
        <w:t xml:space="preserve"> (Table Revision Process) to guide future revisions </w:t>
      </w:r>
      <w:r w:rsidR="00824875">
        <w:t>of</w:t>
      </w:r>
      <w:r w:rsidR="0025030F">
        <w:t xml:space="preserve"> the Major WECC Transfer Paths</w:t>
      </w:r>
      <w:r w:rsidR="007F74D9">
        <w:t xml:space="preserve"> in the Bulk Electric System</w:t>
      </w:r>
      <w:r w:rsidR="0025030F">
        <w:t xml:space="preserve"> </w:t>
      </w:r>
      <w:r w:rsidR="007F74D9">
        <w:t>t</w:t>
      </w:r>
      <w:r w:rsidR="0025030F">
        <w:t>able</w:t>
      </w:r>
      <w:r w:rsidR="007F74D9">
        <w:t xml:space="preserve"> </w:t>
      </w:r>
      <w:r w:rsidR="0081467F">
        <w:t>(Table)</w:t>
      </w:r>
      <w:r w:rsidR="00D97BED">
        <w:t>, which establishes the transmission paths subject to the regional Reliability Standard</w:t>
      </w:r>
      <w:r w:rsidR="009B536C">
        <w:t xml:space="preserve"> </w:t>
      </w:r>
      <w:r w:rsidR="00133E3D">
        <w:t xml:space="preserve">and other </w:t>
      </w:r>
      <w:r w:rsidR="00E625D3">
        <w:t>Reliability</w:t>
      </w:r>
      <w:r w:rsidR="00133E3D">
        <w:t xml:space="preserve"> Stan</w:t>
      </w:r>
      <w:r w:rsidR="00E625D3">
        <w:t xml:space="preserve">dards </w:t>
      </w:r>
      <w:r w:rsidRPr="00403336" w:rsidR="009B536C">
        <w:t>that incorporate the Table by reference</w:t>
      </w:r>
      <w:r w:rsidR="00914064">
        <w:t>.</w:t>
      </w:r>
      <w:r>
        <w:rPr>
          <w:rStyle w:val="FootnoteReference"/>
        </w:rPr>
        <w:footnoteReference w:id="4"/>
      </w:r>
      <w:r w:rsidR="00D97BED">
        <w:t xml:space="preserve">  </w:t>
      </w:r>
      <w:r w:rsidR="001B573E">
        <w:t>Lastly, WECC proposes to relocate the Table</w:t>
      </w:r>
      <w:r w:rsidR="00B82E89">
        <w:t>,</w:t>
      </w:r>
      <w:r w:rsidR="0081467F">
        <w:t xml:space="preserve"> </w:t>
      </w:r>
      <w:r w:rsidR="0025030F">
        <w:t>currently appended to regional Reliability Standard FAC-501-WECC-2</w:t>
      </w:r>
      <w:r w:rsidR="00B82E89">
        <w:t>,</w:t>
      </w:r>
      <w:r w:rsidR="00FA6B15">
        <w:t xml:space="preserve"> </w:t>
      </w:r>
      <w:r w:rsidR="0025030F">
        <w:t xml:space="preserve">to </w:t>
      </w:r>
      <w:r w:rsidR="00B82E89">
        <w:t xml:space="preserve">the </w:t>
      </w:r>
      <w:r w:rsidR="0009181C">
        <w:t xml:space="preserve">standalone </w:t>
      </w:r>
      <w:r w:rsidR="00B82E89">
        <w:t>Table Revision Process</w:t>
      </w:r>
      <w:r w:rsidR="0009181C">
        <w:t xml:space="preserve"> document</w:t>
      </w:r>
      <w:r w:rsidR="00B82E89">
        <w:t>.</w:t>
      </w:r>
    </w:p>
    <w:p w:rsidR="00313048" w:rsidP="00962BF3" w14:paraId="69166F46" w14:textId="475CB147">
      <w:pPr>
        <w:pStyle w:val="FERCparanumber"/>
        <w:ind w:right="-450"/>
      </w:pPr>
      <w:r>
        <w:t>As discussed in th</w:t>
      </w:r>
      <w:r w:rsidR="00A614ED">
        <w:t>i</w:t>
      </w:r>
      <w:r>
        <w:t>s order,</w:t>
      </w:r>
      <w:r w:rsidR="00224DF8">
        <w:t xml:space="preserve"> pursuant to section 215(d)(2) of the Federal Power Act (FPA),</w:t>
      </w:r>
      <w:r>
        <w:rPr>
          <w:rStyle w:val="FootnoteReference"/>
        </w:rPr>
        <w:footnoteReference w:id="5"/>
      </w:r>
      <w:r>
        <w:t xml:space="preserve"> we approve </w:t>
      </w:r>
      <w:r w:rsidRPr="005F7E29" w:rsidR="00A614ED">
        <w:t xml:space="preserve">proposed </w:t>
      </w:r>
      <w:r w:rsidR="00A614ED">
        <w:t xml:space="preserve">regional </w:t>
      </w:r>
      <w:r w:rsidRPr="005F7E29" w:rsidR="00A614ED">
        <w:t xml:space="preserve">Reliability Standard </w:t>
      </w:r>
      <w:r w:rsidR="00A614ED">
        <w:t xml:space="preserve">FAC-501-WECC-4, its </w:t>
      </w:r>
      <w:r w:rsidRPr="005F7E29" w:rsidR="00A614ED">
        <w:t xml:space="preserve">associated Violation Risk Factors and Violation </w:t>
      </w:r>
      <w:r w:rsidR="00A614ED">
        <w:t>Severity</w:t>
      </w:r>
      <w:r w:rsidRPr="005F7E29" w:rsidR="00A614ED">
        <w:t xml:space="preserve"> Levels, and the proposed implementat</w:t>
      </w:r>
      <w:r w:rsidR="008F4A16">
        <w:t>i</w:t>
      </w:r>
      <w:r w:rsidRPr="005F7E29" w:rsidR="00A614ED">
        <w:t xml:space="preserve">on </w:t>
      </w:r>
      <w:r w:rsidR="00962BF3">
        <w:t xml:space="preserve">    </w:t>
      </w:r>
      <w:r w:rsidRPr="005F7E29" w:rsidR="00A614ED">
        <w:t>plan</w:t>
      </w:r>
      <w:r w:rsidRPr="00A129C8" w:rsidR="00A614ED">
        <w:t xml:space="preserve"> </w:t>
      </w:r>
      <w:r w:rsidR="00A614ED">
        <w:t xml:space="preserve">including the </w:t>
      </w:r>
      <w:r w:rsidRPr="005F7E29" w:rsidR="00A614ED">
        <w:t xml:space="preserve">retirement of </w:t>
      </w:r>
      <w:r w:rsidR="00A614ED">
        <w:t xml:space="preserve">regional </w:t>
      </w:r>
      <w:r w:rsidRPr="005F7E29" w:rsidR="00A614ED">
        <w:t xml:space="preserve">Reliability Standard </w:t>
      </w:r>
      <w:r w:rsidR="00A614ED">
        <w:t>FAC-501-WECC-2</w:t>
      </w:r>
      <w:r w:rsidRPr="005F7E29" w:rsidR="00A614ED">
        <w:t>.</w:t>
      </w:r>
      <w:r w:rsidR="008F4A16">
        <w:t xml:space="preserve">  We also approve the proposed Table Revision Process</w:t>
      </w:r>
      <w:r w:rsidR="00DA2821">
        <w:t xml:space="preserve"> </w:t>
      </w:r>
      <w:r w:rsidR="006A270F">
        <w:t xml:space="preserve">and the relocation of the Major WECC Transfer Paths Table to the </w:t>
      </w:r>
      <w:r w:rsidR="00FA61BA">
        <w:t>Table Revision Process</w:t>
      </w:r>
      <w:r w:rsidR="00CF5BB5">
        <w:t>.</w:t>
      </w:r>
    </w:p>
    <w:p w:rsidR="00FF5EC9" w:rsidP="00FF5EC9" w14:paraId="0A282E7D" w14:textId="5CD07FC1">
      <w:pPr>
        <w:pStyle w:val="Heading1"/>
      </w:pPr>
      <w:r>
        <w:t>Background</w:t>
      </w:r>
    </w:p>
    <w:p w:rsidR="00FF5EC9" w:rsidP="00FF5EC9" w14:paraId="35954B06" w14:textId="48ED1A1D">
      <w:pPr>
        <w:pStyle w:val="Heading2"/>
      </w:pPr>
      <w:r w:rsidRPr="00FF5EC9">
        <w:t xml:space="preserve">Section 215 and Mandatory Reliability Standards </w:t>
      </w:r>
    </w:p>
    <w:p w:rsidR="00C00407" w:rsidP="00EA448C" w14:paraId="5F4B41A9" w14:textId="1E864C7F">
      <w:pPr>
        <w:pStyle w:val="FERCparanumber"/>
      </w:pPr>
      <w:r>
        <w:t xml:space="preserve">Section 215 of the </w:t>
      </w:r>
      <w:r w:rsidR="00224DF8">
        <w:t xml:space="preserve">FPA </w:t>
      </w:r>
      <w:r w:rsidRPr="0086734C">
        <w:t xml:space="preserve">provides that the Commission may </w:t>
      </w:r>
      <w:r>
        <w:t>certify an Electric Reliability Organization (ERO)</w:t>
      </w:r>
      <w:r w:rsidRPr="0086734C">
        <w:t xml:space="preserve">, the purpose of which is </w:t>
      </w:r>
      <w:r>
        <w:t>to develop mandatory and enforceable Reliability Standards, subject to Commission review and approval.</w:t>
      </w:r>
      <w:r>
        <w:rPr>
          <w:rStyle w:val="FootnoteReference"/>
        </w:rPr>
        <w:footnoteReference w:id="6"/>
      </w:r>
      <w:r w:rsidR="00140DEA">
        <w:t xml:space="preserve">  </w:t>
      </w:r>
      <w:r w:rsidR="00586418">
        <w:t>Further, s</w:t>
      </w:r>
      <w:r w:rsidR="00140DEA">
        <w:t>ection 215 of the FPA and</w:t>
      </w:r>
      <w:r w:rsidR="00586418">
        <w:t xml:space="preserve"> </w:t>
      </w:r>
      <w:r w:rsidR="00A06B45">
        <w:t>section</w:t>
      </w:r>
      <w:r w:rsidRPr="00586418" w:rsidR="00586418">
        <w:t xml:space="preserve"> 39.8</w:t>
      </w:r>
      <w:r w:rsidR="00586418">
        <w:t xml:space="preserve"> of the Commission’s regulations </w:t>
      </w:r>
      <w:r w:rsidR="0014105D">
        <w:t xml:space="preserve">provide that </w:t>
      </w:r>
      <w:r w:rsidR="00962BF3">
        <w:t xml:space="preserve">  </w:t>
      </w:r>
      <w:r w:rsidR="0014105D">
        <w:t>the</w:t>
      </w:r>
      <w:r w:rsidR="003D6A7B">
        <w:t xml:space="preserve"> ERO may enter into an agreement to delegate its</w:t>
      </w:r>
      <w:r>
        <w:t xml:space="preserve"> </w:t>
      </w:r>
      <w:r w:rsidR="002C0A5E">
        <w:t xml:space="preserve">authority to propose </w:t>
      </w:r>
      <w:r w:rsidR="00A06B45">
        <w:t>R</w:t>
      </w:r>
      <w:r w:rsidR="000103BD">
        <w:t xml:space="preserve">eliability </w:t>
      </w:r>
      <w:r w:rsidR="00A06B45">
        <w:t>S</w:t>
      </w:r>
      <w:r w:rsidR="000103BD">
        <w:t>tandards</w:t>
      </w:r>
      <w:r w:rsidR="0014105D">
        <w:t xml:space="preserve"> to a </w:t>
      </w:r>
      <w:r w:rsidR="00A06B45">
        <w:t>R</w:t>
      </w:r>
      <w:r w:rsidR="00D00272">
        <w:t xml:space="preserve">egional </w:t>
      </w:r>
      <w:r w:rsidR="00A06B45">
        <w:t>E</w:t>
      </w:r>
      <w:r w:rsidR="00D00272">
        <w:t>ntity.</w:t>
      </w:r>
      <w:r>
        <w:rPr>
          <w:rStyle w:val="FootnoteReference"/>
        </w:rPr>
        <w:footnoteReference w:id="7"/>
      </w:r>
      <w:r w:rsidR="001918B2">
        <w:t xml:space="preserve">  </w:t>
      </w:r>
      <w:r w:rsidRPr="00477843" w:rsidR="00477843">
        <w:t>When the ERO reviews a regional Reliability Standard that would be applicable on an Interconnection</w:t>
      </w:r>
      <w:r w:rsidR="00477843">
        <w:t>-</w:t>
      </w:r>
      <w:r w:rsidRPr="00477843" w:rsidR="00477843">
        <w:t>wide basis and that has been proposed</w:t>
      </w:r>
      <w:r w:rsidR="00962BF3">
        <w:t xml:space="preserve">   </w:t>
      </w:r>
      <w:r w:rsidRPr="00477843" w:rsidR="00477843">
        <w:t xml:space="preserve"> by a Regional Entity organized on an Interconnection-wide basis, the ERO must rebuttably presume that the regional Reliability Standard is just, reasonable, not unduly discriminatory or preferential, and in the public interest.</w:t>
      </w:r>
      <w:r>
        <w:rPr>
          <w:rStyle w:val="FootnoteReference"/>
        </w:rPr>
        <w:footnoteReference w:id="8"/>
      </w:r>
      <w:r w:rsidRPr="00477843" w:rsidR="00477843">
        <w:t xml:space="preserve"> </w:t>
      </w:r>
      <w:r w:rsidR="001B05F2">
        <w:t xml:space="preserve"> </w:t>
      </w:r>
      <w:r w:rsidRPr="00477843" w:rsidR="00477843">
        <w:t xml:space="preserve">In turn, the Commission </w:t>
      </w:r>
      <w:r w:rsidR="00962BF3">
        <w:t xml:space="preserve">     </w:t>
      </w:r>
      <w:r w:rsidRPr="00477843" w:rsidR="00477843">
        <w:t>must give “due weight” to the technical expertise of the ERO and of a Regional Entity organized on an Interconnection-wide basis</w:t>
      </w:r>
      <w:r w:rsidR="001139FD">
        <w:t xml:space="preserve"> when reviewing </w:t>
      </w:r>
      <w:r w:rsidR="0053502E">
        <w:t>proposed regional Reliability Standards</w:t>
      </w:r>
      <w:r w:rsidRPr="00477843" w:rsidR="00477843">
        <w:t>.</w:t>
      </w:r>
      <w:r>
        <w:rPr>
          <w:rStyle w:val="FootnoteReference"/>
        </w:rPr>
        <w:footnoteReference w:id="9"/>
      </w:r>
      <w:r w:rsidR="00D00272">
        <w:t xml:space="preserve"> </w:t>
      </w:r>
      <w:r>
        <w:t xml:space="preserve"> In July 2006, the Commission certified NERC as the ERO.</w:t>
      </w:r>
      <w:r>
        <w:rPr>
          <w:rStyle w:val="FootnoteReference"/>
        </w:rPr>
        <w:footnoteReference w:id="10"/>
      </w:r>
      <w:r w:rsidR="001F6303">
        <w:t xml:space="preserve"> </w:t>
      </w:r>
      <w:r w:rsidR="00E53CD3">
        <w:t xml:space="preserve"> </w:t>
      </w:r>
      <w:r w:rsidR="00962BF3">
        <w:t xml:space="preserve">       </w:t>
      </w:r>
      <w:r w:rsidR="003A6B2A">
        <w:t>I</w:t>
      </w:r>
      <w:r w:rsidR="00842193">
        <w:t xml:space="preserve">n April 2007, the Commission accepted </w:t>
      </w:r>
      <w:r w:rsidR="00E53EB5">
        <w:t>NERC’s delegation agreement with WECC</w:t>
      </w:r>
      <w:r w:rsidR="00962BF3">
        <w:t xml:space="preserve">      </w:t>
      </w:r>
      <w:r w:rsidR="00A05C32">
        <w:t xml:space="preserve"> as a Regional Entity organized on an Interconnection-wide basis</w:t>
      </w:r>
      <w:r w:rsidR="00E53EB5">
        <w:t>.</w:t>
      </w:r>
      <w:r>
        <w:rPr>
          <w:rStyle w:val="FootnoteReference"/>
        </w:rPr>
        <w:footnoteReference w:id="11"/>
      </w:r>
    </w:p>
    <w:p w:rsidR="00770792" w:rsidP="00F10F79" w14:paraId="091398C7" w14:textId="6F2965C6">
      <w:pPr>
        <w:pStyle w:val="Heading2"/>
      </w:pPr>
      <w:r>
        <w:t>Regional Reliability Standard FAC-501-WECC-2</w:t>
      </w:r>
    </w:p>
    <w:p w:rsidR="00403336" w:rsidP="00403336" w14:paraId="67721480" w14:textId="5114FE73">
      <w:pPr>
        <w:pStyle w:val="FERCparanumber"/>
      </w:pPr>
      <w:r>
        <w:t>I</w:t>
      </w:r>
      <w:r w:rsidRPr="00EA448C" w:rsidR="00EA448C">
        <w:t xml:space="preserve">n </w:t>
      </w:r>
      <w:r w:rsidR="00056AA0">
        <w:t>February</w:t>
      </w:r>
      <w:r w:rsidRPr="00EA448C" w:rsidR="00EA448C">
        <w:t xml:space="preserve"> 2009, NERC submitted a petition to the Commission seeking approval of </w:t>
      </w:r>
      <w:r w:rsidR="00696354">
        <w:t xml:space="preserve">its proposed </w:t>
      </w:r>
      <w:r w:rsidRPr="00EA448C" w:rsidR="00EA448C">
        <w:t>regional Reliability Standard</w:t>
      </w:r>
      <w:r w:rsidR="00EA448C">
        <w:t xml:space="preserve"> </w:t>
      </w:r>
      <w:r w:rsidRPr="004062B1" w:rsidR="004062B1">
        <w:t>FAC-501-WECC-1</w:t>
      </w:r>
      <w:r w:rsidR="00BC456A">
        <w:t xml:space="preserve"> to replace </w:t>
      </w:r>
      <w:r w:rsidR="00A45090">
        <w:t>Commission-</w:t>
      </w:r>
      <w:r w:rsidRPr="00BC456A" w:rsidR="00BC456A">
        <w:t>approved</w:t>
      </w:r>
      <w:r w:rsidR="00A45090">
        <w:t xml:space="preserve"> regional Reliability Standard</w:t>
      </w:r>
      <w:r w:rsidRPr="00BC456A" w:rsidR="00BC456A">
        <w:t xml:space="preserve"> WECC PRC-STD-005-1</w:t>
      </w:r>
      <w:r w:rsidR="004062B1">
        <w:t>.</w:t>
      </w:r>
      <w:r>
        <w:rPr>
          <w:rStyle w:val="FootnoteReference"/>
        </w:rPr>
        <w:footnoteReference w:id="12"/>
      </w:r>
      <w:r w:rsidR="0027221F">
        <w:t xml:space="preserve">  </w:t>
      </w:r>
      <w:r w:rsidR="007469F0">
        <w:t>R</w:t>
      </w:r>
      <w:r w:rsidRPr="00EA448C" w:rsidR="0077383C">
        <w:t xml:space="preserve">egional Reliability </w:t>
      </w:r>
      <w:r w:rsidRPr="00EA448C" w:rsidR="0077383C">
        <w:t>Standard</w:t>
      </w:r>
      <w:r w:rsidR="0077383C">
        <w:t xml:space="preserve"> </w:t>
      </w:r>
      <w:r w:rsidRPr="004062B1" w:rsidR="0077383C">
        <w:t>FAC-501-WECC-1</w:t>
      </w:r>
      <w:r w:rsidR="0077383C">
        <w:t xml:space="preserve"> </w:t>
      </w:r>
      <w:r w:rsidRPr="0077383C" w:rsidR="0077383C">
        <w:t>require</w:t>
      </w:r>
      <w:r w:rsidR="007469F0">
        <w:t>d</w:t>
      </w:r>
      <w:r w:rsidRPr="0077383C" w:rsidR="0077383C">
        <w:t xml:space="preserve"> transmission owners of certain transmission paths and associated facilities to have Transmission Maintenance and Inspection Plans and perform and document maintenance and inspection activities</w:t>
      </w:r>
      <w:r w:rsidR="0077383C">
        <w:t xml:space="preserve">.  </w:t>
      </w:r>
      <w:r w:rsidR="0027221F">
        <w:t>Like its predecessor</w:t>
      </w:r>
      <w:r w:rsidR="007469F0">
        <w:t xml:space="preserve"> Standard</w:t>
      </w:r>
      <w:r w:rsidR="0027221F">
        <w:t xml:space="preserve">, </w:t>
      </w:r>
      <w:r w:rsidRPr="00636235" w:rsidR="0077383C">
        <w:t>FAC</w:t>
      </w:r>
      <w:r w:rsidRPr="00636235" w:rsidR="0027221F">
        <w:t>-501-WECC-1</w:t>
      </w:r>
      <w:r w:rsidRPr="00636235" w:rsidR="00D06766">
        <w:t xml:space="preserve"> </w:t>
      </w:r>
      <w:r w:rsidRPr="00636235" w:rsidR="007C6C63">
        <w:t>appl</w:t>
      </w:r>
      <w:r w:rsidRPr="00636235" w:rsidR="007469F0">
        <w:t>ied</w:t>
      </w:r>
      <w:r w:rsidRPr="007C6C63" w:rsidR="007C6C63">
        <w:t xml:space="preserve"> to transmission owners that maintain transmission paths listed in the </w:t>
      </w:r>
      <w:r w:rsidR="00705297">
        <w:t>T</w:t>
      </w:r>
      <w:r w:rsidRPr="007C6C63" w:rsidR="007C6C63">
        <w:t xml:space="preserve">able </w:t>
      </w:r>
      <w:r w:rsidR="007469F0">
        <w:t>attached to the Standard</w:t>
      </w:r>
      <w:r w:rsidR="00D07D20">
        <w:t xml:space="preserve">.  </w:t>
      </w:r>
      <w:r w:rsidR="001E7038">
        <w:t>The petition explained</w:t>
      </w:r>
      <w:r w:rsidR="004020D7">
        <w:t xml:space="preserve">, however, </w:t>
      </w:r>
      <w:r w:rsidR="001E7038">
        <w:t xml:space="preserve">that </w:t>
      </w:r>
      <w:r w:rsidR="004020D7">
        <w:t xml:space="preserve">the Table would no longer be attached to the </w:t>
      </w:r>
      <w:r w:rsidR="001E7038">
        <w:t>S</w:t>
      </w:r>
      <w:r w:rsidR="004020D7">
        <w:t xml:space="preserve">tandard but instead would be maintained </w:t>
      </w:r>
      <w:r w:rsidR="008E01FA">
        <w:t>on the WECC website</w:t>
      </w:r>
      <w:r w:rsidR="001E7038">
        <w:t>.</w:t>
      </w:r>
    </w:p>
    <w:p w:rsidR="00403336" w:rsidRPr="00403336" w:rsidP="00403336" w14:paraId="1A3F0CED" w14:textId="79FF5CA2">
      <w:pPr>
        <w:pStyle w:val="FERCparanumber"/>
      </w:pPr>
      <w:r w:rsidRPr="00403336">
        <w:t xml:space="preserve">In </w:t>
      </w:r>
      <w:r w:rsidR="00B60B06">
        <w:t>Order No. 751,</w:t>
      </w:r>
      <w:r w:rsidRPr="00403336" w:rsidR="00B60B06">
        <w:t xml:space="preserve"> </w:t>
      </w:r>
      <w:r w:rsidRPr="00403336">
        <w:t xml:space="preserve">the Commission </w:t>
      </w:r>
      <w:r w:rsidR="000600F5">
        <w:t>discussed</w:t>
      </w:r>
      <w:r w:rsidRPr="00403336">
        <w:t xml:space="preserve"> </w:t>
      </w:r>
      <w:r w:rsidR="003227A2">
        <w:t>notice and transparency</w:t>
      </w:r>
      <w:r w:rsidR="00427AD0">
        <w:t xml:space="preserve"> </w:t>
      </w:r>
      <w:r w:rsidR="002C71E2">
        <w:t>concerns raised by</w:t>
      </w:r>
      <w:r w:rsidR="00C4510C">
        <w:t xml:space="preserve"> </w:t>
      </w:r>
      <w:r w:rsidR="00B60B06">
        <w:t>the Reliability Standard FAC-501-WECC-1 petition</w:t>
      </w:r>
      <w:r w:rsidRPr="00403336">
        <w:t>.  First, because WECC would be able to revise the Table without following the standard development process</w:t>
      </w:r>
      <w:r w:rsidR="00056A9D">
        <w:t xml:space="preserve"> and its </w:t>
      </w:r>
      <w:r w:rsidR="006030A7">
        <w:t>notice requirements</w:t>
      </w:r>
      <w:r w:rsidRPr="00403336">
        <w:t xml:space="preserve">, the applicability of the </w:t>
      </w:r>
      <w:r>
        <w:t xml:space="preserve">regional </w:t>
      </w:r>
      <w:r w:rsidRPr="00403336">
        <w:t>Reliability Standard (and other Reliability Standards that incorporate the Table by reference)</w:t>
      </w:r>
      <w:r>
        <w:rPr>
          <w:rStyle w:val="FootnoteReference"/>
        </w:rPr>
        <w:footnoteReference w:id="13"/>
      </w:r>
      <w:r w:rsidRPr="00403336">
        <w:t xml:space="preserve"> could change at any time, creating confusion for entities that need to comply with the Standard.</w:t>
      </w:r>
      <w:r>
        <w:rPr>
          <w:rStyle w:val="FootnoteReference"/>
        </w:rPr>
        <w:footnoteReference w:id="14"/>
      </w:r>
      <w:r w:rsidRPr="00403336">
        <w:t xml:space="preserve">  Second, because changes to the Table would occur without NERC or Commission review and approval, the </w:t>
      </w:r>
      <w:bookmarkStart w:id="0" w:name="_Hlk170893815"/>
      <w:r w:rsidRPr="00403336">
        <w:t xml:space="preserve">Commission would not be able to verify that WECC </w:t>
      </w:r>
      <w:r w:rsidR="00237FCD">
        <w:t>applied</w:t>
      </w:r>
      <w:r w:rsidRPr="00403336">
        <w:t xml:space="preserve"> the requirements of FAC-501-WECC-1 in a just and reasonable manner.</w:t>
      </w:r>
      <w:r>
        <w:rPr>
          <w:rStyle w:val="FootnoteReference"/>
        </w:rPr>
        <w:footnoteReference w:id="15"/>
      </w:r>
      <w:r w:rsidRPr="00403336">
        <w:t xml:space="preserve">  </w:t>
      </w:r>
      <w:bookmarkEnd w:id="0"/>
      <w:r w:rsidR="009A375C">
        <w:t>Accordingly,</w:t>
      </w:r>
      <w:r w:rsidR="00962BF3">
        <w:t xml:space="preserve">    </w:t>
      </w:r>
      <w:r w:rsidR="009A375C">
        <w:t xml:space="preserve"> the </w:t>
      </w:r>
      <w:r w:rsidRPr="00403336">
        <w:t>Commission approved FAC-501-WECC-1 and directed WECC</w:t>
      </w:r>
      <w:r w:rsidR="001C5590">
        <w:t xml:space="preserve"> </w:t>
      </w:r>
      <w:r w:rsidRPr="00403336">
        <w:t xml:space="preserve">to file within 60 days its criterion for identifying and modifying major transmission paths listed in the </w:t>
      </w:r>
      <w:r w:rsidR="00D10385">
        <w:t>Table</w:t>
      </w:r>
      <w:r w:rsidRPr="00403336">
        <w:t>, and to publicly post any revisions to the Table on the WECC website with concurrent notification to the Commission, NERC, and industry.</w:t>
      </w:r>
      <w:r>
        <w:rPr>
          <w:rStyle w:val="FootnoteReference"/>
        </w:rPr>
        <w:footnoteReference w:id="16"/>
      </w:r>
      <w:r w:rsidRPr="00403336">
        <w:t xml:space="preserve">  </w:t>
      </w:r>
      <w:r w:rsidR="00FE6C60">
        <w:t xml:space="preserve">WECC did not </w:t>
      </w:r>
      <w:r w:rsidR="00F62645">
        <w:t>subsequently</w:t>
      </w:r>
      <w:r w:rsidR="00FE6C60">
        <w:t xml:space="preserve"> </w:t>
      </w:r>
      <w:r w:rsidR="00D10385">
        <w:t xml:space="preserve">submit to the Commission its </w:t>
      </w:r>
      <w:r w:rsidRPr="00403336" w:rsidR="00D10385">
        <w:t>criterion for identifying and modifying major transmission paths</w:t>
      </w:r>
      <w:r w:rsidR="00D10385">
        <w:t>.</w:t>
      </w:r>
    </w:p>
    <w:p w:rsidR="00EA448C" w:rsidRPr="00EA448C" w:rsidP="00EA448C" w14:paraId="0D1E0025" w14:textId="5106F4E3">
      <w:pPr>
        <w:pStyle w:val="FERCparanumber"/>
      </w:pPr>
      <w:r>
        <w:t xml:space="preserve">In 2018, </w:t>
      </w:r>
      <w:r w:rsidR="00F23657">
        <w:t>acknowledging the Commission’s</w:t>
      </w:r>
      <w:r w:rsidR="0096407D">
        <w:t xml:space="preserve"> </w:t>
      </w:r>
      <w:r w:rsidRPr="0096407D" w:rsidR="0096407D">
        <w:t>transparency concerns in Order</w:t>
      </w:r>
      <w:r w:rsidR="00962BF3">
        <w:t xml:space="preserve">       </w:t>
      </w:r>
      <w:r w:rsidRPr="0096407D" w:rsidR="0096407D">
        <w:t xml:space="preserve"> No. 751</w:t>
      </w:r>
      <w:r w:rsidR="0096407D">
        <w:t>,</w:t>
      </w:r>
      <w:r w:rsidR="00F23657">
        <w:t xml:space="preserve"> </w:t>
      </w:r>
      <w:r w:rsidR="004F6EEF">
        <w:t xml:space="preserve">NERC </w:t>
      </w:r>
      <w:r w:rsidR="00332B55">
        <w:t xml:space="preserve">submitted a </w:t>
      </w:r>
      <w:r w:rsidRPr="00EA448C" w:rsidR="00332B55">
        <w:t>petition to the Commission seeking approval of regional Reliability Standard</w:t>
      </w:r>
      <w:r w:rsidR="00332B55">
        <w:t xml:space="preserve"> </w:t>
      </w:r>
      <w:r w:rsidRPr="004062B1" w:rsidR="00332B55">
        <w:t>FAC-501-WECC-</w:t>
      </w:r>
      <w:r w:rsidR="00332B55">
        <w:t>2.</w:t>
      </w:r>
      <w:r>
        <w:rPr>
          <w:rStyle w:val="FootnoteReference"/>
        </w:rPr>
        <w:footnoteReference w:id="17"/>
      </w:r>
      <w:r w:rsidR="0096407D">
        <w:t xml:space="preserve">  </w:t>
      </w:r>
      <w:r w:rsidR="004E35F8">
        <w:t xml:space="preserve">Among other revisions, </w:t>
      </w:r>
      <w:r w:rsidRPr="004062B1" w:rsidR="004E35F8">
        <w:t>FAC-501-WECC-</w:t>
      </w:r>
      <w:r w:rsidR="004E35F8">
        <w:t>2 include</w:t>
      </w:r>
      <w:r w:rsidR="001E566D">
        <w:t>d</w:t>
      </w:r>
      <w:r w:rsidR="004E35F8">
        <w:t xml:space="preserve"> the Table as an attachment</w:t>
      </w:r>
      <w:r w:rsidR="00D10385">
        <w:t xml:space="preserve"> to the regional Reliability </w:t>
      </w:r>
      <w:r w:rsidR="00E44149">
        <w:t>S</w:t>
      </w:r>
      <w:r w:rsidR="00D10385">
        <w:t>tandard</w:t>
      </w:r>
      <w:r w:rsidR="004E35F8">
        <w:t xml:space="preserve">, thus requiring </w:t>
      </w:r>
      <w:r w:rsidR="004E35F8">
        <w:t>NERC and Commission approval of any changes to the Standard’s applicability.  The proposed regional Reliability Standard was approved via</w:t>
      </w:r>
      <w:r w:rsidR="00620FD4">
        <w:t xml:space="preserve"> </w:t>
      </w:r>
      <w:r w:rsidR="00141522">
        <w:t xml:space="preserve">delegated </w:t>
      </w:r>
      <w:r w:rsidR="00620FD4">
        <w:t>letter order.</w:t>
      </w:r>
      <w:r>
        <w:rPr>
          <w:rStyle w:val="FootnoteReference"/>
        </w:rPr>
        <w:footnoteReference w:id="18"/>
      </w:r>
    </w:p>
    <w:p w:rsidR="00F10F79" w:rsidP="00F10F79" w14:paraId="1C674FE3" w14:textId="033819DF">
      <w:pPr>
        <w:pStyle w:val="Heading2"/>
      </w:pPr>
      <w:r>
        <w:t xml:space="preserve">The Petition and Proposed </w:t>
      </w:r>
      <w:r>
        <w:t>Regional Reliability Standard FAC-501-WECC-4</w:t>
      </w:r>
    </w:p>
    <w:p w:rsidR="00E01D34" w:rsidP="00D8158B" w14:paraId="16486A31" w14:textId="227D9BB4">
      <w:pPr>
        <w:pStyle w:val="FERCparanumber"/>
      </w:pPr>
      <w:r w:rsidRPr="005F7E29">
        <w:t xml:space="preserve">On </w:t>
      </w:r>
      <w:r>
        <w:t>May 17</w:t>
      </w:r>
      <w:r w:rsidRPr="005F7E29">
        <w:t>, 202</w:t>
      </w:r>
      <w:r>
        <w:t>4</w:t>
      </w:r>
      <w:r w:rsidRPr="005F7E29">
        <w:t xml:space="preserve">, </w:t>
      </w:r>
      <w:r>
        <w:t>NERC</w:t>
      </w:r>
      <w:r w:rsidRPr="005F7E29">
        <w:t xml:space="preserve"> </w:t>
      </w:r>
      <w:r>
        <w:t xml:space="preserve">and WECC </w:t>
      </w:r>
      <w:r w:rsidRPr="005F7E29" w:rsidR="000940E0">
        <w:t xml:space="preserve">filed a </w:t>
      </w:r>
      <w:r w:rsidR="000940E0">
        <w:t xml:space="preserve">joint </w:t>
      </w:r>
      <w:r w:rsidRPr="005F7E29" w:rsidR="000940E0">
        <w:t xml:space="preserve">petition seeking approval of proposed </w:t>
      </w:r>
      <w:r w:rsidR="000940E0">
        <w:t xml:space="preserve">regional </w:t>
      </w:r>
      <w:r w:rsidRPr="005F7E29" w:rsidR="000940E0">
        <w:t xml:space="preserve">Reliability Standard </w:t>
      </w:r>
      <w:r w:rsidR="000940E0">
        <w:t>FAC-501-WECC-4,</w:t>
      </w:r>
      <w:r w:rsidRPr="005F7E29" w:rsidR="000940E0">
        <w:t xml:space="preserve"> </w:t>
      </w:r>
      <w:r w:rsidR="000940E0">
        <w:t xml:space="preserve">its </w:t>
      </w:r>
      <w:r w:rsidRPr="005F7E29" w:rsidR="000940E0">
        <w:t xml:space="preserve">associated Violation Risk Factors and Violation </w:t>
      </w:r>
      <w:r w:rsidR="000940E0">
        <w:t>Severity</w:t>
      </w:r>
      <w:r w:rsidRPr="005F7E29" w:rsidR="000940E0">
        <w:t xml:space="preserve"> Levels, and the proposed implementation plan</w:t>
      </w:r>
      <w:r w:rsidRPr="00A129C8" w:rsidR="000940E0">
        <w:t xml:space="preserve"> </w:t>
      </w:r>
      <w:r w:rsidR="000940E0">
        <w:t xml:space="preserve">including the </w:t>
      </w:r>
      <w:r w:rsidRPr="005F7E29" w:rsidR="000940E0">
        <w:t xml:space="preserve">retirement of </w:t>
      </w:r>
      <w:r w:rsidR="000940E0">
        <w:t xml:space="preserve">regional </w:t>
      </w:r>
      <w:r w:rsidRPr="005F7E29" w:rsidR="000940E0">
        <w:t xml:space="preserve">Reliability Standard </w:t>
      </w:r>
      <w:r w:rsidR="000940E0">
        <w:t>FAC-501-WECC-2</w:t>
      </w:r>
      <w:r w:rsidRPr="005F7E29" w:rsidR="000940E0">
        <w:t>.</w:t>
      </w:r>
      <w:r>
        <w:rPr>
          <w:rStyle w:val="FootnoteReference"/>
        </w:rPr>
        <w:footnoteReference w:id="19"/>
      </w:r>
      <w:r w:rsidR="000940E0">
        <w:t xml:space="preserve">  In addition, NERC and WECC propose to relocate the </w:t>
      </w:r>
      <w:r w:rsidR="009F07B4">
        <w:t xml:space="preserve">Table, </w:t>
      </w:r>
      <w:r w:rsidR="000940E0">
        <w:t>currently appended to regional Reliability Standard FAC-501-WECC-2</w:t>
      </w:r>
      <w:r w:rsidR="0003596B">
        <w:t>,</w:t>
      </w:r>
      <w:r w:rsidR="000940E0">
        <w:t xml:space="preserve"> to a standalone document, and submits for Commission approval a Table Revision Process</w:t>
      </w:r>
      <w:r w:rsidR="0003596B">
        <w:t xml:space="preserve"> that would guide </w:t>
      </w:r>
      <w:r w:rsidR="00AE6169">
        <w:t>the process for adding</w:t>
      </w:r>
      <w:r w:rsidR="0010316F">
        <w:t>,</w:t>
      </w:r>
      <w:r w:rsidR="00AE6169">
        <w:t xml:space="preserve"> removing </w:t>
      </w:r>
      <w:r w:rsidR="0010316F">
        <w:t>or modifying paths</w:t>
      </w:r>
      <w:r w:rsidR="00DF5378">
        <w:t xml:space="preserve"> included in </w:t>
      </w:r>
      <w:r w:rsidR="001F27CD">
        <w:t>the Table</w:t>
      </w:r>
      <w:r w:rsidR="000940E0">
        <w:t>.</w:t>
      </w:r>
    </w:p>
    <w:p w:rsidR="0054601B" w:rsidP="00E01D34" w14:paraId="0009A155" w14:textId="62CCDEA0">
      <w:pPr>
        <w:pStyle w:val="FERCparanumber"/>
      </w:pPr>
      <w:r w:rsidRPr="00C021DE">
        <w:t>The joint petition states that the</w:t>
      </w:r>
      <w:r w:rsidRPr="00346769">
        <w:t xml:space="preserve"> purpose of </w:t>
      </w:r>
      <w:r>
        <w:t xml:space="preserve">proposed </w:t>
      </w:r>
      <w:r w:rsidRPr="00346769">
        <w:t>regional Reliability Standard FAC-501-WECC-</w:t>
      </w:r>
      <w:r>
        <w:t>4</w:t>
      </w:r>
      <w:r w:rsidRPr="00346769">
        <w:t xml:space="preserve"> is to ensure </w:t>
      </w:r>
      <w:r w:rsidR="00FA0D27">
        <w:t>that</w:t>
      </w:r>
      <w:r w:rsidRPr="00346769">
        <w:t xml:space="preserve"> the </w:t>
      </w:r>
      <w:r w:rsidR="001F27CD">
        <w:t>t</w:t>
      </w:r>
      <w:r w:rsidRPr="00346769">
        <w:t xml:space="preserve">ransmission </w:t>
      </w:r>
      <w:r w:rsidR="001F27CD">
        <w:t>o</w:t>
      </w:r>
      <w:r w:rsidRPr="00346769">
        <w:t>wner of a Major WECC Transfer Path has a Transmission Maintenance and Inspection Plan</w:t>
      </w:r>
      <w:r>
        <w:t xml:space="preserve"> for those paths</w:t>
      </w:r>
      <w:r w:rsidR="00B222F3">
        <w:t xml:space="preserve"> and</w:t>
      </w:r>
      <w:r>
        <w:t xml:space="preserve"> annually updates and adheres to its plan</w:t>
      </w:r>
      <w:r w:rsidRPr="00346769">
        <w:t>.</w:t>
      </w:r>
      <w:r>
        <w:rPr>
          <w:rStyle w:val="FootnoteReference"/>
        </w:rPr>
        <w:footnoteReference w:id="20"/>
      </w:r>
      <w:r>
        <w:t xml:space="preserve">  </w:t>
      </w:r>
      <w:r w:rsidR="0093485B">
        <w:t xml:space="preserve">The joint petition </w:t>
      </w:r>
      <w:r>
        <w:t xml:space="preserve">states that </w:t>
      </w:r>
      <w:r w:rsidR="00376850">
        <w:t xml:space="preserve">FAC-501-WECC-4 </w:t>
      </w:r>
      <w:r>
        <w:t xml:space="preserve">would improve upon the currently effective </w:t>
      </w:r>
      <w:r w:rsidR="006D60C9">
        <w:t>S</w:t>
      </w:r>
      <w:r>
        <w:t>tandard by:</w:t>
      </w:r>
      <w:r w:rsidR="006D60C9">
        <w:t xml:space="preserve"> </w:t>
      </w:r>
      <w:r>
        <w:t xml:space="preserve"> (1) creating a standalone Table Revision Process, which would improve the procedures for identifying paths subject </w:t>
      </w:r>
      <w:r w:rsidR="00962BF3">
        <w:t xml:space="preserve">      </w:t>
      </w:r>
      <w:r>
        <w:t xml:space="preserve">to the standard and other Reliability Standards; (2) clarifying the applicable Facilities; </w:t>
      </w:r>
      <w:r w:rsidR="00962BF3">
        <w:t xml:space="preserve"> </w:t>
      </w:r>
      <w:r>
        <w:t>(3) removing four paths from the Table</w:t>
      </w:r>
      <w:r w:rsidR="00376850">
        <w:t>;</w:t>
      </w:r>
      <w:r>
        <w:t xml:space="preserve"> (4) removing the Table from the </w:t>
      </w:r>
      <w:r w:rsidR="00F851F5">
        <w:t>proposed S</w:t>
      </w:r>
      <w:r>
        <w:t>tandard; (5) relocating the Table to the newly proposed Table Revision Process as Attachment A; and (6) providing clarifications and updates to the style and format for readability and proper referencing.</w:t>
      </w:r>
      <w:r>
        <w:rPr>
          <w:rStyle w:val="FootnoteReference"/>
        </w:rPr>
        <w:footnoteReference w:id="21"/>
      </w:r>
    </w:p>
    <w:p w:rsidR="006F2B45" w:rsidP="00E01D34" w14:paraId="62493942" w14:textId="31E515FA">
      <w:pPr>
        <w:pStyle w:val="FERCparanumber"/>
      </w:pPr>
      <w:r>
        <w:t xml:space="preserve">The joint petition states that </w:t>
      </w:r>
      <w:r w:rsidR="009F2031">
        <w:t xml:space="preserve">the proposal to </w:t>
      </w:r>
      <w:r w:rsidRPr="00436238" w:rsidR="00436238">
        <w:t xml:space="preserve">remove the Table from </w:t>
      </w:r>
      <w:r w:rsidR="00436238">
        <w:t>r</w:t>
      </w:r>
      <w:r w:rsidRPr="00436238" w:rsidR="00436238">
        <w:t xml:space="preserve">egional Reliability Standard FAC-501-WECC-2 and include it as an attachment to </w:t>
      </w:r>
      <w:r w:rsidR="00FD74F3">
        <w:t xml:space="preserve">the </w:t>
      </w:r>
      <w:r w:rsidR="00EE66E3">
        <w:t>Table Revision Process</w:t>
      </w:r>
      <w:r w:rsidR="00087C43">
        <w:t xml:space="preserve"> document</w:t>
      </w:r>
      <w:r w:rsidR="00436238">
        <w:t>, “reflect</w:t>
      </w:r>
      <w:r w:rsidR="00087C43">
        <w:t>[s]</w:t>
      </w:r>
      <w:r w:rsidR="00436238">
        <w:t xml:space="preserve"> the reality that ‘</w:t>
      </w:r>
      <w:r w:rsidRPr="005C61E7" w:rsidR="005C61E7">
        <w:t>[p]</w:t>
      </w:r>
      <w:r w:rsidRPr="005C61E7" w:rsidR="005C61E7">
        <w:t>aths</w:t>
      </w:r>
      <w:r w:rsidRPr="005C61E7" w:rsidR="005C61E7">
        <w:t xml:space="preserve"> once deemed essential</w:t>
      </w:r>
      <w:r w:rsidR="00962BF3">
        <w:t xml:space="preserve">     </w:t>
      </w:r>
      <w:r w:rsidRPr="005C61E7" w:rsidR="005C61E7">
        <w:t xml:space="preserve"> to stability may no longer be essential as changes are made to the operation, planning, and configuration of the Bulk Electric System. </w:t>
      </w:r>
      <w:r w:rsidR="001D72A0">
        <w:t xml:space="preserve"> </w:t>
      </w:r>
      <w:r w:rsidRPr="005C61E7" w:rsidR="005C61E7">
        <w:t xml:space="preserve">As such, those paths and the equipment </w:t>
      </w:r>
      <w:r w:rsidRPr="005C61E7" w:rsidR="005C61E7">
        <w:t>comprising those paths may be considered for deletion from the Table.</w:t>
      </w:r>
      <w:r w:rsidR="005C61E7">
        <w:t>’</w:t>
      </w:r>
      <w:r w:rsidRPr="005C61E7" w:rsidR="005C61E7">
        <w:t>”</w:t>
      </w:r>
      <w:r>
        <w:rPr>
          <w:rStyle w:val="FootnoteReference"/>
        </w:rPr>
        <w:footnoteReference w:id="22"/>
      </w:r>
      <w:r w:rsidR="00CE45F1">
        <w:t xml:space="preserve">  </w:t>
      </w:r>
      <w:r w:rsidR="0093485B">
        <w:t xml:space="preserve">According to the joint petition, </w:t>
      </w:r>
      <w:r w:rsidR="009D049F">
        <w:t xml:space="preserve">moving the Table outside of the </w:t>
      </w:r>
      <w:r w:rsidR="002B318B">
        <w:t>S</w:t>
      </w:r>
      <w:r w:rsidR="009D049F">
        <w:t xml:space="preserve">tandard would allow for changes to the Table to occur more </w:t>
      </w:r>
      <w:r w:rsidR="00825C6A">
        <w:t>efficiently</w:t>
      </w:r>
      <w:r w:rsidR="007D65B0">
        <w:t xml:space="preserve"> as these changes would no longer require</w:t>
      </w:r>
      <w:r w:rsidR="00612398">
        <w:t xml:space="preserve"> </w:t>
      </w:r>
      <w:r w:rsidR="00C52E8F">
        <w:t>a</w:t>
      </w:r>
      <w:r w:rsidR="00612398">
        <w:t xml:space="preserve"> regional Reliability Standard</w:t>
      </w:r>
      <w:r w:rsidR="00C52E8F">
        <w:t xml:space="preserve"> revision</w:t>
      </w:r>
      <w:r w:rsidR="00825C6A">
        <w:t>.</w:t>
      </w:r>
      <w:r>
        <w:rPr>
          <w:rStyle w:val="FootnoteReference"/>
        </w:rPr>
        <w:footnoteReference w:id="23"/>
      </w:r>
    </w:p>
    <w:p w:rsidR="00E01D34" w:rsidP="00E01D34" w14:paraId="731E98D0" w14:textId="4DD8B5AF">
      <w:pPr>
        <w:pStyle w:val="FERCparanumber"/>
      </w:pPr>
      <w:r w:rsidRPr="00FC51C7">
        <w:t xml:space="preserve">The joint petition </w:t>
      </w:r>
      <w:r w:rsidR="00C74780">
        <w:t xml:space="preserve">further states that the </w:t>
      </w:r>
      <w:r w:rsidR="00EE66E3">
        <w:t>Table Revision Process</w:t>
      </w:r>
      <w:r w:rsidR="00133708">
        <w:t xml:space="preserve"> would establish a robust stakeholder process including completion and vetting of specific studies</w:t>
      </w:r>
      <w:r w:rsidR="0010235E">
        <w:t xml:space="preserve">.  Under the </w:t>
      </w:r>
      <w:r w:rsidR="00EE66E3">
        <w:t>Table Revision Process</w:t>
      </w:r>
      <w:r w:rsidR="0010235E">
        <w:t xml:space="preserve">, entities requesting the addition or removal of paths from the Table would need to develop a </w:t>
      </w:r>
      <w:r w:rsidR="008A7150">
        <w:t xml:space="preserve">technical study that includes: </w:t>
      </w:r>
      <w:r w:rsidR="00962BF3">
        <w:t xml:space="preserve"> </w:t>
      </w:r>
      <w:r w:rsidR="008A7150">
        <w:t>“</w:t>
      </w:r>
      <w:r w:rsidRPr="008A7150" w:rsidR="008A7150">
        <w:t>a description of the path</w:t>
      </w:r>
      <w:r w:rsidR="00962BF3">
        <w:t xml:space="preserve">   </w:t>
      </w:r>
      <w:r w:rsidRPr="008A7150" w:rsidR="008A7150">
        <w:t xml:space="preserve"> to be added, removed, or modified from the Table; a description of the circumstances triggering the requested change; a description of the study method used in support of the requested change; a description of the conclusions and impacts disclosed by the technical study; a description of maintenance practices applicable to the path at the time of the request, and a description of the maintenance practices that would apply if the path were removed from the Table.</w:t>
      </w:r>
      <w:r w:rsidR="008A7150">
        <w:t>”</w:t>
      </w:r>
      <w:r>
        <w:rPr>
          <w:rStyle w:val="FootnoteReference"/>
        </w:rPr>
        <w:footnoteReference w:id="24"/>
      </w:r>
      <w:r w:rsidR="00133708">
        <w:t xml:space="preserve"> </w:t>
      </w:r>
      <w:r w:rsidR="00076A2D">
        <w:t xml:space="preserve"> </w:t>
      </w:r>
      <w:r w:rsidR="007327B5">
        <w:t xml:space="preserve">The </w:t>
      </w:r>
      <w:r w:rsidR="00EE66E3">
        <w:t>Table Revision Process</w:t>
      </w:r>
      <w:r w:rsidR="007327B5">
        <w:t xml:space="preserve"> would require </w:t>
      </w:r>
      <w:r w:rsidR="00963331">
        <w:t xml:space="preserve">the requesting entity to share its study </w:t>
      </w:r>
      <w:r w:rsidR="006D4128">
        <w:t xml:space="preserve">upon request </w:t>
      </w:r>
      <w:r w:rsidR="00963331">
        <w:t xml:space="preserve">with </w:t>
      </w:r>
      <w:r w:rsidR="00952817">
        <w:t xml:space="preserve">transmission owners, transmission operators, and </w:t>
      </w:r>
      <w:r w:rsidR="00261300">
        <w:t>r</w:t>
      </w:r>
      <w:r w:rsidR="00952817">
        <w:t xml:space="preserve">eliability </w:t>
      </w:r>
      <w:r w:rsidR="00261300">
        <w:t>c</w:t>
      </w:r>
      <w:r w:rsidR="00952817">
        <w:t>oordinators with a reliability need for the information</w:t>
      </w:r>
      <w:r w:rsidR="00803E9E">
        <w:t>.</w:t>
      </w:r>
      <w:r>
        <w:rPr>
          <w:rStyle w:val="FootnoteReference"/>
        </w:rPr>
        <w:footnoteReference w:id="25"/>
      </w:r>
      <w:r w:rsidR="00803E9E">
        <w:t xml:space="preserve">  </w:t>
      </w:r>
      <w:r w:rsidR="00764C87">
        <w:t xml:space="preserve">Additionally, </w:t>
      </w:r>
      <w:r w:rsidR="00962BF3">
        <w:t xml:space="preserve"> </w:t>
      </w:r>
      <w:r w:rsidR="00764C87">
        <w:t xml:space="preserve">the </w:t>
      </w:r>
      <w:r w:rsidR="00EE66E3">
        <w:t>Table Revision Process</w:t>
      </w:r>
      <w:r w:rsidR="00764C87">
        <w:t xml:space="preserve"> would </w:t>
      </w:r>
      <w:r w:rsidR="00BA6D81">
        <w:t>establish a series of notice and comment requirements</w:t>
      </w:r>
      <w:r w:rsidR="00463433">
        <w:t xml:space="preserve"> similar to those required for the revision of a regional Reliability Standard</w:t>
      </w:r>
      <w:r w:rsidR="009C331B">
        <w:t>.</w:t>
      </w:r>
      <w:r>
        <w:rPr>
          <w:rStyle w:val="FootnoteReference"/>
        </w:rPr>
        <w:footnoteReference w:id="26"/>
      </w:r>
      <w:r w:rsidR="007928F8">
        <w:t xml:space="preserve"> </w:t>
      </w:r>
      <w:r w:rsidR="00B222F3">
        <w:t xml:space="preserve"> </w:t>
      </w:r>
      <w:r w:rsidR="00535FD5">
        <w:t xml:space="preserve">Once a change to the Table is approved by WECC’s </w:t>
      </w:r>
      <w:r w:rsidR="008C2223">
        <w:t>B</w:t>
      </w:r>
      <w:r w:rsidR="00535FD5">
        <w:t>oard</w:t>
      </w:r>
      <w:r w:rsidR="00541B10">
        <w:t xml:space="preserve"> of Directors</w:t>
      </w:r>
      <w:r w:rsidR="00535FD5">
        <w:t>, WECC</w:t>
      </w:r>
      <w:r w:rsidR="00A01FE5">
        <w:t>’s proposal is to</w:t>
      </w:r>
      <w:r w:rsidR="00535FD5">
        <w:t xml:space="preserve"> </w:t>
      </w:r>
      <w:r w:rsidR="00267757">
        <w:t xml:space="preserve">file an informational filing with </w:t>
      </w:r>
      <w:r w:rsidR="00BC3DE1">
        <w:t xml:space="preserve">NERC and the </w:t>
      </w:r>
      <w:r w:rsidR="00267757">
        <w:t>Commission</w:t>
      </w:r>
      <w:r w:rsidR="000743AC">
        <w:t>.</w:t>
      </w:r>
      <w:r>
        <w:rPr>
          <w:rStyle w:val="FootnoteReference"/>
        </w:rPr>
        <w:footnoteReference w:id="27"/>
      </w:r>
      <w:r w:rsidR="00E03128">
        <w:t xml:space="preserve">  </w:t>
      </w:r>
      <w:r w:rsidR="00303F36">
        <w:t>Revisions</w:t>
      </w:r>
      <w:r w:rsidR="00B222F3">
        <w:t xml:space="preserve"> </w:t>
      </w:r>
      <w:r w:rsidR="00B141E1">
        <w:t>to</w:t>
      </w:r>
      <w:r w:rsidRPr="00FC51C7">
        <w:t xml:space="preserve"> the</w:t>
      </w:r>
      <w:r w:rsidR="00B222F3">
        <w:t xml:space="preserve"> </w:t>
      </w:r>
      <w:r w:rsidR="00EE66E3">
        <w:t>Table Revision Process</w:t>
      </w:r>
      <w:r w:rsidR="00303F36">
        <w:t xml:space="preserve"> itself</w:t>
      </w:r>
      <w:r w:rsidRPr="00FC51C7">
        <w:t xml:space="preserve"> </w:t>
      </w:r>
      <w:r w:rsidR="00B222F3">
        <w:t>would</w:t>
      </w:r>
      <w:r w:rsidR="008D30E7">
        <w:t xml:space="preserve"> be treated similar</w:t>
      </w:r>
      <w:r w:rsidR="002E1C22">
        <w:t>ly</w:t>
      </w:r>
      <w:r w:rsidR="008D30E7">
        <w:t xml:space="preserve"> to a regional Reliability Standard revision and</w:t>
      </w:r>
      <w:r w:rsidR="00B222F3">
        <w:t xml:space="preserve"> </w:t>
      </w:r>
      <w:r w:rsidRPr="00FC51C7">
        <w:t xml:space="preserve">require approval by </w:t>
      </w:r>
      <w:r w:rsidR="001809B6">
        <w:t xml:space="preserve">the </w:t>
      </w:r>
      <w:r w:rsidRPr="00FC51C7">
        <w:t>WECC</w:t>
      </w:r>
      <w:r w:rsidR="001809B6">
        <w:t xml:space="preserve"> Board of Directors</w:t>
      </w:r>
      <w:r w:rsidRPr="00FC51C7">
        <w:t>, NERC</w:t>
      </w:r>
      <w:r w:rsidR="00161038">
        <w:t xml:space="preserve"> Board of </w:t>
      </w:r>
      <w:r w:rsidR="00161038">
        <w:t>Trustees</w:t>
      </w:r>
      <w:r w:rsidRPr="00FC51C7">
        <w:t>, and the Commission</w:t>
      </w:r>
      <w:r>
        <w:t>.</w:t>
      </w:r>
      <w:r>
        <w:rPr>
          <w:rStyle w:val="FootnoteReference"/>
        </w:rPr>
        <w:footnoteReference w:id="28"/>
      </w:r>
      <w:r w:rsidR="00E03128">
        <w:t xml:space="preserve">  </w:t>
      </w:r>
      <w:r w:rsidR="003310AC">
        <w:t>T</w:t>
      </w:r>
      <w:r w:rsidR="00E03128">
        <w:t xml:space="preserve">he joint petition </w:t>
      </w:r>
      <w:r w:rsidR="003310AC">
        <w:t>aver</w:t>
      </w:r>
      <w:r w:rsidR="00E95E4E">
        <w:t>s</w:t>
      </w:r>
      <w:r w:rsidR="003310AC">
        <w:t xml:space="preserve"> that</w:t>
      </w:r>
      <w:r w:rsidR="00304C3E">
        <w:t xml:space="preserve"> the</w:t>
      </w:r>
      <w:r w:rsidR="00763E13">
        <w:t xml:space="preserve"> requirements set forth in the </w:t>
      </w:r>
      <w:r w:rsidR="0025790F">
        <w:t>Table Revision Process</w:t>
      </w:r>
      <w:r w:rsidR="00E03128">
        <w:t xml:space="preserve"> address the notice and transparency concerns raised by the Commission in Order </w:t>
      </w:r>
      <w:r w:rsidR="00D776E5">
        <w:t>N</w:t>
      </w:r>
      <w:r w:rsidR="00E03128">
        <w:t>o. 751.</w:t>
      </w:r>
      <w:r>
        <w:rPr>
          <w:rStyle w:val="FootnoteReference"/>
        </w:rPr>
        <w:footnoteReference w:id="29"/>
      </w:r>
    </w:p>
    <w:p w:rsidR="007A241D" w:rsidP="00C813C9" w14:paraId="4B7DECB0" w14:textId="154631FE">
      <w:pPr>
        <w:pStyle w:val="FERCparanumber"/>
      </w:pPr>
      <w:r>
        <w:t>According to t</w:t>
      </w:r>
      <w:r w:rsidR="009544C8">
        <w:t xml:space="preserve">he </w:t>
      </w:r>
      <w:r w:rsidR="007D39AE">
        <w:t>joint petition</w:t>
      </w:r>
      <w:r>
        <w:t>,</w:t>
      </w:r>
      <w:r>
        <w:rPr>
          <w:rStyle w:val="FootnoteReference"/>
        </w:rPr>
        <w:footnoteReference w:id="30"/>
      </w:r>
      <w:r>
        <w:t xml:space="preserve"> approval of the proposed standard would </w:t>
      </w:r>
      <w:r>
        <w:t>result</w:t>
      </w:r>
      <w:r w:rsidR="004867DD">
        <w:t xml:space="preserve"> </w:t>
      </w:r>
      <w:r>
        <w:t xml:space="preserve"> in</w:t>
      </w:r>
      <w:r>
        <w:t xml:space="preserve"> the </w:t>
      </w:r>
      <w:r w:rsidR="007D39AE">
        <w:t>permanent remov</w:t>
      </w:r>
      <w:r>
        <w:t>al</w:t>
      </w:r>
      <w:r w:rsidR="007D39AE">
        <w:t xml:space="preserve"> from the Table</w:t>
      </w:r>
      <w:r>
        <w:t xml:space="preserve"> of</w:t>
      </w:r>
      <w:r w:rsidR="007D39AE">
        <w:t xml:space="preserve"> four Major WECC Transfer Paths</w:t>
      </w:r>
      <w:r w:rsidR="00333DE7">
        <w:t>, three</w:t>
      </w:r>
      <w:r w:rsidR="004867DD">
        <w:t xml:space="preserve">    </w:t>
      </w:r>
      <w:r w:rsidR="00C41B2B">
        <w:t xml:space="preserve"> by request of </w:t>
      </w:r>
      <w:r w:rsidR="0084782B">
        <w:t xml:space="preserve">the Arizona Public Service (APS) </w:t>
      </w:r>
      <w:r w:rsidR="002577C0">
        <w:t>(</w:t>
      </w:r>
      <w:r w:rsidRPr="00F46F3F" w:rsidR="002577C0">
        <w:t xml:space="preserve">Path 22-Southwest Four Corners, </w:t>
      </w:r>
      <w:r w:rsidR="004867DD">
        <w:t xml:space="preserve">      </w:t>
      </w:r>
      <w:r w:rsidRPr="00F46F3F" w:rsidR="002577C0">
        <w:t>Path 50-Cholla Pinnacle Peak, Path 51-Southern Navajo</w:t>
      </w:r>
      <w:r w:rsidR="002577C0">
        <w:t xml:space="preserve">), </w:t>
      </w:r>
      <w:r w:rsidR="0084782B">
        <w:t xml:space="preserve">and </w:t>
      </w:r>
      <w:r w:rsidR="005D7ED5">
        <w:t xml:space="preserve">one by </w:t>
      </w:r>
      <w:r w:rsidR="00D86A14">
        <w:t xml:space="preserve">request of </w:t>
      </w:r>
      <w:r w:rsidR="0084782B">
        <w:t>the Bonneville Power Administration (BPA)</w:t>
      </w:r>
      <w:r w:rsidRPr="00F46F3F" w:rsidR="00F46F3F">
        <w:t xml:space="preserve"> </w:t>
      </w:r>
      <w:r w:rsidR="002577C0">
        <w:t>(</w:t>
      </w:r>
      <w:r w:rsidRPr="00F46F3F" w:rsidR="00F46F3F">
        <w:t xml:space="preserve">Path 73-North of John Day </w:t>
      </w:r>
      <w:r w:rsidRPr="00F46F3F" w:rsidR="00F46F3F">
        <w:t>Cutplane</w:t>
      </w:r>
      <w:r w:rsidR="00BF6AB4">
        <w:t>)</w:t>
      </w:r>
      <w:r w:rsidRPr="00F46F3F" w:rsidR="00F46F3F">
        <w:t>.</w:t>
      </w:r>
      <w:r w:rsidR="00F46F3F">
        <w:t xml:space="preserve">  </w:t>
      </w:r>
      <w:r w:rsidR="00EB34C8">
        <w:t xml:space="preserve">The joint petition states that </w:t>
      </w:r>
      <w:r w:rsidR="00AD30EC">
        <w:t xml:space="preserve">WECC has no records as to why any of the </w:t>
      </w:r>
      <w:r w:rsidR="00682C87">
        <w:t xml:space="preserve">paths listed on the Table were selected.  Notwithstanding, the joint petition states that </w:t>
      </w:r>
      <w:r w:rsidR="00D64776">
        <w:t xml:space="preserve">a robust and transparent stakeholder process determined that </w:t>
      </w:r>
      <w:r w:rsidR="00B76794">
        <w:t xml:space="preserve">removing </w:t>
      </w:r>
      <w:r w:rsidR="00D64776">
        <w:t>these four paths</w:t>
      </w:r>
      <w:r w:rsidR="00B76794">
        <w:t xml:space="preserve"> from the </w:t>
      </w:r>
      <w:r w:rsidR="004867DD">
        <w:t xml:space="preserve">  </w:t>
      </w:r>
      <w:r w:rsidR="00B76794">
        <w:t xml:space="preserve">Table </w:t>
      </w:r>
      <w:r w:rsidR="007B0815">
        <w:t>would not have an adverse reliability impact.</w:t>
      </w:r>
      <w:r>
        <w:rPr>
          <w:rStyle w:val="FootnoteReference"/>
        </w:rPr>
        <w:footnoteReference w:id="31"/>
      </w:r>
    </w:p>
    <w:p w:rsidR="0078479D" w:rsidRPr="00E01D34" w14:paraId="420FA4F1" w14:textId="2D4754DD">
      <w:pPr>
        <w:pStyle w:val="FERCparanumber"/>
      </w:pPr>
      <w:r>
        <w:t xml:space="preserve">Specifically, the joint </w:t>
      </w:r>
      <w:r w:rsidR="00413E09">
        <w:t xml:space="preserve">petition states that </w:t>
      </w:r>
      <w:r w:rsidR="000A5AED">
        <w:t xml:space="preserve">the </w:t>
      </w:r>
      <w:r w:rsidR="007A241D">
        <w:t>th</w:t>
      </w:r>
      <w:r w:rsidR="00002795">
        <w:t>r</w:t>
      </w:r>
      <w:r w:rsidR="007A241D">
        <w:t xml:space="preserve">ee APS </w:t>
      </w:r>
      <w:r w:rsidR="000A5AED">
        <w:t xml:space="preserve">paths </w:t>
      </w:r>
      <w:r w:rsidR="007019F2">
        <w:t xml:space="preserve">were built to </w:t>
      </w:r>
      <w:r w:rsidR="006266DE">
        <w:t xml:space="preserve">support </w:t>
      </w:r>
      <w:r w:rsidR="00A23732">
        <w:t xml:space="preserve">the transfer of generation to major load centers from </w:t>
      </w:r>
      <w:r w:rsidR="00D75AF0">
        <w:t xml:space="preserve">coal-fired </w:t>
      </w:r>
      <w:r w:rsidR="00A23732">
        <w:t>generating facilities</w:t>
      </w:r>
      <w:r w:rsidR="004867DD">
        <w:t xml:space="preserve">     </w:t>
      </w:r>
      <w:r w:rsidR="00A23732">
        <w:t xml:space="preserve"> that have either already retired or are slated for retirement.</w:t>
      </w:r>
      <w:r>
        <w:rPr>
          <w:rStyle w:val="FootnoteReference"/>
        </w:rPr>
        <w:footnoteReference w:id="32"/>
      </w:r>
      <w:r w:rsidR="00EE4429">
        <w:t xml:space="preserve">  </w:t>
      </w:r>
      <w:r w:rsidR="00ED78BC">
        <w:t xml:space="preserve">In support of its delisting requests, APS submitted </w:t>
      </w:r>
      <w:r w:rsidR="001A36C4">
        <w:t xml:space="preserve">technical studies </w:t>
      </w:r>
      <w:r w:rsidR="00E9604D">
        <w:t xml:space="preserve">showing reliable system operations after </w:t>
      </w:r>
      <w:r w:rsidR="00DA21C0">
        <w:t>the retirement of the coal units.</w:t>
      </w:r>
      <w:r>
        <w:rPr>
          <w:rStyle w:val="FootnoteReference"/>
        </w:rPr>
        <w:footnoteReference w:id="33"/>
      </w:r>
      <w:r w:rsidR="001F7B2C">
        <w:t xml:space="preserve">  APS further indicated that </w:t>
      </w:r>
      <w:r w:rsidR="001D2991">
        <w:t>transmission planning studies</w:t>
      </w:r>
      <w:r w:rsidR="00754CA8">
        <w:t xml:space="preserve"> using </w:t>
      </w:r>
      <w:r w:rsidR="00F03C6E">
        <w:t>5</w:t>
      </w:r>
      <w:r w:rsidR="00F03C6E">
        <w:rPr>
          <w:vertAlign w:val="superscript"/>
        </w:rPr>
        <w:t xml:space="preserve"> </w:t>
      </w:r>
      <w:r w:rsidR="00F03C6E">
        <w:t>and 10 year</w:t>
      </w:r>
      <w:r w:rsidR="00E31F50">
        <w:t xml:space="preserve"> peak </w:t>
      </w:r>
      <w:r w:rsidR="000F5382">
        <w:t xml:space="preserve">cases showed that the removal of the paths </w:t>
      </w:r>
      <w:r w:rsidR="00E16F54">
        <w:t>would not result</w:t>
      </w:r>
      <w:r w:rsidR="004867DD">
        <w:t xml:space="preserve">      </w:t>
      </w:r>
      <w:r w:rsidR="00E16F54">
        <w:t xml:space="preserve"> in reliability impacts.</w:t>
      </w:r>
      <w:r>
        <w:rPr>
          <w:rStyle w:val="FootnoteReference"/>
        </w:rPr>
        <w:footnoteReference w:id="34"/>
      </w:r>
      <w:r w:rsidR="009E61CC">
        <w:t xml:space="preserve">  </w:t>
      </w:r>
      <w:r w:rsidR="001734EE">
        <w:t>The joint petition also ex</w:t>
      </w:r>
      <w:r w:rsidR="00E767A4">
        <w:t xml:space="preserve">plains that BPA’s </w:t>
      </w:r>
      <w:r w:rsidR="00A27719">
        <w:t>Path 73</w:t>
      </w:r>
      <w:r w:rsidR="00845DB5">
        <w:t xml:space="preserve"> (North of John Day)</w:t>
      </w:r>
      <w:r w:rsidR="00A27719">
        <w:t xml:space="preserve"> </w:t>
      </w:r>
      <w:r w:rsidR="002247B0">
        <w:t xml:space="preserve">was retired </w:t>
      </w:r>
      <w:r w:rsidR="003B5F3D">
        <w:t>in 2021.</w:t>
      </w:r>
      <w:r>
        <w:rPr>
          <w:rStyle w:val="FootnoteReference"/>
        </w:rPr>
        <w:footnoteReference w:id="35"/>
      </w:r>
      <w:r w:rsidR="00BD581F">
        <w:t xml:space="preserve">  </w:t>
      </w:r>
      <w:r w:rsidR="002D7429">
        <w:t>According to</w:t>
      </w:r>
      <w:r w:rsidR="004A6B39">
        <w:t xml:space="preserve"> a</w:t>
      </w:r>
      <w:r w:rsidR="002D7429">
        <w:t xml:space="preserve"> BPA</w:t>
      </w:r>
      <w:r w:rsidR="004A6B39">
        <w:t xml:space="preserve"> operations planning study</w:t>
      </w:r>
      <w:r w:rsidR="002D7429">
        <w:t xml:space="preserve">, </w:t>
      </w:r>
      <w:r w:rsidR="002153C0">
        <w:t>the North of John Day path</w:t>
      </w:r>
      <w:r w:rsidR="00630FBF">
        <w:t xml:space="preserve"> </w:t>
      </w:r>
      <w:r w:rsidR="006623F1">
        <w:t xml:space="preserve">was retired because it was </w:t>
      </w:r>
      <w:r w:rsidR="00F61DB3">
        <w:t>“</w:t>
      </w:r>
      <w:r w:rsidR="006623F1">
        <w:t xml:space="preserve">no longer required for operating the bulk </w:t>
      </w:r>
      <w:r w:rsidR="00293920">
        <w:t xml:space="preserve">electric </w:t>
      </w:r>
      <w:r w:rsidR="006623F1">
        <w:t>system</w:t>
      </w:r>
      <w:r w:rsidR="00F61DB3">
        <w:t>”</w:t>
      </w:r>
      <w:r w:rsidR="00D14201">
        <w:t xml:space="preserve"> as a result </w:t>
      </w:r>
      <w:r w:rsidR="00293920">
        <w:t xml:space="preserve">of several reinforcements that </w:t>
      </w:r>
      <w:r w:rsidR="009C21B8">
        <w:t xml:space="preserve">“significantly </w:t>
      </w:r>
      <w:r w:rsidR="002F1E5F">
        <w:t xml:space="preserve">increased </w:t>
      </w:r>
      <w:r w:rsidR="002F1E5F">
        <w:t>the system’s voltage stability limit for all lines in service and planned outage conditions.”</w:t>
      </w:r>
      <w:r>
        <w:rPr>
          <w:rStyle w:val="FootnoteReference"/>
        </w:rPr>
        <w:footnoteReference w:id="36"/>
      </w:r>
      <w:r w:rsidR="00C03765">
        <w:t xml:space="preserve">  BPA’s </w:t>
      </w:r>
      <w:r w:rsidR="004A6B39">
        <w:t xml:space="preserve">study further concluded that </w:t>
      </w:r>
      <w:r w:rsidR="00DE1B84">
        <w:t xml:space="preserve">not only was the North of John Day path no longer necessary, but in fact, its retirement </w:t>
      </w:r>
      <w:r w:rsidR="00953D06">
        <w:t xml:space="preserve">was “necessary to ensure optimal use of BPA’s transmission resources and to ensure coordinated operation of the voltage stability limit with the </w:t>
      </w:r>
      <w:r w:rsidR="009C310F">
        <w:t>[</w:t>
      </w:r>
      <w:r w:rsidRPr="009C310F" w:rsidR="009C310F">
        <w:t>Reliability Coordinator</w:t>
      </w:r>
      <w:r w:rsidR="009C310F">
        <w:t>]</w:t>
      </w:r>
      <w:r w:rsidR="00F84D98">
        <w:t>’</w:t>
      </w:r>
      <w:r w:rsidR="00953D06">
        <w:t>s</w:t>
      </w:r>
      <w:r w:rsidR="00A13C69">
        <w:t xml:space="preserve"> O</w:t>
      </w:r>
      <w:r w:rsidR="00A55632">
        <w:t>regon</w:t>
      </w:r>
      <w:r w:rsidR="00A13C69">
        <w:t xml:space="preserve"> Export </w:t>
      </w:r>
      <w:bookmarkStart w:id="3" w:name="_Hlk177959454"/>
      <w:r w:rsidR="009C310F">
        <w:t>[</w:t>
      </w:r>
      <w:r w:rsidRPr="009C310F" w:rsidR="009C310F">
        <w:t>Interconnection Reliability Operating Limit</w:t>
      </w:r>
      <w:r w:rsidR="009C310F">
        <w:t>]</w:t>
      </w:r>
      <w:bookmarkEnd w:id="3"/>
      <w:r w:rsidR="00A13C69">
        <w:t>.”</w:t>
      </w:r>
      <w:r>
        <w:rPr>
          <w:rStyle w:val="FootnoteReference"/>
        </w:rPr>
        <w:footnoteReference w:id="37"/>
      </w:r>
    </w:p>
    <w:p w:rsidR="00F10F79" w14:paraId="02B2B21A" w14:textId="6A1C3ACA">
      <w:pPr>
        <w:pStyle w:val="Heading1"/>
      </w:pPr>
      <w:r>
        <w:t>Notice of Filing and Responsive Pleadings</w:t>
      </w:r>
    </w:p>
    <w:p w:rsidR="00627B70" w:rsidRPr="005F7E29" w:rsidP="00A5769D" w14:paraId="447F1C92" w14:textId="60B67C8D">
      <w:pPr>
        <w:pStyle w:val="FERCparanumber"/>
      </w:pPr>
      <w:r>
        <w:t xml:space="preserve">Notice of </w:t>
      </w:r>
      <w:r w:rsidR="00A81B9E">
        <w:t>the joint petition</w:t>
      </w:r>
      <w:r>
        <w:t xml:space="preserve"> was published in the </w:t>
      </w:r>
      <w:r w:rsidRPr="0080463E">
        <w:rPr>
          <w:i/>
          <w:iCs/>
        </w:rPr>
        <w:t>Federal Register</w:t>
      </w:r>
      <w:r>
        <w:t xml:space="preserve">, 89 </w:t>
      </w:r>
      <w:r w:rsidRPr="002D074B">
        <w:t xml:space="preserve">Fed. </w:t>
      </w:r>
      <w:r w:rsidR="004867DD">
        <w:t xml:space="preserve">        </w:t>
      </w:r>
      <w:r w:rsidRPr="002D074B">
        <w:t>Reg.</w:t>
      </w:r>
      <w:r w:rsidRPr="00023F62">
        <w:t xml:space="preserve"> 46</w:t>
      </w:r>
      <w:r>
        <w:t>,</w:t>
      </w:r>
      <w:r w:rsidRPr="00023F62">
        <w:t>38</w:t>
      </w:r>
      <w:r>
        <w:t>8 (May 29, 2024),</w:t>
      </w:r>
      <w:r w:rsidR="00A5769D">
        <w:t xml:space="preserve"> </w:t>
      </w:r>
      <w:r>
        <w:t xml:space="preserve">with interventions, comments, and protests due on or </w:t>
      </w:r>
      <w:r w:rsidR="004867DD">
        <w:t xml:space="preserve">  </w:t>
      </w:r>
      <w:r>
        <w:t>before June 20, 2024.  No</w:t>
      </w:r>
      <w:r w:rsidR="00A5769D">
        <w:t>ne was</w:t>
      </w:r>
      <w:r>
        <w:t xml:space="preserve"> filed.</w:t>
      </w:r>
    </w:p>
    <w:p w:rsidR="00DB3EEA" w:rsidP="00DB3EEA" w14:paraId="0BCB911A" w14:textId="6A6F450A">
      <w:pPr>
        <w:pStyle w:val="Heading1"/>
      </w:pPr>
      <w:r>
        <w:t>Commission Determination</w:t>
      </w:r>
    </w:p>
    <w:p w:rsidR="001C6ADA" w:rsidP="00F10F79" w14:paraId="6BEE42DE" w14:textId="1C34EBA7">
      <w:pPr>
        <w:pStyle w:val="FERCparanumber"/>
      </w:pPr>
      <w:r>
        <w:t xml:space="preserve">As discussed below, we approve </w:t>
      </w:r>
      <w:r w:rsidR="009E1D4F">
        <w:t xml:space="preserve">proposed </w:t>
      </w:r>
      <w:r>
        <w:t>regional Reliability Standard FAC-501-WECC-4</w:t>
      </w:r>
      <w:r w:rsidR="00432366">
        <w:t xml:space="preserve"> </w:t>
      </w:r>
      <w:r w:rsidRPr="00432366" w:rsidR="00432366">
        <w:t xml:space="preserve">as just, reasonable, not unduly </w:t>
      </w:r>
      <w:r w:rsidRPr="00432366" w:rsidR="00432366">
        <w:t>discriminatory</w:t>
      </w:r>
      <w:r w:rsidRPr="00432366" w:rsidR="00432366">
        <w:t xml:space="preserve"> or preferential, and in the public interest</w:t>
      </w:r>
      <w:r w:rsidR="00F258A0">
        <w:t>.</w:t>
      </w:r>
      <w:r>
        <w:rPr>
          <w:rStyle w:val="FootnoteReference"/>
        </w:rPr>
        <w:footnoteReference w:id="38"/>
      </w:r>
      <w:r>
        <w:t xml:space="preserve">  </w:t>
      </w:r>
      <w:r w:rsidRPr="001C6ADA">
        <w:t xml:space="preserve">We find that </w:t>
      </w:r>
      <w:r w:rsidR="009E1D4F">
        <w:t>the proposed Standard</w:t>
      </w:r>
      <w:r>
        <w:t xml:space="preserve"> is</w:t>
      </w:r>
      <w:r w:rsidRPr="001C6ADA">
        <w:t xml:space="preserve"> more stringent than </w:t>
      </w:r>
      <w:r w:rsidR="009C5208">
        <w:t>any corresponding continent-wide</w:t>
      </w:r>
      <w:r w:rsidRPr="001C6ADA">
        <w:t xml:space="preserve"> Reliability Standards </w:t>
      </w:r>
      <w:r w:rsidR="009C5208">
        <w:t xml:space="preserve">in that it </w:t>
      </w:r>
      <w:r w:rsidR="008A7FBE">
        <w:t>includes a broader range of elements for maintenance</w:t>
      </w:r>
      <w:r w:rsidR="005029AA">
        <w:t xml:space="preserve">.  </w:t>
      </w:r>
      <w:r w:rsidRPr="001C6ADA">
        <w:t>For th</w:t>
      </w:r>
      <w:r w:rsidR="008A7FBE">
        <w:t>is</w:t>
      </w:r>
      <w:r w:rsidRPr="001C6ADA">
        <w:t xml:space="preserve"> same reason, we find that the requirements of </w:t>
      </w:r>
      <w:r w:rsidR="005029AA">
        <w:t xml:space="preserve">proposed </w:t>
      </w:r>
      <w:r w:rsidRPr="001C6ADA">
        <w:t>regional Reliability Standard</w:t>
      </w:r>
      <w:r>
        <w:t xml:space="preserve"> FAC-501-WECC-4 </w:t>
      </w:r>
      <w:r w:rsidRPr="001C6ADA">
        <w:t xml:space="preserve">are not redundant of the requirements of </w:t>
      </w:r>
      <w:r w:rsidR="005029AA">
        <w:t>other corresponding</w:t>
      </w:r>
      <w:r w:rsidRPr="001C6ADA">
        <w:t xml:space="preserve"> </w:t>
      </w:r>
      <w:r w:rsidR="008A7FBE">
        <w:t xml:space="preserve">continent-wide </w:t>
      </w:r>
      <w:r w:rsidRPr="001C6ADA">
        <w:t>Standards.</w:t>
      </w:r>
    </w:p>
    <w:p w:rsidR="0059040E" w:rsidRPr="003A7005" w:rsidP="0059040E" w14:paraId="0AA0DFD7" w14:textId="41CE01FA">
      <w:pPr>
        <w:pStyle w:val="FERCparanumber"/>
        <w:rPr>
          <w:szCs w:val="26"/>
        </w:rPr>
      </w:pPr>
      <w:r w:rsidRPr="007653CE">
        <w:rPr>
          <w:szCs w:val="26"/>
        </w:rPr>
        <w:t>Although</w:t>
      </w:r>
      <w:r w:rsidRPr="00232487">
        <w:rPr>
          <w:szCs w:val="26"/>
        </w:rPr>
        <w:t xml:space="preserve"> the joint petition does not request Commission</w:t>
      </w:r>
      <w:r w:rsidRPr="007653CE">
        <w:rPr>
          <w:szCs w:val="26"/>
        </w:rPr>
        <w:t xml:space="preserve"> approval</w:t>
      </w:r>
      <w:r w:rsidRPr="00232487">
        <w:rPr>
          <w:szCs w:val="26"/>
        </w:rPr>
        <w:t xml:space="preserve"> </w:t>
      </w:r>
      <w:r>
        <w:rPr>
          <w:szCs w:val="26"/>
        </w:rPr>
        <w:t>of</w:t>
      </w:r>
      <w:r w:rsidRPr="00232487">
        <w:rPr>
          <w:szCs w:val="26"/>
        </w:rPr>
        <w:t xml:space="preserve"> the removal of Paths 22, 50, 51, and 73 from the Table, by approving the retirement of regional Reliability Standard FAC-501-WECC-2 and approving </w:t>
      </w:r>
      <w:r>
        <w:rPr>
          <w:szCs w:val="26"/>
        </w:rPr>
        <w:t xml:space="preserve">proposed regional Reliability Standard FAC-501-WECC-4, we effectively approve the delisting of those paths.  </w:t>
      </w:r>
      <w:r>
        <w:t xml:space="preserve">The reports and studies presented by APS and BPA in support of their requests to delists these four paths suggest that the enhanced maintenance requirements of the Standard are no longer justified as the paths no longer serve an essential reliability purpose: </w:t>
      </w:r>
      <w:r w:rsidR="0092192D">
        <w:t xml:space="preserve"> </w:t>
      </w:r>
      <w:r>
        <w:t>for APS,</w:t>
      </w:r>
      <w:r w:rsidR="004867DD">
        <w:t xml:space="preserve">   </w:t>
      </w:r>
      <w:r>
        <w:t xml:space="preserve"> </w:t>
      </w:r>
      <w:r>
        <w:t>the coal units that Paths 22, 50, and 51 once connected to major load centers have been or will soon be retired; for BPA, improvements elsewhere in its system obviate the voltage stability purpose once served by Path 73.</w:t>
      </w:r>
      <w:r>
        <w:rPr>
          <w:rStyle w:val="FootnoteReference"/>
        </w:rPr>
        <w:footnoteReference w:id="39"/>
      </w:r>
      <w:r>
        <w:t xml:space="preserve">  </w:t>
      </w:r>
      <w:r w:rsidR="00EB2872">
        <w:rPr>
          <w:szCs w:val="26"/>
        </w:rPr>
        <w:t>W</w:t>
      </w:r>
      <w:r>
        <w:rPr>
          <w:szCs w:val="26"/>
        </w:rPr>
        <w:t>e find that the evidence presented by APS and BPA supports the delisting of the four paths.</w:t>
      </w:r>
    </w:p>
    <w:p w:rsidR="00626A12" w:rsidP="00626A12" w14:paraId="1421CDEA" w14:textId="2B69393B">
      <w:pPr>
        <w:pStyle w:val="FERCparanumber"/>
      </w:pPr>
      <w:r>
        <w:t xml:space="preserve">We </w:t>
      </w:r>
      <w:r w:rsidR="00C93837">
        <w:t xml:space="preserve">also </w:t>
      </w:r>
      <w:r>
        <w:t xml:space="preserve">find that </w:t>
      </w:r>
      <w:r w:rsidR="008A7FBE">
        <w:t xml:space="preserve">proposed </w:t>
      </w:r>
      <w:r w:rsidR="00175DA2">
        <w:t>regional Reliability Standard FAC-501-WECC-4</w:t>
      </w:r>
      <w:r w:rsidR="008C39D8">
        <w:t xml:space="preserve"> and its associated Table Revision Process</w:t>
      </w:r>
      <w:r w:rsidR="00175DA2">
        <w:t xml:space="preserve"> improve on</w:t>
      </w:r>
      <w:r w:rsidR="008C39D8">
        <w:t xml:space="preserve"> the existing </w:t>
      </w:r>
      <w:r w:rsidR="00EE552A">
        <w:t>S</w:t>
      </w:r>
      <w:r w:rsidR="008C39D8">
        <w:t xml:space="preserve">tandard by </w:t>
      </w:r>
      <w:r w:rsidR="005B1769">
        <w:t xml:space="preserve">establishing a </w:t>
      </w:r>
      <w:r w:rsidR="00785B79">
        <w:t xml:space="preserve">comprehensive </w:t>
      </w:r>
      <w:r w:rsidR="000965E0">
        <w:t xml:space="preserve">process by which changes to the Table will be </w:t>
      </w:r>
      <w:r w:rsidR="00890956">
        <w:t>requested and reviewed.</w:t>
      </w:r>
      <w:r w:rsidR="00C93837">
        <w:t xml:space="preserve">  We agree with </w:t>
      </w:r>
      <w:r w:rsidR="00F36362">
        <w:t xml:space="preserve">NERC and WECC that the </w:t>
      </w:r>
      <w:r w:rsidR="00BB44DA">
        <w:t>Table Revision Process’s</w:t>
      </w:r>
      <w:r w:rsidR="00C945FE">
        <w:t xml:space="preserve"> notice requirements, </w:t>
      </w:r>
      <w:r w:rsidR="00C95D5C">
        <w:t xml:space="preserve">including </w:t>
      </w:r>
      <w:r w:rsidR="00415312">
        <w:t>the</w:t>
      </w:r>
      <w:r w:rsidR="00C95D5C">
        <w:t xml:space="preserve"> requirement</w:t>
      </w:r>
      <w:r w:rsidR="00415312">
        <w:t xml:space="preserve"> for WECC</w:t>
      </w:r>
      <w:r w:rsidR="00C95D5C">
        <w:t xml:space="preserve"> to submit an informational filing to the Commission after every change to the Table, </w:t>
      </w:r>
      <w:r>
        <w:t xml:space="preserve">address the Commission’s notice concerns </w:t>
      </w:r>
      <w:r w:rsidR="002B4515">
        <w:t xml:space="preserve">articulated </w:t>
      </w:r>
      <w:r>
        <w:t>in Order No. 751.</w:t>
      </w:r>
    </w:p>
    <w:p w:rsidR="00F62D75" w:rsidP="00333204" w14:paraId="63E6A4B8" w14:textId="2B2A0869">
      <w:pPr>
        <w:pStyle w:val="FERCparanumber"/>
      </w:pPr>
      <w:r>
        <w:t xml:space="preserve">We </w:t>
      </w:r>
      <w:r w:rsidR="00371C2D">
        <w:t xml:space="preserve">also </w:t>
      </w:r>
      <w:r w:rsidR="00EA3378">
        <w:t>conclude</w:t>
      </w:r>
      <w:r>
        <w:t xml:space="preserve"> </w:t>
      </w:r>
      <w:r>
        <w:t xml:space="preserve">that proposed regional Reliability Standard FAC-501-WECC-4 and its associated Table Revision Process address the Commission’s transparency concerns </w:t>
      </w:r>
      <w:r w:rsidR="00CE18D3">
        <w:t>regarding the addition or removal of a path</w:t>
      </w:r>
      <w:r w:rsidR="006766E2">
        <w:t xml:space="preserve"> from the Table </w:t>
      </w:r>
      <w:r>
        <w:t xml:space="preserve">as outlined in Order No. 751.  </w:t>
      </w:r>
      <w:r w:rsidR="006766E2">
        <w:t>W</w:t>
      </w:r>
      <w:r w:rsidR="0023320C">
        <w:t xml:space="preserve">e expect that </w:t>
      </w:r>
      <w:r w:rsidR="009233CB">
        <w:t>the proposed Table Revision Process</w:t>
      </w:r>
      <w:r w:rsidR="00A35BEA">
        <w:t xml:space="preserve">’s </w:t>
      </w:r>
      <w:r w:rsidR="009233CB">
        <w:t xml:space="preserve">robust stakeholder </w:t>
      </w:r>
      <w:r>
        <w:t>process</w:t>
      </w:r>
      <w:r w:rsidR="009233CB">
        <w:t xml:space="preserve"> </w:t>
      </w:r>
      <w:r w:rsidR="0023320C">
        <w:t xml:space="preserve">will provide </w:t>
      </w:r>
      <w:r w:rsidR="00EA3378">
        <w:t>a</w:t>
      </w:r>
      <w:r w:rsidR="0023320C">
        <w:t xml:space="preserve"> </w:t>
      </w:r>
      <w:r w:rsidR="0081243E">
        <w:t xml:space="preserve">platform for WECC </w:t>
      </w:r>
      <w:r w:rsidR="00A1601C">
        <w:t xml:space="preserve">and its stakeholders to </w:t>
      </w:r>
      <w:r w:rsidR="00095D8A">
        <w:t xml:space="preserve">adequately and openly </w:t>
      </w:r>
      <w:r w:rsidR="00CC1DE9">
        <w:t>assess</w:t>
      </w:r>
      <w:r w:rsidR="0099642F">
        <w:t xml:space="preserve"> </w:t>
      </w:r>
      <w:r w:rsidR="006C599F">
        <w:t>the technical studies supporting the addition or removal of a path</w:t>
      </w:r>
      <w:r w:rsidR="006C599F">
        <w:t xml:space="preserve"> from the Table</w:t>
      </w:r>
      <w:r w:rsidR="002A0E90">
        <w:t xml:space="preserve">.  </w:t>
      </w:r>
      <w:r w:rsidR="00095D8A">
        <w:t xml:space="preserve">We also believe that the informational filing that WECC must submit after making </w:t>
      </w:r>
      <w:r w:rsidR="00850462">
        <w:t xml:space="preserve">changes to the Table will allow </w:t>
      </w:r>
      <w:r w:rsidR="00867FBF">
        <w:t>the Commission</w:t>
      </w:r>
      <w:r w:rsidR="00656495">
        <w:t xml:space="preserve"> to verify that WECC</w:t>
      </w:r>
      <w:r w:rsidR="000D3D12">
        <w:t xml:space="preserve"> is applying the requirements of the Reliability Standard in a just and reasonable manner</w:t>
      </w:r>
      <w:r w:rsidR="00BF7485">
        <w:t>.</w:t>
      </w:r>
      <w:r>
        <w:rPr>
          <w:rStyle w:val="FootnoteReference"/>
        </w:rPr>
        <w:footnoteReference w:id="40"/>
      </w:r>
      <w:r w:rsidR="00087DC7">
        <w:t xml:space="preserve">  </w:t>
      </w:r>
      <w:r w:rsidR="000E3F30">
        <w:t>T</w:t>
      </w:r>
      <w:r w:rsidR="00C869C3">
        <w:t xml:space="preserve">o ensure </w:t>
      </w:r>
      <w:r w:rsidR="00087DC7">
        <w:t xml:space="preserve"> that</w:t>
      </w:r>
      <w:r w:rsidR="00E5316C">
        <w:t xml:space="preserve"> </w:t>
      </w:r>
      <w:r w:rsidR="00F12399">
        <w:t xml:space="preserve">the </w:t>
      </w:r>
      <w:r w:rsidR="003E3C97">
        <w:t>informational filing</w:t>
      </w:r>
      <w:r w:rsidR="00E5316C">
        <w:t>s</w:t>
      </w:r>
      <w:r w:rsidR="003E3C97">
        <w:t xml:space="preserve"> submitted by WECC to the Commission after </w:t>
      </w:r>
      <w:r w:rsidR="0046558D">
        <w:t>making changes to the Table</w:t>
      </w:r>
      <w:r w:rsidR="00C07277">
        <w:t xml:space="preserve"> will </w:t>
      </w:r>
      <w:r w:rsidR="00F12399">
        <w:t>contain sufficient information</w:t>
      </w:r>
      <w:r w:rsidR="000E3F30">
        <w:t xml:space="preserve"> for Commission review</w:t>
      </w:r>
      <w:r w:rsidR="00F12399">
        <w:t>, we direct WECC to include</w:t>
      </w:r>
      <w:r w:rsidR="00860753">
        <w:t>, at a minimum</w:t>
      </w:r>
      <w:r w:rsidR="00DA2C96">
        <w:t>, the following</w:t>
      </w:r>
      <w:r w:rsidR="00860753">
        <w:t xml:space="preserve">: </w:t>
      </w:r>
      <w:r w:rsidR="00CC1DE9">
        <w:t xml:space="preserve"> </w:t>
      </w:r>
      <w:r w:rsidR="00860753">
        <w:t xml:space="preserve">(1) </w:t>
      </w:r>
      <w:r w:rsidR="00AE7D6D">
        <w:t xml:space="preserve">the </w:t>
      </w:r>
      <w:r w:rsidR="008C613B">
        <w:t xml:space="preserve">circumstances triggering </w:t>
      </w:r>
      <w:r w:rsidR="00A6180E">
        <w:t>the addition, modification, or removal of a path from</w:t>
      </w:r>
      <w:r w:rsidR="00E73D04">
        <w:t xml:space="preserve"> the Table</w:t>
      </w:r>
      <w:r w:rsidR="0076132F">
        <w:t>,</w:t>
      </w:r>
      <w:r>
        <w:rPr>
          <w:rStyle w:val="FootnoteReference"/>
        </w:rPr>
        <w:footnoteReference w:id="41"/>
      </w:r>
      <w:r w:rsidR="0076132F">
        <w:t xml:space="preserve"> (2) </w:t>
      </w:r>
      <w:r w:rsidR="00C67B61">
        <w:t xml:space="preserve">the technical justification </w:t>
      </w:r>
      <w:r w:rsidR="00E5316C">
        <w:t>supporting</w:t>
      </w:r>
      <w:r w:rsidR="00C67B61">
        <w:t xml:space="preserve"> </w:t>
      </w:r>
      <w:r w:rsidR="00A6180E">
        <w:t>the addition, modification, or removal of a path from the Table</w:t>
      </w:r>
      <w:r w:rsidR="00EA3378">
        <w:t>,</w:t>
      </w:r>
      <w:r w:rsidR="00A2218F">
        <w:t xml:space="preserve"> and</w:t>
      </w:r>
      <w:r w:rsidR="003533F6">
        <w:t xml:space="preserve"> </w:t>
      </w:r>
      <w:r w:rsidR="00EA3378">
        <w:t>(3) what impact</w:t>
      </w:r>
      <w:r w:rsidR="003533F6">
        <w:t xml:space="preserve"> </w:t>
      </w:r>
      <w:r w:rsidR="00A2218F">
        <w:t>the</w:t>
      </w:r>
      <w:r w:rsidR="003533F6">
        <w:t xml:space="preserve"> change </w:t>
      </w:r>
      <w:r w:rsidR="00BF5A76">
        <w:t>may</w:t>
      </w:r>
      <w:r w:rsidR="003533F6">
        <w:t xml:space="preserve"> </w:t>
      </w:r>
      <w:r w:rsidR="002F599D">
        <w:t xml:space="preserve">have </w:t>
      </w:r>
      <w:r w:rsidR="00BF5A76">
        <w:t>on the Reliable Operation of the Bulk-Power System.</w:t>
      </w:r>
    </w:p>
    <w:p w:rsidR="00D11FF3" w:rsidRPr="00904827" w:rsidP="004867DD" w14:paraId="023C8BCC" w14:textId="491C3AC2">
      <w:pPr>
        <w:pStyle w:val="FERCparanumber"/>
        <w:ind w:right="-270"/>
        <w:rPr>
          <w:szCs w:val="26"/>
        </w:rPr>
      </w:pPr>
      <w:r>
        <w:t>Accordingly,</w:t>
      </w:r>
      <w:r w:rsidR="009254E6">
        <w:t xml:space="preserve"> </w:t>
      </w:r>
      <w:r w:rsidR="00767CA8">
        <w:t xml:space="preserve">we approve </w:t>
      </w:r>
      <w:r w:rsidRPr="005F7E29" w:rsidR="00767CA8">
        <w:t xml:space="preserve">proposed </w:t>
      </w:r>
      <w:r w:rsidR="00767CA8">
        <w:t xml:space="preserve">regional </w:t>
      </w:r>
      <w:r w:rsidRPr="005F7E29" w:rsidR="00767CA8">
        <w:t xml:space="preserve">Reliability Standard </w:t>
      </w:r>
      <w:r w:rsidR="00767CA8">
        <w:t>FAC-501-WECC-4</w:t>
      </w:r>
      <w:r w:rsidR="009255BD">
        <w:t xml:space="preserve">, including the </w:t>
      </w:r>
      <w:r w:rsidR="00DD0516">
        <w:t>delisting</w:t>
      </w:r>
      <w:r w:rsidR="009255BD">
        <w:t xml:space="preserve"> of Paths 22, 50, 51, and 73</w:t>
      </w:r>
      <w:r w:rsidR="00DD0516">
        <w:t xml:space="preserve"> from the Table</w:t>
      </w:r>
      <w:r w:rsidR="00767CA8">
        <w:t xml:space="preserve">, its </w:t>
      </w:r>
      <w:r w:rsidRPr="005F7E29" w:rsidR="00767CA8">
        <w:t xml:space="preserve">associated Violation Risk Factors and Violation </w:t>
      </w:r>
      <w:r w:rsidR="00767CA8">
        <w:t>Severity</w:t>
      </w:r>
      <w:r w:rsidRPr="005F7E29" w:rsidR="00767CA8">
        <w:t xml:space="preserve"> Levels, and the proposed implementat</w:t>
      </w:r>
      <w:r w:rsidR="00767CA8">
        <w:t>i</w:t>
      </w:r>
      <w:r w:rsidRPr="005F7E29" w:rsidR="00767CA8">
        <w:t>on plan</w:t>
      </w:r>
      <w:r w:rsidRPr="00A129C8" w:rsidR="00767CA8">
        <w:t xml:space="preserve"> </w:t>
      </w:r>
      <w:r w:rsidR="00767CA8">
        <w:t xml:space="preserve">including the </w:t>
      </w:r>
      <w:r w:rsidRPr="005F7E29" w:rsidR="00767CA8">
        <w:t xml:space="preserve">retirement of </w:t>
      </w:r>
      <w:r w:rsidR="00767CA8">
        <w:t xml:space="preserve">regional </w:t>
      </w:r>
      <w:r w:rsidRPr="005F7E29" w:rsidR="00767CA8">
        <w:t xml:space="preserve">Reliability Standard </w:t>
      </w:r>
      <w:r w:rsidR="00767CA8">
        <w:t>FAC-501-WECC-2</w:t>
      </w:r>
      <w:r w:rsidRPr="005F7E29" w:rsidR="00767CA8">
        <w:t>.</w:t>
      </w:r>
      <w:r w:rsidR="00B93D7A">
        <w:t xml:space="preserve"> </w:t>
      </w:r>
      <w:r w:rsidR="00767CA8">
        <w:t xml:space="preserve"> We also </w:t>
      </w:r>
      <w:r w:rsidR="00767CA8">
        <w:t>approve the proposed Table Revision Process and the relocation of the Major WECC Transfer Paths Table to the Table Revision Process.</w:t>
      </w:r>
    </w:p>
    <w:p w:rsidR="0057364A" w:rsidRPr="00904827" w:rsidP="0057364A" w14:paraId="5F4D3898" w14:textId="77777777">
      <w:pPr>
        <w:pStyle w:val="Heading1"/>
        <w:numPr>
          <w:ilvl w:val="0"/>
          <w:numId w:val="0"/>
        </w:numPr>
        <w:rPr>
          <w:szCs w:val="26"/>
        </w:rPr>
      </w:pPr>
      <w:r w:rsidRPr="00904827">
        <w:rPr>
          <w:szCs w:val="26"/>
          <w:u w:val="none"/>
        </w:rPr>
        <w:t>IV.</w:t>
      </w:r>
      <w:r w:rsidRPr="00904827">
        <w:rPr>
          <w:szCs w:val="26"/>
          <w:u w:val="none"/>
        </w:rPr>
        <w:tab/>
      </w:r>
      <w:r w:rsidRPr="00904827">
        <w:rPr>
          <w:szCs w:val="26"/>
        </w:rPr>
        <w:t>Information Collection Statement</w:t>
      </w:r>
    </w:p>
    <w:p w:rsidR="00B761B9" w:rsidRPr="0007685B" w:rsidP="00B761B9" w14:paraId="4D4956BD" w14:textId="6F8AAAAD">
      <w:pPr>
        <w:pStyle w:val="FERCparanumber"/>
        <w:rPr>
          <w:szCs w:val="26"/>
        </w:rPr>
      </w:pPr>
      <w:bookmarkStart w:id="4" w:name="_Ref106205203"/>
      <w:r w:rsidRPr="00904827">
        <w:rPr>
          <w:szCs w:val="26"/>
        </w:rPr>
        <w:t>The information collection requirements contained in this order are subject to review by the Office of Management and Budget (OMB) under section 3507(d) of the Paperwork Reduction Act of 1995</w:t>
      </w:r>
      <w:r w:rsidRPr="00904827" w:rsidR="00BC3D99">
        <w:rPr>
          <w:szCs w:val="26"/>
        </w:rPr>
        <w:t>.</w:t>
      </w:r>
      <w:r>
        <w:rPr>
          <w:b/>
          <w:szCs w:val="26"/>
          <w:vertAlign w:val="superscript"/>
        </w:rPr>
        <w:footnoteReference w:id="42"/>
      </w:r>
      <w:r w:rsidR="00D164E3">
        <w:rPr>
          <w:szCs w:val="26"/>
        </w:rPr>
        <w:t xml:space="preserve"> </w:t>
      </w:r>
      <w:r w:rsidRPr="00904827">
        <w:rPr>
          <w:szCs w:val="26"/>
        </w:rPr>
        <w:t xml:space="preserve"> OMB’s regulations require approval of certain information collection requirements imposed by agency orders.</w:t>
      </w:r>
      <w:r>
        <w:rPr>
          <w:b/>
          <w:bCs/>
          <w:szCs w:val="26"/>
          <w:vertAlign w:val="superscript"/>
        </w:rPr>
        <w:footnoteReference w:id="43"/>
      </w:r>
      <w:r w:rsidR="00D164E3">
        <w:rPr>
          <w:szCs w:val="26"/>
        </w:rPr>
        <w:t xml:space="preserve"> </w:t>
      </w:r>
      <w:r w:rsidRPr="00904827">
        <w:rPr>
          <w:szCs w:val="26"/>
        </w:rPr>
        <w:t xml:space="preserve"> Upon approval of a collection of information, OMB will assign an OMB control number and expiration date.</w:t>
      </w:r>
      <w:r w:rsidR="00D164E3">
        <w:rPr>
          <w:szCs w:val="26"/>
        </w:rPr>
        <w:t xml:space="preserve"> </w:t>
      </w:r>
      <w:r w:rsidRPr="00904827">
        <w:rPr>
          <w:szCs w:val="26"/>
        </w:rPr>
        <w:t xml:space="preserve"> Respondents subject to the filing requirements of this order will not be penalized for failing to respond to this collection of information unless the collection of information displays a valid OMB control number.</w:t>
      </w:r>
      <w:bookmarkEnd w:id="4"/>
    </w:p>
    <w:p w:rsidR="0057364A" w:rsidRPr="0007685B" w:rsidP="004867DD" w14:paraId="15165BE8" w14:textId="549E91B0">
      <w:pPr>
        <w:pStyle w:val="FERCparanumber"/>
        <w:ind w:right="-90"/>
        <w:rPr>
          <w:rFonts w:eastAsia="Times New Roman"/>
        </w:rPr>
      </w:pPr>
      <w:r w:rsidRPr="00904827">
        <w:rPr>
          <w:szCs w:val="26"/>
        </w:rPr>
        <w:t xml:space="preserve">The approval of NERC and WECC’s proposed regional Reliability Standard </w:t>
      </w:r>
      <w:r w:rsidR="004867DD">
        <w:rPr>
          <w:szCs w:val="26"/>
        </w:rPr>
        <w:t xml:space="preserve">  </w:t>
      </w:r>
      <w:r w:rsidRPr="00904827">
        <w:rPr>
          <w:szCs w:val="26"/>
        </w:rPr>
        <w:t>FAC-501-WECC-4 (Transmission Maintenance), is covered by, and already included in, the existing OMB-approved information collection FERC-725 (Certification of Electric Reliability Organization</w:t>
      </w:r>
      <w:r>
        <w:t xml:space="preserve">; Procedures for Electric Reliability Standards; OMB Control </w:t>
      </w:r>
      <w:r w:rsidR="004867DD">
        <w:t xml:space="preserve">  </w:t>
      </w:r>
      <w:r>
        <w:t>No. 1902-0225), under Reliability Standards Development.</w:t>
      </w:r>
      <w:r>
        <w:rPr>
          <w:b/>
          <w:vertAlign w:val="superscript"/>
        </w:rPr>
        <w:footnoteReference w:id="44"/>
      </w:r>
      <w:r w:rsidR="00D164E3">
        <w:t xml:space="preserve"> </w:t>
      </w:r>
      <w:r>
        <w:t xml:space="preserve"> </w:t>
      </w:r>
      <w:bookmarkStart w:id="5" w:name="_Hlk102727739"/>
      <w:r>
        <w:t>The reporting requirements in FERC-725 include the ERO’s overall responsibility for developing Reliability Standards</w:t>
      </w:r>
      <w:bookmarkEnd w:id="5"/>
      <w:r>
        <w:t>, such as FAC-501-WECC-4, which is designed to ensure that transmission owners of certain transmission paths and associated facilities to have Transmission Maintenance and Inspection Plans and perform and document maintenance and inspection activities.</w:t>
      </w:r>
      <w:r>
        <w:rPr>
          <w:rStyle w:val="FootnoteReference"/>
        </w:rPr>
        <w:footnoteReference w:id="45"/>
      </w:r>
      <w:r w:rsidR="00D164E3">
        <w:t xml:space="preserve"> </w:t>
      </w:r>
      <w:r>
        <w:t xml:space="preserve"> The Commission will submit to OMB a request for a non-substantive revision of FERC-725 in connection with this </w:t>
      </w:r>
      <w:r w:rsidR="00876319">
        <w:t>o</w:t>
      </w:r>
      <w:r>
        <w:t>rder.</w:t>
      </w:r>
    </w:p>
    <w:p w:rsidR="00F50584" w14:paraId="0C463726" w14:textId="77777777">
      <w:r w:rsidRPr="00CD0B38">
        <w:rPr>
          <w:u w:val="single"/>
        </w:rPr>
        <w:t>The Commission orders</w:t>
      </w:r>
      <w:r w:rsidRPr="00CD0B38">
        <w:t>:</w:t>
      </w:r>
    </w:p>
    <w:p w:rsidR="00F50584" w14:paraId="7CBE697E" w14:textId="77777777"/>
    <w:p w:rsidR="00F50584" w:rsidP="004867DD" w14:paraId="2FE20BEC" w14:textId="3D66F836">
      <w:pPr>
        <w:ind w:firstLine="720"/>
      </w:pPr>
      <w:r>
        <w:t xml:space="preserve">The Commission hereby approves: </w:t>
      </w:r>
      <w:r w:rsidR="00A80BF2">
        <w:t xml:space="preserve"> </w:t>
      </w:r>
      <w:r>
        <w:t xml:space="preserve">(1) </w:t>
      </w:r>
      <w:r w:rsidR="00D32AB2">
        <w:t>regional Reliability Standard</w:t>
      </w:r>
      <w:r w:rsidR="00F66828">
        <w:t xml:space="preserve"> FAC-501-WECC-4</w:t>
      </w:r>
      <w:r w:rsidR="00BB3272">
        <w:t>;</w:t>
      </w:r>
      <w:r w:rsidR="00D32AB2">
        <w:t xml:space="preserve"> </w:t>
      </w:r>
      <w:r w:rsidRPr="00D32AB2" w:rsidR="00D32AB2">
        <w:t xml:space="preserve">(2) the associated implementation plan, the associated </w:t>
      </w:r>
      <w:r w:rsidRPr="005F7E29" w:rsidR="0073761A">
        <w:t xml:space="preserve">Violation Risk Factors and Violation </w:t>
      </w:r>
      <w:r w:rsidR="0073761A">
        <w:t>Severity</w:t>
      </w:r>
      <w:r w:rsidRPr="005F7E29" w:rsidR="0073761A">
        <w:t xml:space="preserve"> Levels</w:t>
      </w:r>
      <w:r w:rsidR="00BB3272">
        <w:t>;</w:t>
      </w:r>
      <w:r w:rsidRPr="00D32AB2" w:rsidR="00D32AB2">
        <w:t xml:space="preserve"> (3) the retirement of the currently effective Commission-approved </w:t>
      </w:r>
      <w:r w:rsidR="00F66828">
        <w:t xml:space="preserve">regional </w:t>
      </w:r>
      <w:r w:rsidRPr="00D32AB2" w:rsidR="00D32AB2">
        <w:t xml:space="preserve">Reliability Standard </w:t>
      </w:r>
      <w:r w:rsidR="00F66828">
        <w:t>FAC-501-WECC-2</w:t>
      </w:r>
      <w:r w:rsidRPr="00D32AB2" w:rsidR="00D32AB2">
        <w:t xml:space="preserve"> immediately prior to the effective date of</w:t>
      </w:r>
      <w:r w:rsidR="00F66828">
        <w:t xml:space="preserve"> regional</w:t>
      </w:r>
      <w:r w:rsidRPr="00D32AB2" w:rsidR="00D32AB2">
        <w:t xml:space="preserve"> Reliability Standard </w:t>
      </w:r>
      <w:r w:rsidR="00F66828">
        <w:t>FAC-501-WECC-4</w:t>
      </w:r>
      <w:r w:rsidR="00BB3272">
        <w:t>; (4)</w:t>
      </w:r>
      <w:r w:rsidR="000702F0">
        <w:t xml:space="preserve"> the Table Revision </w:t>
      </w:r>
      <w:r w:rsidR="000702F0">
        <w:t xml:space="preserve">Process; and (5) the </w:t>
      </w:r>
      <w:r w:rsidR="0026565E">
        <w:t>relocation of the Major WECC Transfer Paths Table to the Table Revision Process,</w:t>
      </w:r>
      <w:r w:rsidR="00BB3272">
        <w:t xml:space="preserve"> </w:t>
      </w:r>
      <w:r w:rsidRPr="00D32AB2" w:rsidR="00D32AB2">
        <w:t>as discussed in the body of this order.</w:t>
      </w:r>
    </w:p>
    <w:p w:rsidR="00F50584" w:rsidRPr="00CD0B38" w14:paraId="0DF02E09" w14:textId="77777777"/>
    <w:p w:rsidR="00F50584" w:rsidRPr="00CD0B38" w14:paraId="5222C5D1" w14:textId="77777777">
      <w:r w:rsidRPr="00CD0B38">
        <w:t>By the Commission.</w:t>
      </w:r>
    </w:p>
    <w:p w:rsidR="00F50584" w:rsidRPr="00CD0B38" w14:paraId="1B0BC5C2" w14:textId="77777777"/>
    <w:p w:rsidR="00627555" w:rsidP="00627555" w14:paraId="5459C9E8" w14:textId="13A3AC6A">
      <w:pPr>
        <w:widowControl/>
      </w:pPr>
      <w:r w:rsidRPr="00627555">
        <w:t>( S</w:t>
      </w:r>
      <w:r w:rsidRPr="00627555">
        <w:t xml:space="preserve"> E A L )</w:t>
      </w:r>
      <w:r w:rsidRPr="00CD0B38" w:rsidR="00F50584">
        <w:tab/>
      </w:r>
      <w:r w:rsidRPr="00CD0B38" w:rsidR="00F50584">
        <w:tab/>
      </w:r>
      <w:r w:rsidRPr="00CD0B38" w:rsidR="00F50584">
        <w:tab/>
      </w:r>
      <w:r w:rsidRPr="00CD0B38" w:rsidR="00F50584">
        <w:tab/>
      </w:r>
      <w:r w:rsidRPr="00CD0B38" w:rsidR="00F50584">
        <w:tab/>
      </w:r>
      <w:r w:rsidRPr="00CD0B38" w:rsidR="00F50584">
        <w:tab/>
      </w:r>
      <w:r w:rsidRPr="00CD0B38" w:rsidR="00F50584">
        <w:tab/>
      </w:r>
    </w:p>
    <w:p w:rsidR="00627555" w:rsidP="00627555" w14:paraId="49F9CDA8" w14:textId="77777777">
      <w:pPr>
        <w:widowControl/>
      </w:pPr>
    </w:p>
    <w:p w:rsidR="00627555" w:rsidP="00627555" w14:paraId="10D645C4" w14:textId="77777777">
      <w:pPr>
        <w:widowControl/>
      </w:pPr>
    </w:p>
    <w:p w:rsidR="00627555" w:rsidP="00627555" w14:paraId="1C7F396E" w14:textId="77777777">
      <w:pPr>
        <w:widowControl/>
      </w:pPr>
    </w:p>
    <w:p w:rsidR="00627555" w:rsidRPr="00627555" w:rsidP="00627555" w14:paraId="1D5CD1DB" w14:textId="0B3E1305">
      <w:pPr>
        <w:widowControl/>
        <w:ind w:firstLine="2606"/>
        <w:jc w:val="center"/>
      </w:pPr>
      <w:r w:rsidRPr="00627555">
        <w:t>Debbie-Anne A. Reese,</w:t>
      </w:r>
    </w:p>
    <w:p w:rsidR="00627555" w:rsidRPr="00627555" w:rsidP="00627555" w14:paraId="3EDEBC50" w14:textId="676C54AC">
      <w:pPr>
        <w:widowControl/>
        <w:ind w:firstLine="2606"/>
        <w:jc w:val="center"/>
      </w:pPr>
      <w:r w:rsidRPr="00627555">
        <w:t>Acting Secretary.</w:t>
      </w:r>
    </w:p>
    <w:p w:rsidR="00627555" w:rsidRPr="00CD0B38" w:rsidP="00627555" w14:paraId="354AA238" w14:textId="77777777">
      <w:pPr>
        <w:widowControl/>
      </w:pPr>
    </w:p>
    <w:p w:rsidR="00F50584" w:rsidRPr="00401A63" w:rsidP="00401A63" w14:paraId="17A619A6" w14:textId="77777777"/>
    <w:p w:rsidR="00FF32A1" w:rsidRPr="0003382F" w:rsidP="000D7E4E" w14:paraId="5A32A3C2" w14:textId="77777777">
      <w:pPr>
        <w:pStyle w:val="FootnoteText"/>
        <w:ind w:firstLine="0"/>
      </w:pPr>
    </w:p>
    <w:sectPr w:rsidSect="00F50584">
      <w:headerReference w:type="even" r:id="rId11"/>
      <w:headerReference w:type="default" r:id="rId12"/>
      <w:headerReference w:type="first" r:id="rId13"/>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C30B2" w:rsidP="0048020B" w14:paraId="2867E6E9" w14:textId="77777777">
      <w:r>
        <w:separator/>
      </w:r>
    </w:p>
  </w:endnote>
  <w:endnote w:type="continuationSeparator" w:id="1">
    <w:p w:rsidR="00DC30B2" w:rsidP="0048020B" w14:paraId="1ADF11A0" w14:textId="77777777">
      <w:r>
        <w:continuationSeparator/>
      </w:r>
    </w:p>
  </w:endnote>
  <w:endnote w:type="continuationNotice" w:id="2">
    <w:p w:rsidR="00DC30B2" w14:paraId="6517869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C30B2" w:rsidP="0048020B" w14:paraId="66F865B3" w14:textId="77777777">
      <w:r>
        <w:separator/>
      </w:r>
    </w:p>
  </w:footnote>
  <w:footnote w:type="continuationSeparator" w:id="1">
    <w:p w:rsidR="00DC30B2" w:rsidP="0048020B" w14:paraId="7569C047" w14:textId="77777777">
      <w:r>
        <w:continuationSeparator/>
      </w:r>
    </w:p>
  </w:footnote>
  <w:footnote w:type="continuationNotice" w:id="2">
    <w:p w:rsidR="00DC30B2" w:rsidRPr="0080463E" w:rsidP="0080463E" w14:paraId="78F3B1AC" w14:textId="77777777">
      <w:pPr>
        <w:spacing w:line="14" w:lineRule="exact"/>
        <w:rPr>
          <w:sz w:val="2"/>
        </w:rPr>
      </w:pPr>
    </w:p>
  </w:footnote>
  <w:footnote w:id="3">
    <w:p w:rsidR="00313048" w:rsidRPr="005C07B1" w:rsidP="00313048" w14:paraId="1CB7BE80" w14:textId="77777777">
      <w:pPr>
        <w:pStyle w:val="FootnoteText"/>
        <w:rPr>
          <w:szCs w:val="26"/>
        </w:rPr>
      </w:pPr>
      <w:r w:rsidRPr="005C07B1">
        <w:rPr>
          <w:rStyle w:val="FootnoteReference"/>
          <w:szCs w:val="26"/>
        </w:rPr>
        <w:footnoteRef/>
      </w:r>
      <w:r w:rsidRPr="005C07B1">
        <w:rPr>
          <w:szCs w:val="26"/>
        </w:rPr>
        <w:t xml:space="preserve"> Joint Petition at 1.</w:t>
      </w:r>
    </w:p>
  </w:footnote>
  <w:footnote w:id="4">
    <w:p w:rsidR="009B536C" w:rsidP="00962BF3" w14:paraId="069C1206" w14:textId="0C966381">
      <w:pPr>
        <w:pStyle w:val="FootnoteText"/>
        <w:ind w:right="-180"/>
      </w:pPr>
      <w:r>
        <w:rPr>
          <w:rStyle w:val="FootnoteReference"/>
        </w:rPr>
        <w:footnoteRef/>
      </w:r>
      <w:r>
        <w:t xml:space="preserve"> </w:t>
      </w:r>
      <w:r w:rsidRPr="00B13715">
        <w:t>The Table is incorporated by reference in Reliability Standards FAC-003-5 (Transmission Vegetation Management)</w:t>
      </w:r>
      <w:r w:rsidR="005A3407">
        <w:t xml:space="preserve"> and</w:t>
      </w:r>
      <w:r w:rsidRPr="00B13715">
        <w:t xml:space="preserve"> PRC-023-6 (Transmission Relay </w:t>
      </w:r>
      <w:r w:rsidRPr="00B13715">
        <w:t>Loadability</w:t>
      </w:r>
      <w:r w:rsidRPr="00B13715">
        <w:t>), and the NERC Glossary of Terms.</w:t>
      </w:r>
    </w:p>
  </w:footnote>
  <w:footnote w:id="5">
    <w:p w:rsidR="00397622" w14:paraId="2F6BA7F9" w14:textId="15226A3D">
      <w:pPr>
        <w:pStyle w:val="FootnoteText"/>
      </w:pPr>
      <w:r>
        <w:rPr>
          <w:rStyle w:val="FootnoteReference"/>
        </w:rPr>
        <w:footnoteRef/>
      </w:r>
      <w:r>
        <w:t xml:space="preserve"> </w:t>
      </w:r>
      <w:r w:rsidRPr="00F80ED0" w:rsidR="00F80ED0">
        <w:t xml:space="preserve">16 U.S.C. </w:t>
      </w:r>
      <w:r w:rsidRPr="00F80ED0" w:rsidR="00D164E3">
        <w:t>§</w:t>
      </w:r>
      <w:r w:rsidR="00D164E3">
        <w:t> </w:t>
      </w:r>
      <w:r w:rsidRPr="00F80ED0" w:rsidR="00D164E3">
        <w:t>8</w:t>
      </w:r>
      <w:r w:rsidRPr="00F80ED0" w:rsidR="00F80ED0">
        <w:t>24o(d)(2).</w:t>
      </w:r>
    </w:p>
  </w:footnote>
  <w:footnote w:id="6">
    <w:p w:rsidR="00C00407" w:rsidP="00C00407" w14:paraId="6522D3AC" w14:textId="5D49D0E8">
      <w:pPr>
        <w:pStyle w:val="FootnoteText"/>
      </w:pPr>
      <w:r>
        <w:rPr>
          <w:rStyle w:val="FootnoteReference"/>
        </w:rPr>
        <w:footnoteRef/>
      </w:r>
      <w:r>
        <w:t xml:space="preserve"> 16 U.S.C. </w:t>
      </w:r>
      <w:r w:rsidR="00D164E3">
        <w:t>§ 8</w:t>
      </w:r>
      <w:r>
        <w:t>24o.</w:t>
      </w:r>
    </w:p>
  </w:footnote>
  <w:footnote w:id="7">
    <w:p w:rsidR="00972514" w14:paraId="4CEDAECB" w14:textId="1DA21318">
      <w:pPr>
        <w:pStyle w:val="FootnoteText"/>
      </w:pPr>
      <w:r>
        <w:rPr>
          <w:rStyle w:val="FootnoteReference"/>
        </w:rPr>
        <w:footnoteRef/>
      </w:r>
      <w:r>
        <w:t xml:space="preserve"> </w:t>
      </w:r>
      <w:r w:rsidR="003F6375">
        <w:rPr>
          <w:i/>
          <w:iCs/>
        </w:rPr>
        <w:t>Id.</w:t>
      </w:r>
      <w:r>
        <w:t xml:space="preserve"> </w:t>
      </w:r>
      <w:r w:rsidR="00D164E3">
        <w:t>§ 8</w:t>
      </w:r>
      <w:r>
        <w:t>24o</w:t>
      </w:r>
      <w:r w:rsidR="00FD417D">
        <w:t>(e)(4); 18 C</w:t>
      </w:r>
      <w:r w:rsidR="009B5EBB">
        <w:t>.</w:t>
      </w:r>
      <w:r w:rsidR="00FD417D">
        <w:t>F</w:t>
      </w:r>
      <w:r w:rsidR="009B5EBB">
        <w:t>.</w:t>
      </w:r>
      <w:r w:rsidR="00FD417D">
        <w:t>R</w:t>
      </w:r>
      <w:r w:rsidR="00912B06">
        <w:t>.</w:t>
      </w:r>
      <w:r w:rsidRPr="00495BCB" w:rsidR="00495BCB">
        <w:t xml:space="preserve"> </w:t>
      </w:r>
      <w:r w:rsidRPr="00495BCB" w:rsidR="00D164E3">
        <w:t>§</w:t>
      </w:r>
      <w:r w:rsidR="00D164E3">
        <w:t> 3</w:t>
      </w:r>
      <w:r w:rsidR="00FD417D">
        <w:t>9.</w:t>
      </w:r>
      <w:r w:rsidR="007E434A">
        <w:t>8</w:t>
      </w:r>
      <w:r w:rsidR="00716C8F">
        <w:t>(</w:t>
      </w:r>
      <w:r w:rsidR="007E434A">
        <w:t>a</w:t>
      </w:r>
      <w:r w:rsidR="00716C8F">
        <w:t>)</w:t>
      </w:r>
      <w:r w:rsidR="00B60144">
        <w:t xml:space="preserve"> (202</w:t>
      </w:r>
      <w:r w:rsidR="00721103">
        <w:t>4</w:t>
      </w:r>
      <w:r w:rsidR="00B60144">
        <w:t>)</w:t>
      </w:r>
      <w:r>
        <w:t>.</w:t>
      </w:r>
    </w:p>
  </w:footnote>
  <w:footnote w:id="8">
    <w:p w:rsidR="001B05F2" w14:paraId="07C1F4B6" w14:textId="7572EC9E">
      <w:pPr>
        <w:pStyle w:val="FootnoteText"/>
      </w:pPr>
      <w:r>
        <w:rPr>
          <w:rStyle w:val="FootnoteReference"/>
        </w:rPr>
        <w:footnoteRef/>
      </w:r>
      <w:r>
        <w:t xml:space="preserve"> </w:t>
      </w:r>
      <w:r w:rsidRPr="00BC1A6F" w:rsidR="00BC1A6F">
        <w:t xml:space="preserve">16 U.S.C. </w:t>
      </w:r>
      <w:r w:rsidRPr="00BC1A6F" w:rsidR="00D164E3">
        <w:t>§</w:t>
      </w:r>
      <w:r w:rsidR="00D164E3">
        <w:t> </w:t>
      </w:r>
      <w:r w:rsidRPr="00BC1A6F" w:rsidR="00D164E3">
        <w:t>8</w:t>
      </w:r>
      <w:r w:rsidRPr="00BC1A6F" w:rsidR="00BC1A6F">
        <w:t>24o(d)(</w:t>
      </w:r>
      <w:r w:rsidR="00BC1A6F">
        <w:t>3</w:t>
      </w:r>
      <w:r w:rsidRPr="00BC1A6F" w:rsidR="00BC1A6F">
        <w:t xml:space="preserve">); </w:t>
      </w:r>
      <w:r w:rsidRPr="00BC1A6F" w:rsidR="00BC1A6F">
        <w:rPr>
          <w:i/>
          <w:iCs/>
        </w:rPr>
        <w:t>see also</w:t>
      </w:r>
      <w:r w:rsidRPr="00D164E3" w:rsidR="00BC1A6F">
        <w:rPr>
          <w:iCs/>
        </w:rPr>
        <w:t xml:space="preserve"> </w:t>
      </w:r>
      <w:r w:rsidR="00042247">
        <w:t>18 C</w:t>
      </w:r>
      <w:r w:rsidR="009B5EBB">
        <w:t>.</w:t>
      </w:r>
      <w:r w:rsidR="00042247">
        <w:t>F</w:t>
      </w:r>
      <w:r w:rsidR="009B5EBB">
        <w:t>.</w:t>
      </w:r>
      <w:r w:rsidR="00042247">
        <w:t>R</w:t>
      </w:r>
      <w:r w:rsidR="00731085">
        <w:t>.</w:t>
      </w:r>
      <w:r w:rsidRPr="00495BCB" w:rsidR="00495BCB">
        <w:t xml:space="preserve"> </w:t>
      </w:r>
      <w:r w:rsidRPr="00495BCB" w:rsidR="00D164E3">
        <w:t>§</w:t>
      </w:r>
      <w:r w:rsidR="00D164E3">
        <w:t> 3</w:t>
      </w:r>
      <w:r w:rsidR="00042247">
        <w:t>9.</w:t>
      </w:r>
      <w:r w:rsidR="00611579">
        <w:t>5(b)</w:t>
      </w:r>
      <w:r w:rsidR="00A80BF2">
        <w:t xml:space="preserve"> (202</w:t>
      </w:r>
      <w:r w:rsidR="00FB296E">
        <w:t>4</w:t>
      </w:r>
      <w:r w:rsidR="00A80BF2">
        <w:t>)</w:t>
      </w:r>
      <w:r w:rsidR="00042247">
        <w:t>.</w:t>
      </w:r>
    </w:p>
  </w:footnote>
  <w:footnote w:id="9">
    <w:p w:rsidR="00377619" w14:paraId="21A8C368" w14:textId="09C1EB8B">
      <w:pPr>
        <w:pStyle w:val="FootnoteText"/>
      </w:pPr>
      <w:r>
        <w:rPr>
          <w:rStyle w:val="FootnoteReference"/>
        </w:rPr>
        <w:footnoteRef/>
      </w:r>
      <w:r>
        <w:t xml:space="preserve"> </w:t>
      </w:r>
      <w:r w:rsidR="00972514">
        <w:t xml:space="preserve">16 U.S.C. </w:t>
      </w:r>
      <w:r w:rsidR="00D164E3">
        <w:t>§ 8</w:t>
      </w:r>
      <w:r w:rsidR="00972514">
        <w:t>24o(d)(2)</w:t>
      </w:r>
      <w:r w:rsidR="00C86D48">
        <w:t xml:space="preserve">; </w:t>
      </w:r>
      <w:r w:rsidR="00BB7E1B">
        <w:rPr>
          <w:i/>
          <w:iCs/>
        </w:rPr>
        <w:t>see also</w:t>
      </w:r>
      <w:r w:rsidRPr="00D164E3" w:rsidR="00BB7E1B">
        <w:rPr>
          <w:iCs/>
        </w:rPr>
        <w:t xml:space="preserve"> </w:t>
      </w:r>
      <w:r w:rsidR="00FA2EE0">
        <w:t>18 C</w:t>
      </w:r>
      <w:r w:rsidR="009B5EBB">
        <w:t>.</w:t>
      </w:r>
      <w:r w:rsidR="00FA2EE0">
        <w:t>F</w:t>
      </w:r>
      <w:r w:rsidR="009B5EBB">
        <w:t>.</w:t>
      </w:r>
      <w:r w:rsidR="00FA2EE0">
        <w:t>R</w:t>
      </w:r>
      <w:r w:rsidR="00731085">
        <w:t>.</w:t>
      </w:r>
      <w:r w:rsidR="008B674E">
        <w:t xml:space="preserve"> </w:t>
      </w:r>
      <w:r w:rsidR="00D164E3">
        <w:t>§ 3</w:t>
      </w:r>
      <w:r w:rsidR="00E844DE">
        <w:t>9.5(c)</w:t>
      </w:r>
      <w:r w:rsidR="0003083A">
        <w:t>(2</w:t>
      </w:r>
      <w:r w:rsidR="00972514">
        <w:t>).</w:t>
      </w:r>
    </w:p>
  </w:footnote>
  <w:footnote w:id="10">
    <w:p w:rsidR="00C00407" w:rsidRPr="00E3138D" w:rsidP="00C00407" w14:paraId="041F612D" w14:textId="21315884">
      <w:pPr>
        <w:pStyle w:val="FootnoteText"/>
      </w:pPr>
      <w:r>
        <w:rPr>
          <w:rStyle w:val="FootnoteReference"/>
        </w:rPr>
        <w:footnoteRef/>
      </w:r>
      <w:r>
        <w:t xml:space="preserve"> </w:t>
      </w:r>
      <w:r>
        <w:rPr>
          <w:i/>
          <w:iCs/>
        </w:rPr>
        <w:t>N. Am. Elec. Reliability Corp.</w:t>
      </w:r>
      <w:r>
        <w:t xml:space="preserve">, 116 FERC </w:t>
      </w:r>
      <w:r w:rsidR="00D164E3">
        <w:t>¶ 6</w:t>
      </w:r>
      <w:r>
        <w:t xml:space="preserve">1,062, </w:t>
      </w:r>
      <w:r>
        <w:rPr>
          <w:i/>
          <w:iCs/>
        </w:rPr>
        <w:t>order on reh’g and compliance</w:t>
      </w:r>
      <w:r>
        <w:t xml:space="preserve">, 117 FERC </w:t>
      </w:r>
      <w:r w:rsidR="00D164E3">
        <w:t>¶ 6</w:t>
      </w:r>
      <w:r>
        <w:t xml:space="preserve">1,126 (2006), </w:t>
      </w:r>
      <w:r>
        <w:rPr>
          <w:i/>
          <w:iCs/>
        </w:rPr>
        <w:t>order on compliance</w:t>
      </w:r>
      <w:r>
        <w:t xml:space="preserve">, 118 FERC </w:t>
      </w:r>
      <w:r w:rsidR="00D164E3">
        <w:t>¶ 6</w:t>
      </w:r>
      <w:r>
        <w:t>1,030</w:t>
      </w:r>
      <w:r>
        <w:t xml:space="preserve">, </w:t>
      </w:r>
      <w:r w:rsidR="00962BF3">
        <w:t xml:space="preserve"> </w:t>
      </w:r>
      <w:r>
        <w:rPr>
          <w:i/>
          <w:iCs/>
        </w:rPr>
        <w:t>order</w:t>
      </w:r>
      <w:r>
        <w:rPr>
          <w:i/>
          <w:iCs/>
        </w:rPr>
        <w:t xml:space="preserve"> on clarification and reh’g</w:t>
      </w:r>
      <w:r>
        <w:t xml:space="preserve">, 119 FERC </w:t>
      </w:r>
      <w:r w:rsidR="00D164E3">
        <w:t>¶ 6</w:t>
      </w:r>
      <w:r>
        <w:t xml:space="preserve">1,046 (2007), </w:t>
      </w:r>
      <w:r>
        <w:rPr>
          <w:i/>
          <w:iCs/>
        </w:rPr>
        <w:t>aff’d sub. nom. Alcoa Inc. v. FERC</w:t>
      </w:r>
      <w:r>
        <w:t xml:space="preserve">, 564 F.3d 1342 (D.C. Cir. 2009). </w:t>
      </w:r>
    </w:p>
  </w:footnote>
  <w:footnote w:id="11">
    <w:p w:rsidR="00E53EB5" w14:paraId="3AFF097F" w14:textId="6466150C">
      <w:pPr>
        <w:pStyle w:val="FootnoteText"/>
      </w:pPr>
      <w:r>
        <w:rPr>
          <w:rStyle w:val="FootnoteReference"/>
        </w:rPr>
        <w:footnoteRef/>
      </w:r>
      <w:r>
        <w:t xml:space="preserve"> </w:t>
      </w:r>
      <w:r w:rsidRPr="00E53EB5">
        <w:rPr>
          <w:i/>
          <w:iCs/>
        </w:rPr>
        <w:t>N</w:t>
      </w:r>
      <w:r>
        <w:rPr>
          <w:i/>
          <w:iCs/>
        </w:rPr>
        <w:t>.</w:t>
      </w:r>
      <w:r w:rsidRPr="00E53EB5">
        <w:rPr>
          <w:i/>
          <w:iCs/>
        </w:rPr>
        <w:t xml:space="preserve"> Am</w:t>
      </w:r>
      <w:r>
        <w:rPr>
          <w:i/>
          <w:iCs/>
        </w:rPr>
        <w:t>.</w:t>
      </w:r>
      <w:r w:rsidRPr="00E53EB5">
        <w:rPr>
          <w:i/>
          <w:iCs/>
        </w:rPr>
        <w:t xml:space="preserve"> Elec</w:t>
      </w:r>
      <w:r w:rsidR="00853718">
        <w:rPr>
          <w:i/>
          <w:iCs/>
        </w:rPr>
        <w:t>.</w:t>
      </w:r>
      <w:r w:rsidRPr="00E53EB5">
        <w:rPr>
          <w:i/>
          <w:iCs/>
        </w:rPr>
        <w:t xml:space="preserve"> Reliability Corp</w:t>
      </w:r>
      <w:r w:rsidRPr="0080463E">
        <w:rPr>
          <w:i/>
          <w:iCs/>
        </w:rPr>
        <w:t>.</w:t>
      </w:r>
      <w:r w:rsidRPr="00E53EB5">
        <w:t xml:space="preserve">, 119 FERC </w:t>
      </w:r>
      <w:r w:rsidRPr="00E53EB5" w:rsidR="00D164E3">
        <w:t>¶</w:t>
      </w:r>
      <w:r w:rsidR="00D164E3">
        <w:t> </w:t>
      </w:r>
      <w:r w:rsidRPr="00E53EB5" w:rsidR="00D164E3">
        <w:t>6</w:t>
      </w:r>
      <w:r w:rsidRPr="00E53EB5">
        <w:t xml:space="preserve">1,060 (Initial Delegation Agreement Order), </w:t>
      </w:r>
      <w:r w:rsidRPr="00393C68">
        <w:rPr>
          <w:i/>
          <w:iCs/>
        </w:rPr>
        <w:t>order on reh’g</w:t>
      </w:r>
      <w:r w:rsidRPr="00E53EB5">
        <w:t xml:space="preserve">, 120 FERC </w:t>
      </w:r>
      <w:r w:rsidRPr="00E53EB5" w:rsidR="00D164E3">
        <w:t>¶</w:t>
      </w:r>
      <w:r w:rsidR="00D164E3">
        <w:t> </w:t>
      </w:r>
      <w:r w:rsidRPr="00E53EB5" w:rsidR="00D164E3">
        <w:t>6</w:t>
      </w:r>
      <w:r w:rsidRPr="00E53EB5">
        <w:t>1,260 (2007)</w:t>
      </w:r>
      <w:r w:rsidR="00766475">
        <w:t>.</w:t>
      </w:r>
    </w:p>
  </w:footnote>
  <w:footnote w:id="12">
    <w:p w:rsidR="00C02561" w:rsidP="00962BF3" w14:paraId="235E9877" w14:textId="04A0BA03">
      <w:pPr>
        <w:pStyle w:val="FootnoteText"/>
        <w:ind w:right="-720"/>
      </w:pPr>
      <w:r>
        <w:rPr>
          <w:rStyle w:val="FootnoteReference"/>
        </w:rPr>
        <w:footnoteRef/>
      </w:r>
      <w:r>
        <w:t xml:space="preserve"> </w:t>
      </w:r>
      <w:r w:rsidRPr="00A80BF2" w:rsidR="00202813">
        <w:t>N. Am. Elec. Reliability Corp</w:t>
      </w:r>
      <w:r w:rsidRPr="00A80BF2" w:rsidR="00202813">
        <w:rPr>
          <w:i/>
          <w:iCs/>
        </w:rPr>
        <w:t>.,</w:t>
      </w:r>
      <w:r w:rsidR="00202813">
        <w:t xml:space="preserve"> </w:t>
      </w:r>
      <w:r w:rsidR="00056AA0">
        <w:t>Petition, Docket No. RM09-9</w:t>
      </w:r>
      <w:r w:rsidR="005506FC">
        <w:t>-000 (filed Feb. 9, 2009).</w:t>
      </w:r>
    </w:p>
  </w:footnote>
  <w:footnote w:id="13">
    <w:p w:rsidR="00D921E8" w14:paraId="3CECF4E8" w14:textId="278E4FAD">
      <w:pPr>
        <w:pStyle w:val="FootnoteText"/>
      </w:pPr>
      <w:r>
        <w:rPr>
          <w:rStyle w:val="FootnoteReference"/>
        </w:rPr>
        <w:footnoteRef/>
      </w:r>
      <w:r>
        <w:t xml:space="preserve"> </w:t>
      </w:r>
      <w:r w:rsidRPr="00B13715" w:rsidR="00B13715">
        <w:t>The Table is incorporated by reference in Reliability Standards FAC-003-5 (Transmission Vegetation Management)</w:t>
      </w:r>
      <w:r w:rsidR="001E7038">
        <w:t xml:space="preserve"> and</w:t>
      </w:r>
      <w:r w:rsidRPr="00B13715" w:rsidR="00B13715">
        <w:t xml:space="preserve"> PRC-023-6 (Transmission Relay </w:t>
      </w:r>
      <w:r w:rsidRPr="00B13715" w:rsidR="00B13715">
        <w:t>Loadability</w:t>
      </w:r>
      <w:r w:rsidRPr="00B13715" w:rsidR="00B13715">
        <w:t xml:space="preserve">), and the NERC Glossary of Terms.  </w:t>
      </w:r>
    </w:p>
  </w:footnote>
  <w:footnote w:id="14">
    <w:p w:rsidR="0044185C" w:rsidP="00B85366" w14:paraId="62B5DD7B" w14:textId="402DDB3C">
      <w:pPr>
        <w:pStyle w:val="FootnoteText"/>
      </w:pPr>
      <w:r>
        <w:rPr>
          <w:rStyle w:val="FootnoteReference"/>
        </w:rPr>
        <w:footnoteRef/>
      </w:r>
      <w:r>
        <w:t xml:space="preserve"> </w:t>
      </w:r>
      <w:r w:rsidRPr="00BA37FC" w:rsidR="00A80BF2">
        <w:rPr>
          <w:i/>
        </w:rPr>
        <w:t xml:space="preserve">Version One </w:t>
      </w:r>
      <w:r w:rsidR="00A80BF2">
        <w:rPr>
          <w:i/>
        </w:rPr>
        <w:t>Reg’l</w:t>
      </w:r>
      <w:r w:rsidRPr="00BA37FC" w:rsidR="00A80BF2">
        <w:rPr>
          <w:i/>
        </w:rPr>
        <w:t xml:space="preserve"> Reliability Standards for Facilities Design, Connections, </w:t>
      </w:r>
      <w:r w:rsidR="00A80BF2">
        <w:rPr>
          <w:i/>
        </w:rPr>
        <w:t>&amp;</w:t>
      </w:r>
      <w:r w:rsidRPr="00BA37FC" w:rsidR="00A80BF2">
        <w:rPr>
          <w:i/>
        </w:rPr>
        <w:t xml:space="preserve"> </w:t>
      </w:r>
      <w:r w:rsidR="00A80BF2">
        <w:rPr>
          <w:i/>
        </w:rPr>
        <w:t>Maint</w:t>
      </w:r>
      <w:r w:rsidR="00A80BF2">
        <w:rPr>
          <w:i/>
        </w:rPr>
        <w:t>.</w:t>
      </w:r>
      <w:r w:rsidRPr="00BA37FC" w:rsidR="00A80BF2">
        <w:rPr>
          <w:i/>
        </w:rPr>
        <w:t xml:space="preserve">; </w:t>
      </w:r>
      <w:r w:rsidR="00A80BF2">
        <w:rPr>
          <w:i/>
        </w:rPr>
        <w:t>Prot.</w:t>
      </w:r>
      <w:r w:rsidRPr="00BA37FC" w:rsidR="00A80BF2">
        <w:rPr>
          <w:i/>
        </w:rPr>
        <w:t xml:space="preserve"> </w:t>
      </w:r>
      <w:r w:rsidR="00A80BF2">
        <w:rPr>
          <w:i/>
        </w:rPr>
        <w:t>&amp;</w:t>
      </w:r>
      <w:r w:rsidRPr="00BA37FC" w:rsidR="00A80BF2">
        <w:rPr>
          <w:i/>
        </w:rPr>
        <w:t xml:space="preserve"> Control; </w:t>
      </w:r>
      <w:r w:rsidR="00A80BF2">
        <w:rPr>
          <w:i/>
        </w:rPr>
        <w:t>&amp;</w:t>
      </w:r>
      <w:r w:rsidRPr="00BA37FC" w:rsidR="00A80BF2">
        <w:rPr>
          <w:i/>
        </w:rPr>
        <w:t xml:space="preserve"> Voltage and Reactive</w:t>
      </w:r>
      <w:r w:rsidR="00A80BF2">
        <w:t xml:space="preserve">, Order No. 751, </w:t>
      </w:r>
      <w:r w:rsidRPr="003422E5" w:rsidR="00A80BF2">
        <w:t>135 FERC ¶</w:t>
      </w:r>
      <w:r w:rsidR="00A80BF2">
        <w:t> </w:t>
      </w:r>
      <w:r w:rsidRPr="003422E5" w:rsidR="00A80BF2">
        <w:t>61,061</w:t>
      </w:r>
      <w:r w:rsidR="00A80BF2">
        <w:t xml:space="preserve">, </w:t>
      </w:r>
      <w:r w:rsidR="00962BF3">
        <w:t xml:space="preserve">  </w:t>
      </w:r>
      <w:r w:rsidR="00A80BF2">
        <w:t>at P 20 (2011).</w:t>
      </w:r>
    </w:p>
  </w:footnote>
  <w:footnote w:id="15">
    <w:p w:rsidR="002A4AF4" w:rsidRPr="00BF41E7" w:rsidP="006D02A4" w14:paraId="420C7DC2" w14:textId="2EA88B8E">
      <w:pPr>
        <w:pStyle w:val="FootnoteText"/>
      </w:pPr>
      <w:r>
        <w:rPr>
          <w:rStyle w:val="FootnoteReference"/>
        </w:rPr>
        <w:footnoteRef/>
      </w:r>
      <w:r>
        <w:t xml:space="preserve"> </w:t>
      </w:r>
      <w:r w:rsidR="00BF41E7">
        <w:rPr>
          <w:i/>
          <w:iCs/>
        </w:rPr>
        <w:t>See i</w:t>
      </w:r>
      <w:r w:rsidR="006E4828">
        <w:rPr>
          <w:i/>
          <w:iCs/>
        </w:rPr>
        <w:t>d.</w:t>
      </w:r>
      <w:r w:rsidR="00BF41E7">
        <w:t xml:space="preserve"> P 21.</w:t>
      </w:r>
    </w:p>
  </w:footnote>
  <w:footnote w:id="16">
    <w:p w:rsidR="0044185C" w:rsidP="0044185C" w14:paraId="29158B95" w14:textId="49CBA1AA">
      <w:pPr>
        <w:pStyle w:val="FootnoteText"/>
      </w:pPr>
      <w:r>
        <w:rPr>
          <w:rStyle w:val="FootnoteReference"/>
        </w:rPr>
        <w:footnoteRef/>
      </w:r>
      <w:r>
        <w:t xml:space="preserve"> </w:t>
      </w:r>
      <w:r w:rsidRPr="00A976BD" w:rsidR="00572FBB">
        <w:rPr>
          <w:i/>
        </w:rPr>
        <w:t>Id.</w:t>
      </w:r>
      <w:r w:rsidR="001D2711">
        <w:t xml:space="preserve"> </w:t>
      </w:r>
      <w:r w:rsidR="00D164E3">
        <w:t>P 2</w:t>
      </w:r>
      <w:r w:rsidR="001D2711">
        <w:t>4</w:t>
      </w:r>
      <w:r w:rsidR="00572FBB">
        <w:t>.</w:t>
      </w:r>
    </w:p>
  </w:footnote>
  <w:footnote w:id="17">
    <w:p w:rsidR="00791F2F" w14:paraId="33A1929A" w14:textId="155776A1">
      <w:pPr>
        <w:pStyle w:val="FootnoteText"/>
      </w:pPr>
      <w:r>
        <w:rPr>
          <w:rStyle w:val="FootnoteReference"/>
        </w:rPr>
        <w:footnoteRef/>
      </w:r>
      <w:r>
        <w:t xml:space="preserve"> </w:t>
      </w:r>
      <w:r w:rsidRPr="00A80BF2" w:rsidR="003A7094">
        <w:t>N. Am. Elec. Reliability Corp</w:t>
      </w:r>
      <w:r w:rsidRPr="00620FD4" w:rsidR="003A7094">
        <w:rPr>
          <w:i/>
          <w:iCs/>
        </w:rPr>
        <w:t>.</w:t>
      </w:r>
      <w:r w:rsidRPr="00620FD4" w:rsidR="003A7094">
        <w:t xml:space="preserve">, </w:t>
      </w:r>
      <w:r w:rsidR="003A7094">
        <w:t xml:space="preserve">Petition, </w:t>
      </w:r>
      <w:r w:rsidRPr="00620FD4" w:rsidR="003A7094">
        <w:t>Docket No. RD18-5-000</w:t>
      </w:r>
      <w:r w:rsidR="003A7094">
        <w:t xml:space="preserve"> (filed</w:t>
      </w:r>
      <w:r w:rsidR="00962BF3">
        <w:t xml:space="preserve">      </w:t>
      </w:r>
      <w:r w:rsidR="003A7094">
        <w:t xml:space="preserve"> Mar. 16, 2018).</w:t>
      </w:r>
    </w:p>
  </w:footnote>
  <w:footnote w:id="18">
    <w:p w:rsidR="00620FD4" w14:paraId="4994D9E9" w14:textId="3B424F71">
      <w:pPr>
        <w:pStyle w:val="FootnoteText"/>
      </w:pPr>
      <w:r>
        <w:rPr>
          <w:rStyle w:val="FootnoteReference"/>
        </w:rPr>
        <w:footnoteRef/>
      </w:r>
      <w:r>
        <w:t xml:space="preserve"> </w:t>
      </w:r>
      <w:r w:rsidRPr="00620FD4">
        <w:rPr>
          <w:i/>
          <w:iCs/>
        </w:rPr>
        <w:t>N. Am. Elec. Reliability Corp.</w:t>
      </w:r>
      <w:r w:rsidRPr="00620FD4">
        <w:t>, Docket No. RD18-5-000 (May 30, 2018) (</w:t>
      </w:r>
      <w:r w:rsidR="007D126F">
        <w:t>delegated order</w:t>
      </w:r>
      <w:r w:rsidRPr="00620FD4">
        <w:t>).</w:t>
      </w:r>
    </w:p>
  </w:footnote>
  <w:footnote w:id="19">
    <w:p w:rsidR="000940E0" w:rsidRPr="005C07B1" w:rsidP="000940E0" w14:paraId="26CB0101" w14:textId="77777777">
      <w:pPr>
        <w:pStyle w:val="FootnoteText"/>
        <w:rPr>
          <w:szCs w:val="26"/>
        </w:rPr>
      </w:pPr>
      <w:r w:rsidRPr="005C07B1">
        <w:rPr>
          <w:rStyle w:val="FootnoteReference"/>
          <w:szCs w:val="26"/>
        </w:rPr>
        <w:footnoteRef/>
      </w:r>
      <w:r w:rsidRPr="005C07B1">
        <w:rPr>
          <w:szCs w:val="26"/>
        </w:rPr>
        <w:t xml:space="preserve"> Joint Petition at 1.</w:t>
      </w:r>
    </w:p>
  </w:footnote>
  <w:footnote w:id="20">
    <w:p w:rsidR="001F27CD" w14:paraId="1DE725BE" w14:textId="4FD37E79">
      <w:pPr>
        <w:pStyle w:val="FootnoteText"/>
      </w:pPr>
      <w:r>
        <w:rPr>
          <w:rStyle w:val="FootnoteReference"/>
        </w:rPr>
        <w:footnoteRef/>
      </w:r>
      <w:r>
        <w:t xml:space="preserve"> </w:t>
      </w:r>
      <w:r w:rsidR="001E79AA">
        <w:rPr>
          <w:i/>
          <w:iCs/>
        </w:rPr>
        <w:t>Id.</w:t>
      </w:r>
      <w:r>
        <w:t xml:space="preserve"> at </w:t>
      </w:r>
      <w:r w:rsidR="006A5666">
        <w:t>3.</w:t>
      </w:r>
    </w:p>
  </w:footnote>
  <w:footnote w:id="21">
    <w:p w:rsidR="00E01D34" w:rsidRPr="005C07B1" w:rsidP="00E01D34" w14:paraId="69998AC1" w14:textId="4801C6AB">
      <w:pPr>
        <w:pStyle w:val="FootnoteText"/>
        <w:rPr>
          <w:szCs w:val="26"/>
        </w:rPr>
      </w:pPr>
      <w:r w:rsidRPr="005C07B1">
        <w:rPr>
          <w:rStyle w:val="FootnoteReference"/>
          <w:szCs w:val="26"/>
        </w:rPr>
        <w:footnoteRef/>
      </w:r>
      <w:r w:rsidRPr="005C07B1">
        <w:rPr>
          <w:szCs w:val="26"/>
        </w:rPr>
        <w:t xml:space="preserve"> </w:t>
      </w:r>
      <w:r w:rsidR="001E79AA">
        <w:rPr>
          <w:i/>
          <w:iCs/>
          <w:szCs w:val="26"/>
        </w:rPr>
        <w:t>Id.</w:t>
      </w:r>
      <w:r w:rsidRPr="00512465">
        <w:rPr>
          <w:szCs w:val="26"/>
        </w:rPr>
        <w:t xml:space="preserve"> at </w:t>
      </w:r>
      <w:r>
        <w:rPr>
          <w:szCs w:val="26"/>
        </w:rPr>
        <w:t>3</w:t>
      </w:r>
      <w:r w:rsidRPr="00512465">
        <w:rPr>
          <w:szCs w:val="26"/>
        </w:rPr>
        <w:t>-</w:t>
      </w:r>
      <w:r>
        <w:rPr>
          <w:szCs w:val="26"/>
        </w:rPr>
        <w:t>4</w:t>
      </w:r>
      <w:r w:rsidR="00343F58">
        <w:rPr>
          <w:szCs w:val="26"/>
        </w:rPr>
        <w:t xml:space="preserve">.  </w:t>
      </w:r>
      <w:r w:rsidRPr="00343F58" w:rsidR="00343F58">
        <w:rPr>
          <w:szCs w:val="26"/>
        </w:rPr>
        <w:t>According to NERC and WECC, the joint petition proposes only non-substantive changes to the Requirements in the Standard</w:t>
      </w:r>
      <w:r w:rsidR="00343F58">
        <w:rPr>
          <w:szCs w:val="26"/>
        </w:rPr>
        <w:t xml:space="preserve">.  </w:t>
      </w:r>
      <w:r w:rsidRPr="00636235" w:rsidR="00343F58">
        <w:rPr>
          <w:i/>
          <w:iCs/>
          <w:szCs w:val="26"/>
        </w:rPr>
        <w:t>Id</w:t>
      </w:r>
      <w:r w:rsidRPr="0080463E" w:rsidR="00343F58">
        <w:rPr>
          <w:i/>
          <w:iCs/>
          <w:szCs w:val="26"/>
        </w:rPr>
        <w:t>.</w:t>
      </w:r>
      <w:r w:rsidR="00343F58">
        <w:rPr>
          <w:szCs w:val="26"/>
        </w:rPr>
        <w:t xml:space="preserve"> at 22-23.</w:t>
      </w:r>
    </w:p>
  </w:footnote>
  <w:footnote w:id="22">
    <w:p w:rsidR="005C61E7" w:rsidRPr="007D1F1A" w14:paraId="74826FAE" w14:textId="09CCC6AF">
      <w:pPr>
        <w:pStyle w:val="FootnoteText"/>
      </w:pPr>
      <w:r>
        <w:rPr>
          <w:rStyle w:val="FootnoteReference"/>
        </w:rPr>
        <w:footnoteRef/>
      </w:r>
      <w:r>
        <w:t xml:space="preserve"> </w:t>
      </w:r>
      <w:r w:rsidR="008C3F42">
        <w:rPr>
          <w:i/>
          <w:iCs/>
        </w:rPr>
        <w:t>Id.</w:t>
      </w:r>
      <w:r>
        <w:t xml:space="preserve"> at 14-15</w:t>
      </w:r>
      <w:r w:rsidR="00A469C9">
        <w:t>.</w:t>
      </w:r>
    </w:p>
  </w:footnote>
  <w:footnote w:id="23">
    <w:p w:rsidR="00825C6A" w:rsidRPr="00825C6A" w14:paraId="69079ADC" w14:textId="597BB1B6">
      <w:pPr>
        <w:pStyle w:val="FootnoteText"/>
      </w:pPr>
      <w:r>
        <w:rPr>
          <w:rStyle w:val="FootnoteReference"/>
        </w:rPr>
        <w:footnoteRef/>
      </w:r>
      <w:r>
        <w:t xml:space="preserve"> </w:t>
      </w:r>
      <w:r w:rsidR="001E79AA">
        <w:rPr>
          <w:i/>
          <w:iCs/>
          <w:szCs w:val="26"/>
        </w:rPr>
        <w:t>Id.</w:t>
      </w:r>
      <w:r w:rsidRPr="00D164E3" w:rsidR="001E79AA">
        <w:rPr>
          <w:iCs/>
          <w:szCs w:val="26"/>
        </w:rPr>
        <w:t xml:space="preserve"> </w:t>
      </w:r>
      <w:r w:rsidR="00C52E8F">
        <w:t>at 15.</w:t>
      </w:r>
    </w:p>
  </w:footnote>
  <w:footnote w:id="24">
    <w:p w:rsidR="00764C87" w14:paraId="670FC9AD" w14:textId="5CCA3A9A">
      <w:pPr>
        <w:pStyle w:val="FootnoteText"/>
      </w:pPr>
      <w:r>
        <w:rPr>
          <w:rStyle w:val="FootnoteReference"/>
        </w:rPr>
        <w:footnoteRef/>
      </w:r>
      <w:r>
        <w:t xml:space="preserve"> </w:t>
      </w:r>
      <w:r w:rsidR="001E79AA">
        <w:rPr>
          <w:i/>
          <w:iCs/>
          <w:szCs w:val="26"/>
        </w:rPr>
        <w:t>Id.</w:t>
      </w:r>
      <w:r w:rsidRPr="00D164E3" w:rsidR="001E79AA">
        <w:rPr>
          <w:iCs/>
          <w:szCs w:val="26"/>
        </w:rPr>
        <w:t xml:space="preserve"> </w:t>
      </w:r>
      <w:r>
        <w:t>at 16.</w:t>
      </w:r>
    </w:p>
  </w:footnote>
  <w:footnote w:id="25">
    <w:p w:rsidR="00803E9E" w:rsidRPr="00803E9E" w14:paraId="3D5035C6" w14:textId="008875A0">
      <w:pPr>
        <w:pStyle w:val="FootnoteText"/>
      </w:pPr>
      <w:r>
        <w:rPr>
          <w:rStyle w:val="FootnoteReference"/>
        </w:rPr>
        <w:footnoteRef/>
      </w:r>
      <w:r>
        <w:t xml:space="preserve"> </w:t>
      </w:r>
      <w:r w:rsidR="001E79AA">
        <w:rPr>
          <w:i/>
          <w:iCs/>
          <w:szCs w:val="26"/>
        </w:rPr>
        <w:t>Id.</w:t>
      </w:r>
      <w:r w:rsidRPr="00D164E3" w:rsidR="001E79AA">
        <w:rPr>
          <w:iCs/>
          <w:szCs w:val="26"/>
        </w:rPr>
        <w:t xml:space="preserve"> </w:t>
      </w:r>
      <w:r w:rsidR="00D776E5">
        <w:t>at</w:t>
      </w:r>
      <w:r>
        <w:t xml:space="preserve"> 17.</w:t>
      </w:r>
    </w:p>
  </w:footnote>
  <w:footnote w:id="26">
    <w:p w:rsidR="00AB5623" w:rsidRPr="00AB5623" w14:paraId="697ECE41" w14:textId="3228243B">
      <w:pPr>
        <w:pStyle w:val="FootnoteText"/>
      </w:pPr>
      <w:r>
        <w:rPr>
          <w:rStyle w:val="FootnoteReference"/>
        </w:rPr>
        <w:footnoteRef/>
      </w:r>
      <w:r>
        <w:t xml:space="preserve"> </w:t>
      </w:r>
      <w:r w:rsidR="001E79AA">
        <w:rPr>
          <w:i/>
          <w:iCs/>
          <w:szCs w:val="26"/>
        </w:rPr>
        <w:t>Id.</w:t>
      </w:r>
    </w:p>
  </w:footnote>
  <w:footnote w:id="27">
    <w:p w:rsidR="00AC178E" w:rsidRPr="00D75110" w14:paraId="7FEC1140" w14:textId="2BA02595">
      <w:pPr>
        <w:pStyle w:val="FootnoteText"/>
      </w:pPr>
      <w:r>
        <w:rPr>
          <w:rStyle w:val="FootnoteReference"/>
        </w:rPr>
        <w:footnoteRef/>
      </w:r>
      <w:r>
        <w:t xml:space="preserve"> </w:t>
      </w:r>
      <w:r w:rsidR="0073021C">
        <w:t xml:space="preserve">Requirement R1.8 of the proposed </w:t>
      </w:r>
      <w:r w:rsidRPr="00EE66E3" w:rsidR="00EE66E3">
        <w:t>Table Revision Process</w:t>
      </w:r>
      <w:r w:rsidR="00894637">
        <w:t xml:space="preserve"> states that the effective date of any change to the Table </w:t>
      </w:r>
      <w:r w:rsidR="00F85FC5">
        <w:t xml:space="preserve">“shall be the latter of the proposed </w:t>
      </w:r>
      <w:r w:rsidR="00F85FC5">
        <w:t xml:space="preserve">effective </w:t>
      </w:r>
      <w:r w:rsidR="004867DD">
        <w:t xml:space="preserve"> </w:t>
      </w:r>
      <w:r w:rsidR="00F85FC5">
        <w:t>date</w:t>
      </w:r>
      <w:r w:rsidR="00F85FC5">
        <w:t xml:space="preserve"> or the first day of the second quarter following FERC’s acceptance of the required informational filing.”</w:t>
      </w:r>
      <w:r w:rsidR="00076A69">
        <w:t xml:space="preserve"> </w:t>
      </w:r>
      <w:r w:rsidR="00F85FC5">
        <w:t xml:space="preserve"> Joint Petition, </w:t>
      </w:r>
      <w:r w:rsidR="0073020E">
        <w:t>a</w:t>
      </w:r>
      <w:r w:rsidR="00F85FC5">
        <w:t>ttach</w:t>
      </w:r>
      <w:r w:rsidR="0073020E">
        <w:t>.</w:t>
      </w:r>
      <w:r w:rsidR="00F85FC5">
        <w:t xml:space="preserve"> C-2 at 3.</w:t>
      </w:r>
      <w:r w:rsidR="00076A69">
        <w:t xml:space="preserve">  Because </w:t>
      </w:r>
      <w:r w:rsidR="008C778B">
        <w:t xml:space="preserve">informational filings </w:t>
      </w:r>
      <w:r w:rsidR="00B34DFD">
        <w:t xml:space="preserve">do not </w:t>
      </w:r>
      <w:r w:rsidR="00B23A11">
        <w:t xml:space="preserve">require Commission action or response, we understand </w:t>
      </w:r>
      <w:r w:rsidR="00F14BC2">
        <w:t xml:space="preserve">Requirement R1.8’s </w:t>
      </w:r>
      <w:r w:rsidR="00F01711">
        <w:t>statemen</w:t>
      </w:r>
      <w:r w:rsidR="003F0D8B">
        <w:t xml:space="preserve">t </w:t>
      </w:r>
      <w:r w:rsidR="00E851E2">
        <w:t>regarding</w:t>
      </w:r>
      <w:r w:rsidR="00F14BC2">
        <w:t xml:space="preserve"> </w:t>
      </w:r>
      <w:r w:rsidR="00153371">
        <w:t>th</w:t>
      </w:r>
      <w:r w:rsidR="00ED1787">
        <w:t xml:space="preserve">e date of </w:t>
      </w:r>
      <w:r w:rsidR="00B23A11">
        <w:t>“</w:t>
      </w:r>
      <w:r w:rsidR="00724114">
        <w:t xml:space="preserve">FERC’s </w:t>
      </w:r>
      <w:r w:rsidR="00A76353">
        <w:t>acceptance</w:t>
      </w:r>
      <w:r w:rsidR="00F14BC2">
        <w:t xml:space="preserve"> of the required informational filing</w:t>
      </w:r>
      <w:r w:rsidR="00A76353">
        <w:t>”</w:t>
      </w:r>
      <w:r w:rsidR="008F4433">
        <w:t xml:space="preserve"> </w:t>
      </w:r>
      <w:r w:rsidR="00E63D05">
        <w:t>to refer t</w:t>
      </w:r>
      <w:r w:rsidR="00167495">
        <w:t xml:space="preserve">o </w:t>
      </w:r>
      <w:r w:rsidR="00ED1787">
        <w:t xml:space="preserve">the date on which </w:t>
      </w:r>
      <w:r w:rsidR="00D75110">
        <w:t xml:space="preserve">the informational filing would be considered “filed” according to our regulations.  </w:t>
      </w:r>
      <w:r w:rsidR="00D75110">
        <w:rPr>
          <w:i/>
          <w:iCs/>
        </w:rPr>
        <w:t>See</w:t>
      </w:r>
      <w:r w:rsidR="00D75110">
        <w:t xml:space="preserve"> 18 C</w:t>
      </w:r>
      <w:r w:rsidR="009B5EBB">
        <w:t>.</w:t>
      </w:r>
      <w:r w:rsidR="00D75110">
        <w:t>F</w:t>
      </w:r>
      <w:r w:rsidR="009B5EBB">
        <w:t>.</w:t>
      </w:r>
      <w:r w:rsidR="00D75110">
        <w:t>R</w:t>
      </w:r>
      <w:r w:rsidR="00912B06">
        <w:t>.</w:t>
      </w:r>
      <w:r w:rsidR="00D75110">
        <w:t xml:space="preserve"> </w:t>
      </w:r>
      <w:r w:rsidR="00D164E3">
        <w:t>§ 3</w:t>
      </w:r>
      <w:r w:rsidR="00D75110">
        <w:t>85.2001</w:t>
      </w:r>
      <w:r w:rsidR="005805F7">
        <w:t>(a)(2)</w:t>
      </w:r>
      <w:r w:rsidR="00A80BF2">
        <w:t xml:space="preserve"> (202</w:t>
      </w:r>
      <w:r w:rsidR="00FB296E">
        <w:t>4</w:t>
      </w:r>
      <w:r w:rsidR="00A80BF2">
        <w:t>)</w:t>
      </w:r>
      <w:r w:rsidR="005805F7">
        <w:t>.</w:t>
      </w:r>
      <w:r w:rsidR="006C7288">
        <w:t xml:space="preserve">  We encourage </w:t>
      </w:r>
      <w:r w:rsidR="009268D8">
        <w:t xml:space="preserve">WECC to </w:t>
      </w:r>
      <w:r w:rsidR="00A00993">
        <w:t>revise this language when and should WECC revisit the Table Revision Process in the future.</w:t>
      </w:r>
    </w:p>
  </w:footnote>
  <w:footnote w:id="28">
    <w:p w:rsidR="00E01D34" w:rsidRPr="008F3694" w:rsidP="00E01D34" w14:paraId="426D05D9" w14:textId="6C3E75E3">
      <w:pPr>
        <w:pStyle w:val="FootnoteText"/>
      </w:pPr>
      <w:r>
        <w:rPr>
          <w:rStyle w:val="FootnoteReference"/>
        </w:rPr>
        <w:footnoteRef/>
      </w:r>
      <w:r>
        <w:t xml:space="preserve"> </w:t>
      </w:r>
      <w:r w:rsidR="00494F3A">
        <w:t>Joint Petition</w:t>
      </w:r>
      <w:r>
        <w:t xml:space="preserve"> at 18.</w:t>
      </w:r>
    </w:p>
  </w:footnote>
  <w:footnote w:id="29">
    <w:p w:rsidR="00E03128" w:rsidRPr="00E03128" w14:paraId="20375A85" w14:textId="63185ADD">
      <w:pPr>
        <w:pStyle w:val="FootnoteText"/>
      </w:pPr>
      <w:r>
        <w:rPr>
          <w:rStyle w:val="FootnoteReference"/>
        </w:rPr>
        <w:footnoteRef/>
      </w:r>
      <w:r>
        <w:t xml:space="preserve"> </w:t>
      </w:r>
      <w:r w:rsidR="00482F61">
        <w:rPr>
          <w:i/>
          <w:iCs/>
          <w:szCs w:val="26"/>
        </w:rPr>
        <w:t>Id.</w:t>
      </w:r>
    </w:p>
  </w:footnote>
  <w:footnote w:id="30">
    <w:p w:rsidR="00D00018" w:rsidRPr="00792734" w14:paraId="322E14BC" w14:textId="4047E3E7">
      <w:pPr>
        <w:pStyle w:val="FootnoteText"/>
      </w:pPr>
      <w:r>
        <w:rPr>
          <w:rStyle w:val="FootnoteReference"/>
        </w:rPr>
        <w:footnoteRef/>
      </w:r>
      <w:r>
        <w:t xml:space="preserve"> </w:t>
      </w:r>
      <w:r w:rsidR="00792734">
        <w:rPr>
          <w:i/>
          <w:iCs/>
        </w:rPr>
        <w:t>Id.</w:t>
      </w:r>
      <w:r w:rsidR="00792734">
        <w:t xml:space="preserve"> at 3-4.</w:t>
      </w:r>
    </w:p>
  </w:footnote>
  <w:footnote w:id="31">
    <w:p w:rsidR="00391AC2" w14:paraId="030C8F51" w14:textId="7D7CF84B">
      <w:pPr>
        <w:pStyle w:val="FootnoteText"/>
      </w:pPr>
      <w:r>
        <w:rPr>
          <w:rStyle w:val="FootnoteReference"/>
        </w:rPr>
        <w:footnoteRef/>
      </w:r>
      <w:r>
        <w:t xml:space="preserve"> </w:t>
      </w:r>
      <w:r w:rsidR="00482F61">
        <w:rPr>
          <w:i/>
          <w:iCs/>
          <w:szCs w:val="26"/>
        </w:rPr>
        <w:t>Id.</w:t>
      </w:r>
      <w:r w:rsidRPr="00D164E3" w:rsidR="00482F61">
        <w:rPr>
          <w:iCs/>
          <w:szCs w:val="26"/>
        </w:rPr>
        <w:t xml:space="preserve"> </w:t>
      </w:r>
      <w:r>
        <w:t xml:space="preserve">at </w:t>
      </w:r>
      <w:r w:rsidR="00430FD5">
        <w:t>20.</w:t>
      </w:r>
    </w:p>
  </w:footnote>
  <w:footnote w:id="32">
    <w:p w:rsidR="004C0BC5" w:rsidRPr="004C0BC5" w14:paraId="2F6F7844" w14:textId="201F0C18">
      <w:pPr>
        <w:pStyle w:val="FootnoteText"/>
      </w:pPr>
      <w:r>
        <w:rPr>
          <w:rStyle w:val="FootnoteReference"/>
        </w:rPr>
        <w:footnoteRef/>
      </w:r>
      <w:r>
        <w:t xml:space="preserve"> </w:t>
      </w:r>
      <w:r w:rsidR="00482F61">
        <w:rPr>
          <w:i/>
          <w:iCs/>
          <w:szCs w:val="26"/>
        </w:rPr>
        <w:t>Id.</w:t>
      </w:r>
      <w:r w:rsidRPr="00D164E3" w:rsidR="00482F61">
        <w:rPr>
          <w:iCs/>
          <w:szCs w:val="26"/>
        </w:rPr>
        <w:t xml:space="preserve"> </w:t>
      </w:r>
      <w:r>
        <w:t>at 21-23.</w:t>
      </w:r>
    </w:p>
  </w:footnote>
  <w:footnote w:id="33">
    <w:p w:rsidR="00DA21C0" w14:paraId="123A179C" w14:textId="79EE72F8">
      <w:pPr>
        <w:pStyle w:val="FootnoteText"/>
      </w:pPr>
      <w:r>
        <w:rPr>
          <w:rStyle w:val="FootnoteReference"/>
        </w:rPr>
        <w:footnoteRef/>
      </w:r>
      <w:r>
        <w:t xml:space="preserve"> </w:t>
      </w:r>
      <w:bookmarkStart w:id="1" w:name="_Hlk173931467"/>
      <w:r w:rsidR="009F77EA">
        <w:rPr>
          <w:i/>
          <w:iCs/>
        </w:rPr>
        <w:t>Id.</w:t>
      </w:r>
      <w:r w:rsidRPr="00D164E3" w:rsidR="009F77EA">
        <w:rPr>
          <w:iCs/>
        </w:rPr>
        <w:t xml:space="preserve"> </w:t>
      </w:r>
      <w:r w:rsidR="009F77EA">
        <w:t xml:space="preserve">at </w:t>
      </w:r>
      <w:r w:rsidR="00FD0F52">
        <w:t>20-21</w:t>
      </w:r>
      <w:r w:rsidR="009F77EA">
        <w:t xml:space="preserve"> </w:t>
      </w:r>
      <w:r w:rsidR="00C45398">
        <w:t>(</w:t>
      </w:r>
      <w:r w:rsidR="009F77EA">
        <w:t>citing</w:t>
      </w:r>
      <w:r>
        <w:t xml:space="preserve"> </w:t>
      </w:r>
      <w:bookmarkEnd w:id="1"/>
      <w:r w:rsidRPr="00A80BF2" w:rsidR="0043754F">
        <w:rPr>
          <w:i/>
          <w:iCs/>
        </w:rPr>
        <w:t>WECC</w:t>
      </w:r>
      <w:r w:rsidR="0043754F">
        <w:t xml:space="preserve">, </w:t>
      </w:r>
      <w:r w:rsidRPr="003719FE" w:rsidR="003719FE">
        <w:t xml:space="preserve">WECC-0149 FAC-501-WECC </w:t>
      </w:r>
      <w:r w:rsidR="0073020E">
        <w:t>–</w:t>
      </w:r>
      <w:r w:rsidRPr="003719FE" w:rsidR="003719FE">
        <w:t xml:space="preserve"> </w:t>
      </w:r>
      <w:r w:rsidR="0073020E">
        <w:t>a</w:t>
      </w:r>
      <w:r w:rsidRPr="003719FE" w:rsidR="0073020E">
        <w:t>ttach</w:t>
      </w:r>
      <w:r w:rsidR="0073020E">
        <w:t>.</w:t>
      </w:r>
      <w:r w:rsidRPr="003719FE" w:rsidR="0073020E">
        <w:t xml:space="preserve"> </w:t>
      </w:r>
      <w:r w:rsidRPr="003719FE" w:rsidR="003719FE">
        <w:t>T</w:t>
      </w:r>
      <w:r w:rsidR="00D164E3">
        <w:t xml:space="preserve"> </w:t>
      </w:r>
      <w:r>
        <w:t xml:space="preserve">at </w:t>
      </w:r>
      <w:r w:rsidR="003C4756">
        <w:t>2</w:t>
      </w:r>
      <w:r w:rsidR="005E6776">
        <w:t xml:space="preserve"> (2024)</w:t>
      </w:r>
      <w:r w:rsidR="00B729DD">
        <w:t xml:space="preserve">, </w:t>
      </w:r>
      <w:r w:rsidRPr="0080463E" w:rsidR="004D78C0">
        <w:t>https://www.wecc.org/wecc-document/4131</w:t>
      </w:r>
      <w:r w:rsidR="00C45398">
        <w:t>)</w:t>
      </w:r>
      <w:r w:rsidR="00B729DD">
        <w:t>.</w:t>
      </w:r>
    </w:p>
  </w:footnote>
  <w:footnote w:id="34">
    <w:p w:rsidR="00E16F54" w14:paraId="7CC3A859" w14:textId="3118EEB4">
      <w:pPr>
        <w:pStyle w:val="FootnoteText"/>
      </w:pPr>
      <w:r>
        <w:rPr>
          <w:rStyle w:val="FootnoteReference"/>
        </w:rPr>
        <w:footnoteRef/>
      </w:r>
      <w:r>
        <w:t xml:space="preserve"> </w:t>
      </w:r>
      <w:bookmarkStart w:id="2" w:name="_Hlk177961226"/>
      <w:r w:rsidRPr="00C32C11" w:rsidR="00C32C11">
        <w:t>APS</w:t>
      </w:r>
      <w:r w:rsidR="00C32C11">
        <w:t xml:space="preserve"> Sept. 15, </w:t>
      </w:r>
      <w:r w:rsidR="00C32C11">
        <w:t>2021</w:t>
      </w:r>
      <w:r w:rsidRPr="00C32C11" w:rsidR="00C32C11">
        <w:rPr>
          <w:i/>
          <w:iCs/>
        </w:rPr>
        <w:t xml:space="preserve"> </w:t>
      </w:r>
      <w:r w:rsidR="00C32C11">
        <w:t xml:space="preserve">Letter to FERC, </w:t>
      </w:r>
      <w:r w:rsidRPr="00CE44C9" w:rsidR="00CE44C9">
        <w:t xml:space="preserve">WECC-0149 FAC-501-WECC </w:t>
      </w:r>
      <w:r w:rsidR="00C45398">
        <w:t>–</w:t>
      </w:r>
      <w:r w:rsidRPr="00CE44C9" w:rsidR="00CE44C9">
        <w:t xml:space="preserve"> </w:t>
      </w:r>
      <w:r w:rsidR="0073020E">
        <w:t>a</w:t>
      </w:r>
      <w:r w:rsidRPr="003719FE" w:rsidR="0073020E">
        <w:t>ttach</w:t>
      </w:r>
      <w:r w:rsidR="0073020E">
        <w:t>.</w:t>
      </w:r>
      <w:r w:rsidRPr="00CE44C9" w:rsidR="00CE44C9">
        <w:t xml:space="preserve"> T04</w:t>
      </w:r>
      <w:r w:rsidR="00670A07">
        <w:t xml:space="preserve"> at 2 (202</w:t>
      </w:r>
      <w:r w:rsidR="00947132">
        <w:t>1</w:t>
      </w:r>
      <w:r w:rsidR="00670A07">
        <w:t xml:space="preserve">), </w:t>
      </w:r>
      <w:r w:rsidRPr="0080463E" w:rsidR="004D78C0">
        <w:t>https://www.wecc.org/wecc-document/4176</w:t>
      </w:r>
      <w:r w:rsidR="00612447">
        <w:t xml:space="preserve">; </w:t>
      </w:r>
      <w:r w:rsidR="00612447">
        <w:rPr>
          <w:i/>
          <w:iCs/>
        </w:rPr>
        <w:t xml:space="preserve">see also </w:t>
      </w:r>
      <w:r w:rsidR="00612447">
        <w:t xml:space="preserve">Joint Petition </w:t>
      </w:r>
      <w:r w:rsidR="004867DD">
        <w:t xml:space="preserve">      </w:t>
      </w:r>
      <w:r w:rsidR="00612447">
        <w:t>at 20-21</w:t>
      </w:r>
      <w:r w:rsidR="00C32C11">
        <w:t xml:space="preserve"> (citing </w:t>
      </w:r>
      <w:r w:rsidRPr="00962BF3" w:rsidR="00C32C11">
        <w:rPr>
          <w:i/>
          <w:iCs/>
        </w:rPr>
        <w:t>WECC</w:t>
      </w:r>
      <w:r w:rsidR="00C32C11">
        <w:t xml:space="preserve">, </w:t>
      </w:r>
      <w:r w:rsidRPr="003719FE" w:rsidR="00C32C11">
        <w:t xml:space="preserve">WECC-0149 FAC-501-WECC - </w:t>
      </w:r>
      <w:r w:rsidR="00C32C11">
        <w:t>a</w:t>
      </w:r>
      <w:r w:rsidRPr="003719FE" w:rsidR="00C32C11">
        <w:t>ttach</w:t>
      </w:r>
      <w:r w:rsidR="00C32C11">
        <w:t>.</w:t>
      </w:r>
      <w:r w:rsidRPr="003719FE" w:rsidR="00C32C11">
        <w:t xml:space="preserve"> T</w:t>
      </w:r>
      <w:r w:rsidR="00C32C11">
        <w:t xml:space="preserve"> at 2</w:t>
      </w:r>
      <w:bookmarkEnd w:id="2"/>
      <w:r w:rsidR="00796873">
        <w:t>)</w:t>
      </w:r>
      <w:r w:rsidR="00670A07">
        <w:t>.</w:t>
      </w:r>
    </w:p>
  </w:footnote>
  <w:footnote w:id="35">
    <w:p w:rsidR="00BD581F" w14:paraId="4F0698F8" w14:textId="7108A3DD">
      <w:pPr>
        <w:pStyle w:val="FootnoteText"/>
      </w:pPr>
      <w:r>
        <w:rPr>
          <w:rStyle w:val="FootnoteReference"/>
        </w:rPr>
        <w:footnoteRef/>
      </w:r>
      <w:r>
        <w:t xml:space="preserve"> </w:t>
      </w:r>
      <w:r w:rsidR="00612447">
        <w:t>Joint Petition</w:t>
      </w:r>
      <w:r w:rsidR="00612447">
        <w:rPr>
          <w:i/>
          <w:iCs/>
        </w:rPr>
        <w:t xml:space="preserve"> </w:t>
      </w:r>
      <w:r>
        <w:t>at 22.</w:t>
      </w:r>
    </w:p>
  </w:footnote>
  <w:footnote w:id="36">
    <w:p w:rsidR="006623F1" w:rsidP="004867DD" w14:paraId="434D390A" w14:textId="6A21BBAF">
      <w:pPr>
        <w:pStyle w:val="FootnoteText"/>
        <w:ind w:right="-450"/>
      </w:pPr>
      <w:r>
        <w:rPr>
          <w:rStyle w:val="FootnoteReference"/>
        </w:rPr>
        <w:footnoteRef/>
      </w:r>
      <w:r>
        <w:t xml:space="preserve"> </w:t>
      </w:r>
      <w:r w:rsidRPr="00C32C11" w:rsidR="00C32C11">
        <w:t>BPA</w:t>
      </w:r>
      <w:r w:rsidR="00C32C11">
        <w:t>, North of John Day Path Retirement Operations Planning</w:t>
      </w:r>
      <w:r w:rsidR="00132116">
        <w:t xml:space="preserve">, Dec. </w:t>
      </w:r>
      <w:r w:rsidR="00132116">
        <w:t>2020,</w:t>
      </w:r>
      <w:r w:rsidRPr="00C32C11" w:rsidR="00C32C11">
        <w:rPr>
          <w:i/>
          <w:iCs/>
        </w:rPr>
        <w:t xml:space="preserve"> </w:t>
      </w:r>
      <w:r w:rsidR="004867DD">
        <w:rPr>
          <w:i/>
          <w:iCs/>
        </w:rPr>
        <w:t xml:space="preserve">  </w:t>
      </w:r>
      <w:r w:rsidR="004867DD">
        <w:rPr>
          <w:i/>
          <w:iCs/>
        </w:rPr>
        <w:t xml:space="preserve"> </w:t>
      </w:r>
      <w:r w:rsidRPr="00244A41" w:rsidR="00244A41">
        <w:t xml:space="preserve">WECC-0149 FAC-501-WECC - </w:t>
      </w:r>
      <w:r w:rsidR="0073020E">
        <w:t>a</w:t>
      </w:r>
      <w:r w:rsidRPr="003719FE" w:rsidR="0073020E">
        <w:t>ttach</w:t>
      </w:r>
      <w:r w:rsidR="0073020E">
        <w:t>.</w:t>
      </w:r>
      <w:r w:rsidRPr="00244A41" w:rsidR="00244A41">
        <w:t xml:space="preserve"> T07</w:t>
      </w:r>
      <w:r w:rsidR="00244A41">
        <w:t xml:space="preserve"> at 1 (2020)</w:t>
      </w:r>
      <w:r w:rsidR="00132116">
        <w:t xml:space="preserve"> (BPA Study)</w:t>
      </w:r>
      <w:r w:rsidR="00244A41">
        <w:t xml:space="preserve">, </w:t>
      </w:r>
      <w:r w:rsidRPr="004867DD" w:rsidR="004867DD">
        <w:t>https://www.wecc.org/</w:t>
      </w:r>
      <w:r w:rsidR="004867DD">
        <w:t xml:space="preserve"> </w:t>
      </w:r>
      <w:r w:rsidRPr="0080463E" w:rsidR="004D78C0">
        <w:t>wecc</w:t>
      </w:r>
      <w:r w:rsidRPr="0080463E" w:rsidR="004D78C0">
        <w:t>-document/4206</w:t>
      </w:r>
      <w:r w:rsidR="00612447">
        <w:t xml:space="preserve">; </w:t>
      </w:r>
      <w:r w:rsidRPr="0080463E" w:rsidR="00612447">
        <w:rPr>
          <w:i/>
          <w:iCs/>
        </w:rPr>
        <w:t>see also</w:t>
      </w:r>
      <w:r w:rsidR="00612447">
        <w:t xml:space="preserve"> </w:t>
      </w:r>
      <w:r w:rsidR="00FD5C59">
        <w:t xml:space="preserve">Joint </w:t>
      </w:r>
      <w:r w:rsidR="00612447">
        <w:t>Petition at 22</w:t>
      </w:r>
      <w:r w:rsidR="00C32C11">
        <w:t xml:space="preserve"> (citing </w:t>
      </w:r>
      <w:r w:rsidRPr="00962BF3" w:rsidR="00C32C11">
        <w:rPr>
          <w:i/>
          <w:iCs/>
        </w:rPr>
        <w:t>WECC</w:t>
      </w:r>
      <w:r w:rsidR="00C32C11">
        <w:t xml:space="preserve">, </w:t>
      </w:r>
      <w:r w:rsidRPr="003719FE" w:rsidR="00C32C11">
        <w:t xml:space="preserve">WECC-0149 FAC-501-WECC </w:t>
      </w:r>
      <w:r w:rsidR="00FD5C59">
        <w:t>–</w:t>
      </w:r>
      <w:r w:rsidRPr="003719FE" w:rsidR="00C32C11">
        <w:t xml:space="preserve"> </w:t>
      </w:r>
      <w:r w:rsidR="00C32C11">
        <w:t>a</w:t>
      </w:r>
      <w:r w:rsidRPr="003719FE" w:rsidR="00C32C11">
        <w:t>ttach</w:t>
      </w:r>
      <w:r w:rsidR="00C32C11">
        <w:t>.</w:t>
      </w:r>
      <w:r w:rsidRPr="003719FE" w:rsidR="00C32C11">
        <w:t xml:space="preserve"> T</w:t>
      </w:r>
      <w:r w:rsidR="00C32C11">
        <w:t xml:space="preserve"> at 4)</w:t>
      </w:r>
      <w:r w:rsidR="00612447">
        <w:t>.</w:t>
      </w:r>
      <w:r w:rsidR="00A06E02">
        <w:t xml:space="preserve"> </w:t>
      </w:r>
    </w:p>
  </w:footnote>
  <w:footnote w:id="37">
    <w:p w:rsidR="00A13C69" w14:paraId="23A21C80" w14:textId="699D1BBF">
      <w:pPr>
        <w:pStyle w:val="FootnoteText"/>
      </w:pPr>
      <w:r>
        <w:rPr>
          <w:rStyle w:val="FootnoteReference"/>
        </w:rPr>
        <w:footnoteRef/>
      </w:r>
      <w:r>
        <w:t xml:space="preserve"> </w:t>
      </w:r>
      <w:r w:rsidR="00132116">
        <w:t>BPA Study</w:t>
      </w:r>
      <w:r>
        <w:t xml:space="preserve"> at 4</w:t>
      </w:r>
      <w:r w:rsidR="00612447">
        <w:t xml:space="preserve">; </w:t>
      </w:r>
      <w:r w:rsidRPr="0080463E" w:rsidR="00612447">
        <w:rPr>
          <w:i/>
          <w:iCs/>
        </w:rPr>
        <w:t>see also</w:t>
      </w:r>
      <w:r w:rsidR="00612447">
        <w:t xml:space="preserve"> </w:t>
      </w:r>
      <w:r w:rsidR="00FD5C59">
        <w:t xml:space="preserve">Joint </w:t>
      </w:r>
      <w:r w:rsidR="00612447">
        <w:t>Petition at 23</w:t>
      </w:r>
      <w:r w:rsidR="00132116">
        <w:t xml:space="preserve"> (citing </w:t>
      </w:r>
      <w:r w:rsidRPr="00962BF3" w:rsidR="00132116">
        <w:rPr>
          <w:i/>
          <w:iCs/>
        </w:rPr>
        <w:t>WECC</w:t>
      </w:r>
      <w:r w:rsidR="00132116">
        <w:t xml:space="preserve">, </w:t>
      </w:r>
      <w:r w:rsidRPr="003719FE" w:rsidR="00132116">
        <w:t xml:space="preserve">WECC-0149 FAC-501-WECC - </w:t>
      </w:r>
      <w:r w:rsidR="00132116">
        <w:t>a</w:t>
      </w:r>
      <w:r w:rsidRPr="003719FE" w:rsidR="00132116">
        <w:t>ttach</w:t>
      </w:r>
      <w:r w:rsidR="00132116">
        <w:t>.</w:t>
      </w:r>
      <w:r w:rsidRPr="003719FE" w:rsidR="00132116">
        <w:t xml:space="preserve"> T</w:t>
      </w:r>
      <w:r w:rsidR="00132116">
        <w:t xml:space="preserve"> at 4)</w:t>
      </w:r>
      <w:r>
        <w:t>.</w:t>
      </w:r>
    </w:p>
  </w:footnote>
  <w:footnote w:id="38">
    <w:p w:rsidR="00F258A0" w14:paraId="2BF8EABA" w14:textId="0191D977">
      <w:pPr>
        <w:pStyle w:val="FootnoteText"/>
      </w:pPr>
      <w:r>
        <w:rPr>
          <w:rStyle w:val="FootnoteReference"/>
        </w:rPr>
        <w:footnoteRef/>
      </w:r>
      <w:r>
        <w:t xml:space="preserve"> In turn, we approve the </w:t>
      </w:r>
      <w:r w:rsidRPr="00BB44DA" w:rsidR="00BB44DA">
        <w:t>associated Violation Risk Factors and Violation Severity Levels, the proposed implementation plan including the retirement of regional Reliability Standard FAC-501-WECC</w:t>
      </w:r>
      <w:r>
        <w:t>, and the Table Revision Process, including the relocation of the Major WECC Transfer Paths Table to that document.</w:t>
      </w:r>
    </w:p>
  </w:footnote>
  <w:footnote w:id="39">
    <w:p w:rsidR="0059040E" w:rsidRPr="00C754D6" w:rsidP="0059040E" w14:paraId="5ED4AB59" w14:textId="77777777">
      <w:pPr>
        <w:pStyle w:val="FootnoteText"/>
      </w:pPr>
      <w:r>
        <w:rPr>
          <w:rStyle w:val="FootnoteReference"/>
        </w:rPr>
        <w:footnoteRef/>
      </w:r>
      <w:r>
        <w:t xml:space="preserve"> </w:t>
      </w:r>
      <w:r>
        <w:rPr>
          <w:i/>
          <w:iCs/>
        </w:rPr>
        <w:t xml:space="preserve">See </w:t>
      </w:r>
      <w:r>
        <w:rPr>
          <w:i/>
          <w:iCs/>
        </w:rPr>
        <w:t xml:space="preserve">supra </w:t>
      </w:r>
      <w:r>
        <w:t>PP</w:t>
      </w:r>
      <w:r>
        <w:t xml:space="preserve"> 11-12.</w:t>
      </w:r>
    </w:p>
  </w:footnote>
  <w:footnote w:id="40">
    <w:p w:rsidR="000D3D12" w14:paraId="71AAA812" w14:textId="666D41CE">
      <w:pPr>
        <w:pStyle w:val="FootnoteText"/>
      </w:pPr>
      <w:r>
        <w:rPr>
          <w:rStyle w:val="FootnoteReference"/>
        </w:rPr>
        <w:footnoteRef/>
      </w:r>
      <w:r>
        <w:t xml:space="preserve"> Order No. 751, </w:t>
      </w:r>
      <w:r w:rsidRPr="003422E5">
        <w:t>135 FERC ¶</w:t>
      </w:r>
      <w:r>
        <w:t> </w:t>
      </w:r>
      <w:r w:rsidRPr="003422E5">
        <w:t>61,061</w:t>
      </w:r>
      <w:r>
        <w:t xml:space="preserve"> at P 24.</w:t>
      </w:r>
    </w:p>
  </w:footnote>
  <w:footnote w:id="41">
    <w:p w:rsidR="00E23ABD" w:rsidRPr="00A7605F" w14:paraId="28DE46FC" w14:textId="4B3E5364">
      <w:pPr>
        <w:pStyle w:val="FootnoteText"/>
      </w:pPr>
      <w:r>
        <w:rPr>
          <w:rStyle w:val="FootnoteReference"/>
        </w:rPr>
        <w:footnoteRef/>
      </w:r>
      <w:r>
        <w:t xml:space="preserve"> </w:t>
      </w:r>
      <w:r w:rsidR="00EA3378">
        <w:t>These circumstances could include, f</w:t>
      </w:r>
      <w:r w:rsidR="00A7605F">
        <w:t xml:space="preserve">or example, changes to system </w:t>
      </w:r>
      <w:r w:rsidR="00DC7D77">
        <w:t>topology</w:t>
      </w:r>
      <w:r w:rsidR="005D0797">
        <w:t>,</w:t>
      </w:r>
      <w:r w:rsidR="00A7605F">
        <w:t xml:space="preserve"> </w:t>
      </w:r>
      <w:r w:rsidR="005D0797">
        <w:t xml:space="preserve">the path being </w:t>
      </w:r>
      <w:r w:rsidRPr="005D0797" w:rsidR="005D0797">
        <w:t xml:space="preserve">no longer </w:t>
      </w:r>
      <w:r w:rsidR="005D0797">
        <w:t xml:space="preserve">necessary </w:t>
      </w:r>
      <w:r w:rsidRPr="005D0797" w:rsidR="005D0797">
        <w:t>to support the transfer of generation to major load centers</w:t>
      </w:r>
      <w:r w:rsidR="005D0797">
        <w:t xml:space="preserve">, or the path being no longer necessary to maintain system stability due to other </w:t>
      </w:r>
      <w:r w:rsidRPr="005D0797" w:rsidR="005D0797">
        <w:t>transmission system reinforcements</w:t>
      </w:r>
      <w:r w:rsidR="005D0797">
        <w:t>.</w:t>
      </w:r>
    </w:p>
  </w:footnote>
  <w:footnote w:id="42">
    <w:p w:rsidR="00E51449" w:rsidP="00E51449" w14:paraId="7BEA51C3" w14:textId="5F16B8F2">
      <w:pPr>
        <w:pStyle w:val="FootnoteText"/>
      </w:pPr>
      <w:r>
        <w:rPr>
          <w:rStyle w:val="FootnoteReference"/>
        </w:rPr>
        <w:footnoteRef/>
      </w:r>
      <w:r>
        <w:rPr>
          <w:b/>
        </w:rPr>
        <w:t xml:space="preserve"> </w:t>
      </w:r>
      <w:r>
        <w:t xml:space="preserve">44 U.S.C. </w:t>
      </w:r>
      <w:r w:rsidR="00D164E3">
        <w:t>§ 3</w:t>
      </w:r>
      <w:r>
        <w:t>507(d).</w:t>
      </w:r>
    </w:p>
  </w:footnote>
  <w:footnote w:id="43">
    <w:p w:rsidR="002C0826" w:rsidP="002C0826" w14:paraId="1EFB6316" w14:textId="788FA70A">
      <w:pPr>
        <w:pStyle w:val="FootnoteText"/>
      </w:pPr>
      <w:r>
        <w:rPr>
          <w:rStyle w:val="FootnoteReference"/>
        </w:rPr>
        <w:footnoteRef/>
      </w:r>
      <w:r>
        <w:t xml:space="preserve"> 5 CFR </w:t>
      </w:r>
      <w:r w:rsidR="00D164E3">
        <w:t>§ 1</w:t>
      </w:r>
      <w:r>
        <w:t>320.11</w:t>
      </w:r>
      <w:r w:rsidR="00962BF3">
        <w:t xml:space="preserve"> (202</w:t>
      </w:r>
      <w:r w:rsidR="00FB296E">
        <w:t>4</w:t>
      </w:r>
      <w:r w:rsidR="00962BF3">
        <w:t>)</w:t>
      </w:r>
      <w:r>
        <w:t>.</w:t>
      </w:r>
    </w:p>
  </w:footnote>
  <w:footnote w:id="44">
    <w:p w:rsidR="00704E80" w:rsidP="00704E80" w14:paraId="5287FC31" w14:textId="194FB620">
      <w:pPr>
        <w:pStyle w:val="FootnoteText"/>
      </w:pPr>
      <w:r>
        <w:rPr>
          <w:rStyle w:val="FootnoteReference"/>
        </w:rPr>
        <w:footnoteRef/>
      </w:r>
      <w:r>
        <w:t xml:space="preserve"> Reliability Standards Development as described in FERC-725 </w:t>
      </w:r>
      <w:r w:rsidRPr="00766849">
        <w:t xml:space="preserve">covers </w:t>
      </w:r>
      <w:r w:rsidR="00327BF5">
        <w:t>s</w:t>
      </w:r>
      <w:r w:rsidRPr="00766849">
        <w:t xml:space="preserve">tandards development initiated by NERC, the Regional Entities, and industry, as well as </w:t>
      </w:r>
      <w:r w:rsidR="00327BF5">
        <w:t>s</w:t>
      </w:r>
      <w:r w:rsidRPr="00766849">
        <w:t>tandards the Commission may direct NERC to develop or modify.</w:t>
      </w:r>
    </w:p>
  </w:footnote>
  <w:footnote w:id="45">
    <w:p w:rsidR="00A178CA" w14:paraId="04FCFFC8" w14:textId="735CA134">
      <w:pPr>
        <w:pStyle w:val="FootnoteText"/>
      </w:pPr>
      <w:r>
        <w:rPr>
          <w:rStyle w:val="FootnoteReference"/>
        </w:rPr>
        <w:footnoteRef/>
      </w:r>
      <w:r>
        <w:t xml:space="preserve"> </w:t>
      </w:r>
      <w:r w:rsidR="002E6BA1">
        <w:t>Regional Reliability Standard FAC-501-WECC-4, Purpose</w:t>
      </w:r>
      <w:r w:rsidR="0087631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D8D" w:rsidP="00407EE0" w14:paraId="2715EBD1" w14:textId="38005B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14:paraId="0F0488F8"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D8D" w:rsidP="00F50584" w14:paraId="007A4765" w14:textId="0D19F608">
    <w:pPr>
      <w:pStyle w:val="Header"/>
      <w:tabs>
        <w:tab w:val="clear" w:pos="4680"/>
      </w:tabs>
      <w:spacing w:after="240"/>
    </w:pPr>
    <w:r>
      <w:t>Docket No. RD24-7-000</w:t>
    </w:r>
    <w:r>
      <w:tab/>
    </w:r>
    <w:r>
      <w:fldChar w:fldCharType="begin"/>
    </w:r>
    <w:r>
      <w:instrText xml:space="preserve"> PAGE  \* MERGEFORMAT </w:instrText>
    </w:r>
    <w:r>
      <w:fldChar w:fldCharType="separate"/>
    </w:r>
    <w:r>
      <w:rPr>
        <w:noProof/>
      </w:rPr>
      <w:t>- 1 -</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D8D" w:rsidP="00EC3F55" w14:paraId="659E6DF8" w14:textId="220AA2F3">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hAnsi="Times New Roman" w:eastAsiaTheme="minorHAnsi"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start w:val="7"/>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nsid w:val="1E5A2883"/>
    <w:multiLevelType w:val="hybridMultilevel"/>
    <w:tmpl w:val="543635AE"/>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5">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746082C"/>
    <w:multiLevelType w:val="hybridMultilevel"/>
    <w:tmpl w:val="287213FA"/>
    <w:lvl w:ilvl="0">
      <w:start w:val="1"/>
      <w:numFmt w:val="upperLetter"/>
      <w:lvlText w:val="(%1)"/>
      <w:lvlJc w:val="left"/>
      <w:pPr>
        <w:ind w:left="0" w:firstLine="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B6502FF"/>
    <w:multiLevelType w:val="multilevel"/>
    <w:tmpl w:val="130AEA6C"/>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8">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0">
    <w:nsid w:val="7D3B09D3"/>
    <w:multiLevelType w:val="hybridMultilevel"/>
    <w:tmpl w:val="E932C09A"/>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31080175">
    <w:abstractNumId w:val="9"/>
  </w:num>
  <w:num w:numId="2" w16cid:durableId="436825673">
    <w:abstractNumId w:val="7"/>
  </w:num>
  <w:num w:numId="3" w16cid:durableId="2023042739">
    <w:abstractNumId w:val="6"/>
  </w:num>
  <w:num w:numId="4" w16cid:durableId="1507210208">
    <w:abstractNumId w:val="5"/>
  </w:num>
  <w:num w:numId="5" w16cid:durableId="255291719">
    <w:abstractNumId w:val="4"/>
  </w:num>
  <w:num w:numId="6" w16cid:durableId="124351206">
    <w:abstractNumId w:val="8"/>
  </w:num>
  <w:num w:numId="7" w16cid:durableId="1778678035">
    <w:abstractNumId w:val="3"/>
  </w:num>
  <w:num w:numId="8" w16cid:durableId="1575512540">
    <w:abstractNumId w:val="2"/>
  </w:num>
  <w:num w:numId="9" w16cid:durableId="1142500387">
    <w:abstractNumId w:val="1"/>
  </w:num>
  <w:num w:numId="10" w16cid:durableId="1312561718">
    <w:abstractNumId w:val="0"/>
  </w:num>
  <w:num w:numId="11" w16cid:durableId="812917180">
    <w:abstractNumId w:val="20"/>
  </w:num>
  <w:num w:numId="12" w16cid:durableId="52506773">
    <w:abstractNumId w:val="18"/>
  </w:num>
  <w:num w:numId="13" w16cid:durableId="859006164">
    <w:abstractNumId w:val="13"/>
  </w:num>
  <w:num w:numId="14" w16cid:durableId="311065281">
    <w:abstractNumId w:val="19"/>
  </w:num>
  <w:num w:numId="15" w16cid:durableId="1146164863">
    <w:abstractNumId w:val="17"/>
  </w:num>
  <w:num w:numId="16" w16cid:durableId="10713903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5519094">
    <w:abstractNumId w:val="11"/>
  </w:num>
  <w:num w:numId="18" w16cid:durableId="1754618900">
    <w:abstractNumId w:val="10"/>
  </w:num>
  <w:num w:numId="19" w16cid:durableId="1358699890">
    <w:abstractNumId w:val="14"/>
  </w:num>
  <w:num w:numId="20" w16cid:durableId="1399862505">
    <w:abstractNumId w:val="12"/>
  </w:num>
  <w:num w:numId="21" w16cid:durableId="984897000">
    <w:abstractNumId w:val="21"/>
  </w:num>
  <w:num w:numId="22" w16cid:durableId="46496330">
    <w:abstractNumId w:val="15"/>
  </w:num>
  <w:num w:numId="23" w16cid:durableId="15239773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584"/>
    <w:rsid w:val="000013F9"/>
    <w:rsid w:val="00001596"/>
    <w:rsid w:val="0000267E"/>
    <w:rsid w:val="00002795"/>
    <w:rsid w:val="00002845"/>
    <w:rsid w:val="00003340"/>
    <w:rsid w:val="00003D85"/>
    <w:rsid w:val="00004CDD"/>
    <w:rsid w:val="0000731D"/>
    <w:rsid w:val="00007821"/>
    <w:rsid w:val="000103BD"/>
    <w:rsid w:val="000104B5"/>
    <w:rsid w:val="0001083D"/>
    <w:rsid w:val="00010FA6"/>
    <w:rsid w:val="000118C8"/>
    <w:rsid w:val="000121AF"/>
    <w:rsid w:val="000137A5"/>
    <w:rsid w:val="000143AA"/>
    <w:rsid w:val="0002042F"/>
    <w:rsid w:val="00020D1C"/>
    <w:rsid w:val="0002120C"/>
    <w:rsid w:val="000212D6"/>
    <w:rsid w:val="00022A33"/>
    <w:rsid w:val="00022B9A"/>
    <w:rsid w:val="0002355F"/>
    <w:rsid w:val="00023F62"/>
    <w:rsid w:val="00024223"/>
    <w:rsid w:val="00026146"/>
    <w:rsid w:val="00026815"/>
    <w:rsid w:val="0003050F"/>
    <w:rsid w:val="00030642"/>
    <w:rsid w:val="0003083A"/>
    <w:rsid w:val="000325A6"/>
    <w:rsid w:val="0003382F"/>
    <w:rsid w:val="00033B72"/>
    <w:rsid w:val="000345D0"/>
    <w:rsid w:val="000349E3"/>
    <w:rsid w:val="00034CBF"/>
    <w:rsid w:val="0003596B"/>
    <w:rsid w:val="000364B1"/>
    <w:rsid w:val="00037040"/>
    <w:rsid w:val="00037FEC"/>
    <w:rsid w:val="00040F8B"/>
    <w:rsid w:val="00041B8F"/>
    <w:rsid w:val="00042247"/>
    <w:rsid w:val="000428C4"/>
    <w:rsid w:val="000441C4"/>
    <w:rsid w:val="000448DE"/>
    <w:rsid w:val="00045351"/>
    <w:rsid w:val="0004624A"/>
    <w:rsid w:val="0005033C"/>
    <w:rsid w:val="000504E8"/>
    <w:rsid w:val="00051226"/>
    <w:rsid w:val="0005122C"/>
    <w:rsid w:val="0005135D"/>
    <w:rsid w:val="00051C60"/>
    <w:rsid w:val="00052C05"/>
    <w:rsid w:val="000531F6"/>
    <w:rsid w:val="000550DC"/>
    <w:rsid w:val="00055154"/>
    <w:rsid w:val="00055955"/>
    <w:rsid w:val="00055F5F"/>
    <w:rsid w:val="000567B5"/>
    <w:rsid w:val="00056A9D"/>
    <w:rsid w:val="00056AA0"/>
    <w:rsid w:val="00057C2D"/>
    <w:rsid w:val="000600F5"/>
    <w:rsid w:val="000603F5"/>
    <w:rsid w:val="0006117F"/>
    <w:rsid w:val="000617B1"/>
    <w:rsid w:val="00062732"/>
    <w:rsid w:val="00062ECC"/>
    <w:rsid w:val="00063C91"/>
    <w:rsid w:val="000646B3"/>
    <w:rsid w:val="000702F0"/>
    <w:rsid w:val="00070857"/>
    <w:rsid w:val="000711C1"/>
    <w:rsid w:val="000717AE"/>
    <w:rsid w:val="0007377C"/>
    <w:rsid w:val="000743AC"/>
    <w:rsid w:val="0007636C"/>
    <w:rsid w:val="000764B6"/>
    <w:rsid w:val="0007685B"/>
    <w:rsid w:val="00076A2D"/>
    <w:rsid w:val="00076A69"/>
    <w:rsid w:val="00077175"/>
    <w:rsid w:val="000775D2"/>
    <w:rsid w:val="00081508"/>
    <w:rsid w:val="00082DC9"/>
    <w:rsid w:val="00083CB5"/>
    <w:rsid w:val="00083D7F"/>
    <w:rsid w:val="000844A6"/>
    <w:rsid w:val="0008478C"/>
    <w:rsid w:val="00084A31"/>
    <w:rsid w:val="000851BE"/>
    <w:rsid w:val="0008542B"/>
    <w:rsid w:val="00085AA0"/>
    <w:rsid w:val="00086D98"/>
    <w:rsid w:val="0008778D"/>
    <w:rsid w:val="000878B1"/>
    <w:rsid w:val="00087C43"/>
    <w:rsid w:val="00087DC7"/>
    <w:rsid w:val="00090C60"/>
    <w:rsid w:val="0009181C"/>
    <w:rsid w:val="00091B47"/>
    <w:rsid w:val="00091F0E"/>
    <w:rsid w:val="00092151"/>
    <w:rsid w:val="00092634"/>
    <w:rsid w:val="000940E0"/>
    <w:rsid w:val="000946EA"/>
    <w:rsid w:val="00095D8A"/>
    <w:rsid w:val="000965E0"/>
    <w:rsid w:val="000969B7"/>
    <w:rsid w:val="00096AC0"/>
    <w:rsid w:val="00097C05"/>
    <w:rsid w:val="000A2772"/>
    <w:rsid w:val="000A3D2F"/>
    <w:rsid w:val="000A3F42"/>
    <w:rsid w:val="000A3FF3"/>
    <w:rsid w:val="000A5097"/>
    <w:rsid w:val="000A5AED"/>
    <w:rsid w:val="000A6835"/>
    <w:rsid w:val="000A6C08"/>
    <w:rsid w:val="000A75FD"/>
    <w:rsid w:val="000B1FC7"/>
    <w:rsid w:val="000B2A27"/>
    <w:rsid w:val="000B3217"/>
    <w:rsid w:val="000B4124"/>
    <w:rsid w:val="000B44C9"/>
    <w:rsid w:val="000B57DC"/>
    <w:rsid w:val="000B6077"/>
    <w:rsid w:val="000B7E62"/>
    <w:rsid w:val="000C0253"/>
    <w:rsid w:val="000C03C5"/>
    <w:rsid w:val="000C0C8F"/>
    <w:rsid w:val="000C1FCA"/>
    <w:rsid w:val="000C2326"/>
    <w:rsid w:val="000C35A8"/>
    <w:rsid w:val="000C44C3"/>
    <w:rsid w:val="000C4A0B"/>
    <w:rsid w:val="000C4DDC"/>
    <w:rsid w:val="000C56E9"/>
    <w:rsid w:val="000C585D"/>
    <w:rsid w:val="000C6869"/>
    <w:rsid w:val="000D0EE6"/>
    <w:rsid w:val="000D1D4B"/>
    <w:rsid w:val="000D1FB6"/>
    <w:rsid w:val="000D3D12"/>
    <w:rsid w:val="000D40C9"/>
    <w:rsid w:val="000D5B8A"/>
    <w:rsid w:val="000D739B"/>
    <w:rsid w:val="000D7DD4"/>
    <w:rsid w:val="000D7E4E"/>
    <w:rsid w:val="000D7E96"/>
    <w:rsid w:val="000E065C"/>
    <w:rsid w:val="000E0857"/>
    <w:rsid w:val="000E0940"/>
    <w:rsid w:val="000E0FB3"/>
    <w:rsid w:val="000E12C0"/>
    <w:rsid w:val="000E1E1E"/>
    <w:rsid w:val="000E2BFA"/>
    <w:rsid w:val="000E3F30"/>
    <w:rsid w:val="000E40EC"/>
    <w:rsid w:val="000E4E3F"/>
    <w:rsid w:val="000E6BB5"/>
    <w:rsid w:val="000F046E"/>
    <w:rsid w:val="000F1FF3"/>
    <w:rsid w:val="000F265B"/>
    <w:rsid w:val="000F276E"/>
    <w:rsid w:val="000F28FF"/>
    <w:rsid w:val="000F2D4F"/>
    <w:rsid w:val="000F2DC1"/>
    <w:rsid w:val="000F372C"/>
    <w:rsid w:val="000F425C"/>
    <w:rsid w:val="000F51A3"/>
    <w:rsid w:val="000F5382"/>
    <w:rsid w:val="000F603B"/>
    <w:rsid w:val="000F6403"/>
    <w:rsid w:val="000F6C7F"/>
    <w:rsid w:val="00100E1B"/>
    <w:rsid w:val="00101107"/>
    <w:rsid w:val="00101C8D"/>
    <w:rsid w:val="0010235E"/>
    <w:rsid w:val="00102736"/>
    <w:rsid w:val="0010290F"/>
    <w:rsid w:val="001029CA"/>
    <w:rsid w:val="0010316F"/>
    <w:rsid w:val="00104F76"/>
    <w:rsid w:val="00107827"/>
    <w:rsid w:val="00107D12"/>
    <w:rsid w:val="0011009A"/>
    <w:rsid w:val="001139FD"/>
    <w:rsid w:val="0011421B"/>
    <w:rsid w:val="0011456F"/>
    <w:rsid w:val="00114DE0"/>
    <w:rsid w:val="001150E1"/>
    <w:rsid w:val="001179D9"/>
    <w:rsid w:val="00117AE2"/>
    <w:rsid w:val="00117BDB"/>
    <w:rsid w:val="00120603"/>
    <w:rsid w:val="001208A2"/>
    <w:rsid w:val="001209EF"/>
    <w:rsid w:val="00120D87"/>
    <w:rsid w:val="001236E4"/>
    <w:rsid w:val="00123909"/>
    <w:rsid w:val="00123F7F"/>
    <w:rsid w:val="00124C66"/>
    <w:rsid w:val="00125448"/>
    <w:rsid w:val="001264AF"/>
    <w:rsid w:val="0012713F"/>
    <w:rsid w:val="00127478"/>
    <w:rsid w:val="001279B9"/>
    <w:rsid w:val="00130CCE"/>
    <w:rsid w:val="00131074"/>
    <w:rsid w:val="00132116"/>
    <w:rsid w:val="00132D57"/>
    <w:rsid w:val="001334B8"/>
    <w:rsid w:val="00133708"/>
    <w:rsid w:val="0013382B"/>
    <w:rsid w:val="00133E3D"/>
    <w:rsid w:val="00137A64"/>
    <w:rsid w:val="00137FC7"/>
    <w:rsid w:val="00140DEA"/>
    <w:rsid w:val="0014105D"/>
    <w:rsid w:val="00141522"/>
    <w:rsid w:val="001421AA"/>
    <w:rsid w:val="00144A50"/>
    <w:rsid w:val="00144C4D"/>
    <w:rsid w:val="00146074"/>
    <w:rsid w:val="0014622D"/>
    <w:rsid w:val="0014626E"/>
    <w:rsid w:val="001463D5"/>
    <w:rsid w:val="00146A50"/>
    <w:rsid w:val="00150717"/>
    <w:rsid w:val="001512A7"/>
    <w:rsid w:val="001520D4"/>
    <w:rsid w:val="001526AA"/>
    <w:rsid w:val="00153371"/>
    <w:rsid w:val="001549DE"/>
    <w:rsid w:val="00154C7A"/>
    <w:rsid w:val="00155301"/>
    <w:rsid w:val="0015685A"/>
    <w:rsid w:val="00157677"/>
    <w:rsid w:val="00161038"/>
    <w:rsid w:val="00161C66"/>
    <w:rsid w:val="0016376E"/>
    <w:rsid w:val="00164D1E"/>
    <w:rsid w:val="0016531B"/>
    <w:rsid w:val="00167495"/>
    <w:rsid w:val="00171EE7"/>
    <w:rsid w:val="00172E2B"/>
    <w:rsid w:val="001734EE"/>
    <w:rsid w:val="00173CE9"/>
    <w:rsid w:val="00175DA2"/>
    <w:rsid w:val="0017696A"/>
    <w:rsid w:val="0017701D"/>
    <w:rsid w:val="001809B6"/>
    <w:rsid w:val="0018190C"/>
    <w:rsid w:val="00181E45"/>
    <w:rsid w:val="001823B9"/>
    <w:rsid w:val="00183657"/>
    <w:rsid w:val="00183988"/>
    <w:rsid w:val="00183C91"/>
    <w:rsid w:val="00184B26"/>
    <w:rsid w:val="0018618B"/>
    <w:rsid w:val="001874D1"/>
    <w:rsid w:val="0018758C"/>
    <w:rsid w:val="00191617"/>
    <w:rsid w:val="001918B2"/>
    <w:rsid w:val="0019292E"/>
    <w:rsid w:val="001936C9"/>
    <w:rsid w:val="00194930"/>
    <w:rsid w:val="00194F44"/>
    <w:rsid w:val="00195468"/>
    <w:rsid w:val="001960DD"/>
    <w:rsid w:val="001977C7"/>
    <w:rsid w:val="001979E2"/>
    <w:rsid w:val="001A02F6"/>
    <w:rsid w:val="001A1641"/>
    <w:rsid w:val="001A1693"/>
    <w:rsid w:val="001A2994"/>
    <w:rsid w:val="001A2AF1"/>
    <w:rsid w:val="001A33D6"/>
    <w:rsid w:val="001A3526"/>
    <w:rsid w:val="001A36C4"/>
    <w:rsid w:val="001A3AB1"/>
    <w:rsid w:val="001A406D"/>
    <w:rsid w:val="001A4531"/>
    <w:rsid w:val="001A563A"/>
    <w:rsid w:val="001A64F1"/>
    <w:rsid w:val="001A65C7"/>
    <w:rsid w:val="001A6E39"/>
    <w:rsid w:val="001A726C"/>
    <w:rsid w:val="001A73FA"/>
    <w:rsid w:val="001B042B"/>
    <w:rsid w:val="001B05F2"/>
    <w:rsid w:val="001B130E"/>
    <w:rsid w:val="001B1FE9"/>
    <w:rsid w:val="001B2C6D"/>
    <w:rsid w:val="001B2DF9"/>
    <w:rsid w:val="001B3196"/>
    <w:rsid w:val="001B362D"/>
    <w:rsid w:val="001B49F3"/>
    <w:rsid w:val="001B4FB2"/>
    <w:rsid w:val="001B573E"/>
    <w:rsid w:val="001B649D"/>
    <w:rsid w:val="001B6E00"/>
    <w:rsid w:val="001B7C7F"/>
    <w:rsid w:val="001C2FBB"/>
    <w:rsid w:val="001C2FD5"/>
    <w:rsid w:val="001C328B"/>
    <w:rsid w:val="001C5590"/>
    <w:rsid w:val="001C573E"/>
    <w:rsid w:val="001C6228"/>
    <w:rsid w:val="001C6ADA"/>
    <w:rsid w:val="001C6FD6"/>
    <w:rsid w:val="001D264B"/>
    <w:rsid w:val="001D2711"/>
    <w:rsid w:val="001D274F"/>
    <w:rsid w:val="001D2991"/>
    <w:rsid w:val="001D35DE"/>
    <w:rsid w:val="001D3B0D"/>
    <w:rsid w:val="001D3BB0"/>
    <w:rsid w:val="001D4303"/>
    <w:rsid w:val="001D53AC"/>
    <w:rsid w:val="001D72A0"/>
    <w:rsid w:val="001D74AA"/>
    <w:rsid w:val="001D7927"/>
    <w:rsid w:val="001E00CE"/>
    <w:rsid w:val="001E566D"/>
    <w:rsid w:val="001E59F9"/>
    <w:rsid w:val="001E5D50"/>
    <w:rsid w:val="001E636A"/>
    <w:rsid w:val="001E6957"/>
    <w:rsid w:val="001E7038"/>
    <w:rsid w:val="001E79AA"/>
    <w:rsid w:val="001E7A8F"/>
    <w:rsid w:val="001F09EB"/>
    <w:rsid w:val="001F2724"/>
    <w:rsid w:val="001F27CD"/>
    <w:rsid w:val="001F3B0D"/>
    <w:rsid w:val="001F3E2A"/>
    <w:rsid w:val="001F51A0"/>
    <w:rsid w:val="001F5CC6"/>
    <w:rsid w:val="001F6303"/>
    <w:rsid w:val="001F655C"/>
    <w:rsid w:val="001F7586"/>
    <w:rsid w:val="001F7B2C"/>
    <w:rsid w:val="002017A5"/>
    <w:rsid w:val="00202813"/>
    <w:rsid w:val="00202BC3"/>
    <w:rsid w:val="00203911"/>
    <w:rsid w:val="002059D1"/>
    <w:rsid w:val="002065D9"/>
    <w:rsid w:val="002072CF"/>
    <w:rsid w:val="00211765"/>
    <w:rsid w:val="00212449"/>
    <w:rsid w:val="00212B38"/>
    <w:rsid w:val="00213176"/>
    <w:rsid w:val="002136E7"/>
    <w:rsid w:val="00213A34"/>
    <w:rsid w:val="002153C0"/>
    <w:rsid w:val="00216779"/>
    <w:rsid w:val="002206DB"/>
    <w:rsid w:val="002209C9"/>
    <w:rsid w:val="00220FFB"/>
    <w:rsid w:val="0022182D"/>
    <w:rsid w:val="002247B0"/>
    <w:rsid w:val="00224859"/>
    <w:rsid w:val="00224CDC"/>
    <w:rsid w:val="00224DF8"/>
    <w:rsid w:val="00224FE9"/>
    <w:rsid w:val="00225A12"/>
    <w:rsid w:val="002260E5"/>
    <w:rsid w:val="002261B3"/>
    <w:rsid w:val="00230873"/>
    <w:rsid w:val="002311EA"/>
    <w:rsid w:val="002318B6"/>
    <w:rsid w:val="00232185"/>
    <w:rsid w:val="00232487"/>
    <w:rsid w:val="0023320C"/>
    <w:rsid w:val="00233CEF"/>
    <w:rsid w:val="00233D1C"/>
    <w:rsid w:val="00233FD0"/>
    <w:rsid w:val="002352B0"/>
    <w:rsid w:val="002354E4"/>
    <w:rsid w:val="002378EE"/>
    <w:rsid w:val="00237FCD"/>
    <w:rsid w:val="00240493"/>
    <w:rsid w:val="00240874"/>
    <w:rsid w:val="00240EBE"/>
    <w:rsid w:val="00240F1A"/>
    <w:rsid w:val="00241826"/>
    <w:rsid w:val="0024225E"/>
    <w:rsid w:val="00242C6B"/>
    <w:rsid w:val="00243942"/>
    <w:rsid w:val="00244A41"/>
    <w:rsid w:val="0024593B"/>
    <w:rsid w:val="00245F31"/>
    <w:rsid w:val="002463AC"/>
    <w:rsid w:val="002464E8"/>
    <w:rsid w:val="0024710C"/>
    <w:rsid w:val="0025030F"/>
    <w:rsid w:val="00251C92"/>
    <w:rsid w:val="0025239C"/>
    <w:rsid w:val="00252BED"/>
    <w:rsid w:val="002533E8"/>
    <w:rsid w:val="00253776"/>
    <w:rsid w:val="002541B0"/>
    <w:rsid w:val="00254478"/>
    <w:rsid w:val="00255417"/>
    <w:rsid w:val="00255816"/>
    <w:rsid w:val="00255BE0"/>
    <w:rsid w:val="002577C0"/>
    <w:rsid w:val="0025790F"/>
    <w:rsid w:val="00257989"/>
    <w:rsid w:val="00257E8F"/>
    <w:rsid w:val="00260517"/>
    <w:rsid w:val="00260873"/>
    <w:rsid w:val="00261300"/>
    <w:rsid w:val="002619EB"/>
    <w:rsid w:val="00262FED"/>
    <w:rsid w:val="0026565E"/>
    <w:rsid w:val="00267328"/>
    <w:rsid w:val="002674CD"/>
    <w:rsid w:val="00267757"/>
    <w:rsid w:val="00270766"/>
    <w:rsid w:val="0027221F"/>
    <w:rsid w:val="002724AA"/>
    <w:rsid w:val="00274373"/>
    <w:rsid w:val="00274963"/>
    <w:rsid w:val="00275772"/>
    <w:rsid w:val="00276CB6"/>
    <w:rsid w:val="002771DE"/>
    <w:rsid w:val="00277F89"/>
    <w:rsid w:val="002817CE"/>
    <w:rsid w:val="002823CD"/>
    <w:rsid w:val="00282AF8"/>
    <w:rsid w:val="00283AA6"/>
    <w:rsid w:val="0028432C"/>
    <w:rsid w:val="00284E46"/>
    <w:rsid w:val="002857A9"/>
    <w:rsid w:val="002857E2"/>
    <w:rsid w:val="00286950"/>
    <w:rsid w:val="002870A9"/>
    <w:rsid w:val="00287840"/>
    <w:rsid w:val="00290ABD"/>
    <w:rsid w:val="00291696"/>
    <w:rsid w:val="00292DAB"/>
    <w:rsid w:val="002932CA"/>
    <w:rsid w:val="002936CF"/>
    <w:rsid w:val="00293920"/>
    <w:rsid w:val="00293E05"/>
    <w:rsid w:val="00296812"/>
    <w:rsid w:val="002A03E5"/>
    <w:rsid w:val="002A0B4A"/>
    <w:rsid w:val="002A0E90"/>
    <w:rsid w:val="002A2816"/>
    <w:rsid w:val="002A34C1"/>
    <w:rsid w:val="002A4AF4"/>
    <w:rsid w:val="002A4BA3"/>
    <w:rsid w:val="002A5C43"/>
    <w:rsid w:val="002A706F"/>
    <w:rsid w:val="002A729E"/>
    <w:rsid w:val="002A7AAB"/>
    <w:rsid w:val="002A7FB5"/>
    <w:rsid w:val="002B0C5E"/>
    <w:rsid w:val="002B0EA7"/>
    <w:rsid w:val="002B1E5F"/>
    <w:rsid w:val="002B248B"/>
    <w:rsid w:val="002B262D"/>
    <w:rsid w:val="002B2726"/>
    <w:rsid w:val="002B2C5C"/>
    <w:rsid w:val="002B318B"/>
    <w:rsid w:val="002B35F2"/>
    <w:rsid w:val="002B4515"/>
    <w:rsid w:val="002B5996"/>
    <w:rsid w:val="002B6125"/>
    <w:rsid w:val="002B613D"/>
    <w:rsid w:val="002B6B72"/>
    <w:rsid w:val="002B75AC"/>
    <w:rsid w:val="002C01C7"/>
    <w:rsid w:val="002C0826"/>
    <w:rsid w:val="002C0A5E"/>
    <w:rsid w:val="002C148E"/>
    <w:rsid w:val="002C19C9"/>
    <w:rsid w:val="002C2BC8"/>
    <w:rsid w:val="002C3ABF"/>
    <w:rsid w:val="002C57E5"/>
    <w:rsid w:val="002C5BAE"/>
    <w:rsid w:val="002C6E9B"/>
    <w:rsid w:val="002C71E2"/>
    <w:rsid w:val="002C7704"/>
    <w:rsid w:val="002C7F13"/>
    <w:rsid w:val="002D074B"/>
    <w:rsid w:val="002D130A"/>
    <w:rsid w:val="002D1528"/>
    <w:rsid w:val="002D1ABD"/>
    <w:rsid w:val="002D206A"/>
    <w:rsid w:val="002D286B"/>
    <w:rsid w:val="002D358E"/>
    <w:rsid w:val="002D6267"/>
    <w:rsid w:val="002D65B3"/>
    <w:rsid w:val="002D73A5"/>
    <w:rsid w:val="002D7429"/>
    <w:rsid w:val="002D7D6B"/>
    <w:rsid w:val="002E06BE"/>
    <w:rsid w:val="002E1361"/>
    <w:rsid w:val="002E1893"/>
    <w:rsid w:val="002E1C22"/>
    <w:rsid w:val="002E2247"/>
    <w:rsid w:val="002E2B50"/>
    <w:rsid w:val="002E4593"/>
    <w:rsid w:val="002E4923"/>
    <w:rsid w:val="002E4E8A"/>
    <w:rsid w:val="002E505A"/>
    <w:rsid w:val="002E541B"/>
    <w:rsid w:val="002E587D"/>
    <w:rsid w:val="002E6BA1"/>
    <w:rsid w:val="002F08DF"/>
    <w:rsid w:val="002F1E5F"/>
    <w:rsid w:val="002F2262"/>
    <w:rsid w:val="002F35B7"/>
    <w:rsid w:val="002F4732"/>
    <w:rsid w:val="002F52A9"/>
    <w:rsid w:val="002F5449"/>
    <w:rsid w:val="002F599D"/>
    <w:rsid w:val="00300672"/>
    <w:rsid w:val="00301D68"/>
    <w:rsid w:val="003031DA"/>
    <w:rsid w:val="00303F36"/>
    <w:rsid w:val="00304C3E"/>
    <w:rsid w:val="00305F8F"/>
    <w:rsid w:val="0030765B"/>
    <w:rsid w:val="00307A33"/>
    <w:rsid w:val="00311839"/>
    <w:rsid w:val="00311ACC"/>
    <w:rsid w:val="00312651"/>
    <w:rsid w:val="00312E7C"/>
    <w:rsid w:val="00313048"/>
    <w:rsid w:val="00313634"/>
    <w:rsid w:val="00315B95"/>
    <w:rsid w:val="00317139"/>
    <w:rsid w:val="00320F71"/>
    <w:rsid w:val="00321A57"/>
    <w:rsid w:val="003227A2"/>
    <w:rsid w:val="00322F05"/>
    <w:rsid w:val="0032317B"/>
    <w:rsid w:val="0032351C"/>
    <w:rsid w:val="00324F79"/>
    <w:rsid w:val="00326625"/>
    <w:rsid w:val="00327296"/>
    <w:rsid w:val="00327401"/>
    <w:rsid w:val="00327481"/>
    <w:rsid w:val="00327BF5"/>
    <w:rsid w:val="00330138"/>
    <w:rsid w:val="0033086E"/>
    <w:rsid w:val="003310AC"/>
    <w:rsid w:val="003320B5"/>
    <w:rsid w:val="003329E5"/>
    <w:rsid w:val="00332B55"/>
    <w:rsid w:val="00333204"/>
    <w:rsid w:val="00333783"/>
    <w:rsid w:val="00333DE7"/>
    <w:rsid w:val="0033413E"/>
    <w:rsid w:val="003346EB"/>
    <w:rsid w:val="00335933"/>
    <w:rsid w:val="003370E4"/>
    <w:rsid w:val="003401F8"/>
    <w:rsid w:val="003422E5"/>
    <w:rsid w:val="003436FF"/>
    <w:rsid w:val="003437BD"/>
    <w:rsid w:val="00343D67"/>
    <w:rsid w:val="00343F58"/>
    <w:rsid w:val="00344000"/>
    <w:rsid w:val="00344DC8"/>
    <w:rsid w:val="00346769"/>
    <w:rsid w:val="00346B21"/>
    <w:rsid w:val="003478CF"/>
    <w:rsid w:val="003507DA"/>
    <w:rsid w:val="00350E98"/>
    <w:rsid w:val="00350FC8"/>
    <w:rsid w:val="003520AD"/>
    <w:rsid w:val="003533F6"/>
    <w:rsid w:val="003547F6"/>
    <w:rsid w:val="00355765"/>
    <w:rsid w:val="00356733"/>
    <w:rsid w:val="00357371"/>
    <w:rsid w:val="00357835"/>
    <w:rsid w:val="00357E03"/>
    <w:rsid w:val="00357F58"/>
    <w:rsid w:val="003608E7"/>
    <w:rsid w:val="003608EF"/>
    <w:rsid w:val="00360AA1"/>
    <w:rsid w:val="00361EE5"/>
    <w:rsid w:val="00362B91"/>
    <w:rsid w:val="00364154"/>
    <w:rsid w:val="00364E6F"/>
    <w:rsid w:val="0036500A"/>
    <w:rsid w:val="00365154"/>
    <w:rsid w:val="003661D2"/>
    <w:rsid w:val="00371167"/>
    <w:rsid w:val="003719FE"/>
    <w:rsid w:val="00371C2D"/>
    <w:rsid w:val="00374232"/>
    <w:rsid w:val="00374532"/>
    <w:rsid w:val="00374868"/>
    <w:rsid w:val="00374E73"/>
    <w:rsid w:val="00374EB0"/>
    <w:rsid w:val="00375DF4"/>
    <w:rsid w:val="00376313"/>
    <w:rsid w:val="00376850"/>
    <w:rsid w:val="00377619"/>
    <w:rsid w:val="0037774F"/>
    <w:rsid w:val="00383004"/>
    <w:rsid w:val="003830CE"/>
    <w:rsid w:val="003839C3"/>
    <w:rsid w:val="00385E2D"/>
    <w:rsid w:val="00387FF2"/>
    <w:rsid w:val="00391AC2"/>
    <w:rsid w:val="00391FF5"/>
    <w:rsid w:val="003925C4"/>
    <w:rsid w:val="0039262E"/>
    <w:rsid w:val="00392734"/>
    <w:rsid w:val="003937F3"/>
    <w:rsid w:val="00393C68"/>
    <w:rsid w:val="00393D93"/>
    <w:rsid w:val="00396513"/>
    <w:rsid w:val="00396C82"/>
    <w:rsid w:val="00397622"/>
    <w:rsid w:val="00397745"/>
    <w:rsid w:val="00397792"/>
    <w:rsid w:val="003A0C58"/>
    <w:rsid w:val="003A14D7"/>
    <w:rsid w:val="003A15D6"/>
    <w:rsid w:val="003A1F27"/>
    <w:rsid w:val="003A22E6"/>
    <w:rsid w:val="003A3A24"/>
    <w:rsid w:val="003A3B40"/>
    <w:rsid w:val="003A5145"/>
    <w:rsid w:val="003A55C9"/>
    <w:rsid w:val="003A5906"/>
    <w:rsid w:val="003A6B2A"/>
    <w:rsid w:val="003A7005"/>
    <w:rsid w:val="003A7094"/>
    <w:rsid w:val="003A763A"/>
    <w:rsid w:val="003A7CC4"/>
    <w:rsid w:val="003B00AA"/>
    <w:rsid w:val="003B1881"/>
    <w:rsid w:val="003B18CD"/>
    <w:rsid w:val="003B19A2"/>
    <w:rsid w:val="003B2445"/>
    <w:rsid w:val="003B2674"/>
    <w:rsid w:val="003B3D1C"/>
    <w:rsid w:val="003B5F3D"/>
    <w:rsid w:val="003B63C3"/>
    <w:rsid w:val="003B6A5F"/>
    <w:rsid w:val="003B6C3E"/>
    <w:rsid w:val="003B7080"/>
    <w:rsid w:val="003B77D0"/>
    <w:rsid w:val="003B7E9A"/>
    <w:rsid w:val="003B7F05"/>
    <w:rsid w:val="003C168F"/>
    <w:rsid w:val="003C3A1E"/>
    <w:rsid w:val="003C4756"/>
    <w:rsid w:val="003C4983"/>
    <w:rsid w:val="003C4B66"/>
    <w:rsid w:val="003C505B"/>
    <w:rsid w:val="003C6F0F"/>
    <w:rsid w:val="003C71CF"/>
    <w:rsid w:val="003C753E"/>
    <w:rsid w:val="003C789D"/>
    <w:rsid w:val="003D14DC"/>
    <w:rsid w:val="003D260B"/>
    <w:rsid w:val="003D28BF"/>
    <w:rsid w:val="003D4A56"/>
    <w:rsid w:val="003D4B18"/>
    <w:rsid w:val="003D5827"/>
    <w:rsid w:val="003D6552"/>
    <w:rsid w:val="003D68D0"/>
    <w:rsid w:val="003D6A7B"/>
    <w:rsid w:val="003D74D2"/>
    <w:rsid w:val="003D791C"/>
    <w:rsid w:val="003D7B2C"/>
    <w:rsid w:val="003E1917"/>
    <w:rsid w:val="003E1E08"/>
    <w:rsid w:val="003E259A"/>
    <w:rsid w:val="003E2D64"/>
    <w:rsid w:val="003E37D7"/>
    <w:rsid w:val="003E38D0"/>
    <w:rsid w:val="003E3C97"/>
    <w:rsid w:val="003E5211"/>
    <w:rsid w:val="003F0316"/>
    <w:rsid w:val="003F0D8B"/>
    <w:rsid w:val="003F2618"/>
    <w:rsid w:val="003F31D2"/>
    <w:rsid w:val="003F3716"/>
    <w:rsid w:val="003F3DC0"/>
    <w:rsid w:val="003F3EEF"/>
    <w:rsid w:val="003F4003"/>
    <w:rsid w:val="003F4845"/>
    <w:rsid w:val="003F4973"/>
    <w:rsid w:val="003F4DBE"/>
    <w:rsid w:val="003F557E"/>
    <w:rsid w:val="003F6375"/>
    <w:rsid w:val="003F6F98"/>
    <w:rsid w:val="003F7CC5"/>
    <w:rsid w:val="00400D68"/>
    <w:rsid w:val="00401161"/>
    <w:rsid w:val="00401A63"/>
    <w:rsid w:val="004020D7"/>
    <w:rsid w:val="00402635"/>
    <w:rsid w:val="00403292"/>
    <w:rsid w:val="00403336"/>
    <w:rsid w:val="00403F3B"/>
    <w:rsid w:val="0040576F"/>
    <w:rsid w:val="00405911"/>
    <w:rsid w:val="004062B1"/>
    <w:rsid w:val="004067AD"/>
    <w:rsid w:val="00407EE0"/>
    <w:rsid w:val="004100AB"/>
    <w:rsid w:val="0041087F"/>
    <w:rsid w:val="004114BB"/>
    <w:rsid w:val="00413E09"/>
    <w:rsid w:val="00414806"/>
    <w:rsid w:val="00415312"/>
    <w:rsid w:val="00416D33"/>
    <w:rsid w:val="004205DC"/>
    <w:rsid w:val="00424B78"/>
    <w:rsid w:val="004276E9"/>
    <w:rsid w:val="00427AD0"/>
    <w:rsid w:val="00430FD5"/>
    <w:rsid w:val="00431D0D"/>
    <w:rsid w:val="00432366"/>
    <w:rsid w:val="004335E8"/>
    <w:rsid w:val="00434A0F"/>
    <w:rsid w:val="00434C64"/>
    <w:rsid w:val="00436238"/>
    <w:rsid w:val="00436A3E"/>
    <w:rsid w:val="0043754F"/>
    <w:rsid w:val="00440B24"/>
    <w:rsid w:val="00440D78"/>
    <w:rsid w:val="0044185C"/>
    <w:rsid w:val="00441A2A"/>
    <w:rsid w:val="004420F6"/>
    <w:rsid w:val="0044359A"/>
    <w:rsid w:val="004438C3"/>
    <w:rsid w:val="00444F65"/>
    <w:rsid w:val="00446720"/>
    <w:rsid w:val="00446BA8"/>
    <w:rsid w:val="00446D96"/>
    <w:rsid w:val="004475CE"/>
    <w:rsid w:val="004476C6"/>
    <w:rsid w:val="00447EA7"/>
    <w:rsid w:val="00447FCA"/>
    <w:rsid w:val="00450C89"/>
    <w:rsid w:val="00450EC2"/>
    <w:rsid w:val="0045130C"/>
    <w:rsid w:val="00451A16"/>
    <w:rsid w:val="00452A5B"/>
    <w:rsid w:val="00452FC1"/>
    <w:rsid w:val="00453578"/>
    <w:rsid w:val="00454A58"/>
    <w:rsid w:val="00455214"/>
    <w:rsid w:val="00455512"/>
    <w:rsid w:val="00456136"/>
    <w:rsid w:val="00456CC6"/>
    <w:rsid w:val="00456D5A"/>
    <w:rsid w:val="00457C1A"/>
    <w:rsid w:val="0046133D"/>
    <w:rsid w:val="00463433"/>
    <w:rsid w:val="004641AF"/>
    <w:rsid w:val="00464328"/>
    <w:rsid w:val="00464E09"/>
    <w:rsid w:val="0046558D"/>
    <w:rsid w:val="004668CD"/>
    <w:rsid w:val="004670C3"/>
    <w:rsid w:val="00467DF2"/>
    <w:rsid w:val="00470289"/>
    <w:rsid w:val="00472140"/>
    <w:rsid w:val="004723C6"/>
    <w:rsid w:val="004724A3"/>
    <w:rsid w:val="00472BB2"/>
    <w:rsid w:val="00472C9B"/>
    <w:rsid w:val="00473881"/>
    <w:rsid w:val="00473A5E"/>
    <w:rsid w:val="004758A9"/>
    <w:rsid w:val="00476273"/>
    <w:rsid w:val="00477030"/>
    <w:rsid w:val="00477399"/>
    <w:rsid w:val="00477843"/>
    <w:rsid w:val="0048020B"/>
    <w:rsid w:val="00482F61"/>
    <w:rsid w:val="004836C6"/>
    <w:rsid w:val="004864DA"/>
    <w:rsid w:val="004867DD"/>
    <w:rsid w:val="004872BC"/>
    <w:rsid w:val="004874A4"/>
    <w:rsid w:val="00491724"/>
    <w:rsid w:val="00493F9E"/>
    <w:rsid w:val="00494355"/>
    <w:rsid w:val="00494945"/>
    <w:rsid w:val="00494F3A"/>
    <w:rsid w:val="00495BCB"/>
    <w:rsid w:val="00495E07"/>
    <w:rsid w:val="00497F70"/>
    <w:rsid w:val="004A03E5"/>
    <w:rsid w:val="004A2F65"/>
    <w:rsid w:val="004A305F"/>
    <w:rsid w:val="004A3160"/>
    <w:rsid w:val="004A41EC"/>
    <w:rsid w:val="004A4759"/>
    <w:rsid w:val="004A4E22"/>
    <w:rsid w:val="004A503D"/>
    <w:rsid w:val="004A5DD4"/>
    <w:rsid w:val="004A6B39"/>
    <w:rsid w:val="004B141F"/>
    <w:rsid w:val="004B203A"/>
    <w:rsid w:val="004B25DF"/>
    <w:rsid w:val="004B359A"/>
    <w:rsid w:val="004B4A8D"/>
    <w:rsid w:val="004B4F5B"/>
    <w:rsid w:val="004B5D67"/>
    <w:rsid w:val="004C0BC5"/>
    <w:rsid w:val="004C0E28"/>
    <w:rsid w:val="004C190E"/>
    <w:rsid w:val="004C30B6"/>
    <w:rsid w:val="004C4392"/>
    <w:rsid w:val="004C456B"/>
    <w:rsid w:val="004C4A92"/>
    <w:rsid w:val="004C4CC8"/>
    <w:rsid w:val="004C4D5F"/>
    <w:rsid w:val="004C7742"/>
    <w:rsid w:val="004D0312"/>
    <w:rsid w:val="004D162C"/>
    <w:rsid w:val="004D35C2"/>
    <w:rsid w:val="004D35E8"/>
    <w:rsid w:val="004D44EA"/>
    <w:rsid w:val="004D614C"/>
    <w:rsid w:val="004D78C0"/>
    <w:rsid w:val="004E0CF1"/>
    <w:rsid w:val="004E1DAE"/>
    <w:rsid w:val="004E25A6"/>
    <w:rsid w:val="004E35F8"/>
    <w:rsid w:val="004E3C67"/>
    <w:rsid w:val="004E41E2"/>
    <w:rsid w:val="004E59E6"/>
    <w:rsid w:val="004E5FF1"/>
    <w:rsid w:val="004F0FDD"/>
    <w:rsid w:val="004F1053"/>
    <w:rsid w:val="004F2377"/>
    <w:rsid w:val="004F2924"/>
    <w:rsid w:val="004F4B24"/>
    <w:rsid w:val="004F55ED"/>
    <w:rsid w:val="004F5759"/>
    <w:rsid w:val="004F5D49"/>
    <w:rsid w:val="004F6475"/>
    <w:rsid w:val="004F6EEF"/>
    <w:rsid w:val="004F7405"/>
    <w:rsid w:val="004F7A46"/>
    <w:rsid w:val="004F7E8A"/>
    <w:rsid w:val="0050001C"/>
    <w:rsid w:val="00501BBB"/>
    <w:rsid w:val="005028BE"/>
    <w:rsid w:val="005029AA"/>
    <w:rsid w:val="005036DB"/>
    <w:rsid w:val="0050388F"/>
    <w:rsid w:val="005047DF"/>
    <w:rsid w:val="00510ABC"/>
    <w:rsid w:val="00510D1B"/>
    <w:rsid w:val="00511EA1"/>
    <w:rsid w:val="00512465"/>
    <w:rsid w:val="00513E14"/>
    <w:rsid w:val="00515328"/>
    <w:rsid w:val="005154C1"/>
    <w:rsid w:val="005162AB"/>
    <w:rsid w:val="0051686C"/>
    <w:rsid w:val="00516BF9"/>
    <w:rsid w:val="00520520"/>
    <w:rsid w:val="00521122"/>
    <w:rsid w:val="0052135C"/>
    <w:rsid w:val="00521ACA"/>
    <w:rsid w:val="0052351B"/>
    <w:rsid w:val="00527472"/>
    <w:rsid w:val="005322EE"/>
    <w:rsid w:val="0053250C"/>
    <w:rsid w:val="00534B1A"/>
    <w:rsid w:val="00534D67"/>
    <w:rsid w:val="0053502E"/>
    <w:rsid w:val="00535DFE"/>
    <w:rsid w:val="00535FD5"/>
    <w:rsid w:val="0053724D"/>
    <w:rsid w:val="00541146"/>
    <w:rsid w:val="00541B10"/>
    <w:rsid w:val="00541DF6"/>
    <w:rsid w:val="00542814"/>
    <w:rsid w:val="00543521"/>
    <w:rsid w:val="00543885"/>
    <w:rsid w:val="005438B2"/>
    <w:rsid w:val="00545720"/>
    <w:rsid w:val="00545CC2"/>
    <w:rsid w:val="0054601B"/>
    <w:rsid w:val="00546238"/>
    <w:rsid w:val="0054731E"/>
    <w:rsid w:val="00547D3F"/>
    <w:rsid w:val="005506FC"/>
    <w:rsid w:val="00552271"/>
    <w:rsid w:val="00552A11"/>
    <w:rsid w:val="0055359A"/>
    <w:rsid w:val="005557D8"/>
    <w:rsid w:val="005577D9"/>
    <w:rsid w:val="0056022C"/>
    <w:rsid w:val="00560DD8"/>
    <w:rsid w:val="00561AB2"/>
    <w:rsid w:val="00561DA8"/>
    <w:rsid w:val="00562CB2"/>
    <w:rsid w:val="00565C5D"/>
    <w:rsid w:val="00565E43"/>
    <w:rsid w:val="005677DE"/>
    <w:rsid w:val="00570B7A"/>
    <w:rsid w:val="005710E8"/>
    <w:rsid w:val="00571D6D"/>
    <w:rsid w:val="00572573"/>
    <w:rsid w:val="00572F46"/>
    <w:rsid w:val="00572FBB"/>
    <w:rsid w:val="0057332E"/>
    <w:rsid w:val="0057364A"/>
    <w:rsid w:val="0057392E"/>
    <w:rsid w:val="00574815"/>
    <w:rsid w:val="00574A02"/>
    <w:rsid w:val="00576A54"/>
    <w:rsid w:val="00577A78"/>
    <w:rsid w:val="00577DC6"/>
    <w:rsid w:val="005800B8"/>
    <w:rsid w:val="005805F7"/>
    <w:rsid w:val="00580BA1"/>
    <w:rsid w:val="005816F4"/>
    <w:rsid w:val="00581BDF"/>
    <w:rsid w:val="00581F02"/>
    <w:rsid w:val="00583257"/>
    <w:rsid w:val="005841AE"/>
    <w:rsid w:val="00584DCE"/>
    <w:rsid w:val="00585174"/>
    <w:rsid w:val="00586418"/>
    <w:rsid w:val="00587B48"/>
    <w:rsid w:val="00587FF1"/>
    <w:rsid w:val="0059038C"/>
    <w:rsid w:val="0059040E"/>
    <w:rsid w:val="00590A6E"/>
    <w:rsid w:val="00591767"/>
    <w:rsid w:val="005921E2"/>
    <w:rsid w:val="00594E87"/>
    <w:rsid w:val="005950E5"/>
    <w:rsid w:val="005957FD"/>
    <w:rsid w:val="0059655A"/>
    <w:rsid w:val="00597309"/>
    <w:rsid w:val="005A13DE"/>
    <w:rsid w:val="005A1772"/>
    <w:rsid w:val="005A2181"/>
    <w:rsid w:val="005A31EB"/>
    <w:rsid w:val="005A3407"/>
    <w:rsid w:val="005A4CD3"/>
    <w:rsid w:val="005A6C1F"/>
    <w:rsid w:val="005A6F7C"/>
    <w:rsid w:val="005B0789"/>
    <w:rsid w:val="005B132F"/>
    <w:rsid w:val="005B137B"/>
    <w:rsid w:val="005B15EB"/>
    <w:rsid w:val="005B1769"/>
    <w:rsid w:val="005B18B2"/>
    <w:rsid w:val="005B1C24"/>
    <w:rsid w:val="005B1CDE"/>
    <w:rsid w:val="005B38E7"/>
    <w:rsid w:val="005B3CAA"/>
    <w:rsid w:val="005B40A6"/>
    <w:rsid w:val="005C0053"/>
    <w:rsid w:val="005C0180"/>
    <w:rsid w:val="005C01B7"/>
    <w:rsid w:val="005C07B1"/>
    <w:rsid w:val="005C114F"/>
    <w:rsid w:val="005C26AA"/>
    <w:rsid w:val="005C3460"/>
    <w:rsid w:val="005C498C"/>
    <w:rsid w:val="005C61E7"/>
    <w:rsid w:val="005D0785"/>
    <w:rsid w:val="005D0797"/>
    <w:rsid w:val="005D1B7A"/>
    <w:rsid w:val="005D2A79"/>
    <w:rsid w:val="005D3004"/>
    <w:rsid w:val="005D3D39"/>
    <w:rsid w:val="005D787E"/>
    <w:rsid w:val="005D7C39"/>
    <w:rsid w:val="005D7ED5"/>
    <w:rsid w:val="005E07C2"/>
    <w:rsid w:val="005E13DF"/>
    <w:rsid w:val="005E2BF5"/>
    <w:rsid w:val="005E3406"/>
    <w:rsid w:val="005E387D"/>
    <w:rsid w:val="005E3B75"/>
    <w:rsid w:val="005E3D15"/>
    <w:rsid w:val="005E4BFD"/>
    <w:rsid w:val="005E4C65"/>
    <w:rsid w:val="005E50AF"/>
    <w:rsid w:val="005E5284"/>
    <w:rsid w:val="005E55D0"/>
    <w:rsid w:val="005E59D9"/>
    <w:rsid w:val="005E5C91"/>
    <w:rsid w:val="005E6776"/>
    <w:rsid w:val="005E6E1A"/>
    <w:rsid w:val="005F288E"/>
    <w:rsid w:val="005F2946"/>
    <w:rsid w:val="005F34C6"/>
    <w:rsid w:val="005F364A"/>
    <w:rsid w:val="005F4318"/>
    <w:rsid w:val="005F4F8E"/>
    <w:rsid w:val="005F54A4"/>
    <w:rsid w:val="005F71D1"/>
    <w:rsid w:val="005F7E29"/>
    <w:rsid w:val="0060035F"/>
    <w:rsid w:val="00600728"/>
    <w:rsid w:val="00600FC4"/>
    <w:rsid w:val="00601B14"/>
    <w:rsid w:val="00602903"/>
    <w:rsid w:val="006030A7"/>
    <w:rsid w:val="006056AE"/>
    <w:rsid w:val="00607205"/>
    <w:rsid w:val="006074E4"/>
    <w:rsid w:val="00610B9E"/>
    <w:rsid w:val="006112D1"/>
    <w:rsid w:val="006112FA"/>
    <w:rsid w:val="00611579"/>
    <w:rsid w:val="00612398"/>
    <w:rsid w:val="00612447"/>
    <w:rsid w:val="00612A96"/>
    <w:rsid w:val="00612B65"/>
    <w:rsid w:val="00613358"/>
    <w:rsid w:val="006146E2"/>
    <w:rsid w:val="00616A31"/>
    <w:rsid w:val="00617116"/>
    <w:rsid w:val="006177F8"/>
    <w:rsid w:val="00620205"/>
    <w:rsid w:val="006208B7"/>
    <w:rsid w:val="00620C7D"/>
    <w:rsid w:val="00620FD4"/>
    <w:rsid w:val="00622A84"/>
    <w:rsid w:val="00622D42"/>
    <w:rsid w:val="00622F63"/>
    <w:rsid w:val="00623402"/>
    <w:rsid w:val="00624B34"/>
    <w:rsid w:val="00624E2E"/>
    <w:rsid w:val="00624FED"/>
    <w:rsid w:val="00625175"/>
    <w:rsid w:val="00625B93"/>
    <w:rsid w:val="006264A4"/>
    <w:rsid w:val="006266DE"/>
    <w:rsid w:val="00626A12"/>
    <w:rsid w:val="00626AD6"/>
    <w:rsid w:val="0062722F"/>
    <w:rsid w:val="00627555"/>
    <w:rsid w:val="00627B70"/>
    <w:rsid w:val="006308E9"/>
    <w:rsid w:val="00630FBF"/>
    <w:rsid w:val="00632488"/>
    <w:rsid w:val="00633563"/>
    <w:rsid w:val="00633800"/>
    <w:rsid w:val="00636235"/>
    <w:rsid w:val="00636271"/>
    <w:rsid w:val="006367E7"/>
    <w:rsid w:val="00637180"/>
    <w:rsid w:val="006406E2"/>
    <w:rsid w:val="00643001"/>
    <w:rsid w:val="00643819"/>
    <w:rsid w:val="00643B07"/>
    <w:rsid w:val="00643C5A"/>
    <w:rsid w:val="00644207"/>
    <w:rsid w:val="00644FF1"/>
    <w:rsid w:val="00646DD6"/>
    <w:rsid w:val="006502FA"/>
    <w:rsid w:val="00653D8D"/>
    <w:rsid w:val="00654DF3"/>
    <w:rsid w:val="00655A79"/>
    <w:rsid w:val="006563DD"/>
    <w:rsid w:val="00656495"/>
    <w:rsid w:val="00657772"/>
    <w:rsid w:val="00661090"/>
    <w:rsid w:val="006623F1"/>
    <w:rsid w:val="00662BC9"/>
    <w:rsid w:val="006633EE"/>
    <w:rsid w:val="006640D7"/>
    <w:rsid w:val="00664764"/>
    <w:rsid w:val="00665448"/>
    <w:rsid w:val="00665520"/>
    <w:rsid w:val="00665657"/>
    <w:rsid w:val="00665F8E"/>
    <w:rsid w:val="00667B22"/>
    <w:rsid w:val="00667EE1"/>
    <w:rsid w:val="00670A07"/>
    <w:rsid w:val="006710C1"/>
    <w:rsid w:val="006717EA"/>
    <w:rsid w:val="00672E7D"/>
    <w:rsid w:val="0067304E"/>
    <w:rsid w:val="006745E5"/>
    <w:rsid w:val="00674DF1"/>
    <w:rsid w:val="006766E2"/>
    <w:rsid w:val="0067677E"/>
    <w:rsid w:val="00677A0E"/>
    <w:rsid w:val="006803AF"/>
    <w:rsid w:val="00680F75"/>
    <w:rsid w:val="00681181"/>
    <w:rsid w:val="00682099"/>
    <w:rsid w:val="00682368"/>
    <w:rsid w:val="00682C87"/>
    <w:rsid w:val="00682D75"/>
    <w:rsid w:val="006849ED"/>
    <w:rsid w:val="00685A22"/>
    <w:rsid w:val="00686648"/>
    <w:rsid w:val="0069067C"/>
    <w:rsid w:val="00691B80"/>
    <w:rsid w:val="0069376A"/>
    <w:rsid w:val="006947BC"/>
    <w:rsid w:val="00694D8A"/>
    <w:rsid w:val="00694DC9"/>
    <w:rsid w:val="00694F3D"/>
    <w:rsid w:val="00695EAA"/>
    <w:rsid w:val="00695FAC"/>
    <w:rsid w:val="00696354"/>
    <w:rsid w:val="00697D4B"/>
    <w:rsid w:val="006A0753"/>
    <w:rsid w:val="006A18B6"/>
    <w:rsid w:val="006A19CB"/>
    <w:rsid w:val="006A1EDC"/>
    <w:rsid w:val="006A270F"/>
    <w:rsid w:val="006A2823"/>
    <w:rsid w:val="006A2A0E"/>
    <w:rsid w:val="006A4342"/>
    <w:rsid w:val="006A5666"/>
    <w:rsid w:val="006A581A"/>
    <w:rsid w:val="006A5B0F"/>
    <w:rsid w:val="006A5ED6"/>
    <w:rsid w:val="006A5FF3"/>
    <w:rsid w:val="006A6032"/>
    <w:rsid w:val="006A6CE9"/>
    <w:rsid w:val="006A6E38"/>
    <w:rsid w:val="006A729C"/>
    <w:rsid w:val="006B20EE"/>
    <w:rsid w:val="006B27C2"/>
    <w:rsid w:val="006B366C"/>
    <w:rsid w:val="006B3991"/>
    <w:rsid w:val="006B4826"/>
    <w:rsid w:val="006B5B8D"/>
    <w:rsid w:val="006B6B8D"/>
    <w:rsid w:val="006C13F3"/>
    <w:rsid w:val="006C1614"/>
    <w:rsid w:val="006C1D8C"/>
    <w:rsid w:val="006C3789"/>
    <w:rsid w:val="006C51D5"/>
    <w:rsid w:val="006C5285"/>
    <w:rsid w:val="006C599F"/>
    <w:rsid w:val="006C7288"/>
    <w:rsid w:val="006D0116"/>
    <w:rsid w:val="006D0156"/>
    <w:rsid w:val="006D02A4"/>
    <w:rsid w:val="006D1E49"/>
    <w:rsid w:val="006D2553"/>
    <w:rsid w:val="006D2CDF"/>
    <w:rsid w:val="006D2EEE"/>
    <w:rsid w:val="006D4128"/>
    <w:rsid w:val="006D432E"/>
    <w:rsid w:val="006D5919"/>
    <w:rsid w:val="006D5AC4"/>
    <w:rsid w:val="006D5B0E"/>
    <w:rsid w:val="006D60C9"/>
    <w:rsid w:val="006E1CF4"/>
    <w:rsid w:val="006E35F5"/>
    <w:rsid w:val="006E3BB4"/>
    <w:rsid w:val="006E43A7"/>
    <w:rsid w:val="006E4828"/>
    <w:rsid w:val="006E4894"/>
    <w:rsid w:val="006E5080"/>
    <w:rsid w:val="006E5E71"/>
    <w:rsid w:val="006E6044"/>
    <w:rsid w:val="006E6481"/>
    <w:rsid w:val="006E770C"/>
    <w:rsid w:val="006F06F6"/>
    <w:rsid w:val="006F0AFA"/>
    <w:rsid w:val="006F1B52"/>
    <w:rsid w:val="006F1C9D"/>
    <w:rsid w:val="006F27A6"/>
    <w:rsid w:val="006F28EE"/>
    <w:rsid w:val="006F2969"/>
    <w:rsid w:val="006F2B45"/>
    <w:rsid w:val="006F30E3"/>
    <w:rsid w:val="006F39A4"/>
    <w:rsid w:val="006F3D99"/>
    <w:rsid w:val="006F42DE"/>
    <w:rsid w:val="006F5576"/>
    <w:rsid w:val="006F5879"/>
    <w:rsid w:val="006F5BE2"/>
    <w:rsid w:val="007003B0"/>
    <w:rsid w:val="00700A65"/>
    <w:rsid w:val="00700F44"/>
    <w:rsid w:val="00701622"/>
    <w:rsid w:val="007016A4"/>
    <w:rsid w:val="007019F2"/>
    <w:rsid w:val="00704975"/>
    <w:rsid w:val="00704E80"/>
    <w:rsid w:val="00705297"/>
    <w:rsid w:val="00705B33"/>
    <w:rsid w:val="0070615E"/>
    <w:rsid w:val="00706C4B"/>
    <w:rsid w:val="0070700B"/>
    <w:rsid w:val="0070750E"/>
    <w:rsid w:val="007105A3"/>
    <w:rsid w:val="00710A58"/>
    <w:rsid w:val="00711302"/>
    <w:rsid w:val="007116AC"/>
    <w:rsid w:val="0071189C"/>
    <w:rsid w:val="00711967"/>
    <w:rsid w:val="007124A2"/>
    <w:rsid w:val="007133ED"/>
    <w:rsid w:val="0071390C"/>
    <w:rsid w:val="007148D1"/>
    <w:rsid w:val="00716353"/>
    <w:rsid w:val="0071650D"/>
    <w:rsid w:val="00716C8F"/>
    <w:rsid w:val="00716D15"/>
    <w:rsid w:val="00716F5B"/>
    <w:rsid w:val="00721103"/>
    <w:rsid w:val="007230D6"/>
    <w:rsid w:val="00723E4B"/>
    <w:rsid w:val="00724114"/>
    <w:rsid w:val="007241A2"/>
    <w:rsid w:val="00724553"/>
    <w:rsid w:val="0072563F"/>
    <w:rsid w:val="007261DF"/>
    <w:rsid w:val="00727579"/>
    <w:rsid w:val="0073020E"/>
    <w:rsid w:val="0073021C"/>
    <w:rsid w:val="00731002"/>
    <w:rsid w:val="00731085"/>
    <w:rsid w:val="00731174"/>
    <w:rsid w:val="007327B5"/>
    <w:rsid w:val="00732CFA"/>
    <w:rsid w:val="00732E2C"/>
    <w:rsid w:val="00732F4C"/>
    <w:rsid w:val="00733398"/>
    <w:rsid w:val="00733419"/>
    <w:rsid w:val="00734468"/>
    <w:rsid w:val="007344F1"/>
    <w:rsid w:val="00735ECF"/>
    <w:rsid w:val="007368A2"/>
    <w:rsid w:val="00736DE9"/>
    <w:rsid w:val="0073761A"/>
    <w:rsid w:val="00737E8D"/>
    <w:rsid w:val="00740F8B"/>
    <w:rsid w:val="00741313"/>
    <w:rsid w:val="007420BA"/>
    <w:rsid w:val="007422CD"/>
    <w:rsid w:val="00742439"/>
    <w:rsid w:val="0074378F"/>
    <w:rsid w:val="00743A10"/>
    <w:rsid w:val="00743A58"/>
    <w:rsid w:val="007465A9"/>
    <w:rsid w:val="007469F0"/>
    <w:rsid w:val="00746DDA"/>
    <w:rsid w:val="0075099D"/>
    <w:rsid w:val="00751738"/>
    <w:rsid w:val="00753E0F"/>
    <w:rsid w:val="00754607"/>
    <w:rsid w:val="00754A0D"/>
    <w:rsid w:val="00754CA8"/>
    <w:rsid w:val="007552C1"/>
    <w:rsid w:val="007562E2"/>
    <w:rsid w:val="007577C2"/>
    <w:rsid w:val="00761268"/>
    <w:rsid w:val="0076132F"/>
    <w:rsid w:val="007613CC"/>
    <w:rsid w:val="00762F2B"/>
    <w:rsid w:val="0076328E"/>
    <w:rsid w:val="00763E13"/>
    <w:rsid w:val="00764221"/>
    <w:rsid w:val="00764C87"/>
    <w:rsid w:val="007653CE"/>
    <w:rsid w:val="0076561E"/>
    <w:rsid w:val="0076575F"/>
    <w:rsid w:val="00766173"/>
    <w:rsid w:val="007661B0"/>
    <w:rsid w:val="00766475"/>
    <w:rsid w:val="00766849"/>
    <w:rsid w:val="00767CA8"/>
    <w:rsid w:val="00770724"/>
    <w:rsid w:val="00770792"/>
    <w:rsid w:val="007709C3"/>
    <w:rsid w:val="0077131C"/>
    <w:rsid w:val="00773353"/>
    <w:rsid w:val="0077383C"/>
    <w:rsid w:val="007741A7"/>
    <w:rsid w:val="007747FB"/>
    <w:rsid w:val="00774F26"/>
    <w:rsid w:val="00777FA2"/>
    <w:rsid w:val="00780A45"/>
    <w:rsid w:val="00780A9F"/>
    <w:rsid w:val="00783842"/>
    <w:rsid w:val="00783A24"/>
    <w:rsid w:val="0078429E"/>
    <w:rsid w:val="0078479D"/>
    <w:rsid w:val="00785B79"/>
    <w:rsid w:val="00786AE6"/>
    <w:rsid w:val="00786F4A"/>
    <w:rsid w:val="007876E3"/>
    <w:rsid w:val="00787BFB"/>
    <w:rsid w:val="00791F2F"/>
    <w:rsid w:val="00791FA0"/>
    <w:rsid w:val="007920DA"/>
    <w:rsid w:val="00792734"/>
    <w:rsid w:val="007928AD"/>
    <w:rsid w:val="007928F8"/>
    <w:rsid w:val="00792FBC"/>
    <w:rsid w:val="00794724"/>
    <w:rsid w:val="00795842"/>
    <w:rsid w:val="007966D6"/>
    <w:rsid w:val="00796873"/>
    <w:rsid w:val="007A0174"/>
    <w:rsid w:val="007A0BB2"/>
    <w:rsid w:val="007A241D"/>
    <w:rsid w:val="007A278B"/>
    <w:rsid w:val="007A5131"/>
    <w:rsid w:val="007A60C0"/>
    <w:rsid w:val="007B01D3"/>
    <w:rsid w:val="007B0572"/>
    <w:rsid w:val="007B0815"/>
    <w:rsid w:val="007B169F"/>
    <w:rsid w:val="007B242F"/>
    <w:rsid w:val="007B4019"/>
    <w:rsid w:val="007B66A0"/>
    <w:rsid w:val="007B6E4E"/>
    <w:rsid w:val="007B71E9"/>
    <w:rsid w:val="007C0A5E"/>
    <w:rsid w:val="007C0B41"/>
    <w:rsid w:val="007C0E56"/>
    <w:rsid w:val="007C1702"/>
    <w:rsid w:val="007C41D1"/>
    <w:rsid w:val="007C48C7"/>
    <w:rsid w:val="007C4ED3"/>
    <w:rsid w:val="007C69D6"/>
    <w:rsid w:val="007C6C63"/>
    <w:rsid w:val="007D010D"/>
    <w:rsid w:val="007D0AA2"/>
    <w:rsid w:val="007D0B48"/>
    <w:rsid w:val="007D126F"/>
    <w:rsid w:val="007D1618"/>
    <w:rsid w:val="007D1AFE"/>
    <w:rsid w:val="007D1F1A"/>
    <w:rsid w:val="007D2CEB"/>
    <w:rsid w:val="007D3591"/>
    <w:rsid w:val="007D39AE"/>
    <w:rsid w:val="007D4C7E"/>
    <w:rsid w:val="007D5189"/>
    <w:rsid w:val="007D65B0"/>
    <w:rsid w:val="007D6683"/>
    <w:rsid w:val="007E07B7"/>
    <w:rsid w:val="007E1B7E"/>
    <w:rsid w:val="007E434A"/>
    <w:rsid w:val="007E5763"/>
    <w:rsid w:val="007E6167"/>
    <w:rsid w:val="007E74C5"/>
    <w:rsid w:val="007E7F17"/>
    <w:rsid w:val="007F0E34"/>
    <w:rsid w:val="007F1842"/>
    <w:rsid w:val="007F32C6"/>
    <w:rsid w:val="007F4EE4"/>
    <w:rsid w:val="007F6368"/>
    <w:rsid w:val="007F67A6"/>
    <w:rsid w:val="007F6D5A"/>
    <w:rsid w:val="007F74D9"/>
    <w:rsid w:val="007F7B7F"/>
    <w:rsid w:val="00800387"/>
    <w:rsid w:val="00801BF3"/>
    <w:rsid w:val="0080271E"/>
    <w:rsid w:val="00802F00"/>
    <w:rsid w:val="00803E9E"/>
    <w:rsid w:val="008043DE"/>
    <w:rsid w:val="008044B5"/>
    <w:rsid w:val="0080463E"/>
    <w:rsid w:val="0080498D"/>
    <w:rsid w:val="00804E3F"/>
    <w:rsid w:val="00805ACA"/>
    <w:rsid w:val="0080606A"/>
    <w:rsid w:val="008065F0"/>
    <w:rsid w:val="00807C2F"/>
    <w:rsid w:val="00810B67"/>
    <w:rsid w:val="008111FF"/>
    <w:rsid w:val="00812032"/>
    <w:rsid w:val="00812172"/>
    <w:rsid w:val="0081243E"/>
    <w:rsid w:val="008129C6"/>
    <w:rsid w:val="00812C3B"/>
    <w:rsid w:val="00812E0A"/>
    <w:rsid w:val="008131BC"/>
    <w:rsid w:val="0081352B"/>
    <w:rsid w:val="00813E44"/>
    <w:rsid w:val="008140C1"/>
    <w:rsid w:val="0081437B"/>
    <w:rsid w:val="00814514"/>
    <w:rsid w:val="0081467F"/>
    <w:rsid w:val="00814D32"/>
    <w:rsid w:val="00815987"/>
    <w:rsid w:val="008172A2"/>
    <w:rsid w:val="0081796F"/>
    <w:rsid w:val="00820717"/>
    <w:rsid w:val="00820FCF"/>
    <w:rsid w:val="00821B89"/>
    <w:rsid w:val="00822501"/>
    <w:rsid w:val="00822DCF"/>
    <w:rsid w:val="008237E2"/>
    <w:rsid w:val="00824875"/>
    <w:rsid w:val="008254F4"/>
    <w:rsid w:val="008255E4"/>
    <w:rsid w:val="0082568F"/>
    <w:rsid w:val="0082585B"/>
    <w:rsid w:val="00825C6A"/>
    <w:rsid w:val="00827BAD"/>
    <w:rsid w:val="00830639"/>
    <w:rsid w:val="008309C9"/>
    <w:rsid w:val="00830BC7"/>
    <w:rsid w:val="008335E3"/>
    <w:rsid w:val="00833A43"/>
    <w:rsid w:val="00833AF3"/>
    <w:rsid w:val="00833FB8"/>
    <w:rsid w:val="0083456A"/>
    <w:rsid w:val="00834DCB"/>
    <w:rsid w:val="0083542B"/>
    <w:rsid w:val="008356B5"/>
    <w:rsid w:val="00836380"/>
    <w:rsid w:val="00836673"/>
    <w:rsid w:val="00837920"/>
    <w:rsid w:val="00840C01"/>
    <w:rsid w:val="00840C42"/>
    <w:rsid w:val="0084167C"/>
    <w:rsid w:val="00841E15"/>
    <w:rsid w:val="00842193"/>
    <w:rsid w:val="00844F10"/>
    <w:rsid w:val="00845094"/>
    <w:rsid w:val="00845186"/>
    <w:rsid w:val="00845B97"/>
    <w:rsid w:val="00845BBC"/>
    <w:rsid w:val="00845DB5"/>
    <w:rsid w:val="0084782B"/>
    <w:rsid w:val="00847F2B"/>
    <w:rsid w:val="00850048"/>
    <w:rsid w:val="0085036E"/>
    <w:rsid w:val="00850372"/>
    <w:rsid w:val="00850462"/>
    <w:rsid w:val="008510DD"/>
    <w:rsid w:val="008513D8"/>
    <w:rsid w:val="008513EE"/>
    <w:rsid w:val="008519BA"/>
    <w:rsid w:val="008527C2"/>
    <w:rsid w:val="00852C25"/>
    <w:rsid w:val="00853718"/>
    <w:rsid w:val="008541FC"/>
    <w:rsid w:val="00855D43"/>
    <w:rsid w:val="008561D7"/>
    <w:rsid w:val="008568E3"/>
    <w:rsid w:val="008574CD"/>
    <w:rsid w:val="008576AC"/>
    <w:rsid w:val="00860753"/>
    <w:rsid w:val="008607B4"/>
    <w:rsid w:val="00860B22"/>
    <w:rsid w:val="00860D4D"/>
    <w:rsid w:val="00861074"/>
    <w:rsid w:val="00861D66"/>
    <w:rsid w:val="008636FC"/>
    <w:rsid w:val="00863DB6"/>
    <w:rsid w:val="0086430C"/>
    <w:rsid w:val="008644C1"/>
    <w:rsid w:val="00865B86"/>
    <w:rsid w:val="00865F3E"/>
    <w:rsid w:val="0086734C"/>
    <w:rsid w:val="0086739D"/>
    <w:rsid w:val="00867FBF"/>
    <w:rsid w:val="00870368"/>
    <w:rsid w:val="00871164"/>
    <w:rsid w:val="008717D2"/>
    <w:rsid w:val="008726D8"/>
    <w:rsid w:val="00872ACF"/>
    <w:rsid w:val="00873BC6"/>
    <w:rsid w:val="00874FB1"/>
    <w:rsid w:val="00876319"/>
    <w:rsid w:val="008771F4"/>
    <w:rsid w:val="00877CE6"/>
    <w:rsid w:val="00880902"/>
    <w:rsid w:val="008816F9"/>
    <w:rsid w:val="00881E3C"/>
    <w:rsid w:val="00883C01"/>
    <w:rsid w:val="00884204"/>
    <w:rsid w:val="00885123"/>
    <w:rsid w:val="0088740E"/>
    <w:rsid w:val="00890956"/>
    <w:rsid w:val="00892A44"/>
    <w:rsid w:val="00892A4E"/>
    <w:rsid w:val="00894637"/>
    <w:rsid w:val="00894A27"/>
    <w:rsid w:val="00896A4C"/>
    <w:rsid w:val="00896EBA"/>
    <w:rsid w:val="0089797F"/>
    <w:rsid w:val="00897C16"/>
    <w:rsid w:val="008A0C50"/>
    <w:rsid w:val="008A23C9"/>
    <w:rsid w:val="008A36C0"/>
    <w:rsid w:val="008A39F8"/>
    <w:rsid w:val="008A4076"/>
    <w:rsid w:val="008A4775"/>
    <w:rsid w:val="008A63C1"/>
    <w:rsid w:val="008A6DF0"/>
    <w:rsid w:val="008A7150"/>
    <w:rsid w:val="008A7FBE"/>
    <w:rsid w:val="008B0B3A"/>
    <w:rsid w:val="008B1F7D"/>
    <w:rsid w:val="008B32A9"/>
    <w:rsid w:val="008B3CCB"/>
    <w:rsid w:val="008B4EAC"/>
    <w:rsid w:val="008B613D"/>
    <w:rsid w:val="008B65F9"/>
    <w:rsid w:val="008B674E"/>
    <w:rsid w:val="008B755F"/>
    <w:rsid w:val="008C007B"/>
    <w:rsid w:val="008C0083"/>
    <w:rsid w:val="008C09ED"/>
    <w:rsid w:val="008C115A"/>
    <w:rsid w:val="008C219A"/>
    <w:rsid w:val="008C2223"/>
    <w:rsid w:val="008C261C"/>
    <w:rsid w:val="008C2AD2"/>
    <w:rsid w:val="008C2EDB"/>
    <w:rsid w:val="008C39D8"/>
    <w:rsid w:val="008C3F42"/>
    <w:rsid w:val="008C5177"/>
    <w:rsid w:val="008C613B"/>
    <w:rsid w:val="008C635B"/>
    <w:rsid w:val="008C6C9A"/>
    <w:rsid w:val="008C701E"/>
    <w:rsid w:val="008C7407"/>
    <w:rsid w:val="008C76FE"/>
    <w:rsid w:val="008C778B"/>
    <w:rsid w:val="008D0531"/>
    <w:rsid w:val="008D1595"/>
    <w:rsid w:val="008D1B64"/>
    <w:rsid w:val="008D30E7"/>
    <w:rsid w:val="008D35DA"/>
    <w:rsid w:val="008D3E1E"/>
    <w:rsid w:val="008D4162"/>
    <w:rsid w:val="008D4CF9"/>
    <w:rsid w:val="008D4E54"/>
    <w:rsid w:val="008D56D6"/>
    <w:rsid w:val="008D66E6"/>
    <w:rsid w:val="008D7EE0"/>
    <w:rsid w:val="008E01FA"/>
    <w:rsid w:val="008E0699"/>
    <w:rsid w:val="008E0D88"/>
    <w:rsid w:val="008E1235"/>
    <w:rsid w:val="008E2982"/>
    <w:rsid w:val="008E30EE"/>
    <w:rsid w:val="008E374C"/>
    <w:rsid w:val="008E4C89"/>
    <w:rsid w:val="008E51AF"/>
    <w:rsid w:val="008E548A"/>
    <w:rsid w:val="008E6674"/>
    <w:rsid w:val="008E6B29"/>
    <w:rsid w:val="008E7206"/>
    <w:rsid w:val="008E74A2"/>
    <w:rsid w:val="008F0B73"/>
    <w:rsid w:val="008F1985"/>
    <w:rsid w:val="008F3694"/>
    <w:rsid w:val="008F4433"/>
    <w:rsid w:val="008F4A16"/>
    <w:rsid w:val="008F4B82"/>
    <w:rsid w:val="008F51D7"/>
    <w:rsid w:val="008F5750"/>
    <w:rsid w:val="008F613D"/>
    <w:rsid w:val="00900052"/>
    <w:rsid w:val="00900351"/>
    <w:rsid w:val="009006A6"/>
    <w:rsid w:val="0090101E"/>
    <w:rsid w:val="009016D7"/>
    <w:rsid w:val="0090188E"/>
    <w:rsid w:val="00901AA2"/>
    <w:rsid w:val="00901ADC"/>
    <w:rsid w:val="00903AC3"/>
    <w:rsid w:val="0090412E"/>
    <w:rsid w:val="00904485"/>
    <w:rsid w:val="00904536"/>
    <w:rsid w:val="0090459F"/>
    <w:rsid w:val="0090478A"/>
    <w:rsid w:val="00904827"/>
    <w:rsid w:val="00907044"/>
    <w:rsid w:val="00907BB2"/>
    <w:rsid w:val="009102A7"/>
    <w:rsid w:val="00911D86"/>
    <w:rsid w:val="00911DAD"/>
    <w:rsid w:val="009122BC"/>
    <w:rsid w:val="00912B06"/>
    <w:rsid w:val="00914064"/>
    <w:rsid w:val="009144B5"/>
    <w:rsid w:val="009146F6"/>
    <w:rsid w:val="009151AD"/>
    <w:rsid w:val="00915863"/>
    <w:rsid w:val="00916286"/>
    <w:rsid w:val="00916756"/>
    <w:rsid w:val="00916E00"/>
    <w:rsid w:val="00916ED7"/>
    <w:rsid w:val="00917976"/>
    <w:rsid w:val="0092192D"/>
    <w:rsid w:val="0092197E"/>
    <w:rsid w:val="00922E70"/>
    <w:rsid w:val="009233CB"/>
    <w:rsid w:val="00923588"/>
    <w:rsid w:val="00923BBC"/>
    <w:rsid w:val="00924481"/>
    <w:rsid w:val="0092501F"/>
    <w:rsid w:val="009254E6"/>
    <w:rsid w:val="009255BD"/>
    <w:rsid w:val="009268D8"/>
    <w:rsid w:val="00926E69"/>
    <w:rsid w:val="00930EF7"/>
    <w:rsid w:val="0093125C"/>
    <w:rsid w:val="009317B8"/>
    <w:rsid w:val="00931C0A"/>
    <w:rsid w:val="00931FA5"/>
    <w:rsid w:val="00932429"/>
    <w:rsid w:val="0093242A"/>
    <w:rsid w:val="009327B1"/>
    <w:rsid w:val="0093393A"/>
    <w:rsid w:val="0093445B"/>
    <w:rsid w:val="00934803"/>
    <w:rsid w:val="0093485B"/>
    <w:rsid w:val="009360D6"/>
    <w:rsid w:val="00936282"/>
    <w:rsid w:val="009364DC"/>
    <w:rsid w:val="00936510"/>
    <w:rsid w:val="00937F79"/>
    <w:rsid w:val="00940B71"/>
    <w:rsid w:val="00941336"/>
    <w:rsid w:val="00941D9E"/>
    <w:rsid w:val="009438AA"/>
    <w:rsid w:val="009452FF"/>
    <w:rsid w:val="00945476"/>
    <w:rsid w:val="00945909"/>
    <w:rsid w:val="00945E40"/>
    <w:rsid w:val="00945E92"/>
    <w:rsid w:val="00945F6E"/>
    <w:rsid w:val="009466EE"/>
    <w:rsid w:val="0094698E"/>
    <w:rsid w:val="00947132"/>
    <w:rsid w:val="009519FD"/>
    <w:rsid w:val="00952817"/>
    <w:rsid w:val="00953D06"/>
    <w:rsid w:val="00953E1E"/>
    <w:rsid w:val="009544C8"/>
    <w:rsid w:val="00954950"/>
    <w:rsid w:val="009558D1"/>
    <w:rsid w:val="009569D6"/>
    <w:rsid w:val="009575E1"/>
    <w:rsid w:val="00960BC7"/>
    <w:rsid w:val="00960C1B"/>
    <w:rsid w:val="00961420"/>
    <w:rsid w:val="00962129"/>
    <w:rsid w:val="00962BF3"/>
    <w:rsid w:val="009632C9"/>
    <w:rsid w:val="00963331"/>
    <w:rsid w:val="0096407D"/>
    <w:rsid w:val="00964625"/>
    <w:rsid w:val="00964EC2"/>
    <w:rsid w:val="00965FD0"/>
    <w:rsid w:val="009663B1"/>
    <w:rsid w:val="009667EE"/>
    <w:rsid w:val="00966EF5"/>
    <w:rsid w:val="00967442"/>
    <w:rsid w:val="009720B6"/>
    <w:rsid w:val="00972514"/>
    <w:rsid w:val="00972ED9"/>
    <w:rsid w:val="0097316B"/>
    <w:rsid w:val="0097354A"/>
    <w:rsid w:val="009742BE"/>
    <w:rsid w:val="009748C3"/>
    <w:rsid w:val="00974FAA"/>
    <w:rsid w:val="00975475"/>
    <w:rsid w:val="00977184"/>
    <w:rsid w:val="0097718F"/>
    <w:rsid w:val="00977D33"/>
    <w:rsid w:val="009802C9"/>
    <w:rsid w:val="00983463"/>
    <w:rsid w:val="00983CFC"/>
    <w:rsid w:val="00985ABF"/>
    <w:rsid w:val="009864C8"/>
    <w:rsid w:val="00987298"/>
    <w:rsid w:val="009909B7"/>
    <w:rsid w:val="009911C7"/>
    <w:rsid w:val="00991685"/>
    <w:rsid w:val="00991C28"/>
    <w:rsid w:val="00992506"/>
    <w:rsid w:val="009927FA"/>
    <w:rsid w:val="00992DF8"/>
    <w:rsid w:val="00995794"/>
    <w:rsid w:val="0099642F"/>
    <w:rsid w:val="009967F2"/>
    <w:rsid w:val="00997790"/>
    <w:rsid w:val="009979DC"/>
    <w:rsid w:val="009A045E"/>
    <w:rsid w:val="009A201A"/>
    <w:rsid w:val="009A2169"/>
    <w:rsid w:val="009A375C"/>
    <w:rsid w:val="009A3C9A"/>
    <w:rsid w:val="009A4E14"/>
    <w:rsid w:val="009A5130"/>
    <w:rsid w:val="009A66D0"/>
    <w:rsid w:val="009A6DD4"/>
    <w:rsid w:val="009B01FC"/>
    <w:rsid w:val="009B1658"/>
    <w:rsid w:val="009B1BFE"/>
    <w:rsid w:val="009B232E"/>
    <w:rsid w:val="009B2E40"/>
    <w:rsid w:val="009B3CF7"/>
    <w:rsid w:val="009B4088"/>
    <w:rsid w:val="009B42E8"/>
    <w:rsid w:val="009B536C"/>
    <w:rsid w:val="009B5EBB"/>
    <w:rsid w:val="009B6709"/>
    <w:rsid w:val="009B7367"/>
    <w:rsid w:val="009B73A0"/>
    <w:rsid w:val="009C21B8"/>
    <w:rsid w:val="009C310F"/>
    <w:rsid w:val="009C331B"/>
    <w:rsid w:val="009C354D"/>
    <w:rsid w:val="009C5208"/>
    <w:rsid w:val="009C58CA"/>
    <w:rsid w:val="009C5ADD"/>
    <w:rsid w:val="009D049F"/>
    <w:rsid w:val="009D119F"/>
    <w:rsid w:val="009D1476"/>
    <w:rsid w:val="009D1E04"/>
    <w:rsid w:val="009D2B99"/>
    <w:rsid w:val="009D3F76"/>
    <w:rsid w:val="009D4458"/>
    <w:rsid w:val="009D4C22"/>
    <w:rsid w:val="009D5865"/>
    <w:rsid w:val="009E0EA2"/>
    <w:rsid w:val="009E1729"/>
    <w:rsid w:val="009E1D4F"/>
    <w:rsid w:val="009E214D"/>
    <w:rsid w:val="009E28EC"/>
    <w:rsid w:val="009E315A"/>
    <w:rsid w:val="009E4841"/>
    <w:rsid w:val="009E49EB"/>
    <w:rsid w:val="009E52CB"/>
    <w:rsid w:val="009E61CC"/>
    <w:rsid w:val="009E78E7"/>
    <w:rsid w:val="009E7983"/>
    <w:rsid w:val="009F01A2"/>
    <w:rsid w:val="009F07B4"/>
    <w:rsid w:val="009F18B3"/>
    <w:rsid w:val="009F1BD2"/>
    <w:rsid w:val="009F2031"/>
    <w:rsid w:val="009F2E31"/>
    <w:rsid w:val="009F3F1F"/>
    <w:rsid w:val="009F46B4"/>
    <w:rsid w:val="009F4FB3"/>
    <w:rsid w:val="009F5770"/>
    <w:rsid w:val="009F5C64"/>
    <w:rsid w:val="009F6866"/>
    <w:rsid w:val="009F6C42"/>
    <w:rsid w:val="009F6EF6"/>
    <w:rsid w:val="009F70B0"/>
    <w:rsid w:val="009F71D1"/>
    <w:rsid w:val="009F72E1"/>
    <w:rsid w:val="009F77EA"/>
    <w:rsid w:val="00A003DA"/>
    <w:rsid w:val="00A00993"/>
    <w:rsid w:val="00A00DD6"/>
    <w:rsid w:val="00A010D6"/>
    <w:rsid w:val="00A017BA"/>
    <w:rsid w:val="00A01EFD"/>
    <w:rsid w:val="00A01FE5"/>
    <w:rsid w:val="00A026DF"/>
    <w:rsid w:val="00A03A5F"/>
    <w:rsid w:val="00A03FD5"/>
    <w:rsid w:val="00A04100"/>
    <w:rsid w:val="00A05C32"/>
    <w:rsid w:val="00A066DE"/>
    <w:rsid w:val="00A068A5"/>
    <w:rsid w:val="00A06B45"/>
    <w:rsid w:val="00A06E02"/>
    <w:rsid w:val="00A075C8"/>
    <w:rsid w:val="00A10B65"/>
    <w:rsid w:val="00A11934"/>
    <w:rsid w:val="00A120F4"/>
    <w:rsid w:val="00A129C8"/>
    <w:rsid w:val="00A13C69"/>
    <w:rsid w:val="00A13D1C"/>
    <w:rsid w:val="00A141E5"/>
    <w:rsid w:val="00A143FB"/>
    <w:rsid w:val="00A14734"/>
    <w:rsid w:val="00A15581"/>
    <w:rsid w:val="00A1593F"/>
    <w:rsid w:val="00A15B57"/>
    <w:rsid w:val="00A1601C"/>
    <w:rsid w:val="00A178CA"/>
    <w:rsid w:val="00A17C39"/>
    <w:rsid w:val="00A2149B"/>
    <w:rsid w:val="00A21F92"/>
    <w:rsid w:val="00A2218F"/>
    <w:rsid w:val="00A23732"/>
    <w:rsid w:val="00A2536F"/>
    <w:rsid w:val="00A263F4"/>
    <w:rsid w:val="00A26AF6"/>
    <w:rsid w:val="00A273E3"/>
    <w:rsid w:val="00A275E3"/>
    <w:rsid w:val="00A27719"/>
    <w:rsid w:val="00A307DF"/>
    <w:rsid w:val="00A308B0"/>
    <w:rsid w:val="00A30A37"/>
    <w:rsid w:val="00A30AF9"/>
    <w:rsid w:val="00A30DB3"/>
    <w:rsid w:val="00A3159A"/>
    <w:rsid w:val="00A344A6"/>
    <w:rsid w:val="00A346B1"/>
    <w:rsid w:val="00A352C0"/>
    <w:rsid w:val="00A35BEA"/>
    <w:rsid w:val="00A363E5"/>
    <w:rsid w:val="00A36B3F"/>
    <w:rsid w:val="00A3729E"/>
    <w:rsid w:val="00A403E9"/>
    <w:rsid w:val="00A406DC"/>
    <w:rsid w:val="00A41119"/>
    <w:rsid w:val="00A412DF"/>
    <w:rsid w:val="00A42237"/>
    <w:rsid w:val="00A4347E"/>
    <w:rsid w:val="00A4381E"/>
    <w:rsid w:val="00A45090"/>
    <w:rsid w:val="00A4630E"/>
    <w:rsid w:val="00A465BE"/>
    <w:rsid w:val="00A469C9"/>
    <w:rsid w:val="00A47DE3"/>
    <w:rsid w:val="00A50D1F"/>
    <w:rsid w:val="00A5159A"/>
    <w:rsid w:val="00A5185A"/>
    <w:rsid w:val="00A5227A"/>
    <w:rsid w:val="00A527F7"/>
    <w:rsid w:val="00A52EC3"/>
    <w:rsid w:val="00A5535D"/>
    <w:rsid w:val="00A55632"/>
    <w:rsid w:val="00A55A52"/>
    <w:rsid w:val="00A55DE0"/>
    <w:rsid w:val="00A5769D"/>
    <w:rsid w:val="00A57D42"/>
    <w:rsid w:val="00A606E5"/>
    <w:rsid w:val="00A60BBB"/>
    <w:rsid w:val="00A60C83"/>
    <w:rsid w:val="00A614ED"/>
    <w:rsid w:val="00A6180E"/>
    <w:rsid w:val="00A61E4E"/>
    <w:rsid w:val="00A63A99"/>
    <w:rsid w:val="00A63B02"/>
    <w:rsid w:val="00A65F1E"/>
    <w:rsid w:val="00A662C9"/>
    <w:rsid w:val="00A673F2"/>
    <w:rsid w:val="00A71AEB"/>
    <w:rsid w:val="00A72CBC"/>
    <w:rsid w:val="00A734AA"/>
    <w:rsid w:val="00A739AD"/>
    <w:rsid w:val="00A75275"/>
    <w:rsid w:val="00A7605F"/>
    <w:rsid w:val="00A76353"/>
    <w:rsid w:val="00A800F4"/>
    <w:rsid w:val="00A80964"/>
    <w:rsid w:val="00A80AA4"/>
    <w:rsid w:val="00A80BF2"/>
    <w:rsid w:val="00A80E3E"/>
    <w:rsid w:val="00A81B9E"/>
    <w:rsid w:val="00A826AC"/>
    <w:rsid w:val="00A83111"/>
    <w:rsid w:val="00A84047"/>
    <w:rsid w:val="00A8476F"/>
    <w:rsid w:val="00A84E06"/>
    <w:rsid w:val="00A855AA"/>
    <w:rsid w:val="00A85982"/>
    <w:rsid w:val="00A867AA"/>
    <w:rsid w:val="00A86A8C"/>
    <w:rsid w:val="00A86D0A"/>
    <w:rsid w:val="00A900AF"/>
    <w:rsid w:val="00A90123"/>
    <w:rsid w:val="00A903EB"/>
    <w:rsid w:val="00A91090"/>
    <w:rsid w:val="00A91C38"/>
    <w:rsid w:val="00A91C63"/>
    <w:rsid w:val="00A91EEC"/>
    <w:rsid w:val="00A934C1"/>
    <w:rsid w:val="00A93FFB"/>
    <w:rsid w:val="00A95247"/>
    <w:rsid w:val="00A96497"/>
    <w:rsid w:val="00A964FE"/>
    <w:rsid w:val="00A972FF"/>
    <w:rsid w:val="00A97366"/>
    <w:rsid w:val="00A976BD"/>
    <w:rsid w:val="00AA22FC"/>
    <w:rsid w:val="00AA415E"/>
    <w:rsid w:val="00AA60F9"/>
    <w:rsid w:val="00AA7DA7"/>
    <w:rsid w:val="00AB0683"/>
    <w:rsid w:val="00AB179B"/>
    <w:rsid w:val="00AB197C"/>
    <w:rsid w:val="00AB199E"/>
    <w:rsid w:val="00AB2DA9"/>
    <w:rsid w:val="00AB4964"/>
    <w:rsid w:val="00AB4E48"/>
    <w:rsid w:val="00AB5052"/>
    <w:rsid w:val="00AB5471"/>
    <w:rsid w:val="00AB5560"/>
    <w:rsid w:val="00AB5623"/>
    <w:rsid w:val="00AB731C"/>
    <w:rsid w:val="00AC0519"/>
    <w:rsid w:val="00AC178E"/>
    <w:rsid w:val="00AC2F1A"/>
    <w:rsid w:val="00AC36AD"/>
    <w:rsid w:val="00AC3C0A"/>
    <w:rsid w:val="00AC46B1"/>
    <w:rsid w:val="00AC58FC"/>
    <w:rsid w:val="00AC63A0"/>
    <w:rsid w:val="00AC6A5D"/>
    <w:rsid w:val="00AC7566"/>
    <w:rsid w:val="00AC7D76"/>
    <w:rsid w:val="00AD0711"/>
    <w:rsid w:val="00AD2518"/>
    <w:rsid w:val="00AD30EC"/>
    <w:rsid w:val="00AD362B"/>
    <w:rsid w:val="00AD48BE"/>
    <w:rsid w:val="00AD5A4C"/>
    <w:rsid w:val="00AD5E69"/>
    <w:rsid w:val="00AD64A6"/>
    <w:rsid w:val="00AD7AA1"/>
    <w:rsid w:val="00AE0B03"/>
    <w:rsid w:val="00AE16EC"/>
    <w:rsid w:val="00AE5D53"/>
    <w:rsid w:val="00AE6169"/>
    <w:rsid w:val="00AE7B86"/>
    <w:rsid w:val="00AE7B8D"/>
    <w:rsid w:val="00AE7D6D"/>
    <w:rsid w:val="00AF14A3"/>
    <w:rsid w:val="00AF1E4D"/>
    <w:rsid w:val="00AF2305"/>
    <w:rsid w:val="00AF2A93"/>
    <w:rsid w:val="00AF3619"/>
    <w:rsid w:val="00AF397F"/>
    <w:rsid w:val="00AF46AA"/>
    <w:rsid w:val="00AF4D60"/>
    <w:rsid w:val="00AF588B"/>
    <w:rsid w:val="00AF5905"/>
    <w:rsid w:val="00AF5D98"/>
    <w:rsid w:val="00AF6DF8"/>
    <w:rsid w:val="00AF7307"/>
    <w:rsid w:val="00B015B5"/>
    <w:rsid w:val="00B03064"/>
    <w:rsid w:val="00B03A57"/>
    <w:rsid w:val="00B044C6"/>
    <w:rsid w:val="00B05898"/>
    <w:rsid w:val="00B11FF2"/>
    <w:rsid w:val="00B12BB0"/>
    <w:rsid w:val="00B13715"/>
    <w:rsid w:val="00B141E1"/>
    <w:rsid w:val="00B146B2"/>
    <w:rsid w:val="00B15B27"/>
    <w:rsid w:val="00B22054"/>
    <w:rsid w:val="00B2222C"/>
    <w:rsid w:val="00B222F3"/>
    <w:rsid w:val="00B23A11"/>
    <w:rsid w:val="00B24F9D"/>
    <w:rsid w:val="00B2532B"/>
    <w:rsid w:val="00B25F9E"/>
    <w:rsid w:val="00B26221"/>
    <w:rsid w:val="00B2721A"/>
    <w:rsid w:val="00B27A34"/>
    <w:rsid w:val="00B31B2C"/>
    <w:rsid w:val="00B325CE"/>
    <w:rsid w:val="00B33FE7"/>
    <w:rsid w:val="00B349D6"/>
    <w:rsid w:val="00B34BEA"/>
    <w:rsid w:val="00B34DFD"/>
    <w:rsid w:val="00B34F63"/>
    <w:rsid w:val="00B35670"/>
    <w:rsid w:val="00B356BB"/>
    <w:rsid w:val="00B35B7B"/>
    <w:rsid w:val="00B36872"/>
    <w:rsid w:val="00B37292"/>
    <w:rsid w:val="00B4012B"/>
    <w:rsid w:val="00B40EDB"/>
    <w:rsid w:val="00B413F4"/>
    <w:rsid w:val="00B41907"/>
    <w:rsid w:val="00B43126"/>
    <w:rsid w:val="00B436BF"/>
    <w:rsid w:val="00B442F3"/>
    <w:rsid w:val="00B447CB"/>
    <w:rsid w:val="00B46ED4"/>
    <w:rsid w:val="00B5030B"/>
    <w:rsid w:val="00B508FC"/>
    <w:rsid w:val="00B526CB"/>
    <w:rsid w:val="00B5275C"/>
    <w:rsid w:val="00B53A21"/>
    <w:rsid w:val="00B53B49"/>
    <w:rsid w:val="00B54292"/>
    <w:rsid w:val="00B5463F"/>
    <w:rsid w:val="00B548FA"/>
    <w:rsid w:val="00B54A0A"/>
    <w:rsid w:val="00B55772"/>
    <w:rsid w:val="00B56FF3"/>
    <w:rsid w:val="00B57AFD"/>
    <w:rsid w:val="00B57EA9"/>
    <w:rsid w:val="00B60144"/>
    <w:rsid w:val="00B6056D"/>
    <w:rsid w:val="00B60B06"/>
    <w:rsid w:val="00B61D39"/>
    <w:rsid w:val="00B62142"/>
    <w:rsid w:val="00B63D1D"/>
    <w:rsid w:val="00B64046"/>
    <w:rsid w:val="00B6417E"/>
    <w:rsid w:val="00B641F8"/>
    <w:rsid w:val="00B64399"/>
    <w:rsid w:val="00B65718"/>
    <w:rsid w:val="00B65CEB"/>
    <w:rsid w:val="00B66C3C"/>
    <w:rsid w:val="00B700B8"/>
    <w:rsid w:val="00B7228A"/>
    <w:rsid w:val="00B729DD"/>
    <w:rsid w:val="00B7582B"/>
    <w:rsid w:val="00B75BD2"/>
    <w:rsid w:val="00B75CDF"/>
    <w:rsid w:val="00B761B9"/>
    <w:rsid w:val="00B7662E"/>
    <w:rsid w:val="00B76794"/>
    <w:rsid w:val="00B800F2"/>
    <w:rsid w:val="00B81769"/>
    <w:rsid w:val="00B82086"/>
    <w:rsid w:val="00B82E89"/>
    <w:rsid w:val="00B8415F"/>
    <w:rsid w:val="00B84208"/>
    <w:rsid w:val="00B844A3"/>
    <w:rsid w:val="00B85366"/>
    <w:rsid w:val="00B862A1"/>
    <w:rsid w:val="00B86745"/>
    <w:rsid w:val="00B907A1"/>
    <w:rsid w:val="00B91263"/>
    <w:rsid w:val="00B927E5"/>
    <w:rsid w:val="00B92A4E"/>
    <w:rsid w:val="00B93D7A"/>
    <w:rsid w:val="00B93DBA"/>
    <w:rsid w:val="00B93F88"/>
    <w:rsid w:val="00B95130"/>
    <w:rsid w:val="00B9748E"/>
    <w:rsid w:val="00B975F3"/>
    <w:rsid w:val="00BA1E11"/>
    <w:rsid w:val="00BA37FC"/>
    <w:rsid w:val="00BA4D7D"/>
    <w:rsid w:val="00BA6D81"/>
    <w:rsid w:val="00BA7A78"/>
    <w:rsid w:val="00BB13B9"/>
    <w:rsid w:val="00BB1FFD"/>
    <w:rsid w:val="00BB2505"/>
    <w:rsid w:val="00BB3272"/>
    <w:rsid w:val="00BB3B42"/>
    <w:rsid w:val="00BB4425"/>
    <w:rsid w:val="00BB44DA"/>
    <w:rsid w:val="00BB69A5"/>
    <w:rsid w:val="00BB709C"/>
    <w:rsid w:val="00BB7958"/>
    <w:rsid w:val="00BB7E1B"/>
    <w:rsid w:val="00BC0EFB"/>
    <w:rsid w:val="00BC1771"/>
    <w:rsid w:val="00BC1A6F"/>
    <w:rsid w:val="00BC21EE"/>
    <w:rsid w:val="00BC3D99"/>
    <w:rsid w:val="00BC3DE1"/>
    <w:rsid w:val="00BC456A"/>
    <w:rsid w:val="00BC65D8"/>
    <w:rsid w:val="00BD0FB9"/>
    <w:rsid w:val="00BD1415"/>
    <w:rsid w:val="00BD2168"/>
    <w:rsid w:val="00BD216C"/>
    <w:rsid w:val="00BD316B"/>
    <w:rsid w:val="00BD395F"/>
    <w:rsid w:val="00BD4653"/>
    <w:rsid w:val="00BD560B"/>
    <w:rsid w:val="00BD581F"/>
    <w:rsid w:val="00BD6213"/>
    <w:rsid w:val="00BD6475"/>
    <w:rsid w:val="00BD6EBE"/>
    <w:rsid w:val="00BD7DD5"/>
    <w:rsid w:val="00BE0517"/>
    <w:rsid w:val="00BE23E1"/>
    <w:rsid w:val="00BE2499"/>
    <w:rsid w:val="00BE4C0A"/>
    <w:rsid w:val="00BE5310"/>
    <w:rsid w:val="00BE5C95"/>
    <w:rsid w:val="00BE618D"/>
    <w:rsid w:val="00BE6721"/>
    <w:rsid w:val="00BE7B97"/>
    <w:rsid w:val="00BF0271"/>
    <w:rsid w:val="00BF06DD"/>
    <w:rsid w:val="00BF12C4"/>
    <w:rsid w:val="00BF245E"/>
    <w:rsid w:val="00BF2C0E"/>
    <w:rsid w:val="00BF41E7"/>
    <w:rsid w:val="00BF4A3A"/>
    <w:rsid w:val="00BF512D"/>
    <w:rsid w:val="00BF5A76"/>
    <w:rsid w:val="00BF5E81"/>
    <w:rsid w:val="00BF65CA"/>
    <w:rsid w:val="00BF6AB4"/>
    <w:rsid w:val="00BF7485"/>
    <w:rsid w:val="00C00407"/>
    <w:rsid w:val="00C0107A"/>
    <w:rsid w:val="00C01123"/>
    <w:rsid w:val="00C012C7"/>
    <w:rsid w:val="00C021DE"/>
    <w:rsid w:val="00C02561"/>
    <w:rsid w:val="00C02DD7"/>
    <w:rsid w:val="00C035A7"/>
    <w:rsid w:val="00C03765"/>
    <w:rsid w:val="00C03A44"/>
    <w:rsid w:val="00C06F95"/>
    <w:rsid w:val="00C07277"/>
    <w:rsid w:val="00C07EDD"/>
    <w:rsid w:val="00C10527"/>
    <w:rsid w:val="00C1110D"/>
    <w:rsid w:val="00C11A50"/>
    <w:rsid w:val="00C127B1"/>
    <w:rsid w:val="00C134B7"/>
    <w:rsid w:val="00C13946"/>
    <w:rsid w:val="00C15E87"/>
    <w:rsid w:val="00C16EA0"/>
    <w:rsid w:val="00C171DE"/>
    <w:rsid w:val="00C175D0"/>
    <w:rsid w:val="00C2096B"/>
    <w:rsid w:val="00C21180"/>
    <w:rsid w:val="00C21997"/>
    <w:rsid w:val="00C21A8D"/>
    <w:rsid w:val="00C21E2C"/>
    <w:rsid w:val="00C22D8B"/>
    <w:rsid w:val="00C23A5F"/>
    <w:rsid w:val="00C2410C"/>
    <w:rsid w:val="00C24DB0"/>
    <w:rsid w:val="00C26B1C"/>
    <w:rsid w:val="00C274AA"/>
    <w:rsid w:val="00C32965"/>
    <w:rsid w:val="00C32C11"/>
    <w:rsid w:val="00C3426D"/>
    <w:rsid w:val="00C34C43"/>
    <w:rsid w:val="00C352B7"/>
    <w:rsid w:val="00C379E1"/>
    <w:rsid w:val="00C37CC0"/>
    <w:rsid w:val="00C41B2B"/>
    <w:rsid w:val="00C44ADA"/>
    <w:rsid w:val="00C4510C"/>
    <w:rsid w:val="00C45398"/>
    <w:rsid w:val="00C45CF1"/>
    <w:rsid w:val="00C46060"/>
    <w:rsid w:val="00C46102"/>
    <w:rsid w:val="00C46795"/>
    <w:rsid w:val="00C50711"/>
    <w:rsid w:val="00C50721"/>
    <w:rsid w:val="00C5149C"/>
    <w:rsid w:val="00C5227D"/>
    <w:rsid w:val="00C523C6"/>
    <w:rsid w:val="00C525BA"/>
    <w:rsid w:val="00C52E8F"/>
    <w:rsid w:val="00C53065"/>
    <w:rsid w:val="00C5388D"/>
    <w:rsid w:val="00C541AB"/>
    <w:rsid w:val="00C54204"/>
    <w:rsid w:val="00C554E5"/>
    <w:rsid w:val="00C555F7"/>
    <w:rsid w:val="00C55956"/>
    <w:rsid w:val="00C55B7E"/>
    <w:rsid w:val="00C55EF8"/>
    <w:rsid w:val="00C56446"/>
    <w:rsid w:val="00C600A9"/>
    <w:rsid w:val="00C60863"/>
    <w:rsid w:val="00C6285D"/>
    <w:rsid w:val="00C62A42"/>
    <w:rsid w:val="00C639E3"/>
    <w:rsid w:val="00C640E3"/>
    <w:rsid w:val="00C65772"/>
    <w:rsid w:val="00C67065"/>
    <w:rsid w:val="00C671CE"/>
    <w:rsid w:val="00C67B61"/>
    <w:rsid w:val="00C70563"/>
    <w:rsid w:val="00C71292"/>
    <w:rsid w:val="00C71484"/>
    <w:rsid w:val="00C716CA"/>
    <w:rsid w:val="00C71960"/>
    <w:rsid w:val="00C72305"/>
    <w:rsid w:val="00C735A7"/>
    <w:rsid w:val="00C745DA"/>
    <w:rsid w:val="00C74780"/>
    <w:rsid w:val="00C754D6"/>
    <w:rsid w:val="00C762CB"/>
    <w:rsid w:val="00C76FAC"/>
    <w:rsid w:val="00C771CE"/>
    <w:rsid w:val="00C77E37"/>
    <w:rsid w:val="00C80DB8"/>
    <w:rsid w:val="00C813C9"/>
    <w:rsid w:val="00C81E28"/>
    <w:rsid w:val="00C82CBF"/>
    <w:rsid w:val="00C83D00"/>
    <w:rsid w:val="00C846CA"/>
    <w:rsid w:val="00C8566F"/>
    <w:rsid w:val="00C859AE"/>
    <w:rsid w:val="00C869C3"/>
    <w:rsid w:val="00C86AA4"/>
    <w:rsid w:val="00C86D48"/>
    <w:rsid w:val="00C8745E"/>
    <w:rsid w:val="00C87C43"/>
    <w:rsid w:val="00C901F1"/>
    <w:rsid w:val="00C90AA0"/>
    <w:rsid w:val="00C93837"/>
    <w:rsid w:val="00C93B0E"/>
    <w:rsid w:val="00C945FE"/>
    <w:rsid w:val="00C94FF9"/>
    <w:rsid w:val="00C95D5C"/>
    <w:rsid w:val="00C961E9"/>
    <w:rsid w:val="00C97631"/>
    <w:rsid w:val="00C979D0"/>
    <w:rsid w:val="00C97CA1"/>
    <w:rsid w:val="00CA2F5D"/>
    <w:rsid w:val="00CA410E"/>
    <w:rsid w:val="00CA447E"/>
    <w:rsid w:val="00CA7D30"/>
    <w:rsid w:val="00CA7E9F"/>
    <w:rsid w:val="00CB0CDF"/>
    <w:rsid w:val="00CB0FE7"/>
    <w:rsid w:val="00CB1DDE"/>
    <w:rsid w:val="00CB27FD"/>
    <w:rsid w:val="00CB3B24"/>
    <w:rsid w:val="00CB4F53"/>
    <w:rsid w:val="00CB50C6"/>
    <w:rsid w:val="00CB528D"/>
    <w:rsid w:val="00CB593A"/>
    <w:rsid w:val="00CB635C"/>
    <w:rsid w:val="00CB7321"/>
    <w:rsid w:val="00CB7E0A"/>
    <w:rsid w:val="00CC02EC"/>
    <w:rsid w:val="00CC05CD"/>
    <w:rsid w:val="00CC1DE9"/>
    <w:rsid w:val="00CC1E36"/>
    <w:rsid w:val="00CC3027"/>
    <w:rsid w:val="00CC421B"/>
    <w:rsid w:val="00CC71D5"/>
    <w:rsid w:val="00CC769E"/>
    <w:rsid w:val="00CD015D"/>
    <w:rsid w:val="00CD0649"/>
    <w:rsid w:val="00CD0B38"/>
    <w:rsid w:val="00CD137B"/>
    <w:rsid w:val="00CD1A6D"/>
    <w:rsid w:val="00CD1BC6"/>
    <w:rsid w:val="00CD27EE"/>
    <w:rsid w:val="00CD3A34"/>
    <w:rsid w:val="00CD4034"/>
    <w:rsid w:val="00CD5B73"/>
    <w:rsid w:val="00CD6057"/>
    <w:rsid w:val="00CE021D"/>
    <w:rsid w:val="00CE10BD"/>
    <w:rsid w:val="00CE18D3"/>
    <w:rsid w:val="00CE1F17"/>
    <w:rsid w:val="00CE44C9"/>
    <w:rsid w:val="00CE45F1"/>
    <w:rsid w:val="00CE51BA"/>
    <w:rsid w:val="00CE52B2"/>
    <w:rsid w:val="00CE53F4"/>
    <w:rsid w:val="00CE595B"/>
    <w:rsid w:val="00CE73A7"/>
    <w:rsid w:val="00CE7F13"/>
    <w:rsid w:val="00CF013C"/>
    <w:rsid w:val="00CF12E4"/>
    <w:rsid w:val="00CF174B"/>
    <w:rsid w:val="00CF1904"/>
    <w:rsid w:val="00CF26BF"/>
    <w:rsid w:val="00CF3FB2"/>
    <w:rsid w:val="00CF5BB5"/>
    <w:rsid w:val="00CF66A7"/>
    <w:rsid w:val="00CF77F5"/>
    <w:rsid w:val="00D00018"/>
    <w:rsid w:val="00D00272"/>
    <w:rsid w:val="00D004BE"/>
    <w:rsid w:val="00D00852"/>
    <w:rsid w:val="00D00DBC"/>
    <w:rsid w:val="00D03586"/>
    <w:rsid w:val="00D03B28"/>
    <w:rsid w:val="00D0431D"/>
    <w:rsid w:val="00D0436D"/>
    <w:rsid w:val="00D05726"/>
    <w:rsid w:val="00D05A34"/>
    <w:rsid w:val="00D05F1C"/>
    <w:rsid w:val="00D06743"/>
    <w:rsid w:val="00D06766"/>
    <w:rsid w:val="00D068FC"/>
    <w:rsid w:val="00D075C6"/>
    <w:rsid w:val="00D07ADD"/>
    <w:rsid w:val="00D07D20"/>
    <w:rsid w:val="00D10385"/>
    <w:rsid w:val="00D11FF3"/>
    <w:rsid w:val="00D1345C"/>
    <w:rsid w:val="00D14201"/>
    <w:rsid w:val="00D14FB9"/>
    <w:rsid w:val="00D1507E"/>
    <w:rsid w:val="00D15454"/>
    <w:rsid w:val="00D155A6"/>
    <w:rsid w:val="00D1561D"/>
    <w:rsid w:val="00D164E3"/>
    <w:rsid w:val="00D178E2"/>
    <w:rsid w:val="00D2033D"/>
    <w:rsid w:val="00D213E9"/>
    <w:rsid w:val="00D214F4"/>
    <w:rsid w:val="00D23A22"/>
    <w:rsid w:val="00D23F6A"/>
    <w:rsid w:val="00D25962"/>
    <w:rsid w:val="00D27047"/>
    <w:rsid w:val="00D27AF4"/>
    <w:rsid w:val="00D30E72"/>
    <w:rsid w:val="00D3194E"/>
    <w:rsid w:val="00D325F7"/>
    <w:rsid w:val="00D329AE"/>
    <w:rsid w:val="00D32AB2"/>
    <w:rsid w:val="00D33B6C"/>
    <w:rsid w:val="00D3454C"/>
    <w:rsid w:val="00D37F45"/>
    <w:rsid w:val="00D4105E"/>
    <w:rsid w:val="00D412D8"/>
    <w:rsid w:val="00D41CCF"/>
    <w:rsid w:val="00D4242D"/>
    <w:rsid w:val="00D42890"/>
    <w:rsid w:val="00D42A1D"/>
    <w:rsid w:val="00D42E24"/>
    <w:rsid w:val="00D4359B"/>
    <w:rsid w:val="00D438A7"/>
    <w:rsid w:val="00D44A44"/>
    <w:rsid w:val="00D45DC8"/>
    <w:rsid w:val="00D46107"/>
    <w:rsid w:val="00D463C4"/>
    <w:rsid w:val="00D46960"/>
    <w:rsid w:val="00D50854"/>
    <w:rsid w:val="00D50899"/>
    <w:rsid w:val="00D52739"/>
    <w:rsid w:val="00D52A89"/>
    <w:rsid w:val="00D53FCB"/>
    <w:rsid w:val="00D54158"/>
    <w:rsid w:val="00D551D7"/>
    <w:rsid w:val="00D5688B"/>
    <w:rsid w:val="00D60478"/>
    <w:rsid w:val="00D60DAA"/>
    <w:rsid w:val="00D61AC8"/>
    <w:rsid w:val="00D62CA6"/>
    <w:rsid w:val="00D6337C"/>
    <w:rsid w:val="00D63D53"/>
    <w:rsid w:val="00D63EC6"/>
    <w:rsid w:val="00D64776"/>
    <w:rsid w:val="00D64985"/>
    <w:rsid w:val="00D64D27"/>
    <w:rsid w:val="00D65390"/>
    <w:rsid w:val="00D65966"/>
    <w:rsid w:val="00D66417"/>
    <w:rsid w:val="00D70535"/>
    <w:rsid w:val="00D716DE"/>
    <w:rsid w:val="00D72181"/>
    <w:rsid w:val="00D7396F"/>
    <w:rsid w:val="00D73CDA"/>
    <w:rsid w:val="00D75110"/>
    <w:rsid w:val="00D7523E"/>
    <w:rsid w:val="00D755A2"/>
    <w:rsid w:val="00D758CF"/>
    <w:rsid w:val="00D75AF0"/>
    <w:rsid w:val="00D76A33"/>
    <w:rsid w:val="00D776E5"/>
    <w:rsid w:val="00D8158B"/>
    <w:rsid w:val="00D81AF1"/>
    <w:rsid w:val="00D81BDD"/>
    <w:rsid w:val="00D81F59"/>
    <w:rsid w:val="00D83329"/>
    <w:rsid w:val="00D8392E"/>
    <w:rsid w:val="00D843D7"/>
    <w:rsid w:val="00D84B6A"/>
    <w:rsid w:val="00D84E4B"/>
    <w:rsid w:val="00D85D11"/>
    <w:rsid w:val="00D86A14"/>
    <w:rsid w:val="00D902BB"/>
    <w:rsid w:val="00D90345"/>
    <w:rsid w:val="00D906AD"/>
    <w:rsid w:val="00D90CF2"/>
    <w:rsid w:val="00D921E8"/>
    <w:rsid w:val="00D92A4E"/>
    <w:rsid w:val="00D94455"/>
    <w:rsid w:val="00D95BB2"/>
    <w:rsid w:val="00D9632E"/>
    <w:rsid w:val="00D97BED"/>
    <w:rsid w:val="00D97D5E"/>
    <w:rsid w:val="00DA21C0"/>
    <w:rsid w:val="00DA24FC"/>
    <w:rsid w:val="00DA2821"/>
    <w:rsid w:val="00DA2C96"/>
    <w:rsid w:val="00DA4017"/>
    <w:rsid w:val="00DA5B94"/>
    <w:rsid w:val="00DA728E"/>
    <w:rsid w:val="00DA72DC"/>
    <w:rsid w:val="00DB00D1"/>
    <w:rsid w:val="00DB0A2E"/>
    <w:rsid w:val="00DB16ED"/>
    <w:rsid w:val="00DB3836"/>
    <w:rsid w:val="00DB39FD"/>
    <w:rsid w:val="00DB3EEA"/>
    <w:rsid w:val="00DB483F"/>
    <w:rsid w:val="00DB5863"/>
    <w:rsid w:val="00DB5C76"/>
    <w:rsid w:val="00DB5EA2"/>
    <w:rsid w:val="00DB6143"/>
    <w:rsid w:val="00DC0159"/>
    <w:rsid w:val="00DC0500"/>
    <w:rsid w:val="00DC180B"/>
    <w:rsid w:val="00DC1AF2"/>
    <w:rsid w:val="00DC30B2"/>
    <w:rsid w:val="00DC46F3"/>
    <w:rsid w:val="00DC4B3E"/>
    <w:rsid w:val="00DC5090"/>
    <w:rsid w:val="00DC681E"/>
    <w:rsid w:val="00DC76D5"/>
    <w:rsid w:val="00DC7D77"/>
    <w:rsid w:val="00DD00C8"/>
    <w:rsid w:val="00DD0516"/>
    <w:rsid w:val="00DD12D9"/>
    <w:rsid w:val="00DD1675"/>
    <w:rsid w:val="00DD1854"/>
    <w:rsid w:val="00DD245F"/>
    <w:rsid w:val="00DD2B27"/>
    <w:rsid w:val="00DD2F32"/>
    <w:rsid w:val="00DD46EB"/>
    <w:rsid w:val="00DD52DF"/>
    <w:rsid w:val="00DD5442"/>
    <w:rsid w:val="00DD54A8"/>
    <w:rsid w:val="00DD58C9"/>
    <w:rsid w:val="00DD69DD"/>
    <w:rsid w:val="00DD6D90"/>
    <w:rsid w:val="00DD6DF0"/>
    <w:rsid w:val="00DD776A"/>
    <w:rsid w:val="00DD7866"/>
    <w:rsid w:val="00DD7E17"/>
    <w:rsid w:val="00DE082B"/>
    <w:rsid w:val="00DE1B84"/>
    <w:rsid w:val="00DE261E"/>
    <w:rsid w:val="00DE35DB"/>
    <w:rsid w:val="00DE6AB1"/>
    <w:rsid w:val="00DE7144"/>
    <w:rsid w:val="00DE7422"/>
    <w:rsid w:val="00DF018F"/>
    <w:rsid w:val="00DF22BE"/>
    <w:rsid w:val="00DF29D1"/>
    <w:rsid w:val="00DF3569"/>
    <w:rsid w:val="00DF5378"/>
    <w:rsid w:val="00DF5572"/>
    <w:rsid w:val="00DF7469"/>
    <w:rsid w:val="00E0120B"/>
    <w:rsid w:val="00E01D34"/>
    <w:rsid w:val="00E03128"/>
    <w:rsid w:val="00E03475"/>
    <w:rsid w:val="00E03F2B"/>
    <w:rsid w:val="00E04031"/>
    <w:rsid w:val="00E054C7"/>
    <w:rsid w:val="00E05770"/>
    <w:rsid w:val="00E065FC"/>
    <w:rsid w:val="00E0794B"/>
    <w:rsid w:val="00E11B13"/>
    <w:rsid w:val="00E120A1"/>
    <w:rsid w:val="00E132F9"/>
    <w:rsid w:val="00E13EAE"/>
    <w:rsid w:val="00E14ADB"/>
    <w:rsid w:val="00E164A3"/>
    <w:rsid w:val="00E1655A"/>
    <w:rsid w:val="00E16F54"/>
    <w:rsid w:val="00E172BC"/>
    <w:rsid w:val="00E172F1"/>
    <w:rsid w:val="00E17729"/>
    <w:rsid w:val="00E17B32"/>
    <w:rsid w:val="00E209F2"/>
    <w:rsid w:val="00E216A6"/>
    <w:rsid w:val="00E22BFC"/>
    <w:rsid w:val="00E23ABD"/>
    <w:rsid w:val="00E23FF7"/>
    <w:rsid w:val="00E26B1E"/>
    <w:rsid w:val="00E2749E"/>
    <w:rsid w:val="00E30034"/>
    <w:rsid w:val="00E3138D"/>
    <w:rsid w:val="00E31F50"/>
    <w:rsid w:val="00E332F7"/>
    <w:rsid w:val="00E34655"/>
    <w:rsid w:val="00E35B18"/>
    <w:rsid w:val="00E3699A"/>
    <w:rsid w:val="00E36F78"/>
    <w:rsid w:val="00E36F79"/>
    <w:rsid w:val="00E374E0"/>
    <w:rsid w:val="00E419D7"/>
    <w:rsid w:val="00E41A2B"/>
    <w:rsid w:val="00E44149"/>
    <w:rsid w:val="00E44A5B"/>
    <w:rsid w:val="00E46BE8"/>
    <w:rsid w:val="00E47430"/>
    <w:rsid w:val="00E4775F"/>
    <w:rsid w:val="00E5041F"/>
    <w:rsid w:val="00E50484"/>
    <w:rsid w:val="00E5094C"/>
    <w:rsid w:val="00E51449"/>
    <w:rsid w:val="00E523F8"/>
    <w:rsid w:val="00E5316C"/>
    <w:rsid w:val="00E53CD3"/>
    <w:rsid w:val="00E53EB5"/>
    <w:rsid w:val="00E54B29"/>
    <w:rsid w:val="00E556BB"/>
    <w:rsid w:val="00E56BCC"/>
    <w:rsid w:val="00E575F0"/>
    <w:rsid w:val="00E61647"/>
    <w:rsid w:val="00E6233B"/>
    <w:rsid w:val="00E623CE"/>
    <w:rsid w:val="00E625D3"/>
    <w:rsid w:val="00E63439"/>
    <w:rsid w:val="00E63D05"/>
    <w:rsid w:val="00E665A9"/>
    <w:rsid w:val="00E67134"/>
    <w:rsid w:val="00E6723C"/>
    <w:rsid w:val="00E71201"/>
    <w:rsid w:val="00E72E29"/>
    <w:rsid w:val="00E735B6"/>
    <w:rsid w:val="00E73D04"/>
    <w:rsid w:val="00E75E5B"/>
    <w:rsid w:val="00E767A4"/>
    <w:rsid w:val="00E80C43"/>
    <w:rsid w:val="00E80F6D"/>
    <w:rsid w:val="00E8114C"/>
    <w:rsid w:val="00E814AC"/>
    <w:rsid w:val="00E81C52"/>
    <w:rsid w:val="00E82A7A"/>
    <w:rsid w:val="00E844DE"/>
    <w:rsid w:val="00E845C0"/>
    <w:rsid w:val="00E8478B"/>
    <w:rsid w:val="00E849D2"/>
    <w:rsid w:val="00E851E2"/>
    <w:rsid w:val="00E867B4"/>
    <w:rsid w:val="00E87871"/>
    <w:rsid w:val="00E87F29"/>
    <w:rsid w:val="00E90F66"/>
    <w:rsid w:val="00E90F86"/>
    <w:rsid w:val="00E917E1"/>
    <w:rsid w:val="00E917F6"/>
    <w:rsid w:val="00E9253B"/>
    <w:rsid w:val="00E926A6"/>
    <w:rsid w:val="00E92C22"/>
    <w:rsid w:val="00E92C8D"/>
    <w:rsid w:val="00E92E54"/>
    <w:rsid w:val="00E92F00"/>
    <w:rsid w:val="00E9358D"/>
    <w:rsid w:val="00E950E7"/>
    <w:rsid w:val="00E95594"/>
    <w:rsid w:val="00E95E4E"/>
    <w:rsid w:val="00E9604D"/>
    <w:rsid w:val="00E9726F"/>
    <w:rsid w:val="00E9758C"/>
    <w:rsid w:val="00E97592"/>
    <w:rsid w:val="00E97F4A"/>
    <w:rsid w:val="00EA0CD5"/>
    <w:rsid w:val="00EA1748"/>
    <w:rsid w:val="00EA29EB"/>
    <w:rsid w:val="00EA2A81"/>
    <w:rsid w:val="00EA3378"/>
    <w:rsid w:val="00EA35D6"/>
    <w:rsid w:val="00EA448C"/>
    <w:rsid w:val="00EA630C"/>
    <w:rsid w:val="00EA7477"/>
    <w:rsid w:val="00EA77F3"/>
    <w:rsid w:val="00EA7D53"/>
    <w:rsid w:val="00EB17B0"/>
    <w:rsid w:val="00EB2872"/>
    <w:rsid w:val="00EB3226"/>
    <w:rsid w:val="00EB3316"/>
    <w:rsid w:val="00EB34C8"/>
    <w:rsid w:val="00EB3516"/>
    <w:rsid w:val="00EB5D6A"/>
    <w:rsid w:val="00EB631C"/>
    <w:rsid w:val="00EB7B5C"/>
    <w:rsid w:val="00EC0CCB"/>
    <w:rsid w:val="00EC3F55"/>
    <w:rsid w:val="00EC53C5"/>
    <w:rsid w:val="00EC5D8C"/>
    <w:rsid w:val="00ED0125"/>
    <w:rsid w:val="00ED032D"/>
    <w:rsid w:val="00ED1787"/>
    <w:rsid w:val="00ED2417"/>
    <w:rsid w:val="00ED488F"/>
    <w:rsid w:val="00ED4AC0"/>
    <w:rsid w:val="00ED78BC"/>
    <w:rsid w:val="00EE00AB"/>
    <w:rsid w:val="00EE0379"/>
    <w:rsid w:val="00EE27C1"/>
    <w:rsid w:val="00EE4429"/>
    <w:rsid w:val="00EE552A"/>
    <w:rsid w:val="00EE66E3"/>
    <w:rsid w:val="00EE72AC"/>
    <w:rsid w:val="00EE79C9"/>
    <w:rsid w:val="00EF1460"/>
    <w:rsid w:val="00EF28DF"/>
    <w:rsid w:val="00EF4905"/>
    <w:rsid w:val="00EF4E1C"/>
    <w:rsid w:val="00EF557E"/>
    <w:rsid w:val="00EF6E86"/>
    <w:rsid w:val="00F0000F"/>
    <w:rsid w:val="00F003A7"/>
    <w:rsid w:val="00F00AF7"/>
    <w:rsid w:val="00F01066"/>
    <w:rsid w:val="00F011ED"/>
    <w:rsid w:val="00F016CF"/>
    <w:rsid w:val="00F01711"/>
    <w:rsid w:val="00F024FD"/>
    <w:rsid w:val="00F02897"/>
    <w:rsid w:val="00F033E6"/>
    <w:rsid w:val="00F03C6E"/>
    <w:rsid w:val="00F04966"/>
    <w:rsid w:val="00F04B87"/>
    <w:rsid w:val="00F05F9A"/>
    <w:rsid w:val="00F06ED4"/>
    <w:rsid w:val="00F07694"/>
    <w:rsid w:val="00F07BDD"/>
    <w:rsid w:val="00F10F79"/>
    <w:rsid w:val="00F117A9"/>
    <w:rsid w:val="00F12399"/>
    <w:rsid w:val="00F12938"/>
    <w:rsid w:val="00F12D19"/>
    <w:rsid w:val="00F13043"/>
    <w:rsid w:val="00F130EF"/>
    <w:rsid w:val="00F1340B"/>
    <w:rsid w:val="00F1412A"/>
    <w:rsid w:val="00F14BC2"/>
    <w:rsid w:val="00F14DEC"/>
    <w:rsid w:val="00F1588F"/>
    <w:rsid w:val="00F171EE"/>
    <w:rsid w:val="00F20482"/>
    <w:rsid w:val="00F23657"/>
    <w:rsid w:val="00F2433E"/>
    <w:rsid w:val="00F258A0"/>
    <w:rsid w:val="00F30778"/>
    <w:rsid w:val="00F30BCA"/>
    <w:rsid w:val="00F316FF"/>
    <w:rsid w:val="00F318CA"/>
    <w:rsid w:val="00F3385A"/>
    <w:rsid w:val="00F34684"/>
    <w:rsid w:val="00F34CEA"/>
    <w:rsid w:val="00F35007"/>
    <w:rsid w:val="00F35A09"/>
    <w:rsid w:val="00F36362"/>
    <w:rsid w:val="00F36E4A"/>
    <w:rsid w:val="00F37669"/>
    <w:rsid w:val="00F37DAA"/>
    <w:rsid w:val="00F37E38"/>
    <w:rsid w:val="00F42328"/>
    <w:rsid w:val="00F42671"/>
    <w:rsid w:val="00F4334F"/>
    <w:rsid w:val="00F46356"/>
    <w:rsid w:val="00F46F3F"/>
    <w:rsid w:val="00F50254"/>
    <w:rsid w:val="00F50584"/>
    <w:rsid w:val="00F50884"/>
    <w:rsid w:val="00F50CB0"/>
    <w:rsid w:val="00F52A7E"/>
    <w:rsid w:val="00F52FA5"/>
    <w:rsid w:val="00F54657"/>
    <w:rsid w:val="00F54B69"/>
    <w:rsid w:val="00F55B39"/>
    <w:rsid w:val="00F56DC0"/>
    <w:rsid w:val="00F60452"/>
    <w:rsid w:val="00F612C8"/>
    <w:rsid w:val="00F614ED"/>
    <w:rsid w:val="00F61DB3"/>
    <w:rsid w:val="00F61DE6"/>
    <w:rsid w:val="00F62645"/>
    <w:rsid w:val="00F62D75"/>
    <w:rsid w:val="00F63D82"/>
    <w:rsid w:val="00F63ECD"/>
    <w:rsid w:val="00F66828"/>
    <w:rsid w:val="00F66A3B"/>
    <w:rsid w:val="00F66D21"/>
    <w:rsid w:val="00F66FE7"/>
    <w:rsid w:val="00F67E90"/>
    <w:rsid w:val="00F7000C"/>
    <w:rsid w:val="00F70347"/>
    <w:rsid w:val="00F706B0"/>
    <w:rsid w:val="00F71008"/>
    <w:rsid w:val="00F71582"/>
    <w:rsid w:val="00F73633"/>
    <w:rsid w:val="00F74F1D"/>
    <w:rsid w:val="00F7559E"/>
    <w:rsid w:val="00F75823"/>
    <w:rsid w:val="00F75A25"/>
    <w:rsid w:val="00F76153"/>
    <w:rsid w:val="00F77DC4"/>
    <w:rsid w:val="00F80A3F"/>
    <w:rsid w:val="00F80ED0"/>
    <w:rsid w:val="00F80EEF"/>
    <w:rsid w:val="00F81978"/>
    <w:rsid w:val="00F83CA4"/>
    <w:rsid w:val="00F84A29"/>
    <w:rsid w:val="00F84D98"/>
    <w:rsid w:val="00F851F5"/>
    <w:rsid w:val="00F852DC"/>
    <w:rsid w:val="00F85FC5"/>
    <w:rsid w:val="00F86122"/>
    <w:rsid w:val="00F8760C"/>
    <w:rsid w:val="00F90B77"/>
    <w:rsid w:val="00F913C1"/>
    <w:rsid w:val="00F91475"/>
    <w:rsid w:val="00F91C63"/>
    <w:rsid w:val="00F92616"/>
    <w:rsid w:val="00F92815"/>
    <w:rsid w:val="00F9317A"/>
    <w:rsid w:val="00F93DB3"/>
    <w:rsid w:val="00F95E0E"/>
    <w:rsid w:val="00F977E8"/>
    <w:rsid w:val="00FA04D1"/>
    <w:rsid w:val="00FA061D"/>
    <w:rsid w:val="00FA065A"/>
    <w:rsid w:val="00FA0D27"/>
    <w:rsid w:val="00FA0FC5"/>
    <w:rsid w:val="00FA1DE2"/>
    <w:rsid w:val="00FA217C"/>
    <w:rsid w:val="00FA24EB"/>
    <w:rsid w:val="00FA2EE0"/>
    <w:rsid w:val="00FA4B1A"/>
    <w:rsid w:val="00FA5090"/>
    <w:rsid w:val="00FA5A84"/>
    <w:rsid w:val="00FA61BA"/>
    <w:rsid w:val="00FA6B15"/>
    <w:rsid w:val="00FA72A2"/>
    <w:rsid w:val="00FB10AF"/>
    <w:rsid w:val="00FB1DD7"/>
    <w:rsid w:val="00FB2213"/>
    <w:rsid w:val="00FB296E"/>
    <w:rsid w:val="00FB48D4"/>
    <w:rsid w:val="00FB5BEB"/>
    <w:rsid w:val="00FB65C9"/>
    <w:rsid w:val="00FC0871"/>
    <w:rsid w:val="00FC0EAE"/>
    <w:rsid w:val="00FC13CF"/>
    <w:rsid w:val="00FC1588"/>
    <w:rsid w:val="00FC1D95"/>
    <w:rsid w:val="00FC1E25"/>
    <w:rsid w:val="00FC2012"/>
    <w:rsid w:val="00FC23C4"/>
    <w:rsid w:val="00FC27B2"/>
    <w:rsid w:val="00FC2EDF"/>
    <w:rsid w:val="00FC351C"/>
    <w:rsid w:val="00FC43F4"/>
    <w:rsid w:val="00FC5188"/>
    <w:rsid w:val="00FC51C7"/>
    <w:rsid w:val="00FC5373"/>
    <w:rsid w:val="00FC5A11"/>
    <w:rsid w:val="00FC7026"/>
    <w:rsid w:val="00FD0F52"/>
    <w:rsid w:val="00FD27E0"/>
    <w:rsid w:val="00FD3D3B"/>
    <w:rsid w:val="00FD4046"/>
    <w:rsid w:val="00FD417D"/>
    <w:rsid w:val="00FD447C"/>
    <w:rsid w:val="00FD5C59"/>
    <w:rsid w:val="00FD74F3"/>
    <w:rsid w:val="00FD7E81"/>
    <w:rsid w:val="00FE04C3"/>
    <w:rsid w:val="00FE1B87"/>
    <w:rsid w:val="00FE1FD1"/>
    <w:rsid w:val="00FE2A87"/>
    <w:rsid w:val="00FE2BC5"/>
    <w:rsid w:val="00FE40FF"/>
    <w:rsid w:val="00FE519C"/>
    <w:rsid w:val="00FE55C8"/>
    <w:rsid w:val="00FE57C2"/>
    <w:rsid w:val="00FE6C60"/>
    <w:rsid w:val="00FF00BE"/>
    <w:rsid w:val="00FF0B12"/>
    <w:rsid w:val="00FF25AF"/>
    <w:rsid w:val="00FF2BFD"/>
    <w:rsid w:val="00FF32A1"/>
    <w:rsid w:val="00FF3D6D"/>
    <w:rsid w:val="00FF41BA"/>
    <w:rsid w:val="00FF4E89"/>
    <w:rsid w:val="00FF4F89"/>
    <w:rsid w:val="00FF505B"/>
    <w:rsid w:val="00FF5EC9"/>
    <w:rsid w:val="00FF60E9"/>
    <w:rsid w:val="00FF7271"/>
    <w:rsid w:val="00FF7DBD"/>
    <w:rsid w:val="20EE4FF8"/>
    <w:rsid w:val="5BC3641A"/>
    <w:rsid w:val="5F2F6B6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DA7F8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46EB"/>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F50584"/>
    <w:pPr>
      <w:keepNext/>
      <w:keepLines/>
      <w:widowControl/>
      <w:numPr>
        <w:numId w:val="15"/>
      </w:numPr>
      <w:spacing w:after="260"/>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F50584"/>
    <w:pPr>
      <w:keepNext/>
      <w:keepLines/>
      <w:widowControl/>
      <w:numPr>
        <w:ilvl w:val="1"/>
        <w:numId w:val="15"/>
      </w:numPr>
      <w:spacing w:after="260"/>
      <w:outlineLvl w:val="1"/>
    </w:pPr>
    <w:rPr>
      <w:rFonts w:eastAsiaTheme="majorEastAsia"/>
      <w:b/>
      <w:kern w:val="32"/>
      <w:szCs w:val="26"/>
      <w:u w:val="single"/>
    </w:rPr>
  </w:style>
  <w:style w:type="paragraph" w:styleId="Heading3">
    <w:name w:val="heading 3"/>
    <w:basedOn w:val="Normal"/>
    <w:next w:val="FERCparanumber"/>
    <w:uiPriority w:val="9"/>
    <w:unhideWhenUsed/>
    <w:qFormat/>
    <w:rsid w:val="00F50584"/>
    <w:pPr>
      <w:keepNext/>
      <w:keepLines/>
      <w:widowControl/>
      <w:numPr>
        <w:ilvl w:val="2"/>
        <w:numId w:val="15"/>
      </w:numPr>
      <w:spacing w:after="260"/>
      <w:outlineLvl w:val="2"/>
    </w:pPr>
    <w:rPr>
      <w:rFonts w:eastAsiaTheme="majorEastAsia"/>
      <w:b/>
      <w:kern w:val="32"/>
      <w:szCs w:val="24"/>
      <w:u w:val="single"/>
    </w:rPr>
  </w:style>
  <w:style w:type="paragraph" w:styleId="Heading4">
    <w:name w:val="heading 4"/>
    <w:basedOn w:val="Normal"/>
    <w:next w:val="FERCparanumber"/>
    <w:uiPriority w:val="9"/>
    <w:unhideWhenUsed/>
    <w:qFormat/>
    <w:rsid w:val="00F50584"/>
    <w:pPr>
      <w:keepNext/>
      <w:keepLines/>
      <w:widowControl/>
      <w:numPr>
        <w:ilvl w:val="3"/>
        <w:numId w:val="15"/>
      </w:numPr>
      <w:spacing w:after="260"/>
      <w:outlineLvl w:val="3"/>
    </w:pPr>
    <w:rPr>
      <w:rFonts w:eastAsiaTheme="majorEastAsia"/>
      <w:b/>
      <w:iCs/>
      <w:kern w:val="32"/>
      <w:u w:val="single"/>
    </w:rPr>
  </w:style>
  <w:style w:type="paragraph" w:styleId="Heading5">
    <w:name w:val="heading 5"/>
    <w:basedOn w:val="Normal"/>
    <w:next w:val="FERCparanumber"/>
    <w:uiPriority w:val="9"/>
    <w:semiHidden/>
    <w:unhideWhenUsed/>
    <w:qFormat/>
    <w:rsid w:val="00F50584"/>
    <w:pPr>
      <w:keepNext/>
      <w:keepLines/>
      <w:widowControl/>
      <w:numPr>
        <w:ilvl w:val="4"/>
        <w:numId w:val="15"/>
      </w:numPr>
      <w:spacing w:after="260"/>
      <w:outlineLvl w:val="4"/>
    </w:pPr>
    <w:rPr>
      <w:rFonts w:eastAsiaTheme="majorEastAsia"/>
      <w:b/>
      <w:kern w:val="32"/>
      <w:u w:val="single"/>
    </w:rPr>
  </w:style>
  <w:style w:type="paragraph" w:styleId="Heading6">
    <w:name w:val="heading 6"/>
    <w:basedOn w:val="Normal"/>
    <w:next w:val="FERCparanumber"/>
    <w:uiPriority w:val="9"/>
    <w:semiHidden/>
    <w:unhideWhenUsed/>
    <w:qFormat/>
    <w:rsid w:val="00F50584"/>
    <w:pPr>
      <w:keepNext/>
      <w:keepLines/>
      <w:widowControl/>
      <w:numPr>
        <w:ilvl w:val="5"/>
        <w:numId w:val="15"/>
      </w:numPr>
      <w:spacing w:after="260"/>
      <w:outlineLvl w:val="5"/>
    </w:pPr>
    <w:rPr>
      <w:rFonts w:eastAsiaTheme="majorEastAsia"/>
      <w:b/>
      <w:kern w:val="32"/>
      <w:u w:val="single"/>
    </w:rPr>
  </w:style>
  <w:style w:type="paragraph" w:styleId="Heading7">
    <w:name w:val="heading 7"/>
    <w:basedOn w:val="Normal"/>
    <w:next w:val="FERCparanumber"/>
    <w:uiPriority w:val="9"/>
    <w:semiHidden/>
    <w:unhideWhenUsed/>
    <w:qFormat/>
    <w:rsid w:val="00F50584"/>
    <w:pPr>
      <w:keepNext/>
      <w:keepLines/>
      <w:widowControl/>
      <w:numPr>
        <w:ilvl w:val="6"/>
        <w:numId w:val="15"/>
      </w:numPr>
      <w:spacing w:after="260"/>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F50584"/>
    <w:pPr>
      <w:keepNext/>
      <w:keepLines/>
      <w:widowControl/>
      <w:numPr>
        <w:ilvl w:val="7"/>
        <w:numId w:val="15"/>
      </w:numPr>
      <w:spacing w:after="260"/>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F50584"/>
    <w:pPr>
      <w:keepNext/>
      <w:keepLines/>
      <w:widowControl/>
      <w:numPr>
        <w:ilvl w:val="8"/>
        <w:numId w:val="15"/>
      </w:numPr>
      <w:spacing w:after="260"/>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3"/>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after="26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Heading1Char">
    <w:name w:val="Heading 1 Char"/>
    <w:basedOn w:val="DefaultParagraphFont"/>
    <w:link w:val="Heading1"/>
    <w:uiPriority w:val="9"/>
    <w:rsid w:val="00EB5D6A"/>
    <w:rPr>
      <w:rFonts w:ascii="Times New Roman" w:hAnsi="Times New Roman" w:eastAsiaTheme="majorEastAsia"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hAnsi="Times New Roman" w:eastAsiaTheme="majorEastAsia" w:cs="Times New Roman"/>
      <w:b/>
      <w:kern w:val="32"/>
      <w:sz w:val="26"/>
      <w:szCs w:val="26"/>
      <w:u w:val="single"/>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c,f,fn,fn1,fn3,fn4,ft"/>
    <w:basedOn w:val="Normal"/>
    <w:link w:val="FootnoteTextChar"/>
    <w:unhideWhenUsed/>
    <w:qFormat/>
    <w:rsid w:val="00DD46EB"/>
    <w:pPr>
      <w:spacing w:after="260"/>
      <w:ind w:firstLine="720"/>
    </w:pPr>
    <w:rPr>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nhideWhenUsed/>
    <w:qFormat/>
    <w:rsid w:val="00DD46EB"/>
    <w:rPr>
      <w:rFonts w:ascii="Times New Roman" w:hAnsi="Times New Roman" w:cs="Times New Roman"/>
      <w:b/>
      <w:sz w:val="26"/>
      <w:vertAlign w:val="superscript"/>
    </w:rPr>
  </w:style>
  <w:style w:type="paragraph" w:customStyle="1" w:styleId="FERCNopara">
    <w:name w:val="FERC Nopara"/>
    <w:basedOn w:val="Normal"/>
    <w:uiPriority w:val="1"/>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unhideWhenUsed/>
    <w:rsid w:val="00C32965"/>
    <w:rPr>
      <w:color w:val="605E5C"/>
      <w:shd w:val="clear" w:color="auto" w:fill="E1DFDD"/>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1 Char2,Footnote Text MRP Char,f Char,fn Char,ft Char"/>
    <w:basedOn w:val="DefaultParagraphFont"/>
    <w:link w:val="FootnoteText"/>
    <w:rsid w:val="00313048"/>
    <w:rPr>
      <w:rFonts w:ascii="Times New Roman" w:hAnsi="Times New Roman" w:cs="Times New Roman"/>
      <w:sz w:val="26"/>
      <w:szCs w:val="20"/>
    </w:rPr>
  </w:style>
  <w:style w:type="paragraph" w:styleId="Revision">
    <w:name w:val="Revision"/>
    <w:hidden/>
    <w:uiPriority w:val="99"/>
    <w:semiHidden/>
    <w:rsid w:val="001463D5"/>
    <w:pPr>
      <w:spacing w:after="0" w:line="240" w:lineRule="auto"/>
    </w:pPr>
    <w:rPr>
      <w:rFonts w:ascii="Times New Roman" w:hAnsi="Times New Roman" w:cs="Times New Roman"/>
      <w:sz w:val="26"/>
    </w:rPr>
  </w:style>
  <w:style w:type="character" w:styleId="Mention">
    <w:name w:val="Mention"/>
    <w:basedOn w:val="DefaultParagraphFont"/>
    <w:uiPriority w:val="99"/>
    <w:unhideWhenUsed/>
    <w:rsid w:val="00A50D1F"/>
    <w:rPr>
      <w:color w:val="2B579A"/>
      <w:shd w:val="clear" w:color="auto" w:fill="E1DFDD"/>
    </w:rPr>
  </w:style>
  <w:style w:type="character" w:customStyle="1" w:styleId="FERCparanumberChar1">
    <w:name w:val="FERC paranumber Char1"/>
    <w:rsid w:val="00600728"/>
    <w:rPr>
      <w:sz w:val="26"/>
      <w:szCs w:val="24"/>
      <w:lang w:val="en-US" w:eastAsia="en-US" w:bidi="ar-SA"/>
    </w:rPr>
  </w:style>
  <w:style w:type="character" w:styleId="FollowedHyperlink">
    <w:name w:val="FollowedHyperlink"/>
    <w:basedOn w:val="DefaultParagraphFont"/>
    <w:uiPriority w:val="99"/>
    <w:semiHidden/>
    <w:unhideWhenUsed/>
    <w:rsid w:val="006D01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855B7A-64D5-4CF2-9BE7-4E7239DAC7D3}">
  <ds:schemaRefs>
    <ds:schemaRef ds:uri="Microsoft.SharePoint.Taxonomy.ContentTypeSync"/>
  </ds:schemaRefs>
</ds:datastoreItem>
</file>

<file path=customXml/itemProps2.xml><?xml version="1.0" encoding="utf-8"?>
<ds:datastoreItem xmlns:ds="http://schemas.openxmlformats.org/officeDocument/2006/customXml" ds:itemID="{DB6931F8-A060-4476-A799-7F13185A65DB}">
  <ds:schemaRefs>
    <ds:schemaRef ds:uri="http://schemas.microsoft.com/sharepoint/v3/contenttype/forms"/>
  </ds:schemaRefs>
</ds:datastoreItem>
</file>

<file path=customXml/itemProps3.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4.xml><?xml version="1.0" encoding="utf-8"?>
<ds:datastoreItem xmlns:ds="http://schemas.openxmlformats.org/officeDocument/2006/customXml" ds:itemID="{F0C958C2-94A5-4F8B-9631-5F06C8167CAE}">
  <ds:schemaRefs>
    <ds:schemaRef ds:uri="http://schemas.microsoft.com/office/infopath/2007/PartnerControl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5.xml><?xml version="1.0" encoding="utf-8"?>
<ds:datastoreItem xmlns:ds="http://schemas.openxmlformats.org/officeDocument/2006/customXml" ds:itemID="{2D00A14E-373D-4304-846D-352425209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2698</Words>
  <Characters>15379</Characters>
  <Application>Microsoft Office Word</Application>
  <DocSecurity>0</DocSecurity>
  <Lines>128</Lines>
  <Paragraphs>36</Paragraphs>
  <ScaleCrop>false</ScaleCrop>
  <Company/>
  <LinksUpToDate>false</LinksUpToDate>
  <CharactersWithSpaces>18041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2025-02-28T14:34:00Z</dcterms:created>
  <dcterms:modified xsi:type="dcterms:W3CDTF">2025-02-28T14:34:00Z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8b95c7ab-4951-487a-88f4-58c9fbb3514f</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2025-02-28T14:33:20Z</vt:lpwstr>
  </property>
  <property fmtid="{D5CDD505-2E9C-101B-9397-08002B2CF9AE}" pid="8" name="MSIP_Label_bd24d06a-0e85-4d57-b1e0-ba34b1abc708_SiteId">
    <vt:lpwstr>19caa9e9-04ff-43fa-885f-d77fac387903</vt:lpwstr>
  </property>
</Properties>
</file>