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69E7" w:rsidP="00466B49" w14:paraId="58A16728" w14:textId="1C8187D4">
      <w:pPr>
        <w:ind w:left="-360" w:right="-360"/>
        <w:jc w:val="center"/>
        <w:rPr>
          <w:b/>
          <w:bCs/>
        </w:rPr>
      </w:pPr>
      <w:r>
        <w:rPr>
          <w:b/>
          <w:bCs/>
        </w:rPr>
        <w:t>Information Collection Request</w:t>
      </w:r>
    </w:p>
    <w:p w:rsidR="003A5DE5" w:rsidRPr="00F369E7" w:rsidP="00466B49" w14:paraId="42FF3DFA" w14:textId="77777777">
      <w:pPr>
        <w:ind w:left="-360" w:right="-360"/>
        <w:jc w:val="center"/>
        <w:rPr>
          <w:b/>
          <w:bCs/>
        </w:rPr>
      </w:pPr>
      <w:r w:rsidRPr="00F369E7">
        <w:rPr>
          <w:b/>
          <w:bCs/>
        </w:rPr>
        <w:t xml:space="preserve">Supporting Statement </w:t>
      </w:r>
    </w:p>
    <w:p w:rsidR="00F369E7" w:rsidP="00466B49" w14:paraId="54F96E7E" w14:textId="77777777">
      <w:pPr>
        <w:ind w:left="-360" w:right="-360"/>
        <w:jc w:val="center"/>
        <w:rPr>
          <w:b/>
          <w:bCs/>
        </w:rPr>
      </w:pPr>
    </w:p>
    <w:p w:rsidR="00B454FB" w:rsidRPr="00F369E7" w:rsidP="00466B49" w14:paraId="0010CD57" w14:textId="77777777">
      <w:pPr>
        <w:ind w:left="-360" w:right="-360"/>
        <w:jc w:val="center"/>
        <w:rPr>
          <w:b/>
          <w:bCs/>
        </w:rPr>
      </w:pPr>
      <w:r w:rsidRPr="00B454FB">
        <w:rPr>
          <w:b/>
          <w:bCs/>
        </w:rPr>
        <w:t>Department of the Treasury</w:t>
      </w:r>
      <w:r>
        <w:rPr>
          <w:b/>
          <w:bCs/>
        </w:rPr>
        <w:t>, Office of Debt Management</w:t>
      </w:r>
    </w:p>
    <w:p w:rsidR="00B454FB" w:rsidP="00466B49" w14:paraId="1FA235DC" w14:textId="77777777">
      <w:pPr>
        <w:ind w:left="-360" w:right="-360"/>
        <w:jc w:val="center"/>
        <w:rPr>
          <w:b/>
        </w:rPr>
      </w:pPr>
    </w:p>
    <w:p w:rsidR="00F369E7" w:rsidRPr="00F369E7" w:rsidP="00466B49" w14:paraId="2CF8F5B1" w14:textId="77777777">
      <w:pPr>
        <w:ind w:left="-360" w:right="-360"/>
        <w:jc w:val="center"/>
        <w:rPr>
          <w:b/>
          <w:bCs/>
        </w:rPr>
      </w:pPr>
      <w:r w:rsidRPr="00F369E7">
        <w:rPr>
          <w:b/>
        </w:rPr>
        <w:t>Quarterly Dealer Agenda Survey</w:t>
      </w:r>
    </w:p>
    <w:p w:rsidR="008C325F" w:rsidRPr="00F369E7" w:rsidP="00466B49" w14:paraId="65F65453" w14:textId="157B7911">
      <w:pPr>
        <w:ind w:left="-360" w:right="-360"/>
        <w:jc w:val="center"/>
        <w:rPr>
          <w:b/>
          <w:color w:val="3366FF"/>
        </w:rPr>
      </w:pPr>
      <w:r w:rsidRPr="00F369E7">
        <w:rPr>
          <w:b/>
          <w:bCs/>
        </w:rPr>
        <w:t xml:space="preserve">OMB </w:t>
      </w:r>
      <w:r w:rsidR="00F369E7">
        <w:rPr>
          <w:b/>
          <w:bCs/>
        </w:rPr>
        <w:t xml:space="preserve">Control No. </w:t>
      </w:r>
      <w:r w:rsidRPr="00F369E7" w:rsidR="00FA401E">
        <w:rPr>
          <w:b/>
          <w:bCs/>
        </w:rPr>
        <w:t>1505</w:t>
      </w:r>
      <w:r w:rsidRPr="00F369E7">
        <w:rPr>
          <w:b/>
          <w:bCs/>
        </w:rPr>
        <w:t>-</w:t>
      </w:r>
      <w:r w:rsidR="00DA20E0">
        <w:rPr>
          <w:b/>
          <w:bCs/>
        </w:rPr>
        <w:t>0261</w:t>
      </w:r>
    </w:p>
    <w:p w:rsidR="00EC10FF" w:rsidRPr="00110928" w:rsidP="00BC5EF3" w14:paraId="360DE9D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1762C7" w:rsidRPr="00110928" w:rsidP="001762C7" w14:paraId="4ED1AAD6" w14:textId="77777777">
      <w:pPr>
        <w:tabs>
          <w:tab w:val="left" w:pos="540"/>
        </w:tabs>
        <w:rPr>
          <w:b/>
          <w:bCs/>
        </w:rPr>
      </w:pPr>
    </w:p>
    <w:p w:rsidR="0017118B" w:rsidRPr="00110928" w:rsidP="00BC5EF3" w14:paraId="5C93AEA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8112BA" w:rsidRPr="00110928" w:rsidP="00BC5EF3" w14:paraId="289F3CFE" w14:textId="77777777">
      <w:pPr>
        <w:numPr>
          <w:ilvl w:val="0"/>
          <w:numId w:val="20"/>
        </w:numPr>
        <w:tabs>
          <w:tab w:val="left" w:pos="540"/>
          <w:tab w:val="clear" w:pos="720"/>
        </w:tabs>
        <w:ind w:left="0" w:firstLine="0"/>
        <w:rPr>
          <w:b/>
          <w:bCs/>
        </w:rPr>
      </w:pPr>
      <w:r w:rsidRPr="00110928">
        <w:rPr>
          <w:b/>
          <w:bCs/>
        </w:rPr>
        <w:t>Justification</w:t>
      </w:r>
    </w:p>
    <w:p w:rsidR="008112BA" w:rsidRPr="00110928" w:rsidP="00BC5EF3" w14:paraId="7FF3A254" w14:textId="77777777">
      <w:pPr>
        <w:tabs>
          <w:tab w:val="left" w:pos="540"/>
        </w:tabs>
        <w:rPr>
          <w:b/>
          <w:bCs/>
        </w:rPr>
      </w:pPr>
    </w:p>
    <w:p w:rsidR="00432C2B" w:rsidRPr="00110928" w:rsidP="00BC5EF3" w14:paraId="40A76A59"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pPr>
      <w:r w:rsidRPr="00110928">
        <w:t>Circumstances Making the Collection of Information Necessary.</w:t>
      </w:r>
    </w:p>
    <w:p w:rsidR="00274508" w:rsidRPr="00275544" w:rsidP="00110928" w14:paraId="71A7BFA8" w14:textId="65C3D72C">
      <w:pPr>
        <w:ind w:left="540"/>
      </w:pPr>
      <w:r w:rsidRPr="00110928">
        <w:t>The Department of the Treasury</w:t>
      </w:r>
      <w:r w:rsidRPr="00110928" w:rsidR="007C6D73">
        <w:t>’s</w:t>
      </w:r>
      <w:r w:rsidRPr="00110928">
        <w:t xml:space="preserve"> mission to manage the U.S government’s finances and resources effectively includes financing the government at the lowest cost over time. </w:t>
      </w:r>
      <w:r w:rsidRPr="009E4E41">
        <w:t xml:space="preserve">Treasury meets this objective by issuing debt in a regular and predictable pattern, providing </w:t>
      </w:r>
      <w:r w:rsidRPr="00275544">
        <w:t xml:space="preserve">transparency in its decision-making process, and seeking continuous improvements in the Treasury auction process. </w:t>
      </w:r>
      <w:r w:rsidR="00384CD8">
        <w:t>U</w:t>
      </w:r>
      <w:r w:rsidRPr="00275544">
        <w:t xml:space="preserve">nexpected changes in our borrowing requirements, changes in the demand for </w:t>
      </w:r>
      <w:r w:rsidRPr="00275544" w:rsidR="00CE6963">
        <w:t>Treasury</w:t>
      </w:r>
      <w:r w:rsidRPr="00275544">
        <w:t xml:space="preserve"> securities, and </w:t>
      </w:r>
      <w:r w:rsidR="00384CD8">
        <w:t>other factors can create risks for Treasury</w:t>
      </w:r>
      <w:r w:rsidRPr="00275544">
        <w:t xml:space="preserve">. To </w:t>
      </w:r>
      <w:r w:rsidR="00384CD8">
        <w:t>mitigate</w:t>
      </w:r>
      <w:r w:rsidRPr="00275544">
        <w:t xml:space="preserve"> these risks, Treasury closely monitors economic conditions, market activity, and, if necessary, responds with appropriate changes in debt issuance based on analysis and consultation with market participants.</w:t>
      </w:r>
    </w:p>
    <w:p w:rsidR="00274508" w:rsidRPr="00275544" w:rsidP="00110928" w14:paraId="4B707C61" w14:textId="77777777">
      <w:pPr>
        <w:ind w:left="540"/>
      </w:pPr>
    </w:p>
    <w:p w:rsidR="00274508" w:rsidP="00687727" w14:paraId="356061E4" w14:textId="77777777">
      <w:pPr>
        <w:ind w:left="540"/>
      </w:pPr>
      <w:r w:rsidRPr="00275544">
        <w:t>Changes in debt management policy are generally developed through the </w:t>
      </w:r>
      <w:r w:rsidRPr="00687727">
        <w:t>quarterly refunding</w:t>
      </w:r>
      <w:r w:rsidRPr="00110928">
        <w:t> </w:t>
      </w:r>
      <w:r w:rsidR="00687727">
        <w:t>(</w:t>
      </w:r>
      <w:hyperlink r:id="rId9" w:history="1">
        <w:r w:rsidRPr="002604DF" w:rsidR="00687727">
          <w:rPr>
            <w:rStyle w:val="Hyperlink"/>
          </w:rPr>
          <w:t>https://www.treasury.gov/resource-center/data-chart-center/quarterly-refunding/Pages/default.aspx</w:t>
        </w:r>
      </w:hyperlink>
      <w:r w:rsidR="00687727">
        <w:t xml:space="preserve">) </w:t>
      </w:r>
      <w:r w:rsidRPr="00110928">
        <w:t>process near the middle of each calendar quarter. Treasury begins this process by soliciting advice and views from the private sector through </w:t>
      </w:r>
      <w:r w:rsidRPr="00687727">
        <w:t>questions to primary dealers</w:t>
      </w:r>
      <w:r w:rsidR="00687727">
        <w:t xml:space="preserve"> (</w:t>
      </w:r>
      <w:hyperlink r:id="rId10" w:history="1">
        <w:r w:rsidRPr="00687727" w:rsidR="00687727">
          <w:rPr>
            <w:rStyle w:val="Hyperlink"/>
          </w:rPr>
          <w:t>https://www.treasury.gov/resource-center/data-chart-center/quarterly-refunding/Pages/agenda-index.aspx</w:t>
        </w:r>
      </w:hyperlink>
      <w:r w:rsidR="00687727">
        <w:t>)</w:t>
      </w:r>
      <w:r w:rsidRPr="00110928" w:rsidR="007C6D73">
        <w:t xml:space="preserve"> </w:t>
      </w:r>
      <w:r w:rsidR="00DC39EA">
        <w:t>in the Primary Dealer Meeting Agenda (Agenda).</w:t>
      </w:r>
      <w:r w:rsidRPr="00DC39EA" w:rsidR="008112BA">
        <w:tab/>
      </w:r>
    </w:p>
    <w:p w:rsidR="00DC39EA" w:rsidRPr="00110928" w:rsidP="00110928" w14:paraId="4D983AB3" w14:textId="77777777">
      <w:pPr>
        <w:ind w:left="540"/>
      </w:pPr>
    </w:p>
    <w:p w:rsidR="00C01B3C" w:rsidRPr="00110928" w:rsidP="00110928" w14:paraId="6410BAD2" w14:textId="3B0DFA7A">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rPr>
          <w:b w:val="0"/>
          <w:bCs w:val="0"/>
        </w:rPr>
      </w:pPr>
      <w:r>
        <w:rPr>
          <w:b w:val="0"/>
          <w:bCs w:val="0"/>
        </w:rPr>
        <w:t xml:space="preserve">Around </w:t>
      </w:r>
      <w:r w:rsidRPr="00110928" w:rsidR="0017118B">
        <w:rPr>
          <w:b w:val="0"/>
          <w:bCs w:val="0"/>
        </w:rPr>
        <w:t xml:space="preserve">the beginning of each mid-quarter month (February, May, August, and November), </w:t>
      </w:r>
      <w:r>
        <w:rPr>
          <w:b w:val="0"/>
          <w:bCs w:val="0"/>
        </w:rPr>
        <w:t xml:space="preserve">Treasury </w:t>
      </w:r>
      <w:r w:rsidRPr="00110928">
        <w:rPr>
          <w:b w:val="0"/>
          <w:bCs w:val="0"/>
        </w:rPr>
        <w:t>will release a policy statement, referred to as the “Quarterly Refunding Statement,” on debt financing focused on the following three months.</w:t>
      </w:r>
    </w:p>
    <w:p w:rsidR="00C01B3C" w:rsidRPr="00110928" w:rsidP="00C01B3C" w14:paraId="70DBE34D" w14:textId="36C644E2">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b w:val="0"/>
          <w:bCs w:val="0"/>
        </w:rPr>
      </w:pPr>
      <w:r w:rsidRPr="00110928">
        <w:rPr>
          <w:b w:val="0"/>
          <w:bCs w:val="0"/>
        </w:rPr>
        <w:tab/>
        <w:t xml:space="preserve">The policy statement generally </w:t>
      </w:r>
      <w:r w:rsidR="00384CD8">
        <w:rPr>
          <w:b w:val="0"/>
          <w:bCs w:val="0"/>
        </w:rPr>
        <w:t xml:space="preserve">announces the upcoming auctions of </w:t>
      </w:r>
      <w:r w:rsidRPr="00110928">
        <w:rPr>
          <w:b w:val="0"/>
          <w:bCs w:val="0"/>
        </w:rPr>
        <w:t>3- and 10-year note</w:t>
      </w:r>
      <w:r w:rsidR="00384CD8">
        <w:rPr>
          <w:b w:val="0"/>
          <w:bCs w:val="0"/>
        </w:rPr>
        <w:t>s</w:t>
      </w:r>
      <w:r w:rsidRPr="00110928">
        <w:rPr>
          <w:b w:val="0"/>
          <w:bCs w:val="0"/>
        </w:rPr>
        <w:t xml:space="preserve"> and the 30-year bond. In addition, the statement is often used to indicate other financing needs, or to announce significant policy decisions related to debt financing.</w:t>
      </w:r>
      <w:r w:rsidRPr="00110928" w:rsidR="00772BF5">
        <w:rPr>
          <w:b w:val="0"/>
          <w:bCs w:val="0"/>
        </w:rPr>
        <w:t xml:space="preserve"> </w:t>
      </w:r>
      <w:r w:rsidR="00384CD8">
        <w:rPr>
          <w:b w:val="0"/>
          <w:bCs w:val="0"/>
        </w:rPr>
        <w:t>Financing</w:t>
      </w:r>
      <w:r w:rsidRPr="00110928" w:rsidR="00772BF5">
        <w:rPr>
          <w:b w:val="0"/>
          <w:bCs w:val="0"/>
        </w:rPr>
        <w:t xml:space="preserve"> the government is a mission critical </w:t>
      </w:r>
      <w:r w:rsidRPr="00110928" w:rsidR="00772BF5">
        <w:rPr>
          <w:b w:val="0"/>
          <w:bCs w:val="0"/>
        </w:rPr>
        <w:t>function, and</w:t>
      </w:r>
      <w:r w:rsidRPr="00110928" w:rsidR="00772BF5">
        <w:rPr>
          <w:b w:val="0"/>
          <w:bCs w:val="0"/>
        </w:rPr>
        <w:t xml:space="preserve"> setting policy for debt financing through this regular and predictable process is an important aspect to ensure that the government is able to borrow at the lowest cost to the taxpayer.</w:t>
      </w:r>
    </w:p>
    <w:p w:rsidR="00C01B3C" w:rsidP="00C01B3C" w14:paraId="3EABF915"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b w:val="0"/>
          <w:bCs w:val="0"/>
        </w:rPr>
      </w:pPr>
      <w:r w:rsidRPr="00110928">
        <w:rPr>
          <w:b w:val="0"/>
          <w:bCs w:val="0"/>
        </w:rPr>
        <w:tab/>
        <w:t xml:space="preserve">Before the statement is released, staff in the Office of Debt Management (ODM) spend considerable time analyzing potential policy decisions. To inform </w:t>
      </w:r>
      <w:r w:rsidRPr="00110928">
        <w:rPr>
          <w:b w:val="0"/>
          <w:bCs w:val="0"/>
        </w:rPr>
        <w:t>that</w:t>
      </w:r>
      <w:r w:rsidRPr="00110928">
        <w:rPr>
          <w:b w:val="0"/>
          <w:bCs w:val="0"/>
        </w:rPr>
        <w:t xml:space="preserve"> process, ODM staff rely, in part, on the feedback received from the </w:t>
      </w:r>
      <w:r w:rsidR="00DC39EA">
        <w:rPr>
          <w:b w:val="0"/>
          <w:bCs w:val="0"/>
        </w:rPr>
        <w:t>Agenda</w:t>
      </w:r>
      <w:r w:rsidRPr="00110928" w:rsidR="00772BF5">
        <w:rPr>
          <w:b w:val="0"/>
          <w:bCs w:val="0"/>
        </w:rPr>
        <w:t xml:space="preserve">. That </w:t>
      </w:r>
      <w:r w:rsidR="00DC39EA">
        <w:rPr>
          <w:b w:val="0"/>
          <w:bCs w:val="0"/>
        </w:rPr>
        <w:t>agenda</w:t>
      </w:r>
      <w:r w:rsidRPr="00110928" w:rsidR="00772BF5">
        <w:rPr>
          <w:b w:val="0"/>
          <w:bCs w:val="0"/>
        </w:rPr>
        <w:t xml:space="preserve"> is the focus of this information collection request.</w:t>
      </w:r>
    </w:p>
    <w:p w:rsidR="00BA5E91" w:rsidRPr="00110928" w:rsidP="00C01B3C" w14:paraId="3FDCC505"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b w:val="0"/>
          <w:bCs w:val="0"/>
        </w:rPr>
      </w:pPr>
    </w:p>
    <w:p w:rsidR="00432C2B" w:rsidRPr="00110928" w:rsidP="000356B0" w14:paraId="667F7B0F" w14:textId="77777777">
      <w:pPr>
        <w:pStyle w:val="BodyTextIndent2"/>
        <w:numPr>
          <w:ilvl w:val="0"/>
          <w:numId w:val="10"/>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pPr>
      <w:r w:rsidRPr="00110928">
        <w:t>Purpose and Use of the Information Collection.</w:t>
      </w:r>
    </w:p>
    <w:p w:rsidR="00904A41" w:rsidP="00B8508C" w14:paraId="43A0E5E3" w14:textId="0D35BF3E">
      <w:pPr>
        <w:tabs>
          <w:tab w:val="left" w:pos="900"/>
        </w:tabs>
        <w:ind w:left="540"/>
        <w:rPr>
          <w:bCs/>
          <w:color w:val="3366CC"/>
        </w:rPr>
      </w:pPr>
      <w:r w:rsidRPr="00110928">
        <w:t>The information is collected through a</w:t>
      </w:r>
      <w:r w:rsidR="00384CD8">
        <w:t xml:space="preserve"> survey</w:t>
      </w:r>
      <w:r w:rsidRPr="00110928">
        <w:t xml:space="preserve"> consisting </w:t>
      </w:r>
      <w:r w:rsidRPr="00110928" w:rsidR="00CE6963">
        <w:t xml:space="preserve">typically </w:t>
      </w:r>
      <w:r w:rsidRPr="00110928">
        <w:t xml:space="preserve">of </w:t>
      </w:r>
      <w:r w:rsidR="00384CD8">
        <w:t xml:space="preserve">several sections of </w:t>
      </w:r>
      <w:r w:rsidRPr="00110928">
        <w:t xml:space="preserve">questions. The survey is sent to all </w:t>
      </w:r>
      <w:r w:rsidRPr="00110928" w:rsidR="00CE6963">
        <w:t>p</w:t>
      </w:r>
      <w:r w:rsidRPr="00110928">
        <w:t xml:space="preserve">rimary </w:t>
      </w:r>
      <w:r w:rsidRPr="00110928" w:rsidR="00CE6963">
        <w:t>d</w:t>
      </w:r>
      <w:r w:rsidRPr="00110928">
        <w:t xml:space="preserve">ealers, of which there are currently </w:t>
      </w:r>
      <w:r w:rsidRPr="00110928" w:rsidR="00F05C9C">
        <w:t>2</w:t>
      </w:r>
      <w:r w:rsidR="00FF7147">
        <w:t>6</w:t>
      </w:r>
      <w:r w:rsidRPr="00110928" w:rsidR="00F05C9C">
        <w:t xml:space="preserve"> </w:t>
      </w:r>
      <w:r w:rsidRPr="00110928">
        <w:t xml:space="preserve">financial institutions. The status of </w:t>
      </w:r>
      <w:r w:rsidRPr="00110928" w:rsidR="00AC3441">
        <w:t>p</w:t>
      </w:r>
      <w:r w:rsidRPr="00110928">
        <w:t xml:space="preserve">rimary </w:t>
      </w:r>
      <w:r w:rsidRPr="00110928" w:rsidR="00AC3441">
        <w:t>d</w:t>
      </w:r>
      <w:r w:rsidRPr="00110928">
        <w:t>ealer is a designation given by the Federal Reserve Bank of New York (FRBNY)</w:t>
      </w:r>
      <w:r w:rsidRPr="00110928" w:rsidR="00AC3441">
        <w:t>.</w:t>
      </w:r>
      <w:r w:rsidR="00384CD8">
        <w:t xml:space="preserve"> </w:t>
      </w:r>
      <w:r w:rsidRPr="00110928" w:rsidR="00AC3441">
        <w:t>T</w:t>
      </w:r>
      <w:r w:rsidRPr="00110928">
        <w:t xml:space="preserve">he total number can fluctuate over time. The complete list of </w:t>
      </w:r>
      <w:r w:rsidRPr="00110928" w:rsidR="00AC3441">
        <w:t>p</w:t>
      </w:r>
      <w:r w:rsidRPr="00110928">
        <w:t xml:space="preserve">rimary </w:t>
      </w:r>
      <w:r w:rsidRPr="00110928" w:rsidR="00AC3441">
        <w:t>d</w:t>
      </w:r>
      <w:r w:rsidRPr="00110928">
        <w:t>ealers is available on the FRBNY website.</w:t>
      </w:r>
      <w:r>
        <w:t xml:space="preserve"> </w:t>
      </w:r>
      <w:hyperlink r:id="rId11" w:history="1">
        <w:r w:rsidRPr="009E4E41">
          <w:rPr>
            <w:rStyle w:val="Hyperlink"/>
            <w:bCs/>
          </w:rPr>
          <w:t>https://www.newyorkfed.org/markets/primarydealers</w:t>
        </w:r>
      </w:hyperlink>
      <w:r w:rsidRPr="009E4E41">
        <w:rPr>
          <w:bCs/>
          <w:color w:val="3366CC"/>
        </w:rPr>
        <w:t xml:space="preserve"> </w:t>
      </w:r>
    </w:p>
    <w:p w:rsidR="00904A41" w:rsidRPr="009E4E41" w:rsidP="00904A41" w14:paraId="0E9FFD79" w14:textId="77777777">
      <w:pPr>
        <w:tabs>
          <w:tab w:val="left" w:pos="900"/>
        </w:tabs>
        <w:ind w:left="540"/>
        <w:jc w:val="both"/>
        <w:rPr>
          <w:bCs/>
          <w:color w:val="3366CC"/>
        </w:rPr>
      </w:pPr>
    </w:p>
    <w:p w:rsidR="00E66A74" w:rsidRPr="00110928" w:rsidP="00E66A74" w14:paraId="2ACBD3CA" w14:textId="700DE6F3">
      <w:pPr>
        <w:pStyle w:val="smindent"/>
        <w:tabs>
          <w:tab w:val="left" w:pos="540"/>
        </w:tabs>
        <w:spacing w:before="120" w:beforeAutospacing="0" w:after="120" w:afterAutospacing="0"/>
        <w:ind w:left="540"/>
        <w:rPr>
          <w:rFonts w:ascii="Times New Roman" w:hAnsi="Times New Roman"/>
          <w:color w:val="auto"/>
          <w:sz w:val="24"/>
          <w:szCs w:val="24"/>
        </w:rPr>
      </w:pPr>
      <w:r w:rsidRPr="00110928">
        <w:rPr>
          <w:rFonts w:ascii="Times New Roman" w:hAnsi="Times New Roman"/>
          <w:color w:val="auto"/>
          <w:sz w:val="24"/>
          <w:szCs w:val="24"/>
        </w:rPr>
        <w:t xml:space="preserve">As fiscal agent, the FRBNY sends </w:t>
      </w:r>
      <w:r w:rsidR="00384CD8">
        <w:rPr>
          <w:rFonts w:ascii="Times New Roman" w:hAnsi="Times New Roman"/>
          <w:color w:val="auto"/>
          <w:sz w:val="24"/>
          <w:szCs w:val="24"/>
        </w:rPr>
        <w:t xml:space="preserve">the survey to </w:t>
      </w:r>
      <w:r w:rsidRPr="00110928">
        <w:rPr>
          <w:rFonts w:ascii="Times New Roman" w:hAnsi="Times New Roman"/>
          <w:color w:val="auto"/>
          <w:sz w:val="24"/>
          <w:szCs w:val="24"/>
        </w:rPr>
        <w:t xml:space="preserve">and receives </w:t>
      </w:r>
      <w:r w:rsidR="00384CD8">
        <w:rPr>
          <w:rFonts w:ascii="Times New Roman" w:hAnsi="Times New Roman"/>
          <w:color w:val="auto"/>
          <w:sz w:val="24"/>
          <w:szCs w:val="24"/>
        </w:rPr>
        <w:t xml:space="preserve">responses from </w:t>
      </w:r>
      <w:r w:rsidRPr="00110928">
        <w:rPr>
          <w:rFonts w:ascii="Times New Roman" w:hAnsi="Times New Roman"/>
          <w:color w:val="auto"/>
          <w:sz w:val="24"/>
          <w:szCs w:val="24"/>
        </w:rPr>
        <w:t xml:space="preserve">the </w:t>
      </w:r>
      <w:r w:rsidRPr="00110928" w:rsidR="00AC3441">
        <w:rPr>
          <w:rFonts w:ascii="Times New Roman" w:hAnsi="Times New Roman"/>
          <w:color w:val="auto"/>
          <w:sz w:val="24"/>
          <w:szCs w:val="24"/>
        </w:rPr>
        <w:t>p</w:t>
      </w:r>
      <w:r w:rsidRPr="00110928">
        <w:rPr>
          <w:rFonts w:ascii="Times New Roman" w:hAnsi="Times New Roman"/>
          <w:color w:val="auto"/>
          <w:sz w:val="24"/>
          <w:szCs w:val="24"/>
        </w:rPr>
        <w:t xml:space="preserve">rimary </w:t>
      </w:r>
      <w:r w:rsidRPr="00110928" w:rsidR="00AC3441">
        <w:rPr>
          <w:rFonts w:ascii="Times New Roman" w:hAnsi="Times New Roman"/>
          <w:color w:val="auto"/>
          <w:sz w:val="24"/>
          <w:szCs w:val="24"/>
        </w:rPr>
        <w:t>d</w:t>
      </w:r>
      <w:r w:rsidRPr="00110928">
        <w:rPr>
          <w:rFonts w:ascii="Times New Roman" w:hAnsi="Times New Roman"/>
          <w:color w:val="auto"/>
          <w:sz w:val="24"/>
          <w:szCs w:val="24"/>
        </w:rPr>
        <w:t>ealers on Treasury’s behalf.</w:t>
      </w:r>
    </w:p>
    <w:p w:rsidR="00FB3324" w:rsidRPr="00110928" w:rsidP="00432C2B" w14:paraId="6888B523" w14:textId="6061EEBD">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r>
      <w:r w:rsidRPr="00110928" w:rsidR="006433AF">
        <w:rPr>
          <w:rFonts w:ascii="Times New Roman" w:hAnsi="Times New Roman"/>
          <w:color w:val="auto"/>
          <w:sz w:val="24"/>
          <w:szCs w:val="24"/>
        </w:rPr>
        <w:t xml:space="preserve">The information is used to inform ODM’s decision to set the </w:t>
      </w:r>
      <w:r w:rsidRPr="00110928" w:rsidR="00592FB6">
        <w:rPr>
          <w:rFonts w:ascii="Times New Roman" w:hAnsi="Times New Roman"/>
          <w:color w:val="auto"/>
          <w:sz w:val="24"/>
          <w:szCs w:val="24"/>
        </w:rPr>
        <w:t xml:space="preserve">securities’ </w:t>
      </w:r>
      <w:r w:rsidRPr="00110928" w:rsidR="006433AF">
        <w:rPr>
          <w:rFonts w:ascii="Times New Roman" w:hAnsi="Times New Roman"/>
          <w:color w:val="auto"/>
          <w:sz w:val="24"/>
          <w:szCs w:val="24"/>
        </w:rPr>
        <w:t>issuance sizes for the upcoming quarter. In effect, the information provides a market view of borrowing needs for the U.S. government.</w:t>
      </w:r>
      <w:r w:rsidRPr="00110928" w:rsidR="00507E5C">
        <w:rPr>
          <w:rFonts w:ascii="Times New Roman" w:hAnsi="Times New Roman"/>
          <w:color w:val="auto"/>
          <w:sz w:val="24"/>
          <w:szCs w:val="24"/>
        </w:rPr>
        <w:t xml:space="preserve"> In addition, </w:t>
      </w:r>
      <w:r w:rsidR="00384CD8">
        <w:rPr>
          <w:rFonts w:ascii="Times New Roman" w:hAnsi="Times New Roman"/>
          <w:color w:val="auto"/>
          <w:sz w:val="24"/>
          <w:szCs w:val="24"/>
        </w:rPr>
        <w:t>some</w:t>
      </w:r>
      <w:r w:rsidRPr="00110928" w:rsidR="00507E5C">
        <w:rPr>
          <w:rFonts w:ascii="Times New Roman" w:hAnsi="Times New Roman"/>
          <w:color w:val="auto"/>
          <w:sz w:val="24"/>
          <w:szCs w:val="24"/>
        </w:rPr>
        <w:t xml:space="preserve"> aggregate </w:t>
      </w:r>
      <w:r w:rsidR="00384CD8">
        <w:rPr>
          <w:rFonts w:ascii="Times New Roman" w:hAnsi="Times New Roman"/>
          <w:color w:val="auto"/>
          <w:sz w:val="24"/>
          <w:szCs w:val="24"/>
        </w:rPr>
        <w:t xml:space="preserve">information regarding responses is typically </w:t>
      </w:r>
      <w:r w:rsidRPr="00110928" w:rsidR="00507E5C">
        <w:rPr>
          <w:rFonts w:ascii="Times New Roman" w:hAnsi="Times New Roman"/>
          <w:color w:val="auto"/>
          <w:sz w:val="24"/>
          <w:szCs w:val="24"/>
        </w:rPr>
        <w:t>made public through Treasury’s Quarterly Refunding materials.</w:t>
      </w:r>
    </w:p>
    <w:p w:rsidR="00E66A74" w:rsidP="00432C2B" w14:paraId="5F99E7DD" w14:textId="77777777">
      <w:pPr>
        <w:pStyle w:val="smindent"/>
        <w:tabs>
          <w:tab w:val="left" w:pos="540"/>
        </w:tabs>
        <w:spacing w:before="120" w:beforeAutospacing="0" w:after="120" w:afterAutospacing="0"/>
        <w:ind w:left="540" w:hanging="540"/>
        <w:rPr>
          <w:rFonts w:ascii="Times New Roman" w:hAnsi="Times New Roman"/>
          <w:color w:val="auto"/>
          <w:sz w:val="24"/>
          <w:szCs w:val="24"/>
        </w:rPr>
      </w:pPr>
      <w:r w:rsidRPr="00110928">
        <w:rPr>
          <w:rFonts w:ascii="Times New Roman" w:hAnsi="Times New Roman"/>
          <w:color w:val="auto"/>
          <w:sz w:val="24"/>
          <w:szCs w:val="24"/>
        </w:rPr>
        <w:tab/>
        <w:t>The survey is also posted on Treasury’s website for informational purposes.</w:t>
      </w:r>
      <w:r w:rsidR="00161E40">
        <w:rPr>
          <w:rFonts w:ascii="Times New Roman" w:hAnsi="Times New Roman"/>
          <w:color w:val="auto"/>
          <w:sz w:val="24"/>
          <w:szCs w:val="24"/>
        </w:rPr>
        <w:t xml:space="preserve"> </w:t>
      </w:r>
      <w:hyperlink r:id="rId9" w:history="1">
        <w:r w:rsidRPr="002604DF" w:rsidR="00161E40">
          <w:rPr>
            <w:rStyle w:val="Hyperlink"/>
            <w:rFonts w:ascii="Times New Roman" w:hAnsi="Times New Roman"/>
            <w:sz w:val="24"/>
            <w:szCs w:val="24"/>
          </w:rPr>
          <w:t>https://www.treasury.gov/resource-center/data-chart-center/quarterly-refunding/Pages/default.aspx</w:t>
        </w:r>
      </w:hyperlink>
    </w:p>
    <w:p w:rsidR="00432C2B" w:rsidRPr="00110928" w:rsidP="00BC5EF3" w14:paraId="2E60F58F" w14:textId="77777777">
      <w:pPr>
        <w:numPr>
          <w:ilvl w:val="0"/>
          <w:numId w:val="10"/>
        </w:numPr>
        <w:tabs>
          <w:tab w:val="clear" w:pos="360"/>
          <w:tab w:val="left" w:pos="540"/>
        </w:tabs>
        <w:spacing w:before="120" w:after="120"/>
        <w:ind w:left="540" w:hanging="540"/>
        <w:rPr>
          <w:b/>
          <w:bCs/>
        </w:rPr>
      </w:pPr>
      <w:r w:rsidRPr="00110928">
        <w:rPr>
          <w:b/>
          <w:bCs/>
        </w:rPr>
        <w:t>Consideration Given to Information Technology.</w:t>
      </w:r>
    </w:p>
    <w:p w:rsidR="00200A74" w:rsidRPr="00110928" w:rsidP="00200A74" w14:paraId="58B9347B" w14:textId="2259D09F">
      <w:pPr>
        <w:tabs>
          <w:tab w:val="left" w:pos="540"/>
        </w:tabs>
        <w:spacing w:before="120" w:after="120"/>
        <w:ind w:left="540" w:hanging="540"/>
        <w:jc w:val="both"/>
      </w:pPr>
      <w:r w:rsidRPr="00110928">
        <w:rPr>
          <w:color w:val="3366FF"/>
        </w:rPr>
        <w:tab/>
      </w:r>
      <w:r w:rsidRPr="00110928" w:rsidR="00E66A74">
        <w:t>The survey is sent only via email, and completed responses are received only via email.</w:t>
      </w:r>
    </w:p>
    <w:p w:rsidR="00432C2B" w:rsidRPr="00110928" w:rsidP="00432C2B" w14:paraId="541F421A" w14:textId="77777777">
      <w:pPr>
        <w:numPr>
          <w:ilvl w:val="0"/>
          <w:numId w:val="10"/>
        </w:numPr>
        <w:tabs>
          <w:tab w:val="clear" w:pos="360"/>
          <w:tab w:val="num" w:pos="540"/>
        </w:tabs>
        <w:spacing w:before="120" w:after="120"/>
        <w:ind w:left="540" w:hanging="540"/>
        <w:jc w:val="both"/>
        <w:rPr>
          <w:b/>
          <w:bCs/>
        </w:rPr>
      </w:pPr>
      <w:r w:rsidRPr="00110928">
        <w:rPr>
          <w:b/>
          <w:bCs/>
        </w:rPr>
        <w:t>Duplication of Information.</w:t>
      </w:r>
    </w:p>
    <w:p w:rsidR="00890057" w:rsidRPr="00110928" w:rsidP="00110928" w14:paraId="4E37BD1B" w14:textId="77777777">
      <w:pPr>
        <w:tabs>
          <w:tab w:val="left" w:pos="540"/>
        </w:tabs>
        <w:spacing w:before="120" w:after="120"/>
        <w:ind w:left="540"/>
        <w:jc w:val="both"/>
        <w:rPr>
          <w:color w:val="3366CC"/>
        </w:rPr>
      </w:pPr>
      <w:r w:rsidRPr="00110928">
        <w:t>Treasury is not aware of</w:t>
      </w:r>
      <w:r w:rsidRPr="00110928" w:rsidR="00E7541A">
        <w:t xml:space="preserve"> similar information </w:t>
      </w:r>
      <w:r w:rsidRPr="00110928" w:rsidR="00AC3441">
        <w:t xml:space="preserve">that is </w:t>
      </w:r>
      <w:r w:rsidRPr="00110928" w:rsidR="00E7541A">
        <w:t>available</w:t>
      </w:r>
      <w:r w:rsidRPr="00110928" w:rsidR="00AC3441">
        <w:t xml:space="preserve"> </w:t>
      </w:r>
      <w:r w:rsidRPr="00110928" w:rsidR="009E4E41">
        <w:t>elsewhere</w:t>
      </w:r>
      <w:r w:rsidRPr="00110928">
        <w:t xml:space="preserve"> nor does it believe that similar information is being collected through another source. The purpose of this survey and information collected is specific to the policy objectives of the Office of Financial Markets within Treasury.</w:t>
      </w:r>
    </w:p>
    <w:p w:rsidR="00432C2B" w:rsidRPr="00110928" w:rsidP="00432C2B" w14:paraId="4B5E9098" w14:textId="77777777">
      <w:pPr>
        <w:numPr>
          <w:ilvl w:val="0"/>
          <w:numId w:val="10"/>
        </w:numPr>
        <w:tabs>
          <w:tab w:val="left" w:pos="540"/>
        </w:tabs>
        <w:spacing w:before="120" w:after="120"/>
        <w:jc w:val="both"/>
        <w:rPr>
          <w:b/>
          <w:bCs/>
        </w:rPr>
      </w:pPr>
      <w:r w:rsidRPr="00110928">
        <w:rPr>
          <w:b/>
          <w:color w:val="000000"/>
        </w:rPr>
        <w:t>Reducing the Burden on Small Enti</w:t>
      </w:r>
      <w:r w:rsidRPr="00110928">
        <w:rPr>
          <w:b/>
          <w:bCs/>
        </w:rPr>
        <w:t xml:space="preserve">ties. </w:t>
      </w:r>
    </w:p>
    <w:p w:rsidR="00161E40" w:rsidP="00161E40" w14:paraId="05DE049E" w14:textId="77777777">
      <w:pPr>
        <w:tabs>
          <w:tab w:val="left" w:pos="540"/>
        </w:tabs>
        <w:spacing w:before="120" w:after="120"/>
        <w:ind w:left="540" w:hanging="540"/>
      </w:pPr>
      <w:r w:rsidRPr="00110928">
        <w:rPr>
          <w:color w:val="3366CC"/>
        </w:rPr>
        <w:tab/>
      </w:r>
      <w:r w:rsidRPr="00110928" w:rsidR="00763AB9">
        <w:t xml:space="preserve">Primary </w:t>
      </w:r>
      <w:r w:rsidRPr="00110928" w:rsidR="00AC3441">
        <w:t>d</w:t>
      </w:r>
      <w:r w:rsidRPr="00110928" w:rsidR="00763AB9">
        <w:t xml:space="preserve">ealers are large, financial </w:t>
      </w:r>
      <w:r w:rsidRPr="00110928" w:rsidR="00716B41">
        <w:t>institutions</w:t>
      </w:r>
      <w:r w:rsidRPr="00110928" w:rsidR="00592FB6">
        <w:t>.  T</w:t>
      </w:r>
      <w:r w:rsidRPr="00110928" w:rsidR="00716B41">
        <w:t>here is no impact on small businesses or other small entities.</w:t>
      </w:r>
      <w:r>
        <w:t xml:space="preserve"> The requirements for becoming a primary dealer are listed on FRBNY’s website, and indicate that the dealer must be a significant institution in the </w:t>
      </w:r>
      <w:r w:rsidR="001425D4">
        <w:t>Treasury market:</w:t>
      </w:r>
    </w:p>
    <w:p w:rsidR="001425D4" w:rsidRPr="001425D4" w:rsidP="001425D4" w14:paraId="3163DC5E" w14:textId="77777777">
      <w:pPr>
        <w:widowControl/>
        <w:autoSpaceDE/>
        <w:autoSpaceDN/>
        <w:adjustRightInd/>
        <w:spacing w:line="270" w:lineRule="atLeast"/>
        <w:ind w:left="1080"/>
      </w:pPr>
      <w:r>
        <w:t>“</w:t>
      </w:r>
      <w:r w:rsidRPr="001425D4">
        <w:t>In order to be eligible as a primary dealer, a firm must:</w:t>
      </w:r>
    </w:p>
    <w:p w:rsidR="001425D4" w:rsidP="001425D4" w14:paraId="5F09DA1D" w14:textId="77777777">
      <w:pPr>
        <w:widowControl/>
        <w:autoSpaceDE/>
        <w:autoSpaceDN/>
        <w:adjustRightInd/>
        <w:spacing w:line="270" w:lineRule="atLeast"/>
        <w:ind w:left="1080"/>
        <w:rPr>
          <w:rFonts w:ascii="Georgia" w:hAnsi="Georgia"/>
          <w:color w:val="42515A"/>
          <w:sz w:val="21"/>
          <w:szCs w:val="21"/>
        </w:rPr>
      </w:pPr>
    </w:p>
    <w:p w:rsidR="00161E40" w:rsidRPr="00161E40" w:rsidP="001425D4" w14:paraId="18016DD1" w14:textId="77777777">
      <w:pPr>
        <w:widowControl/>
        <w:autoSpaceDE/>
        <w:autoSpaceDN/>
        <w:adjustRightInd/>
        <w:spacing w:line="270" w:lineRule="atLeast"/>
        <w:ind w:left="1080"/>
      </w:pPr>
      <w:r w:rsidRPr="00161E40">
        <w:t>Be either (1) a broker-dealer or government securities broker-dealer, registered with and supervised by the Securities and Exchange Commission (SEC) and approved as a member of the Financial Industry Regulatory Authority, Inc., and that has net regulatory capital of at least $50 million or (2) a state or federally chartered bank or savings association (or a state or federally licensed branch or agency of a foreign bank) that is subject to bank supervision, and that maintains at least $1 billion in Tier 1 capital.</w:t>
      </w:r>
      <w:r w:rsidRPr="00161E40" w:rsidR="001425D4">
        <w:t xml:space="preserve"> </w:t>
      </w:r>
    </w:p>
    <w:p w:rsidR="00161E40" w:rsidP="00161E40" w14:paraId="09DEB841" w14:textId="77777777">
      <w:pPr>
        <w:widowControl/>
        <w:autoSpaceDE/>
        <w:autoSpaceDN/>
        <w:adjustRightInd/>
        <w:spacing w:line="270" w:lineRule="atLeast"/>
        <w:ind w:left="360"/>
      </w:pPr>
    </w:p>
    <w:p w:rsidR="00161E40" w:rsidP="001425D4" w14:paraId="404F5A79" w14:textId="77777777">
      <w:pPr>
        <w:widowControl/>
        <w:autoSpaceDE/>
        <w:autoSpaceDN/>
        <w:adjustRightInd/>
        <w:spacing w:line="270" w:lineRule="atLeast"/>
        <w:ind w:left="1080"/>
      </w:pPr>
      <w:r w:rsidRPr="00161E40">
        <w:t>Demonstrate a substantial presence as a market maker that provides two-way liquidity in U.S. government securities, particularly Treasury cash and repo operations, for at least one year prior to the application date</w:t>
      </w:r>
      <w:r w:rsidR="001425D4">
        <w:t xml:space="preserve">.” </w:t>
      </w:r>
    </w:p>
    <w:p w:rsidR="001425D4" w:rsidP="001425D4" w14:paraId="3F4EAB06" w14:textId="77777777">
      <w:pPr>
        <w:widowControl/>
        <w:autoSpaceDE/>
        <w:autoSpaceDN/>
        <w:adjustRightInd/>
        <w:spacing w:line="270" w:lineRule="atLeast"/>
        <w:ind w:left="1080"/>
      </w:pPr>
      <w:hyperlink r:id="rId11" w:history="1">
        <w:r w:rsidRPr="002604DF">
          <w:rPr>
            <w:rStyle w:val="Hyperlink"/>
          </w:rPr>
          <w:t>https://www.newyorkfed.org/markets/primarydealers</w:t>
        </w:r>
      </w:hyperlink>
    </w:p>
    <w:p w:rsidR="001425D4" w:rsidRPr="00161E40" w:rsidP="001425D4" w14:paraId="4803E191" w14:textId="77777777">
      <w:pPr>
        <w:widowControl/>
        <w:autoSpaceDE/>
        <w:autoSpaceDN/>
        <w:adjustRightInd/>
        <w:spacing w:line="270" w:lineRule="atLeast"/>
        <w:ind w:left="1080"/>
      </w:pPr>
    </w:p>
    <w:p w:rsidR="00432C2B" w:rsidRPr="00110928" w:rsidP="00432C2B" w14:paraId="57F15017" w14:textId="77777777">
      <w:pPr>
        <w:numPr>
          <w:ilvl w:val="0"/>
          <w:numId w:val="10"/>
        </w:numPr>
        <w:tabs>
          <w:tab w:val="left" w:pos="540"/>
        </w:tabs>
        <w:spacing w:before="120" w:after="120"/>
        <w:rPr>
          <w:b/>
          <w:bCs/>
        </w:rPr>
      </w:pPr>
      <w:r w:rsidRPr="00110928">
        <w:rPr>
          <w:b/>
          <w:bCs/>
        </w:rPr>
        <w:t>Consequences of Not Conducting Collection.</w:t>
      </w:r>
    </w:p>
    <w:p w:rsidR="00890057" w:rsidRPr="009E4E41" w:rsidP="00110928" w14:paraId="5F9A6915" w14:textId="22398E89">
      <w:pPr>
        <w:tabs>
          <w:tab w:val="left" w:pos="540"/>
        </w:tabs>
        <w:spacing w:before="120" w:after="120"/>
        <w:ind w:left="540" w:hanging="540"/>
      </w:pPr>
      <w:r w:rsidRPr="00110928">
        <w:rPr>
          <w:bCs/>
          <w:color w:val="3366CC"/>
        </w:rPr>
        <w:tab/>
      </w:r>
      <w:r w:rsidRPr="00110928" w:rsidR="00507E5C">
        <w:t>If this information were not collected,</w:t>
      </w:r>
      <w:r w:rsidR="00B8508C">
        <w:t xml:space="preserve"> or collected less frequently,</w:t>
      </w:r>
      <w:r w:rsidRPr="00110928" w:rsidR="00507E5C">
        <w:t xml:space="preserve"> Treasury would not have insight into market expectations for debt issuance or other </w:t>
      </w:r>
      <w:r w:rsidRPr="00110928" w:rsidR="00592FB6">
        <w:t xml:space="preserve">fiscal </w:t>
      </w:r>
      <w:r w:rsidRPr="00110928" w:rsidR="00507E5C">
        <w:t xml:space="preserve">policy initiatives, nor would the public have the aggregate </w:t>
      </w:r>
      <w:r w:rsidR="00924AF9">
        <w:t>information</w:t>
      </w:r>
      <w:r w:rsidRPr="00110928" w:rsidR="00924AF9">
        <w:t xml:space="preserve"> </w:t>
      </w:r>
      <w:r w:rsidRPr="00110928" w:rsidR="00507E5C">
        <w:t xml:space="preserve">published after the collection. When making policy decisions, Treasury </w:t>
      </w:r>
      <w:r w:rsidRPr="00110928" w:rsidR="00507E5C">
        <w:t>takes into account</w:t>
      </w:r>
      <w:r w:rsidRPr="00110928" w:rsidR="00507E5C">
        <w:t xml:space="preserve"> market expectations to better understand market demand for Treasury securities, capacity to absorb additional issuance when applicable, and</w:t>
      </w:r>
      <w:r w:rsidRPr="009E4E41" w:rsidR="00507E5C">
        <w:t xml:space="preserve"> the magnitude of risk from announcing policies in contrast to expectations.</w:t>
      </w:r>
      <w:r w:rsidR="00896096">
        <w:t xml:space="preserve"> Without this information, Treasury’s goal of financing the government at the lowest cost to the taxpayer would be at risk.</w:t>
      </w:r>
    </w:p>
    <w:p w:rsidR="00432C2B" w:rsidRPr="009E4E41" w:rsidP="00432C2B" w14:paraId="41BE2598" w14:textId="77777777">
      <w:pPr>
        <w:numPr>
          <w:ilvl w:val="0"/>
          <w:numId w:val="10"/>
        </w:numPr>
        <w:tabs>
          <w:tab w:val="clear" w:pos="360"/>
          <w:tab w:val="num" w:pos="540"/>
        </w:tabs>
        <w:spacing w:before="120" w:after="120"/>
        <w:ind w:left="540" w:hanging="540"/>
        <w:rPr>
          <w:b/>
          <w:bCs/>
        </w:rPr>
      </w:pPr>
      <w:r w:rsidRPr="009E4E41">
        <w:rPr>
          <w:b/>
          <w:bCs/>
        </w:rPr>
        <w:t>Special Circumstances.</w:t>
      </w:r>
    </w:p>
    <w:p w:rsidR="00896096" w:rsidRPr="009E4E41" w:rsidP="00896096" w14:paraId="36B4FF54" w14:textId="77777777">
      <w:pPr>
        <w:tabs>
          <w:tab w:val="left" w:pos="540"/>
        </w:tabs>
        <w:spacing w:before="120" w:after="120"/>
        <w:ind w:left="540" w:hanging="540"/>
        <w:rPr>
          <w:color w:val="000000"/>
        </w:rPr>
      </w:pPr>
      <w:r w:rsidRPr="009E4E41">
        <w:rPr>
          <w:bCs/>
          <w:color w:val="3366CC"/>
        </w:rPr>
        <w:tab/>
      </w:r>
      <w:r w:rsidRPr="00896096" w:rsidR="00592FB6">
        <w:rPr>
          <w:bCs/>
        </w:rPr>
        <w:t>Primary dealers</w:t>
      </w:r>
      <w:r w:rsidRPr="00896096" w:rsidR="004F1A61">
        <w:rPr>
          <w:bCs/>
        </w:rPr>
        <w:t xml:space="preserve"> are</w:t>
      </w:r>
      <w:r w:rsidRPr="009E4E41" w:rsidR="004F1A61">
        <w:rPr>
          <w:bCs/>
        </w:rPr>
        <w:t xml:space="preserve"> given 1.5 weeks to provide a response. The turnaround time ensures that information on debt issuance or other policy priorities is timely for use in finalizing decisions just prior to the Quarterly Refunding.</w:t>
      </w:r>
      <w:r>
        <w:rPr>
          <w:bCs/>
        </w:rPr>
        <w:t xml:space="preserve"> </w:t>
      </w:r>
      <w:r w:rsidRPr="009E4E41">
        <w:rPr>
          <w:color w:val="000000"/>
        </w:rPr>
        <w:t>The information provided is consistent with information gathered as part of the normal course of business for respondents.</w:t>
      </w:r>
    </w:p>
    <w:p w:rsidR="00C37CD8" w:rsidRPr="009E4E41" w:rsidP="00F8418A" w14:paraId="58B3FB74" w14:textId="77777777">
      <w:pPr>
        <w:tabs>
          <w:tab w:val="left" w:pos="540"/>
        </w:tabs>
        <w:spacing w:before="120" w:after="120"/>
        <w:ind w:left="540"/>
        <w:jc w:val="both"/>
      </w:pPr>
      <w:r w:rsidRPr="009E4E41">
        <w:t>There are no other special circumstances.  The collection of information is conducted in a manner consistent with the guidelines in 5 CFR 1320.6.</w:t>
      </w:r>
    </w:p>
    <w:p w:rsidR="00432C2B" w:rsidRPr="009E4E41" w:rsidP="00F8418A" w14:paraId="0BC264FD" w14:textId="77777777">
      <w:pPr>
        <w:numPr>
          <w:ilvl w:val="0"/>
          <w:numId w:val="10"/>
        </w:numPr>
        <w:tabs>
          <w:tab w:val="clear" w:pos="360"/>
          <w:tab w:val="left" w:pos="540"/>
        </w:tabs>
        <w:spacing w:before="120" w:after="120"/>
        <w:ind w:left="540" w:hanging="540"/>
        <w:jc w:val="both"/>
        <w:rPr>
          <w:b/>
          <w:bCs/>
        </w:rPr>
      </w:pPr>
      <w:r w:rsidRPr="009E4E41">
        <w:rPr>
          <w:b/>
          <w:bCs/>
        </w:rPr>
        <w:t>Consultations with Persons Outside the Agency.</w:t>
      </w:r>
    </w:p>
    <w:p w:rsidR="00627CD0" w:rsidP="009562E0" w14:paraId="4D177C27" w14:textId="77777777">
      <w:pPr>
        <w:tabs>
          <w:tab w:val="left" w:pos="540"/>
        </w:tabs>
        <w:spacing w:before="120" w:after="120"/>
        <w:ind w:left="540"/>
        <w:jc w:val="both"/>
      </w:pPr>
      <w:r w:rsidRPr="007D6354">
        <w:t xml:space="preserve">Treasury </w:t>
      </w:r>
      <w:r>
        <w:t xml:space="preserve">and </w:t>
      </w:r>
      <w:r>
        <w:t xml:space="preserve">the </w:t>
      </w:r>
      <w:r w:rsidRPr="007D6354">
        <w:t>FRBNY</w:t>
      </w:r>
      <w:r w:rsidRPr="007D6354">
        <w:t xml:space="preserve"> </w:t>
      </w:r>
      <w:r w:rsidRPr="3E8CFF1E">
        <w:t xml:space="preserve">have regular interaction with the primary dealers and a general understanding that </w:t>
      </w:r>
      <w:r w:rsidR="00384CD8">
        <w:t xml:space="preserve">the primary </w:t>
      </w:r>
      <w:r w:rsidRPr="3E8CFF1E">
        <w:t>dealers have established processes to provide this information to Treasury on a regular basis.</w:t>
      </w:r>
    </w:p>
    <w:p w:rsidR="00384CD8" w:rsidRPr="009562E0" w:rsidP="009562E0" w14:paraId="2FE24EE2" w14:textId="6CC7EE8D">
      <w:pPr>
        <w:tabs>
          <w:tab w:val="left" w:pos="540"/>
        </w:tabs>
        <w:spacing w:before="120" w:after="120"/>
        <w:ind w:left="540"/>
        <w:jc w:val="both"/>
        <w:rPr>
          <w:b/>
          <w:bCs/>
        </w:rPr>
      </w:pPr>
      <w:r>
        <w:t xml:space="preserve">Public comment </w:t>
      </w:r>
      <w:r w:rsidR="003C4D61">
        <w:t xml:space="preserve">on this collection </w:t>
      </w:r>
      <w:r>
        <w:t>was solicited for 60 days via a</w:t>
      </w:r>
      <w:r w:rsidR="003C4D61">
        <w:t xml:space="preserve"> notice published in the </w:t>
      </w:r>
      <w:r w:rsidRPr="00707BDE" w:rsidR="003C4D61">
        <w:rPr>
          <w:i/>
          <w:iCs/>
        </w:rPr>
        <w:t>Federal Register</w:t>
      </w:r>
      <w:r w:rsidR="003C4D61">
        <w:t xml:space="preserve"> on Nov 24, 2025 (90 FR </w:t>
      </w:r>
      <w:r w:rsidR="00707BDE">
        <w:t>53063). No comments were received.</w:t>
      </w:r>
      <w:r>
        <w:t xml:space="preserve"> </w:t>
      </w:r>
    </w:p>
    <w:p w:rsidR="00432C2B" w:rsidRPr="009E4E41" w:rsidP="00432C2B" w14:paraId="5D955A48" w14:textId="48F9BD5C">
      <w:pPr>
        <w:numPr>
          <w:ilvl w:val="0"/>
          <w:numId w:val="10"/>
        </w:numPr>
        <w:tabs>
          <w:tab w:val="clear" w:pos="360"/>
          <w:tab w:val="left" w:pos="540"/>
        </w:tabs>
        <w:spacing w:before="120" w:after="120"/>
        <w:ind w:left="540" w:hanging="540"/>
        <w:jc w:val="both"/>
        <w:rPr>
          <w:b/>
          <w:bCs/>
        </w:rPr>
      </w:pPr>
      <w:r w:rsidRPr="009E4E41">
        <w:rPr>
          <w:b/>
          <w:bCs/>
        </w:rPr>
        <w:t>Payment or Gift.</w:t>
      </w:r>
    </w:p>
    <w:p w:rsidR="00890057" w:rsidRPr="009E4E41" w:rsidP="00C80AA3" w14:paraId="45B55519" w14:textId="77777777">
      <w:pPr>
        <w:tabs>
          <w:tab w:val="left" w:pos="540"/>
        </w:tabs>
        <w:spacing w:before="120" w:after="120"/>
        <w:ind w:left="540" w:hanging="540"/>
      </w:pPr>
      <w:r w:rsidRPr="009E4E41">
        <w:rPr>
          <w:color w:val="3366FF"/>
        </w:rPr>
        <w:tab/>
      </w:r>
      <w:r w:rsidRPr="009E4E41" w:rsidR="008F1D6B">
        <w:t>No payment or gift is provided.</w:t>
      </w:r>
    </w:p>
    <w:p w:rsidR="00432C2B" w:rsidRPr="009E4E41" w:rsidP="00432C2B" w14:paraId="588E6ADC" w14:textId="77777777">
      <w:pPr>
        <w:numPr>
          <w:ilvl w:val="0"/>
          <w:numId w:val="10"/>
        </w:numPr>
        <w:tabs>
          <w:tab w:val="clear" w:pos="360"/>
          <w:tab w:val="left" w:pos="540"/>
        </w:tabs>
        <w:spacing w:before="120" w:after="120"/>
        <w:ind w:left="540" w:hanging="540"/>
        <w:jc w:val="both"/>
        <w:rPr>
          <w:b/>
          <w:bCs/>
        </w:rPr>
      </w:pPr>
      <w:r w:rsidRPr="009E4E41">
        <w:rPr>
          <w:b/>
          <w:bCs/>
        </w:rPr>
        <w:t>Confidentiality.</w:t>
      </w:r>
    </w:p>
    <w:p w:rsidR="00896096" w:rsidRPr="00896096" w:rsidP="00110928" w14:paraId="6AA65E66" w14:textId="151DDD89">
      <w:pPr>
        <w:tabs>
          <w:tab w:val="left" w:pos="540"/>
        </w:tabs>
        <w:spacing w:before="120" w:after="120"/>
        <w:ind w:left="540" w:hanging="540"/>
      </w:pPr>
      <w:r w:rsidRPr="009E4E41">
        <w:rPr>
          <w:b/>
          <w:bCs/>
        </w:rPr>
        <w:tab/>
      </w:r>
      <w:r w:rsidRPr="00896096">
        <w:rPr>
          <w:bCs/>
        </w:rPr>
        <w:t>Treasury does not provide any assurance of confidentiality.</w:t>
      </w:r>
      <w:r w:rsidRPr="00896096">
        <w:t xml:space="preserve"> While some primary dealers will publish their own responses for clients, Treasury’s </w:t>
      </w:r>
      <w:r w:rsidR="00384CD8">
        <w:t xml:space="preserve">typical </w:t>
      </w:r>
      <w:r w:rsidRPr="00896096">
        <w:t xml:space="preserve">practice is to report only aggregate </w:t>
      </w:r>
      <w:r w:rsidR="00384CD8">
        <w:t>information</w:t>
      </w:r>
      <w:r w:rsidRPr="00896096" w:rsidR="00384CD8">
        <w:t xml:space="preserve"> </w:t>
      </w:r>
      <w:r w:rsidRPr="00896096">
        <w:t>to the public.</w:t>
      </w:r>
    </w:p>
    <w:p w:rsidR="00432C2B" w:rsidRPr="009E4E41" w:rsidP="004233FA" w14:paraId="4EFCD296" w14:textId="77777777">
      <w:pPr>
        <w:tabs>
          <w:tab w:val="left" w:pos="540"/>
        </w:tabs>
        <w:spacing w:before="120" w:after="120"/>
        <w:rPr>
          <w:color w:val="3366FF"/>
        </w:rPr>
      </w:pPr>
      <w:r>
        <w:rPr>
          <w:b/>
          <w:bCs/>
        </w:rPr>
        <w:t xml:space="preserve">11. </w:t>
      </w:r>
      <w:r w:rsidRPr="009E4E41">
        <w:rPr>
          <w:b/>
          <w:bCs/>
        </w:rPr>
        <w:t xml:space="preserve">Questions </w:t>
      </w:r>
      <w:r w:rsidRPr="009E4E41">
        <w:rPr>
          <w:b/>
          <w:bCs/>
        </w:rPr>
        <w:t>of</w:t>
      </w:r>
      <w:r w:rsidRPr="009E4E41">
        <w:rPr>
          <w:b/>
          <w:bCs/>
        </w:rPr>
        <w:t xml:space="preserve"> a Sensitive Nature.</w:t>
      </w:r>
    </w:p>
    <w:p w:rsidR="00F32E26" w:rsidRPr="009E4E41" w:rsidP="00110928" w14:paraId="5427A2AD" w14:textId="77777777">
      <w:pPr>
        <w:tabs>
          <w:tab w:val="left" w:pos="-720"/>
        </w:tabs>
        <w:suppressAutoHyphens/>
        <w:ind w:left="540"/>
      </w:pPr>
      <w:r w:rsidRPr="00110928">
        <w:t xml:space="preserve">Treasury does not handle any personally identifiable information associated with the </w:t>
      </w:r>
      <w:r w:rsidR="00896096">
        <w:t>agenda.</w:t>
      </w:r>
      <w:r w:rsidRPr="009E4E41">
        <w:t xml:space="preserve"> </w:t>
      </w:r>
    </w:p>
    <w:p w:rsidR="00F32E26" w:rsidRPr="009E4E41" w:rsidP="00F32E26" w14:paraId="0F98AD0E" w14:textId="77777777">
      <w:pPr>
        <w:tabs>
          <w:tab w:val="left" w:pos="-720"/>
        </w:tabs>
        <w:suppressAutoHyphens/>
      </w:pPr>
    </w:p>
    <w:p w:rsidR="00F32E26" w:rsidP="00896096" w14:paraId="6F339C45" w14:textId="35C89A5A">
      <w:pPr>
        <w:tabs>
          <w:tab w:val="left" w:pos="-720"/>
        </w:tabs>
        <w:suppressAutoHyphens/>
        <w:ind w:left="540"/>
      </w:pPr>
      <w:r w:rsidRPr="00275544">
        <w:t>No questions of a sensitive nature will be asked.</w:t>
      </w:r>
    </w:p>
    <w:p w:rsidR="00896096" w:rsidRPr="009E4E41" w:rsidP="00896096" w14:paraId="29FEE706" w14:textId="77777777">
      <w:pPr>
        <w:tabs>
          <w:tab w:val="left" w:pos="-720"/>
        </w:tabs>
        <w:suppressAutoHyphens/>
        <w:ind w:left="540"/>
      </w:pPr>
    </w:p>
    <w:p w:rsidR="00896096" w:rsidRPr="00896096" w:rsidP="00EF7076" w14:paraId="32F190A5" w14:textId="77777777">
      <w:pPr>
        <w:numPr>
          <w:ilvl w:val="0"/>
          <w:numId w:val="35"/>
        </w:numPr>
        <w:tabs>
          <w:tab w:val="left" w:pos="540"/>
        </w:tabs>
        <w:spacing w:before="120" w:after="120"/>
        <w:ind w:left="540" w:hanging="540"/>
        <w:jc w:val="both"/>
        <w:rPr>
          <w:bCs/>
        </w:rPr>
      </w:pPr>
      <w:r w:rsidRPr="00896096">
        <w:rPr>
          <w:b/>
        </w:rPr>
        <w:t>Burden of Information Collection.</w:t>
      </w:r>
    </w:p>
    <w:tbl>
      <w:tblPr>
        <w:tblW w:w="9384" w:type="dxa"/>
        <w:jc w:val="center"/>
        <w:tblLook w:val="04A0"/>
      </w:tblPr>
      <w:tblGrid>
        <w:gridCol w:w="1524"/>
        <w:gridCol w:w="1310"/>
        <w:gridCol w:w="1329"/>
        <w:gridCol w:w="1177"/>
        <w:gridCol w:w="1537"/>
        <w:gridCol w:w="1211"/>
        <w:gridCol w:w="1296"/>
      </w:tblGrid>
      <w:tr w14:paraId="38BAD4A4" w14:textId="77777777" w:rsidTr="002C048F">
        <w:tblPrEx>
          <w:tblW w:w="9384" w:type="dxa"/>
          <w:jc w:val="center"/>
          <w:tblLook w:val="04A0"/>
        </w:tblPrEx>
        <w:trPr>
          <w:trHeight w:val="600"/>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48F" w:rsidRPr="009E4E41" w:rsidP="002C048F" w14:paraId="7846DE02" w14:textId="77777777">
            <w:pPr>
              <w:widowControl/>
              <w:autoSpaceDE/>
              <w:autoSpaceDN/>
              <w:adjustRightInd/>
              <w:jc w:val="center"/>
              <w:rPr>
                <w:b/>
                <w:bCs/>
                <w:color w:val="000000"/>
              </w:rPr>
            </w:pPr>
            <w:r w:rsidRPr="009E4E41">
              <w:rPr>
                <w:b/>
                <w:bCs/>
                <w:color w:val="000000"/>
              </w:rPr>
              <w:t>Respondents</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2C048F" w:rsidRPr="009E4E41" w:rsidP="002C048F" w14:paraId="51BFEB49" w14:textId="77777777">
            <w:pPr>
              <w:widowControl/>
              <w:autoSpaceDE/>
              <w:autoSpaceDN/>
              <w:adjustRightInd/>
              <w:jc w:val="center"/>
              <w:rPr>
                <w:b/>
                <w:bCs/>
                <w:color w:val="000000"/>
              </w:rPr>
            </w:pPr>
            <w:r w:rsidRPr="009E4E41">
              <w:rPr>
                <w:b/>
                <w:bCs/>
                <w:color w:val="000000"/>
              </w:rPr>
              <w:t>Frequency</w:t>
            </w:r>
          </w:p>
        </w:tc>
        <w:tc>
          <w:tcPr>
            <w:tcW w:w="1343" w:type="dxa"/>
            <w:tcBorders>
              <w:top w:val="single" w:sz="4" w:space="0" w:color="auto"/>
              <w:left w:val="nil"/>
              <w:bottom w:val="single" w:sz="4" w:space="0" w:color="auto"/>
              <w:right w:val="single" w:sz="4" w:space="0" w:color="auto"/>
            </w:tcBorders>
            <w:vAlign w:val="center"/>
          </w:tcPr>
          <w:p w:rsidR="002C048F" w:rsidRPr="009E4E41" w:rsidP="002C048F" w14:paraId="4AB23366" w14:textId="77777777">
            <w:pPr>
              <w:widowControl/>
              <w:autoSpaceDE/>
              <w:autoSpaceDN/>
              <w:adjustRightInd/>
              <w:jc w:val="center"/>
              <w:rPr>
                <w:b/>
                <w:bCs/>
                <w:color w:val="000000"/>
              </w:rPr>
            </w:pPr>
            <w:r>
              <w:rPr>
                <w:b/>
                <w:bCs/>
                <w:color w:val="000000"/>
              </w:rPr>
              <w:t>Total Annual Responses</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48F" w:rsidRPr="009E4E41" w:rsidP="002C048F" w14:paraId="316AAEC4" w14:textId="77777777">
            <w:pPr>
              <w:widowControl/>
              <w:autoSpaceDE/>
              <w:autoSpaceDN/>
              <w:adjustRightInd/>
              <w:jc w:val="center"/>
              <w:rPr>
                <w:b/>
                <w:bCs/>
                <w:color w:val="000000"/>
              </w:rPr>
            </w:pPr>
            <w:r>
              <w:rPr>
                <w:b/>
                <w:bCs/>
                <w:color w:val="000000"/>
              </w:rPr>
              <w:t>Time</w:t>
            </w:r>
            <w:r>
              <w:rPr>
                <w:b/>
                <w:bCs/>
                <w:color w:val="000000"/>
              </w:rPr>
              <w:br/>
              <w:t>Per Response</w:t>
            </w:r>
          </w:p>
        </w:tc>
        <w:tc>
          <w:tcPr>
            <w:tcW w:w="1662" w:type="dxa"/>
            <w:tcBorders>
              <w:top w:val="single" w:sz="4" w:space="0" w:color="auto"/>
              <w:left w:val="nil"/>
              <w:bottom w:val="single" w:sz="4" w:space="0" w:color="auto"/>
              <w:right w:val="single" w:sz="4" w:space="0" w:color="auto"/>
            </w:tcBorders>
            <w:vAlign w:val="center"/>
          </w:tcPr>
          <w:p w:rsidR="002C048F" w:rsidP="002C048F" w14:paraId="64BF5F75" w14:textId="77777777">
            <w:pPr>
              <w:widowControl/>
              <w:autoSpaceDE/>
              <w:autoSpaceDN/>
              <w:adjustRightInd/>
              <w:jc w:val="center"/>
              <w:rPr>
                <w:b/>
                <w:bCs/>
                <w:color w:val="000000"/>
              </w:rPr>
            </w:pPr>
            <w:r>
              <w:rPr>
                <w:b/>
                <w:bCs/>
                <w:color w:val="000000"/>
              </w:rPr>
              <w:t>Total Annual Hour Burden</w:t>
            </w:r>
          </w:p>
        </w:tc>
        <w:tc>
          <w:tcPr>
            <w:tcW w:w="1260" w:type="dxa"/>
            <w:tcBorders>
              <w:top w:val="single" w:sz="4" w:space="0" w:color="auto"/>
              <w:left w:val="nil"/>
              <w:bottom w:val="single" w:sz="4" w:space="0" w:color="auto"/>
              <w:right w:val="single" w:sz="4" w:space="0" w:color="auto"/>
            </w:tcBorders>
            <w:vAlign w:val="center"/>
          </w:tcPr>
          <w:p w:rsidR="002C048F" w:rsidRPr="009E4E41" w:rsidP="002C048F" w14:paraId="1CBDE592" w14:textId="77777777">
            <w:pPr>
              <w:widowControl/>
              <w:autoSpaceDE/>
              <w:autoSpaceDN/>
              <w:adjustRightInd/>
              <w:jc w:val="center"/>
              <w:rPr>
                <w:b/>
                <w:bCs/>
                <w:color w:val="000000"/>
              </w:rPr>
            </w:pPr>
            <w:r>
              <w:rPr>
                <w:b/>
                <w:bCs/>
                <w:color w:val="000000"/>
              </w:rPr>
              <w:t xml:space="preserve">Labor </w:t>
            </w:r>
            <w:r w:rsidRPr="009E4E41">
              <w:rPr>
                <w:b/>
                <w:bCs/>
                <w:color w:val="000000"/>
              </w:rPr>
              <w:t>Cost</w:t>
            </w:r>
            <w:r w:rsidRPr="009E4E41">
              <w:rPr>
                <w:b/>
                <w:bCs/>
                <w:color w:val="000000"/>
              </w:rPr>
              <w:br/>
              <w:t xml:space="preserve">Per </w:t>
            </w:r>
            <w:r>
              <w:rPr>
                <w:b/>
                <w:bCs/>
                <w:color w:val="000000"/>
              </w:rPr>
              <w:t>Hour</w:t>
            </w:r>
          </w:p>
        </w:tc>
        <w:tc>
          <w:tcPr>
            <w:tcW w:w="1109" w:type="dxa"/>
            <w:tcBorders>
              <w:top w:val="single" w:sz="4" w:space="0" w:color="auto"/>
              <w:left w:val="single" w:sz="4" w:space="0" w:color="auto"/>
              <w:bottom w:val="single" w:sz="4" w:space="0" w:color="auto"/>
              <w:right w:val="single" w:sz="4" w:space="0" w:color="auto"/>
            </w:tcBorders>
            <w:vAlign w:val="center"/>
          </w:tcPr>
          <w:p w:rsidR="002C048F" w:rsidRPr="009E4E41" w:rsidP="002C048F" w14:paraId="3C1CD241" w14:textId="77777777">
            <w:pPr>
              <w:widowControl/>
              <w:autoSpaceDE/>
              <w:autoSpaceDN/>
              <w:adjustRightInd/>
              <w:jc w:val="center"/>
              <w:rPr>
                <w:b/>
                <w:bCs/>
                <w:color w:val="000000"/>
              </w:rPr>
            </w:pPr>
            <w:r>
              <w:rPr>
                <w:b/>
                <w:bCs/>
                <w:color w:val="000000"/>
              </w:rPr>
              <w:t xml:space="preserve">Total </w:t>
            </w:r>
            <w:r w:rsidRPr="009E4E41">
              <w:rPr>
                <w:b/>
                <w:bCs/>
                <w:color w:val="000000"/>
              </w:rPr>
              <w:t xml:space="preserve">Annual </w:t>
            </w:r>
            <w:r>
              <w:rPr>
                <w:b/>
                <w:bCs/>
                <w:color w:val="000000"/>
              </w:rPr>
              <w:t xml:space="preserve">Labor </w:t>
            </w:r>
            <w:r w:rsidRPr="009E4E41">
              <w:rPr>
                <w:b/>
                <w:bCs/>
                <w:color w:val="000000"/>
              </w:rPr>
              <w:t>Cost</w:t>
            </w:r>
            <w:r>
              <w:rPr>
                <w:b/>
                <w:bCs/>
                <w:color w:val="000000"/>
              </w:rPr>
              <w:t>s</w:t>
            </w:r>
          </w:p>
        </w:tc>
      </w:tr>
      <w:tr w14:paraId="468191F7" w14:textId="77777777" w:rsidTr="002C048F">
        <w:tblPrEx>
          <w:tblW w:w="9384" w:type="dxa"/>
          <w:jc w:val="center"/>
          <w:tblLook w:val="04A0"/>
        </w:tblPrEx>
        <w:trPr>
          <w:trHeight w:val="600"/>
          <w:jc w:val="center"/>
        </w:trPr>
        <w:tc>
          <w:tcPr>
            <w:tcW w:w="1523" w:type="dxa"/>
            <w:tcBorders>
              <w:top w:val="nil"/>
              <w:left w:val="single" w:sz="4" w:space="0" w:color="auto"/>
              <w:bottom w:val="single" w:sz="4" w:space="0" w:color="auto"/>
              <w:right w:val="single" w:sz="4" w:space="0" w:color="auto"/>
            </w:tcBorders>
            <w:shd w:val="clear" w:color="auto" w:fill="auto"/>
            <w:noWrap/>
            <w:vAlign w:val="center"/>
            <w:hideMark/>
          </w:tcPr>
          <w:p w:rsidR="002C048F" w:rsidRPr="009E4E41" w:rsidP="002C048F" w14:paraId="727C66ED" w14:textId="61F673CE">
            <w:pPr>
              <w:widowControl/>
              <w:autoSpaceDE/>
              <w:autoSpaceDN/>
              <w:adjustRightInd/>
              <w:jc w:val="center"/>
              <w:rPr>
                <w:color w:val="000000"/>
              </w:rPr>
            </w:pPr>
            <w:r>
              <w:rPr>
                <w:color w:val="000000"/>
              </w:rPr>
              <w:t>2</w:t>
            </w:r>
            <w:r w:rsidR="00482635">
              <w:rPr>
                <w:color w:val="000000"/>
              </w:rPr>
              <w:t xml:space="preserve">6 </w:t>
            </w:r>
          </w:p>
        </w:tc>
        <w:tc>
          <w:tcPr>
            <w:tcW w:w="1310" w:type="dxa"/>
            <w:tcBorders>
              <w:top w:val="nil"/>
              <w:left w:val="nil"/>
              <w:bottom w:val="single" w:sz="4" w:space="0" w:color="auto"/>
              <w:right w:val="single" w:sz="4" w:space="0" w:color="auto"/>
            </w:tcBorders>
            <w:shd w:val="clear" w:color="auto" w:fill="auto"/>
            <w:noWrap/>
            <w:vAlign w:val="center"/>
            <w:hideMark/>
          </w:tcPr>
          <w:p w:rsidR="002C048F" w:rsidRPr="009E4E41" w:rsidP="002C048F" w14:paraId="298579A6" w14:textId="77777777">
            <w:pPr>
              <w:widowControl/>
              <w:autoSpaceDE/>
              <w:autoSpaceDN/>
              <w:adjustRightInd/>
              <w:jc w:val="center"/>
              <w:rPr>
                <w:color w:val="000000"/>
              </w:rPr>
            </w:pPr>
            <w:r w:rsidRPr="009E4E41">
              <w:rPr>
                <w:color w:val="000000"/>
              </w:rPr>
              <w:t>Quarterly</w:t>
            </w:r>
          </w:p>
        </w:tc>
        <w:tc>
          <w:tcPr>
            <w:tcW w:w="1343" w:type="dxa"/>
            <w:tcBorders>
              <w:top w:val="single" w:sz="4" w:space="0" w:color="auto"/>
              <w:left w:val="nil"/>
              <w:bottom w:val="single" w:sz="4" w:space="0" w:color="auto"/>
              <w:right w:val="single" w:sz="4" w:space="0" w:color="auto"/>
            </w:tcBorders>
            <w:vAlign w:val="center"/>
          </w:tcPr>
          <w:p w:rsidR="002C048F" w:rsidRPr="009E4E41" w:rsidP="002C048F" w14:paraId="0098B059" w14:textId="46C58E36">
            <w:pPr>
              <w:widowControl/>
              <w:autoSpaceDE/>
              <w:autoSpaceDN/>
              <w:adjustRightInd/>
              <w:jc w:val="center"/>
              <w:rPr>
                <w:color w:val="000000"/>
              </w:rPr>
            </w:pPr>
            <w:r>
              <w:rPr>
                <w:color w:val="000000"/>
              </w:rPr>
              <w:t>10</w:t>
            </w:r>
            <w:r w:rsidR="000C4480">
              <w:rPr>
                <w:color w:val="000000"/>
              </w:rPr>
              <w:t>4</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48F" w:rsidRPr="009E4E41" w:rsidP="002C048F" w14:paraId="7CB1EE0A" w14:textId="77777777">
            <w:pPr>
              <w:widowControl/>
              <w:autoSpaceDE/>
              <w:autoSpaceDN/>
              <w:adjustRightInd/>
              <w:jc w:val="center"/>
              <w:rPr>
                <w:color w:val="000000"/>
              </w:rPr>
            </w:pPr>
            <w:r>
              <w:rPr>
                <w:color w:val="000000"/>
              </w:rPr>
              <w:t>2 hours</w:t>
            </w:r>
          </w:p>
        </w:tc>
        <w:tc>
          <w:tcPr>
            <w:tcW w:w="1662" w:type="dxa"/>
            <w:tcBorders>
              <w:top w:val="nil"/>
              <w:left w:val="nil"/>
              <w:bottom w:val="single" w:sz="4" w:space="0" w:color="auto"/>
              <w:right w:val="single" w:sz="4" w:space="0" w:color="auto"/>
            </w:tcBorders>
            <w:vAlign w:val="center"/>
          </w:tcPr>
          <w:p w:rsidR="002C048F" w:rsidP="004233FA" w14:paraId="5106002D" w14:textId="23ED886F">
            <w:pPr>
              <w:widowControl/>
              <w:autoSpaceDE/>
              <w:autoSpaceDN/>
              <w:adjustRightInd/>
              <w:jc w:val="center"/>
              <w:rPr>
                <w:color w:val="000000"/>
              </w:rPr>
            </w:pPr>
            <w:r>
              <w:rPr>
                <w:color w:val="000000"/>
              </w:rPr>
              <w:t>20</w:t>
            </w:r>
            <w:r w:rsidR="000C4480">
              <w:rPr>
                <w:color w:val="000000"/>
              </w:rPr>
              <w:t>8</w:t>
            </w:r>
            <w:r>
              <w:rPr>
                <w:color w:val="000000"/>
              </w:rPr>
              <w:t xml:space="preserve"> </w:t>
            </w:r>
            <w:r>
              <w:rPr>
                <w:color w:val="000000"/>
              </w:rPr>
              <w:t>hours</w:t>
            </w:r>
          </w:p>
        </w:tc>
        <w:tc>
          <w:tcPr>
            <w:tcW w:w="1260" w:type="dxa"/>
            <w:tcBorders>
              <w:top w:val="single" w:sz="4" w:space="0" w:color="auto"/>
              <w:left w:val="nil"/>
              <w:bottom w:val="single" w:sz="4" w:space="0" w:color="auto"/>
              <w:right w:val="single" w:sz="4" w:space="0" w:color="auto"/>
            </w:tcBorders>
            <w:vAlign w:val="center"/>
          </w:tcPr>
          <w:p w:rsidR="002C048F" w:rsidRPr="0007275C" w:rsidP="004233FA" w14:paraId="6E419E2E" w14:textId="22C82D87">
            <w:pPr>
              <w:widowControl/>
              <w:autoSpaceDE/>
              <w:autoSpaceDN/>
              <w:adjustRightInd/>
              <w:jc w:val="center"/>
            </w:pPr>
            <w:r w:rsidRPr="0007275C">
              <w:t>$</w:t>
            </w:r>
            <w:r w:rsidRPr="0007275C" w:rsidR="005E6915">
              <w:t>102.79</w:t>
            </w:r>
          </w:p>
        </w:tc>
        <w:tc>
          <w:tcPr>
            <w:tcW w:w="1109" w:type="dxa"/>
            <w:tcBorders>
              <w:top w:val="single" w:sz="4" w:space="0" w:color="auto"/>
              <w:left w:val="single" w:sz="4" w:space="0" w:color="auto"/>
              <w:bottom w:val="single" w:sz="4" w:space="0" w:color="auto"/>
              <w:right w:val="single" w:sz="4" w:space="0" w:color="auto"/>
            </w:tcBorders>
            <w:vAlign w:val="center"/>
          </w:tcPr>
          <w:p w:rsidR="002C048F" w:rsidRPr="0007275C" w:rsidP="004233FA" w14:paraId="665E30C3" w14:textId="5B33A950">
            <w:pPr>
              <w:widowControl/>
              <w:autoSpaceDE/>
              <w:autoSpaceDN/>
              <w:adjustRightInd/>
              <w:jc w:val="center"/>
            </w:pPr>
            <w:r w:rsidRPr="0007275C">
              <w:t>$</w:t>
            </w:r>
            <w:r w:rsidRPr="0007275C" w:rsidR="005E6915">
              <w:t>2</w:t>
            </w:r>
            <w:r w:rsidR="000C4480">
              <w:t>1</w:t>
            </w:r>
            <w:r w:rsidRPr="0007275C" w:rsidR="005E6915">
              <w:t>,</w:t>
            </w:r>
            <w:r w:rsidR="000C4480">
              <w:t>380.32</w:t>
            </w:r>
          </w:p>
        </w:tc>
      </w:tr>
    </w:tbl>
    <w:p w:rsidR="00A10E81" w:rsidRPr="009E4E41" w:rsidP="00BA5E91" w14:paraId="73C9847F" w14:textId="77777777">
      <w:pPr>
        <w:tabs>
          <w:tab w:val="left" w:pos="900"/>
        </w:tabs>
        <w:rPr>
          <w:bCs/>
          <w:color w:val="3366CC"/>
        </w:rPr>
      </w:pPr>
    </w:p>
    <w:p w:rsidR="00B454FB" w:rsidP="00BA5E91" w14:paraId="14ECFF30" w14:textId="77777777">
      <w:pPr>
        <w:tabs>
          <w:tab w:val="left" w:pos="900"/>
        </w:tabs>
        <w:ind w:left="540"/>
        <w:rPr>
          <w:bCs/>
        </w:rPr>
      </w:pPr>
    </w:p>
    <w:p w:rsidR="00686A62" w:rsidRPr="009E4E41" w:rsidP="00BA5E91" w14:paraId="6306A270" w14:textId="0373AE1C">
      <w:pPr>
        <w:tabs>
          <w:tab w:val="left" w:pos="900"/>
        </w:tabs>
        <w:ind w:left="540"/>
        <w:rPr>
          <w:bCs/>
        </w:rPr>
      </w:pPr>
      <w:r w:rsidRPr="009E4E41">
        <w:rPr>
          <w:bCs/>
        </w:rPr>
        <w:t xml:space="preserve">The </w:t>
      </w:r>
      <w:r w:rsidR="00896096">
        <w:rPr>
          <w:bCs/>
        </w:rPr>
        <w:t xml:space="preserve">agenda </w:t>
      </w:r>
      <w:r w:rsidRPr="009E4E41">
        <w:rPr>
          <w:bCs/>
        </w:rPr>
        <w:t xml:space="preserve">is sent to all </w:t>
      </w:r>
      <w:r w:rsidRPr="009E4E41" w:rsidR="00592FB6">
        <w:rPr>
          <w:bCs/>
        </w:rPr>
        <w:t>p</w:t>
      </w:r>
      <w:r w:rsidRPr="009E4E41">
        <w:rPr>
          <w:bCs/>
        </w:rPr>
        <w:t xml:space="preserve">rimary </w:t>
      </w:r>
      <w:r w:rsidRPr="009E4E41" w:rsidR="00592FB6">
        <w:rPr>
          <w:bCs/>
        </w:rPr>
        <w:t>d</w:t>
      </w:r>
      <w:r w:rsidRPr="009E4E41">
        <w:rPr>
          <w:bCs/>
        </w:rPr>
        <w:t xml:space="preserve">ealers, of which there are currently </w:t>
      </w:r>
      <w:r w:rsidRPr="009E4E41" w:rsidR="00EA7CE0">
        <w:rPr>
          <w:bCs/>
        </w:rPr>
        <w:t>2</w:t>
      </w:r>
      <w:r w:rsidR="00EA7CE0">
        <w:rPr>
          <w:bCs/>
        </w:rPr>
        <w:t>6</w:t>
      </w:r>
      <w:r w:rsidRPr="009E4E41" w:rsidR="00EA7CE0">
        <w:rPr>
          <w:bCs/>
        </w:rPr>
        <w:t xml:space="preserve"> </w:t>
      </w:r>
      <w:r w:rsidRPr="009E4E41">
        <w:rPr>
          <w:bCs/>
        </w:rPr>
        <w:t xml:space="preserve">institutions. The </w:t>
      </w:r>
      <w:r w:rsidRPr="009E4E41" w:rsidR="00592FB6">
        <w:rPr>
          <w:bCs/>
        </w:rPr>
        <w:t>p</w:t>
      </w:r>
      <w:r w:rsidRPr="009E4E41">
        <w:rPr>
          <w:bCs/>
        </w:rPr>
        <w:t xml:space="preserve">rimarily </w:t>
      </w:r>
      <w:r w:rsidRPr="009E4E41" w:rsidR="00592FB6">
        <w:rPr>
          <w:bCs/>
        </w:rPr>
        <w:t>d</w:t>
      </w:r>
      <w:r w:rsidRPr="009E4E41">
        <w:rPr>
          <w:bCs/>
        </w:rPr>
        <w:t xml:space="preserve">ealer relationship is managed by the Federal Reserve Bank of New York. Information on the </w:t>
      </w:r>
      <w:r w:rsidRPr="009E4E41" w:rsidR="00592FB6">
        <w:rPr>
          <w:bCs/>
        </w:rPr>
        <w:t>p</w:t>
      </w:r>
      <w:r w:rsidRPr="009E4E41">
        <w:rPr>
          <w:bCs/>
        </w:rPr>
        <w:t xml:space="preserve">rimary </w:t>
      </w:r>
      <w:r w:rsidRPr="009E4E41" w:rsidR="00592FB6">
        <w:rPr>
          <w:bCs/>
        </w:rPr>
        <w:t>d</w:t>
      </w:r>
      <w:r w:rsidRPr="009E4E41">
        <w:rPr>
          <w:bCs/>
        </w:rPr>
        <w:t xml:space="preserve">ealers, including a current list, is available here: </w:t>
      </w:r>
    </w:p>
    <w:p w:rsidR="00686A62" w:rsidRPr="009E4E41" w:rsidP="00BA5E91" w14:paraId="10927FE7" w14:textId="77777777">
      <w:pPr>
        <w:tabs>
          <w:tab w:val="left" w:pos="900"/>
        </w:tabs>
        <w:ind w:left="540"/>
        <w:rPr>
          <w:bCs/>
          <w:color w:val="3366CC"/>
        </w:rPr>
      </w:pPr>
      <w:hyperlink r:id="rId11" w:history="1">
        <w:r w:rsidRPr="009E4E41">
          <w:rPr>
            <w:rStyle w:val="Hyperlink"/>
            <w:bCs/>
          </w:rPr>
          <w:t>https://www.newyorkfed.org/markets/primarydealers</w:t>
        </w:r>
      </w:hyperlink>
      <w:r w:rsidRPr="009E4E41">
        <w:rPr>
          <w:bCs/>
          <w:color w:val="3366CC"/>
        </w:rPr>
        <w:t xml:space="preserve"> </w:t>
      </w:r>
    </w:p>
    <w:p w:rsidR="00686A62" w:rsidRPr="009E4E41" w:rsidP="00110928" w14:paraId="5F4172E5" w14:textId="77777777">
      <w:pPr>
        <w:tabs>
          <w:tab w:val="left" w:pos="900"/>
        </w:tabs>
        <w:ind w:left="540"/>
        <w:jc w:val="both"/>
        <w:rPr>
          <w:bCs/>
        </w:rPr>
      </w:pPr>
    </w:p>
    <w:p w:rsidR="00686A62" w:rsidRPr="009E4E41" w:rsidP="00BA5E91" w14:paraId="6CE19AF3" w14:textId="0A4A10BD">
      <w:pPr>
        <w:tabs>
          <w:tab w:val="left" w:pos="900"/>
        </w:tabs>
        <w:ind w:left="540"/>
        <w:rPr>
          <w:bCs/>
        </w:rPr>
      </w:pPr>
      <w:r w:rsidRPr="009E4E41">
        <w:rPr>
          <w:bCs/>
        </w:rPr>
        <w:t xml:space="preserve">Each </w:t>
      </w:r>
      <w:r w:rsidRPr="009E4E41" w:rsidR="00592FB6">
        <w:rPr>
          <w:bCs/>
        </w:rPr>
        <w:t>p</w:t>
      </w:r>
      <w:r w:rsidRPr="009E4E41">
        <w:rPr>
          <w:bCs/>
        </w:rPr>
        <w:t xml:space="preserve">rimary </w:t>
      </w:r>
      <w:r w:rsidRPr="009E4E41" w:rsidR="00592FB6">
        <w:rPr>
          <w:bCs/>
        </w:rPr>
        <w:t>d</w:t>
      </w:r>
      <w:r w:rsidRPr="009E4E41">
        <w:rPr>
          <w:bCs/>
        </w:rPr>
        <w:t>ealer is surveyed once each quarter, with an expected</w:t>
      </w:r>
      <w:r w:rsidR="00A31BA0">
        <w:rPr>
          <w:bCs/>
        </w:rPr>
        <w:t>-</w:t>
      </w:r>
      <w:r w:rsidRPr="009E4E41">
        <w:rPr>
          <w:bCs/>
        </w:rPr>
        <w:t xml:space="preserve">hour burden of two hours. This estimate is based on interaction with the </w:t>
      </w:r>
      <w:r w:rsidRPr="009E4E41" w:rsidR="00592FB6">
        <w:rPr>
          <w:bCs/>
        </w:rPr>
        <w:t>p</w:t>
      </w:r>
      <w:r w:rsidRPr="009E4E41">
        <w:rPr>
          <w:bCs/>
        </w:rPr>
        <w:t xml:space="preserve">rimary </w:t>
      </w:r>
      <w:r w:rsidRPr="009E4E41" w:rsidR="00592FB6">
        <w:rPr>
          <w:bCs/>
        </w:rPr>
        <w:t>d</w:t>
      </w:r>
      <w:r w:rsidRPr="009E4E41">
        <w:rPr>
          <w:bCs/>
        </w:rPr>
        <w:t>ealers and a general understanding that they have established processes to provide this information on a regular basis. Therefore, two hours should be sufficient to collect and return information.</w:t>
      </w:r>
    </w:p>
    <w:p w:rsidR="008D6A5B" w:rsidRPr="009E4E41" w:rsidP="00BA5E91" w14:paraId="26023B5D" w14:textId="77777777">
      <w:pPr>
        <w:tabs>
          <w:tab w:val="left" w:pos="900"/>
        </w:tabs>
        <w:ind w:left="540"/>
        <w:rPr>
          <w:bCs/>
        </w:rPr>
      </w:pPr>
    </w:p>
    <w:p w:rsidR="00A10E81" w:rsidRPr="009E4E41" w:rsidP="00BA5E91" w14:paraId="3EAC2598" w14:textId="4E7363B0">
      <w:pPr>
        <w:tabs>
          <w:tab w:val="left" w:pos="900"/>
        </w:tabs>
        <w:ind w:left="540"/>
        <w:rPr>
          <w:bCs/>
          <w:color w:val="3366CC"/>
        </w:rPr>
      </w:pPr>
      <w:r w:rsidRPr="009E4E41">
        <w:rPr>
          <w:bCs/>
        </w:rPr>
        <w:t xml:space="preserve">The annual cost is based on a per hour cost </w:t>
      </w:r>
      <w:r w:rsidRPr="005E6915">
        <w:rPr>
          <w:bCs/>
        </w:rPr>
        <w:t>of $</w:t>
      </w:r>
      <w:r w:rsidRPr="0007275C" w:rsidR="005E6915">
        <w:rPr>
          <w:bCs/>
        </w:rPr>
        <w:t>102.79</w:t>
      </w:r>
      <w:r w:rsidRPr="005E6915">
        <w:rPr>
          <w:bCs/>
        </w:rPr>
        <w:t xml:space="preserve"> and quarterly </w:t>
      </w:r>
      <w:r w:rsidRPr="005E6915" w:rsidR="00896096">
        <w:rPr>
          <w:bCs/>
        </w:rPr>
        <w:t xml:space="preserve">agendas </w:t>
      </w:r>
      <w:r w:rsidRPr="005E6915">
        <w:rPr>
          <w:bCs/>
        </w:rPr>
        <w:t>taking two hours each. The cost is based on the 90% wage for Financial Analysts</w:t>
      </w:r>
      <w:r w:rsidRPr="005E6915" w:rsidR="005E6915">
        <w:rPr>
          <w:bCs/>
        </w:rPr>
        <w:t xml:space="preserve"> and Advisors</w:t>
      </w:r>
      <w:r w:rsidRPr="005E6915">
        <w:rPr>
          <w:bCs/>
        </w:rPr>
        <w:t xml:space="preserve"> as estimated by the Bureau of Labor Statistics in May </w:t>
      </w:r>
      <w:r w:rsidRPr="005E6915" w:rsidR="005E6915">
        <w:rPr>
          <w:bCs/>
        </w:rPr>
        <w:t>20</w:t>
      </w:r>
      <w:r w:rsidRPr="0007275C" w:rsidR="005E6915">
        <w:rPr>
          <w:bCs/>
        </w:rPr>
        <w:t>24</w:t>
      </w:r>
      <w:r w:rsidRPr="005E6915" w:rsidR="005E6915">
        <w:rPr>
          <w:bCs/>
        </w:rPr>
        <w:t xml:space="preserve"> </w:t>
      </w:r>
      <w:r w:rsidRPr="009E4E41">
        <w:rPr>
          <w:bCs/>
        </w:rPr>
        <w:t>(</w:t>
      </w:r>
      <w:hyperlink r:id="rId12" w:history="1">
        <w:r w:rsidRPr="009E4E41">
          <w:rPr>
            <w:rStyle w:val="Hyperlink"/>
            <w:bCs/>
          </w:rPr>
          <w:t>https://www.bls.gov/oes/current/oes132051.htm</w:t>
        </w:r>
      </w:hyperlink>
      <w:r w:rsidRPr="009E4E41">
        <w:rPr>
          <w:bCs/>
        </w:rPr>
        <w:t xml:space="preserve">). Given the reputation of the </w:t>
      </w:r>
      <w:r w:rsidRPr="009E4E41" w:rsidR="001A562D">
        <w:rPr>
          <w:bCs/>
        </w:rPr>
        <w:t>p</w:t>
      </w:r>
      <w:r w:rsidRPr="009E4E41">
        <w:rPr>
          <w:bCs/>
        </w:rPr>
        <w:t xml:space="preserve">rimary </w:t>
      </w:r>
      <w:r w:rsidRPr="009E4E41" w:rsidR="001A562D">
        <w:rPr>
          <w:bCs/>
        </w:rPr>
        <w:t>d</w:t>
      </w:r>
      <w:r w:rsidRPr="009E4E41">
        <w:rPr>
          <w:bCs/>
        </w:rPr>
        <w:t>ealers, it is reasonable to expect that analysts providing information are earning wages near the higher end of the distribution.</w:t>
      </w:r>
    </w:p>
    <w:p w:rsidR="00F064FD" w:rsidRPr="009E4E41" w:rsidP="00432C2B" w14:paraId="6D2B04A5" w14:textId="77777777">
      <w:pPr>
        <w:pStyle w:val="BodyTextIndent"/>
        <w:tabs>
          <w:tab w:val="clear" w:pos="0"/>
          <w:tab w:val="left" w:pos="540"/>
          <w:tab w:val="left" w:pos="810"/>
        </w:tabs>
        <w:ind w:left="540" w:hanging="540"/>
      </w:pPr>
    </w:p>
    <w:p w:rsidR="00F8418A" w:rsidRPr="009E4E41" w:rsidP="00110928" w14:paraId="265E1246" w14:textId="77777777">
      <w:pPr>
        <w:pStyle w:val="BodyTextIndent"/>
        <w:numPr>
          <w:ilvl w:val="0"/>
          <w:numId w:val="35"/>
        </w:numPr>
        <w:tabs>
          <w:tab w:val="clear" w:pos="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b/>
          <w:bCs/>
        </w:rPr>
      </w:pPr>
      <w:r w:rsidRPr="009E4E41">
        <w:rPr>
          <w:b/>
          <w:bCs/>
        </w:rPr>
        <w:t xml:space="preserve">Annual Cost </w:t>
      </w:r>
      <w:r w:rsidRPr="009E4E41">
        <w:rPr>
          <w:b/>
          <w:bCs/>
        </w:rPr>
        <w:t>to</w:t>
      </w:r>
      <w:r w:rsidRPr="009E4E41">
        <w:rPr>
          <w:b/>
          <w:bCs/>
        </w:rPr>
        <w:t xml:space="preserve"> Respondents.</w:t>
      </w:r>
    </w:p>
    <w:p w:rsidR="00F064FD" w:rsidRPr="009E4E41" w:rsidP="00110928" w14:paraId="01EFC34D" w14:textId="77777777">
      <w:pPr>
        <w:tabs>
          <w:tab w:val="left" w:pos="540"/>
        </w:tabs>
        <w:spacing w:before="120" w:after="120"/>
        <w:ind w:left="540" w:hanging="540"/>
        <w:rPr>
          <w:color w:val="000000"/>
        </w:rPr>
      </w:pPr>
      <w:r w:rsidRPr="009E4E41">
        <w:rPr>
          <w:b/>
          <w:bCs/>
        </w:rPr>
        <w:tab/>
      </w:r>
      <w:r w:rsidRPr="009E4E41">
        <w:rPr>
          <w:color w:val="000000"/>
        </w:rPr>
        <w:t>There are no capital/start-up or ongoing operation/maintenance costs associated with this information collection.</w:t>
      </w:r>
      <w:r w:rsidRPr="009E4E41" w:rsidR="009C0D21">
        <w:rPr>
          <w:color w:val="000000"/>
        </w:rPr>
        <w:t xml:space="preserve"> The information provided is consistent with information gathered as part of the normal course of business for respondents.</w:t>
      </w:r>
    </w:p>
    <w:p w:rsidR="00F8418A" w:rsidRPr="009E4E41" w:rsidP="00896096" w14:paraId="66241977" w14:textId="77777777">
      <w:pPr>
        <w:numPr>
          <w:ilvl w:val="0"/>
          <w:numId w:val="31"/>
        </w:numPr>
        <w:tabs>
          <w:tab w:val="left" w:pos="360"/>
          <w:tab w:val="clear" w:pos="720"/>
        </w:tabs>
        <w:spacing w:before="120" w:after="120"/>
        <w:ind w:left="540" w:hanging="540"/>
        <w:rPr>
          <w:b/>
          <w:bCs/>
        </w:rPr>
      </w:pPr>
      <w:r w:rsidRPr="009E4E41">
        <w:rPr>
          <w:b/>
          <w:bCs/>
        </w:rPr>
        <w:t>Cost to the Federal Government.</w:t>
      </w:r>
    </w:p>
    <w:p w:rsidR="002C7497" w:rsidP="00110928" w14:paraId="11F1E8CA" w14:textId="6BD63068">
      <w:pPr>
        <w:tabs>
          <w:tab w:val="left" w:pos="540"/>
        </w:tabs>
        <w:spacing w:before="120" w:after="120"/>
        <w:ind w:left="540" w:hanging="540"/>
      </w:pPr>
      <w:r w:rsidRPr="009E4E41">
        <w:rPr>
          <w:color w:val="3366FF"/>
        </w:rPr>
        <w:tab/>
      </w:r>
      <w:r w:rsidRPr="009E4E41">
        <w:t>For each quarterly survey, the cost to the government is estimated as one hour for a full-time equivalent (FTE) employee to create and distribute the instrument, and eight hours for a FTE</w:t>
      </w:r>
      <w:r w:rsidR="00896096">
        <w:t>, typically at GS-1</w:t>
      </w:r>
      <w:r w:rsidR="007C4A95">
        <w:t>5</w:t>
      </w:r>
      <w:r w:rsidR="00896096">
        <w:t xml:space="preserve"> Economist (series 1101)</w:t>
      </w:r>
      <w:r w:rsidRPr="009E4E41">
        <w:t xml:space="preserve"> to analyze the responses. </w:t>
      </w:r>
    </w:p>
    <w:p w:rsidR="003468E8" w:rsidP="003468E8" w14:paraId="087C4FD9" w14:textId="157F8FF7">
      <w:pPr>
        <w:tabs>
          <w:tab w:val="left" w:pos="540"/>
        </w:tabs>
        <w:spacing w:before="120" w:after="120"/>
        <w:ind w:left="540"/>
      </w:pPr>
      <w:r>
        <w:t>The hourly wage for a GS-1</w:t>
      </w:r>
      <w:r w:rsidR="009A3D4D">
        <w:t>5</w:t>
      </w:r>
      <w:r>
        <w:t xml:space="preserve"> employee in Washington DC is $</w:t>
      </w:r>
      <w:r w:rsidR="009A3D4D">
        <w:t>80</w:t>
      </w:r>
      <w:r>
        <w:t>.</w:t>
      </w:r>
      <w:r w:rsidR="009A3D4D">
        <w:t>31</w:t>
      </w:r>
      <w:r>
        <w:t xml:space="preserve"> based on Office of Personnel Management </w:t>
      </w:r>
      <w:r w:rsidR="00AD04C4">
        <w:t xml:space="preserve">2025 </w:t>
      </w:r>
      <w:r>
        <w:t>Salary Tables (</w:t>
      </w:r>
      <w:hyperlink r:id="rId13" w:history="1">
        <w:r w:rsidR="00AD04C4">
          <w:rPr>
            <w:rStyle w:val="Hyperlink"/>
          </w:rPr>
          <w:t>https://www.opm.gov/policy-data-oversight/pay-leave/salaries-wages/salary-tables/25Tables/html/DCB_h.aspx</w:t>
        </w:r>
      </w:hyperlink>
      <w:r>
        <w:t xml:space="preserve">). Adding an overhead &amp; benefits factor of 60% produces a </w:t>
      </w:r>
      <w:r>
        <w:t>fully-loaded</w:t>
      </w:r>
      <w:r>
        <w:t xml:space="preserve"> wage of $</w:t>
      </w:r>
      <w:r w:rsidR="009A3D4D">
        <w:t>128</w:t>
      </w:r>
      <w:r w:rsidR="00054D50">
        <w:t>.</w:t>
      </w:r>
      <w:r w:rsidR="009A3D4D">
        <w:t>50</w:t>
      </w:r>
      <w:r>
        <w:t xml:space="preserve">/hour. </w:t>
      </w:r>
    </w:p>
    <w:p w:rsidR="003468E8" w:rsidP="003468E8" w14:paraId="240FEFBB" w14:textId="3023220D">
      <w:pPr>
        <w:tabs>
          <w:tab w:val="left" w:pos="540"/>
        </w:tabs>
        <w:spacing w:before="120" w:after="120"/>
        <w:ind w:left="540"/>
      </w:pPr>
      <w:r>
        <w:t>9 hours * 4 quarters * $</w:t>
      </w:r>
      <w:r w:rsidR="009A3D4D">
        <w:t>128.5</w:t>
      </w:r>
      <w:r w:rsidR="006E77E4">
        <w:t>0</w:t>
      </w:r>
      <w:r>
        <w:t>/hour = $</w:t>
      </w:r>
      <w:r w:rsidR="006E77E4">
        <w:t>4,626</w:t>
      </w:r>
      <w:r w:rsidR="00054D50">
        <w:t xml:space="preserve"> </w:t>
      </w:r>
      <w:r>
        <w:t>total annual cost to government</w:t>
      </w:r>
    </w:p>
    <w:p w:rsidR="00F8418A" w:rsidRPr="009E4E41" w:rsidP="00F8418A" w14:paraId="126C9FBE" w14:textId="77777777">
      <w:pPr>
        <w:numPr>
          <w:ilvl w:val="0"/>
          <w:numId w:val="31"/>
        </w:numPr>
        <w:tabs>
          <w:tab w:val="left" w:pos="540"/>
          <w:tab w:val="clear" w:pos="720"/>
        </w:tabs>
        <w:spacing w:before="120" w:after="120"/>
        <w:ind w:left="540" w:hanging="540"/>
        <w:rPr>
          <w:b/>
          <w:bCs/>
        </w:rPr>
      </w:pPr>
      <w:r w:rsidRPr="009E4E41">
        <w:rPr>
          <w:b/>
          <w:bCs/>
        </w:rPr>
        <w:t>Reason for Change.</w:t>
      </w:r>
    </w:p>
    <w:p w:rsidR="16783A5F" w:rsidP="2BDE3566" w14:paraId="20E33A34" w14:textId="5E62C244">
      <w:pPr>
        <w:spacing w:before="120" w:after="120" w:line="259" w:lineRule="auto"/>
        <w:ind w:left="540"/>
      </w:pPr>
      <w:r>
        <w:t>T</w:t>
      </w:r>
      <w:r w:rsidR="00FC78FC">
        <w:t>here are</w:t>
      </w:r>
      <w:r>
        <w:t xml:space="preserve"> currently</w:t>
      </w:r>
      <w:r w:rsidR="00FC78FC">
        <w:t xml:space="preserve"> 26 Primary dealers</w:t>
      </w:r>
      <w:r>
        <w:t>, the newest being added on January 15, 2026</w:t>
      </w:r>
      <w:r w:rsidR="00FC78FC">
        <w:t xml:space="preserve">. </w:t>
      </w:r>
      <w:r>
        <w:t xml:space="preserve">There is an increase in burden of </w:t>
      </w:r>
      <w:r w:rsidR="000D4A3E">
        <w:t xml:space="preserve">16 </w:t>
      </w:r>
      <w:r>
        <w:t xml:space="preserve">hours </w:t>
      </w:r>
      <w:r w:rsidR="39C616EE">
        <w:t>due</w:t>
      </w:r>
      <w:r w:rsidR="39C616EE">
        <w:t xml:space="preserve"> </w:t>
      </w:r>
      <w:r w:rsidR="01EC91ED">
        <w:t xml:space="preserve">an adjustment in agency </w:t>
      </w:r>
      <w:r w:rsidR="0A02157B">
        <w:t xml:space="preserve">estimates resulting from </w:t>
      </w:r>
      <w:r w:rsidR="39C616EE">
        <w:t xml:space="preserve">the addition of </w:t>
      </w:r>
      <w:r w:rsidR="000D4A3E">
        <w:t xml:space="preserve">two </w:t>
      </w:r>
      <w:r w:rsidR="39C616EE">
        <w:t xml:space="preserve">more </w:t>
      </w:r>
      <w:r w:rsidR="01EC91ED">
        <w:t>primary dealer</w:t>
      </w:r>
      <w:r w:rsidR="009851DC">
        <w:t>s</w:t>
      </w:r>
      <w:r w:rsidR="01EC91ED">
        <w:t xml:space="preserve"> </w:t>
      </w:r>
      <w:r w:rsidR="1F588A05">
        <w:t xml:space="preserve">to the </w:t>
      </w:r>
      <w:r w:rsidR="2AFA7F55">
        <w:t xml:space="preserve">FRBNY's </w:t>
      </w:r>
      <w:r w:rsidR="1F588A05">
        <w:t>list.</w:t>
      </w:r>
    </w:p>
    <w:p w:rsidR="00F8418A" w:rsidRPr="009E4E41" w:rsidP="00F8418A" w14:paraId="6306081B" w14:textId="77777777">
      <w:pPr>
        <w:numPr>
          <w:ilvl w:val="0"/>
          <w:numId w:val="31"/>
        </w:numPr>
        <w:tabs>
          <w:tab w:val="left" w:pos="540"/>
        </w:tabs>
        <w:spacing w:before="120" w:after="120"/>
        <w:ind w:left="540" w:hanging="540"/>
        <w:rPr>
          <w:b/>
          <w:bCs/>
        </w:rPr>
      </w:pPr>
      <w:r w:rsidRPr="009E4E41">
        <w:rPr>
          <w:b/>
          <w:bCs/>
        </w:rPr>
        <w:t xml:space="preserve">Tabulation of Results, Schedule, Analysis Plans.  </w:t>
      </w:r>
    </w:p>
    <w:p w:rsidR="002C7497" w:rsidP="00110928" w14:paraId="7971D609" w14:textId="3ACDBBBF">
      <w:pPr>
        <w:tabs>
          <w:tab w:val="left" w:pos="540"/>
        </w:tabs>
        <w:spacing w:before="120" w:after="120"/>
        <w:ind w:left="540"/>
      </w:pPr>
      <w:r w:rsidRPr="009E4E41">
        <w:t xml:space="preserve">Aggregate </w:t>
      </w:r>
      <w:r w:rsidR="00924AF9">
        <w:t>information</w:t>
      </w:r>
      <w:r w:rsidRPr="009E4E41" w:rsidR="00924AF9">
        <w:t xml:space="preserve"> </w:t>
      </w:r>
      <w:r w:rsidRPr="009E4E41">
        <w:t xml:space="preserve">from the survey </w:t>
      </w:r>
      <w:r w:rsidR="00924AF9">
        <w:t xml:space="preserve">is </w:t>
      </w:r>
      <w:r w:rsidRPr="009E4E41">
        <w:t>p</w:t>
      </w:r>
      <w:r w:rsidRPr="009E4E41" w:rsidR="00480D3F">
        <w:t>osted</w:t>
      </w:r>
      <w:r w:rsidR="009E4E41">
        <w:t xml:space="preserve"> </w:t>
      </w:r>
      <w:r w:rsidRPr="009E4E41">
        <w:t>to the Treasury website</w:t>
      </w:r>
      <w:r w:rsidR="007D6C3A">
        <w:t xml:space="preserve">. </w:t>
      </w:r>
      <w:hyperlink r:id="rId9" w:history="1">
        <w:r w:rsidRPr="002604DF" w:rsidR="007D6C3A">
          <w:rPr>
            <w:rStyle w:val="Hyperlink"/>
          </w:rPr>
          <w:t>https://www.treasury.gov/resource-center/data-chart-center/quarterly-refunding/Pages/default.aspx</w:t>
        </w:r>
      </w:hyperlink>
    </w:p>
    <w:p w:rsidR="00EC10FF" w:rsidRPr="009E4E41" w:rsidP="006E1A4A" w14:paraId="1F2D1C7F" w14:textId="77777777">
      <w:pPr>
        <w:spacing w:before="120" w:after="120"/>
        <w:ind w:left="540"/>
        <w:jc w:val="both"/>
      </w:pPr>
      <w:r w:rsidRPr="009E4E41">
        <w:t xml:space="preserve">The aggregate information is generally released just over a week after all </w:t>
      </w:r>
      <w:r w:rsidR="007D6C3A">
        <w:t>agendas</w:t>
      </w:r>
      <w:r w:rsidRPr="009E4E41">
        <w:t xml:space="preserve"> are returned to Treasury.</w:t>
      </w:r>
    </w:p>
    <w:p w:rsidR="00F8418A" w:rsidRPr="009E4E41" w:rsidP="006E1A4A" w14:paraId="20AAE61E" w14:textId="77777777">
      <w:pPr>
        <w:numPr>
          <w:ilvl w:val="0"/>
          <w:numId w:val="31"/>
        </w:numPr>
        <w:tabs>
          <w:tab w:val="left" w:pos="540"/>
        </w:tabs>
        <w:spacing w:before="120" w:after="120"/>
        <w:ind w:left="540" w:hanging="450"/>
        <w:jc w:val="both"/>
        <w:rPr>
          <w:b/>
          <w:bCs/>
        </w:rPr>
      </w:pPr>
      <w:r w:rsidRPr="009E4E41">
        <w:rPr>
          <w:b/>
          <w:bCs/>
        </w:rPr>
        <w:t>Display of OMB Approval Date.</w:t>
      </w:r>
    </w:p>
    <w:p w:rsidR="00EC10FF" w:rsidRPr="009E4E41" w:rsidP="00DA6A0A" w14:paraId="574AC64B" w14:textId="2F831F10">
      <w:pPr>
        <w:spacing w:before="120" w:after="120"/>
        <w:ind w:left="540" w:right="720"/>
      </w:pPr>
      <w:r w:rsidRPr="009E4E41">
        <w:t xml:space="preserve">The </w:t>
      </w:r>
      <w:r w:rsidR="006C5DFC">
        <w:t>Department</w:t>
      </w:r>
      <w:r w:rsidRPr="009E4E41">
        <w:t xml:space="preserve"> plans to display the expiration date for OMB approval of the information</w:t>
      </w:r>
      <w:r w:rsidRPr="009E4E41" w:rsidR="006E1A4A">
        <w:t xml:space="preserve"> </w:t>
      </w:r>
      <w:r w:rsidRPr="009E4E41" w:rsidR="00DA6A0A">
        <w:t>c</w:t>
      </w:r>
      <w:r w:rsidRPr="009E4E41" w:rsidR="006E1A4A">
        <w:t>ollection on all instruments.</w:t>
      </w:r>
    </w:p>
    <w:p w:rsidR="00F8418A" w:rsidRPr="009E4E41" w:rsidP="00F8418A" w14:paraId="6AA60A54" w14:textId="77777777">
      <w:pPr>
        <w:numPr>
          <w:ilvl w:val="0"/>
          <w:numId w:val="31"/>
        </w:numPr>
        <w:tabs>
          <w:tab w:val="left" w:pos="540"/>
        </w:tabs>
        <w:spacing w:before="120" w:after="120"/>
        <w:ind w:left="540" w:hanging="540"/>
        <w:rPr>
          <w:b/>
          <w:bCs/>
        </w:rPr>
      </w:pPr>
      <w:r w:rsidRPr="009E4E41">
        <w:rPr>
          <w:b/>
          <w:bCs/>
        </w:rPr>
        <w:t>Exceptions to Certification for Paperwork Reduction Act Submission.</w:t>
      </w:r>
    </w:p>
    <w:p w:rsidR="00EC10FF" w:rsidRPr="009E4E41" w:rsidP="006E1A4A" w14:paraId="7EE7259C" w14:textId="77777777">
      <w:pPr>
        <w:ind w:firstLine="540"/>
      </w:pPr>
      <w:r w:rsidRPr="009E4E41">
        <w:t>There are no exceptions to the certification statement.</w:t>
      </w:r>
    </w:p>
    <w:p w:rsidR="008604D2" w:rsidRPr="009E4E41" w:rsidP="009E4E41" w14:paraId="3F64734C" w14:textId="77777777">
      <w:pPr>
        <w:jc w:val="center"/>
        <w:rPr>
          <w:b/>
          <w:bCs/>
          <w:i/>
          <w:iCs/>
          <w:color w:val="3366FF"/>
        </w:rPr>
      </w:pPr>
      <w:r w:rsidRPr="009E4E41">
        <w:rPr>
          <w:b/>
          <w:bCs/>
          <w:color w:val="3366FF"/>
        </w:rPr>
        <w:br w:type="page"/>
      </w:r>
      <w:r w:rsidRPr="009E4E41">
        <w:rPr>
          <w:b/>
          <w:bCs/>
          <w:i/>
          <w:iCs/>
          <w:color w:val="3366FF"/>
        </w:rPr>
        <w:t xml:space="preserve"> </w:t>
      </w:r>
    </w:p>
    <w:p w:rsidR="008604D2" w:rsidRPr="009E4E41" w:rsidP="008604D2" w14:paraId="0BA8135D" w14:textId="77777777">
      <w:pPr>
        <w:jc w:val="center"/>
        <w:rPr>
          <w:b/>
          <w:bCs/>
          <w:i/>
          <w:iCs/>
          <w:color w:val="33CCCC"/>
          <w:u w:val="single"/>
        </w:rPr>
      </w:pPr>
    </w:p>
    <w:p w:rsidR="008604D2" w:rsidRPr="009E4E41" w:rsidP="008604D2" w14:paraId="49FB87B7" w14:textId="77777777">
      <w:pPr>
        <w:ind w:left="-360" w:right="-360"/>
        <w:jc w:val="center"/>
        <w:rPr>
          <w:b/>
          <w:bCs/>
          <w:u w:val="single"/>
        </w:rPr>
      </w:pPr>
      <w:r w:rsidRPr="009E4E41">
        <w:rPr>
          <w:b/>
          <w:bCs/>
          <w:u w:val="single"/>
        </w:rPr>
        <w:t>Supporting Statement</w:t>
      </w:r>
    </w:p>
    <w:p w:rsidR="008604D2" w:rsidP="007D6C3A" w14:paraId="51924268" w14:textId="7D8926FF">
      <w:pPr>
        <w:ind w:left="-360" w:right="-360"/>
        <w:jc w:val="center"/>
        <w:rPr>
          <w:b/>
          <w:bCs/>
          <w:u w:val="single"/>
        </w:rPr>
      </w:pPr>
      <w:r w:rsidRPr="009E4E41">
        <w:rPr>
          <w:b/>
          <w:bCs/>
          <w:u w:val="single"/>
        </w:rPr>
        <w:t>OMB 15</w:t>
      </w:r>
      <w:r w:rsidR="00DA20E0">
        <w:rPr>
          <w:b/>
          <w:bCs/>
          <w:u w:val="single"/>
        </w:rPr>
        <w:t>05-0261</w:t>
      </w:r>
    </w:p>
    <w:p w:rsidR="007D6C3A" w:rsidRPr="009E4E41" w:rsidP="007D6C3A" w14:paraId="730A8232" w14:textId="77777777">
      <w:pPr>
        <w:ind w:left="-360" w:right="-360"/>
        <w:rPr>
          <w:b/>
          <w:bCs/>
        </w:rPr>
      </w:pPr>
    </w:p>
    <w:p w:rsidR="008604D2" w:rsidRPr="006C5DFC" w:rsidP="008604D2" w14:paraId="7531A003" w14:textId="77777777">
      <w:pPr>
        <w:tabs>
          <w:tab w:val="left" w:pos="360"/>
        </w:tabs>
        <w:spacing w:before="120" w:after="120"/>
        <w:ind w:left="360" w:hanging="360"/>
        <w:rPr>
          <w:b/>
          <w:bCs/>
        </w:rPr>
      </w:pPr>
      <w:r w:rsidRPr="006C5DFC">
        <w:rPr>
          <w:b/>
          <w:bCs/>
        </w:rPr>
        <w:t>B.</w:t>
      </w:r>
      <w:r w:rsidRPr="006C5DFC">
        <w:rPr>
          <w:b/>
          <w:bCs/>
        </w:rPr>
        <w:tab/>
        <w:t>Collections of Information Employing Statistical Methods</w:t>
      </w:r>
    </w:p>
    <w:p w:rsidR="007D6C3A" w:rsidRPr="006C5DFC" w:rsidP="006C5DFC" w14:paraId="0BD48A01" w14:textId="77777777">
      <w:pPr>
        <w:numPr>
          <w:ilvl w:val="1"/>
          <w:numId w:val="11"/>
        </w:numPr>
        <w:tabs>
          <w:tab w:val="clear" w:pos="360"/>
        </w:tabs>
        <w:spacing w:before="120" w:after="80"/>
        <w:ind w:left="540" w:hanging="540"/>
        <w:jc w:val="both"/>
        <w:rPr>
          <w:b/>
        </w:rPr>
      </w:pPr>
      <w:r w:rsidRPr="006C5DFC">
        <w:rPr>
          <w:b/>
          <w:bCs/>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6C5DFC">
        <w:rPr>
          <w:b/>
          <w:bCs/>
        </w:rPr>
        <w:t>collection as a whole</w:t>
      </w:r>
      <w:r w:rsidRPr="006C5DFC">
        <w:rPr>
          <w:b/>
          <w:bCs/>
        </w:rPr>
        <w:t>.  If the collection had been conducted previously, include the actual response rate achieved during the last collection.</w:t>
      </w:r>
    </w:p>
    <w:p w:rsidR="006C2C38" w:rsidP="006C2C38" w14:paraId="73BF0607" w14:textId="0DC3A331">
      <w:pPr>
        <w:spacing w:before="120" w:after="80"/>
        <w:ind w:left="720"/>
        <w:jc w:val="both"/>
      </w:pPr>
      <w:r>
        <w:t xml:space="preserve">The entire universe, all primary dealers, of which there are currently </w:t>
      </w:r>
      <w:r w:rsidR="00CD5CAD">
        <w:t>26</w:t>
      </w:r>
      <w:r>
        <w:t>, is surveyed so no sampling methods are used.</w:t>
      </w:r>
    </w:p>
    <w:p w:rsidR="006C2C38" w:rsidRPr="006C2C38" w:rsidP="006C2C38" w14:paraId="02572731" w14:textId="77777777">
      <w:pPr>
        <w:spacing w:before="120" w:after="80"/>
        <w:ind w:left="720"/>
        <w:jc w:val="both"/>
      </w:pPr>
    </w:p>
    <w:p w:rsidR="008604D2" w:rsidRPr="009E4E41" w:rsidP="008604D2" w14:paraId="648744F6" w14:textId="77777777">
      <w:pPr>
        <w:numPr>
          <w:ilvl w:val="1"/>
          <w:numId w:val="11"/>
        </w:numPr>
        <w:tabs>
          <w:tab w:val="clear" w:pos="360"/>
          <w:tab w:val="left" w:pos="540"/>
        </w:tabs>
        <w:spacing w:after="80"/>
        <w:ind w:left="540" w:hanging="540"/>
        <w:jc w:val="both"/>
        <w:rPr>
          <w:b/>
          <w:bCs/>
        </w:rPr>
      </w:pPr>
      <w:r w:rsidRPr="009E4E41">
        <w:rPr>
          <w:b/>
          <w:bCs/>
        </w:rPr>
        <w:t>Describe the procedures for the collection of information including:</w:t>
      </w:r>
    </w:p>
    <w:p w:rsidR="008604D2" w:rsidRPr="009E4E41" w:rsidP="008604D2" w14:paraId="346D7A1F" w14:textId="77777777">
      <w:pPr>
        <w:pStyle w:val="Level1"/>
        <w:numPr>
          <w:ilvl w:val="0"/>
          <w:numId w:val="19"/>
        </w:numPr>
        <w:tabs>
          <w:tab w:val="clear" w:pos="432"/>
          <w:tab w:val="left" w:pos="900"/>
        </w:tabs>
        <w:spacing w:after="80"/>
        <w:ind w:left="900" w:hanging="360"/>
        <w:jc w:val="both"/>
        <w:outlineLvl w:val="9"/>
        <w:rPr>
          <w:b/>
          <w:bCs/>
        </w:rPr>
      </w:pPr>
      <w:r w:rsidRPr="009E4E41">
        <w:rPr>
          <w:b/>
          <w:bCs/>
        </w:rPr>
        <w:t>Statistical methodology for stratification and sample selection,</w:t>
      </w:r>
    </w:p>
    <w:p w:rsidR="008604D2" w:rsidRPr="009E4E41" w:rsidP="008604D2" w14:paraId="66F2BF31" w14:textId="77777777">
      <w:pPr>
        <w:pStyle w:val="Level1"/>
        <w:numPr>
          <w:ilvl w:val="0"/>
          <w:numId w:val="19"/>
        </w:numPr>
        <w:tabs>
          <w:tab w:val="clear" w:pos="432"/>
          <w:tab w:val="left" w:pos="900"/>
        </w:tabs>
        <w:spacing w:after="80"/>
        <w:ind w:left="900" w:hanging="360"/>
        <w:jc w:val="both"/>
        <w:outlineLvl w:val="9"/>
        <w:rPr>
          <w:b/>
          <w:bCs/>
        </w:rPr>
      </w:pPr>
      <w:r w:rsidRPr="009E4E41">
        <w:rPr>
          <w:b/>
          <w:bCs/>
        </w:rPr>
        <w:t>Estimation procedure,</w:t>
      </w:r>
    </w:p>
    <w:p w:rsidR="008604D2" w:rsidRPr="009E4E41" w:rsidP="008604D2" w14:paraId="099DA308" w14:textId="77777777">
      <w:pPr>
        <w:pStyle w:val="Level1"/>
        <w:numPr>
          <w:ilvl w:val="0"/>
          <w:numId w:val="19"/>
        </w:numPr>
        <w:tabs>
          <w:tab w:val="clear" w:pos="432"/>
          <w:tab w:val="left" w:pos="900"/>
        </w:tabs>
        <w:spacing w:after="80"/>
        <w:ind w:left="900" w:hanging="360"/>
        <w:jc w:val="both"/>
        <w:outlineLvl w:val="9"/>
        <w:rPr>
          <w:b/>
          <w:bCs/>
        </w:rPr>
      </w:pPr>
      <w:r w:rsidRPr="009E4E41">
        <w:rPr>
          <w:b/>
          <w:bCs/>
        </w:rPr>
        <w:t>Degree of accuracy needed for the purpose described in the justification,</w:t>
      </w:r>
    </w:p>
    <w:p w:rsidR="008604D2" w:rsidRPr="009E4E41" w:rsidP="008604D2" w14:paraId="7F84106A" w14:textId="77777777">
      <w:pPr>
        <w:pStyle w:val="Level1"/>
        <w:numPr>
          <w:ilvl w:val="0"/>
          <w:numId w:val="19"/>
        </w:numPr>
        <w:tabs>
          <w:tab w:val="clear" w:pos="432"/>
          <w:tab w:val="left" w:pos="900"/>
        </w:tabs>
        <w:spacing w:after="80"/>
        <w:ind w:left="900" w:hanging="360"/>
        <w:jc w:val="both"/>
        <w:outlineLvl w:val="9"/>
        <w:rPr>
          <w:b/>
          <w:bCs/>
        </w:rPr>
      </w:pPr>
      <w:r w:rsidRPr="009E4E41">
        <w:rPr>
          <w:b/>
          <w:bCs/>
        </w:rPr>
        <w:t xml:space="preserve">Unusual problems </w:t>
      </w:r>
      <w:r w:rsidRPr="009E4E41">
        <w:rPr>
          <w:b/>
          <w:bCs/>
        </w:rPr>
        <w:t>requiring</w:t>
      </w:r>
      <w:r w:rsidRPr="009E4E41">
        <w:rPr>
          <w:b/>
          <w:bCs/>
        </w:rPr>
        <w:t xml:space="preserve"> specialized sampling procedures, and</w:t>
      </w:r>
    </w:p>
    <w:p w:rsidR="008604D2" w:rsidRPr="007D6C3A" w:rsidP="008604D2" w14:paraId="0876C0A7" w14:textId="77777777">
      <w:pPr>
        <w:pStyle w:val="Level1"/>
        <w:numPr>
          <w:ilvl w:val="0"/>
          <w:numId w:val="19"/>
        </w:numPr>
        <w:tabs>
          <w:tab w:val="clear" w:pos="432"/>
          <w:tab w:val="left" w:pos="900"/>
        </w:tabs>
        <w:spacing w:after="80"/>
        <w:ind w:left="900" w:hanging="360"/>
        <w:jc w:val="both"/>
        <w:outlineLvl w:val="9"/>
      </w:pPr>
      <w:r w:rsidRPr="009E4E41">
        <w:rPr>
          <w:b/>
          <w:bCs/>
        </w:rPr>
        <w:t>Any use of periodic (less frequent than annual) data collection cycles to reduce burden.</w:t>
      </w:r>
    </w:p>
    <w:p w:rsidR="007D6C3A" w:rsidP="007D6C3A" w14:paraId="4EC969CF" w14:textId="77777777">
      <w:pPr>
        <w:pStyle w:val="Level1"/>
        <w:numPr>
          <w:ilvl w:val="0"/>
          <w:numId w:val="0"/>
        </w:numPr>
        <w:tabs>
          <w:tab w:val="left" w:pos="900"/>
        </w:tabs>
        <w:spacing w:after="80"/>
        <w:ind w:left="540"/>
        <w:jc w:val="both"/>
        <w:outlineLvl w:val="9"/>
        <w:rPr>
          <w:bCs/>
        </w:rPr>
      </w:pPr>
      <w:r w:rsidRPr="007D6C3A">
        <w:rPr>
          <w:bCs/>
        </w:rPr>
        <w:t>Not applicable.</w:t>
      </w:r>
    </w:p>
    <w:p w:rsidR="007D6C3A" w:rsidRPr="007D6C3A" w:rsidP="007D6C3A" w14:paraId="1FED0B4F" w14:textId="77777777">
      <w:pPr>
        <w:pStyle w:val="Level1"/>
        <w:numPr>
          <w:ilvl w:val="0"/>
          <w:numId w:val="0"/>
        </w:numPr>
        <w:tabs>
          <w:tab w:val="left" w:pos="900"/>
        </w:tabs>
        <w:spacing w:after="80"/>
        <w:ind w:left="540"/>
        <w:jc w:val="both"/>
        <w:outlineLvl w:val="9"/>
      </w:pPr>
    </w:p>
    <w:p w:rsidR="008604D2" w:rsidRPr="009E4E41" w:rsidP="008604D2" w14:paraId="63D798C2" w14:textId="77777777">
      <w:pPr>
        <w:numPr>
          <w:ilvl w:val="1"/>
          <w:numId w:val="11"/>
        </w:numPr>
        <w:tabs>
          <w:tab w:val="left" w:pos="360"/>
        </w:tabs>
        <w:spacing w:before="120" w:after="120"/>
        <w:jc w:val="both"/>
        <w:rPr>
          <w:b/>
          <w:bCs/>
        </w:rPr>
      </w:pPr>
      <w:r w:rsidRPr="009E4E41">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604D2" w:rsidRPr="007D6C3A" w:rsidP="008604D2" w14:paraId="610C3A1E" w14:textId="0E69B3F6">
      <w:pPr>
        <w:spacing w:before="120" w:after="120"/>
        <w:ind w:left="360"/>
        <w:jc w:val="both"/>
      </w:pPr>
      <w:r>
        <w:t xml:space="preserve">Since the number of respondents is low (currently </w:t>
      </w:r>
      <w:r w:rsidR="00CD5CAD">
        <w:t>26</w:t>
      </w:r>
      <w:r>
        <w:t>), Treasury can follow</w:t>
      </w:r>
      <w:r w:rsidR="00B65A10">
        <w:t xml:space="preserve"> </w:t>
      </w:r>
      <w:r>
        <w:t>up by email to encourage timely completion of the agenda.</w:t>
      </w:r>
    </w:p>
    <w:p w:rsidR="008604D2" w:rsidRPr="009E4E41" w:rsidP="008604D2" w14:paraId="2D1E8377" w14:textId="77777777">
      <w:pPr>
        <w:numPr>
          <w:ilvl w:val="1"/>
          <w:numId w:val="11"/>
        </w:numPr>
        <w:tabs>
          <w:tab w:val="left" w:pos="360"/>
        </w:tabs>
        <w:spacing w:before="120" w:after="120"/>
        <w:jc w:val="both"/>
        <w:rPr>
          <w:b/>
          <w:bCs/>
        </w:rPr>
      </w:pPr>
      <w:r w:rsidRPr="009E4E41">
        <w:rPr>
          <w:b/>
          <w:bCs/>
        </w:rPr>
        <w:br w:type="page"/>
      </w:r>
      <w:r w:rsidRPr="009E4E41">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604D2" w:rsidRPr="007D6C3A" w:rsidP="008604D2" w14:paraId="06A63BA9" w14:textId="77777777">
      <w:pPr>
        <w:tabs>
          <w:tab w:val="left" w:pos="360"/>
        </w:tabs>
        <w:spacing w:before="120" w:after="120"/>
        <w:ind w:left="360"/>
        <w:jc w:val="both"/>
      </w:pPr>
      <w:r w:rsidRPr="007D6C3A">
        <w:t xml:space="preserve">Not applicable. </w:t>
      </w:r>
    </w:p>
    <w:p w:rsidR="008604D2" w:rsidRPr="009E4E41" w:rsidP="008604D2" w14:paraId="324B6430" w14:textId="77777777">
      <w:pPr>
        <w:numPr>
          <w:ilvl w:val="1"/>
          <w:numId w:val="11"/>
        </w:numPr>
        <w:tabs>
          <w:tab w:val="left" w:pos="360"/>
        </w:tabs>
        <w:spacing w:before="120" w:after="120"/>
        <w:jc w:val="both"/>
        <w:rPr>
          <w:b/>
          <w:bCs/>
        </w:rPr>
      </w:pPr>
      <w:bookmarkStart w:id="0" w:name="OLE_LINK1"/>
      <w:bookmarkStart w:id="1" w:name="OLE_LINK2"/>
      <w:r w:rsidRPr="009E4E41">
        <w:rPr>
          <w:b/>
          <w:bCs/>
        </w:rPr>
        <w:t xml:space="preserve">Provide the name and telephone number of individuals consulted on statistical aspects of the design and the name of the bureau unit, contractor(s), grantee(s), or other person(s) who will </w:t>
      </w:r>
      <w:r w:rsidRPr="009E4E41">
        <w:rPr>
          <w:b/>
          <w:bCs/>
        </w:rPr>
        <w:t>actually collect</w:t>
      </w:r>
      <w:r w:rsidRPr="009E4E41">
        <w:rPr>
          <w:b/>
          <w:bCs/>
        </w:rPr>
        <w:t xml:space="preserve"> and/or analyze the information for the bureau.</w:t>
      </w:r>
    </w:p>
    <w:bookmarkEnd w:id="0"/>
    <w:bookmarkEnd w:id="1"/>
    <w:p w:rsidR="008604D2" w:rsidRPr="007D6C3A" w:rsidP="007D6C3A" w14:paraId="114F5C35" w14:textId="77777777">
      <w:pPr>
        <w:spacing w:before="120" w:after="120"/>
        <w:ind w:left="360"/>
        <w:jc w:val="both"/>
      </w:pPr>
      <w:r w:rsidRPr="007D6C3A">
        <w:t>Not applicable.</w:t>
      </w:r>
    </w:p>
    <w:p w:rsidR="00850CCA" w:rsidRPr="009E4E41" w:rsidP="006E1A4A" w14:paraId="2C911DC5" w14:textId="77777777">
      <w:pPr>
        <w:tabs>
          <w:tab w:val="left" w:pos="540"/>
        </w:tabs>
        <w:spacing w:before="120" w:after="120"/>
        <w:ind w:left="540" w:hanging="540"/>
        <w:jc w:val="center"/>
        <w:rPr>
          <w:b/>
          <w:bCs/>
          <w:color w:val="3366FF"/>
        </w:rPr>
      </w:pPr>
    </w:p>
    <w:sectPr w:rsidSect="00996969">
      <w:footerReference w:type="default" r:id="rId14"/>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AA3" w:rsidRPr="00427A81" w:rsidP="00427A81" w14:paraId="556913CD" w14:textId="7F07960C">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AC32EE">
      <w:rPr>
        <w:rFonts w:ascii="Arial Narrow" w:hAnsi="Arial Narrow" w:cs="Arial"/>
        <w:noProof/>
        <w:sz w:val="20"/>
        <w:szCs w:val="20"/>
      </w:rPr>
      <w:t>1</w:t>
    </w:r>
    <w:r w:rsidRPr="00427A81">
      <w:rPr>
        <w:rFonts w:ascii="Arial Narrow" w:hAnsi="Arial Narrow"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4">
    <w:nsid w:val="1D0F0FB5"/>
    <w:multiLevelType w:val="hybridMultilevel"/>
    <w:tmpl w:val="7C006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E7F07E1"/>
    <w:multiLevelType w:val="hybridMultilevel"/>
    <w:tmpl w:val="EAFA24AC"/>
    <w:lvl w:ilvl="0">
      <w:start w:val="12"/>
      <w:numFmt w:val="decimal"/>
      <w:lvlText w:val="%1."/>
      <w:lvlJc w:val="left"/>
      <w:pPr>
        <w:tabs>
          <w:tab w:val="num" w:pos="360"/>
        </w:tabs>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5CD2B6F"/>
    <w:multiLevelType w:val="hybridMultilevel"/>
    <w:tmpl w:val="AD86658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F9372E5"/>
    <w:multiLevelType w:val="multilevel"/>
    <w:tmpl w:val="05F2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2">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3833B14"/>
    <w:multiLevelType w:val="hybridMultilevel"/>
    <w:tmpl w:val="A11A0682"/>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9">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45635706">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859195">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65761565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891379996">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360669216">
    <w:abstractNumId w:val="34"/>
  </w:num>
  <w:num w:numId="6" w16cid:durableId="376777508">
    <w:abstractNumId w:val="23"/>
  </w:num>
  <w:num w:numId="7" w16cid:durableId="1345980680">
    <w:abstractNumId w:val="38"/>
  </w:num>
  <w:num w:numId="8" w16cid:durableId="1379469554">
    <w:abstractNumId w:val="37"/>
  </w:num>
  <w:num w:numId="9" w16cid:durableId="1798183062">
    <w:abstractNumId w:val="27"/>
  </w:num>
  <w:num w:numId="10" w16cid:durableId="226499932">
    <w:abstractNumId w:val="17"/>
  </w:num>
  <w:num w:numId="11" w16cid:durableId="1855067515">
    <w:abstractNumId w:val="21"/>
  </w:num>
  <w:num w:numId="12" w16cid:durableId="484467195">
    <w:abstractNumId w:val="48"/>
  </w:num>
  <w:num w:numId="13" w16cid:durableId="1201239765">
    <w:abstractNumId w:val="46"/>
  </w:num>
  <w:num w:numId="14" w16cid:durableId="2044162890">
    <w:abstractNumId w:val="36"/>
  </w:num>
  <w:num w:numId="15" w16cid:durableId="1930114960">
    <w:abstractNumId w:val="22"/>
  </w:num>
  <w:num w:numId="16" w16cid:durableId="1643848404">
    <w:abstractNumId w:val="42"/>
  </w:num>
  <w:num w:numId="17" w16cid:durableId="1080907430">
    <w:abstractNumId w:val="25"/>
  </w:num>
  <w:num w:numId="18" w16cid:durableId="459882612">
    <w:abstractNumId w:val="45"/>
  </w:num>
  <w:num w:numId="19" w16cid:durableId="1906793677">
    <w:abstractNumId w:val="41"/>
  </w:num>
  <w:num w:numId="20" w16cid:durableId="139077404">
    <w:abstractNumId w:val="28"/>
  </w:num>
  <w:num w:numId="21" w16cid:durableId="1577277585">
    <w:abstractNumId w:val="49"/>
  </w:num>
  <w:num w:numId="22" w16cid:durableId="1329481200">
    <w:abstractNumId w:val="32"/>
  </w:num>
  <w:num w:numId="23" w16cid:durableId="217977137">
    <w:abstractNumId w:val="18"/>
  </w:num>
  <w:num w:numId="24" w16cid:durableId="302933994">
    <w:abstractNumId w:val="44"/>
  </w:num>
  <w:num w:numId="25" w16cid:durableId="1174151352">
    <w:abstractNumId w:val="33"/>
  </w:num>
  <w:num w:numId="26" w16cid:durableId="1980839936">
    <w:abstractNumId w:val="29"/>
  </w:num>
  <w:num w:numId="27" w16cid:durableId="224490448">
    <w:abstractNumId w:val="43"/>
  </w:num>
  <w:num w:numId="28" w16cid:durableId="859122599">
    <w:abstractNumId w:val="40"/>
  </w:num>
  <w:num w:numId="29" w16cid:durableId="37971081">
    <w:abstractNumId w:val="31"/>
  </w:num>
  <w:num w:numId="30" w16cid:durableId="1780177002">
    <w:abstractNumId w:val="20"/>
  </w:num>
  <w:num w:numId="31" w16cid:durableId="1570729702">
    <w:abstractNumId w:val="19"/>
  </w:num>
  <w:num w:numId="32" w16cid:durableId="744231920">
    <w:abstractNumId w:val="35"/>
  </w:num>
  <w:num w:numId="33" w16cid:durableId="1643733088">
    <w:abstractNumId w:val="30"/>
  </w:num>
  <w:num w:numId="34" w16cid:durableId="1528638504">
    <w:abstractNumId w:val="47"/>
  </w:num>
  <w:num w:numId="35" w16cid:durableId="1845976552">
    <w:abstractNumId w:val="26"/>
  </w:num>
  <w:num w:numId="36" w16cid:durableId="1868713577">
    <w:abstractNumId w:val="39"/>
  </w:num>
  <w:num w:numId="37" w16cid:durableId="390926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263"/>
    <w:rsid w:val="0001492C"/>
    <w:rsid w:val="000322ED"/>
    <w:rsid w:val="000356B0"/>
    <w:rsid w:val="00052C24"/>
    <w:rsid w:val="00053D55"/>
    <w:rsid w:val="00054D50"/>
    <w:rsid w:val="00063823"/>
    <w:rsid w:val="00064E0F"/>
    <w:rsid w:val="0007275C"/>
    <w:rsid w:val="000764CA"/>
    <w:rsid w:val="00076BA1"/>
    <w:rsid w:val="00093C47"/>
    <w:rsid w:val="000C19C3"/>
    <w:rsid w:val="000C4480"/>
    <w:rsid w:val="000D47EA"/>
    <w:rsid w:val="000D4A3E"/>
    <w:rsid w:val="000D59F9"/>
    <w:rsid w:val="000F4DC6"/>
    <w:rsid w:val="000F7D65"/>
    <w:rsid w:val="00103AD6"/>
    <w:rsid w:val="00110928"/>
    <w:rsid w:val="00137162"/>
    <w:rsid w:val="001377FC"/>
    <w:rsid w:val="001425D4"/>
    <w:rsid w:val="00145E6F"/>
    <w:rsid w:val="00153E3D"/>
    <w:rsid w:val="00161E40"/>
    <w:rsid w:val="0017118B"/>
    <w:rsid w:val="001762C7"/>
    <w:rsid w:val="00192CE4"/>
    <w:rsid w:val="00197C59"/>
    <w:rsid w:val="00197F9A"/>
    <w:rsid w:val="001A562D"/>
    <w:rsid w:val="001A592B"/>
    <w:rsid w:val="001A7FE6"/>
    <w:rsid w:val="001C0C09"/>
    <w:rsid w:val="001D1741"/>
    <w:rsid w:val="001D639A"/>
    <w:rsid w:val="001E2556"/>
    <w:rsid w:val="001E7F5A"/>
    <w:rsid w:val="001F3AB3"/>
    <w:rsid w:val="00200A74"/>
    <w:rsid w:val="00213CCA"/>
    <w:rsid w:val="00250FFD"/>
    <w:rsid w:val="002604DF"/>
    <w:rsid w:val="00274508"/>
    <w:rsid w:val="00275544"/>
    <w:rsid w:val="00277125"/>
    <w:rsid w:val="002776CD"/>
    <w:rsid w:val="0029543A"/>
    <w:rsid w:val="002A0657"/>
    <w:rsid w:val="002C048F"/>
    <w:rsid w:val="002C7497"/>
    <w:rsid w:val="002D277C"/>
    <w:rsid w:val="002D2C10"/>
    <w:rsid w:val="002D6743"/>
    <w:rsid w:val="002F3C57"/>
    <w:rsid w:val="003026D4"/>
    <w:rsid w:val="00304E44"/>
    <w:rsid w:val="00312087"/>
    <w:rsid w:val="003468E8"/>
    <w:rsid w:val="00360D61"/>
    <w:rsid w:val="00372A63"/>
    <w:rsid w:val="00384CD8"/>
    <w:rsid w:val="003A42B5"/>
    <w:rsid w:val="003A5DE5"/>
    <w:rsid w:val="003C1E53"/>
    <w:rsid w:val="003C4D61"/>
    <w:rsid w:val="003D1ABD"/>
    <w:rsid w:val="003D4258"/>
    <w:rsid w:val="003E743E"/>
    <w:rsid w:val="00404DD9"/>
    <w:rsid w:val="004233FA"/>
    <w:rsid w:val="00425FEE"/>
    <w:rsid w:val="00427A81"/>
    <w:rsid w:val="00432C2B"/>
    <w:rsid w:val="004441B2"/>
    <w:rsid w:val="00466B49"/>
    <w:rsid w:val="00480D3F"/>
    <w:rsid w:val="00482635"/>
    <w:rsid w:val="0049354C"/>
    <w:rsid w:val="0049408F"/>
    <w:rsid w:val="004A213E"/>
    <w:rsid w:val="004B4F65"/>
    <w:rsid w:val="004C68D1"/>
    <w:rsid w:val="004D39A0"/>
    <w:rsid w:val="004D5A38"/>
    <w:rsid w:val="004D7FBF"/>
    <w:rsid w:val="004E5A0C"/>
    <w:rsid w:val="004F1A61"/>
    <w:rsid w:val="00504B59"/>
    <w:rsid w:val="00507E5C"/>
    <w:rsid w:val="0051141B"/>
    <w:rsid w:val="00524F5E"/>
    <w:rsid w:val="00546E75"/>
    <w:rsid w:val="00561B09"/>
    <w:rsid w:val="00565B3C"/>
    <w:rsid w:val="005829ED"/>
    <w:rsid w:val="00585CCA"/>
    <w:rsid w:val="00592FB6"/>
    <w:rsid w:val="005979B4"/>
    <w:rsid w:val="005B1E25"/>
    <w:rsid w:val="005C72A5"/>
    <w:rsid w:val="005E6915"/>
    <w:rsid w:val="00627CD0"/>
    <w:rsid w:val="006339C0"/>
    <w:rsid w:val="006364E6"/>
    <w:rsid w:val="006433AF"/>
    <w:rsid w:val="006445A9"/>
    <w:rsid w:val="00686A62"/>
    <w:rsid w:val="00687727"/>
    <w:rsid w:val="006A609B"/>
    <w:rsid w:val="006B455B"/>
    <w:rsid w:val="006C2C38"/>
    <w:rsid w:val="006C5DFC"/>
    <w:rsid w:val="006E1A4A"/>
    <w:rsid w:val="006E6798"/>
    <w:rsid w:val="006E77E4"/>
    <w:rsid w:val="006F4474"/>
    <w:rsid w:val="0070123C"/>
    <w:rsid w:val="00706090"/>
    <w:rsid w:val="00707BDE"/>
    <w:rsid w:val="00716B41"/>
    <w:rsid w:val="0072149A"/>
    <w:rsid w:val="00723757"/>
    <w:rsid w:val="0073644F"/>
    <w:rsid w:val="00763AB9"/>
    <w:rsid w:val="00772076"/>
    <w:rsid w:val="00772BF5"/>
    <w:rsid w:val="00785332"/>
    <w:rsid w:val="007853C8"/>
    <w:rsid w:val="007B4237"/>
    <w:rsid w:val="007C4A95"/>
    <w:rsid w:val="007C6D73"/>
    <w:rsid w:val="007D32E4"/>
    <w:rsid w:val="007D6354"/>
    <w:rsid w:val="007D6C3A"/>
    <w:rsid w:val="008112BA"/>
    <w:rsid w:val="00840F39"/>
    <w:rsid w:val="0084328F"/>
    <w:rsid w:val="00850CCA"/>
    <w:rsid w:val="008604D2"/>
    <w:rsid w:val="00862A24"/>
    <w:rsid w:val="00863F6C"/>
    <w:rsid w:val="00890057"/>
    <w:rsid w:val="00896096"/>
    <w:rsid w:val="008A2CE2"/>
    <w:rsid w:val="008C325F"/>
    <w:rsid w:val="008C65F9"/>
    <w:rsid w:val="008D6A5B"/>
    <w:rsid w:val="008D7536"/>
    <w:rsid w:val="008F1D6B"/>
    <w:rsid w:val="008F27F5"/>
    <w:rsid w:val="00903118"/>
    <w:rsid w:val="00903689"/>
    <w:rsid w:val="00904A41"/>
    <w:rsid w:val="0091588E"/>
    <w:rsid w:val="00917427"/>
    <w:rsid w:val="00924AF9"/>
    <w:rsid w:val="00933DD2"/>
    <w:rsid w:val="0094561B"/>
    <w:rsid w:val="009562E0"/>
    <w:rsid w:val="009851DC"/>
    <w:rsid w:val="009852C7"/>
    <w:rsid w:val="00991A15"/>
    <w:rsid w:val="00993D01"/>
    <w:rsid w:val="00996969"/>
    <w:rsid w:val="009A00A9"/>
    <w:rsid w:val="009A1BA3"/>
    <w:rsid w:val="009A3565"/>
    <w:rsid w:val="009A3D4D"/>
    <w:rsid w:val="009A6A00"/>
    <w:rsid w:val="009A769F"/>
    <w:rsid w:val="009C0D21"/>
    <w:rsid w:val="009D41BE"/>
    <w:rsid w:val="009D62C4"/>
    <w:rsid w:val="009E4E41"/>
    <w:rsid w:val="00A10E81"/>
    <w:rsid w:val="00A31BA0"/>
    <w:rsid w:val="00A325A6"/>
    <w:rsid w:val="00A34B4D"/>
    <w:rsid w:val="00A555A9"/>
    <w:rsid w:val="00A55BB2"/>
    <w:rsid w:val="00A56739"/>
    <w:rsid w:val="00A5675F"/>
    <w:rsid w:val="00A57A6F"/>
    <w:rsid w:val="00A9180D"/>
    <w:rsid w:val="00AA65AC"/>
    <w:rsid w:val="00AC32EE"/>
    <w:rsid w:val="00AC3441"/>
    <w:rsid w:val="00AC5419"/>
    <w:rsid w:val="00AD04C4"/>
    <w:rsid w:val="00AD1BA9"/>
    <w:rsid w:val="00AD3CB7"/>
    <w:rsid w:val="00B12439"/>
    <w:rsid w:val="00B22415"/>
    <w:rsid w:val="00B24D8F"/>
    <w:rsid w:val="00B408C7"/>
    <w:rsid w:val="00B454FB"/>
    <w:rsid w:val="00B55393"/>
    <w:rsid w:val="00B60FF9"/>
    <w:rsid w:val="00B65A10"/>
    <w:rsid w:val="00B8508C"/>
    <w:rsid w:val="00B96AE4"/>
    <w:rsid w:val="00BA5E91"/>
    <w:rsid w:val="00BA6AB4"/>
    <w:rsid w:val="00BC3DAF"/>
    <w:rsid w:val="00BC550A"/>
    <w:rsid w:val="00BC5EF3"/>
    <w:rsid w:val="00BE0092"/>
    <w:rsid w:val="00BE11A3"/>
    <w:rsid w:val="00BE7F94"/>
    <w:rsid w:val="00BF116B"/>
    <w:rsid w:val="00BF370D"/>
    <w:rsid w:val="00C01B3C"/>
    <w:rsid w:val="00C115F5"/>
    <w:rsid w:val="00C16988"/>
    <w:rsid w:val="00C230FB"/>
    <w:rsid w:val="00C319AB"/>
    <w:rsid w:val="00C37CD8"/>
    <w:rsid w:val="00C43EA7"/>
    <w:rsid w:val="00C70B7F"/>
    <w:rsid w:val="00C7479E"/>
    <w:rsid w:val="00C80AA3"/>
    <w:rsid w:val="00C966F4"/>
    <w:rsid w:val="00CB0A80"/>
    <w:rsid w:val="00CB1460"/>
    <w:rsid w:val="00CC47FD"/>
    <w:rsid w:val="00CC579B"/>
    <w:rsid w:val="00CD5CAD"/>
    <w:rsid w:val="00CE3842"/>
    <w:rsid w:val="00CE6963"/>
    <w:rsid w:val="00D2080F"/>
    <w:rsid w:val="00D25FB6"/>
    <w:rsid w:val="00D51832"/>
    <w:rsid w:val="00D7581E"/>
    <w:rsid w:val="00DA20E0"/>
    <w:rsid w:val="00DA6A0A"/>
    <w:rsid w:val="00DB0D29"/>
    <w:rsid w:val="00DB2651"/>
    <w:rsid w:val="00DC3980"/>
    <w:rsid w:val="00DC39EA"/>
    <w:rsid w:val="00DC61F7"/>
    <w:rsid w:val="00DF3B5F"/>
    <w:rsid w:val="00E42A28"/>
    <w:rsid w:val="00E5174B"/>
    <w:rsid w:val="00E54A0B"/>
    <w:rsid w:val="00E54BD8"/>
    <w:rsid w:val="00E552CD"/>
    <w:rsid w:val="00E66A74"/>
    <w:rsid w:val="00E7541A"/>
    <w:rsid w:val="00E91685"/>
    <w:rsid w:val="00EA4C2A"/>
    <w:rsid w:val="00EA6A0F"/>
    <w:rsid w:val="00EA7CE0"/>
    <w:rsid w:val="00EB09C3"/>
    <w:rsid w:val="00EC10FF"/>
    <w:rsid w:val="00EE73E2"/>
    <w:rsid w:val="00EF7076"/>
    <w:rsid w:val="00F02E11"/>
    <w:rsid w:val="00F05C9C"/>
    <w:rsid w:val="00F064FD"/>
    <w:rsid w:val="00F32E26"/>
    <w:rsid w:val="00F369E7"/>
    <w:rsid w:val="00F43705"/>
    <w:rsid w:val="00F51C2A"/>
    <w:rsid w:val="00F56077"/>
    <w:rsid w:val="00F725A0"/>
    <w:rsid w:val="00F736E2"/>
    <w:rsid w:val="00F76B83"/>
    <w:rsid w:val="00F8418A"/>
    <w:rsid w:val="00F91E42"/>
    <w:rsid w:val="00FA1E5A"/>
    <w:rsid w:val="00FA401E"/>
    <w:rsid w:val="00FB119E"/>
    <w:rsid w:val="00FB252E"/>
    <w:rsid w:val="00FB3324"/>
    <w:rsid w:val="00FC78FC"/>
    <w:rsid w:val="00FD0060"/>
    <w:rsid w:val="00FD45BA"/>
    <w:rsid w:val="00FF3A75"/>
    <w:rsid w:val="00FF4D45"/>
    <w:rsid w:val="00FF57A9"/>
    <w:rsid w:val="00FF7147"/>
    <w:rsid w:val="00FF79F1"/>
    <w:rsid w:val="01EC91ED"/>
    <w:rsid w:val="0A02157B"/>
    <w:rsid w:val="16783A5F"/>
    <w:rsid w:val="19C27D8E"/>
    <w:rsid w:val="1F588A05"/>
    <w:rsid w:val="2A04383F"/>
    <w:rsid w:val="2AFA7F55"/>
    <w:rsid w:val="2BDE3566"/>
    <w:rsid w:val="2CC1FD19"/>
    <w:rsid w:val="39C616EE"/>
    <w:rsid w:val="3E8CFF1E"/>
    <w:rsid w:val="5553CF43"/>
    <w:rsid w:val="6247CE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67CDB03"/>
  <w15:docId w15:val="{E4CB6D5C-057D-4C5D-B078-DD103961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Revision">
    <w:name w:val="Revision"/>
    <w:hidden/>
    <w:uiPriority w:val="99"/>
    <w:semiHidden/>
    <w:rsid w:val="00F32E26"/>
    <w:rPr>
      <w:sz w:val="24"/>
      <w:szCs w:val="24"/>
    </w:rPr>
  </w:style>
  <w:style w:type="paragraph" w:styleId="ListParagraph">
    <w:name w:val="List Paragraph"/>
    <w:basedOn w:val="Normal"/>
    <w:uiPriority w:val="34"/>
    <w:qFormat/>
    <w:rsid w:val="00110928"/>
    <w:pPr>
      <w:ind w:left="720"/>
    </w:pPr>
  </w:style>
  <w:style w:type="character" w:styleId="FollowedHyperlink">
    <w:name w:val="FollowedHyperlink"/>
    <w:basedOn w:val="DefaultParagraphFont"/>
    <w:rsid w:val="00F369E7"/>
    <w:rPr>
      <w:color w:val="954F72" w:themeColor="followedHyperlink"/>
      <w:u w:val="single"/>
    </w:rPr>
  </w:style>
  <w:style w:type="character" w:styleId="UnresolvedMention">
    <w:name w:val="Unresolved Mention"/>
    <w:basedOn w:val="DefaultParagraphFont"/>
    <w:uiPriority w:val="99"/>
    <w:semiHidden/>
    <w:unhideWhenUsed/>
    <w:rsid w:val="002D2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reasury.gov/resource-center/data-chart-center/quarterly-refunding/Pages/agenda-index.aspx" TargetMode="External" /><Relationship Id="rId11" Type="http://schemas.openxmlformats.org/officeDocument/2006/relationships/hyperlink" Target="https://www.newyorkfed.org/markets/primarydealers" TargetMode="External" /><Relationship Id="rId12" Type="http://schemas.openxmlformats.org/officeDocument/2006/relationships/hyperlink" Target="https://www.bls.gov/oes/current/oes132051.htm" TargetMode="External" /><Relationship Id="rId13" Type="http://schemas.openxmlformats.org/officeDocument/2006/relationships/hyperlink" Target="https://www.opm.gov/policy-data-oversight/pay-leave/salaries-wages/salary-tables/25Tables/html/DCB_h.aspx"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treasury.gov/resource-center/data-chart-center/quarterly-refunding/Pages/defaul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2052342948149B08E9EE37AC7E326" ma:contentTypeVersion="4" ma:contentTypeDescription="Create a new document." ma:contentTypeScope="" ma:versionID="45fab9469fac0e66b729e87286a66f90">
  <xsd:schema xmlns:xsd="http://www.w3.org/2001/XMLSchema" xmlns:xs="http://www.w3.org/2001/XMLSchema" xmlns:p="http://schemas.microsoft.com/office/2006/metadata/properties" xmlns:ns2="91d9dde6-120a-4807-9c7d-cba4db29d047" xmlns:ns3="91882c98-ad7c-457b-bb99-16138be0c2aa" targetNamespace="http://schemas.microsoft.com/office/2006/metadata/properties" ma:root="true" ma:fieldsID="3c53d78ff479e07dc04e0a1f26739067" ns2:_="" ns3:_="">
    <xsd:import namespace="91d9dde6-120a-4807-9c7d-cba4db29d04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dde6-120a-4807-9c7d-cba4db29d04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seID xmlns="91d9dde6-120a-4807-9c7d-cba4db29d047">20259-SE-10806</CaseID>
    <Category xmlns="91d9dde6-120a-4807-9c7d-cba4db29d047">IC</Category>
    <DocID xmlns="91d9dde6-120a-4807-9c7d-cba4db29d047">14ae8658-121b-402a-a536-691b179e3515</Doc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2.xml><?xml version="1.0" encoding="utf-8"?>
<ds:datastoreItem xmlns:ds="http://schemas.openxmlformats.org/officeDocument/2006/customXml" ds:itemID="{D5ABCDFA-6E8A-44F3-AC74-31B03178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dde6-120a-4807-9c7d-cba4db29d04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4.xml><?xml version="1.0" encoding="utf-8"?>
<ds:datastoreItem xmlns:ds="http://schemas.openxmlformats.org/officeDocument/2006/customXml" ds:itemID="{C97F97C6-BDCA-47DF-92D1-42CC9CFF0542}">
  <ds:schemaRefs>
    <ds:schemaRef ds:uri="http://schemas.microsoft.com/office/2006/metadata/properties"/>
    <ds:schemaRef ds:uri="http://schemas.microsoft.com/office/infopath/2007/PartnerControls"/>
    <ds:schemaRef ds:uri="91d9dde6-120a-4807-9c7d-cba4db29d047"/>
  </ds:schemaRefs>
</ds:datastoreItem>
</file>

<file path=customXml/itemProps5.xml><?xml version="1.0" encoding="utf-8"?>
<ds:datastoreItem xmlns:ds="http://schemas.openxmlformats.org/officeDocument/2006/customXml" ds:itemID="{0CB5E70B-F9D9-4652-B3C4-76E2D22B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Clark, Spencer</cp:lastModifiedBy>
  <cp:revision>7</cp:revision>
  <cp:lastPrinted>2025-11-18T22:13:00Z</cp:lastPrinted>
  <dcterms:created xsi:type="dcterms:W3CDTF">2026-03-12T18:01:00Z</dcterms:created>
  <dcterms:modified xsi:type="dcterms:W3CDTF">2026-03-12T18:35:00Z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0x0101008BE2052342948149B08E9EE37AC7E326</vt:lpwstr>
  </property>
  <property fmtid="{D5CDD505-2E9C-101B-9397-08002B2CF9AE}" pid="3" name="_dlc_DocId">
    <vt:lpwstr>DOPTR-1166-1173</vt:lpwstr>
  </property>
  <property fmtid="{D5CDD505-2E9C-101B-9397-08002B2CF9AE}" pid="4" name="_dlc_DocIdItemGuid">
    <vt:lpwstr>d186e37a-e02a-4566-8549-aff1eb0f2f67</vt:lpwstr>
  </property>
  <property fmtid="{D5CDD505-2E9C-101B-9397-08002B2CF9AE}" pid="5" name="_dlc_DocIdUrl">
    <vt:lpwstr>https://thegreen.treas.gov/do/ptr/optr/treasuryrecords/pra/_layouts/DocIdRedir.aspx?ID=DOPTR-1166-1173, DOPTR-1166-1173</vt:lpwstr>
  </property>
</Properties>
</file>