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74AB" w:rsidRPr="006625C2" w:rsidP="006625C2" w14:paraId="4B802A5B" w14:textId="4C71756D">
      <w:pPr>
        <w:jc w:val="center"/>
        <w:rPr>
          <w:rFonts w:ascii="Times New Roman" w:hAnsi="Times New Roman"/>
          <w:b/>
          <w:bCs/>
        </w:rPr>
      </w:pPr>
      <w:r w:rsidRPr="006625C2">
        <w:rPr>
          <w:rFonts w:ascii="Times New Roman" w:hAnsi="Times New Roman"/>
          <w:b/>
          <w:bCs/>
        </w:rPr>
        <w:t xml:space="preserve">SUPPORTING STATEMENT FOR PAPERWORK REDUCTION ACT </w:t>
      </w:r>
      <w:r w:rsidRPr="006625C2" w:rsidR="00797768">
        <w:rPr>
          <w:rFonts w:ascii="Times New Roman" w:hAnsi="Times New Roman"/>
          <w:b/>
          <w:bCs/>
        </w:rPr>
        <w:t xml:space="preserve">OF </w:t>
      </w:r>
      <w:r w:rsidRPr="006625C2">
        <w:rPr>
          <w:rFonts w:ascii="Times New Roman" w:hAnsi="Times New Roman"/>
          <w:b/>
          <w:bCs/>
        </w:rPr>
        <w:t>1995</w:t>
      </w:r>
      <w:r w:rsidRPr="006625C2" w:rsidR="006625C2">
        <w:rPr>
          <w:rFonts w:ascii="Times New Roman" w:hAnsi="Times New Roman"/>
          <w:b/>
          <w:bCs/>
        </w:rPr>
        <w:t>:</w:t>
      </w:r>
      <w:r w:rsidRPr="006625C2">
        <w:rPr>
          <w:rFonts w:ascii="Times New Roman" w:hAnsi="Times New Roman"/>
          <w:b/>
          <w:bCs/>
        </w:rPr>
        <w:t xml:space="preserve"> </w:t>
      </w:r>
      <w:r w:rsidRPr="006625C2" w:rsidR="006625C2">
        <w:rPr>
          <w:rFonts w:ascii="Times New Roman" w:hAnsi="Times New Roman"/>
          <w:b/>
          <w:bCs/>
        </w:rPr>
        <w:t>PROHIBITED TRANSACTION CLASS EXEMPTION 92-6</w:t>
      </w:r>
    </w:p>
    <w:p w:rsidR="00821E14" w:rsidP="00CD2843" w14:paraId="0EE5B59C" w14:textId="77777777">
      <w:pPr>
        <w:rPr>
          <w:rFonts w:ascii="Times New Roman" w:hAnsi="Times New Roman"/>
        </w:rPr>
      </w:pPr>
    </w:p>
    <w:p w:rsidR="003674AB" w:rsidRPr="00084B9A" w:rsidP="005923EC" w14:paraId="2468CCF4" w14:textId="347AE216">
      <w:pPr>
        <w:rPr>
          <w:rFonts w:ascii="Times New Roman" w:hAnsi="Times New Roman"/>
          <w:b/>
          <w:bCs/>
        </w:rPr>
      </w:pPr>
      <w:r w:rsidRPr="00084B9A">
        <w:rPr>
          <w:rFonts w:ascii="Times New Roman" w:hAnsi="Times New Roman"/>
          <w:b/>
          <w:bCs/>
        </w:rPr>
        <w:t xml:space="preserve">This information collection request (ICR) seeks approval for an extension without change of </w:t>
      </w:r>
      <w:r w:rsidRPr="00084B9A">
        <w:rPr>
          <w:rFonts w:ascii="Times New Roman" w:hAnsi="Times New Roman"/>
          <w:b/>
          <w:bCs/>
        </w:rPr>
        <w:t>an</w:t>
      </w:r>
      <w:r w:rsidRPr="00084B9A">
        <w:rPr>
          <w:rFonts w:ascii="Times New Roman" w:hAnsi="Times New Roman"/>
          <w:b/>
          <w:bCs/>
        </w:rPr>
        <w:t xml:space="preserve"> existing control number.</w:t>
      </w:r>
    </w:p>
    <w:p w:rsidR="00084B9A" w:rsidRPr="00CD2843" w:rsidP="005923EC" w14:paraId="694022FB" w14:textId="77777777">
      <w:pPr>
        <w:rPr>
          <w:rFonts w:ascii="Times New Roman" w:hAnsi="Times New Roman"/>
        </w:rPr>
      </w:pPr>
    </w:p>
    <w:p w:rsidR="003674AB" w:rsidRPr="00CD2843" w:rsidP="00CD2843" w14:paraId="638B60B7" w14:textId="58B07AB3">
      <w:pPr>
        <w:numPr>
          <w:ilvl w:val="0"/>
          <w:numId w:val="5"/>
        </w:numPr>
        <w:ind w:hanging="720"/>
        <w:rPr>
          <w:rFonts w:ascii="Times New Roman" w:hAnsi="Times New Roman"/>
        </w:rPr>
      </w:pPr>
      <w:r w:rsidRPr="00CD2843">
        <w:rPr>
          <w:rFonts w:ascii="Times New Roman" w:hAnsi="Times New Roman"/>
          <w:b/>
          <w:bCs/>
        </w:rPr>
        <w:t>JUSTIFICATION</w:t>
      </w:r>
    </w:p>
    <w:p w:rsidR="003674AB" w:rsidRPr="00CD2843" w:rsidP="00CD2843" w14:paraId="750A2F88" w14:textId="77777777">
      <w:pPr>
        <w:ind w:left="720"/>
        <w:rPr>
          <w:rFonts w:ascii="Times New Roman" w:hAnsi="Times New Roman"/>
        </w:rPr>
      </w:pPr>
    </w:p>
    <w:p w:rsidR="003674AB" w:rsidRPr="005923EC" w:rsidP="00CD2843" w14:paraId="22CE798E" w14:textId="77777777">
      <w:pPr>
        <w:pStyle w:val="Quick1"/>
        <w:numPr>
          <w:ilvl w:val="0"/>
          <w:numId w:val="1"/>
        </w:numPr>
        <w:tabs>
          <w:tab w:val="left" w:pos="-1440"/>
          <w:tab w:val="num" w:pos="720"/>
        </w:tabs>
        <w:rPr>
          <w:rFonts w:ascii="Times New Roman" w:hAnsi="Times New Roman"/>
          <w:b/>
          <w:bCs/>
        </w:rPr>
      </w:pPr>
      <w:r w:rsidRPr="005923EC">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74AB" w:rsidRPr="00CD2843" w:rsidP="00CD2843" w14:paraId="661A0DE2" w14:textId="77777777">
      <w:pPr>
        <w:ind w:left="720"/>
        <w:rPr>
          <w:rFonts w:ascii="Times New Roman" w:hAnsi="Times New Roman"/>
        </w:rPr>
      </w:pPr>
    </w:p>
    <w:p w:rsidR="003674AB" w:rsidRPr="00DB77EF" w:rsidP="00CD2843" w14:paraId="10937404" w14:textId="7A3C5CB1">
      <w:pPr>
        <w:ind w:left="720"/>
        <w:rPr>
          <w:rFonts w:ascii="Times New Roman" w:hAnsi="Times New Roman"/>
        </w:rPr>
      </w:pPr>
      <w:r w:rsidRPr="002013F6">
        <w:rPr>
          <w:rFonts w:ascii="Times New Roman" w:hAnsi="Times New Roman"/>
        </w:rPr>
        <w:t xml:space="preserve">Section 408(a) of the Employee Retirement Income Security Act of 1974 (ERISA) and section 4975(c)(2) of the Internal Revenue Code of </w:t>
      </w:r>
      <w:r w:rsidRPr="00DB77EF">
        <w:rPr>
          <w:rFonts w:ascii="Times New Roman" w:hAnsi="Times New Roman"/>
        </w:rPr>
        <w:t xml:space="preserve">1986 (the Code) authorize the Secretary of Labor and the Secretary of the Treasury to grant a conditional or unconditional exemption of any fiduciary, disqualified person or class of fiduciaries, or orders of disqualified persons or transactions, from all or part of the restrictions imposed by </w:t>
      </w:r>
      <w:r w:rsidR="008B6F9E">
        <w:rPr>
          <w:rFonts w:ascii="Times New Roman" w:hAnsi="Times New Roman"/>
        </w:rPr>
        <w:t xml:space="preserve">ERISA </w:t>
      </w:r>
      <w:r w:rsidRPr="00DB77EF">
        <w:rPr>
          <w:rFonts w:ascii="Times New Roman" w:hAnsi="Times New Roman"/>
        </w:rPr>
        <w:t xml:space="preserve">sections 406 and 407(a) and from the taxes imposed by </w:t>
      </w:r>
      <w:r w:rsidR="008B6F9E">
        <w:rPr>
          <w:rFonts w:ascii="Times New Roman" w:hAnsi="Times New Roman"/>
        </w:rPr>
        <w:t xml:space="preserve">Code </w:t>
      </w:r>
      <w:r w:rsidRPr="00DB77EF">
        <w:rPr>
          <w:rFonts w:ascii="Times New Roman" w:hAnsi="Times New Roman"/>
        </w:rPr>
        <w:t xml:space="preserve">sections 4975(a) and (b), by reason of </w:t>
      </w:r>
      <w:r w:rsidR="008B6F9E">
        <w:rPr>
          <w:rFonts w:ascii="Times New Roman" w:hAnsi="Times New Roman"/>
        </w:rPr>
        <w:t xml:space="preserve">Code </w:t>
      </w:r>
      <w:r w:rsidRPr="00DB77EF">
        <w:rPr>
          <w:rFonts w:ascii="Times New Roman" w:hAnsi="Times New Roman"/>
        </w:rPr>
        <w:t xml:space="preserve">section 4975(c)(1).  Under section 102 of Reorganization Plan No. 4 of 1978 (Reorganization Plan No. 4), the Secretary of Labor was given the authority to grant such exemptions. </w:t>
      </w:r>
    </w:p>
    <w:p w:rsidR="003674AB" w:rsidRPr="00DB77EF" w:rsidP="00CD2843" w14:paraId="03D679ED" w14:textId="77777777">
      <w:pPr>
        <w:ind w:left="720"/>
        <w:rPr>
          <w:rFonts w:ascii="Times New Roman" w:hAnsi="Times New Roman"/>
        </w:rPr>
      </w:pPr>
    </w:p>
    <w:p w:rsidR="003674AB" w:rsidRPr="00DB77EF" w:rsidP="00CD2843" w14:paraId="56101C9D" w14:textId="21B6BC61">
      <w:pPr>
        <w:ind w:left="720"/>
        <w:rPr>
          <w:rFonts w:ascii="Times New Roman" w:hAnsi="Times New Roman"/>
        </w:rPr>
      </w:pPr>
      <w:bookmarkStart w:id="0" w:name="OLE_LINK7"/>
      <w:bookmarkStart w:id="1" w:name="OLE_LINK8"/>
      <w:r w:rsidRPr="00DB77EF">
        <w:rPr>
          <w:rFonts w:ascii="Times New Roman" w:hAnsi="Times New Roman"/>
        </w:rPr>
        <w:t xml:space="preserve">PTE 92-6 exempts from the prohibited transaction restrictions the sale of individual life insurance or annuity contracts held by an employee benefit plan to: (1) plan participants </w:t>
      </w:r>
      <w:r w:rsidR="00435EC6">
        <w:rPr>
          <w:rFonts w:ascii="Times New Roman" w:hAnsi="Times New Roman"/>
        </w:rPr>
        <w:t>under such plan</w:t>
      </w:r>
      <w:r w:rsidRPr="00DB77EF">
        <w:rPr>
          <w:rFonts w:ascii="Times New Roman" w:hAnsi="Times New Roman"/>
        </w:rPr>
        <w:t xml:space="preserve">; (2) relatives of such participants </w:t>
      </w:r>
      <w:r w:rsidR="00435EC6">
        <w:rPr>
          <w:rFonts w:ascii="Times New Roman" w:hAnsi="Times New Roman"/>
        </w:rPr>
        <w:t>under such plan</w:t>
      </w:r>
      <w:r w:rsidRPr="00DB77EF">
        <w:rPr>
          <w:rFonts w:ascii="Times New Roman" w:hAnsi="Times New Roman"/>
        </w:rPr>
        <w:t xml:space="preserve">, (3) employers, any of whose employees are covered by </w:t>
      </w:r>
      <w:r w:rsidR="00435EC6">
        <w:rPr>
          <w:rFonts w:ascii="Times New Roman" w:hAnsi="Times New Roman"/>
        </w:rPr>
        <w:t>such</w:t>
      </w:r>
      <w:r w:rsidRPr="00DB77EF" w:rsidR="00435EC6">
        <w:rPr>
          <w:rFonts w:ascii="Times New Roman" w:hAnsi="Times New Roman"/>
        </w:rPr>
        <w:t xml:space="preserve"> </w:t>
      </w:r>
      <w:r w:rsidRPr="00DB77EF">
        <w:rPr>
          <w:rFonts w:ascii="Times New Roman" w:hAnsi="Times New Roman"/>
        </w:rPr>
        <w:t xml:space="preserve">plan; (4) other employee benefit plans that have a party in interest relationship; (5) owner-employees (as defined in </w:t>
      </w:r>
      <w:r w:rsidR="008B6F9E">
        <w:rPr>
          <w:rFonts w:ascii="Times New Roman" w:hAnsi="Times New Roman"/>
        </w:rPr>
        <w:t xml:space="preserve">Code </w:t>
      </w:r>
      <w:r w:rsidRPr="00DB77EF">
        <w:rPr>
          <w:rFonts w:ascii="Times New Roman" w:hAnsi="Times New Roman"/>
        </w:rPr>
        <w:t xml:space="preserve">section 401(c)(3)), (6) shareholder-employees (as defined in </w:t>
      </w:r>
      <w:r w:rsidR="008B6F9E">
        <w:rPr>
          <w:rFonts w:ascii="Times New Roman" w:hAnsi="Times New Roman"/>
        </w:rPr>
        <w:t xml:space="preserve">Code </w:t>
      </w:r>
      <w:r w:rsidRPr="00DB77EF">
        <w:rPr>
          <w:rFonts w:ascii="Times New Roman" w:hAnsi="Times New Roman"/>
        </w:rPr>
        <w:t xml:space="preserve">section 1379 of the Internal Revenue Code of 1954 as in effect on the day before the enactment of the Subchapter S Revision Act of 1982), or (7) trusts established by plan participants </w:t>
      </w:r>
      <w:r w:rsidR="00435EC6">
        <w:rPr>
          <w:rFonts w:ascii="Times New Roman" w:hAnsi="Times New Roman"/>
        </w:rPr>
        <w:t>of such plan</w:t>
      </w:r>
      <w:r w:rsidRPr="00DB77EF">
        <w:rPr>
          <w:rFonts w:ascii="Times New Roman" w:hAnsi="Times New Roman"/>
        </w:rPr>
        <w:t xml:space="preserve"> or relatives of such participants who are the beneficiaries under </w:t>
      </w:r>
      <w:r w:rsidR="00435EC6">
        <w:rPr>
          <w:rFonts w:ascii="Times New Roman" w:hAnsi="Times New Roman"/>
        </w:rPr>
        <w:t>such plan</w:t>
      </w:r>
      <w:r w:rsidRPr="00DB77EF">
        <w:rPr>
          <w:rFonts w:ascii="Times New Roman" w:hAnsi="Times New Roman"/>
        </w:rPr>
        <w:t xml:space="preserve">, for </w:t>
      </w:r>
      <w:r w:rsidR="008B6F9E">
        <w:rPr>
          <w:rFonts w:ascii="Times New Roman" w:hAnsi="Times New Roman"/>
        </w:rPr>
        <w:t>at least an amount equal to the amount necessary to put the plan in the same cash position as it would have been had it retained the contract, surrendered it, and made any distributions owing to the participant on his or her vested interest under such plan</w:t>
      </w:r>
      <w:r w:rsidRPr="00DB77EF">
        <w:rPr>
          <w:rFonts w:ascii="Times New Roman" w:hAnsi="Times New Roman"/>
        </w:rPr>
        <w:t>, provided certain conditions set forth in the class exemption are met.</w:t>
      </w:r>
    </w:p>
    <w:bookmarkEnd w:id="0"/>
    <w:bookmarkEnd w:id="1"/>
    <w:p w:rsidR="003674AB" w:rsidRPr="00DB77EF" w:rsidP="00CB5E58" w14:paraId="09FB3749" w14:textId="77777777">
      <w:pPr>
        <w:rPr>
          <w:rFonts w:ascii="Times New Roman" w:hAnsi="Times New Roman"/>
        </w:rPr>
      </w:pPr>
    </w:p>
    <w:p w:rsidR="003674AB" w:rsidRPr="005923EC" w:rsidP="00CD2843" w14:paraId="0584A61E" w14:textId="77777777">
      <w:pPr>
        <w:pStyle w:val="Quick1"/>
        <w:numPr>
          <w:ilvl w:val="0"/>
          <w:numId w:val="1"/>
        </w:numPr>
        <w:tabs>
          <w:tab w:val="left" w:pos="-1440"/>
          <w:tab w:val="num" w:pos="720"/>
        </w:tabs>
        <w:rPr>
          <w:rFonts w:ascii="Times New Roman" w:hAnsi="Times New Roman"/>
          <w:b/>
          <w:bCs/>
        </w:rPr>
      </w:pPr>
      <w:r w:rsidRPr="005923EC">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9C20D4" w:rsidP="009C20D4" w14:paraId="39ED90E3" w14:textId="77777777">
      <w:pPr>
        <w:rPr>
          <w:rFonts w:ascii="Times New Roman" w:hAnsi="Times New Roman"/>
        </w:rPr>
      </w:pPr>
    </w:p>
    <w:p w:rsidR="003674AB" w:rsidRPr="00DB77EF" w:rsidP="006D21B8" w14:paraId="1BB9F1B4" w14:textId="5A821276">
      <w:pPr>
        <w:ind w:left="720"/>
        <w:rPr>
          <w:rFonts w:ascii="Times New Roman" w:hAnsi="Times New Roman"/>
        </w:rPr>
      </w:pPr>
      <w:r w:rsidRPr="00DB77EF">
        <w:rPr>
          <w:rFonts w:ascii="Times New Roman" w:hAnsi="Times New Roman"/>
        </w:rPr>
        <w:t xml:space="preserve">The Department has included in the class </w:t>
      </w:r>
      <w:r w:rsidRPr="00DB77EF">
        <w:rPr>
          <w:rFonts w:ascii="Times New Roman" w:hAnsi="Times New Roman"/>
        </w:rPr>
        <w:t xml:space="preserve">exemption a </w:t>
      </w:r>
      <w:r w:rsidR="00DD0C16">
        <w:rPr>
          <w:rFonts w:ascii="Times New Roman" w:hAnsi="Times New Roman"/>
        </w:rPr>
        <w:t>written</w:t>
      </w:r>
      <w:r w:rsidR="00DD0C16">
        <w:rPr>
          <w:rFonts w:ascii="Times New Roman" w:hAnsi="Times New Roman"/>
        </w:rPr>
        <w:t xml:space="preserve"> </w:t>
      </w:r>
      <w:r w:rsidRPr="00DB77EF">
        <w:rPr>
          <w:rFonts w:ascii="Times New Roman" w:hAnsi="Times New Roman"/>
        </w:rPr>
        <w:t xml:space="preserve">disclosure requirement.  </w:t>
      </w:r>
      <w:r w:rsidR="008B6F9E">
        <w:rPr>
          <w:rFonts w:ascii="Times New Roman" w:hAnsi="Times New Roman"/>
        </w:rPr>
        <w:t>P</w:t>
      </w:r>
      <w:r w:rsidRPr="00DB77EF">
        <w:rPr>
          <w:rFonts w:ascii="Times New Roman" w:hAnsi="Times New Roman"/>
        </w:rPr>
        <w:t xml:space="preserve">lans </w:t>
      </w:r>
      <w:r w:rsidR="009C20D4">
        <w:rPr>
          <w:rFonts w:ascii="Times New Roman" w:hAnsi="Times New Roman"/>
        </w:rPr>
        <w:t xml:space="preserve">utilizing the exemption </w:t>
      </w:r>
      <w:r w:rsidRPr="00DB77EF">
        <w:rPr>
          <w:rFonts w:ascii="Times New Roman" w:hAnsi="Times New Roman"/>
        </w:rPr>
        <w:t>are required to inform the insured participant of a proposed sale of a life insurance or annuity policy to the employer, a relative,</w:t>
      </w:r>
      <w:r w:rsidR="008B6F9E">
        <w:rPr>
          <w:rFonts w:ascii="Times New Roman" w:hAnsi="Times New Roman"/>
        </w:rPr>
        <w:t xml:space="preserve"> a trust,</w:t>
      </w:r>
      <w:r w:rsidRPr="00DB77EF">
        <w:rPr>
          <w:rFonts w:ascii="Times New Roman" w:hAnsi="Times New Roman"/>
        </w:rPr>
        <w:t xml:space="preserve"> another plan, an owner-employee, or a shareholder-employee</w:t>
      </w:r>
      <w:r w:rsidR="00DD0C16">
        <w:rPr>
          <w:rFonts w:ascii="Times New Roman" w:hAnsi="Times New Roman"/>
        </w:rPr>
        <w:t xml:space="preserve"> and </w:t>
      </w:r>
      <w:r w:rsidR="006E1C64">
        <w:rPr>
          <w:rFonts w:ascii="Times New Roman" w:hAnsi="Times New Roman"/>
        </w:rPr>
        <w:t xml:space="preserve">be </w:t>
      </w:r>
      <w:r w:rsidR="00DD0C16">
        <w:rPr>
          <w:rFonts w:ascii="Times New Roman" w:hAnsi="Times New Roman"/>
        </w:rPr>
        <w:t>given an opportunity to purchase such contract</w:t>
      </w:r>
      <w:r w:rsidRPr="00DB77EF">
        <w:rPr>
          <w:rFonts w:ascii="Times New Roman" w:hAnsi="Times New Roman"/>
        </w:rPr>
        <w:t xml:space="preserve">. If the participant elects not to purchase the contract, the relative, </w:t>
      </w:r>
      <w:r w:rsidR="00DD0C16">
        <w:rPr>
          <w:rFonts w:ascii="Times New Roman" w:hAnsi="Times New Roman"/>
        </w:rPr>
        <w:t>the</w:t>
      </w:r>
      <w:r w:rsidR="008B6F9E">
        <w:rPr>
          <w:rFonts w:ascii="Times New Roman" w:hAnsi="Times New Roman"/>
        </w:rPr>
        <w:t xml:space="preserve"> trust, </w:t>
      </w:r>
      <w:r w:rsidRPr="00DB77EF">
        <w:rPr>
          <w:rFonts w:ascii="Times New Roman" w:hAnsi="Times New Roman"/>
        </w:rPr>
        <w:t xml:space="preserve">the employer, another plan, the owner-employees, or the shareholder-employees may purchase the contract from the plan upon </w:t>
      </w:r>
      <w:r w:rsidRPr="00DB77EF">
        <w:rPr>
          <w:rFonts w:ascii="Times New Roman" w:hAnsi="Times New Roman"/>
        </w:rPr>
        <w:t>the receipt</w:t>
      </w:r>
      <w:r w:rsidRPr="00DB77EF">
        <w:rPr>
          <w:rFonts w:ascii="Times New Roman" w:hAnsi="Times New Roman"/>
        </w:rPr>
        <w:t xml:space="preserve"> by the plan of written consent of the participant. The disclosure requirement of the class exemption does not apply if the contract is sold to the plan participant. The disclosure requirement incorporated within this class exemption is intended to protect the rights of plan participants and beneficiaries by putting them on notice of the plan’s intention to sell insurance or annuity contracts under which they are insured, and by giving them the right of first refusal to purchase such contracts. </w:t>
      </w:r>
      <w:r w:rsidRPr="00DB77EF">
        <w:rPr>
          <w:rFonts w:ascii="Times New Roman" w:hAnsi="Times New Roman"/>
        </w:rPr>
        <w:t>Without this disclosure requirement, the Department, which may only grant an exemption if it can find that participants and beneficiaries are protected, would be unable to effectively enforce the terms of the class exemption and ensure user compliance.</w:t>
      </w:r>
    </w:p>
    <w:p w:rsidR="003674AB" w:rsidRPr="00DB77EF" w:rsidP="00CD2843" w14:paraId="477A51D8" w14:textId="77777777">
      <w:pPr>
        <w:ind w:left="720"/>
        <w:rPr>
          <w:rFonts w:ascii="Times New Roman" w:hAnsi="Times New Roman"/>
        </w:rPr>
      </w:pPr>
    </w:p>
    <w:p w:rsidR="003674AB" w:rsidRPr="005923EC" w:rsidP="00CD2843" w14:paraId="3AA2A1F0" w14:textId="77777777">
      <w:pPr>
        <w:tabs>
          <w:tab w:val="left" w:pos="-1440"/>
        </w:tabs>
        <w:ind w:left="720" w:hanging="720"/>
        <w:rPr>
          <w:rFonts w:ascii="Times New Roman" w:hAnsi="Times New Roman"/>
          <w:b/>
          <w:bCs/>
        </w:rPr>
      </w:pPr>
      <w:r w:rsidRPr="005923EC">
        <w:rPr>
          <w:rFonts w:ascii="Times New Roman" w:hAnsi="Times New Roman"/>
          <w:b/>
          <w:bCs/>
        </w:rPr>
        <w:t>3.</w:t>
      </w:r>
      <w:r w:rsidRPr="005923EC">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923EC">
        <w:rPr>
          <w:rFonts w:ascii="Times New Roman" w:hAnsi="Times New Roman"/>
          <w:b/>
          <w:bCs/>
        </w:rPr>
        <w:t>for adopting</w:t>
      </w:r>
      <w:r w:rsidRPr="005923EC">
        <w:rPr>
          <w:rFonts w:ascii="Times New Roman" w:hAnsi="Times New Roman"/>
          <w:b/>
          <w:bCs/>
        </w:rPr>
        <w:t xml:space="preserve"> this means of collection.  Also describe any consideration for using information technology to reduce burden.</w:t>
      </w:r>
    </w:p>
    <w:p w:rsidR="003674AB" w:rsidRPr="00DB77EF" w:rsidP="00CD2843" w14:paraId="0C2B3F32" w14:textId="77777777">
      <w:pPr>
        <w:ind w:left="720"/>
        <w:rPr>
          <w:rFonts w:ascii="Times New Roman" w:hAnsi="Times New Roman"/>
        </w:rPr>
      </w:pPr>
    </w:p>
    <w:p w:rsidR="003674AB" w:rsidRPr="00CD2843" w:rsidP="00CD2843" w14:paraId="72240DD2" w14:textId="4124E5CA">
      <w:pPr>
        <w:pStyle w:val="BodyTextIndent"/>
      </w:pPr>
      <w:r w:rsidRPr="00DB77EF">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w:t>
      </w:r>
      <w:r w:rsidR="00CD2843">
        <w:t>guards.</w:t>
      </w:r>
    </w:p>
    <w:p w:rsidR="003674AB" w:rsidRPr="00386BE7" w:rsidP="00CD2843" w14:paraId="6C331504" w14:textId="77777777">
      <w:pPr>
        <w:ind w:left="720"/>
        <w:rPr>
          <w:rFonts w:ascii="Times New Roman" w:hAnsi="Times New Roman"/>
          <w:b/>
          <w:bCs/>
        </w:rPr>
      </w:pPr>
    </w:p>
    <w:p w:rsidR="003674AB" w:rsidRPr="00CB2B39" w:rsidP="00CD2843" w14:paraId="7EBA31A9" w14:textId="3F90450F">
      <w:pPr>
        <w:pStyle w:val="BodyText"/>
        <w:widowControl w:val="0"/>
        <w:ind w:left="720"/>
        <w:rPr>
          <w:szCs w:val="24"/>
        </w:rPr>
      </w:pPr>
      <w:r w:rsidRPr="001E44AE">
        <w:rPr>
          <w:szCs w:val="24"/>
        </w:rPr>
        <w:t>The Government Paperwork Elimination Act (GPEA) requires agencies to allow customers the option to submit information or transact with the government electronically, when practicable. Where feasible, and subject to resource availability and res</w:t>
      </w:r>
      <w:r w:rsidRPr="00CB2B39">
        <w:rPr>
          <w:szCs w:val="24"/>
        </w:rPr>
        <w:t xml:space="preserve">olution of legal issues, EBSA has implemented the electronic acceptance of information submitted by customers to the federal government. </w:t>
      </w:r>
    </w:p>
    <w:p w:rsidR="003674AB" w:rsidRPr="00CD2843" w:rsidP="00CD2843" w14:paraId="4810204C" w14:textId="77777777">
      <w:pPr>
        <w:ind w:left="720"/>
        <w:rPr>
          <w:rFonts w:ascii="Times New Roman" w:hAnsi="Times New Roman"/>
        </w:rPr>
      </w:pPr>
    </w:p>
    <w:p w:rsidR="003674AB" w:rsidRPr="005923EC" w:rsidP="00CD2843" w14:paraId="2DB3DFD9" w14:textId="77777777">
      <w:pPr>
        <w:tabs>
          <w:tab w:val="left" w:pos="-1440"/>
        </w:tabs>
        <w:ind w:left="720" w:hanging="720"/>
        <w:rPr>
          <w:rFonts w:ascii="Times New Roman" w:hAnsi="Times New Roman"/>
          <w:b/>
          <w:bCs/>
        </w:rPr>
      </w:pPr>
      <w:r w:rsidRPr="005923EC">
        <w:rPr>
          <w:rFonts w:ascii="Times New Roman" w:hAnsi="Times New Roman"/>
          <w:b/>
          <w:bCs/>
        </w:rPr>
        <w:t>4.</w:t>
      </w:r>
      <w:r w:rsidRPr="005923EC">
        <w:rPr>
          <w:rFonts w:ascii="Times New Roman" w:hAnsi="Times New Roman"/>
          <w:b/>
          <w:bCs/>
        </w:rPr>
        <w:tab/>
        <w:t xml:space="preserve">Describe efforts to identify duplication.  Show specifically why any similar information already available cannot be used or modified for use for the purposes </w:t>
      </w:r>
      <w:r w:rsidRPr="005923EC">
        <w:rPr>
          <w:rFonts w:ascii="Times New Roman" w:hAnsi="Times New Roman"/>
          <w:b/>
          <w:bCs/>
        </w:rPr>
        <w:t>described in Item 2 above.</w:t>
      </w:r>
    </w:p>
    <w:p w:rsidR="003674AB" w:rsidRPr="00CD2843" w:rsidP="00CD2843" w14:paraId="689F524F" w14:textId="77777777">
      <w:pPr>
        <w:ind w:left="720"/>
        <w:rPr>
          <w:rFonts w:ascii="Times New Roman" w:hAnsi="Times New Roman"/>
        </w:rPr>
      </w:pPr>
    </w:p>
    <w:p w:rsidR="003674AB" w:rsidRPr="00CD2843" w:rsidP="00CD2843" w14:paraId="43258FAB" w14:textId="1CB636A7">
      <w:pPr>
        <w:ind w:left="720"/>
        <w:rPr>
          <w:rFonts w:ascii="Times New Roman" w:hAnsi="Times New Roman"/>
        </w:rPr>
      </w:pPr>
      <w:r w:rsidRPr="00CD2843">
        <w:rPr>
          <w:rFonts w:ascii="Times New Roman" w:hAnsi="Times New Roman"/>
        </w:rPr>
        <w:t xml:space="preserve">The disclosure requirement is a one-time requirement prior to the sale of an insurance contract. Duplication is not an issue for such transactions. </w:t>
      </w:r>
    </w:p>
    <w:p w:rsidR="003674AB" w:rsidRPr="002013F6" w:rsidP="00CD2843" w14:paraId="13056D56" w14:textId="77777777">
      <w:pPr>
        <w:ind w:left="720"/>
        <w:rPr>
          <w:rFonts w:ascii="Times New Roman" w:hAnsi="Times New Roman"/>
        </w:rPr>
      </w:pPr>
    </w:p>
    <w:p w:rsidR="003674AB" w:rsidRPr="005923EC" w:rsidP="00CD2843" w14:paraId="52404A64" w14:textId="77777777">
      <w:pPr>
        <w:tabs>
          <w:tab w:val="left" w:pos="-1440"/>
        </w:tabs>
        <w:ind w:left="720" w:hanging="720"/>
        <w:rPr>
          <w:rFonts w:ascii="Times New Roman" w:hAnsi="Times New Roman"/>
          <w:b/>
          <w:bCs/>
        </w:rPr>
      </w:pPr>
      <w:r w:rsidRPr="005923EC">
        <w:rPr>
          <w:rFonts w:ascii="Times New Roman" w:hAnsi="Times New Roman"/>
          <w:b/>
          <w:bCs/>
        </w:rPr>
        <w:t>5.</w:t>
      </w:r>
      <w:r w:rsidRPr="005923EC">
        <w:rPr>
          <w:rFonts w:ascii="Times New Roman" w:hAnsi="Times New Roman"/>
          <w:b/>
          <w:bCs/>
        </w:rPr>
        <w:tab/>
        <w:t>If the collection of information impacts small businesses or other small entities</w:t>
      </w:r>
      <w:r w:rsidRPr="005923EC" w:rsidR="003048E1">
        <w:rPr>
          <w:rFonts w:ascii="Times New Roman" w:hAnsi="Times New Roman"/>
          <w:b/>
          <w:bCs/>
        </w:rPr>
        <w:t xml:space="preserve"> </w:t>
      </w:r>
      <w:r w:rsidRPr="005923EC">
        <w:rPr>
          <w:rFonts w:ascii="Times New Roman" w:hAnsi="Times New Roman"/>
          <w:b/>
          <w:bCs/>
        </w:rPr>
        <w:t>describe any methods used to minimize burden.</w:t>
      </w:r>
    </w:p>
    <w:p w:rsidR="003674AB" w:rsidRPr="00DB77EF" w:rsidP="00CD2843" w14:paraId="0772C97B" w14:textId="77777777">
      <w:pPr>
        <w:ind w:left="720"/>
        <w:rPr>
          <w:rFonts w:ascii="Times New Roman" w:hAnsi="Times New Roman"/>
        </w:rPr>
      </w:pPr>
    </w:p>
    <w:p w:rsidR="003674AB" w:rsidRPr="00CD2843" w:rsidP="00CD2843" w14:paraId="59A81D6B" w14:textId="29F39081">
      <w:pPr>
        <w:tabs>
          <w:tab w:val="left" w:pos="-1440"/>
        </w:tabs>
        <w:ind w:left="720"/>
        <w:rPr>
          <w:rFonts w:ascii="Times New Roman" w:hAnsi="Times New Roman"/>
        </w:rPr>
      </w:pPr>
      <w:r w:rsidRPr="00CD2843">
        <w:rPr>
          <w:rFonts w:ascii="Times New Roman" w:hAnsi="Times New Roman"/>
        </w:rPr>
        <w:t xml:space="preserve">Many pension and </w:t>
      </w:r>
      <w:r w:rsidRPr="00CD2843" w:rsidR="00E80682">
        <w:rPr>
          <w:rFonts w:ascii="Times New Roman" w:hAnsi="Times New Roman"/>
        </w:rPr>
        <w:t>profit-sharing</w:t>
      </w:r>
      <w:r w:rsidRPr="00CD2843">
        <w:rPr>
          <w:rFonts w:ascii="Times New Roman" w:hAnsi="Times New Roman"/>
        </w:rPr>
        <w:t xml:space="preserve"> plans, particularly those of small employers, are funded in part by the purchase of individual life insurance or annuity contracts on the lives of the plan’s participants. However, there are various situations under which the plan chooses not</w:t>
      </w:r>
      <w:r w:rsidRPr="00CD2843" w:rsidR="007532FE">
        <w:rPr>
          <w:rFonts w:ascii="Times New Roman" w:hAnsi="Times New Roman"/>
        </w:rPr>
        <w:t xml:space="preserve"> to</w:t>
      </w:r>
      <w:r w:rsidRPr="00CD2843">
        <w:rPr>
          <w:rFonts w:ascii="Times New Roman" w:hAnsi="Times New Roman"/>
        </w:rPr>
        <w:t xml:space="preserve"> continue the contracts in effect until a participant’s retirement. Historically, many plans, in thes</w:t>
      </w:r>
      <w:r w:rsidRPr="002013F6">
        <w:rPr>
          <w:rFonts w:ascii="Times New Roman" w:hAnsi="Times New Roman"/>
        </w:rPr>
        <w:t>e situations, have permitted the insured participant (relative, employer, another plan, owner-employees or shareholder-employees) to purchase the contract instead of the plan’s surrendering it to the insurance issuer. This class exemption allows plans to continu</w:t>
      </w:r>
      <w:r w:rsidRPr="00DB77EF">
        <w:rPr>
          <w:rFonts w:ascii="Times New Roman" w:hAnsi="Times New Roman"/>
        </w:rPr>
        <w:t>e this practice without imposing any significant addi</w:t>
      </w:r>
      <w:r w:rsidR="00CD2843">
        <w:rPr>
          <w:rFonts w:ascii="Times New Roman" w:hAnsi="Times New Roman"/>
        </w:rPr>
        <w:t>tional paperwork on the plans.</w:t>
      </w:r>
    </w:p>
    <w:p w:rsidR="003674AB" w:rsidRPr="00CD2843" w:rsidP="00CD2843" w14:paraId="217D7262" w14:textId="77777777">
      <w:pPr>
        <w:ind w:left="720"/>
        <w:rPr>
          <w:rFonts w:ascii="Times New Roman" w:hAnsi="Times New Roman"/>
        </w:rPr>
      </w:pPr>
    </w:p>
    <w:p w:rsidR="003674AB" w:rsidRPr="005923EC" w:rsidP="00CD2843" w14:paraId="6499CB47" w14:textId="77777777">
      <w:pPr>
        <w:tabs>
          <w:tab w:val="left" w:pos="-1440"/>
        </w:tabs>
        <w:ind w:left="720" w:hanging="720"/>
        <w:rPr>
          <w:rFonts w:ascii="Times New Roman" w:hAnsi="Times New Roman"/>
          <w:b/>
          <w:bCs/>
        </w:rPr>
      </w:pPr>
      <w:r w:rsidRPr="005923EC">
        <w:rPr>
          <w:rFonts w:ascii="Times New Roman" w:hAnsi="Times New Roman"/>
          <w:b/>
          <w:bCs/>
        </w:rPr>
        <w:t>6.</w:t>
      </w:r>
      <w:r w:rsidRPr="005923EC">
        <w:rPr>
          <w:rFonts w:ascii="Times New Roman" w:hAnsi="Times New Roman"/>
          <w:b/>
          <w:bCs/>
        </w:rPr>
        <w:tab/>
        <w:t xml:space="preserve">Describe the </w:t>
      </w:r>
      <w:r w:rsidRPr="005923EC">
        <w:rPr>
          <w:rFonts w:ascii="Times New Roman" w:hAnsi="Times New Roman"/>
          <w:b/>
          <w:bCs/>
        </w:rPr>
        <w:t>consequence</w:t>
      </w:r>
      <w:r w:rsidRPr="005923EC">
        <w:rPr>
          <w:rFonts w:ascii="Times New Roman" w:hAnsi="Times New Roman"/>
          <w:b/>
          <w:bCs/>
        </w:rPr>
        <w:t xml:space="preserve"> </w:t>
      </w:r>
      <w:r w:rsidRPr="005923EC">
        <w:rPr>
          <w:rFonts w:ascii="Times New Roman" w:hAnsi="Times New Roman"/>
          <w:b/>
          <w:bCs/>
        </w:rPr>
        <w:t>to</w:t>
      </w:r>
      <w:r w:rsidRPr="005923EC">
        <w:rPr>
          <w:rFonts w:ascii="Times New Roman" w:hAnsi="Times New Roman"/>
          <w:b/>
          <w:bCs/>
        </w:rPr>
        <w:t xml:space="preserve"> Federal program or policy activities if the collection is not conducted or is conducted less frequently, as well as any technical or legal obstacles to reducing burden.</w:t>
      </w:r>
    </w:p>
    <w:p w:rsidR="003674AB" w:rsidRPr="00DB77EF" w:rsidP="00CD2843" w14:paraId="7B184D0A" w14:textId="77777777">
      <w:pPr>
        <w:ind w:left="720"/>
        <w:rPr>
          <w:rFonts w:ascii="Times New Roman" w:hAnsi="Times New Roman"/>
        </w:rPr>
      </w:pPr>
    </w:p>
    <w:p w:rsidR="00F81376" w:rsidP="00301209" w14:paraId="1BEBFF9F" w14:textId="7D620868">
      <w:pPr>
        <w:ind w:left="720"/>
        <w:rPr>
          <w:rFonts w:ascii="Times New Roman" w:hAnsi="Times New Roman"/>
        </w:rPr>
      </w:pPr>
      <w:r>
        <w:rPr>
          <w:rFonts w:ascii="Times New Roman" w:hAnsi="Times New Roman"/>
        </w:rPr>
        <w:t>W</w:t>
      </w:r>
      <w:r w:rsidRPr="00DB77EF">
        <w:rPr>
          <w:rFonts w:ascii="Times New Roman" w:hAnsi="Times New Roman"/>
        </w:rPr>
        <w:t>ithout this disclosure requirement, the Department, which may only grant an exemption if it can find that participants and beneficiaries are protected, would be unable to effectively enforce the terms of the class exemption and ensure user compliance.</w:t>
      </w:r>
    </w:p>
    <w:p w:rsidR="003674AB" w:rsidRPr="005923EC" w:rsidP="00CD2843" w14:paraId="1DBA5834" w14:textId="77777777">
      <w:pPr>
        <w:ind w:left="720"/>
        <w:rPr>
          <w:rFonts w:ascii="Times New Roman" w:hAnsi="Times New Roman"/>
          <w:b/>
          <w:bCs/>
        </w:rPr>
      </w:pPr>
    </w:p>
    <w:p w:rsidR="003674AB" w:rsidRPr="005923EC" w:rsidP="00CD2843" w14:paraId="10D6771E" w14:textId="77777777">
      <w:pPr>
        <w:pStyle w:val="Quick1"/>
        <w:numPr>
          <w:ilvl w:val="0"/>
          <w:numId w:val="2"/>
        </w:numPr>
        <w:tabs>
          <w:tab w:val="left" w:pos="-1440"/>
          <w:tab w:val="num" w:pos="720"/>
        </w:tabs>
        <w:rPr>
          <w:rFonts w:ascii="Times New Roman" w:hAnsi="Times New Roman"/>
          <w:b/>
          <w:bCs/>
        </w:rPr>
      </w:pPr>
      <w:r w:rsidRPr="005923EC">
        <w:rPr>
          <w:rFonts w:ascii="Times New Roman" w:hAnsi="Times New Roman"/>
          <w:b/>
          <w:bCs/>
        </w:rPr>
        <w:t>Explain any special circumstances that would cause an information collection to be conducted in a manner:</w:t>
      </w:r>
    </w:p>
    <w:p w:rsidR="003674AB" w:rsidRPr="005923EC" w:rsidP="00301209" w14:paraId="0EA48488"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 xml:space="preserve">requiring respondents to report information to the agency more often than </w:t>
      </w:r>
      <w:r w:rsidRPr="005923EC">
        <w:rPr>
          <w:rFonts w:ascii="Times New Roman" w:hAnsi="Times New Roman"/>
          <w:b/>
          <w:bCs/>
        </w:rPr>
        <w:t>quarterly;</w:t>
      </w:r>
    </w:p>
    <w:p w:rsidR="003674AB" w:rsidRPr="005923EC" w:rsidP="00301209" w14:paraId="587D0595"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requiring</w:t>
      </w:r>
      <w:r w:rsidRPr="005923EC">
        <w:rPr>
          <w:rFonts w:ascii="Times New Roman" w:hAnsi="Times New Roman"/>
          <w:b/>
          <w:bCs/>
        </w:rPr>
        <w:t xml:space="preserve"> respondents to prepare a written response to a collection of information in fewer than 30 days after receipt of </w:t>
      </w:r>
      <w:r w:rsidRPr="005923EC">
        <w:rPr>
          <w:rFonts w:ascii="Times New Roman" w:hAnsi="Times New Roman"/>
          <w:b/>
          <w:bCs/>
        </w:rPr>
        <w:t>it;</w:t>
      </w:r>
    </w:p>
    <w:p w:rsidR="003674AB" w:rsidRPr="005923EC" w:rsidP="00301209" w14:paraId="4F4C1D77"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 xml:space="preserve">requiring respondents to submit more than an original and two copies of any </w:t>
      </w:r>
      <w:r w:rsidRPr="005923EC">
        <w:rPr>
          <w:rFonts w:ascii="Times New Roman" w:hAnsi="Times New Roman"/>
          <w:b/>
          <w:bCs/>
        </w:rPr>
        <w:t>document;</w:t>
      </w:r>
    </w:p>
    <w:p w:rsidR="003674AB" w:rsidRPr="005923EC" w:rsidP="00301209" w14:paraId="36132D22"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 xml:space="preserve">requiring respondents to retain records, other than health, medical, government contract, grant-in-aid, or tax records for more than three </w:t>
      </w:r>
      <w:r w:rsidRPr="005923EC">
        <w:rPr>
          <w:rFonts w:ascii="Times New Roman" w:hAnsi="Times New Roman"/>
          <w:b/>
          <w:bCs/>
        </w:rPr>
        <w:t>years;</w:t>
      </w:r>
    </w:p>
    <w:p w:rsidR="003674AB" w:rsidRPr="005923EC" w:rsidP="00301209" w14:paraId="18B72F18"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 xml:space="preserve">in connection with a statistical </w:t>
      </w:r>
      <w:r w:rsidRPr="005923EC">
        <w:rPr>
          <w:rFonts w:ascii="Times New Roman" w:hAnsi="Times New Roman"/>
          <w:b/>
          <w:bCs/>
        </w:rPr>
        <w:t>survey,</w:t>
      </w:r>
      <w:r w:rsidRPr="005923EC">
        <w:rPr>
          <w:rFonts w:ascii="Times New Roman" w:hAnsi="Times New Roman"/>
          <w:b/>
          <w:bCs/>
        </w:rPr>
        <w:t xml:space="preserve"> that is not designed to produce valid and reliable results that can be generalized to the universe of </w:t>
      </w:r>
      <w:r w:rsidRPr="005923EC">
        <w:rPr>
          <w:rFonts w:ascii="Times New Roman" w:hAnsi="Times New Roman"/>
          <w:b/>
          <w:bCs/>
        </w:rPr>
        <w:t>study;</w:t>
      </w:r>
    </w:p>
    <w:p w:rsidR="003674AB" w:rsidRPr="005923EC" w:rsidP="00301209" w14:paraId="469678F8"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 xml:space="preserve">requiring the use of a statistical data classification that has not been reviewed and approved by </w:t>
      </w:r>
      <w:r w:rsidRPr="005923EC">
        <w:rPr>
          <w:rFonts w:ascii="Times New Roman" w:hAnsi="Times New Roman"/>
          <w:b/>
          <w:bCs/>
        </w:rPr>
        <w:t>OMB;</w:t>
      </w:r>
    </w:p>
    <w:p w:rsidR="003674AB" w:rsidRPr="005923EC" w:rsidP="00301209" w14:paraId="15ABA65A"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 xml:space="preserve">that includes a pledge of confidentiality that is not supported by authority established in statute or regulation, that is not supported by disclosure and </w:t>
      </w:r>
      <w:r w:rsidRPr="005923EC">
        <w:rPr>
          <w:rFonts w:ascii="Times New Roman" w:hAnsi="Times New Roman"/>
          <w:b/>
          <w:bCs/>
        </w:rPr>
        <w:t>data security policies that are consistent with the pledge, or which unnecessarily impedes sharing of data with other agencies for compatible confidential use; or</w:t>
      </w:r>
    </w:p>
    <w:p w:rsidR="003674AB" w:rsidRPr="005923EC" w:rsidP="00301209" w14:paraId="75197F84" w14:textId="77777777">
      <w:pPr>
        <w:tabs>
          <w:tab w:val="left" w:pos="-1440"/>
        </w:tabs>
        <w:ind w:left="1440" w:hanging="360"/>
        <w:rPr>
          <w:rFonts w:ascii="Times New Roman" w:hAnsi="Times New Roman"/>
          <w:b/>
          <w:bCs/>
        </w:rPr>
      </w:pPr>
      <w:r w:rsidRPr="005923EC">
        <w:rPr>
          <w:rFonts w:ascii="Times New Roman" w:hAnsi="Times New Roman"/>
          <w:b/>
          <w:bCs/>
        </w:rPr>
        <w:t>•</w:t>
      </w:r>
      <w:r w:rsidRPr="005923EC">
        <w:rPr>
          <w:rFonts w:ascii="Times New Roman" w:hAnsi="Times New Roman"/>
          <w:b/>
          <w:bCs/>
        </w:rPr>
        <w:tab/>
        <w:t>requiring</w:t>
      </w:r>
      <w:r w:rsidRPr="005923EC">
        <w:rPr>
          <w:rFonts w:ascii="Times New Roman" w:hAnsi="Times New Roman"/>
          <w:b/>
          <w:bCs/>
        </w:rPr>
        <w:t xml:space="preserve"> respondents to submit proprietary trade </w:t>
      </w:r>
      <w:r w:rsidRPr="005923EC">
        <w:rPr>
          <w:rFonts w:ascii="Times New Roman" w:hAnsi="Times New Roman"/>
          <w:b/>
          <w:bCs/>
        </w:rPr>
        <w:t>secret</w:t>
      </w:r>
      <w:r w:rsidRPr="005923EC">
        <w:rPr>
          <w:rFonts w:ascii="Times New Roman" w:hAnsi="Times New Roman"/>
          <w:b/>
          <w:bCs/>
        </w:rPr>
        <w:t>, or other confidential information unless the agency can demonstrate that it has instituted procedures to protect the information's confidentiality to the extent permitted by law.</w:t>
      </w:r>
    </w:p>
    <w:p w:rsidR="003674AB" w:rsidRPr="00DB77EF" w:rsidP="00CD2843" w14:paraId="6E3DED53" w14:textId="77777777">
      <w:pPr>
        <w:ind w:left="720"/>
        <w:rPr>
          <w:rFonts w:ascii="Times New Roman" w:hAnsi="Times New Roman"/>
        </w:rPr>
      </w:pPr>
    </w:p>
    <w:p w:rsidR="009C20D4" w:rsidRPr="00DB77EF" w:rsidP="009C20D4" w14:paraId="3C157871" w14:textId="7FFB6B11">
      <w:pPr>
        <w:widowControl/>
        <w:ind w:left="720"/>
        <w:rPr>
          <w:rFonts w:ascii="Times New Roman" w:hAnsi="Times New Roman"/>
        </w:rPr>
      </w:pPr>
      <w:r>
        <w:rPr>
          <w:rFonts w:ascii="Times New Roman" w:hAnsi="Times New Roman"/>
        </w:rPr>
        <w:t xml:space="preserve">The class exemption </w:t>
      </w:r>
      <w:r w:rsidRPr="00DB77EF">
        <w:rPr>
          <w:rFonts w:ascii="Times New Roman" w:hAnsi="Times New Roman"/>
        </w:rPr>
        <w:t>only appl</w:t>
      </w:r>
      <w:r>
        <w:rPr>
          <w:rFonts w:ascii="Times New Roman" w:hAnsi="Times New Roman"/>
        </w:rPr>
        <w:t>ies</w:t>
      </w:r>
      <w:r w:rsidRPr="00DB77EF">
        <w:rPr>
          <w:rFonts w:ascii="Times New Roman" w:hAnsi="Times New Roman"/>
        </w:rPr>
        <w:t xml:space="preserve"> to certain narrow circumstances, i.e., sales of insurance contracts to individuals other than the participant. Thus, the frequency of disclosure is dependent on the occurrence of such transactions, not on a predetermined time period.</w:t>
      </w:r>
    </w:p>
    <w:p w:rsidR="003674AB" w:rsidRPr="005923EC" w:rsidP="00CD2843" w14:paraId="53E0B62F" w14:textId="77777777">
      <w:pPr>
        <w:ind w:left="720"/>
        <w:rPr>
          <w:rFonts w:ascii="Times New Roman" w:hAnsi="Times New Roman"/>
          <w:b/>
          <w:bCs/>
        </w:rPr>
      </w:pPr>
    </w:p>
    <w:p w:rsidR="003674AB" w:rsidRPr="005923EC" w:rsidP="00CD2843" w14:paraId="6EBA0921" w14:textId="77777777">
      <w:pPr>
        <w:tabs>
          <w:tab w:val="left" w:pos="-1440"/>
        </w:tabs>
        <w:ind w:left="720" w:hanging="720"/>
        <w:rPr>
          <w:rFonts w:ascii="Times New Roman" w:hAnsi="Times New Roman"/>
          <w:b/>
          <w:bCs/>
        </w:rPr>
      </w:pPr>
      <w:r w:rsidRPr="005923EC">
        <w:rPr>
          <w:rFonts w:ascii="Times New Roman" w:hAnsi="Times New Roman"/>
          <w:b/>
          <w:bCs/>
        </w:rPr>
        <w:t>8.</w:t>
      </w:r>
      <w:r w:rsidRPr="005923EC">
        <w:rPr>
          <w:rFonts w:ascii="Times New Roman" w:hAnsi="Times New Roman"/>
          <w:b/>
          <w:bCs/>
        </w:rPr>
        <w:tab/>
        <w:t xml:space="preserve">If applicable, provide a copy and identify the date and page number of </w:t>
      </w:r>
      <w:r w:rsidRPr="005923EC">
        <w:rPr>
          <w:rFonts w:ascii="Times New Roman" w:hAnsi="Times New Roman"/>
          <w:b/>
          <w:bCs/>
        </w:rPr>
        <w:t>publication</w:t>
      </w:r>
      <w:r w:rsidRPr="005923EC">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74AB" w:rsidRPr="005923EC" w:rsidP="00CD2843" w14:paraId="71FD31F1" w14:textId="77777777">
      <w:pPr>
        <w:ind w:left="720"/>
        <w:rPr>
          <w:rFonts w:ascii="Times New Roman" w:hAnsi="Times New Roman"/>
          <w:b/>
          <w:bCs/>
        </w:rPr>
      </w:pPr>
    </w:p>
    <w:p w:rsidR="003674AB" w:rsidRPr="005923EC" w:rsidP="00CD2843" w14:paraId="1971ED9A" w14:textId="77777777">
      <w:pPr>
        <w:ind w:left="720"/>
        <w:rPr>
          <w:rFonts w:ascii="Times New Roman" w:hAnsi="Times New Roman"/>
          <w:b/>
          <w:bCs/>
        </w:rPr>
      </w:pPr>
      <w:r w:rsidRPr="005923EC">
        <w:rPr>
          <w:rFonts w:ascii="Times New Roman" w:hAnsi="Times New Roman"/>
          <w:b/>
          <w:bCs/>
        </w:rPr>
        <w:t xml:space="preserve">Describe efforts to consult with </w:t>
      </w:r>
      <w:r w:rsidRPr="005923EC">
        <w:rPr>
          <w:rFonts w:ascii="Times New Roman" w:hAnsi="Times New Roman"/>
          <w:b/>
          <w:bCs/>
        </w:rPr>
        <w:t>persons</w:t>
      </w:r>
      <w:r w:rsidRPr="005923EC">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3674AB" w:rsidRPr="005923EC" w:rsidP="00CD2843" w14:paraId="42B4FAF2" w14:textId="77777777">
      <w:pPr>
        <w:ind w:left="720"/>
        <w:rPr>
          <w:rFonts w:ascii="Times New Roman" w:hAnsi="Times New Roman"/>
          <w:b/>
          <w:bCs/>
        </w:rPr>
      </w:pPr>
    </w:p>
    <w:p w:rsidR="003674AB" w:rsidRPr="005923EC" w:rsidP="00CD2843" w14:paraId="340BF320" w14:textId="77777777">
      <w:pPr>
        <w:ind w:left="720"/>
        <w:rPr>
          <w:rFonts w:ascii="Times New Roman" w:hAnsi="Times New Roman"/>
          <w:b/>
          <w:bCs/>
        </w:rPr>
      </w:pPr>
      <w:r w:rsidRPr="005923EC">
        <w:rPr>
          <w:rFonts w:ascii="Times New Roman" w:hAnsi="Times New Roman"/>
          <w:b/>
          <w:bCs/>
        </w:rPr>
        <w:t>Consultation</w:t>
      </w:r>
      <w:r w:rsidRPr="005923EC">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674AB" w:rsidRPr="00DB77EF" w:rsidP="00CD2843" w14:paraId="497AEAF7" w14:textId="77777777">
      <w:pPr>
        <w:ind w:left="720"/>
        <w:rPr>
          <w:rFonts w:ascii="Times New Roman" w:hAnsi="Times New Roman"/>
        </w:rPr>
      </w:pPr>
    </w:p>
    <w:p w:rsidR="003674AB" w:rsidRPr="00DB77EF" w:rsidP="00CD2843" w14:paraId="0B94E57E" w14:textId="3232620D">
      <w:pPr>
        <w:ind w:left="720"/>
        <w:rPr>
          <w:rFonts w:ascii="Times New Roman" w:hAnsi="Times New Roman"/>
        </w:rPr>
      </w:pPr>
      <w:r w:rsidRPr="00DB77EF">
        <w:rPr>
          <w:rFonts w:ascii="Times New Roman" w:hAnsi="Times New Roman"/>
        </w:rPr>
        <w:t xml:space="preserve">The Department published </w:t>
      </w:r>
      <w:r w:rsidRPr="009150AC">
        <w:rPr>
          <w:rFonts w:ascii="Times New Roman" w:hAnsi="Times New Roman"/>
        </w:rPr>
        <w:t xml:space="preserve">a </w:t>
      </w:r>
      <w:r w:rsidRPr="00313483">
        <w:rPr>
          <w:rFonts w:ascii="Times New Roman" w:hAnsi="Times New Roman"/>
        </w:rPr>
        <w:t>Federal Register</w:t>
      </w:r>
      <w:r w:rsidRPr="009150AC">
        <w:rPr>
          <w:rFonts w:ascii="Times New Roman" w:hAnsi="Times New Roman"/>
        </w:rPr>
        <w:t xml:space="preserve"> notice on </w:t>
      </w:r>
      <w:r w:rsidRPr="009150AC" w:rsidR="00215957">
        <w:rPr>
          <w:rFonts w:ascii="Times New Roman" w:hAnsi="Times New Roman"/>
        </w:rPr>
        <w:t xml:space="preserve">July </w:t>
      </w:r>
      <w:r w:rsidRPr="009150AC" w:rsidR="00F6482F">
        <w:rPr>
          <w:rFonts w:ascii="Times New Roman" w:hAnsi="Times New Roman"/>
        </w:rPr>
        <w:t>11,</w:t>
      </w:r>
      <w:r w:rsidR="00CB610F">
        <w:rPr>
          <w:rFonts w:ascii="Times New Roman" w:hAnsi="Times New Roman"/>
        </w:rPr>
        <w:t xml:space="preserve"> </w:t>
      </w:r>
      <w:r w:rsidRPr="009150AC" w:rsidR="00F6482F">
        <w:rPr>
          <w:rFonts w:ascii="Times New Roman" w:hAnsi="Times New Roman"/>
        </w:rPr>
        <w:t>2025</w:t>
      </w:r>
      <w:r w:rsidRPr="009150AC" w:rsidR="008C12B2">
        <w:rPr>
          <w:rFonts w:ascii="Times New Roman" w:hAnsi="Times New Roman"/>
        </w:rPr>
        <w:t>,</w:t>
      </w:r>
      <w:r w:rsidRPr="009150AC" w:rsidR="003048E1">
        <w:rPr>
          <w:rFonts w:ascii="Times New Roman" w:hAnsi="Times New Roman"/>
        </w:rPr>
        <w:t xml:space="preserve"> </w:t>
      </w:r>
      <w:r w:rsidRPr="009150AC">
        <w:rPr>
          <w:rFonts w:ascii="Times New Roman" w:hAnsi="Times New Roman"/>
        </w:rPr>
        <w:t>(</w:t>
      </w:r>
      <w:r w:rsidRPr="00FA4A92" w:rsidR="00F6482F">
        <w:rPr>
          <w:rFonts w:ascii="Times New Roman" w:hAnsi="Times New Roman"/>
        </w:rPr>
        <w:t>90 FR 30984</w:t>
      </w:r>
      <w:r w:rsidRPr="009150AC">
        <w:rPr>
          <w:rFonts w:ascii="Times New Roman" w:hAnsi="Times New Roman"/>
        </w:rPr>
        <w:t>),</w:t>
      </w:r>
      <w:r w:rsidRPr="00DB77EF">
        <w:rPr>
          <w:rFonts w:ascii="Times New Roman" w:hAnsi="Times New Roman"/>
        </w:rPr>
        <w:t xml:space="preserve"> as required by 5 CFR 1320.8(d), soliciting comments on the information collection and providing the public </w:t>
      </w:r>
      <w:r w:rsidRPr="00DB77EF" w:rsidR="00645334">
        <w:rPr>
          <w:rFonts w:ascii="Times New Roman" w:hAnsi="Times New Roman"/>
        </w:rPr>
        <w:t xml:space="preserve">with </w:t>
      </w:r>
      <w:r w:rsidRPr="00DB77EF">
        <w:rPr>
          <w:rFonts w:ascii="Times New Roman" w:hAnsi="Times New Roman"/>
        </w:rPr>
        <w:t>60 days to comment on the submission. No comments were received.</w:t>
      </w:r>
    </w:p>
    <w:p w:rsidR="003674AB" w:rsidRPr="00DB77EF" w:rsidP="00CD2843" w14:paraId="6A34CB7E" w14:textId="77777777">
      <w:pPr>
        <w:ind w:left="720"/>
        <w:rPr>
          <w:rFonts w:ascii="Times New Roman" w:hAnsi="Times New Roman"/>
        </w:rPr>
      </w:pPr>
    </w:p>
    <w:p w:rsidR="003674AB" w:rsidRPr="005923EC" w:rsidP="00CD2843" w14:paraId="066F8DDF" w14:textId="77777777">
      <w:pPr>
        <w:pStyle w:val="Quick1"/>
        <w:numPr>
          <w:ilvl w:val="0"/>
          <w:numId w:val="3"/>
        </w:numPr>
        <w:tabs>
          <w:tab w:val="left" w:pos="-1440"/>
          <w:tab w:val="num" w:pos="720"/>
        </w:tabs>
        <w:rPr>
          <w:rFonts w:ascii="Times New Roman" w:hAnsi="Times New Roman"/>
          <w:b/>
          <w:bCs/>
        </w:rPr>
      </w:pPr>
      <w:r w:rsidRPr="005923EC">
        <w:rPr>
          <w:rFonts w:ascii="Times New Roman" w:hAnsi="Times New Roman"/>
          <w:b/>
          <w:bCs/>
        </w:rPr>
        <w:t>Explain any decision to provide any payment or gift to respondents, other than remuneration of contractors or grantees.</w:t>
      </w:r>
    </w:p>
    <w:p w:rsidR="003674AB" w:rsidRPr="00DB77EF" w:rsidP="00CD2843" w14:paraId="00A26979" w14:textId="77777777">
      <w:pPr>
        <w:ind w:left="720"/>
        <w:rPr>
          <w:rFonts w:ascii="Times New Roman" w:hAnsi="Times New Roman"/>
        </w:rPr>
      </w:pPr>
    </w:p>
    <w:p w:rsidR="00821E14" w:rsidRPr="00B8639F" w:rsidP="00821E14" w14:paraId="71B5090B" w14:textId="77777777">
      <w:pPr>
        <w:widowControl/>
        <w:ind w:left="720"/>
        <w:rPr>
          <w:rFonts w:ascii="Times New Roman" w:hAnsi="Times New Roman"/>
        </w:rPr>
      </w:pPr>
      <w:r w:rsidRPr="00B8639F">
        <w:rPr>
          <w:rFonts w:ascii="Times New Roman" w:hAnsi="Times New Roman"/>
        </w:rPr>
        <w:t>No payments or gifts are provided to respondents.</w:t>
      </w:r>
    </w:p>
    <w:p w:rsidR="003674AB" w:rsidRPr="00DB77EF" w:rsidP="00CD2843" w14:paraId="4928CCC7" w14:textId="77777777">
      <w:pPr>
        <w:ind w:left="720"/>
        <w:rPr>
          <w:rFonts w:ascii="Times New Roman" w:hAnsi="Times New Roman"/>
        </w:rPr>
      </w:pPr>
    </w:p>
    <w:p w:rsidR="003674AB" w:rsidRPr="005923EC" w:rsidP="00CD2843" w14:paraId="3D44D552" w14:textId="77777777">
      <w:pPr>
        <w:tabs>
          <w:tab w:val="left" w:pos="-1440"/>
        </w:tabs>
        <w:ind w:left="720" w:hanging="720"/>
        <w:rPr>
          <w:rFonts w:ascii="Times New Roman" w:hAnsi="Times New Roman"/>
          <w:b/>
          <w:bCs/>
        </w:rPr>
      </w:pPr>
      <w:r w:rsidRPr="005923EC">
        <w:rPr>
          <w:rFonts w:ascii="Times New Roman" w:hAnsi="Times New Roman"/>
          <w:b/>
          <w:bCs/>
        </w:rPr>
        <w:t>10.</w:t>
      </w:r>
      <w:r w:rsidRPr="005923EC">
        <w:rPr>
          <w:rFonts w:ascii="Times New Roman" w:hAnsi="Times New Roman"/>
          <w:b/>
          <w:bCs/>
        </w:rPr>
        <w:tab/>
        <w:t>Describe any assurance of confidentiality provided to respondents and the basis for the assurance in statute, regulation, or agency policy.</w:t>
      </w:r>
    </w:p>
    <w:p w:rsidR="003674AB" w:rsidRPr="00DB77EF" w:rsidP="00CD2843" w14:paraId="14B87B44" w14:textId="77777777">
      <w:pPr>
        <w:ind w:left="720"/>
        <w:rPr>
          <w:rFonts w:ascii="Times New Roman" w:hAnsi="Times New Roman"/>
        </w:rPr>
      </w:pPr>
    </w:p>
    <w:p w:rsidR="003674AB" w:rsidRPr="00DB77EF" w:rsidP="00CD2843" w14:paraId="045D9654" w14:textId="77777777">
      <w:pPr>
        <w:ind w:left="720"/>
        <w:rPr>
          <w:rFonts w:ascii="Times New Roman" w:hAnsi="Times New Roman"/>
        </w:rPr>
      </w:pPr>
      <w:r w:rsidRPr="00DB77EF">
        <w:rPr>
          <w:rFonts w:ascii="Times New Roman" w:hAnsi="Times New Roman"/>
        </w:rPr>
        <w:t xml:space="preserve">None. The class exemption requires that the information concerning the transactions be made available to interested parties. </w:t>
      </w:r>
    </w:p>
    <w:p w:rsidR="003674AB" w:rsidRPr="00DB77EF" w:rsidP="00CD2843" w14:paraId="155CD7F4" w14:textId="77777777">
      <w:pPr>
        <w:ind w:left="720"/>
        <w:rPr>
          <w:rFonts w:ascii="Times New Roman" w:hAnsi="Times New Roman"/>
        </w:rPr>
      </w:pPr>
    </w:p>
    <w:p w:rsidR="003674AB" w:rsidRPr="005923EC" w:rsidP="00CD2843" w14:paraId="25D57167" w14:textId="77777777">
      <w:pPr>
        <w:tabs>
          <w:tab w:val="left" w:pos="-1440"/>
        </w:tabs>
        <w:ind w:left="720" w:hanging="720"/>
        <w:rPr>
          <w:rFonts w:ascii="Times New Roman" w:hAnsi="Times New Roman"/>
          <w:b/>
          <w:bCs/>
        </w:rPr>
      </w:pPr>
      <w:r w:rsidRPr="005923EC">
        <w:rPr>
          <w:rFonts w:ascii="Times New Roman" w:hAnsi="Times New Roman"/>
          <w:b/>
          <w:bCs/>
        </w:rPr>
        <w:t>11.</w:t>
      </w:r>
      <w:r w:rsidRPr="005923EC">
        <w:rPr>
          <w:rFonts w:ascii="Times New Roman" w:hAnsi="Times New Roman"/>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923EC">
        <w:rPr>
          <w:rFonts w:ascii="Times New Roman" w:hAnsi="Times New Roman"/>
          <w:b/>
          <w:bCs/>
        </w:rPr>
        <w:t>persons</w:t>
      </w:r>
      <w:r w:rsidRPr="005923EC">
        <w:rPr>
          <w:rFonts w:ascii="Times New Roman" w:hAnsi="Times New Roman"/>
          <w:b/>
          <w:bCs/>
        </w:rPr>
        <w:t xml:space="preserve"> from whom the information is requested, and any steps to be taken to obtain their consent.</w:t>
      </w:r>
    </w:p>
    <w:p w:rsidR="003674AB" w:rsidRPr="00DB77EF" w:rsidP="00CD2843" w14:paraId="086C3405" w14:textId="77777777">
      <w:pPr>
        <w:ind w:left="720"/>
        <w:rPr>
          <w:rFonts w:ascii="Times New Roman" w:hAnsi="Times New Roman"/>
          <w:i/>
          <w:iCs/>
        </w:rPr>
      </w:pPr>
    </w:p>
    <w:p w:rsidR="00821E14" w:rsidRPr="00B8639F" w:rsidP="00821E14" w14:paraId="3A144EC0" w14:textId="77777777">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003674AB" w:rsidRPr="00DB77EF" w:rsidP="005923EC" w14:paraId="70D94E39" w14:textId="77777777">
      <w:pPr>
        <w:rPr>
          <w:rFonts w:ascii="Times New Roman" w:hAnsi="Times New Roman"/>
        </w:rPr>
      </w:pPr>
    </w:p>
    <w:p w:rsidR="005A7303" w:rsidRPr="005A7303" w:rsidP="005A7303" w14:paraId="40D072FA" w14:textId="77777777">
      <w:pPr>
        <w:widowControl/>
        <w:tabs>
          <w:tab w:val="left" w:pos="-1440"/>
        </w:tabs>
        <w:ind w:left="720" w:hanging="720"/>
        <w:rPr>
          <w:rFonts w:ascii="Times New Roman" w:hAnsi="Times New Roman"/>
          <w:b/>
          <w:bCs/>
        </w:rPr>
      </w:pPr>
      <w:r w:rsidRPr="005923EC">
        <w:rPr>
          <w:rFonts w:ascii="Times New Roman" w:hAnsi="Times New Roman"/>
          <w:b/>
          <w:bCs/>
        </w:rPr>
        <w:t>12.</w:t>
      </w:r>
      <w:r w:rsidRPr="005923EC">
        <w:rPr>
          <w:rFonts w:ascii="Times New Roman" w:hAnsi="Times New Roman"/>
          <w:b/>
          <w:bCs/>
        </w:rPr>
        <w:tab/>
      </w:r>
      <w:r w:rsidRPr="005A7303">
        <w:rPr>
          <w:rFonts w:ascii="Times New Roman" w:hAnsi="Times New Roman"/>
          <w:b/>
          <w:bCs/>
        </w:rPr>
        <w:t>Provide estimates of the hour burden of the collection of information.  The statement should: </w:t>
      </w:r>
    </w:p>
    <w:p w:rsidR="005A7303" w:rsidRPr="005A7303" w:rsidP="005A7303" w14:paraId="17D7C228" w14:textId="77777777">
      <w:pPr>
        <w:widowControl/>
        <w:numPr>
          <w:ilvl w:val="0"/>
          <w:numId w:val="6"/>
        </w:numPr>
        <w:tabs>
          <w:tab w:val="left" w:pos="-1440"/>
          <w:tab w:val="clear" w:pos="720"/>
          <w:tab w:val="num" w:pos="1440"/>
        </w:tabs>
        <w:ind w:left="1440"/>
        <w:rPr>
          <w:rFonts w:ascii="Times New Roman" w:hAnsi="Times New Roman"/>
          <w:b/>
          <w:bCs/>
        </w:rPr>
      </w:pPr>
      <w:r w:rsidRPr="005A7303">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5A7303">
        <w:rPr>
          <w:rFonts w:ascii="Times New Roman" w:hAnsi="Times New Roman"/>
          <w:b/>
          <w:bCs/>
        </w:rPr>
        <w:t>General</w:t>
      </w:r>
      <w:r w:rsidRPr="005A7303">
        <w:rPr>
          <w:rFonts w:ascii="Times New Roman" w:hAnsi="Times New Roman"/>
          <w:b/>
          <w:bCs/>
        </w:rPr>
        <w:t>, estimates should not include burden hours for customary and usual business practices. </w:t>
      </w:r>
    </w:p>
    <w:p w:rsidR="005A7303" w:rsidRPr="005A7303" w:rsidP="005A7303" w14:paraId="4B402A22" w14:textId="77777777">
      <w:pPr>
        <w:widowControl/>
        <w:numPr>
          <w:ilvl w:val="0"/>
          <w:numId w:val="7"/>
        </w:numPr>
        <w:tabs>
          <w:tab w:val="left" w:pos="-1440"/>
          <w:tab w:val="clear" w:pos="720"/>
          <w:tab w:val="num" w:pos="1440"/>
        </w:tabs>
        <w:ind w:left="1440"/>
        <w:rPr>
          <w:rFonts w:ascii="Times New Roman" w:hAnsi="Times New Roman"/>
          <w:b/>
          <w:bCs/>
        </w:rPr>
      </w:pPr>
      <w:r w:rsidRPr="005A7303">
        <w:rPr>
          <w:rFonts w:ascii="Times New Roman" w:hAnsi="Times New Roman"/>
          <w:b/>
          <w:bCs/>
        </w:rPr>
        <w:t>If this request for approval covers more than one form, provide separate hour burden estimates for each form. </w:t>
      </w:r>
    </w:p>
    <w:p w:rsidR="005A7303" w:rsidRPr="005A7303" w:rsidP="005A7303" w14:paraId="779D3DA1" w14:textId="77777777">
      <w:pPr>
        <w:widowControl/>
        <w:numPr>
          <w:ilvl w:val="0"/>
          <w:numId w:val="8"/>
        </w:numPr>
        <w:tabs>
          <w:tab w:val="left" w:pos="-1440"/>
          <w:tab w:val="clear" w:pos="720"/>
          <w:tab w:val="num" w:pos="1440"/>
        </w:tabs>
        <w:ind w:left="1440"/>
        <w:rPr>
          <w:rFonts w:ascii="Times New Roman" w:hAnsi="Times New Roman"/>
          <w:b/>
          <w:bCs/>
        </w:rPr>
      </w:pPr>
      <w:r w:rsidRPr="005A730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3674AB" w:rsidRPr="00DB77EF" w:rsidP="005A7303" w14:paraId="26A91ABB" w14:textId="66523D2D">
      <w:pPr>
        <w:widowControl/>
        <w:tabs>
          <w:tab w:val="left" w:pos="-1440"/>
        </w:tabs>
        <w:ind w:left="720" w:hanging="720"/>
        <w:rPr>
          <w:rFonts w:ascii="Times New Roman" w:hAnsi="Times New Roman"/>
        </w:rPr>
      </w:pPr>
    </w:p>
    <w:p w:rsidR="00EE784F" w:rsidRPr="001E44AE" w:rsidP="00CD2843" w14:paraId="40734C61" w14:textId="7EB2C216">
      <w:pPr>
        <w:ind w:left="720"/>
        <w:rPr>
          <w:rFonts w:ascii="Times New Roman" w:hAnsi="Times New Roman"/>
        </w:rPr>
      </w:pPr>
      <w:r w:rsidRPr="00DB77EF">
        <w:rPr>
          <w:rFonts w:ascii="Times New Roman" w:hAnsi="Times New Roman"/>
        </w:rPr>
        <w:t xml:space="preserve">The Department </w:t>
      </w:r>
      <w:r w:rsidRPr="00DB77EF" w:rsidR="0061690C">
        <w:rPr>
          <w:rFonts w:ascii="Times New Roman" w:hAnsi="Times New Roman"/>
        </w:rPr>
        <w:t>assumes</w:t>
      </w:r>
      <w:r w:rsidRPr="00DB77EF">
        <w:rPr>
          <w:rFonts w:ascii="Times New Roman" w:hAnsi="Times New Roman"/>
        </w:rPr>
        <w:t xml:space="preserve"> that approximately 30 percent of all plans,</w:t>
      </w:r>
      <w:r>
        <w:rPr>
          <w:rStyle w:val="FootnoteReference"/>
          <w:rFonts w:ascii="Times New Roman" w:hAnsi="Times New Roman"/>
          <w:vertAlign w:val="superscript"/>
        </w:rPr>
        <w:footnoteReference w:id="2"/>
      </w:r>
      <w:r w:rsidRPr="001E44AE">
        <w:rPr>
          <w:rFonts w:ascii="Times New Roman" w:hAnsi="Times New Roman"/>
        </w:rPr>
        <w:t xml:space="preserve"> </w:t>
      </w:r>
      <w:r w:rsidRPr="001E44AE" w:rsidR="0041563D">
        <w:rPr>
          <w:rFonts w:ascii="Times New Roman" w:hAnsi="Times New Roman"/>
        </w:rPr>
        <w:t>a</w:t>
      </w:r>
      <w:r w:rsidRPr="001E44AE" w:rsidR="00797768">
        <w:rPr>
          <w:rFonts w:ascii="Times New Roman" w:hAnsi="Times New Roman"/>
        </w:rPr>
        <w:t xml:space="preserve">n estimated </w:t>
      </w:r>
      <w:r w:rsidR="00EE3BC9">
        <w:rPr>
          <w:rFonts w:ascii="Times New Roman" w:hAnsi="Times New Roman"/>
        </w:rPr>
        <w:t>292</w:t>
      </w:r>
      <w:r w:rsidR="006D21B8">
        <w:rPr>
          <w:rFonts w:ascii="Times New Roman" w:hAnsi="Times New Roman"/>
        </w:rPr>
        <w:t>,</w:t>
      </w:r>
      <w:r w:rsidR="00EE3BC9">
        <w:rPr>
          <w:rFonts w:ascii="Times New Roman" w:hAnsi="Times New Roman"/>
        </w:rPr>
        <w:t>843</w:t>
      </w:r>
      <w:r w:rsidR="001846E4">
        <w:rPr>
          <w:rFonts w:ascii="Times New Roman" w:hAnsi="Times New Roman"/>
        </w:rPr>
        <w:t xml:space="preserve"> </w:t>
      </w:r>
      <w:r w:rsidRPr="001E44AE" w:rsidR="0041563D">
        <w:rPr>
          <w:rFonts w:ascii="Times New Roman" w:hAnsi="Times New Roman"/>
        </w:rPr>
        <w:t>plans</w:t>
      </w:r>
      <w:r w:rsidRPr="001E44AE">
        <w:rPr>
          <w:rFonts w:ascii="Times New Roman" w:hAnsi="Times New Roman"/>
        </w:rPr>
        <w:t>,</w:t>
      </w:r>
      <w:r>
        <w:rPr>
          <w:rStyle w:val="FootnoteReference"/>
          <w:rFonts w:ascii="Times New Roman" w:hAnsi="Times New Roman"/>
          <w:vertAlign w:val="superscript"/>
        </w:rPr>
        <w:footnoteReference w:id="3"/>
      </w:r>
      <w:r w:rsidRPr="001E44AE">
        <w:rPr>
          <w:rFonts w:ascii="Times New Roman" w:hAnsi="Times New Roman"/>
        </w:rPr>
        <w:t xml:space="preserve"> provide </w:t>
      </w:r>
      <w:r w:rsidRPr="001E44AE" w:rsidR="0041563D">
        <w:rPr>
          <w:rFonts w:ascii="Times New Roman" w:hAnsi="Times New Roman"/>
        </w:rPr>
        <w:t>some or</w:t>
      </w:r>
      <w:r w:rsidRPr="001E44AE">
        <w:rPr>
          <w:rFonts w:ascii="Times New Roman" w:hAnsi="Times New Roman"/>
        </w:rPr>
        <w:t xml:space="preserve"> all benefits through an insurance carrier. </w:t>
      </w:r>
      <w:r w:rsidR="005A7A67">
        <w:rPr>
          <w:rFonts w:ascii="Times New Roman" w:hAnsi="Times New Roman"/>
        </w:rPr>
        <w:t xml:space="preserve">Many </w:t>
      </w:r>
      <w:r w:rsidRPr="001E44AE">
        <w:rPr>
          <w:rFonts w:ascii="Times New Roman" w:hAnsi="Times New Roman"/>
        </w:rPr>
        <w:t>of these plans have group insurance con</w:t>
      </w:r>
      <w:r w:rsidRPr="00CB2B39">
        <w:rPr>
          <w:rFonts w:ascii="Times New Roman" w:hAnsi="Times New Roman"/>
        </w:rPr>
        <w:t>tracts which are not affected by the class exemption</w:t>
      </w:r>
      <w:r w:rsidR="005A7A67">
        <w:rPr>
          <w:rFonts w:ascii="Times New Roman" w:hAnsi="Times New Roman"/>
        </w:rPr>
        <w:t>.</w:t>
      </w:r>
      <w:r w:rsidRPr="00CB2B39">
        <w:rPr>
          <w:rFonts w:ascii="Times New Roman" w:hAnsi="Times New Roman"/>
        </w:rPr>
        <w:t xml:space="preserve"> </w:t>
      </w:r>
      <w:r w:rsidR="005A7A67">
        <w:rPr>
          <w:rFonts w:ascii="Times New Roman" w:hAnsi="Times New Roman"/>
        </w:rPr>
        <w:t>T</w:t>
      </w:r>
      <w:r w:rsidRPr="00CB2B39">
        <w:rPr>
          <w:rFonts w:ascii="Times New Roman" w:hAnsi="Times New Roman"/>
        </w:rPr>
        <w:t>he Department estimates that no more than 50</w:t>
      </w:r>
      <w:r w:rsidR="00F6482F">
        <w:rPr>
          <w:rFonts w:ascii="Times New Roman" w:hAnsi="Times New Roman"/>
        </w:rPr>
        <w:t xml:space="preserve"> percent</w:t>
      </w:r>
      <w:r w:rsidRPr="00CB2B39">
        <w:rPr>
          <w:rFonts w:ascii="Times New Roman" w:hAnsi="Times New Roman"/>
        </w:rPr>
        <w:t xml:space="preserve"> of these plans (</w:t>
      </w:r>
      <w:r w:rsidR="00EE3BC9">
        <w:rPr>
          <w:rFonts w:ascii="Times New Roman" w:hAnsi="Times New Roman"/>
        </w:rPr>
        <w:t>146,421</w:t>
      </w:r>
      <w:r w:rsidRPr="001E44AE">
        <w:rPr>
          <w:rFonts w:ascii="Times New Roman" w:hAnsi="Times New Roman"/>
        </w:rPr>
        <w:t xml:space="preserve">) have some </w:t>
      </w:r>
      <w:r w:rsidRPr="001E44AE">
        <w:rPr>
          <w:rFonts w:ascii="Times New Roman" w:hAnsi="Times New Roman"/>
        </w:rPr>
        <w:t xml:space="preserve">form of individual life or annuity contracts. </w:t>
      </w:r>
      <w:r w:rsidR="008C1FCC">
        <w:rPr>
          <w:rFonts w:ascii="Times New Roman" w:hAnsi="Times New Roman"/>
        </w:rPr>
        <w:t>The Department assumes that</w:t>
      </w:r>
      <w:r w:rsidRPr="001E44AE" w:rsidR="008C1FCC">
        <w:rPr>
          <w:rFonts w:ascii="Times New Roman" w:hAnsi="Times New Roman"/>
        </w:rPr>
        <w:t xml:space="preserve"> </w:t>
      </w:r>
      <w:r w:rsidRPr="001E44AE">
        <w:rPr>
          <w:rFonts w:ascii="Times New Roman" w:hAnsi="Times New Roman"/>
        </w:rPr>
        <w:t xml:space="preserve">most </w:t>
      </w:r>
      <w:r w:rsidR="008C1FCC">
        <w:rPr>
          <w:rFonts w:ascii="Times New Roman" w:hAnsi="Times New Roman"/>
        </w:rPr>
        <w:t xml:space="preserve">of these </w:t>
      </w:r>
      <w:r w:rsidRPr="001E44AE">
        <w:rPr>
          <w:rFonts w:ascii="Times New Roman" w:hAnsi="Times New Roman"/>
        </w:rPr>
        <w:t xml:space="preserve">plans will not discontinue the individual policies, </w:t>
      </w:r>
      <w:r w:rsidR="00DE6BB2">
        <w:rPr>
          <w:rFonts w:ascii="Times New Roman" w:hAnsi="Times New Roman"/>
        </w:rPr>
        <w:t xml:space="preserve">and </w:t>
      </w:r>
      <w:r w:rsidRPr="001E44AE" w:rsidR="00DE6BB2">
        <w:rPr>
          <w:rFonts w:ascii="Times New Roman" w:hAnsi="Times New Roman"/>
        </w:rPr>
        <w:t>that</w:t>
      </w:r>
      <w:r w:rsidRPr="001E44AE">
        <w:rPr>
          <w:rFonts w:ascii="Times New Roman" w:hAnsi="Times New Roman"/>
        </w:rPr>
        <w:t xml:space="preserve"> the class exemption will be used primarily by plans changing from individual to group policies. Plans in this category tend to be relatively small plans which have grown enough to make group contracts possible. Therefore, the Department assumes that approximately 5</w:t>
      </w:r>
      <w:r w:rsidR="00F6482F">
        <w:rPr>
          <w:rFonts w:ascii="Times New Roman" w:hAnsi="Times New Roman"/>
        </w:rPr>
        <w:t xml:space="preserve"> percent</w:t>
      </w:r>
      <w:r w:rsidRPr="001E44AE">
        <w:rPr>
          <w:rFonts w:ascii="Times New Roman" w:hAnsi="Times New Roman"/>
        </w:rPr>
        <w:t xml:space="preserve"> of plans with individual life or annuity policies </w:t>
      </w:r>
      <w:r w:rsidR="00EE3BC9">
        <w:rPr>
          <w:rFonts w:ascii="Times New Roman" w:hAnsi="Times New Roman"/>
        </w:rPr>
        <w:t>(7,321</w:t>
      </w:r>
      <w:r w:rsidRPr="001E44AE" w:rsidR="0041563D">
        <w:rPr>
          <w:rFonts w:ascii="Times New Roman" w:hAnsi="Times New Roman"/>
        </w:rPr>
        <w:t>)</w:t>
      </w:r>
      <w:r>
        <w:rPr>
          <w:rStyle w:val="FootnoteReference"/>
          <w:rFonts w:ascii="Times New Roman" w:hAnsi="Times New Roman"/>
          <w:vertAlign w:val="superscript"/>
        </w:rPr>
        <w:footnoteReference w:id="4"/>
      </w:r>
      <w:r w:rsidR="001A67B2">
        <w:rPr>
          <w:rFonts w:ascii="Times New Roman" w:hAnsi="Times New Roman"/>
        </w:rPr>
        <w:t>, which are expected to be exclusively small plans with an average plan size of 20 participants,</w:t>
      </w:r>
      <w:r w:rsidRPr="001E44AE" w:rsidR="0041563D">
        <w:rPr>
          <w:rFonts w:ascii="Times New Roman" w:hAnsi="Times New Roman"/>
        </w:rPr>
        <w:t xml:space="preserve"> </w:t>
      </w:r>
      <w:r w:rsidRPr="001E44AE">
        <w:rPr>
          <w:rFonts w:ascii="Times New Roman" w:hAnsi="Times New Roman"/>
        </w:rPr>
        <w:t xml:space="preserve">will change from individual to group contracts in any given year, affecting approximately </w:t>
      </w:r>
      <w:r w:rsidR="00E90D23">
        <w:rPr>
          <w:rFonts w:ascii="Times New Roman" w:hAnsi="Times New Roman"/>
        </w:rPr>
        <w:t>146,421</w:t>
      </w:r>
      <w:r w:rsidR="001846E4">
        <w:rPr>
          <w:rFonts w:ascii="Times New Roman" w:hAnsi="Times New Roman"/>
        </w:rPr>
        <w:t xml:space="preserve"> </w:t>
      </w:r>
      <w:r w:rsidRPr="001E44AE">
        <w:rPr>
          <w:rFonts w:ascii="Times New Roman" w:hAnsi="Times New Roman"/>
        </w:rPr>
        <w:t>participants</w:t>
      </w:r>
      <w:r>
        <w:rPr>
          <w:rStyle w:val="FootnoteReference"/>
          <w:rFonts w:ascii="Times New Roman" w:hAnsi="Times New Roman"/>
          <w:vertAlign w:val="superscript"/>
        </w:rPr>
        <w:footnoteReference w:id="5"/>
      </w:r>
      <w:r w:rsidRPr="001E44AE">
        <w:rPr>
          <w:rFonts w:ascii="Times New Roman" w:hAnsi="Times New Roman"/>
        </w:rPr>
        <w:t xml:space="preserve">, and that all of the </w:t>
      </w:r>
      <w:r w:rsidR="00EE3BC9">
        <w:rPr>
          <w:rFonts w:ascii="Times New Roman" w:hAnsi="Times New Roman"/>
        </w:rPr>
        <w:t>7,321</w:t>
      </w:r>
      <w:r w:rsidRPr="001E44AE">
        <w:rPr>
          <w:rFonts w:ascii="Times New Roman" w:hAnsi="Times New Roman"/>
        </w:rPr>
        <w:t xml:space="preserve"> plans will offer to sell the individual contracts to plan participants, an employer, relatives, or another plan.</w:t>
      </w:r>
    </w:p>
    <w:p w:rsidR="00EE784F" w:rsidRPr="00CB2B39" w:rsidP="00CD2843" w14:paraId="2245F3EA" w14:textId="77777777">
      <w:pPr>
        <w:ind w:left="720"/>
        <w:rPr>
          <w:rFonts w:ascii="Times New Roman" w:hAnsi="Times New Roman"/>
        </w:rPr>
      </w:pPr>
    </w:p>
    <w:p w:rsidR="00EE784F" w:rsidRPr="0081524E" w:rsidP="00CD2843" w14:paraId="70AB2734" w14:textId="5AF074D3">
      <w:pPr>
        <w:ind w:left="720"/>
        <w:rPr>
          <w:rFonts w:ascii="Times New Roman" w:hAnsi="Times New Roman"/>
        </w:rPr>
      </w:pPr>
      <w:r w:rsidRPr="00CD2843">
        <w:rPr>
          <w:rFonts w:ascii="Times New Roman" w:hAnsi="Times New Roman"/>
        </w:rPr>
        <w:t xml:space="preserve">In addition to plans converting to group contracts, plans may sell individual contracts of terminating participants. The Department estimates that of those plans offering </w:t>
      </w:r>
      <w:r w:rsidRPr="00CD2843" w:rsidR="00645334">
        <w:rPr>
          <w:rFonts w:ascii="Times New Roman" w:hAnsi="Times New Roman"/>
        </w:rPr>
        <w:t>i</w:t>
      </w:r>
      <w:r w:rsidRPr="00CD2843">
        <w:rPr>
          <w:rFonts w:ascii="Times New Roman" w:hAnsi="Times New Roman"/>
        </w:rPr>
        <w:t xml:space="preserve">ndividual life </w:t>
      </w:r>
      <w:r w:rsidRPr="00CD2843" w:rsidR="00645334">
        <w:rPr>
          <w:rFonts w:ascii="Times New Roman" w:hAnsi="Times New Roman"/>
        </w:rPr>
        <w:t xml:space="preserve">insurance </w:t>
      </w:r>
      <w:r w:rsidRPr="00CD2843">
        <w:rPr>
          <w:rFonts w:ascii="Times New Roman" w:hAnsi="Times New Roman"/>
        </w:rPr>
        <w:t xml:space="preserve">or annuity contracts that do not convert from individual to group policies, 20 percent </w:t>
      </w:r>
      <w:r w:rsidRPr="00CD2843" w:rsidR="00645334">
        <w:rPr>
          <w:rFonts w:ascii="Times New Roman" w:hAnsi="Times New Roman"/>
        </w:rPr>
        <w:t>(</w:t>
      </w:r>
      <w:r w:rsidR="00EE3BC9">
        <w:rPr>
          <w:rFonts w:ascii="Times New Roman" w:hAnsi="Times New Roman"/>
        </w:rPr>
        <w:t>27,820</w:t>
      </w:r>
      <w:r w:rsidR="001846E4">
        <w:rPr>
          <w:rFonts w:ascii="Times New Roman" w:hAnsi="Times New Roman"/>
        </w:rPr>
        <w:t xml:space="preserve"> </w:t>
      </w:r>
      <w:r w:rsidRPr="0081524E">
        <w:rPr>
          <w:rFonts w:ascii="Times New Roman" w:hAnsi="Times New Roman"/>
        </w:rPr>
        <w:t>plans</w:t>
      </w:r>
      <w:r w:rsidRPr="0081524E" w:rsidR="00645334">
        <w:rPr>
          <w:rFonts w:ascii="Times New Roman" w:hAnsi="Times New Roman"/>
        </w:rPr>
        <w:t>)</w:t>
      </w:r>
      <w:r w:rsidRPr="0081524E">
        <w:rPr>
          <w:rFonts w:ascii="Times New Roman" w:hAnsi="Times New Roman"/>
        </w:rPr>
        <w:t xml:space="preserve"> will offer to sell the contracts</w:t>
      </w:r>
      <w:r w:rsidRPr="0081524E" w:rsidR="00B17D53">
        <w:rPr>
          <w:rFonts w:ascii="Times New Roman" w:hAnsi="Times New Roman"/>
        </w:rPr>
        <w:t xml:space="preserve"> to terminating participants</w:t>
      </w:r>
      <w:r w:rsidRPr="0081524E">
        <w:rPr>
          <w:rFonts w:ascii="Times New Roman" w:hAnsi="Times New Roman"/>
        </w:rPr>
        <w:t xml:space="preserve">. The Department estimates that there are approximately </w:t>
      </w:r>
      <w:r w:rsidR="00D500C0">
        <w:rPr>
          <w:rFonts w:ascii="Times New Roman" w:hAnsi="Times New Roman"/>
        </w:rPr>
        <w:t>four</w:t>
      </w:r>
      <w:r w:rsidRPr="0081524E" w:rsidR="00D500C0">
        <w:rPr>
          <w:rFonts w:ascii="Times New Roman" w:hAnsi="Times New Roman"/>
        </w:rPr>
        <w:t xml:space="preserve"> </w:t>
      </w:r>
      <w:r w:rsidRPr="0081524E">
        <w:rPr>
          <w:rFonts w:ascii="Times New Roman" w:hAnsi="Times New Roman"/>
        </w:rPr>
        <w:t xml:space="preserve">terminating participants each year per plan or a total of approximately </w:t>
      </w:r>
      <w:r w:rsidR="00D500C0">
        <w:rPr>
          <w:rFonts w:ascii="Times New Roman" w:hAnsi="Times New Roman"/>
        </w:rPr>
        <w:t>111,</w:t>
      </w:r>
      <w:r w:rsidR="00671C9A">
        <w:rPr>
          <w:rFonts w:ascii="Times New Roman" w:hAnsi="Times New Roman"/>
        </w:rPr>
        <w:t>280</w:t>
      </w:r>
      <w:r w:rsidR="00F157CC">
        <w:rPr>
          <w:rFonts w:ascii="Times New Roman" w:hAnsi="Times New Roman"/>
        </w:rPr>
        <w:t xml:space="preserve"> </w:t>
      </w:r>
      <w:r w:rsidRPr="0081524E">
        <w:rPr>
          <w:rFonts w:ascii="Times New Roman" w:hAnsi="Times New Roman"/>
        </w:rPr>
        <w:t xml:space="preserve">participants.  </w:t>
      </w:r>
    </w:p>
    <w:p w:rsidR="00EE784F" w:rsidRPr="00CB2B39" w:rsidP="00CD2843" w14:paraId="710BF5DE" w14:textId="77777777">
      <w:pPr>
        <w:ind w:left="720"/>
        <w:rPr>
          <w:rFonts w:ascii="Times New Roman" w:hAnsi="Times New Roman"/>
        </w:rPr>
      </w:pPr>
    </w:p>
    <w:p w:rsidR="00EE784F" w:rsidP="00CD2843" w14:paraId="72E428C7" w14:textId="353CFEE7">
      <w:pPr>
        <w:ind w:left="720"/>
        <w:rPr>
          <w:rFonts w:ascii="Times New Roman" w:hAnsi="Times New Roman"/>
        </w:rPr>
      </w:pPr>
      <w:r w:rsidRPr="00CD2843">
        <w:rPr>
          <w:rFonts w:ascii="Times New Roman" w:hAnsi="Times New Roman"/>
        </w:rPr>
        <w:t xml:space="preserve">The Department assumes that only 10 percent of participants decline the offer to purchase their own life insurance or annuity contract, resulting in plans offering to sell </w:t>
      </w:r>
      <w:r w:rsidR="00671C9A">
        <w:rPr>
          <w:rFonts w:ascii="Times New Roman" w:hAnsi="Times New Roman"/>
        </w:rPr>
        <w:t xml:space="preserve">25,770 </w:t>
      </w:r>
      <w:r w:rsidRPr="00376AF2">
        <w:rPr>
          <w:rFonts w:ascii="Times New Roman" w:hAnsi="Times New Roman"/>
        </w:rPr>
        <w:t>individual contracts to relatives, another plan, an owner-employee, or a shareholder-employee annually.</w:t>
      </w:r>
      <w:r>
        <w:rPr>
          <w:rStyle w:val="FootnoteReference"/>
          <w:rFonts w:ascii="Times New Roman" w:hAnsi="Times New Roman"/>
          <w:vertAlign w:val="superscript"/>
        </w:rPr>
        <w:footnoteReference w:id="6"/>
      </w:r>
      <w:r w:rsidRPr="001E44AE">
        <w:rPr>
          <w:rFonts w:ascii="Times New Roman" w:hAnsi="Times New Roman"/>
        </w:rPr>
        <w:t xml:space="preserve"> It is further assumed that the disclosure is </w:t>
      </w:r>
      <w:r w:rsidRPr="001E44AE" w:rsidR="00036B15">
        <w:rPr>
          <w:rFonts w:ascii="Times New Roman" w:hAnsi="Times New Roman"/>
        </w:rPr>
        <w:t xml:space="preserve">a standardized form </w:t>
      </w:r>
      <w:r w:rsidRPr="00CB2B39">
        <w:rPr>
          <w:rFonts w:ascii="Times New Roman" w:hAnsi="Times New Roman"/>
        </w:rPr>
        <w:t xml:space="preserve">prepared by the plan itself, instead of using a </w:t>
      </w:r>
      <w:r w:rsidRPr="00CD2843" w:rsidR="00036B15">
        <w:rPr>
          <w:rFonts w:ascii="Times New Roman" w:hAnsi="Times New Roman"/>
        </w:rPr>
        <w:t xml:space="preserve">third-party </w:t>
      </w:r>
      <w:r w:rsidRPr="00CD2843">
        <w:rPr>
          <w:rFonts w:ascii="Times New Roman" w:hAnsi="Times New Roman"/>
        </w:rPr>
        <w:t>service provider. The Department estimates that a</w:t>
      </w:r>
      <w:r w:rsidR="00376AF2">
        <w:rPr>
          <w:rFonts w:ascii="Times New Roman" w:hAnsi="Times New Roman"/>
        </w:rPr>
        <w:t>n accounting</w:t>
      </w:r>
      <w:r w:rsidRPr="00376AF2">
        <w:rPr>
          <w:rFonts w:ascii="Times New Roman" w:hAnsi="Times New Roman"/>
        </w:rPr>
        <w:t xml:space="preserve"> professional will require </w:t>
      </w:r>
      <w:r w:rsidRPr="00376AF2" w:rsidR="0041563D">
        <w:rPr>
          <w:rFonts w:ascii="Times New Roman" w:hAnsi="Times New Roman"/>
        </w:rPr>
        <w:t>ten</w:t>
      </w:r>
      <w:r w:rsidRPr="00376AF2">
        <w:rPr>
          <w:rFonts w:ascii="Times New Roman" w:hAnsi="Times New Roman"/>
        </w:rPr>
        <w:t xml:space="preserve"> minutes at $</w:t>
      </w:r>
      <w:r w:rsidR="0074176B">
        <w:rPr>
          <w:rFonts w:ascii="Times New Roman" w:hAnsi="Times New Roman"/>
        </w:rPr>
        <w:t>125.52</w:t>
      </w:r>
      <w:r w:rsidR="007B3EAF">
        <w:rPr>
          <w:rFonts w:ascii="Times New Roman" w:hAnsi="Times New Roman"/>
        </w:rPr>
        <w:t xml:space="preserve"> </w:t>
      </w:r>
      <w:r w:rsidRPr="00376AF2">
        <w:rPr>
          <w:rFonts w:ascii="Times New Roman" w:hAnsi="Times New Roman"/>
        </w:rPr>
        <w:t>per hour to prepare the disclosure form and a</w:t>
      </w:r>
      <w:r w:rsidR="00EF0763">
        <w:rPr>
          <w:rFonts w:ascii="Times New Roman" w:hAnsi="Times New Roman"/>
        </w:rPr>
        <w:t xml:space="preserve"> clerical staff person will require a</w:t>
      </w:r>
      <w:r w:rsidRPr="00376AF2">
        <w:rPr>
          <w:rFonts w:ascii="Times New Roman" w:hAnsi="Times New Roman"/>
        </w:rPr>
        <w:t xml:space="preserve">n additional </w:t>
      </w:r>
      <w:r w:rsidRPr="00376AF2" w:rsidR="0041563D">
        <w:rPr>
          <w:rFonts w:ascii="Times New Roman" w:hAnsi="Times New Roman"/>
        </w:rPr>
        <w:t>two</w:t>
      </w:r>
      <w:r w:rsidRPr="00376AF2">
        <w:rPr>
          <w:rFonts w:ascii="Times New Roman" w:hAnsi="Times New Roman"/>
        </w:rPr>
        <w:t xml:space="preserve"> minutes at $</w:t>
      </w:r>
      <w:r w:rsidR="0074176B">
        <w:rPr>
          <w:rFonts w:ascii="Times New Roman" w:hAnsi="Times New Roman"/>
        </w:rPr>
        <w:t>72.82</w:t>
      </w:r>
      <w:r w:rsidRPr="00376AF2">
        <w:rPr>
          <w:rFonts w:ascii="Times New Roman" w:hAnsi="Times New Roman"/>
        </w:rPr>
        <w:t xml:space="preserve"> per hour </w:t>
      </w:r>
      <w:r w:rsidR="00EF0763">
        <w:rPr>
          <w:rFonts w:ascii="Times New Roman" w:hAnsi="Times New Roman"/>
        </w:rPr>
        <w:t>to</w:t>
      </w:r>
      <w:r w:rsidRPr="00376AF2">
        <w:rPr>
          <w:rFonts w:ascii="Times New Roman" w:hAnsi="Times New Roman"/>
        </w:rPr>
        <w:t xml:space="preserve"> mail the disclosure form to the insured participant.</w:t>
      </w:r>
      <w:r>
        <w:rPr>
          <w:rStyle w:val="FootnoteReference"/>
          <w:rFonts w:ascii="Times New Roman" w:hAnsi="Times New Roman"/>
          <w:vertAlign w:val="superscript"/>
        </w:rPr>
        <w:footnoteReference w:id="7"/>
      </w:r>
      <w:r w:rsidRPr="001E44AE">
        <w:rPr>
          <w:rFonts w:ascii="Times New Roman" w:hAnsi="Times New Roman"/>
        </w:rPr>
        <w:t xml:space="preserve"> </w:t>
      </w:r>
      <w:r w:rsidR="00CB610F">
        <w:rPr>
          <w:rFonts w:ascii="Times New Roman" w:hAnsi="Times New Roman"/>
        </w:rPr>
        <w:t xml:space="preserve">Please see Table 1 for burden and calculations. </w:t>
      </w:r>
    </w:p>
    <w:p w:rsidR="0074490D" w:rsidP="0041671B" w14:paraId="32BA7C04" w14:textId="77777777">
      <w:pPr>
        <w:rPr>
          <w:rFonts w:ascii="Times New Roman" w:hAnsi="Times New Roman"/>
          <w:b/>
        </w:rPr>
      </w:pPr>
    </w:p>
    <w:p w:rsidR="0074490D" w:rsidP="0041671B" w14:paraId="6BDF4932" w14:textId="77777777">
      <w:pPr>
        <w:rPr>
          <w:rFonts w:ascii="Times New Roman" w:hAnsi="Times New Roman"/>
          <w:b/>
        </w:rPr>
      </w:pPr>
    </w:p>
    <w:p w:rsidR="0074490D" w:rsidP="0041671B" w14:paraId="7DC3C6E9" w14:textId="77777777">
      <w:pPr>
        <w:rPr>
          <w:rFonts w:ascii="Times New Roman" w:hAnsi="Times New Roman"/>
          <w:b/>
        </w:rPr>
      </w:pPr>
    </w:p>
    <w:p w:rsidR="0074490D" w:rsidP="0041671B" w14:paraId="193E99B4" w14:textId="77777777">
      <w:pPr>
        <w:rPr>
          <w:rFonts w:ascii="Times New Roman" w:hAnsi="Times New Roman"/>
          <w:b/>
        </w:rPr>
      </w:pPr>
    </w:p>
    <w:p w:rsidR="0074490D" w:rsidP="0041671B" w14:paraId="0E93784B" w14:textId="77777777">
      <w:pPr>
        <w:rPr>
          <w:rFonts w:ascii="Times New Roman" w:hAnsi="Times New Roman"/>
          <w:b/>
        </w:rPr>
      </w:pPr>
    </w:p>
    <w:p w:rsidR="0074490D" w:rsidP="0041671B" w14:paraId="5CF26F50" w14:textId="77777777">
      <w:pPr>
        <w:rPr>
          <w:rFonts w:ascii="Times New Roman" w:hAnsi="Times New Roman"/>
          <w:b/>
        </w:rPr>
      </w:pPr>
    </w:p>
    <w:p w:rsidR="0074490D" w:rsidP="0041671B" w14:paraId="6CD796F9" w14:textId="77777777">
      <w:pPr>
        <w:rPr>
          <w:rFonts w:ascii="Times New Roman" w:hAnsi="Times New Roman"/>
          <w:b/>
        </w:rPr>
      </w:pPr>
    </w:p>
    <w:p w:rsidR="0074490D" w:rsidP="0041671B" w14:paraId="79CC43B1" w14:textId="77777777">
      <w:pPr>
        <w:rPr>
          <w:rFonts w:ascii="Times New Roman" w:hAnsi="Times New Roman"/>
          <w:b/>
        </w:rPr>
      </w:pPr>
    </w:p>
    <w:p w:rsidR="00084B9A" w:rsidP="0041671B" w14:paraId="291B5EE8" w14:textId="147145C0">
      <w:pPr>
        <w:rPr>
          <w:rFonts w:ascii="Times New Roman" w:hAnsi="Times New Roman"/>
          <w:b/>
        </w:rPr>
      </w:pPr>
      <w:r>
        <w:rPr>
          <w:rFonts w:ascii="Times New Roman" w:hAnsi="Times New Roman"/>
          <w:b/>
        </w:rPr>
        <w:t xml:space="preserve">Table 1. </w:t>
      </w:r>
      <w:r w:rsidRPr="002C3806" w:rsidR="00DB13F1">
        <w:rPr>
          <w:rFonts w:ascii="Times New Roman" w:hAnsi="Times New Roman"/>
          <w:b/>
        </w:rPr>
        <w:t>Estimated Annualized Respondent Hour Burden</w:t>
      </w:r>
      <w:r w:rsidR="00DB13F1">
        <w:rPr>
          <w:rFonts w:ascii="Times New Roman" w:hAnsi="Times New Roman"/>
          <w:b/>
        </w:rPr>
        <w:t xml:space="preserve"> and Hour Equivalent Cost</w:t>
      </w:r>
    </w:p>
    <w:p w:rsidR="00084B9A" w:rsidP="00084B9A" w14:paraId="1A14A2A1" w14:textId="77777777">
      <w:pPr>
        <w:ind w:left="720"/>
        <w:rPr>
          <w:rFonts w:ascii="Times New Roman" w:hAnsi="Times New Roman"/>
          <w:b/>
        </w:rPr>
      </w:pPr>
    </w:p>
    <w:tbl>
      <w:tblPr>
        <w:tblW w:w="109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440"/>
        <w:gridCol w:w="1350"/>
        <w:gridCol w:w="1260"/>
        <w:gridCol w:w="1080"/>
        <w:gridCol w:w="990"/>
        <w:gridCol w:w="1080"/>
        <w:gridCol w:w="1283"/>
      </w:tblGrid>
      <w:tr w14:paraId="02C36D94" w14:textId="77777777" w:rsidTr="0074490D">
        <w:tblPrEx>
          <w:tblW w:w="109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8"/>
        </w:trPr>
        <w:tc>
          <w:tcPr>
            <w:tcW w:w="2430" w:type="dxa"/>
            <w:shd w:val="clear" w:color="auto" w:fill="ACB9CA"/>
            <w:vAlign w:val="center"/>
            <w:hideMark/>
          </w:tcPr>
          <w:p w:rsidR="00084B9A" w:rsidRPr="007B7233" w:rsidP="004251B6" w14:paraId="24AFC4BF"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w:t>
            </w:r>
            <w:r>
              <w:rPr>
                <w:rFonts w:ascii="Times New Roman" w:hAnsi="Times New Roman"/>
                <w:b/>
                <w:bCs/>
                <w:color w:val="000000"/>
                <w:sz w:val="22"/>
                <w:szCs w:val="28"/>
              </w:rPr>
              <w:t>Activities</w:t>
            </w:r>
          </w:p>
        </w:tc>
        <w:tc>
          <w:tcPr>
            <w:tcW w:w="1440" w:type="dxa"/>
            <w:shd w:val="clear" w:color="auto" w:fill="ACB9CA"/>
            <w:vAlign w:val="center"/>
            <w:hideMark/>
          </w:tcPr>
          <w:p w:rsidR="00084B9A" w:rsidRPr="007B7233" w:rsidP="004251B6" w14:paraId="061B8717"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Respondents</w:t>
            </w:r>
          </w:p>
        </w:tc>
        <w:tc>
          <w:tcPr>
            <w:tcW w:w="1350" w:type="dxa"/>
            <w:shd w:val="clear" w:color="auto" w:fill="ACB9CA"/>
            <w:vAlign w:val="center"/>
            <w:hideMark/>
          </w:tcPr>
          <w:p w:rsidR="00084B9A" w:rsidRPr="007B7233" w:rsidP="004251B6" w14:paraId="691A3D91"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Responses per Respondent</w:t>
            </w:r>
          </w:p>
        </w:tc>
        <w:tc>
          <w:tcPr>
            <w:tcW w:w="1260" w:type="dxa"/>
            <w:shd w:val="clear" w:color="auto" w:fill="ACB9CA"/>
            <w:vAlign w:val="center"/>
            <w:hideMark/>
          </w:tcPr>
          <w:p w:rsidR="00084B9A" w:rsidRPr="007B7233" w:rsidP="004251B6" w14:paraId="2EB8D711"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080" w:type="dxa"/>
            <w:shd w:val="clear" w:color="auto" w:fill="ACB9CA"/>
            <w:vAlign w:val="center"/>
            <w:hideMark/>
          </w:tcPr>
          <w:p w:rsidR="00084B9A" w:rsidRPr="007B7233" w:rsidP="004251B6" w14:paraId="041F7687" w14:textId="77777777">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 </w:t>
            </w:r>
          </w:p>
        </w:tc>
        <w:tc>
          <w:tcPr>
            <w:tcW w:w="990" w:type="dxa"/>
            <w:shd w:val="clear" w:color="auto" w:fill="ACB9CA"/>
            <w:vAlign w:val="center"/>
          </w:tcPr>
          <w:p w:rsidR="00084B9A" w:rsidP="004251B6" w14:paraId="4612DA3B"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00084B9A" w:rsidRPr="00864839" w:rsidP="004251B6" w14:paraId="5C4AE452" w14:textId="77777777">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1080" w:type="dxa"/>
            <w:shd w:val="clear" w:color="auto" w:fill="ACB9CA"/>
            <w:vAlign w:val="center"/>
          </w:tcPr>
          <w:p w:rsidR="00084B9A" w:rsidRPr="007B7233" w:rsidP="004251B6" w14:paraId="4026044B"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Pr>
                <w:rFonts w:ascii="Times New Roman" w:hAnsi="Times New Roman"/>
                <w:b/>
                <w:bCs/>
                <w:color w:val="000000"/>
                <w:sz w:val="22"/>
                <w:szCs w:val="28"/>
              </w:rPr>
              <w:t>ge Rates</w:t>
            </w:r>
          </w:p>
        </w:tc>
        <w:tc>
          <w:tcPr>
            <w:tcW w:w="1283" w:type="dxa"/>
            <w:shd w:val="clear" w:color="auto" w:fill="ACB9CA"/>
            <w:vAlign w:val="center"/>
          </w:tcPr>
          <w:p w:rsidR="00084B9A" w:rsidRPr="007B7233" w:rsidP="0074490D" w14:paraId="1374CC04"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Equivalent Cost</w:t>
            </w:r>
          </w:p>
        </w:tc>
      </w:tr>
      <w:tr w14:paraId="663AA98F" w14:textId="77777777" w:rsidTr="0041671B">
        <w:tblPrEx>
          <w:tblW w:w="10913" w:type="dxa"/>
          <w:tblInd w:w="-365" w:type="dxa"/>
          <w:tblLayout w:type="fixed"/>
          <w:tblLook w:val="04A0"/>
        </w:tblPrEx>
        <w:trPr>
          <w:trHeight w:val="143"/>
        </w:trPr>
        <w:tc>
          <w:tcPr>
            <w:tcW w:w="2430" w:type="dxa"/>
            <w:vAlign w:val="center"/>
          </w:tcPr>
          <w:p w:rsidR="00A137CD" w:rsidRPr="00F052EB" w:rsidP="00EC772D" w14:paraId="1E4F7C1E" w14:textId="02D85F1B">
            <w:pPr>
              <w:widowControl/>
              <w:autoSpaceDE/>
              <w:autoSpaceDN/>
              <w:adjustRightInd/>
              <w:rPr>
                <w:rFonts w:ascii="Times New Roman" w:hAnsi="Times New Roman"/>
                <w:color w:val="000000"/>
                <w:sz w:val="22"/>
                <w:szCs w:val="28"/>
              </w:rPr>
            </w:pPr>
            <w:r>
              <w:rPr>
                <w:rFonts w:ascii="Times New Roman" w:hAnsi="Times New Roman"/>
                <w:color w:val="000000"/>
                <w:sz w:val="22"/>
                <w:szCs w:val="22"/>
              </w:rPr>
              <w:t>Accounting</w:t>
            </w:r>
            <w:r w:rsidRPr="00714DE4">
              <w:rPr>
                <w:rFonts w:ascii="Times New Roman" w:hAnsi="Times New Roman"/>
                <w:color w:val="000000"/>
                <w:sz w:val="22"/>
                <w:szCs w:val="22"/>
              </w:rPr>
              <w:t xml:space="preserve"> </w:t>
            </w:r>
            <w:r>
              <w:rPr>
                <w:rFonts w:ascii="Times New Roman" w:hAnsi="Times New Roman"/>
                <w:color w:val="000000"/>
                <w:sz w:val="22"/>
                <w:szCs w:val="22"/>
              </w:rPr>
              <w:t>P</w:t>
            </w:r>
            <w:r w:rsidRPr="00714DE4">
              <w:rPr>
                <w:rFonts w:ascii="Times New Roman" w:hAnsi="Times New Roman"/>
                <w:color w:val="000000"/>
                <w:sz w:val="22"/>
                <w:szCs w:val="22"/>
              </w:rPr>
              <w:t>rofessional</w:t>
            </w:r>
            <w:r>
              <w:rPr>
                <w:rFonts w:ascii="Times New Roman" w:hAnsi="Times New Roman"/>
                <w:color w:val="000000"/>
                <w:sz w:val="22"/>
                <w:szCs w:val="22"/>
              </w:rPr>
              <w:t xml:space="preserve"> </w:t>
            </w:r>
            <w:r w:rsidR="00CE731F">
              <w:rPr>
                <w:rFonts w:ascii="Times New Roman" w:hAnsi="Times New Roman"/>
              </w:rPr>
              <w:t>P</w:t>
            </w:r>
            <w:r w:rsidRPr="00376AF2" w:rsidR="00CE731F">
              <w:rPr>
                <w:rFonts w:ascii="Times New Roman" w:hAnsi="Times New Roman"/>
              </w:rPr>
              <w:t>repare</w:t>
            </w:r>
            <w:r w:rsidR="0041671B">
              <w:rPr>
                <w:rFonts w:ascii="Times New Roman" w:hAnsi="Times New Roman"/>
              </w:rPr>
              <w:t>s</w:t>
            </w:r>
            <w:r w:rsidRPr="00376AF2" w:rsidR="00CE731F">
              <w:rPr>
                <w:rFonts w:ascii="Times New Roman" w:hAnsi="Times New Roman"/>
              </w:rPr>
              <w:t xml:space="preserve"> </w:t>
            </w:r>
            <w:r w:rsidR="00CE731F">
              <w:rPr>
                <w:rFonts w:ascii="Times New Roman" w:hAnsi="Times New Roman"/>
              </w:rPr>
              <w:t>D</w:t>
            </w:r>
            <w:r w:rsidRPr="00376AF2" w:rsidR="00CE731F">
              <w:rPr>
                <w:rFonts w:ascii="Times New Roman" w:hAnsi="Times New Roman"/>
              </w:rPr>
              <w:t>isclosure</w:t>
            </w:r>
            <w:r w:rsidR="00CE731F">
              <w:rPr>
                <w:rFonts w:ascii="Times New Roman" w:hAnsi="Times New Roman"/>
              </w:rPr>
              <w:t xml:space="preserve"> </w:t>
            </w:r>
          </w:p>
        </w:tc>
        <w:tc>
          <w:tcPr>
            <w:tcW w:w="1440" w:type="dxa"/>
            <w:vAlign w:val="center"/>
          </w:tcPr>
          <w:p w:rsidR="00A137CD" w:rsidRPr="00226D6F" w:rsidP="00A137CD" w14:paraId="6A594AF6" w14:textId="4643A6E7">
            <w:pPr>
              <w:widowControl/>
              <w:autoSpaceDE/>
              <w:autoSpaceDN/>
              <w:adjustRightInd/>
              <w:jc w:val="center"/>
              <w:rPr>
                <w:rFonts w:ascii="Times New Roman" w:hAnsi="Times New Roman"/>
                <w:color w:val="000000"/>
              </w:rPr>
            </w:pPr>
            <w:r>
              <w:rPr>
                <w:rFonts w:ascii="Times New Roman" w:hAnsi="Times New Roman"/>
                <w:color w:val="000000"/>
              </w:rPr>
              <w:t>25,770</w:t>
            </w:r>
          </w:p>
        </w:tc>
        <w:tc>
          <w:tcPr>
            <w:tcW w:w="1350" w:type="dxa"/>
            <w:vAlign w:val="center"/>
          </w:tcPr>
          <w:p w:rsidR="00A137CD" w:rsidRPr="00226D6F" w:rsidP="00A137CD" w14:paraId="7E9DBBD2" w14:textId="3359DB19">
            <w:pPr>
              <w:widowControl/>
              <w:autoSpaceDE/>
              <w:autoSpaceDN/>
              <w:adjustRightInd/>
              <w:jc w:val="center"/>
              <w:rPr>
                <w:rFonts w:ascii="Times New Roman" w:hAnsi="Times New Roman"/>
                <w:color w:val="000000"/>
              </w:rPr>
            </w:pPr>
            <w:r w:rsidRPr="00226D6F">
              <w:rPr>
                <w:rFonts w:ascii="Times New Roman" w:hAnsi="Times New Roman"/>
                <w:color w:val="000000"/>
              </w:rPr>
              <w:t>1</w:t>
            </w:r>
          </w:p>
        </w:tc>
        <w:tc>
          <w:tcPr>
            <w:tcW w:w="1260" w:type="dxa"/>
            <w:vAlign w:val="center"/>
          </w:tcPr>
          <w:p w:rsidR="00A137CD" w:rsidRPr="00226D6F" w:rsidP="00A137CD" w14:paraId="043B5C2E" w14:textId="2C66CEE6">
            <w:pPr>
              <w:widowControl/>
              <w:autoSpaceDE/>
              <w:autoSpaceDN/>
              <w:adjustRightInd/>
              <w:jc w:val="center"/>
              <w:rPr>
                <w:rFonts w:ascii="Times New Roman" w:hAnsi="Times New Roman"/>
                <w:color w:val="000000"/>
              </w:rPr>
            </w:pPr>
            <w:r>
              <w:rPr>
                <w:rFonts w:ascii="Times New Roman" w:hAnsi="Times New Roman"/>
                <w:color w:val="000000"/>
              </w:rPr>
              <w:t>25,770</w:t>
            </w:r>
          </w:p>
        </w:tc>
        <w:tc>
          <w:tcPr>
            <w:tcW w:w="1080" w:type="dxa"/>
            <w:vAlign w:val="center"/>
          </w:tcPr>
          <w:p w:rsidR="00A137CD" w:rsidRPr="00226D6F" w:rsidP="00A137CD" w14:paraId="744C11F8" w14:textId="39BE3CE1">
            <w:pPr>
              <w:widowControl/>
              <w:autoSpaceDE/>
              <w:autoSpaceDN/>
              <w:adjustRightInd/>
              <w:jc w:val="center"/>
              <w:rPr>
                <w:rFonts w:ascii="Times New Roman" w:hAnsi="Times New Roman"/>
                <w:color w:val="000000"/>
              </w:rPr>
            </w:pPr>
            <w:r w:rsidRPr="00226D6F">
              <w:rPr>
                <w:rFonts w:ascii="Times New Roman" w:hAnsi="Times New Roman"/>
                <w:color w:val="000000"/>
              </w:rPr>
              <w:t>10/60</w:t>
            </w:r>
          </w:p>
        </w:tc>
        <w:tc>
          <w:tcPr>
            <w:tcW w:w="990" w:type="dxa"/>
            <w:vAlign w:val="center"/>
          </w:tcPr>
          <w:p w:rsidR="00A137CD" w:rsidRPr="00226D6F" w:rsidP="00313483" w14:paraId="255A5F51" w14:textId="7F1C255E">
            <w:pPr>
              <w:widowControl/>
              <w:autoSpaceDE/>
              <w:autoSpaceDN/>
              <w:adjustRightInd/>
              <w:jc w:val="center"/>
              <w:rPr>
                <w:rFonts w:ascii="Times New Roman" w:hAnsi="Times New Roman"/>
                <w:color w:val="000000"/>
              </w:rPr>
            </w:pPr>
            <w:r>
              <w:rPr>
                <w:rFonts w:ascii="Times New Roman" w:hAnsi="Times New Roman"/>
                <w:color w:val="000000"/>
              </w:rPr>
              <w:t>4,295</w:t>
            </w:r>
          </w:p>
        </w:tc>
        <w:tc>
          <w:tcPr>
            <w:tcW w:w="1080" w:type="dxa"/>
            <w:vAlign w:val="center"/>
          </w:tcPr>
          <w:p w:rsidR="00A137CD" w:rsidRPr="00226D6F" w:rsidP="00A137CD" w14:paraId="17076299" w14:textId="4D582B79">
            <w:pPr>
              <w:widowControl/>
              <w:autoSpaceDE/>
              <w:autoSpaceDN/>
              <w:adjustRightInd/>
              <w:jc w:val="center"/>
              <w:rPr>
                <w:rFonts w:ascii="Times New Roman" w:hAnsi="Times New Roman"/>
                <w:color w:val="000000"/>
              </w:rPr>
            </w:pPr>
            <w:r w:rsidRPr="00226D6F">
              <w:rPr>
                <w:rFonts w:ascii="Times New Roman" w:hAnsi="Times New Roman"/>
                <w:color w:val="000000"/>
              </w:rPr>
              <w:t>$</w:t>
            </w:r>
            <w:r w:rsidRPr="00226D6F" w:rsidR="0074176B">
              <w:rPr>
                <w:rFonts w:ascii="Times New Roman" w:hAnsi="Times New Roman"/>
                <w:color w:val="000000"/>
              </w:rPr>
              <w:t>125.52</w:t>
            </w:r>
          </w:p>
        </w:tc>
        <w:tc>
          <w:tcPr>
            <w:tcW w:w="1283" w:type="dxa"/>
            <w:vAlign w:val="center"/>
          </w:tcPr>
          <w:p w:rsidR="00A137CD" w:rsidRPr="00226D6F" w:rsidP="00A137CD" w14:paraId="115E3597" w14:textId="75D282DA">
            <w:pPr>
              <w:widowControl/>
              <w:autoSpaceDE/>
              <w:autoSpaceDN/>
              <w:adjustRightInd/>
              <w:jc w:val="center"/>
              <w:rPr>
                <w:rFonts w:ascii="Times New Roman" w:hAnsi="Times New Roman"/>
                <w:color w:val="000000"/>
              </w:rPr>
            </w:pPr>
            <w:r w:rsidRPr="00226D6F">
              <w:rPr>
                <w:rFonts w:ascii="Times New Roman" w:hAnsi="Times New Roman"/>
                <w:color w:val="000000"/>
              </w:rPr>
              <w:t>$</w:t>
            </w:r>
            <w:r w:rsidR="00D500C0">
              <w:rPr>
                <w:rFonts w:ascii="Times New Roman" w:hAnsi="Times New Roman"/>
                <w:color w:val="000000"/>
              </w:rPr>
              <w:t>539,112</w:t>
            </w:r>
          </w:p>
        </w:tc>
      </w:tr>
      <w:tr w14:paraId="08FD6FE7" w14:textId="77777777" w:rsidTr="0041671B">
        <w:tblPrEx>
          <w:tblW w:w="10913" w:type="dxa"/>
          <w:tblInd w:w="-365" w:type="dxa"/>
          <w:tblLayout w:type="fixed"/>
          <w:tblLook w:val="04A0"/>
        </w:tblPrEx>
        <w:trPr>
          <w:trHeight w:val="62"/>
        </w:trPr>
        <w:tc>
          <w:tcPr>
            <w:tcW w:w="2430" w:type="dxa"/>
            <w:vAlign w:val="center"/>
          </w:tcPr>
          <w:p w:rsidR="00A137CD" w:rsidP="00EC772D" w14:paraId="7387CCA1" w14:textId="016FF8ED">
            <w:pPr>
              <w:widowControl/>
              <w:autoSpaceDE/>
              <w:autoSpaceDN/>
              <w:adjustRightInd/>
              <w:rPr>
                <w:rFonts w:ascii="Times New Roman" w:hAnsi="Times New Roman"/>
                <w:color w:val="000000"/>
                <w:sz w:val="22"/>
                <w:szCs w:val="28"/>
              </w:rPr>
            </w:pPr>
            <w:r>
              <w:rPr>
                <w:rFonts w:ascii="Times New Roman" w:hAnsi="Times New Roman"/>
                <w:color w:val="000000"/>
                <w:sz w:val="22"/>
                <w:szCs w:val="22"/>
              </w:rPr>
              <w:t>C</w:t>
            </w:r>
            <w:r w:rsidRPr="00714DE4">
              <w:rPr>
                <w:rFonts w:ascii="Times New Roman" w:hAnsi="Times New Roman"/>
                <w:color w:val="000000"/>
                <w:sz w:val="22"/>
                <w:szCs w:val="22"/>
              </w:rPr>
              <w:t xml:space="preserve">lerical </w:t>
            </w:r>
            <w:r>
              <w:rPr>
                <w:rFonts w:ascii="Times New Roman" w:hAnsi="Times New Roman"/>
                <w:color w:val="000000"/>
                <w:sz w:val="22"/>
                <w:szCs w:val="22"/>
              </w:rPr>
              <w:t>P</w:t>
            </w:r>
            <w:r w:rsidRPr="00714DE4">
              <w:rPr>
                <w:rFonts w:ascii="Times New Roman" w:hAnsi="Times New Roman"/>
                <w:color w:val="000000"/>
                <w:sz w:val="22"/>
                <w:szCs w:val="22"/>
              </w:rPr>
              <w:t xml:space="preserve">ersonnel </w:t>
            </w:r>
            <w:r w:rsidR="00CE731F">
              <w:rPr>
                <w:rFonts w:ascii="Times New Roman" w:hAnsi="Times New Roman"/>
                <w:color w:val="000000"/>
                <w:sz w:val="22"/>
                <w:szCs w:val="22"/>
              </w:rPr>
              <w:t>Mails Disclosure</w:t>
            </w:r>
          </w:p>
        </w:tc>
        <w:tc>
          <w:tcPr>
            <w:tcW w:w="1440" w:type="dxa"/>
            <w:vAlign w:val="center"/>
          </w:tcPr>
          <w:p w:rsidR="00A137CD" w:rsidRPr="00226D6F" w:rsidP="00A137CD" w14:paraId="3BC23C17" w14:textId="27F2E134">
            <w:pPr>
              <w:widowControl/>
              <w:autoSpaceDE/>
              <w:autoSpaceDN/>
              <w:adjustRightInd/>
              <w:jc w:val="center"/>
              <w:rPr>
                <w:rFonts w:ascii="Times New Roman" w:hAnsi="Times New Roman"/>
                <w:color w:val="000000"/>
              </w:rPr>
            </w:pPr>
            <w:r>
              <w:rPr>
                <w:rFonts w:ascii="Times New Roman" w:hAnsi="Times New Roman"/>
                <w:color w:val="000000"/>
              </w:rPr>
              <w:t>25,770</w:t>
            </w:r>
          </w:p>
        </w:tc>
        <w:tc>
          <w:tcPr>
            <w:tcW w:w="1350" w:type="dxa"/>
            <w:vAlign w:val="center"/>
          </w:tcPr>
          <w:p w:rsidR="00A137CD" w:rsidRPr="00226D6F" w:rsidP="00A137CD" w14:paraId="25882516" w14:textId="5594F051">
            <w:pPr>
              <w:widowControl/>
              <w:autoSpaceDE/>
              <w:autoSpaceDN/>
              <w:adjustRightInd/>
              <w:jc w:val="center"/>
              <w:rPr>
                <w:rFonts w:ascii="Times New Roman" w:hAnsi="Times New Roman"/>
                <w:color w:val="000000"/>
              </w:rPr>
            </w:pPr>
            <w:r w:rsidRPr="00226D6F">
              <w:rPr>
                <w:rFonts w:ascii="Times New Roman" w:hAnsi="Times New Roman"/>
                <w:color w:val="000000"/>
              </w:rPr>
              <w:t>1</w:t>
            </w:r>
          </w:p>
        </w:tc>
        <w:tc>
          <w:tcPr>
            <w:tcW w:w="1260" w:type="dxa"/>
            <w:vAlign w:val="center"/>
          </w:tcPr>
          <w:p w:rsidR="00A137CD" w:rsidRPr="00226D6F" w:rsidP="00A137CD" w14:paraId="73037197" w14:textId="2BB6530C">
            <w:pPr>
              <w:widowControl/>
              <w:autoSpaceDE/>
              <w:autoSpaceDN/>
              <w:adjustRightInd/>
              <w:jc w:val="center"/>
              <w:rPr>
                <w:rFonts w:ascii="Times New Roman" w:hAnsi="Times New Roman"/>
                <w:color w:val="000000"/>
              </w:rPr>
            </w:pPr>
            <w:r>
              <w:rPr>
                <w:rFonts w:ascii="Times New Roman" w:hAnsi="Times New Roman"/>
                <w:color w:val="000000"/>
              </w:rPr>
              <w:t>25,770</w:t>
            </w:r>
          </w:p>
        </w:tc>
        <w:tc>
          <w:tcPr>
            <w:tcW w:w="1080" w:type="dxa"/>
            <w:vAlign w:val="center"/>
          </w:tcPr>
          <w:p w:rsidR="00A137CD" w:rsidRPr="00226D6F" w:rsidP="00A137CD" w14:paraId="66299B53" w14:textId="63CE1681">
            <w:pPr>
              <w:widowControl/>
              <w:autoSpaceDE/>
              <w:autoSpaceDN/>
              <w:adjustRightInd/>
              <w:jc w:val="center"/>
              <w:rPr>
                <w:rFonts w:ascii="Times New Roman" w:hAnsi="Times New Roman"/>
                <w:color w:val="000000"/>
              </w:rPr>
            </w:pPr>
            <w:r w:rsidRPr="00226D6F">
              <w:rPr>
                <w:rFonts w:ascii="Times New Roman" w:hAnsi="Times New Roman"/>
                <w:color w:val="000000"/>
              </w:rPr>
              <w:t>2/60</w:t>
            </w:r>
          </w:p>
        </w:tc>
        <w:tc>
          <w:tcPr>
            <w:tcW w:w="990" w:type="dxa"/>
            <w:vAlign w:val="center"/>
          </w:tcPr>
          <w:p w:rsidR="00A137CD" w:rsidRPr="00226D6F" w:rsidP="00A137CD" w14:paraId="6538A787" w14:textId="0C9CADF5">
            <w:pPr>
              <w:widowControl/>
              <w:autoSpaceDE/>
              <w:autoSpaceDN/>
              <w:adjustRightInd/>
              <w:jc w:val="center"/>
              <w:rPr>
                <w:rFonts w:ascii="Times New Roman" w:hAnsi="Times New Roman"/>
                <w:color w:val="000000"/>
              </w:rPr>
            </w:pPr>
            <w:r>
              <w:rPr>
                <w:rFonts w:ascii="Times New Roman" w:hAnsi="Times New Roman"/>
                <w:color w:val="000000"/>
              </w:rPr>
              <w:t>859</w:t>
            </w:r>
          </w:p>
        </w:tc>
        <w:tc>
          <w:tcPr>
            <w:tcW w:w="1080" w:type="dxa"/>
            <w:vAlign w:val="center"/>
          </w:tcPr>
          <w:p w:rsidR="00A137CD" w:rsidRPr="00226D6F" w:rsidP="00A137CD" w14:paraId="497FC0DB" w14:textId="3DD9779F">
            <w:pPr>
              <w:widowControl/>
              <w:autoSpaceDE/>
              <w:autoSpaceDN/>
              <w:adjustRightInd/>
              <w:jc w:val="center"/>
              <w:rPr>
                <w:rFonts w:ascii="Times New Roman" w:hAnsi="Times New Roman"/>
                <w:color w:val="000000"/>
              </w:rPr>
            </w:pPr>
            <w:r w:rsidRPr="00226D6F">
              <w:rPr>
                <w:rFonts w:ascii="Times New Roman" w:hAnsi="Times New Roman"/>
                <w:color w:val="000000"/>
              </w:rPr>
              <w:t>$</w:t>
            </w:r>
            <w:r w:rsidRPr="00226D6F" w:rsidR="0074176B">
              <w:rPr>
                <w:rFonts w:ascii="Times New Roman" w:hAnsi="Times New Roman"/>
                <w:color w:val="000000"/>
              </w:rPr>
              <w:t>72.82</w:t>
            </w:r>
          </w:p>
        </w:tc>
        <w:tc>
          <w:tcPr>
            <w:tcW w:w="1283" w:type="dxa"/>
            <w:vAlign w:val="center"/>
          </w:tcPr>
          <w:p w:rsidR="00A137CD" w:rsidRPr="00226D6F" w:rsidP="00A137CD" w14:paraId="45167118" w14:textId="71CA4520">
            <w:pPr>
              <w:widowControl/>
              <w:autoSpaceDE/>
              <w:autoSpaceDN/>
              <w:adjustRightInd/>
              <w:jc w:val="center"/>
              <w:rPr>
                <w:rFonts w:ascii="Times New Roman" w:hAnsi="Times New Roman"/>
                <w:color w:val="000000"/>
              </w:rPr>
            </w:pPr>
            <w:r w:rsidRPr="00226D6F">
              <w:rPr>
                <w:rFonts w:ascii="Times New Roman" w:hAnsi="Times New Roman"/>
                <w:color w:val="000000"/>
              </w:rPr>
              <w:t>$</w:t>
            </w:r>
            <w:r w:rsidR="00D500C0">
              <w:rPr>
                <w:rFonts w:ascii="Times New Roman" w:hAnsi="Times New Roman"/>
                <w:color w:val="000000"/>
              </w:rPr>
              <w:t>62,553</w:t>
            </w:r>
          </w:p>
        </w:tc>
      </w:tr>
      <w:tr w14:paraId="50993C63" w14:textId="77777777" w:rsidTr="0041671B">
        <w:tblPrEx>
          <w:tblW w:w="10913" w:type="dxa"/>
          <w:tblInd w:w="-365" w:type="dxa"/>
          <w:tblLayout w:type="fixed"/>
          <w:tblLook w:val="04A0"/>
        </w:tblPrEx>
        <w:trPr>
          <w:trHeight w:val="300"/>
        </w:trPr>
        <w:tc>
          <w:tcPr>
            <w:tcW w:w="2430" w:type="dxa"/>
            <w:vAlign w:val="center"/>
            <w:hideMark/>
          </w:tcPr>
          <w:p w:rsidR="00A137CD" w:rsidRPr="007B7233" w:rsidP="00A137CD" w14:paraId="1D039177"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w:t>
            </w:r>
          </w:p>
        </w:tc>
        <w:tc>
          <w:tcPr>
            <w:tcW w:w="1440" w:type="dxa"/>
            <w:vAlign w:val="center"/>
          </w:tcPr>
          <w:p w:rsidR="00A137CD" w:rsidRPr="00226D6F" w:rsidP="00A137CD" w14:paraId="2CF04CC9" w14:textId="77CAD482">
            <w:pPr>
              <w:widowControl/>
              <w:autoSpaceDE/>
              <w:autoSpaceDN/>
              <w:adjustRightInd/>
              <w:jc w:val="center"/>
              <w:rPr>
                <w:rFonts w:ascii="Times New Roman" w:hAnsi="Times New Roman"/>
                <w:b/>
                <w:bCs/>
                <w:color w:val="000000"/>
              </w:rPr>
            </w:pPr>
            <w:r w:rsidRPr="00D500C0">
              <w:rPr>
                <w:rFonts w:ascii="Times New Roman" w:hAnsi="Times New Roman"/>
                <w:b/>
                <w:bCs/>
                <w:color w:val="000000"/>
              </w:rPr>
              <w:t>25,770</w:t>
            </w:r>
          </w:p>
        </w:tc>
        <w:tc>
          <w:tcPr>
            <w:tcW w:w="1350" w:type="dxa"/>
            <w:vAlign w:val="center"/>
          </w:tcPr>
          <w:p w:rsidR="00A137CD" w:rsidRPr="00226D6F" w:rsidP="00A137CD" w14:paraId="19BE8A99" w14:textId="568946F1">
            <w:pPr>
              <w:widowControl/>
              <w:autoSpaceDE/>
              <w:autoSpaceDN/>
              <w:adjustRightInd/>
              <w:jc w:val="center"/>
              <w:rPr>
                <w:rFonts w:ascii="Times New Roman" w:hAnsi="Times New Roman"/>
                <w:b/>
                <w:bCs/>
                <w:color w:val="000000"/>
              </w:rPr>
            </w:pPr>
            <w:r w:rsidRPr="00226D6F">
              <w:rPr>
                <w:rFonts w:ascii="Times New Roman" w:hAnsi="Times New Roman"/>
                <w:b/>
                <w:bCs/>
                <w:color w:val="000000"/>
              </w:rPr>
              <w:t>1</w:t>
            </w:r>
          </w:p>
        </w:tc>
        <w:tc>
          <w:tcPr>
            <w:tcW w:w="1260" w:type="dxa"/>
            <w:vAlign w:val="center"/>
          </w:tcPr>
          <w:p w:rsidR="00A137CD" w:rsidRPr="00226D6F" w:rsidP="00A137CD" w14:paraId="3DD7BF50" w14:textId="3B47710B">
            <w:pPr>
              <w:widowControl/>
              <w:autoSpaceDE/>
              <w:autoSpaceDN/>
              <w:adjustRightInd/>
              <w:jc w:val="center"/>
              <w:rPr>
                <w:rFonts w:ascii="Times New Roman" w:hAnsi="Times New Roman"/>
                <w:b/>
                <w:bCs/>
                <w:color w:val="000000"/>
              </w:rPr>
            </w:pPr>
            <w:r w:rsidRPr="00EF3BEC">
              <w:rPr>
                <w:rFonts w:ascii="Times New Roman" w:hAnsi="Times New Roman"/>
                <w:b/>
                <w:bCs/>
                <w:color w:val="000000"/>
              </w:rPr>
              <w:t>25,770</w:t>
            </w:r>
          </w:p>
        </w:tc>
        <w:tc>
          <w:tcPr>
            <w:tcW w:w="1080" w:type="dxa"/>
            <w:vAlign w:val="center"/>
          </w:tcPr>
          <w:p w:rsidR="00A137CD" w:rsidRPr="00226D6F" w:rsidP="00A137CD" w14:paraId="18D32E97" w14:textId="4D577CD1">
            <w:pPr>
              <w:widowControl/>
              <w:autoSpaceDE/>
              <w:autoSpaceDN/>
              <w:adjustRightInd/>
              <w:jc w:val="center"/>
              <w:rPr>
                <w:rFonts w:ascii="Times New Roman" w:hAnsi="Times New Roman"/>
                <w:b/>
                <w:bCs/>
                <w:color w:val="000000"/>
              </w:rPr>
            </w:pPr>
            <w:r w:rsidRPr="00226D6F">
              <w:rPr>
                <w:rFonts w:ascii="Times New Roman" w:hAnsi="Times New Roman"/>
                <w:b/>
                <w:bCs/>
                <w:color w:val="000000"/>
              </w:rPr>
              <w:t>-</w:t>
            </w:r>
          </w:p>
        </w:tc>
        <w:tc>
          <w:tcPr>
            <w:tcW w:w="990" w:type="dxa"/>
            <w:vAlign w:val="center"/>
          </w:tcPr>
          <w:p w:rsidR="00A137CD" w:rsidRPr="00226D6F" w:rsidP="00A137CD" w14:paraId="78AF181D" w14:textId="3EC8898A">
            <w:pPr>
              <w:widowControl/>
              <w:autoSpaceDE/>
              <w:autoSpaceDN/>
              <w:adjustRightInd/>
              <w:jc w:val="center"/>
              <w:rPr>
                <w:rFonts w:ascii="Times New Roman" w:hAnsi="Times New Roman"/>
                <w:b/>
                <w:bCs/>
                <w:color w:val="000000"/>
              </w:rPr>
            </w:pPr>
            <w:r>
              <w:rPr>
                <w:rFonts w:ascii="Times New Roman" w:hAnsi="Times New Roman"/>
                <w:b/>
                <w:bCs/>
                <w:color w:val="000000"/>
              </w:rPr>
              <w:t>5,154</w:t>
            </w:r>
          </w:p>
        </w:tc>
        <w:tc>
          <w:tcPr>
            <w:tcW w:w="1080" w:type="dxa"/>
          </w:tcPr>
          <w:p w:rsidR="00A137CD" w:rsidRPr="00226D6F" w:rsidP="00A137CD" w14:paraId="703D18C1" w14:textId="5CC08F26">
            <w:pPr>
              <w:widowControl/>
              <w:autoSpaceDE/>
              <w:autoSpaceDN/>
              <w:adjustRightInd/>
              <w:jc w:val="center"/>
              <w:rPr>
                <w:rFonts w:ascii="Times New Roman" w:hAnsi="Times New Roman"/>
                <w:b/>
                <w:bCs/>
                <w:color w:val="000000"/>
              </w:rPr>
            </w:pPr>
            <w:r w:rsidRPr="00226D6F">
              <w:rPr>
                <w:rFonts w:ascii="Times New Roman" w:hAnsi="Times New Roman"/>
                <w:b/>
                <w:bCs/>
                <w:color w:val="000000"/>
              </w:rPr>
              <w:t>-</w:t>
            </w:r>
          </w:p>
        </w:tc>
        <w:tc>
          <w:tcPr>
            <w:tcW w:w="1283" w:type="dxa"/>
          </w:tcPr>
          <w:p w:rsidR="00A137CD" w:rsidRPr="00226D6F" w:rsidP="00A137CD" w14:paraId="72EB86A4" w14:textId="2E51451B">
            <w:pPr>
              <w:widowControl/>
              <w:autoSpaceDE/>
              <w:autoSpaceDN/>
              <w:adjustRightInd/>
              <w:jc w:val="center"/>
              <w:rPr>
                <w:rFonts w:ascii="Times New Roman" w:hAnsi="Times New Roman"/>
                <w:b/>
                <w:bCs/>
                <w:color w:val="000000"/>
              </w:rPr>
            </w:pPr>
            <w:r w:rsidRPr="00226D6F">
              <w:rPr>
                <w:rFonts w:ascii="Times New Roman" w:hAnsi="Times New Roman"/>
                <w:b/>
                <w:bCs/>
                <w:color w:val="000000"/>
              </w:rPr>
              <w:t>$</w:t>
            </w:r>
            <w:r w:rsidR="00D500C0">
              <w:rPr>
                <w:rFonts w:ascii="Times New Roman" w:hAnsi="Times New Roman"/>
                <w:b/>
                <w:bCs/>
                <w:color w:val="000000"/>
              </w:rPr>
              <w:t>601,664</w:t>
            </w:r>
          </w:p>
        </w:tc>
      </w:tr>
    </w:tbl>
    <w:p w:rsidR="00CD1BA1" w:rsidRPr="00650E61" w:rsidP="00084B9A" w14:paraId="35FD401F" w14:textId="77777777">
      <w:pPr>
        <w:rPr>
          <w:rFonts w:ascii="Times New Roman" w:hAnsi="Times New Roman"/>
        </w:rPr>
      </w:pPr>
    </w:p>
    <w:p w:rsidR="00665E59" w:rsidRPr="00665E59" w:rsidP="00665E59" w14:paraId="6D8F615F" w14:textId="329DB6ED">
      <w:pPr>
        <w:rPr>
          <w:rFonts w:ascii="Times New Roman" w:hAnsi="Times New Roman"/>
          <w:b/>
          <w:bCs/>
        </w:rPr>
      </w:pPr>
      <w:r>
        <w:rPr>
          <w:rFonts w:ascii="Times New Roman" w:hAnsi="Times New Roman"/>
          <w:b/>
          <w:bCs/>
        </w:rPr>
        <w:t>13</w:t>
      </w:r>
      <w:r>
        <w:rPr>
          <w:rFonts w:ascii="Times New Roman" w:hAnsi="Times New Roman"/>
          <w:b/>
          <w:bCs/>
        </w:rPr>
        <w:t xml:space="preserve">. </w:t>
      </w:r>
      <w:r>
        <w:rPr>
          <w:rFonts w:ascii="Times New Roman" w:hAnsi="Times New Roman"/>
          <w:b/>
          <w:bCs/>
        </w:rPr>
        <w:tab/>
      </w:r>
      <w:r w:rsidRPr="00665E59">
        <w:rPr>
          <w:rFonts w:ascii="Times New Roman" w:hAnsi="Times New Roman"/>
          <w:b/>
          <w:bCs/>
        </w:rPr>
        <w:t>Provide</w:t>
      </w:r>
      <w:r w:rsidRPr="00665E59">
        <w:rPr>
          <w:rFonts w:ascii="Times New Roman" w:hAnsi="Times New Roman"/>
          <w:b/>
          <w:bCs/>
        </w:rPr>
        <w:t xml:space="preserve"> an estimate of the total annual cost burden to respondents or recordkeepers </w:t>
      </w:r>
    </w:p>
    <w:p w:rsidR="00665E59" w:rsidRPr="00665E59" w:rsidP="00665E59" w14:paraId="30975E84" w14:textId="77777777">
      <w:pPr>
        <w:ind w:left="720"/>
        <w:rPr>
          <w:rFonts w:ascii="Times New Roman" w:hAnsi="Times New Roman"/>
          <w:b/>
          <w:bCs/>
        </w:rPr>
      </w:pPr>
      <w:r w:rsidRPr="00665E59">
        <w:rPr>
          <w:rFonts w:ascii="Times New Roman" w:hAnsi="Times New Roman"/>
          <w:b/>
          <w:bCs/>
        </w:rPr>
        <w:t>resulting from the collection of information.  (Do not include the cost of any hour burden shown in Items 12 and 14).  </w:t>
      </w:r>
    </w:p>
    <w:p w:rsidR="00665E59" w:rsidRPr="00665E59" w:rsidP="00665E59" w14:paraId="3A11C219" w14:textId="77777777">
      <w:pPr>
        <w:numPr>
          <w:ilvl w:val="0"/>
          <w:numId w:val="9"/>
        </w:numPr>
        <w:tabs>
          <w:tab w:val="clear" w:pos="720"/>
          <w:tab w:val="num" w:pos="1440"/>
        </w:tabs>
        <w:ind w:left="1440"/>
        <w:rPr>
          <w:rFonts w:ascii="Times New Roman" w:hAnsi="Times New Roman"/>
          <w:b/>
          <w:bCs/>
        </w:rPr>
      </w:pPr>
      <w:r w:rsidRPr="00665E59">
        <w:rPr>
          <w:rFonts w:ascii="Times New Roman" w:hAnsi="Times New Roman"/>
          <w:b/>
          <w:bCs/>
        </w:rPr>
        <w:t xml:space="preserve">The cost estimate should be split into two components: (a) </w:t>
      </w:r>
      <w:r w:rsidRPr="00665E59">
        <w:rPr>
          <w:rFonts w:ascii="Times New Roman" w:hAnsi="Times New Roman"/>
          <w:b/>
          <w:bCs/>
        </w:rPr>
        <w:t>a total</w:t>
      </w:r>
      <w:r w:rsidRPr="00665E59">
        <w:rPr>
          <w:rFonts w:ascii="Times New Roman" w:hAnsi="Times New Roman"/>
          <w:b/>
          <w:bCs/>
        </w:rPr>
        <w:t xml:space="preserve"> capital </w:t>
      </w:r>
    </w:p>
    <w:p w:rsidR="00665E59" w:rsidRPr="00665E59" w:rsidP="00665E59" w14:paraId="5650123F" w14:textId="77777777">
      <w:pPr>
        <w:ind w:left="1440"/>
        <w:rPr>
          <w:rFonts w:ascii="Times New Roman" w:hAnsi="Times New Roman"/>
          <w:b/>
          <w:bCs/>
        </w:rPr>
      </w:pPr>
      <w:r w:rsidRPr="00665E59">
        <w:rPr>
          <w:rFonts w:ascii="Times New Roman" w:hAnsi="Times New Roman"/>
          <w:b/>
          <w:bCs/>
        </w:rPr>
        <w:t xml:space="preserve">and </w:t>
      </w:r>
      <w:r w:rsidRPr="00665E59">
        <w:rPr>
          <w:rFonts w:ascii="Times New Roman" w:hAnsi="Times New Roman"/>
          <w:b/>
          <w:bCs/>
        </w:rPr>
        <w:t>start up</w:t>
      </w:r>
      <w:r w:rsidRPr="00665E59">
        <w:rPr>
          <w:rFonts w:ascii="Times New Roman" w:hAnsi="Times New Roman"/>
          <w:b/>
          <w:bCs/>
        </w:rPr>
        <w:t xml:space="preserve"> cost component (annualized over its expected useful life); and (b) a total operation and maintenance and purchase of service component.   </w:t>
      </w:r>
    </w:p>
    <w:p w:rsidR="00665E59" w:rsidRPr="00665E59" w:rsidP="00665E59" w14:paraId="58D8DA92" w14:textId="77777777">
      <w:pPr>
        <w:ind w:left="1440"/>
        <w:rPr>
          <w:rFonts w:ascii="Times New Roman" w:hAnsi="Times New Roman"/>
          <w:b/>
          <w:bCs/>
        </w:rPr>
      </w:pPr>
      <w:r w:rsidRPr="00665E59">
        <w:rPr>
          <w:rFonts w:ascii="Times New Roman" w:hAnsi="Times New Roman"/>
          <w:b/>
          <w:bCs/>
        </w:rPr>
        <w:t xml:space="preserve">The estimates should </w:t>
      </w:r>
      <w:r w:rsidRPr="00665E59">
        <w:rPr>
          <w:rFonts w:ascii="Times New Roman" w:hAnsi="Times New Roman"/>
          <w:b/>
          <w:bCs/>
        </w:rPr>
        <w:t>take into account</w:t>
      </w:r>
      <w:r w:rsidRPr="00665E59">
        <w:rPr>
          <w:rFonts w:ascii="Times New Roman" w:hAnsi="Times New Roman"/>
          <w:b/>
          <w:bCs/>
        </w:rPr>
        <w:t xml:space="preserve"> costs associated with generating,  </w:t>
      </w:r>
    </w:p>
    <w:p w:rsidR="00665E59" w:rsidRPr="00665E59" w:rsidP="00665E59" w14:paraId="1245EB28" w14:textId="77777777">
      <w:pPr>
        <w:ind w:left="1440"/>
        <w:rPr>
          <w:rFonts w:ascii="Times New Roman" w:hAnsi="Times New Roman"/>
          <w:b/>
          <w:bCs/>
        </w:rPr>
      </w:pPr>
      <w:r w:rsidRPr="00665E59">
        <w:rPr>
          <w:rFonts w:ascii="Times New Roman" w:hAnsi="Times New Roman"/>
          <w:b/>
          <w:bCs/>
        </w:rPr>
        <w:t xml:space="preserve">maintaining, and disclosing or providing </w:t>
      </w:r>
      <w:r w:rsidRPr="00665E59">
        <w:rPr>
          <w:rFonts w:ascii="Times New Roman" w:hAnsi="Times New Roman"/>
          <w:b/>
          <w:bCs/>
        </w:rPr>
        <w:t>the information</w:t>
      </w:r>
      <w:r w:rsidRPr="00665E59">
        <w:rPr>
          <w:rFonts w:ascii="Times New Roman" w:hAnsi="Times New Roman"/>
          <w:b/>
          <w:bCs/>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665E59" w:rsidRPr="00665E59" w:rsidP="00665E59" w14:paraId="1F5B2863" w14:textId="77777777">
      <w:pPr>
        <w:numPr>
          <w:ilvl w:val="0"/>
          <w:numId w:val="10"/>
        </w:numPr>
        <w:tabs>
          <w:tab w:val="clear" w:pos="720"/>
          <w:tab w:val="num" w:pos="1440"/>
        </w:tabs>
        <w:ind w:left="1440"/>
        <w:rPr>
          <w:rFonts w:ascii="Times New Roman" w:hAnsi="Times New Roman"/>
          <w:b/>
          <w:bCs/>
        </w:rPr>
      </w:pPr>
      <w:r w:rsidRPr="00665E59">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65E59" w:rsidRPr="00665E59" w:rsidP="00665E59" w14:paraId="0729230D" w14:textId="77777777">
      <w:pPr>
        <w:numPr>
          <w:ilvl w:val="0"/>
          <w:numId w:val="11"/>
        </w:numPr>
        <w:tabs>
          <w:tab w:val="clear" w:pos="720"/>
          <w:tab w:val="num" w:pos="1440"/>
        </w:tabs>
        <w:ind w:left="1440"/>
        <w:rPr>
          <w:rFonts w:ascii="Times New Roman" w:hAnsi="Times New Roman"/>
          <w:b/>
          <w:bCs/>
        </w:rPr>
      </w:pPr>
      <w:r w:rsidRPr="00665E59">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674AB" w:rsidRPr="005923EC" w:rsidP="00CD2843" w14:paraId="2482A3F3" w14:textId="77777777">
      <w:pPr>
        <w:ind w:left="720"/>
        <w:rPr>
          <w:rFonts w:ascii="Times New Roman" w:hAnsi="Times New Roman"/>
          <w:b/>
          <w:bCs/>
        </w:rPr>
      </w:pPr>
    </w:p>
    <w:p w:rsidR="00EE784F" w:rsidP="00F157CC" w14:paraId="42D85A99" w14:textId="4B73A259">
      <w:pPr>
        <w:ind w:left="720"/>
        <w:rPr>
          <w:rFonts w:ascii="Times New Roman" w:hAnsi="Times New Roman"/>
        </w:rPr>
      </w:pPr>
      <w:r w:rsidRPr="00B922C7">
        <w:rPr>
          <w:rFonts w:ascii="Times New Roman" w:hAnsi="Times New Roman"/>
        </w:rPr>
        <w:t xml:space="preserve">The Department estimates the total annual </w:t>
      </w:r>
      <w:r w:rsidRPr="00B922C7" w:rsidR="00036B15">
        <w:rPr>
          <w:rFonts w:ascii="Times New Roman" w:hAnsi="Times New Roman"/>
        </w:rPr>
        <w:t xml:space="preserve">cost </w:t>
      </w:r>
      <w:r w:rsidRPr="00B922C7">
        <w:rPr>
          <w:rFonts w:ascii="Times New Roman" w:hAnsi="Times New Roman"/>
        </w:rPr>
        <w:t xml:space="preserve">burden </w:t>
      </w:r>
      <w:r w:rsidRPr="00B922C7" w:rsidR="00645334">
        <w:rPr>
          <w:rFonts w:ascii="Times New Roman" w:hAnsi="Times New Roman"/>
        </w:rPr>
        <w:t>for plan</w:t>
      </w:r>
      <w:r w:rsidRPr="00B922C7">
        <w:rPr>
          <w:rFonts w:ascii="Times New Roman" w:hAnsi="Times New Roman"/>
        </w:rPr>
        <w:t xml:space="preserve"> administrators </w:t>
      </w:r>
      <w:r w:rsidRPr="00B922C7" w:rsidR="00036B15">
        <w:rPr>
          <w:rFonts w:ascii="Times New Roman" w:hAnsi="Times New Roman"/>
        </w:rPr>
        <w:t xml:space="preserve">to distribute </w:t>
      </w:r>
      <w:r w:rsidRPr="00B922C7" w:rsidR="00645334">
        <w:rPr>
          <w:rFonts w:ascii="Times New Roman" w:hAnsi="Times New Roman"/>
        </w:rPr>
        <w:t>the disclosure</w:t>
      </w:r>
      <w:r w:rsidRPr="00B922C7">
        <w:rPr>
          <w:rFonts w:ascii="Times New Roman" w:hAnsi="Times New Roman"/>
        </w:rPr>
        <w:t xml:space="preserve"> forms </w:t>
      </w:r>
      <w:r w:rsidRPr="00B922C7" w:rsidR="00036B15">
        <w:rPr>
          <w:rFonts w:ascii="Times New Roman" w:hAnsi="Times New Roman"/>
        </w:rPr>
        <w:t>will</w:t>
      </w:r>
      <w:r w:rsidRPr="00B922C7">
        <w:rPr>
          <w:rFonts w:ascii="Times New Roman" w:hAnsi="Times New Roman"/>
        </w:rPr>
        <w:t xml:space="preserve"> be</w:t>
      </w:r>
      <w:r w:rsidRPr="00B922C7" w:rsidR="009A638C">
        <w:rPr>
          <w:rFonts w:ascii="Times New Roman" w:hAnsi="Times New Roman"/>
        </w:rPr>
        <w:t xml:space="preserve"> approximately</w:t>
      </w:r>
      <w:r w:rsidRPr="00B922C7">
        <w:rPr>
          <w:rFonts w:ascii="Times New Roman" w:hAnsi="Times New Roman"/>
        </w:rPr>
        <w:t xml:space="preserve"> $</w:t>
      </w:r>
      <w:r w:rsidR="00EC48B2">
        <w:rPr>
          <w:rFonts w:ascii="Times New Roman" w:hAnsi="Times New Roman"/>
        </w:rPr>
        <w:t>834</w:t>
      </w:r>
      <w:r w:rsidRPr="00B922C7">
        <w:rPr>
          <w:rFonts w:ascii="Times New Roman" w:hAnsi="Times New Roman"/>
        </w:rPr>
        <w:t xml:space="preserve">. This figure is based on </w:t>
      </w:r>
      <w:r w:rsidRPr="00B922C7" w:rsidR="00D11952">
        <w:rPr>
          <w:rFonts w:ascii="Times New Roman" w:hAnsi="Times New Roman"/>
        </w:rPr>
        <w:t>$</w:t>
      </w:r>
      <w:r w:rsidRPr="00B922C7" w:rsidR="002013F6">
        <w:rPr>
          <w:rFonts w:ascii="Times New Roman" w:hAnsi="Times New Roman"/>
        </w:rPr>
        <w:t>0</w:t>
      </w:r>
      <w:r w:rsidRPr="00B922C7" w:rsidR="00D11952">
        <w:rPr>
          <w:rFonts w:ascii="Times New Roman" w:hAnsi="Times New Roman"/>
        </w:rPr>
        <w:t>.05</w:t>
      </w:r>
      <w:r w:rsidRPr="00B922C7" w:rsidR="00B922C7">
        <w:rPr>
          <w:rFonts w:ascii="Times New Roman" w:hAnsi="Times New Roman"/>
        </w:rPr>
        <w:t xml:space="preserve"> </w:t>
      </w:r>
      <w:r w:rsidRPr="00B922C7" w:rsidR="00D11952">
        <w:rPr>
          <w:rFonts w:ascii="Times New Roman" w:hAnsi="Times New Roman"/>
        </w:rPr>
        <w:t>for</w:t>
      </w:r>
      <w:r w:rsidRPr="00A34780" w:rsidR="00D11952">
        <w:rPr>
          <w:rFonts w:ascii="Times New Roman" w:hAnsi="Times New Roman"/>
        </w:rPr>
        <w:t xml:space="preserve"> materials costs and </w:t>
      </w:r>
      <w:r w:rsidRPr="00A34780">
        <w:rPr>
          <w:rFonts w:ascii="Times New Roman" w:hAnsi="Times New Roman"/>
        </w:rPr>
        <w:t>$</w:t>
      </w:r>
      <w:r w:rsidR="005A7A67">
        <w:rPr>
          <w:rFonts w:ascii="Times New Roman" w:hAnsi="Times New Roman"/>
        </w:rPr>
        <w:t>0.78</w:t>
      </w:r>
      <w:r w:rsidRPr="00A34780">
        <w:rPr>
          <w:rFonts w:ascii="Times New Roman" w:hAnsi="Times New Roman"/>
        </w:rPr>
        <w:t xml:space="preserve"> for </w:t>
      </w:r>
      <w:r w:rsidR="005A7A67">
        <w:rPr>
          <w:rFonts w:ascii="Times New Roman" w:hAnsi="Times New Roman"/>
        </w:rPr>
        <w:t xml:space="preserve">postage </w:t>
      </w:r>
      <w:r w:rsidR="00A862F8">
        <w:rPr>
          <w:rFonts w:ascii="Times New Roman" w:hAnsi="Times New Roman"/>
        </w:rPr>
        <w:t>expenses</w:t>
      </w:r>
      <w:r w:rsidRPr="00CB33B8">
        <w:rPr>
          <w:rFonts w:ascii="Times New Roman" w:hAnsi="Times New Roman"/>
        </w:rPr>
        <w:t xml:space="preserve"> for each of the </w:t>
      </w:r>
      <w:r w:rsidR="00EC48B2">
        <w:rPr>
          <w:rFonts w:ascii="Times New Roman" w:hAnsi="Times New Roman"/>
        </w:rPr>
        <w:t>25,770</w:t>
      </w:r>
      <w:r w:rsidR="001A380C">
        <w:rPr>
          <w:rFonts w:ascii="Times New Roman" w:hAnsi="Times New Roman"/>
        </w:rPr>
        <w:t xml:space="preserve"> </w:t>
      </w:r>
      <w:r w:rsidRPr="00CB33B8">
        <w:rPr>
          <w:rFonts w:ascii="Times New Roman" w:hAnsi="Times New Roman"/>
        </w:rPr>
        <w:t>forms</w:t>
      </w:r>
      <w:r w:rsidR="00753E11">
        <w:rPr>
          <w:rFonts w:ascii="Times New Roman" w:hAnsi="Times New Roman"/>
        </w:rPr>
        <w:t xml:space="preserve">, with approximately </w:t>
      </w:r>
      <w:r w:rsidR="001B2A20">
        <w:rPr>
          <w:rFonts w:ascii="Times New Roman" w:hAnsi="Times New Roman"/>
        </w:rPr>
        <w:t>96</w:t>
      </w:r>
      <w:r w:rsidR="00753E11">
        <w:rPr>
          <w:rFonts w:ascii="Times New Roman" w:hAnsi="Times New Roman"/>
        </w:rPr>
        <w:t xml:space="preserve"> percent assumed to be sent electronically</w:t>
      </w:r>
      <w:r w:rsidRPr="00CB33B8">
        <w:rPr>
          <w:rFonts w:ascii="Times New Roman" w:hAnsi="Times New Roman"/>
        </w:rPr>
        <w:t>.</w:t>
      </w:r>
      <w:r>
        <w:rPr>
          <w:rStyle w:val="FootnoteReference"/>
          <w:rFonts w:ascii="Times New Roman" w:hAnsi="Times New Roman"/>
          <w:vertAlign w:val="superscript"/>
        </w:rPr>
        <w:footnoteReference w:id="8"/>
      </w:r>
      <w:r w:rsidR="00A26764">
        <w:rPr>
          <w:rFonts w:ascii="Times New Roman" w:hAnsi="Times New Roman"/>
        </w:rPr>
        <w:t xml:space="preserve"> Please see Table 2 for burden and calculations. </w:t>
      </w:r>
    </w:p>
    <w:p w:rsidR="0041671B" w:rsidP="00CD2843" w14:paraId="7D3D3D79" w14:textId="77777777">
      <w:pPr>
        <w:ind w:left="720"/>
        <w:rPr>
          <w:rFonts w:ascii="Times New Roman" w:hAnsi="Times New Roman"/>
        </w:rPr>
      </w:pPr>
    </w:p>
    <w:p w:rsidR="0041671B" w:rsidP="0041671B" w14:paraId="6B0C46E5" w14:textId="412C59A3">
      <w:pPr>
        <w:ind w:firstLine="720"/>
        <w:rPr>
          <w:rFonts w:ascii="Times New Roman" w:hAnsi="Times New Roman"/>
          <w:b/>
        </w:rPr>
      </w:pPr>
      <w:r>
        <w:rPr>
          <w:rFonts w:ascii="Times New Roman" w:hAnsi="Times New Roman"/>
          <w:b/>
        </w:rPr>
        <w:t xml:space="preserve">Table </w:t>
      </w:r>
      <w:r w:rsidR="00A862F8">
        <w:rPr>
          <w:rFonts w:ascii="Times New Roman" w:hAnsi="Times New Roman"/>
          <w:b/>
        </w:rPr>
        <w:t>2</w:t>
      </w:r>
      <w:r>
        <w:rPr>
          <w:rFonts w:ascii="Times New Roman" w:hAnsi="Times New Roman"/>
          <w:b/>
        </w:rPr>
        <w:t xml:space="preserve">. </w:t>
      </w:r>
      <w:r w:rsidRPr="002C3806">
        <w:rPr>
          <w:rFonts w:ascii="Times New Roman" w:hAnsi="Times New Roman"/>
          <w:b/>
        </w:rPr>
        <w:t xml:space="preserve">Estimated Annual Respondent </w:t>
      </w:r>
      <w:r>
        <w:rPr>
          <w:rFonts w:ascii="Times New Roman" w:hAnsi="Times New Roman"/>
          <w:b/>
        </w:rPr>
        <w:t>Cost Burden</w:t>
      </w:r>
    </w:p>
    <w:tbl>
      <w:tblPr>
        <w:tblStyle w:val="TableGrid"/>
        <w:tblW w:w="0" w:type="auto"/>
        <w:tblInd w:w="720" w:type="dxa"/>
        <w:tblLook w:val="04A0"/>
      </w:tblPr>
      <w:tblGrid>
        <w:gridCol w:w="1694"/>
        <w:gridCol w:w="1536"/>
        <w:gridCol w:w="1005"/>
        <w:gridCol w:w="1497"/>
        <w:gridCol w:w="1823"/>
      </w:tblGrid>
      <w:tr w14:paraId="66F98CEA" w14:textId="77777777" w:rsidTr="0029138B">
        <w:tblPrEx>
          <w:tblW w:w="0" w:type="auto"/>
          <w:tblInd w:w="720" w:type="dxa"/>
          <w:tblLook w:val="04A0"/>
        </w:tblPrEx>
        <w:tc>
          <w:tcPr>
            <w:tcW w:w="1694" w:type="dxa"/>
            <w:shd w:val="clear" w:color="auto" w:fill="ADB9CA" w:themeFill="text2" w:themeFillTint="66"/>
          </w:tcPr>
          <w:p w:rsidR="00E90D23" w:rsidRPr="0029138B" w:rsidP="0029138B" w14:paraId="4CA12D2D" w14:textId="64C031BD">
            <w:pPr>
              <w:widowControl/>
              <w:autoSpaceDE/>
              <w:autoSpaceDN/>
              <w:adjustRightInd/>
              <w:rPr>
                <w:rFonts w:ascii="Times New Roman" w:hAnsi="Times New Roman"/>
                <w:b/>
                <w:bCs/>
                <w:color w:val="000000"/>
                <w:sz w:val="22"/>
                <w:szCs w:val="28"/>
              </w:rPr>
            </w:pPr>
            <w:r w:rsidRPr="0029138B">
              <w:rPr>
                <w:rFonts w:ascii="Times New Roman" w:hAnsi="Times New Roman"/>
                <w:b/>
                <w:bCs/>
                <w:color w:val="000000"/>
                <w:sz w:val="22"/>
                <w:szCs w:val="28"/>
              </w:rPr>
              <w:t>Activity</w:t>
            </w:r>
          </w:p>
        </w:tc>
        <w:tc>
          <w:tcPr>
            <w:tcW w:w="1536" w:type="dxa"/>
            <w:shd w:val="clear" w:color="auto" w:fill="ADB9CA" w:themeFill="text2" w:themeFillTint="66"/>
          </w:tcPr>
          <w:p w:rsidR="00E90D23" w:rsidRPr="0029138B" w:rsidP="0029138B" w14:paraId="2E1D869C" w14:textId="12B1E804">
            <w:pPr>
              <w:widowControl/>
              <w:autoSpaceDE/>
              <w:autoSpaceDN/>
              <w:adjustRightInd/>
              <w:jc w:val="center"/>
              <w:rPr>
                <w:rFonts w:ascii="Times New Roman" w:hAnsi="Times New Roman"/>
                <w:b/>
                <w:bCs/>
                <w:color w:val="000000"/>
                <w:sz w:val="22"/>
                <w:szCs w:val="28"/>
              </w:rPr>
            </w:pPr>
            <w:r w:rsidRPr="0029138B">
              <w:rPr>
                <w:rFonts w:ascii="Times New Roman" w:hAnsi="Times New Roman"/>
                <w:b/>
                <w:bCs/>
                <w:color w:val="000000"/>
                <w:sz w:val="22"/>
                <w:szCs w:val="28"/>
              </w:rPr>
              <w:t>Responses</w:t>
            </w:r>
          </w:p>
        </w:tc>
        <w:tc>
          <w:tcPr>
            <w:tcW w:w="1005" w:type="dxa"/>
            <w:shd w:val="clear" w:color="auto" w:fill="ADB9CA" w:themeFill="text2" w:themeFillTint="66"/>
          </w:tcPr>
          <w:p w:rsidR="00E90D23" w:rsidRPr="0029138B" w:rsidP="0029138B" w14:paraId="6ACBB66A" w14:textId="26D9EC20">
            <w:pPr>
              <w:widowControl/>
              <w:autoSpaceDE/>
              <w:autoSpaceDN/>
              <w:adjustRightInd/>
              <w:jc w:val="center"/>
              <w:rPr>
                <w:rFonts w:ascii="Times New Roman" w:hAnsi="Times New Roman"/>
                <w:b/>
                <w:bCs/>
                <w:color w:val="000000"/>
                <w:sz w:val="22"/>
                <w:szCs w:val="28"/>
              </w:rPr>
            </w:pPr>
            <w:r w:rsidRPr="0029138B">
              <w:rPr>
                <w:rFonts w:ascii="Times New Roman" w:hAnsi="Times New Roman"/>
                <w:b/>
                <w:bCs/>
                <w:color w:val="000000"/>
                <w:sz w:val="22"/>
                <w:szCs w:val="28"/>
              </w:rPr>
              <w:t>Mailing Rate</w:t>
            </w:r>
          </w:p>
        </w:tc>
        <w:tc>
          <w:tcPr>
            <w:tcW w:w="1497" w:type="dxa"/>
            <w:shd w:val="clear" w:color="auto" w:fill="ADB9CA" w:themeFill="text2" w:themeFillTint="66"/>
          </w:tcPr>
          <w:p w:rsidR="00E90D23" w:rsidRPr="0029138B" w:rsidP="0029138B" w14:paraId="3DC1E703" w14:textId="403FCDEC">
            <w:pPr>
              <w:widowControl/>
              <w:autoSpaceDE/>
              <w:autoSpaceDN/>
              <w:adjustRightInd/>
              <w:jc w:val="center"/>
              <w:rPr>
                <w:rFonts w:ascii="Times New Roman" w:hAnsi="Times New Roman"/>
                <w:b/>
                <w:bCs/>
                <w:color w:val="000000"/>
                <w:sz w:val="22"/>
                <w:szCs w:val="28"/>
              </w:rPr>
            </w:pPr>
            <w:r w:rsidRPr="0029138B">
              <w:rPr>
                <w:rFonts w:ascii="Times New Roman" w:hAnsi="Times New Roman"/>
                <w:b/>
                <w:bCs/>
                <w:color w:val="000000"/>
                <w:sz w:val="22"/>
                <w:szCs w:val="28"/>
              </w:rPr>
              <w:t>Cost per Response</w:t>
            </w:r>
          </w:p>
        </w:tc>
        <w:tc>
          <w:tcPr>
            <w:tcW w:w="1823" w:type="dxa"/>
            <w:shd w:val="clear" w:color="auto" w:fill="ADB9CA" w:themeFill="text2" w:themeFillTint="66"/>
          </w:tcPr>
          <w:p w:rsidR="00E90D23" w:rsidRPr="0029138B" w:rsidP="0029138B" w14:paraId="52C83DD9" w14:textId="3B5CE56C">
            <w:pPr>
              <w:widowControl/>
              <w:autoSpaceDE/>
              <w:autoSpaceDN/>
              <w:adjustRightInd/>
              <w:jc w:val="center"/>
              <w:rPr>
                <w:rFonts w:ascii="Times New Roman" w:hAnsi="Times New Roman"/>
                <w:b/>
                <w:bCs/>
                <w:color w:val="000000"/>
                <w:sz w:val="22"/>
                <w:szCs w:val="28"/>
              </w:rPr>
            </w:pPr>
            <w:r w:rsidRPr="0029138B">
              <w:rPr>
                <w:rFonts w:ascii="Times New Roman" w:hAnsi="Times New Roman"/>
                <w:b/>
                <w:bCs/>
                <w:color w:val="000000"/>
                <w:sz w:val="22"/>
                <w:szCs w:val="28"/>
              </w:rPr>
              <w:t>Total Cost</w:t>
            </w:r>
          </w:p>
        </w:tc>
      </w:tr>
      <w:tr w14:paraId="358FAB22" w14:textId="77777777" w:rsidTr="00E90D23">
        <w:tblPrEx>
          <w:tblW w:w="0" w:type="auto"/>
          <w:tblInd w:w="720" w:type="dxa"/>
          <w:tblLook w:val="04A0"/>
        </w:tblPrEx>
        <w:tc>
          <w:tcPr>
            <w:tcW w:w="1694" w:type="dxa"/>
          </w:tcPr>
          <w:p w:rsidR="00E90D23" w:rsidP="00CD2843" w14:paraId="0E9FDA1B" w14:textId="0B0FA0AA">
            <w:pPr>
              <w:rPr>
                <w:rFonts w:ascii="Times New Roman" w:hAnsi="Times New Roman"/>
              </w:rPr>
            </w:pPr>
            <w:r>
              <w:rPr>
                <w:rFonts w:ascii="Times New Roman" w:hAnsi="Times New Roman"/>
              </w:rPr>
              <w:t>Disclosures Mailed</w:t>
            </w:r>
          </w:p>
        </w:tc>
        <w:tc>
          <w:tcPr>
            <w:tcW w:w="1536" w:type="dxa"/>
          </w:tcPr>
          <w:p w:rsidR="00E90D23" w:rsidP="0041671B" w14:paraId="531D29F3" w14:textId="2E280C58">
            <w:pPr>
              <w:jc w:val="center"/>
              <w:rPr>
                <w:rFonts w:ascii="Times New Roman" w:hAnsi="Times New Roman"/>
              </w:rPr>
            </w:pPr>
            <w:r>
              <w:rPr>
                <w:rFonts w:ascii="Times New Roman" w:hAnsi="Times New Roman"/>
              </w:rPr>
              <w:t>2</w:t>
            </w:r>
            <w:r w:rsidR="00EC48B2">
              <w:rPr>
                <w:rFonts w:ascii="Times New Roman" w:hAnsi="Times New Roman"/>
              </w:rPr>
              <w:t>5,770</w:t>
            </w:r>
          </w:p>
        </w:tc>
        <w:tc>
          <w:tcPr>
            <w:tcW w:w="1005" w:type="dxa"/>
          </w:tcPr>
          <w:p w:rsidR="00E90D23" w:rsidP="0041671B" w14:paraId="473FFAC3" w14:textId="7E78E3CF">
            <w:pPr>
              <w:jc w:val="center"/>
              <w:rPr>
                <w:rFonts w:ascii="Times New Roman" w:hAnsi="Times New Roman"/>
              </w:rPr>
            </w:pPr>
            <w:r>
              <w:rPr>
                <w:rFonts w:ascii="Times New Roman" w:hAnsi="Times New Roman"/>
              </w:rPr>
              <w:t>3.9%</w:t>
            </w:r>
          </w:p>
        </w:tc>
        <w:tc>
          <w:tcPr>
            <w:tcW w:w="1497" w:type="dxa"/>
          </w:tcPr>
          <w:p w:rsidR="00E90D23" w:rsidP="0041671B" w14:paraId="20DF2AB1" w14:textId="516E67E8">
            <w:pPr>
              <w:jc w:val="center"/>
              <w:rPr>
                <w:rFonts w:ascii="Times New Roman" w:hAnsi="Times New Roman"/>
              </w:rPr>
            </w:pPr>
            <w:r>
              <w:rPr>
                <w:rFonts w:ascii="Times New Roman" w:hAnsi="Times New Roman"/>
              </w:rPr>
              <w:t>$0.78</w:t>
            </w:r>
          </w:p>
        </w:tc>
        <w:tc>
          <w:tcPr>
            <w:tcW w:w="1823" w:type="dxa"/>
          </w:tcPr>
          <w:p w:rsidR="00E90D23" w:rsidP="0041671B" w14:paraId="2C7592DB" w14:textId="13950441">
            <w:pPr>
              <w:jc w:val="center"/>
              <w:rPr>
                <w:rFonts w:ascii="Times New Roman" w:hAnsi="Times New Roman"/>
              </w:rPr>
            </w:pPr>
            <w:r>
              <w:rPr>
                <w:rFonts w:ascii="Times New Roman" w:hAnsi="Times New Roman"/>
              </w:rPr>
              <w:t>$</w:t>
            </w:r>
            <w:r w:rsidR="00EC48B2">
              <w:rPr>
                <w:rFonts w:ascii="Times New Roman" w:hAnsi="Times New Roman"/>
              </w:rPr>
              <w:t>834</w:t>
            </w:r>
          </w:p>
        </w:tc>
      </w:tr>
      <w:tr w14:paraId="61336914" w14:textId="77777777" w:rsidTr="00E90D23">
        <w:tblPrEx>
          <w:tblW w:w="0" w:type="auto"/>
          <w:tblInd w:w="720" w:type="dxa"/>
          <w:tblLook w:val="04A0"/>
        </w:tblPrEx>
        <w:tc>
          <w:tcPr>
            <w:tcW w:w="1694" w:type="dxa"/>
          </w:tcPr>
          <w:p w:rsidR="00E90D23" w:rsidRPr="0041671B" w:rsidP="00CD2843" w14:paraId="7E0FB08D" w14:textId="4D6C3D47">
            <w:pPr>
              <w:rPr>
                <w:rFonts w:ascii="Times New Roman" w:hAnsi="Times New Roman"/>
                <w:b/>
                <w:bCs/>
              </w:rPr>
            </w:pPr>
            <w:r w:rsidRPr="0041671B">
              <w:rPr>
                <w:rFonts w:ascii="Times New Roman" w:hAnsi="Times New Roman"/>
                <w:b/>
                <w:bCs/>
              </w:rPr>
              <w:t>Total</w:t>
            </w:r>
          </w:p>
        </w:tc>
        <w:tc>
          <w:tcPr>
            <w:tcW w:w="1536" w:type="dxa"/>
          </w:tcPr>
          <w:p w:rsidR="00E90D23" w:rsidRPr="0041671B" w:rsidP="0041671B" w14:paraId="3197B29B" w14:textId="56D0E457">
            <w:pPr>
              <w:jc w:val="center"/>
              <w:rPr>
                <w:rFonts w:ascii="Times New Roman" w:hAnsi="Times New Roman"/>
                <w:b/>
                <w:bCs/>
              </w:rPr>
            </w:pPr>
            <w:r>
              <w:rPr>
                <w:rFonts w:ascii="Times New Roman" w:hAnsi="Times New Roman"/>
                <w:b/>
                <w:bCs/>
              </w:rPr>
              <w:t>2</w:t>
            </w:r>
            <w:r w:rsidR="00EC48B2">
              <w:rPr>
                <w:rFonts w:ascii="Times New Roman" w:hAnsi="Times New Roman"/>
                <w:b/>
                <w:bCs/>
              </w:rPr>
              <w:t>5,770</w:t>
            </w:r>
          </w:p>
        </w:tc>
        <w:tc>
          <w:tcPr>
            <w:tcW w:w="1005" w:type="dxa"/>
          </w:tcPr>
          <w:p w:rsidR="00E90D23" w:rsidRPr="0041671B" w:rsidP="0041671B" w14:paraId="6D8C3A7D" w14:textId="21FF2F87">
            <w:pPr>
              <w:jc w:val="center"/>
              <w:rPr>
                <w:rFonts w:ascii="Times New Roman" w:hAnsi="Times New Roman"/>
                <w:b/>
                <w:bCs/>
              </w:rPr>
            </w:pPr>
            <w:r>
              <w:rPr>
                <w:rFonts w:ascii="Times New Roman" w:hAnsi="Times New Roman"/>
                <w:b/>
                <w:bCs/>
              </w:rPr>
              <w:t>-</w:t>
            </w:r>
          </w:p>
        </w:tc>
        <w:tc>
          <w:tcPr>
            <w:tcW w:w="1497" w:type="dxa"/>
          </w:tcPr>
          <w:p w:rsidR="00E90D23" w:rsidRPr="0041671B" w:rsidP="0041671B" w14:paraId="23ABB190" w14:textId="7C83F649">
            <w:pPr>
              <w:jc w:val="center"/>
              <w:rPr>
                <w:rFonts w:ascii="Times New Roman" w:hAnsi="Times New Roman"/>
                <w:b/>
                <w:bCs/>
              </w:rPr>
            </w:pPr>
            <w:r w:rsidRPr="0041671B">
              <w:rPr>
                <w:rFonts w:ascii="Times New Roman" w:hAnsi="Times New Roman"/>
                <w:b/>
                <w:bCs/>
              </w:rPr>
              <w:t>-</w:t>
            </w:r>
          </w:p>
        </w:tc>
        <w:tc>
          <w:tcPr>
            <w:tcW w:w="1823" w:type="dxa"/>
          </w:tcPr>
          <w:p w:rsidR="00E90D23" w:rsidRPr="0041671B" w:rsidP="0041671B" w14:paraId="0CC79F35" w14:textId="49634407">
            <w:pPr>
              <w:jc w:val="center"/>
              <w:rPr>
                <w:rFonts w:ascii="Times New Roman" w:hAnsi="Times New Roman"/>
                <w:b/>
                <w:bCs/>
              </w:rPr>
            </w:pPr>
            <w:r w:rsidRPr="0041671B">
              <w:rPr>
                <w:rFonts w:ascii="Times New Roman" w:hAnsi="Times New Roman"/>
                <w:b/>
                <w:bCs/>
              </w:rPr>
              <w:t>$</w:t>
            </w:r>
            <w:r w:rsidR="00EC48B2">
              <w:rPr>
                <w:rFonts w:ascii="Times New Roman" w:hAnsi="Times New Roman"/>
                <w:b/>
                <w:bCs/>
              </w:rPr>
              <w:t>834</w:t>
            </w:r>
          </w:p>
        </w:tc>
      </w:tr>
    </w:tbl>
    <w:p w:rsidR="0041671B" w:rsidRPr="00CB33B8" w:rsidP="00CD2843" w14:paraId="53F1FAA6" w14:textId="77777777">
      <w:pPr>
        <w:ind w:left="720"/>
        <w:rPr>
          <w:rFonts w:ascii="Times New Roman" w:hAnsi="Times New Roman"/>
        </w:rPr>
      </w:pPr>
    </w:p>
    <w:p w:rsidR="003674AB" w:rsidRPr="005923EC" w:rsidP="00CD2843" w14:paraId="011877B4" w14:textId="77777777">
      <w:pPr>
        <w:ind w:left="720"/>
        <w:rPr>
          <w:rFonts w:ascii="Times New Roman" w:hAnsi="Times New Roman"/>
          <w:b/>
          <w:bCs/>
          <w:iCs/>
        </w:rPr>
      </w:pPr>
    </w:p>
    <w:p w:rsidR="003674AB" w:rsidRPr="005923EC" w:rsidP="00CD2843" w14:paraId="22B4D8E2" w14:textId="77777777">
      <w:pPr>
        <w:tabs>
          <w:tab w:val="left" w:pos="-1440"/>
        </w:tabs>
        <w:ind w:left="720" w:hanging="720"/>
        <w:rPr>
          <w:rFonts w:ascii="Times New Roman" w:hAnsi="Times New Roman"/>
          <w:b/>
          <w:bCs/>
          <w:iCs/>
        </w:rPr>
      </w:pPr>
      <w:r w:rsidRPr="005923EC">
        <w:rPr>
          <w:rFonts w:ascii="Times New Roman" w:hAnsi="Times New Roman"/>
          <w:b/>
          <w:bCs/>
          <w:iCs/>
        </w:rPr>
        <w:t>14.</w:t>
      </w:r>
      <w:r w:rsidRPr="005923EC">
        <w:rPr>
          <w:rFonts w:ascii="Times New Roman" w:hAnsi="Times New Roman"/>
          <w:b/>
          <w:bCs/>
          <w:iCs/>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5923EC">
        <w:rPr>
          <w:rFonts w:ascii="Times New Roman" w:hAnsi="Times New Roman"/>
          <w:b/>
          <w:bCs/>
          <w:iCs/>
        </w:rPr>
        <w:t>expense</w:t>
      </w:r>
      <w:r w:rsidRPr="005923EC">
        <w:rPr>
          <w:rFonts w:ascii="Times New Roman" w:hAnsi="Times New Roman"/>
          <w:b/>
          <w:bCs/>
          <w:iCs/>
        </w:rPr>
        <w:t xml:space="preserve"> that would not have been incurred without this collection of information.  Agencies also may aggregate cost estimates from Items 12, 13, and 14 in a single table.</w:t>
      </w:r>
    </w:p>
    <w:p w:rsidR="003674AB" w:rsidRPr="00CD2843" w:rsidP="00CD2843" w14:paraId="0EF11B31" w14:textId="77777777">
      <w:pPr>
        <w:ind w:left="720"/>
        <w:rPr>
          <w:rFonts w:ascii="Times New Roman" w:hAnsi="Times New Roman"/>
        </w:rPr>
      </w:pPr>
    </w:p>
    <w:p w:rsidR="003674AB" w:rsidRPr="002013F6" w:rsidP="00CD2843" w14:paraId="52ACD18C" w14:textId="77777777">
      <w:pPr>
        <w:ind w:left="720"/>
        <w:rPr>
          <w:rFonts w:ascii="Times New Roman" w:hAnsi="Times New Roman"/>
        </w:rPr>
      </w:pPr>
      <w:r w:rsidRPr="002013F6">
        <w:rPr>
          <w:rFonts w:ascii="Times New Roman" w:hAnsi="Times New Roman"/>
        </w:rPr>
        <w:t>There is no disclosure to the Federal government and, consequently, no cost to the government as a result of this class exemption.</w:t>
      </w:r>
    </w:p>
    <w:p w:rsidR="003674AB" w:rsidRPr="00DB77EF" w:rsidP="00CD2843" w14:paraId="4AEFC688" w14:textId="77777777">
      <w:pPr>
        <w:ind w:left="720"/>
        <w:rPr>
          <w:rFonts w:ascii="Times New Roman" w:hAnsi="Times New Roman"/>
        </w:rPr>
      </w:pPr>
    </w:p>
    <w:p w:rsidR="003674AB" w:rsidRPr="005923EC" w:rsidP="00CD2843" w14:paraId="6BA02951" w14:textId="77777777">
      <w:pPr>
        <w:tabs>
          <w:tab w:val="left" w:pos="-1440"/>
        </w:tabs>
        <w:ind w:left="720" w:hanging="720"/>
        <w:rPr>
          <w:rFonts w:ascii="Times New Roman" w:hAnsi="Times New Roman"/>
          <w:b/>
          <w:bCs/>
        </w:rPr>
      </w:pPr>
      <w:r w:rsidRPr="005923EC">
        <w:rPr>
          <w:rFonts w:ascii="Times New Roman" w:hAnsi="Times New Roman"/>
          <w:b/>
          <w:bCs/>
        </w:rPr>
        <w:t>15.</w:t>
      </w:r>
      <w:r w:rsidRPr="005923EC">
        <w:rPr>
          <w:rFonts w:ascii="Times New Roman" w:hAnsi="Times New Roman"/>
          <w:b/>
          <w:bCs/>
        </w:rPr>
        <w:tab/>
        <w:t>Explain the reasons for any program changes or adjustments reported in Items 13 or 14.</w:t>
      </w:r>
    </w:p>
    <w:p w:rsidR="003674AB" w:rsidRPr="00DB77EF" w:rsidP="00CD2843" w14:paraId="7A5E076D" w14:textId="77777777">
      <w:pPr>
        <w:ind w:left="720"/>
        <w:rPr>
          <w:rFonts w:ascii="Times New Roman" w:hAnsi="Times New Roman"/>
        </w:rPr>
      </w:pPr>
    </w:p>
    <w:p w:rsidR="00967990" w:rsidP="00967990" w14:paraId="7A46D92F" w14:textId="5DA0523C">
      <w:pPr>
        <w:ind w:left="720"/>
        <w:rPr>
          <w:rFonts w:ascii="Times New Roman" w:hAnsi="Times New Roman"/>
        </w:rPr>
      </w:pPr>
      <w:r>
        <w:rPr>
          <w:rFonts w:ascii="Times New Roman" w:hAnsi="Times New Roman"/>
        </w:rPr>
        <w:t xml:space="preserve">There have been no program changes for this submission.  </w:t>
      </w:r>
      <w:r w:rsidRPr="00CB33B8" w:rsidR="00632A8E">
        <w:rPr>
          <w:rFonts w:ascii="Times New Roman" w:hAnsi="Times New Roman"/>
        </w:rPr>
        <w:t xml:space="preserve">The number of respondents </w:t>
      </w:r>
      <w:r w:rsidR="00313609">
        <w:rPr>
          <w:rFonts w:ascii="Times New Roman" w:hAnsi="Times New Roman"/>
        </w:rPr>
        <w:t xml:space="preserve">and responses </w:t>
      </w:r>
      <w:r w:rsidRPr="00CB33B8" w:rsidR="00632A8E">
        <w:rPr>
          <w:rFonts w:ascii="Times New Roman" w:hAnsi="Times New Roman"/>
        </w:rPr>
        <w:t xml:space="preserve">has been updated to reflect information from the </w:t>
      </w:r>
      <w:r w:rsidR="002601FC">
        <w:rPr>
          <w:rFonts w:ascii="Times New Roman" w:hAnsi="Times New Roman"/>
        </w:rPr>
        <w:t>2023</w:t>
      </w:r>
      <w:r w:rsidRPr="00CB33B8" w:rsidR="0074176B">
        <w:rPr>
          <w:rFonts w:ascii="Times New Roman" w:hAnsi="Times New Roman"/>
        </w:rPr>
        <w:t xml:space="preserve"> </w:t>
      </w:r>
      <w:r w:rsidR="00CB610F">
        <w:rPr>
          <w:rFonts w:ascii="Times New Roman" w:hAnsi="Times New Roman"/>
        </w:rPr>
        <w:t>Form 5500</w:t>
      </w:r>
      <w:r w:rsidRPr="00CB33B8" w:rsidR="00632A8E">
        <w:rPr>
          <w:rFonts w:ascii="Times New Roman" w:hAnsi="Times New Roman"/>
        </w:rPr>
        <w:t xml:space="preserve">, as reported on </w:t>
      </w:r>
      <w:r w:rsidRPr="00CB33B8" w:rsidR="00632A8E">
        <w:rPr>
          <w:rFonts w:ascii="Times New Roman" w:hAnsi="Times New Roman"/>
        </w:rPr>
        <w:t>the Form</w:t>
      </w:r>
      <w:r w:rsidRPr="00CB33B8" w:rsidR="00632A8E">
        <w:rPr>
          <w:rFonts w:ascii="Times New Roman" w:hAnsi="Times New Roman"/>
        </w:rPr>
        <w:t xml:space="preserve"> 5500</w:t>
      </w:r>
      <w:r w:rsidRPr="00CB33B8" w:rsidR="003674AB">
        <w:rPr>
          <w:rFonts w:ascii="Times New Roman" w:hAnsi="Times New Roman"/>
        </w:rPr>
        <w:t>.</w:t>
      </w:r>
      <w:r w:rsidR="00692715">
        <w:rPr>
          <w:rFonts w:ascii="Times New Roman" w:hAnsi="Times New Roman"/>
        </w:rPr>
        <w:t xml:space="preserve"> </w:t>
      </w:r>
      <w:r w:rsidR="00E04F2D">
        <w:rPr>
          <w:rFonts w:ascii="Times New Roman" w:hAnsi="Times New Roman"/>
        </w:rPr>
        <w:t xml:space="preserve">The number of responses has increased by </w:t>
      </w:r>
      <w:r w:rsidR="00F157CC">
        <w:rPr>
          <w:rFonts w:ascii="Times New Roman" w:hAnsi="Times New Roman"/>
        </w:rPr>
        <w:t>14,369</w:t>
      </w:r>
      <w:r w:rsidR="00E04F2D">
        <w:rPr>
          <w:rFonts w:ascii="Times New Roman" w:hAnsi="Times New Roman"/>
        </w:rPr>
        <w:t xml:space="preserve">responses and the hour burden has increased </w:t>
      </w:r>
      <w:r w:rsidR="008F4233">
        <w:rPr>
          <w:rFonts w:ascii="Times New Roman" w:hAnsi="Times New Roman"/>
        </w:rPr>
        <w:t xml:space="preserve">by </w:t>
      </w:r>
      <w:r w:rsidR="00F157CC">
        <w:rPr>
          <w:rFonts w:ascii="Times New Roman" w:hAnsi="Times New Roman"/>
        </w:rPr>
        <w:t>2,874</w:t>
      </w:r>
      <w:r w:rsidR="008F4233">
        <w:rPr>
          <w:rFonts w:ascii="Times New Roman" w:hAnsi="Times New Roman"/>
        </w:rPr>
        <w:t xml:space="preserve"> </w:t>
      </w:r>
      <w:r w:rsidR="00E04F2D">
        <w:rPr>
          <w:rFonts w:ascii="Times New Roman" w:hAnsi="Times New Roman"/>
        </w:rPr>
        <w:t xml:space="preserve">hours. </w:t>
      </w:r>
      <w:r w:rsidR="00692715">
        <w:rPr>
          <w:rFonts w:ascii="Times New Roman" w:hAnsi="Times New Roman"/>
        </w:rPr>
        <w:t>Wages</w:t>
      </w:r>
      <w:r w:rsidR="00A91644">
        <w:rPr>
          <w:rFonts w:ascii="Times New Roman" w:hAnsi="Times New Roman"/>
        </w:rPr>
        <w:t xml:space="preserve"> and</w:t>
      </w:r>
      <w:r w:rsidR="00692715">
        <w:rPr>
          <w:rFonts w:ascii="Times New Roman" w:hAnsi="Times New Roman"/>
        </w:rPr>
        <w:t xml:space="preserve"> </w:t>
      </w:r>
      <w:r w:rsidR="00A91644">
        <w:rPr>
          <w:rFonts w:ascii="Times New Roman" w:hAnsi="Times New Roman"/>
        </w:rPr>
        <w:t xml:space="preserve">the average number of participants in affected plans </w:t>
      </w:r>
      <w:r w:rsidR="00692715">
        <w:rPr>
          <w:rFonts w:ascii="Times New Roman" w:hAnsi="Times New Roman"/>
        </w:rPr>
        <w:t>have also been updated.</w:t>
      </w:r>
      <w:r w:rsidRPr="00CB33B8" w:rsidR="00A12765">
        <w:rPr>
          <w:rFonts w:ascii="Times New Roman" w:hAnsi="Times New Roman"/>
        </w:rPr>
        <w:t xml:space="preserve"> </w:t>
      </w:r>
    </w:p>
    <w:p w:rsidR="00967990" w:rsidP="00967990" w14:paraId="34A2B76C" w14:textId="77777777">
      <w:pPr>
        <w:ind w:left="720"/>
        <w:rPr>
          <w:rFonts w:ascii="Times New Roman" w:hAnsi="Times New Roman"/>
        </w:rPr>
      </w:pPr>
    </w:p>
    <w:p w:rsidR="003674AB" w:rsidRPr="00CB33B8" w:rsidP="00967990" w14:paraId="044FDC4F" w14:textId="77E3B0EA">
      <w:pPr>
        <w:ind w:left="720"/>
        <w:rPr>
          <w:rFonts w:ascii="Times New Roman" w:hAnsi="Times New Roman"/>
        </w:rPr>
      </w:pPr>
      <w:r>
        <w:rPr>
          <w:rFonts w:ascii="Times New Roman" w:hAnsi="Times New Roman"/>
        </w:rPr>
        <w:t>Postage rates, used as an input for the cost burden, have been updated to reflect current prices.</w:t>
      </w:r>
      <w:r w:rsidR="00E04F2D">
        <w:rPr>
          <w:rFonts w:ascii="Times New Roman" w:hAnsi="Times New Roman"/>
        </w:rPr>
        <w:t xml:space="preserve"> </w:t>
      </w:r>
      <w:r w:rsidR="001B2A20">
        <w:rPr>
          <w:rFonts w:ascii="Times New Roman" w:hAnsi="Times New Roman"/>
        </w:rPr>
        <w:t xml:space="preserve">Additionally, many disclosures are now assumed to be sent electronically, resulting in a lower cost burden. </w:t>
      </w:r>
      <w:r w:rsidR="00E04F2D">
        <w:rPr>
          <w:rFonts w:ascii="Times New Roman" w:hAnsi="Times New Roman"/>
        </w:rPr>
        <w:t xml:space="preserve">The cost burden has </w:t>
      </w:r>
      <w:r w:rsidR="001B2A20">
        <w:rPr>
          <w:rFonts w:ascii="Times New Roman" w:hAnsi="Times New Roman"/>
        </w:rPr>
        <w:t xml:space="preserve">decreased </w:t>
      </w:r>
      <w:r w:rsidR="00E04F2D">
        <w:rPr>
          <w:rFonts w:ascii="Times New Roman" w:hAnsi="Times New Roman"/>
        </w:rPr>
        <w:t xml:space="preserve">by </w:t>
      </w:r>
      <w:r w:rsidR="005A7A67">
        <w:rPr>
          <w:rFonts w:ascii="Times New Roman" w:hAnsi="Times New Roman"/>
        </w:rPr>
        <w:t>$</w:t>
      </w:r>
      <w:r w:rsidR="00F157CC">
        <w:rPr>
          <w:rFonts w:ascii="Times New Roman" w:hAnsi="Times New Roman"/>
        </w:rPr>
        <w:t>6,919</w:t>
      </w:r>
      <w:r w:rsidR="00E04F2D">
        <w:rPr>
          <w:rFonts w:ascii="Times New Roman" w:hAnsi="Times New Roman"/>
        </w:rPr>
        <w:t xml:space="preserve">. </w:t>
      </w:r>
    </w:p>
    <w:p w:rsidR="003674AB" w:rsidRPr="00CB2B39" w:rsidP="00CD2843" w14:paraId="06C371FC" w14:textId="77777777">
      <w:pPr>
        <w:ind w:left="720"/>
        <w:rPr>
          <w:rFonts w:ascii="Times New Roman" w:hAnsi="Times New Roman"/>
        </w:rPr>
      </w:pPr>
    </w:p>
    <w:p w:rsidR="003674AB" w:rsidRPr="005923EC" w:rsidP="00CD2843" w14:paraId="12F87544" w14:textId="77777777">
      <w:pPr>
        <w:tabs>
          <w:tab w:val="left" w:pos="-1440"/>
        </w:tabs>
        <w:ind w:left="720" w:hanging="720"/>
        <w:rPr>
          <w:rFonts w:ascii="Times New Roman" w:hAnsi="Times New Roman"/>
          <w:b/>
          <w:bCs/>
        </w:rPr>
      </w:pPr>
      <w:r w:rsidRPr="005923EC">
        <w:rPr>
          <w:rFonts w:ascii="Times New Roman" w:hAnsi="Times New Roman"/>
          <w:b/>
          <w:bCs/>
        </w:rPr>
        <w:t>16.</w:t>
      </w:r>
      <w:r w:rsidRPr="005923EC">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74AB" w:rsidRPr="00CD2843" w:rsidP="00CD2843" w14:paraId="60B76554" w14:textId="77777777">
      <w:pPr>
        <w:ind w:left="720"/>
        <w:rPr>
          <w:rFonts w:ascii="Times New Roman" w:hAnsi="Times New Roman"/>
        </w:rPr>
      </w:pPr>
    </w:p>
    <w:p w:rsidR="003674AB" w:rsidRPr="002013F6" w:rsidP="00CD2843" w14:paraId="76B7271F" w14:textId="77777777">
      <w:pPr>
        <w:ind w:left="720"/>
        <w:rPr>
          <w:rFonts w:ascii="Times New Roman" w:hAnsi="Times New Roman"/>
        </w:rPr>
      </w:pPr>
      <w:r w:rsidRPr="002013F6">
        <w:rPr>
          <w:rFonts w:ascii="Times New Roman" w:hAnsi="Times New Roman"/>
        </w:rPr>
        <w:t>This is not a collection of information for statistical use and there are no plans to publish the results of this collection.</w:t>
      </w:r>
    </w:p>
    <w:p w:rsidR="003674AB" w:rsidRPr="00DB77EF" w:rsidP="00CD2843" w14:paraId="6B64C7C5" w14:textId="77777777">
      <w:pPr>
        <w:ind w:left="720"/>
        <w:rPr>
          <w:rFonts w:ascii="Times New Roman" w:hAnsi="Times New Roman"/>
        </w:rPr>
      </w:pPr>
    </w:p>
    <w:p w:rsidR="003674AB" w:rsidRPr="005923EC" w:rsidP="00CD2843" w14:paraId="1450C5FB" w14:textId="77777777">
      <w:pPr>
        <w:tabs>
          <w:tab w:val="left" w:pos="-1440"/>
        </w:tabs>
        <w:ind w:left="720" w:hanging="720"/>
        <w:rPr>
          <w:rFonts w:ascii="Times New Roman" w:hAnsi="Times New Roman"/>
          <w:b/>
          <w:bCs/>
        </w:rPr>
      </w:pPr>
      <w:r w:rsidRPr="005923EC">
        <w:rPr>
          <w:rFonts w:ascii="Times New Roman" w:hAnsi="Times New Roman"/>
          <w:b/>
          <w:bCs/>
        </w:rPr>
        <w:t>17.</w:t>
      </w:r>
      <w:r w:rsidRPr="005923EC">
        <w:rPr>
          <w:rFonts w:ascii="Times New Roman" w:hAnsi="Times New Roman"/>
          <w:b/>
          <w:bCs/>
        </w:rPr>
        <w:tab/>
        <w:t>If seeking approval to not display the expiration date for OMB approval of the information collection, explain the reasons that display would be inappropriate.</w:t>
      </w:r>
    </w:p>
    <w:p w:rsidR="003674AB" w:rsidRPr="00DB77EF" w:rsidP="00CD2843" w14:paraId="79C7F9EF" w14:textId="77777777">
      <w:pPr>
        <w:ind w:left="720"/>
        <w:rPr>
          <w:rFonts w:ascii="Times New Roman" w:hAnsi="Times New Roman"/>
        </w:rPr>
      </w:pPr>
    </w:p>
    <w:p w:rsidR="00DB77EF" w:rsidP="00CD2843" w14:paraId="07CC382B" w14:textId="77777777">
      <w:pPr>
        <w:ind w:left="720"/>
        <w:rPr>
          <w:rFonts w:ascii="Times New Roman" w:hAnsi="Times New Roman"/>
        </w:rPr>
      </w:pPr>
      <w:r w:rsidRPr="00DB77EF">
        <w:rPr>
          <w:rFonts w:ascii="Times New Roman" w:hAnsi="Times New Roman"/>
        </w:rPr>
        <w:t>The expiration date will be published in the Federal Register following OMB approval.</w:t>
      </w:r>
    </w:p>
    <w:p w:rsidR="003674AB" w:rsidRPr="00DB77EF" w:rsidP="00CD2843" w14:paraId="4093844A" w14:textId="77777777">
      <w:pPr>
        <w:ind w:left="720"/>
        <w:rPr>
          <w:rFonts w:ascii="Times New Roman" w:hAnsi="Times New Roman"/>
        </w:rPr>
      </w:pPr>
    </w:p>
    <w:p w:rsidR="003674AB" w:rsidRPr="005923EC" w:rsidP="00CD2843" w14:paraId="7646ED56" w14:textId="08C80E0A">
      <w:pPr>
        <w:tabs>
          <w:tab w:val="left" w:pos="-1440"/>
        </w:tabs>
        <w:ind w:left="720" w:hanging="720"/>
        <w:rPr>
          <w:rFonts w:ascii="Times New Roman" w:hAnsi="Times New Roman"/>
          <w:b/>
          <w:bCs/>
        </w:rPr>
      </w:pPr>
      <w:r w:rsidRPr="005923EC">
        <w:rPr>
          <w:rFonts w:ascii="Times New Roman" w:hAnsi="Times New Roman"/>
          <w:b/>
          <w:bCs/>
        </w:rPr>
        <w:t>18.</w:t>
      </w:r>
      <w:r w:rsidRPr="005923EC">
        <w:rPr>
          <w:rFonts w:ascii="Times New Roman" w:hAnsi="Times New Roman"/>
          <w:b/>
          <w:bCs/>
        </w:rPr>
        <w:tab/>
      </w:r>
      <w:r w:rsidRPr="00C74E07" w:rsidR="00C74E07">
        <w:rPr>
          <w:rFonts w:ascii="Times New Roman" w:hAnsi="Times New Roman"/>
          <w:b/>
          <w:bCs/>
        </w:rPr>
        <w:t>Explain each exception to the topics of the certification statement identified in “Certification for Paperwork Reduction Act Submissions.”</w:t>
      </w:r>
    </w:p>
    <w:p w:rsidR="003674AB" w:rsidRPr="00F97246" w:rsidP="00CD2843" w14:paraId="1A0BF002" w14:textId="77777777">
      <w:pPr>
        <w:ind w:left="720"/>
        <w:rPr>
          <w:rFonts w:ascii="Times New Roman" w:hAnsi="Times New Roman"/>
        </w:rPr>
      </w:pPr>
    </w:p>
    <w:p w:rsidR="003674AB" w:rsidRPr="00CD2843" w:rsidP="00CD2843" w14:paraId="570348A1" w14:textId="77777777">
      <w:pPr>
        <w:ind w:left="720"/>
        <w:rPr>
          <w:rFonts w:ascii="Times New Roman" w:hAnsi="Times New Roman"/>
        </w:rPr>
      </w:pPr>
      <w:r w:rsidRPr="00CB2B39">
        <w:rPr>
          <w:rFonts w:ascii="Times New Roman" w:hAnsi="Times New Roman"/>
        </w:rPr>
        <w:t>Not ap</w:t>
      </w:r>
      <w:r w:rsidRPr="00CD2843">
        <w:rPr>
          <w:rFonts w:ascii="Times New Roman" w:hAnsi="Times New Roman"/>
        </w:rPr>
        <w:t>plicable; no exceptions to the certification statement.</w:t>
      </w:r>
    </w:p>
    <w:p w:rsidR="003674AB" w:rsidRPr="00CD2843" w:rsidP="00CD2843" w14:paraId="34062267" w14:textId="77777777">
      <w:pPr>
        <w:ind w:left="720"/>
        <w:rPr>
          <w:rFonts w:ascii="Times New Roman" w:hAnsi="Times New Roman"/>
        </w:rPr>
      </w:pPr>
    </w:p>
    <w:p w:rsidR="003674AB" w:rsidRPr="00CD2843" w:rsidP="00CD2843" w14:paraId="6A62A20E" w14:textId="354A88E3">
      <w:pPr>
        <w:tabs>
          <w:tab w:val="left" w:pos="-1440"/>
        </w:tabs>
        <w:ind w:left="720" w:hanging="720"/>
        <w:rPr>
          <w:rFonts w:ascii="Times New Roman" w:hAnsi="Times New Roman"/>
        </w:rPr>
      </w:pPr>
      <w:r w:rsidRPr="00CD2843">
        <w:rPr>
          <w:rFonts w:ascii="Times New Roman" w:hAnsi="Times New Roman"/>
          <w:b/>
          <w:bCs/>
        </w:rPr>
        <w:t>B.</w:t>
      </w:r>
      <w:r w:rsidRPr="00CD2843">
        <w:rPr>
          <w:rFonts w:ascii="Times New Roman" w:hAnsi="Times New Roman"/>
          <w:b/>
          <w:bCs/>
        </w:rPr>
        <w:tab/>
      </w:r>
      <w:r w:rsidRPr="00CD2843" w:rsidR="005923EC">
        <w:rPr>
          <w:rFonts w:ascii="Times New Roman" w:hAnsi="Times New Roman"/>
          <w:b/>
          <w:bCs/>
        </w:rPr>
        <w:t>COLLECTIONS OF INFORMATION EMPLOYING STATISTICAL METHODS</w:t>
      </w:r>
    </w:p>
    <w:p w:rsidR="003674AB" w:rsidRPr="00CD2843" w:rsidP="00CD2843" w14:paraId="64EFEEB7" w14:textId="77777777">
      <w:pPr>
        <w:ind w:left="720"/>
        <w:rPr>
          <w:rFonts w:ascii="Times New Roman" w:hAnsi="Times New Roman"/>
        </w:rPr>
      </w:pPr>
    </w:p>
    <w:p w:rsidR="003674AB" w:rsidRPr="00CD2843" w:rsidP="00386BE7" w14:paraId="63A5D771" w14:textId="75070315">
      <w:pPr>
        <w:ind w:left="720"/>
        <w:rPr>
          <w:rFonts w:ascii="Times New Roman" w:hAnsi="Times New Roman"/>
        </w:rPr>
      </w:pPr>
      <w:r w:rsidRPr="00CD2843">
        <w:rPr>
          <w:rFonts w:ascii="Times New Roman" w:hAnsi="Times New Roman"/>
        </w:rPr>
        <w:t>Not applicable. The use of statistical methods is not relevant to this collection of information.</w:t>
      </w:r>
    </w:p>
    <w:sectPr>
      <w:headerReference w:type="default" r:id="rId6"/>
      <w:footerReference w:type="even" r:id="rId7"/>
      <w:footerReference w:type="default" r:id="rId8"/>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38C" w14:paraId="2FBB99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A638C" w14:paraId="4AFF6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38C" w:rsidP="00F73C5F" w14:paraId="7E792AC6" w14:textId="77777777">
    <w:pPr>
      <w:pStyle w:val="Footer"/>
      <w:framePr w:wrap="around" w:vAnchor="text" w:hAnchor="page" w:x="6041" w:y="233"/>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73EA2">
      <w:rPr>
        <w:rStyle w:val="PageNumber"/>
        <w:rFonts w:ascii="Times New Roman" w:hAnsi="Times New Roman"/>
        <w:noProof/>
      </w:rPr>
      <w:t>1</w:t>
    </w:r>
    <w:r>
      <w:rPr>
        <w:rStyle w:val="PageNumber"/>
        <w:rFonts w:ascii="Times New Roman" w:hAnsi="Times New Roman"/>
      </w:rPr>
      <w:fldChar w:fldCharType="end"/>
    </w:r>
  </w:p>
  <w:p w:rsidR="009A638C" w14:paraId="096AF8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5A04" w14:paraId="02208799" w14:textId="77777777">
      <w:r>
        <w:separator/>
      </w:r>
    </w:p>
  </w:footnote>
  <w:footnote w:type="continuationSeparator" w:id="1">
    <w:p w:rsidR="00485A04" w14:paraId="29A2A70C" w14:textId="77777777">
      <w:r>
        <w:continuationSeparator/>
      </w:r>
    </w:p>
  </w:footnote>
  <w:footnote w:id="2">
    <w:p w:rsidR="0061690C" w:rsidRPr="001E44AE" w:rsidP="0061690C" w14:paraId="1C2577BC" w14:textId="77777777">
      <w:pPr>
        <w:pStyle w:val="FootnoteText"/>
        <w:rPr>
          <w:rFonts w:ascii="Times New Roman" w:hAnsi="Times New Roman"/>
        </w:rPr>
      </w:pPr>
      <w:r w:rsidRPr="00CB610F">
        <w:rPr>
          <w:rStyle w:val="FootnoteReference"/>
          <w:rFonts w:ascii="Times New Roman" w:hAnsi="Times New Roman"/>
          <w:vertAlign w:val="superscript"/>
        </w:rPr>
        <w:footnoteRef/>
      </w:r>
      <w:r w:rsidRPr="00CB610F">
        <w:rPr>
          <w:rFonts w:ascii="Times New Roman" w:hAnsi="Times New Roman"/>
          <w:vertAlign w:val="superscript"/>
        </w:rPr>
        <w:t xml:space="preserve"> </w:t>
      </w:r>
      <w:r w:rsidRPr="001E44AE">
        <w:rPr>
          <w:rFonts w:ascii="Times New Roman" w:hAnsi="Times New Roman"/>
        </w:rPr>
        <w:t>Estimate based upon a review of old Form 5500 data.  This data field was eliminated from reporting requirements with the creation of the Form 5500-SF.</w:t>
      </w:r>
    </w:p>
  </w:footnote>
  <w:footnote w:id="3">
    <w:p w:rsidR="0061690C" w:rsidRPr="00386BE7" w14:paraId="646F20D7" w14:textId="1D9E9157">
      <w:pPr>
        <w:pStyle w:val="FootnoteText"/>
        <w:rPr>
          <w:rFonts w:ascii="Times New Roman" w:hAnsi="Times New Roman"/>
        </w:rPr>
      </w:pPr>
      <w:r w:rsidRPr="00CB610F">
        <w:rPr>
          <w:rStyle w:val="FootnoteReference"/>
          <w:rFonts w:ascii="Times New Roman" w:hAnsi="Times New Roman"/>
          <w:vertAlign w:val="superscript"/>
        </w:rPr>
        <w:footnoteRef/>
      </w:r>
      <w:r w:rsidRPr="00386BE7">
        <w:rPr>
          <w:rFonts w:ascii="Times New Roman" w:hAnsi="Times New Roman"/>
        </w:rPr>
        <w:t xml:space="preserve"> Estimate based upon the number of plans</w:t>
      </w:r>
      <w:r w:rsidR="006D21B8">
        <w:rPr>
          <w:rFonts w:ascii="Times New Roman" w:hAnsi="Times New Roman"/>
        </w:rPr>
        <w:t xml:space="preserve"> (</w:t>
      </w:r>
      <w:r w:rsidR="00EE3BC9">
        <w:rPr>
          <w:rFonts w:ascii="Times New Roman" w:hAnsi="Times New Roman"/>
        </w:rPr>
        <w:t>976,142</w:t>
      </w:r>
      <w:r w:rsidR="006D21B8">
        <w:rPr>
          <w:rFonts w:ascii="Times New Roman" w:hAnsi="Times New Roman"/>
        </w:rPr>
        <w:t>)</w:t>
      </w:r>
      <w:r w:rsidRPr="00386BE7">
        <w:rPr>
          <w:rFonts w:ascii="Times New Roman" w:hAnsi="Times New Roman"/>
        </w:rPr>
        <w:t xml:space="preserve"> that filed a Form 5500 in </w:t>
      </w:r>
      <w:r w:rsidR="00EE3BC9">
        <w:rPr>
          <w:rFonts w:ascii="Times New Roman" w:hAnsi="Times New Roman"/>
        </w:rPr>
        <w:t>2023</w:t>
      </w:r>
      <w:r w:rsidRPr="00386BE7">
        <w:rPr>
          <w:rFonts w:ascii="Times New Roman" w:hAnsi="Times New Roman"/>
        </w:rPr>
        <w:t>.</w:t>
      </w:r>
    </w:p>
  </w:footnote>
  <w:footnote w:id="4">
    <w:p w:rsidR="004F424D" w:rsidRPr="004F424D" w14:paraId="72B74B84" w14:textId="3A424597">
      <w:pPr>
        <w:pStyle w:val="FootnoteText"/>
        <w:rPr>
          <w:rStyle w:val="FootnoteReference"/>
          <w:rFonts w:ascii="Times New Roman" w:hAnsi="Times New Roman"/>
          <w:vertAlign w:val="superscript"/>
        </w:rPr>
      </w:pPr>
      <w:r w:rsidRPr="004F424D">
        <w:rPr>
          <w:rStyle w:val="FootnoteReference"/>
          <w:rFonts w:ascii="Times New Roman" w:hAnsi="Times New Roman"/>
          <w:vertAlign w:val="superscript"/>
        </w:rPr>
        <w:footnoteRef/>
      </w:r>
      <w:r w:rsidRPr="004F424D">
        <w:rPr>
          <w:rStyle w:val="FootnoteReference"/>
          <w:rFonts w:ascii="Times New Roman" w:hAnsi="Times New Roman"/>
          <w:vertAlign w:val="superscript"/>
        </w:rPr>
        <w:t xml:space="preserve"> </w:t>
      </w:r>
      <w:r w:rsidRPr="004F424D">
        <w:rPr>
          <w:rFonts w:ascii="Times New Roman" w:hAnsi="Times New Roman"/>
        </w:rPr>
        <w:t xml:space="preserve">This estimate </w:t>
      </w:r>
      <w:r>
        <w:rPr>
          <w:rFonts w:ascii="Times New Roman" w:hAnsi="Times New Roman"/>
        </w:rPr>
        <w:t>is calculated as: 146,421 plans × 5% plans with life or annuity policies = 7,321 plans</w:t>
      </w:r>
      <w:r w:rsidR="00EE62BA">
        <w:rPr>
          <w:rFonts w:ascii="Times New Roman" w:hAnsi="Times New Roman"/>
        </w:rPr>
        <w:t>.</w:t>
      </w:r>
    </w:p>
  </w:footnote>
  <w:footnote w:id="5">
    <w:p w:rsidR="004F424D" w14:paraId="2ACCC4B3" w14:textId="40C0DDA8">
      <w:pPr>
        <w:pStyle w:val="FootnoteText"/>
      </w:pPr>
      <w:r w:rsidRPr="004F424D">
        <w:rPr>
          <w:rStyle w:val="FootnoteReference"/>
          <w:rFonts w:ascii="Times New Roman" w:hAnsi="Times New Roman"/>
          <w:vertAlign w:val="superscript"/>
        </w:rPr>
        <w:footnoteRef/>
      </w:r>
      <w:r w:rsidRPr="004F424D">
        <w:rPr>
          <w:rStyle w:val="FootnoteReference"/>
          <w:rFonts w:ascii="Times New Roman" w:hAnsi="Times New Roman"/>
          <w:vertAlign w:val="superscript"/>
        </w:rPr>
        <w:t xml:space="preserve"> </w:t>
      </w:r>
      <w:r>
        <w:rPr>
          <w:rStyle w:val="FootnoteReference"/>
          <w:rFonts w:ascii="Times New Roman" w:hAnsi="Times New Roman"/>
          <w:vertAlign w:val="superscript"/>
        </w:rPr>
        <w:t xml:space="preserve"> </w:t>
      </w:r>
      <w:r w:rsidRPr="004F424D">
        <w:rPr>
          <w:rFonts w:ascii="Times New Roman" w:hAnsi="Times New Roman"/>
        </w:rPr>
        <w:t xml:space="preserve">This estimate is calculated as: </w:t>
      </w:r>
      <w:r>
        <w:rPr>
          <w:rFonts w:ascii="Times New Roman" w:hAnsi="Times New Roman"/>
        </w:rPr>
        <w:t xml:space="preserve">7,321 plans with life or annuity policies × 20 participants per plan = 146,421 participants in affected plans. </w:t>
      </w:r>
    </w:p>
  </w:footnote>
  <w:footnote w:id="6">
    <w:p w:rsidR="009A638C" w:rsidRPr="00376AF2" w14:paraId="164BC521" w14:textId="46146CAC">
      <w:pPr>
        <w:pStyle w:val="FootnoteText"/>
        <w:rPr>
          <w:rFonts w:ascii="Times New Roman" w:hAnsi="Times New Roman"/>
        </w:rPr>
      </w:pPr>
      <w:r w:rsidRPr="00CB610F">
        <w:rPr>
          <w:rStyle w:val="FootnoteReference"/>
          <w:rFonts w:ascii="Times New Roman" w:hAnsi="Times New Roman"/>
          <w:vertAlign w:val="superscript"/>
        </w:rPr>
        <w:footnoteRef/>
      </w:r>
      <w:r w:rsidRPr="00CB610F">
        <w:rPr>
          <w:rFonts w:ascii="Times New Roman" w:hAnsi="Times New Roman"/>
          <w:vertAlign w:val="superscript"/>
        </w:rPr>
        <w:t xml:space="preserve"> </w:t>
      </w:r>
      <w:r w:rsidRPr="00386BE7">
        <w:rPr>
          <w:rFonts w:ascii="Times New Roman" w:hAnsi="Times New Roman"/>
        </w:rPr>
        <w:t>(</w:t>
      </w:r>
      <w:r w:rsidR="00E90D23">
        <w:rPr>
          <w:rFonts w:ascii="Times New Roman" w:hAnsi="Times New Roman"/>
        </w:rPr>
        <w:t>146,241</w:t>
      </w:r>
      <w:r w:rsidRPr="00637535" w:rsidR="00637535">
        <w:rPr>
          <w:rFonts w:ascii="Times New Roman" w:hAnsi="Times New Roman"/>
        </w:rPr>
        <w:t xml:space="preserve"> </w:t>
      </w:r>
      <w:r w:rsidRPr="00376AF2">
        <w:rPr>
          <w:rFonts w:ascii="Times New Roman" w:hAnsi="Times New Roman"/>
        </w:rPr>
        <w:t xml:space="preserve">participants in </w:t>
      </w:r>
      <w:r w:rsidR="004F424D">
        <w:rPr>
          <w:rFonts w:ascii="Times New Roman" w:hAnsi="Times New Roman"/>
        </w:rPr>
        <w:t>affected</w:t>
      </w:r>
      <w:r w:rsidRPr="00376AF2">
        <w:rPr>
          <w:rFonts w:ascii="Times New Roman" w:hAnsi="Times New Roman"/>
        </w:rPr>
        <w:t xml:space="preserve"> plans +</w:t>
      </w:r>
      <w:r w:rsidR="00637535">
        <w:rPr>
          <w:rFonts w:ascii="Times New Roman" w:hAnsi="Times New Roman"/>
        </w:rPr>
        <w:t xml:space="preserve"> </w:t>
      </w:r>
      <w:r w:rsidR="00D500C0">
        <w:rPr>
          <w:rFonts w:ascii="Times New Roman" w:hAnsi="Times New Roman"/>
        </w:rPr>
        <w:t>111,280</w:t>
      </w:r>
      <w:r w:rsidRPr="00637535" w:rsidR="00637535">
        <w:rPr>
          <w:rFonts w:ascii="Times New Roman" w:hAnsi="Times New Roman"/>
        </w:rPr>
        <w:t xml:space="preserve"> </w:t>
      </w:r>
      <w:r w:rsidRPr="00376AF2">
        <w:rPr>
          <w:rFonts w:ascii="Times New Roman" w:hAnsi="Times New Roman"/>
        </w:rPr>
        <w:t>terminating participants)</w:t>
      </w:r>
      <w:r w:rsidR="00E01C35">
        <w:rPr>
          <w:rFonts w:ascii="Times New Roman" w:hAnsi="Times New Roman"/>
        </w:rPr>
        <w:t xml:space="preserve"> x </w:t>
      </w:r>
      <w:r w:rsidRPr="00376AF2">
        <w:rPr>
          <w:rFonts w:ascii="Times New Roman" w:hAnsi="Times New Roman"/>
        </w:rPr>
        <w:t>10%</w:t>
      </w:r>
      <w:r w:rsidR="00E01C35">
        <w:rPr>
          <w:rFonts w:ascii="Times New Roman" w:hAnsi="Times New Roman"/>
        </w:rPr>
        <w:t xml:space="preserve"> </w:t>
      </w:r>
      <w:r w:rsidRPr="00376AF2">
        <w:rPr>
          <w:rFonts w:ascii="Times New Roman" w:hAnsi="Times New Roman"/>
        </w:rPr>
        <w:t>=</w:t>
      </w:r>
      <w:r w:rsidR="00E01C35">
        <w:rPr>
          <w:rFonts w:ascii="Times New Roman" w:hAnsi="Times New Roman"/>
        </w:rPr>
        <w:t xml:space="preserve"> </w:t>
      </w:r>
      <w:r w:rsidR="00D500C0">
        <w:rPr>
          <w:rFonts w:ascii="Times New Roman" w:hAnsi="Times New Roman"/>
        </w:rPr>
        <w:t>25,770</w:t>
      </w:r>
      <w:r>
        <w:rPr>
          <w:rFonts w:ascii="Times New Roman" w:hAnsi="Times New Roman"/>
        </w:rPr>
        <w:t xml:space="preserve"> </w:t>
      </w:r>
      <w:r w:rsidRPr="00376AF2">
        <w:rPr>
          <w:rFonts w:ascii="Times New Roman" w:hAnsi="Times New Roman"/>
        </w:rPr>
        <w:t>participants declining.</w:t>
      </w:r>
    </w:p>
  </w:footnote>
  <w:footnote w:id="7">
    <w:p w:rsidR="009A638C" w:rsidRPr="00650E61" w:rsidP="00EE784F" w14:paraId="73D6417A" w14:textId="624477E6">
      <w:pPr>
        <w:pStyle w:val="FootnoteText"/>
        <w:rPr>
          <w:rFonts w:ascii="Times New Roman" w:hAnsi="Times New Roman"/>
        </w:rPr>
      </w:pPr>
      <w:r w:rsidRPr="00CB610F">
        <w:rPr>
          <w:rStyle w:val="FootnoteReference"/>
          <w:rFonts w:ascii="Times New Roman" w:hAnsi="Times New Roman"/>
          <w:vertAlign w:val="superscript"/>
        </w:rPr>
        <w:footnoteRef/>
      </w:r>
      <w:r w:rsidRPr="00650E61">
        <w:rPr>
          <w:rFonts w:ascii="Times New Roman" w:hAnsi="Times New Roman"/>
        </w:rPr>
        <w:t xml:space="preserve"> </w:t>
      </w:r>
      <w:r w:rsidRPr="00545152" w:rsidR="00545152">
        <w:rPr>
          <w:rFonts w:ascii="Times New Roman" w:hAnsi="Times New Roman"/>
        </w:rPr>
        <w:t xml:space="preserve">Internal DOL calculation </w:t>
      </w:r>
      <w:r w:rsidR="0058348B">
        <w:rPr>
          <w:rFonts w:ascii="Times New Roman" w:hAnsi="Times New Roman"/>
        </w:rPr>
        <w:t>of</w:t>
      </w:r>
      <w:r w:rsidRPr="00545152" w:rsidR="00545152">
        <w:rPr>
          <w:rFonts w:ascii="Times New Roman" w:hAnsi="Times New Roman"/>
        </w:rPr>
        <w:t xml:space="preserve"> </w:t>
      </w:r>
      <w:r w:rsidR="0074176B">
        <w:rPr>
          <w:rFonts w:ascii="Times New Roman" w:hAnsi="Times New Roman"/>
        </w:rPr>
        <w:t>2026</w:t>
      </w:r>
      <w:r w:rsidRPr="00545152" w:rsidR="0074176B">
        <w:rPr>
          <w:rFonts w:ascii="Times New Roman" w:hAnsi="Times New Roman"/>
        </w:rPr>
        <w:t xml:space="preserve"> </w:t>
      </w:r>
      <w:r w:rsidRPr="00545152" w:rsidR="00545152">
        <w:rPr>
          <w:rFonts w:ascii="Times New Roman" w:hAnsi="Times New Roman"/>
        </w:rPr>
        <w:t xml:space="preserve">labor cost.  </w:t>
      </w:r>
      <w:r w:rsidRPr="00650E61" w:rsidR="00650E61">
        <w:rPr>
          <w:rFonts w:ascii="Times New Roman" w:hAnsi="Times New Roman"/>
        </w:rPr>
        <w:t xml:space="preserve">For a description of the Department’s methodology for calculating wage rates, see </w:t>
      </w:r>
      <w:hyperlink r:id="rId1" w:history="1">
        <w:r w:rsidRPr="005B1781" w:rsidR="00CB610F">
          <w:rPr>
            <w:rStyle w:val="Hyperlink"/>
            <w:rFonts w:ascii="Times New Roman" w:hAnsi="Times New Roman"/>
          </w:rPr>
          <w:t>https://www.dol.gov/sites/dolgov/files/EBSA/laws-and-regulations/rules-and-regulations/technical-appendices/labor-cost-inputs-used-in-ebsa-opr-ria-and-pra-burden-calculations-june-2019.pdf</w:t>
        </w:r>
      </w:hyperlink>
      <w:r w:rsidRPr="00650E61" w:rsidR="00650E61">
        <w:rPr>
          <w:rFonts w:ascii="Times New Roman" w:hAnsi="Times New Roman"/>
        </w:rPr>
        <w:t>.</w:t>
      </w:r>
    </w:p>
  </w:footnote>
  <w:footnote w:id="8">
    <w:p w:rsidR="001B2A20" w:rsidRPr="001B2A20" w14:paraId="6F1A6F69" w14:textId="164488B9">
      <w:pPr>
        <w:pStyle w:val="FootnoteText"/>
        <w:rPr>
          <w:rFonts w:ascii="Times New Roman" w:hAnsi="Times New Roman"/>
        </w:rPr>
      </w:pPr>
      <w:r w:rsidRPr="001B2A20">
        <w:rPr>
          <w:rStyle w:val="FootnoteReference"/>
          <w:rFonts w:ascii="Times New Roman" w:hAnsi="Times New Roman"/>
        </w:rPr>
        <w:footnoteRef/>
      </w:r>
      <w:r w:rsidRPr="001B2A20">
        <w:rPr>
          <w:rFonts w:ascii="Times New Roman" w:hAnsi="Times New Roman"/>
        </w:rPr>
        <w:t xml:space="preserve"> The Department estimates approximately 96.1% of participants receive disclosures electronically under the combined effects of the 2002 electronic disclosures safe harbor and the 2020 electronic safe harbor.  The Department estimates that 58.3% of participants will receive electronic disclosures under the 2002 safe harbor.  According to the National Telecommunications and Information Agency (NTIA), 37.4% of individuals age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  Additionally, the NTIA reports that 44.1%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26.9% receiving electronic disclosure outside of work).  Combining the 31.4% who receive electronic disclosure at work with the 26.9% who receive electronic disclosure outside of work produces a total of 58.3%.  The remaining 41.7% of participants are subject to the 2020 safe harbor.  According to the 2022 American Community Survey, 91.2% of the population has an internet subscription.  The Department estimates that 0.5% of electronic disclosures will bounce back and will need to be sent a paper disclosure.  Accordingly, for the 41.7% of participants not affected by the 2002 safe harbor, 90.7%, or an additional 37.8% (41.7% x 90.7%), are estimated to receive electronic disclosures under the 2020 safe harbor.  In total, the Department estimates that 96.1% (58.3% + 37.8%) would receive electronic disclosures.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38C" w:rsidP="006625C2" w14:paraId="455FB156" w14:textId="77777777">
    <w:pPr>
      <w:rPr>
        <w:rFonts w:ascii="CG Times" w:hAnsi="CG Times"/>
        <w:b/>
        <w:bCs/>
        <w:sz w:val="20"/>
        <w:szCs w:val="20"/>
      </w:rPr>
    </w:pPr>
    <w:r>
      <w:rPr>
        <w:rFonts w:ascii="CG Times" w:hAnsi="CG Times"/>
        <w:b/>
        <w:bCs/>
        <w:sz w:val="20"/>
        <w:szCs w:val="20"/>
      </w:rPr>
      <w:t>Prohibited Transaction Class Exemption 92-6</w:t>
    </w:r>
  </w:p>
  <w:p w:rsidR="009A638C" w:rsidP="006625C2" w14:paraId="03231241" w14:textId="7FBEF945">
    <w:pPr>
      <w:rPr>
        <w:rFonts w:ascii="CG Times" w:hAnsi="CG Times"/>
        <w:b/>
        <w:bCs/>
        <w:sz w:val="20"/>
        <w:szCs w:val="20"/>
      </w:rPr>
    </w:pPr>
    <w:r>
      <w:rPr>
        <w:rFonts w:ascii="CG Times" w:hAnsi="CG Times"/>
        <w:b/>
        <w:bCs/>
        <w:sz w:val="20"/>
        <w:szCs w:val="20"/>
      </w:rPr>
      <w:t xml:space="preserve">Sale of Individual Life Insurance or Annuity Contracts </w:t>
    </w:r>
    <w:r w:rsidR="00B11105">
      <w:rPr>
        <w:rFonts w:ascii="CG Times" w:hAnsi="CG Times"/>
        <w:b/>
        <w:bCs/>
        <w:sz w:val="20"/>
        <w:szCs w:val="20"/>
      </w:rPr>
      <w:t>by</w:t>
    </w:r>
    <w:r>
      <w:rPr>
        <w:rFonts w:ascii="CG Times" w:hAnsi="CG Times"/>
        <w:b/>
        <w:bCs/>
        <w:sz w:val="20"/>
        <w:szCs w:val="20"/>
      </w:rPr>
      <w:t xml:space="preserve"> a Plan</w:t>
    </w:r>
  </w:p>
  <w:p w:rsidR="009A638C" w:rsidP="006625C2" w14:paraId="737FEB34" w14:textId="77777777">
    <w:pPr>
      <w:rPr>
        <w:rFonts w:ascii="CG Times" w:hAnsi="CG Times"/>
        <w:b/>
        <w:bCs/>
        <w:sz w:val="20"/>
        <w:szCs w:val="20"/>
      </w:rPr>
    </w:pPr>
    <w:r>
      <w:rPr>
        <w:rFonts w:ascii="CG Times" w:hAnsi="CG Times"/>
        <w:b/>
        <w:bCs/>
        <w:sz w:val="20"/>
        <w:szCs w:val="20"/>
      </w:rPr>
      <w:t>OMB Number 1210-0063</w:t>
    </w:r>
  </w:p>
  <w:p w:rsidR="00D62151" w14:paraId="08CEBC3E" w14:textId="7E184367">
    <w:pPr>
      <w:spacing w:line="235" w:lineRule="exact"/>
      <w:rPr>
        <w:rFonts w:ascii="CG Times" w:hAnsi="CG Times"/>
        <w:b/>
        <w:bCs/>
        <w:sz w:val="20"/>
        <w:szCs w:val="20"/>
      </w:rPr>
    </w:pPr>
    <w:r>
      <w:rPr>
        <w:rFonts w:ascii="CG Times" w:hAnsi="CG Times"/>
        <w:b/>
        <w:bCs/>
        <w:sz w:val="20"/>
        <w:szCs w:val="20"/>
      </w:rPr>
      <w:t xml:space="preserve">Expiration Date: </w:t>
    </w:r>
    <w:r>
      <w:rPr>
        <w:rFonts w:ascii="CG Times" w:hAnsi="CG Times"/>
        <w:b/>
        <w:bCs/>
        <w:sz w:val="20"/>
        <w:szCs w:val="20"/>
      </w:rPr>
      <w:t>05/31/2026</w:t>
    </w:r>
  </w:p>
  <w:p w:rsidR="006625C2" w14:paraId="67FAA6CC" w14:textId="77777777">
    <w:pPr>
      <w:spacing w:line="235"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5BAC2B3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945E2"/>
    <w:multiLevelType w:val="hybridMultilevel"/>
    <w:tmpl w:val="2EA4C5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1831037">
    <w:abstractNumId w:val="0"/>
    <w:lvlOverride w:ilvl="0">
      <w:startOverride w:val="1"/>
      <w:lvl w:ilvl="0">
        <w:start w:val="1"/>
        <w:numFmt w:val="decimal"/>
        <w:pStyle w:val="Quick1"/>
        <w:lvlText w:val="%1."/>
        <w:lvlJc w:val="left"/>
        <w:rPr>
          <w:i w:val="0"/>
        </w:rPr>
      </w:lvl>
    </w:lvlOverride>
  </w:num>
  <w:num w:numId="2" w16cid:durableId="1570117261">
    <w:abstractNumId w:val="0"/>
    <w:lvlOverride w:ilvl="0">
      <w:startOverride w:val="7"/>
      <w:lvl w:ilvl="0">
        <w:start w:val="7"/>
        <w:numFmt w:val="decimal"/>
        <w:pStyle w:val="Quick1"/>
        <w:lvlText w:val="%1."/>
        <w:lvlJc w:val="left"/>
      </w:lvl>
    </w:lvlOverride>
  </w:num>
  <w:num w:numId="3" w16cid:durableId="451487029">
    <w:abstractNumId w:val="0"/>
    <w:lvlOverride w:ilvl="0">
      <w:startOverride w:val="9"/>
      <w:lvl w:ilvl="0">
        <w:start w:val="9"/>
        <w:numFmt w:val="decimal"/>
        <w:pStyle w:val="Quick1"/>
        <w:lvlText w:val="%1."/>
        <w:lvlJc w:val="left"/>
        <w:rPr>
          <w:i w:val="0"/>
        </w:rPr>
      </w:lvl>
    </w:lvlOverride>
  </w:num>
  <w:num w:numId="4" w16cid:durableId="1894658401">
    <w:abstractNumId w:val="0"/>
    <w:lvlOverride w:ilvl="0">
      <w:startOverride w:val="13"/>
      <w:lvl w:ilvl="0">
        <w:start w:val="13"/>
        <w:numFmt w:val="decimal"/>
        <w:pStyle w:val="Quick1"/>
        <w:lvlText w:val="%1."/>
        <w:lvlJc w:val="left"/>
        <w:rPr>
          <w:i w:val="0"/>
        </w:rPr>
      </w:lvl>
    </w:lvlOverride>
  </w:num>
  <w:num w:numId="5" w16cid:durableId="213389182">
    <w:abstractNumId w:val="7"/>
  </w:num>
  <w:num w:numId="6" w16cid:durableId="1669483632">
    <w:abstractNumId w:val="6"/>
  </w:num>
  <w:num w:numId="7" w16cid:durableId="939488879">
    <w:abstractNumId w:val="2"/>
  </w:num>
  <w:num w:numId="8" w16cid:durableId="1553272489">
    <w:abstractNumId w:val="4"/>
  </w:num>
  <w:num w:numId="9" w16cid:durableId="1523208460">
    <w:abstractNumId w:val="1"/>
  </w:num>
  <w:num w:numId="10" w16cid:durableId="37750533">
    <w:abstractNumId w:val="3"/>
  </w:num>
  <w:num w:numId="11" w16cid:durableId="1777021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C"/>
    <w:rsid w:val="000030FC"/>
    <w:rsid w:val="0002736F"/>
    <w:rsid w:val="00036B15"/>
    <w:rsid w:val="00074366"/>
    <w:rsid w:val="00084B9A"/>
    <w:rsid w:val="00086027"/>
    <w:rsid w:val="00091B7E"/>
    <w:rsid w:val="000A32C9"/>
    <w:rsid w:val="000B1522"/>
    <w:rsid w:val="000B72B1"/>
    <w:rsid w:val="000C2471"/>
    <w:rsid w:val="000D51EB"/>
    <w:rsid w:val="000E28D0"/>
    <w:rsid w:val="000E32E6"/>
    <w:rsid w:val="00136BE5"/>
    <w:rsid w:val="001411EC"/>
    <w:rsid w:val="0015436D"/>
    <w:rsid w:val="00162830"/>
    <w:rsid w:val="001846E4"/>
    <w:rsid w:val="001A10AA"/>
    <w:rsid w:val="001A200E"/>
    <w:rsid w:val="001A380C"/>
    <w:rsid w:val="001A67B2"/>
    <w:rsid w:val="001B2A20"/>
    <w:rsid w:val="001B3C9D"/>
    <w:rsid w:val="001B5D57"/>
    <w:rsid w:val="001D62DC"/>
    <w:rsid w:val="001E34EB"/>
    <w:rsid w:val="001E44AE"/>
    <w:rsid w:val="001F3398"/>
    <w:rsid w:val="002013F6"/>
    <w:rsid w:val="00215957"/>
    <w:rsid w:val="0022538B"/>
    <w:rsid w:val="00226D6F"/>
    <w:rsid w:val="00241452"/>
    <w:rsid w:val="002601FC"/>
    <w:rsid w:val="00287211"/>
    <w:rsid w:val="0029138B"/>
    <w:rsid w:val="002A0360"/>
    <w:rsid w:val="002B01A0"/>
    <w:rsid w:val="002C09FB"/>
    <w:rsid w:val="002C3806"/>
    <w:rsid w:val="002C5432"/>
    <w:rsid w:val="002D0A10"/>
    <w:rsid w:val="002D103B"/>
    <w:rsid w:val="002D39D2"/>
    <w:rsid w:val="00301209"/>
    <w:rsid w:val="003048E1"/>
    <w:rsid w:val="00312575"/>
    <w:rsid w:val="00313483"/>
    <w:rsid w:val="00313609"/>
    <w:rsid w:val="00320E06"/>
    <w:rsid w:val="0032402F"/>
    <w:rsid w:val="00332F1D"/>
    <w:rsid w:val="003350FA"/>
    <w:rsid w:val="00340A56"/>
    <w:rsid w:val="00343D89"/>
    <w:rsid w:val="00350297"/>
    <w:rsid w:val="00364ECF"/>
    <w:rsid w:val="003674AB"/>
    <w:rsid w:val="00376AF2"/>
    <w:rsid w:val="00386BE7"/>
    <w:rsid w:val="003C00AA"/>
    <w:rsid w:val="003E1B42"/>
    <w:rsid w:val="003E5D6F"/>
    <w:rsid w:val="00402DBA"/>
    <w:rsid w:val="00404E04"/>
    <w:rsid w:val="00412A0C"/>
    <w:rsid w:val="0041563D"/>
    <w:rsid w:val="0041671B"/>
    <w:rsid w:val="004251B6"/>
    <w:rsid w:val="00434C7C"/>
    <w:rsid w:val="00435EC6"/>
    <w:rsid w:val="00463693"/>
    <w:rsid w:val="00470A6B"/>
    <w:rsid w:val="00485A04"/>
    <w:rsid w:val="004A0ABE"/>
    <w:rsid w:val="004F276F"/>
    <w:rsid w:val="004F424D"/>
    <w:rsid w:val="00500E4E"/>
    <w:rsid w:val="005136D4"/>
    <w:rsid w:val="00513909"/>
    <w:rsid w:val="00536B18"/>
    <w:rsid w:val="00545152"/>
    <w:rsid w:val="00550322"/>
    <w:rsid w:val="0058348B"/>
    <w:rsid w:val="00586546"/>
    <w:rsid w:val="00587114"/>
    <w:rsid w:val="005923EC"/>
    <w:rsid w:val="005A7303"/>
    <w:rsid w:val="005A7A67"/>
    <w:rsid w:val="005B1781"/>
    <w:rsid w:val="005F13EA"/>
    <w:rsid w:val="00614E3E"/>
    <w:rsid w:val="0061690C"/>
    <w:rsid w:val="00625457"/>
    <w:rsid w:val="00632A8E"/>
    <w:rsid w:val="006372C0"/>
    <w:rsid w:val="0063747D"/>
    <w:rsid w:val="00637535"/>
    <w:rsid w:val="00645334"/>
    <w:rsid w:val="00650E61"/>
    <w:rsid w:val="006625C2"/>
    <w:rsid w:val="00665E59"/>
    <w:rsid w:val="0066754A"/>
    <w:rsid w:val="00671C9A"/>
    <w:rsid w:val="00677B49"/>
    <w:rsid w:val="00692715"/>
    <w:rsid w:val="00697D9D"/>
    <w:rsid w:val="006A31E2"/>
    <w:rsid w:val="006B34C0"/>
    <w:rsid w:val="006B59DF"/>
    <w:rsid w:val="006C2097"/>
    <w:rsid w:val="006C521C"/>
    <w:rsid w:val="006D21B8"/>
    <w:rsid w:val="006E1C64"/>
    <w:rsid w:val="006E5553"/>
    <w:rsid w:val="007048B0"/>
    <w:rsid w:val="00711CF7"/>
    <w:rsid w:val="00714DE4"/>
    <w:rsid w:val="00732284"/>
    <w:rsid w:val="0073795C"/>
    <w:rsid w:val="0074176B"/>
    <w:rsid w:val="0074489E"/>
    <w:rsid w:val="0074490D"/>
    <w:rsid w:val="0075137D"/>
    <w:rsid w:val="007532FE"/>
    <w:rsid w:val="00753E11"/>
    <w:rsid w:val="00764646"/>
    <w:rsid w:val="007847DA"/>
    <w:rsid w:val="00797768"/>
    <w:rsid w:val="007A09A8"/>
    <w:rsid w:val="007B3EAF"/>
    <w:rsid w:val="007B7233"/>
    <w:rsid w:val="007C6059"/>
    <w:rsid w:val="007D425F"/>
    <w:rsid w:val="007E4E8A"/>
    <w:rsid w:val="0081524E"/>
    <w:rsid w:val="00821E14"/>
    <w:rsid w:val="0083527E"/>
    <w:rsid w:val="0083630D"/>
    <w:rsid w:val="008407C5"/>
    <w:rsid w:val="00864839"/>
    <w:rsid w:val="00882DDD"/>
    <w:rsid w:val="00891CF8"/>
    <w:rsid w:val="008B21F2"/>
    <w:rsid w:val="008B6F9E"/>
    <w:rsid w:val="008C12B2"/>
    <w:rsid w:val="008C1FCC"/>
    <w:rsid w:val="008C2C54"/>
    <w:rsid w:val="008C7E89"/>
    <w:rsid w:val="008F4233"/>
    <w:rsid w:val="009150AC"/>
    <w:rsid w:val="00967990"/>
    <w:rsid w:val="009716C8"/>
    <w:rsid w:val="00972DE6"/>
    <w:rsid w:val="00990066"/>
    <w:rsid w:val="00995F29"/>
    <w:rsid w:val="009A324D"/>
    <w:rsid w:val="009A5AB0"/>
    <w:rsid w:val="009A638C"/>
    <w:rsid w:val="009C20D4"/>
    <w:rsid w:val="009E02B9"/>
    <w:rsid w:val="00A12765"/>
    <w:rsid w:val="00A137CD"/>
    <w:rsid w:val="00A26764"/>
    <w:rsid w:val="00A34780"/>
    <w:rsid w:val="00A73810"/>
    <w:rsid w:val="00A73EA2"/>
    <w:rsid w:val="00A81349"/>
    <w:rsid w:val="00A85C66"/>
    <w:rsid w:val="00A862F8"/>
    <w:rsid w:val="00A86DA6"/>
    <w:rsid w:val="00A91644"/>
    <w:rsid w:val="00AB3944"/>
    <w:rsid w:val="00AE5CF3"/>
    <w:rsid w:val="00B11105"/>
    <w:rsid w:val="00B17D53"/>
    <w:rsid w:val="00B3571E"/>
    <w:rsid w:val="00B37462"/>
    <w:rsid w:val="00B40854"/>
    <w:rsid w:val="00B603C4"/>
    <w:rsid w:val="00B6550C"/>
    <w:rsid w:val="00B679BC"/>
    <w:rsid w:val="00B8639F"/>
    <w:rsid w:val="00B922C7"/>
    <w:rsid w:val="00BA11C8"/>
    <w:rsid w:val="00BD028A"/>
    <w:rsid w:val="00BD5B56"/>
    <w:rsid w:val="00BE39C6"/>
    <w:rsid w:val="00BE51E9"/>
    <w:rsid w:val="00BE5605"/>
    <w:rsid w:val="00C16D55"/>
    <w:rsid w:val="00C252C7"/>
    <w:rsid w:val="00C320BF"/>
    <w:rsid w:val="00C57F97"/>
    <w:rsid w:val="00C74E07"/>
    <w:rsid w:val="00C84E1D"/>
    <w:rsid w:val="00C95CF3"/>
    <w:rsid w:val="00CA2917"/>
    <w:rsid w:val="00CB2B39"/>
    <w:rsid w:val="00CB329A"/>
    <w:rsid w:val="00CB33B8"/>
    <w:rsid w:val="00CB5E58"/>
    <w:rsid w:val="00CB610F"/>
    <w:rsid w:val="00CC6122"/>
    <w:rsid w:val="00CD1643"/>
    <w:rsid w:val="00CD1BA1"/>
    <w:rsid w:val="00CD2843"/>
    <w:rsid w:val="00CE2C20"/>
    <w:rsid w:val="00CE731F"/>
    <w:rsid w:val="00CF5FCB"/>
    <w:rsid w:val="00D11952"/>
    <w:rsid w:val="00D31CEF"/>
    <w:rsid w:val="00D321A5"/>
    <w:rsid w:val="00D500C0"/>
    <w:rsid w:val="00D62151"/>
    <w:rsid w:val="00DB13F1"/>
    <w:rsid w:val="00DB754F"/>
    <w:rsid w:val="00DB77EF"/>
    <w:rsid w:val="00DD0C16"/>
    <w:rsid w:val="00DE5DE0"/>
    <w:rsid w:val="00DE6BB2"/>
    <w:rsid w:val="00DF7D7B"/>
    <w:rsid w:val="00E01C35"/>
    <w:rsid w:val="00E04F2D"/>
    <w:rsid w:val="00E172E5"/>
    <w:rsid w:val="00E423EA"/>
    <w:rsid w:val="00E62AB0"/>
    <w:rsid w:val="00E632CD"/>
    <w:rsid w:val="00E63AC3"/>
    <w:rsid w:val="00E76272"/>
    <w:rsid w:val="00E76FBC"/>
    <w:rsid w:val="00E80682"/>
    <w:rsid w:val="00E90D23"/>
    <w:rsid w:val="00E924EB"/>
    <w:rsid w:val="00E95083"/>
    <w:rsid w:val="00E955D5"/>
    <w:rsid w:val="00EA4AC2"/>
    <w:rsid w:val="00EC48B2"/>
    <w:rsid w:val="00EC57B6"/>
    <w:rsid w:val="00EC772D"/>
    <w:rsid w:val="00EE28C9"/>
    <w:rsid w:val="00EE3BC9"/>
    <w:rsid w:val="00EE62BA"/>
    <w:rsid w:val="00EE784F"/>
    <w:rsid w:val="00EF0763"/>
    <w:rsid w:val="00EF3BEC"/>
    <w:rsid w:val="00F029EE"/>
    <w:rsid w:val="00F052EB"/>
    <w:rsid w:val="00F130C0"/>
    <w:rsid w:val="00F157CC"/>
    <w:rsid w:val="00F20F5E"/>
    <w:rsid w:val="00F371DF"/>
    <w:rsid w:val="00F37DE5"/>
    <w:rsid w:val="00F6482F"/>
    <w:rsid w:val="00F711D3"/>
    <w:rsid w:val="00F73C5F"/>
    <w:rsid w:val="00F81376"/>
    <w:rsid w:val="00F97246"/>
    <w:rsid w:val="00FA4A92"/>
    <w:rsid w:val="00FE6D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D331AD"/>
  <w15:chartTrackingRefBased/>
  <w15:docId w15:val="{E616CC15-68D0-402A-9EF2-0C30DD47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BodyText">
    <w:name w:val="Body Text"/>
    <w:basedOn w:val="Normal"/>
    <w:pPr>
      <w:widowControl/>
    </w:pPr>
    <w:rPr>
      <w:rFonts w:ascii="Times New Roman" w:hAnsi="Times New Roman"/>
      <w:szCs w:val="20"/>
    </w:rPr>
  </w:style>
  <w:style w:type="character" w:styleId="PageNumber">
    <w:name w:val="page number"/>
    <w:basedOn w:val="DefaultParagraphFont"/>
  </w:style>
  <w:style w:type="paragraph" w:styleId="BalloonText">
    <w:name w:val="Balloon Text"/>
    <w:basedOn w:val="Normal"/>
    <w:semiHidden/>
    <w:rsid w:val="00470A6B"/>
    <w:rPr>
      <w:rFonts w:ascii="Tahoma" w:hAnsi="Tahoma" w:cs="Tahoma"/>
      <w:sz w:val="16"/>
      <w:szCs w:val="16"/>
    </w:rPr>
  </w:style>
  <w:style w:type="character" w:styleId="CommentReference">
    <w:name w:val="annotation reference"/>
    <w:semiHidden/>
    <w:rsid w:val="009A5AB0"/>
    <w:rPr>
      <w:sz w:val="16"/>
      <w:szCs w:val="16"/>
    </w:rPr>
  </w:style>
  <w:style w:type="paragraph" w:styleId="CommentText">
    <w:name w:val="annotation text"/>
    <w:basedOn w:val="Normal"/>
    <w:semiHidden/>
    <w:rsid w:val="009A5AB0"/>
    <w:rPr>
      <w:sz w:val="20"/>
      <w:szCs w:val="20"/>
    </w:rPr>
  </w:style>
  <w:style w:type="paragraph" w:styleId="CommentSubject">
    <w:name w:val="annotation subject"/>
    <w:basedOn w:val="CommentText"/>
    <w:next w:val="CommentText"/>
    <w:semiHidden/>
    <w:rsid w:val="009A5AB0"/>
    <w:rPr>
      <w:b/>
      <w:bCs/>
    </w:rPr>
  </w:style>
  <w:style w:type="paragraph" w:styleId="FootnoteText">
    <w:name w:val="footnote text"/>
    <w:basedOn w:val="Normal"/>
    <w:semiHidden/>
    <w:rsid w:val="00513909"/>
    <w:rPr>
      <w:sz w:val="20"/>
      <w:szCs w:val="20"/>
    </w:rPr>
  </w:style>
  <w:style w:type="paragraph" w:styleId="Revision">
    <w:name w:val="Revision"/>
    <w:hidden/>
    <w:uiPriority w:val="99"/>
    <w:semiHidden/>
    <w:rsid w:val="00215957"/>
    <w:rPr>
      <w:rFonts w:ascii="Courier" w:hAnsi="Courier"/>
      <w:sz w:val="24"/>
      <w:szCs w:val="24"/>
    </w:rPr>
  </w:style>
  <w:style w:type="character" w:styleId="Hyperlink">
    <w:name w:val="Hyperlink"/>
    <w:basedOn w:val="DefaultParagraphFont"/>
    <w:rsid w:val="00CB610F"/>
    <w:rPr>
      <w:color w:val="0563C1" w:themeColor="hyperlink"/>
      <w:u w:val="single"/>
    </w:rPr>
  </w:style>
  <w:style w:type="character" w:styleId="UnresolvedMention">
    <w:name w:val="Unresolved Mention"/>
    <w:basedOn w:val="DefaultParagraphFont"/>
    <w:uiPriority w:val="99"/>
    <w:semiHidden/>
    <w:unhideWhenUsed/>
    <w:rsid w:val="00CB610F"/>
    <w:rPr>
      <w:color w:val="605E5C"/>
      <w:shd w:val="clear" w:color="auto" w:fill="E1DFDD"/>
    </w:rPr>
  </w:style>
  <w:style w:type="table" w:styleId="TableGrid">
    <w:name w:val="Table Grid"/>
    <w:basedOn w:val="TableNormal"/>
    <w:rsid w:val="0041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4A611-528D-404F-A805-661EC15B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9</Pages>
  <Words>3086</Words>
  <Characters>17350</Characters>
  <Application>Microsoft Office Word</Application>
  <DocSecurity>0</DocSecurity>
  <Lines>403</Lines>
  <Paragraphs>137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Laurie R. Altman</dc:creator>
  <cp:lastModifiedBy>Joseph Ramsey</cp:lastModifiedBy>
  <cp:revision>38</cp:revision>
  <cp:lastPrinted>2010-07-06T17:57:00Z</cp:lastPrinted>
  <dcterms:created xsi:type="dcterms:W3CDTF">2023-04-10T18:01:00Z</dcterms:created>
  <dcterms:modified xsi:type="dcterms:W3CDTF">2026-03-30T11:14:00Z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c871a9b6-743b-4e4e-a02d-a810f92f465a</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2023-04-07T20:01:01Z</vt:lpwstr>
  </property>
  <property fmtid="{D5CDD505-2E9C-101B-9397-08002B2CF9AE}" pid="8" name="MSIP_Label_5d78b2ef-7ec2-484b-9195-1d837d645e4c_SiteId">
    <vt:lpwstr>75a63054-7204-4e0c-9126-adab971d4aca</vt:lpwstr>
  </property>
</Properties>
</file>