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160621" w14:paraId="670B57C7" w14:textId="505F57C0">
      <w:pPr>
        <w:pStyle w:val="ReportCover-Title"/>
        <w:jc w:val="center"/>
        <w:rPr>
          <w:rFonts w:ascii="Arial" w:hAnsi="Arial" w:cs="Arial"/>
          <w:color w:val="auto"/>
        </w:rPr>
      </w:pPr>
      <w:r w:rsidRPr="004F7B95">
        <w:rPr>
          <w:rFonts w:ascii="Times New Roman" w:hAnsi="Times New Roman"/>
          <w:sz w:val="24"/>
          <w:szCs w:val="24"/>
        </w:rPr>
        <w:tab/>
      </w:r>
      <w:r w:rsidRPr="00FC6AAD" w:rsidR="00FC6AAD">
        <w:rPr>
          <w:rFonts w:ascii="Arial" w:eastAsia="Arial Unicode MS" w:hAnsi="Arial" w:cs="Arial"/>
          <w:noProof/>
          <w:color w:val="auto"/>
        </w:rPr>
        <w:t xml:space="preserve">Administration of Psychotropic Medication to Unaccompanied </w:t>
      </w:r>
      <w:r w:rsidR="007522FC">
        <w:rPr>
          <w:rFonts w:ascii="Arial" w:eastAsia="Arial Unicode MS" w:hAnsi="Arial" w:cs="Arial"/>
          <w:noProof/>
          <w:color w:val="auto"/>
        </w:rPr>
        <w:t xml:space="preserve">Alien </w:t>
      </w:r>
      <w:r w:rsidRPr="00FC6AAD" w:rsidR="00FC6AAD">
        <w:rPr>
          <w:rFonts w:ascii="Arial" w:eastAsia="Arial Unicode MS" w:hAnsi="Arial" w:cs="Arial"/>
          <w:noProof/>
          <w:color w:val="auto"/>
        </w:rPr>
        <w:t>Children</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7FBC961B">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w:t>
      </w:r>
      <w:r w:rsidR="007A5637">
        <w:rPr>
          <w:rFonts w:ascii="Arial" w:hAnsi="Arial" w:cs="Arial"/>
          <w:color w:val="auto"/>
          <w:sz w:val="32"/>
          <w:szCs w:val="32"/>
        </w:rPr>
        <w:t>–</w:t>
      </w:r>
      <w:r w:rsidRPr="00160621">
        <w:rPr>
          <w:rFonts w:ascii="Arial" w:hAnsi="Arial" w:cs="Arial"/>
          <w:color w:val="auto"/>
          <w:sz w:val="32"/>
          <w:szCs w:val="32"/>
        </w:rPr>
        <w:t xml:space="preserve"> </w:t>
      </w:r>
      <w:r w:rsidR="007A5637">
        <w:rPr>
          <w:rFonts w:ascii="Arial" w:hAnsi="Arial" w:cs="Arial"/>
          <w:color w:val="auto"/>
          <w:sz w:val="32"/>
          <w:szCs w:val="32"/>
        </w:rPr>
        <w:t>0641</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4CB0C348">
      <w:pPr>
        <w:pStyle w:val="ReportCover-Date"/>
        <w:jc w:val="center"/>
        <w:rPr>
          <w:rFonts w:ascii="Arial" w:hAnsi="Arial" w:cs="Arial"/>
          <w:color w:val="auto"/>
        </w:rPr>
      </w:pPr>
      <w:r>
        <w:rPr>
          <w:rFonts w:ascii="Arial" w:hAnsi="Arial" w:cs="Arial"/>
          <w:color w:val="auto"/>
        </w:rPr>
        <w:t>November</w:t>
      </w:r>
      <w:r w:rsidRPr="7B0E0B3A" w:rsidR="00402D24">
        <w:rPr>
          <w:rFonts w:ascii="Arial" w:hAnsi="Arial" w:cs="Arial"/>
          <w:color w:val="auto"/>
        </w:rPr>
        <w:t xml:space="preserve"> </w:t>
      </w:r>
      <w:r>
        <w:rPr>
          <w:rFonts w:ascii="Arial" w:hAnsi="Arial" w:cs="Arial"/>
          <w:color w:val="auto"/>
        </w:rPr>
        <w:t>2024</w:t>
      </w:r>
      <w:r w:rsidR="007522FC">
        <w:rPr>
          <w:rFonts w:ascii="Arial" w:hAnsi="Arial" w:cs="Arial"/>
          <w:color w:val="auto"/>
        </w:rPr>
        <w:t xml:space="preserve">; Updated March </w:t>
      </w:r>
      <w:r w:rsidR="00CB0F1B">
        <w:rPr>
          <w:rFonts w:ascii="Arial" w:hAnsi="Arial" w:cs="Arial"/>
          <w:color w:val="auto"/>
        </w:rPr>
        <w:t>19</w:t>
      </w:r>
      <w:r w:rsidR="007522FC">
        <w:rPr>
          <w:rFonts w:ascii="Arial" w:hAnsi="Arial" w:cs="Arial"/>
          <w:color w:val="auto"/>
        </w:rPr>
        <w:t>, 2026</w:t>
      </w:r>
    </w:p>
    <w:p w:rsidR="00160621" w:rsidP="7B0E0B3A" w14:paraId="753A1E04" w14:textId="2EB21576">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New</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5D9E1F41">
      <w:pPr>
        <w:jc w:val="center"/>
        <w:rPr>
          <w:rFonts w:ascii="Arial" w:hAnsi="Arial" w:cs="Arial"/>
        </w:rPr>
      </w:pPr>
      <w:r>
        <w:rPr>
          <w:rFonts w:ascii="Arial" w:hAnsi="Arial" w:cs="Arial"/>
        </w:rPr>
        <w:t>Office of Refugee Resettlement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06577B" w:rsidRPr="00CE02EF" w:rsidP="00CE02EF" w14:paraId="2F1D098E" w14:textId="5738EC4E">
      <w:pPr>
        <w:spacing w:after="120"/>
        <w:jc w:val="center"/>
        <w:rPr>
          <w:rFonts w:asciiTheme="majorBidi" w:hAnsiTheme="majorBidi" w:cstheme="majorBidi"/>
          <w:b/>
          <w:bCs/>
          <w:sz w:val="24"/>
          <w:szCs w:val="22"/>
        </w:rPr>
      </w:pPr>
      <w:r w:rsidRPr="00CE02EF">
        <w:rPr>
          <w:rFonts w:asciiTheme="majorBidi" w:hAnsiTheme="majorBidi" w:cstheme="majorBidi"/>
          <w:b/>
          <w:bCs/>
          <w:sz w:val="24"/>
          <w:szCs w:val="22"/>
        </w:rPr>
        <w:t>Summary</w:t>
      </w:r>
    </w:p>
    <w:p w:rsidR="00414A0C" w:rsidRPr="00CE02EF" w:rsidP="6871F251" w14:paraId="2F9A64AC" w14:textId="2572C7D8">
      <w:pPr>
        <w:rPr>
          <w:rFonts w:asciiTheme="majorBidi" w:hAnsiTheme="majorBidi" w:cstheme="majorBidi"/>
        </w:rPr>
      </w:pPr>
      <w:r w:rsidRPr="6871F251">
        <w:rPr>
          <w:rFonts w:asciiTheme="majorBidi" w:hAnsiTheme="majorBidi" w:cstheme="majorBidi"/>
        </w:rPr>
        <w:t>On June 29, 2018, Plaintiffs filed their federal class action lawsuit in the Central District of California, western division, captioned</w:t>
      </w:r>
      <w:r w:rsidRPr="6871F251">
        <w:rPr>
          <w:rFonts w:asciiTheme="majorBidi" w:hAnsiTheme="majorBidi" w:cstheme="majorBidi"/>
          <w:i/>
          <w:iCs/>
        </w:rPr>
        <w:t xml:space="preserve"> Lucas R. et al v. Becerra et al </w:t>
      </w:r>
      <w:r w:rsidRPr="6871F251">
        <w:rPr>
          <w:rFonts w:asciiTheme="majorBidi" w:hAnsiTheme="majorBidi" w:cstheme="majorBidi"/>
        </w:rPr>
        <w:t xml:space="preserve">(Case No. 2:18-CV-05741 DMG PLA), asserting claims under the </w:t>
      </w:r>
      <w:r w:rsidR="006D6195">
        <w:rPr>
          <w:rFonts w:asciiTheme="majorBidi" w:hAnsiTheme="majorBidi" w:cstheme="majorBidi"/>
          <w:i/>
          <w:iCs/>
        </w:rPr>
        <w:t>Flores</w:t>
      </w:r>
      <w:r w:rsidRPr="6871F251" w:rsidR="006D6195">
        <w:rPr>
          <w:rFonts w:asciiTheme="majorBidi" w:hAnsiTheme="majorBidi" w:cstheme="majorBidi"/>
          <w:i/>
          <w:iCs/>
        </w:rPr>
        <w:t xml:space="preserve"> </w:t>
      </w:r>
      <w:r w:rsidRPr="6871F251">
        <w:rPr>
          <w:rFonts w:asciiTheme="majorBidi" w:hAnsiTheme="majorBidi" w:cstheme="majorBidi"/>
        </w:rPr>
        <w:t xml:space="preserve">consent decree, the Trafficking Victims </w:t>
      </w:r>
      <w:r w:rsidRPr="6871F251">
        <w:rPr>
          <w:rFonts w:asciiTheme="majorBidi" w:hAnsiTheme="majorBidi" w:cstheme="majorBidi"/>
        </w:rPr>
        <w:t>Protection Reauthorization</w:t>
      </w:r>
      <w:r w:rsidRPr="6871F251">
        <w:rPr>
          <w:rFonts w:asciiTheme="majorBidi" w:hAnsiTheme="majorBidi" w:cstheme="majorBidi"/>
        </w:rPr>
        <w:t xml:space="preserve"> Act</w:t>
      </w:r>
      <w:r w:rsidRPr="6871F251" w:rsidR="68CE4019">
        <w:rPr>
          <w:rFonts w:asciiTheme="majorBidi" w:hAnsiTheme="majorBidi" w:cstheme="majorBidi"/>
        </w:rPr>
        <w:t xml:space="preserve"> of 2008</w:t>
      </w:r>
      <w:r w:rsidRPr="6871F251">
        <w:rPr>
          <w:rFonts w:asciiTheme="majorBidi" w:hAnsiTheme="majorBidi" w:cstheme="majorBidi"/>
        </w:rPr>
        <w:t>, the Due Process clause, and the First Amendment.  Plaintiffs allege</w:t>
      </w:r>
      <w:r w:rsidRPr="6871F251" w:rsidR="5A5AFE3C">
        <w:rPr>
          <w:rFonts w:asciiTheme="majorBidi" w:hAnsiTheme="majorBidi" w:cstheme="majorBidi"/>
        </w:rPr>
        <w:t>d</w:t>
      </w:r>
      <w:r w:rsidRPr="6871F251">
        <w:rPr>
          <w:rFonts w:asciiTheme="majorBidi" w:hAnsiTheme="majorBidi" w:cstheme="majorBidi"/>
        </w:rPr>
        <w:t xml:space="preserve"> </w:t>
      </w:r>
      <w:r w:rsidRPr="6871F251" w:rsidR="11AC214B">
        <w:rPr>
          <w:rFonts w:asciiTheme="majorBidi" w:hAnsiTheme="majorBidi" w:cstheme="majorBidi"/>
        </w:rPr>
        <w:t xml:space="preserve">the </w:t>
      </w:r>
      <w:r w:rsidRPr="6871F251">
        <w:rPr>
          <w:rFonts w:asciiTheme="majorBidi" w:hAnsiTheme="majorBidi" w:cstheme="majorBidi"/>
        </w:rPr>
        <w:t xml:space="preserve">violation of unaccompanied </w:t>
      </w:r>
      <w:r w:rsidR="00AA293A">
        <w:rPr>
          <w:rFonts w:asciiTheme="majorBidi" w:hAnsiTheme="majorBidi" w:cstheme="majorBidi"/>
        </w:rPr>
        <w:t xml:space="preserve">alien </w:t>
      </w:r>
      <w:r w:rsidRPr="6871F251">
        <w:rPr>
          <w:rFonts w:asciiTheme="majorBidi" w:hAnsiTheme="majorBidi" w:cstheme="majorBidi"/>
        </w:rPr>
        <w:t xml:space="preserve">children rights in decisions regarding family reunification, placement in restrictive facilities, services for children with disabilities, administration of psychotropic medication, and access to legal assistance.  On May 3, 2024, the Court granted final approval for the settlement agreements of the Plaintiffs’ claims for disabilities, psychotropic medication, and legal assistance.  As part of the settlement agreement for the psychotropic medication claim, ORR is required, whenever possible, to obtain informed consent for the administration of psychotropic medication and provide certain information to the authorized </w:t>
      </w:r>
      <w:r w:rsidRPr="6871F251">
        <w:rPr>
          <w:rFonts w:asciiTheme="majorBidi" w:hAnsiTheme="majorBidi" w:cstheme="majorBidi"/>
        </w:rPr>
        <w:t>consenter</w:t>
      </w:r>
      <w:r w:rsidRPr="6871F251">
        <w:rPr>
          <w:rFonts w:asciiTheme="majorBidi" w:hAnsiTheme="majorBidi" w:cstheme="majorBidi"/>
        </w:rPr>
        <w:t xml:space="preserve">.  Additionally, ORR is required to provide a written notice and obtain informed assent or agreement from children aged 14 or older before administering psychotropic medication.  The psychotropic medication settlement agreement must be fully implemented by August 3, 2026, but data collection must be implemented by February 3, </w:t>
      </w:r>
      <w:r w:rsidRPr="6871F251">
        <w:rPr>
          <w:rFonts w:asciiTheme="majorBidi" w:hAnsiTheme="majorBidi" w:cstheme="majorBidi"/>
        </w:rPr>
        <w:t>2025</w:t>
      </w:r>
      <w:r w:rsidRPr="6871F251">
        <w:rPr>
          <w:rFonts w:asciiTheme="majorBidi" w:hAnsiTheme="majorBidi" w:cstheme="majorBidi"/>
        </w:rPr>
        <w:t xml:space="preserve"> to ensure compliance with the Agreement.</w:t>
      </w:r>
    </w:p>
    <w:p w:rsidR="00414A0C" w:rsidRPr="00CE02EF" w:rsidP="00CE02EF" w14:paraId="2B8C2A39" w14:textId="77777777">
      <w:pPr>
        <w:rPr>
          <w:rFonts w:asciiTheme="majorBidi" w:hAnsiTheme="majorBidi" w:cstheme="majorBidi"/>
        </w:rPr>
      </w:pPr>
    </w:p>
    <w:p w:rsidR="0006577B" w:rsidRPr="00CE02EF" w:rsidP="00CE02EF" w14:paraId="27456A09" w14:textId="77777777">
      <w:pPr>
        <w:rPr>
          <w:rFonts w:asciiTheme="majorBidi" w:hAnsiTheme="majorBidi" w:cstheme="majorBidi"/>
        </w:rPr>
      </w:pPr>
    </w:p>
    <w:p w:rsidR="002C3C4F" w:rsidRPr="00075889" w:rsidP="00075889" w14:paraId="2EEF9E04" w14:textId="77777777">
      <w:pPr>
        <w:widowControl/>
        <w:numPr>
          <w:ilvl w:val="0"/>
          <w:numId w:val="3"/>
        </w:numPr>
        <w:tabs>
          <w:tab w:val="num" w:pos="360"/>
        </w:tabs>
        <w:spacing w:after="120"/>
        <w:ind w:left="360"/>
        <w:rPr>
          <w:b/>
          <w:snapToGrid/>
          <w:sz w:val="24"/>
          <w:szCs w:val="24"/>
        </w:rPr>
      </w:pPr>
      <w:r w:rsidRPr="00CE02EF">
        <w:rPr>
          <w:rFonts w:asciiTheme="majorBidi" w:hAnsiTheme="majorBidi" w:cstheme="majorBidi"/>
          <w:b/>
          <w:snapToGrid/>
          <w:sz w:val="24"/>
          <w:szCs w:val="24"/>
        </w:rPr>
        <w:t xml:space="preserve">Circumstances Making the Collection of </w:t>
      </w:r>
      <w:r w:rsidRPr="00075889">
        <w:rPr>
          <w:b/>
          <w:snapToGrid/>
          <w:sz w:val="24"/>
          <w:szCs w:val="24"/>
        </w:rPr>
        <w:t xml:space="preserve">Information Necessary </w:t>
      </w:r>
    </w:p>
    <w:p w:rsidR="008A52ED" w:rsidP="008A52ED" w14:paraId="71CCEC3C" w14:textId="3EA10625">
      <w:pPr>
        <w:pStyle w:val="Default"/>
        <w:rPr>
          <w:rFonts w:ascii="Times New Roman" w:hAnsi="Times New Roman" w:cs="Times New Roman"/>
          <w:sz w:val="22"/>
          <w:szCs w:val="22"/>
        </w:rPr>
      </w:pPr>
      <w:r w:rsidRPr="6871F251">
        <w:rPr>
          <w:rFonts w:ascii="Times New Roman" w:hAnsi="Times New Roman" w:cs="Times New Roman"/>
          <w:sz w:val="22"/>
          <w:szCs w:val="22"/>
        </w:rPr>
        <w:t xml:space="preserve">The Office of Refugee Resettlement (ORR) Unaccompanied </w:t>
      </w:r>
      <w:r w:rsidR="00AA293A">
        <w:rPr>
          <w:rFonts w:ascii="Times New Roman" w:hAnsi="Times New Roman" w:cs="Times New Roman"/>
          <w:sz w:val="22"/>
          <w:szCs w:val="22"/>
        </w:rPr>
        <w:t>A</w:t>
      </w:r>
      <w:r w:rsidR="00AA293A">
        <w:rPr>
          <w:rFonts w:asciiTheme="majorBidi" w:hAnsiTheme="majorBidi" w:cstheme="majorBidi"/>
        </w:rPr>
        <w:t xml:space="preserve">lien </w:t>
      </w:r>
      <w:r w:rsidRPr="6871F251">
        <w:rPr>
          <w:rFonts w:ascii="Times New Roman" w:hAnsi="Times New Roman" w:cs="Times New Roman"/>
          <w:sz w:val="22"/>
          <w:szCs w:val="22"/>
        </w:rPr>
        <w:t>Children (U</w:t>
      </w:r>
      <w:r w:rsidR="00AA293A">
        <w:rPr>
          <w:rFonts w:ascii="Times New Roman" w:hAnsi="Times New Roman" w:cs="Times New Roman"/>
          <w:sz w:val="22"/>
          <w:szCs w:val="22"/>
        </w:rPr>
        <w:t>A</w:t>
      </w:r>
      <w:r w:rsidRPr="6871F251">
        <w:rPr>
          <w:rFonts w:ascii="Times New Roman" w:hAnsi="Times New Roman" w:cs="Times New Roman"/>
          <w:sz w:val="22"/>
          <w:szCs w:val="22"/>
        </w:rPr>
        <w:t xml:space="preserve">C) Bureau provides care and custody for unaccompanied </w:t>
      </w:r>
      <w:r w:rsidR="009870C7">
        <w:rPr>
          <w:rFonts w:asciiTheme="majorBidi" w:hAnsiTheme="majorBidi" w:cstheme="majorBidi"/>
        </w:rPr>
        <w:t xml:space="preserve">alien </w:t>
      </w:r>
      <w:r w:rsidRPr="6871F251">
        <w:rPr>
          <w:rFonts w:ascii="Times New Roman" w:hAnsi="Times New Roman" w:cs="Times New Roman"/>
          <w:sz w:val="22"/>
          <w:szCs w:val="22"/>
        </w:rPr>
        <w:t>children until they can be safely released to a sponsor, repatriated to their home country, or obtain legal status. ORR funds residential care provider facilities that provide temporary housing and other services to children in ORR custody. Generally, care provider facilities are State- licensed (with the exception of those located in states unwilling to consider them for licensure</w:t>
      </w:r>
      <w:r w:rsidRPr="6871F251" w:rsidR="65E8BF4D">
        <w:rPr>
          <w:rFonts w:ascii="Times New Roman" w:hAnsi="Times New Roman" w:cs="Times New Roman"/>
          <w:sz w:val="22"/>
          <w:szCs w:val="22"/>
        </w:rPr>
        <w:t xml:space="preserve"> because they serve unaccompanied </w:t>
      </w:r>
      <w:r w:rsidR="009870C7">
        <w:rPr>
          <w:rFonts w:asciiTheme="majorBidi" w:hAnsiTheme="majorBidi" w:cstheme="majorBidi"/>
        </w:rPr>
        <w:t xml:space="preserve">alien </w:t>
      </w:r>
      <w:r w:rsidRPr="6871F251" w:rsidR="65E8BF4D">
        <w:rPr>
          <w:rFonts w:ascii="Times New Roman" w:hAnsi="Times New Roman" w:cs="Times New Roman"/>
          <w:sz w:val="22"/>
          <w:szCs w:val="22"/>
        </w:rPr>
        <w:t>children</w:t>
      </w:r>
      <w:r w:rsidRPr="6871F251">
        <w:rPr>
          <w:rFonts w:ascii="Times New Roman" w:hAnsi="Times New Roman" w:cs="Times New Roman"/>
          <w:sz w:val="22"/>
          <w:szCs w:val="22"/>
        </w:rPr>
        <w:t xml:space="preserve"> </w:t>
      </w:r>
      <w:r w:rsidRPr="6871F251" w:rsidR="00270D78">
        <w:rPr>
          <w:rFonts w:ascii="Times New Roman" w:hAnsi="Times New Roman" w:cs="Times New Roman"/>
          <w:sz w:val="22"/>
          <w:szCs w:val="22"/>
        </w:rPr>
        <w:t>and Emergency</w:t>
      </w:r>
      <w:r w:rsidRPr="6871F251" w:rsidR="662C67B4">
        <w:rPr>
          <w:rFonts w:ascii="Times New Roman" w:hAnsi="Times New Roman" w:cs="Times New Roman"/>
          <w:sz w:val="22"/>
          <w:szCs w:val="22"/>
        </w:rPr>
        <w:t xml:space="preserve"> or Influx Facilities</w:t>
      </w:r>
      <w:r w:rsidRPr="6871F251">
        <w:rPr>
          <w:rFonts w:ascii="Times New Roman" w:hAnsi="Times New Roman" w:cs="Times New Roman"/>
          <w:sz w:val="22"/>
          <w:szCs w:val="22"/>
        </w:rPr>
        <w:t xml:space="preserve">) and must meet ORR requirements to ensure a high-level quality of care. Services provided at care provider facilities include, but are not limited to, education, recreation, vocational training, acculturation, nutrition, medical, mental health, legal, and case management. </w:t>
      </w:r>
    </w:p>
    <w:p w:rsidR="008A52ED" w:rsidP="008A52ED" w14:paraId="5D8F9D3A" w14:textId="77777777">
      <w:pPr>
        <w:pStyle w:val="Default"/>
        <w:rPr>
          <w:rFonts w:ascii="Times New Roman" w:hAnsi="Times New Roman" w:cs="Times New Roman"/>
          <w:sz w:val="22"/>
          <w:szCs w:val="22"/>
        </w:rPr>
      </w:pPr>
    </w:p>
    <w:p w:rsidR="008A52ED" w:rsidP="008A52ED" w14:paraId="698F9568" w14:textId="451DD25C">
      <w:pPr>
        <w:pStyle w:val="Default"/>
        <w:rPr>
          <w:rFonts w:ascii="Times New Roman" w:hAnsi="Times New Roman" w:cs="Times New Roman"/>
          <w:color w:val="211D1E"/>
          <w:sz w:val="22"/>
          <w:szCs w:val="22"/>
        </w:rPr>
      </w:pPr>
      <w:r w:rsidRPr="0005501A">
        <w:rPr>
          <w:rFonts w:ascii="Times New Roman" w:hAnsi="Times New Roman" w:cs="Times New Roman"/>
          <w:sz w:val="22"/>
          <w:szCs w:val="22"/>
        </w:rPr>
        <w:t xml:space="preserve">ORR uses several instruments directly related to the care of unaccompanied </w:t>
      </w:r>
      <w:r w:rsidR="009870C7">
        <w:rPr>
          <w:rFonts w:asciiTheme="majorBidi" w:hAnsiTheme="majorBidi" w:cstheme="majorBidi"/>
        </w:rPr>
        <w:t xml:space="preserve">alien </w:t>
      </w:r>
      <w:r w:rsidRPr="0005501A">
        <w:rPr>
          <w:rFonts w:ascii="Times New Roman" w:hAnsi="Times New Roman" w:cs="Times New Roman"/>
          <w:sz w:val="22"/>
          <w:szCs w:val="22"/>
        </w:rPr>
        <w:t>children.</w:t>
      </w:r>
      <w:r>
        <w:rPr>
          <w:rFonts w:ascii="Times New Roman" w:hAnsi="Times New Roman" w:cs="Times New Roman"/>
          <w:sz w:val="22"/>
          <w:szCs w:val="22"/>
        </w:rPr>
        <w:t xml:space="preserve"> The instruments in this information collection </w:t>
      </w:r>
      <w:r w:rsidRPr="00B74C5C">
        <w:rPr>
          <w:rFonts w:ascii="Times New Roman" w:hAnsi="Times New Roman" w:cs="Times New Roman"/>
          <w:color w:val="211D1E"/>
          <w:sz w:val="22"/>
          <w:szCs w:val="22"/>
        </w:rPr>
        <w:t xml:space="preserve">allow ORR to </w:t>
      </w:r>
      <w:r w:rsidR="002A59BC">
        <w:rPr>
          <w:rFonts w:ascii="Times New Roman" w:hAnsi="Times New Roman" w:cs="Times New Roman"/>
          <w:color w:val="211D1E"/>
          <w:sz w:val="22"/>
          <w:szCs w:val="22"/>
        </w:rPr>
        <w:t>o</w:t>
      </w:r>
      <w:r w:rsidRPr="002A59BC" w:rsidR="002A59BC">
        <w:rPr>
          <w:rFonts w:ascii="Times New Roman" w:hAnsi="Times New Roman" w:cs="Times New Roman"/>
          <w:color w:val="211D1E"/>
          <w:sz w:val="22"/>
          <w:szCs w:val="22"/>
        </w:rPr>
        <w:t xml:space="preserve">btain informed consent from authorized consenters and informed assent or agreement from unaccompanied </w:t>
      </w:r>
      <w:r w:rsidR="009870C7">
        <w:rPr>
          <w:rFonts w:asciiTheme="majorBidi" w:hAnsiTheme="majorBidi" w:cstheme="majorBidi"/>
        </w:rPr>
        <w:t xml:space="preserve">alien </w:t>
      </w:r>
      <w:r w:rsidRPr="002A59BC" w:rsidR="002A59BC">
        <w:rPr>
          <w:rFonts w:ascii="Times New Roman" w:hAnsi="Times New Roman" w:cs="Times New Roman"/>
          <w:color w:val="211D1E"/>
          <w:sz w:val="22"/>
          <w:szCs w:val="22"/>
        </w:rPr>
        <w:t>children for the administration of psychotropic medication</w:t>
      </w:r>
      <w:r w:rsidR="00BF20A9">
        <w:rPr>
          <w:rFonts w:ascii="Times New Roman" w:hAnsi="Times New Roman" w:cs="Times New Roman"/>
          <w:color w:val="211D1E"/>
          <w:sz w:val="22"/>
          <w:szCs w:val="22"/>
        </w:rPr>
        <w:t>.</w:t>
      </w:r>
    </w:p>
    <w:p w:rsidR="008A52ED" w:rsidP="008A52ED" w14:paraId="4463A0BB" w14:textId="77777777">
      <w:pPr>
        <w:widowControl/>
        <w:tabs>
          <w:tab w:val="num" w:pos="360"/>
        </w:tabs>
        <w:ind w:left="360"/>
        <w:rPr>
          <w:snapToGrid/>
          <w:szCs w:val="22"/>
        </w:rPr>
      </w:pPr>
    </w:p>
    <w:p w:rsidR="008A52ED" w:rsidRPr="00044735" w:rsidP="008A52ED" w14:paraId="3D19F9A1" w14:textId="77777777">
      <w:pPr>
        <w:widowControl/>
        <w:tabs>
          <w:tab w:val="num" w:pos="360"/>
        </w:tabs>
        <w:spacing w:after="120"/>
        <w:rPr>
          <w:snapToGrid/>
          <w:szCs w:val="24"/>
          <w:u w:val="single"/>
        </w:rPr>
      </w:pPr>
      <w:r w:rsidRPr="00044735">
        <w:rPr>
          <w:b/>
          <w:bCs/>
          <w:snapToGrid/>
          <w:szCs w:val="24"/>
          <w:u w:val="single"/>
        </w:rPr>
        <w:t>Legal Authorities</w:t>
      </w:r>
    </w:p>
    <w:p w:rsidR="008A52ED" w:rsidRPr="00D330E6" w:rsidP="008A52ED" w14:paraId="288A6B35" w14:textId="132402FE">
      <w:pPr>
        <w:pStyle w:val="CM16"/>
        <w:rPr>
          <w:rFonts w:ascii="Times New Roman" w:hAnsi="Times New Roman" w:cs="Times New Roman"/>
          <w:color w:val="211D1E"/>
          <w:sz w:val="22"/>
          <w:szCs w:val="20"/>
        </w:rPr>
      </w:pPr>
      <w:r w:rsidRPr="00044735">
        <w:rPr>
          <w:rFonts w:ascii="Times New Roman" w:hAnsi="Times New Roman" w:cs="Times New Roman"/>
          <w:b/>
          <w:bCs/>
          <w:color w:val="211D1E"/>
          <w:sz w:val="22"/>
          <w:szCs w:val="20"/>
        </w:rPr>
        <w:t>Homeland Security Act (HSA), 6 U.S.C. 279</w:t>
      </w:r>
      <w:r>
        <w:rPr>
          <w:rFonts w:ascii="Times New Roman" w:hAnsi="Times New Roman" w:cs="Times New Roman"/>
          <w:color w:val="211D1E"/>
          <w:sz w:val="22"/>
          <w:szCs w:val="20"/>
        </w:rPr>
        <w:t xml:space="preserve"> – T</w:t>
      </w:r>
      <w:r w:rsidRPr="00D330E6">
        <w:rPr>
          <w:rFonts w:ascii="Times New Roman" w:hAnsi="Times New Roman" w:cs="Times New Roman"/>
          <w:color w:val="211D1E"/>
          <w:sz w:val="22"/>
          <w:szCs w:val="20"/>
        </w:rPr>
        <w:t xml:space="preserve">ransferred responsibilities for the care and placement of unaccompanied </w:t>
      </w:r>
      <w:r w:rsidR="009870C7">
        <w:rPr>
          <w:rFonts w:asciiTheme="majorBidi" w:hAnsiTheme="majorBidi" w:cstheme="majorBidi"/>
        </w:rPr>
        <w:t xml:space="preserve">alien </w:t>
      </w:r>
      <w:r w:rsidRPr="00D330E6">
        <w:rPr>
          <w:rFonts w:ascii="Times New Roman" w:hAnsi="Times New Roman" w:cs="Times New Roman"/>
          <w:color w:val="211D1E"/>
          <w:sz w:val="22"/>
          <w:szCs w:val="20"/>
        </w:rPr>
        <w:t xml:space="preserve">children from the Commissioner of the former Immigration and Naturalization Service (INS) to the Director of ORR. </w:t>
      </w:r>
    </w:p>
    <w:p w:rsidR="008A52ED" w:rsidRPr="00D330E6" w:rsidP="008A52ED" w14:paraId="613FA24C" w14:textId="77777777">
      <w:pPr>
        <w:pStyle w:val="Default"/>
        <w:rPr>
          <w:rFonts w:ascii="Times New Roman" w:hAnsi="Times New Roman" w:cs="Times New Roman"/>
          <w:sz w:val="22"/>
          <w:szCs w:val="20"/>
        </w:rPr>
      </w:pPr>
    </w:p>
    <w:p w:rsidR="008A52ED" w:rsidRPr="00D330E6" w:rsidP="008A52ED" w14:paraId="614239D7" w14:textId="4ACF038F">
      <w:pPr>
        <w:pStyle w:val="CM16"/>
        <w:rPr>
          <w:rFonts w:ascii="Times New Roman" w:hAnsi="Times New Roman" w:cs="Times New Roman"/>
          <w:color w:val="211D1E"/>
          <w:sz w:val="22"/>
          <w:szCs w:val="20"/>
        </w:rPr>
      </w:pPr>
      <w:r w:rsidRPr="00044735">
        <w:rPr>
          <w:rFonts w:ascii="Times New Roman" w:hAnsi="Times New Roman" w:cs="Times New Roman"/>
          <w:b/>
          <w:bCs/>
          <w:color w:val="211D1E"/>
          <w:sz w:val="22"/>
          <w:szCs w:val="20"/>
        </w:rPr>
        <w:t>William Wilberforce Trafficking Victims Protection Reauthorization Act of 2008 (TVPRA), 8 U.S.C. 1232</w:t>
      </w:r>
      <w:r>
        <w:rPr>
          <w:rFonts w:ascii="Times New Roman" w:hAnsi="Times New Roman" w:cs="Times New Roman"/>
          <w:color w:val="211D1E"/>
          <w:sz w:val="22"/>
          <w:szCs w:val="20"/>
        </w:rPr>
        <w:t xml:space="preserve"> – C</w:t>
      </w:r>
      <w:r w:rsidRPr="00D330E6">
        <w:rPr>
          <w:rFonts w:ascii="Times New Roman" w:hAnsi="Times New Roman" w:cs="Times New Roman"/>
          <w:color w:val="211D1E"/>
          <w:sz w:val="22"/>
          <w:szCs w:val="20"/>
        </w:rPr>
        <w:t xml:space="preserve">reates </w:t>
      </w:r>
      <w:r w:rsidRPr="00D330E6" w:rsidR="00DF3DF5">
        <w:rPr>
          <w:rFonts w:ascii="Times New Roman" w:hAnsi="Times New Roman" w:cs="Times New Roman"/>
          <w:color w:val="211D1E"/>
          <w:sz w:val="22"/>
          <w:szCs w:val="20"/>
        </w:rPr>
        <w:t xml:space="preserve">additional requirements for the placement, care, and release of </w:t>
      </w:r>
      <w:r w:rsidR="00DF3DF5">
        <w:rPr>
          <w:rFonts w:ascii="Times New Roman" w:hAnsi="Times New Roman" w:cs="Times New Roman"/>
          <w:sz w:val="22"/>
          <w:szCs w:val="20"/>
        </w:rPr>
        <w:t xml:space="preserve">unaccompanied </w:t>
      </w:r>
      <w:r w:rsidR="009870C7">
        <w:rPr>
          <w:rFonts w:asciiTheme="majorBidi" w:hAnsiTheme="majorBidi" w:cstheme="majorBidi"/>
        </w:rPr>
        <w:t xml:space="preserve">alien </w:t>
      </w:r>
      <w:r w:rsidR="00DF3DF5">
        <w:rPr>
          <w:rFonts w:ascii="Times New Roman" w:hAnsi="Times New Roman" w:cs="Times New Roman"/>
          <w:sz w:val="22"/>
          <w:szCs w:val="20"/>
        </w:rPr>
        <w:t xml:space="preserve">children </w:t>
      </w:r>
      <w:r w:rsidRPr="00D330E6" w:rsidR="00DF3DF5">
        <w:rPr>
          <w:rFonts w:ascii="Times New Roman" w:hAnsi="Times New Roman" w:cs="Times New Roman"/>
          <w:color w:val="211D1E"/>
          <w:sz w:val="22"/>
          <w:szCs w:val="20"/>
        </w:rPr>
        <w:t xml:space="preserve">in federal custody. </w:t>
      </w:r>
      <w:r w:rsidRPr="00D330E6" w:rsidR="00DF3DF5">
        <w:rPr>
          <w:rFonts w:ascii="Times New Roman" w:hAnsi="Times New Roman" w:cs="Times New Roman"/>
          <w:color w:val="211D1E"/>
          <w:sz w:val="22"/>
          <w:szCs w:val="20"/>
        </w:rPr>
        <w:t>The TVPRA</w:t>
      </w:r>
      <w:r w:rsidRPr="00D330E6" w:rsidR="00DF3DF5">
        <w:rPr>
          <w:rFonts w:ascii="Times New Roman" w:hAnsi="Times New Roman" w:cs="Times New Roman"/>
          <w:color w:val="211D1E"/>
          <w:sz w:val="22"/>
          <w:szCs w:val="20"/>
        </w:rPr>
        <w:t xml:space="preserve"> also directs ORR to create policies to ensure </w:t>
      </w:r>
      <w:r w:rsidR="00DF3DF5">
        <w:rPr>
          <w:rFonts w:ascii="Times New Roman" w:hAnsi="Times New Roman" w:cs="Times New Roman"/>
          <w:sz w:val="22"/>
          <w:szCs w:val="20"/>
        </w:rPr>
        <w:t xml:space="preserve">unaccompanied </w:t>
      </w:r>
      <w:r w:rsidR="009870C7">
        <w:rPr>
          <w:rFonts w:asciiTheme="majorBidi" w:hAnsiTheme="majorBidi" w:cstheme="majorBidi"/>
        </w:rPr>
        <w:t xml:space="preserve">alien </w:t>
      </w:r>
      <w:r w:rsidR="00DF3DF5">
        <w:rPr>
          <w:rFonts w:ascii="Times New Roman" w:hAnsi="Times New Roman" w:cs="Times New Roman"/>
          <w:sz w:val="22"/>
          <w:szCs w:val="20"/>
        </w:rPr>
        <w:t xml:space="preserve">children </w:t>
      </w:r>
      <w:r w:rsidRPr="00D330E6" w:rsidR="00DF3DF5">
        <w:rPr>
          <w:rFonts w:ascii="Times New Roman" w:hAnsi="Times New Roman" w:cs="Times New Roman"/>
          <w:color w:val="211D1E"/>
          <w:sz w:val="22"/>
          <w:szCs w:val="20"/>
        </w:rPr>
        <w:t>are protected from traffickers and others seeking to victimize them or otherwise engage them in criminal, harmful, or exploitative activity.</w:t>
      </w:r>
    </w:p>
    <w:p w:rsidR="008A52ED" w:rsidP="008A52ED" w14:paraId="44B1CD17" w14:textId="77777777">
      <w:pPr>
        <w:pStyle w:val="Default"/>
        <w:rPr>
          <w:rFonts w:ascii="Times New Roman" w:hAnsi="Times New Roman" w:cs="Times New Roman"/>
          <w:color w:val="211D1E"/>
          <w:sz w:val="22"/>
          <w:szCs w:val="22"/>
        </w:rPr>
      </w:pPr>
    </w:p>
    <w:p w:rsidR="006D6195" w:rsidP="008A52ED" w14:paraId="30646264" w14:textId="77777777">
      <w:pPr>
        <w:pStyle w:val="Default"/>
        <w:rPr>
          <w:rFonts w:ascii="Times New Roman" w:hAnsi="Times New Roman" w:cs="Times New Roman"/>
          <w:color w:val="211D1E"/>
          <w:sz w:val="22"/>
          <w:szCs w:val="22"/>
        </w:rPr>
      </w:pPr>
    </w:p>
    <w:p w:rsidR="008A52ED" w:rsidP="008A52ED" w14:paraId="7415B8FA" w14:textId="7DC35FB5">
      <w:pPr>
        <w:pStyle w:val="Default"/>
        <w:rPr>
          <w:rFonts w:ascii="Times New Roman" w:hAnsi="Times New Roman" w:cs="Times New Roman"/>
          <w:color w:val="211D1E"/>
          <w:sz w:val="22"/>
          <w:szCs w:val="22"/>
        </w:rPr>
      </w:pPr>
      <w:r w:rsidRPr="00044735">
        <w:rPr>
          <w:rFonts w:ascii="Times New Roman" w:hAnsi="Times New Roman" w:cs="Times New Roman"/>
          <w:b/>
          <w:bCs/>
          <w:i/>
          <w:iCs/>
          <w:color w:val="211D1E"/>
          <w:sz w:val="22"/>
          <w:szCs w:val="22"/>
        </w:rPr>
        <w:t>Flores v. Reno</w:t>
      </w:r>
      <w:r w:rsidRPr="00044735">
        <w:rPr>
          <w:rFonts w:ascii="Times New Roman" w:hAnsi="Times New Roman" w:cs="Times New Roman"/>
          <w:b/>
          <w:bCs/>
          <w:color w:val="211D1E"/>
          <w:sz w:val="22"/>
          <w:szCs w:val="22"/>
        </w:rPr>
        <w:t xml:space="preserve"> Settlement Agreement, No. CV85-4544-RJK (C.D. Cal. 1996)</w:t>
      </w:r>
      <w:r>
        <w:rPr>
          <w:rFonts w:ascii="Times New Roman" w:hAnsi="Times New Roman" w:cs="Times New Roman"/>
          <w:color w:val="211D1E"/>
          <w:sz w:val="22"/>
          <w:szCs w:val="22"/>
        </w:rPr>
        <w:t xml:space="preserve"> – E</w:t>
      </w:r>
      <w:r w:rsidRPr="002D5CDA">
        <w:rPr>
          <w:rFonts w:ascii="Times New Roman" w:hAnsi="Times New Roman" w:cs="Times New Roman"/>
          <w:color w:val="211D1E"/>
          <w:sz w:val="22"/>
          <w:szCs w:val="22"/>
        </w:rPr>
        <w:t xml:space="preserve">stablishes an order of priority for sponsors with whom </w:t>
      </w:r>
      <w:r w:rsidRPr="002D5CDA">
        <w:rPr>
          <w:rFonts w:ascii="Times New Roman" w:hAnsi="Times New Roman" w:cs="Times New Roman"/>
          <w:color w:val="211D1E"/>
          <w:sz w:val="22"/>
          <w:szCs w:val="20"/>
        </w:rPr>
        <w:t xml:space="preserve">unaccompanied </w:t>
      </w:r>
      <w:r w:rsidR="009870C7">
        <w:rPr>
          <w:rFonts w:asciiTheme="majorBidi" w:hAnsiTheme="majorBidi" w:cstheme="majorBidi"/>
        </w:rPr>
        <w:t xml:space="preserve">alien </w:t>
      </w:r>
      <w:r w:rsidRPr="002D5CDA">
        <w:rPr>
          <w:rFonts w:ascii="Times New Roman" w:hAnsi="Times New Roman" w:cs="Times New Roman"/>
          <w:color w:val="211D1E"/>
          <w:sz w:val="22"/>
          <w:szCs w:val="20"/>
        </w:rPr>
        <w:t>children</w:t>
      </w:r>
      <w:r w:rsidRPr="002D5CDA">
        <w:rPr>
          <w:rFonts w:ascii="Times New Roman" w:hAnsi="Times New Roman" w:cs="Times New Roman"/>
          <w:color w:val="211D1E"/>
          <w:sz w:val="22"/>
          <w:szCs w:val="22"/>
        </w:rPr>
        <w:t xml:space="preserve"> should be placed</w:t>
      </w:r>
      <w:r>
        <w:rPr>
          <w:rFonts w:ascii="Times New Roman" w:hAnsi="Times New Roman" w:cs="Times New Roman"/>
          <w:color w:val="211D1E"/>
          <w:sz w:val="22"/>
          <w:szCs w:val="22"/>
        </w:rPr>
        <w:t>;</w:t>
      </w:r>
      <w:r w:rsidRPr="002D5CDA">
        <w:rPr>
          <w:rFonts w:ascii="Times New Roman" w:hAnsi="Times New Roman" w:cs="Times New Roman"/>
          <w:color w:val="211D1E"/>
          <w:sz w:val="22"/>
          <w:szCs w:val="22"/>
        </w:rPr>
        <w:t xml:space="preserve"> sets minimum standards for the housing, services, transportation, and discharge of </w:t>
      </w:r>
      <w:r w:rsidRPr="002D5CDA">
        <w:rPr>
          <w:rFonts w:ascii="Times New Roman" w:hAnsi="Times New Roman" w:cs="Times New Roman"/>
          <w:color w:val="211D1E"/>
          <w:sz w:val="22"/>
          <w:szCs w:val="20"/>
        </w:rPr>
        <w:t xml:space="preserve">unaccompanied </w:t>
      </w:r>
      <w:r w:rsidR="009870C7">
        <w:rPr>
          <w:rFonts w:asciiTheme="majorBidi" w:hAnsiTheme="majorBidi" w:cstheme="majorBidi"/>
        </w:rPr>
        <w:t xml:space="preserve">alien </w:t>
      </w:r>
      <w:r w:rsidRPr="002D5CDA">
        <w:rPr>
          <w:rFonts w:ascii="Times New Roman" w:hAnsi="Times New Roman" w:cs="Times New Roman"/>
          <w:color w:val="211D1E"/>
          <w:sz w:val="22"/>
          <w:szCs w:val="20"/>
        </w:rPr>
        <w:t>children</w:t>
      </w:r>
      <w:r>
        <w:rPr>
          <w:rFonts w:ascii="Times New Roman" w:hAnsi="Times New Roman" w:cs="Times New Roman"/>
          <w:color w:val="211D1E"/>
          <w:sz w:val="22"/>
          <w:szCs w:val="22"/>
        </w:rPr>
        <w:t>; and</w:t>
      </w:r>
      <w:r w:rsidRPr="002D5CDA">
        <w:rPr>
          <w:rFonts w:ascii="Times New Roman" w:hAnsi="Times New Roman" w:cs="Times New Roman"/>
          <w:color w:val="211D1E"/>
          <w:sz w:val="22"/>
          <w:szCs w:val="22"/>
        </w:rPr>
        <w:t xml:space="preserve"> entitles Plaintiffs’ counsel to visit ORR facilities.</w:t>
      </w:r>
      <w:r w:rsidRPr="070F07CD">
        <w:rPr>
          <w:rFonts w:ascii="Times New Roman" w:hAnsi="Times New Roman" w:cs="Times New Roman"/>
          <w:color w:val="211D1E"/>
          <w:sz w:val="22"/>
          <w:szCs w:val="22"/>
        </w:rPr>
        <w:t xml:space="preserve"> </w:t>
      </w:r>
    </w:p>
    <w:p w:rsidR="008A52ED" w:rsidP="008A52ED" w14:paraId="006655EC" w14:textId="77777777">
      <w:pPr>
        <w:pStyle w:val="Default"/>
        <w:rPr>
          <w:rFonts w:ascii="Times New Roman" w:hAnsi="Times New Roman" w:cs="Times New Roman"/>
          <w:color w:val="211D1E"/>
          <w:sz w:val="22"/>
          <w:szCs w:val="22"/>
        </w:rPr>
      </w:pPr>
    </w:p>
    <w:p w:rsidR="008A52ED" w:rsidP="540C4DD3" w14:paraId="70FADF07" w14:textId="339EA7ED">
      <w:pPr>
        <w:pStyle w:val="Default"/>
        <w:rPr>
          <w:rFonts w:ascii="Times New Roman" w:eastAsia="Times New Roman" w:hAnsi="Times New Roman" w:cs="Times New Roman"/>
          <w:sz w:val="22"/>
          <w:szCs w:val="22"/>
        </w:rPr>
      </w:pPr>
      <w:r w:rsidRPr="6871F251">
        <w:rPr>
          <w:rFonts w:ascii="Times New Roman" w:hAnsi="Times New Roman" w:cs="Times New Roman"/>
          <w:b/>
          <w:bCs/>
          <w:sz w:val="22"/>
          <w:szCs w:val="22"/>
        </w:rPr>
        <w:t>Unaccompanied Children Program Foundational Rule, 45 C.F.R. 410</w:t>
      </w:r>
      <w:r w:rsidRPr="6871F251" w:rsidR="329FB18C">
        <w:rPr>
          <w:rFonts w:ascii="Times New Roman" w:hAnsi="Times New Roman" w:cs="Times New Roman"/>
          <w:b/>
          <w:bCs/>
          <w:sz w:val="22"/>
          <w:szCs w:val="22"/>
        </w:rPr>
        <w:t>.1310</w:t>
      </w:r>
      <w:r w:rsidRPr="6871F251">
        <w:rPr>
          <w:rFonts w:ascii="Times New Roman" w:hAnsi="Times New Roman" w:cs="Times New Roman"/>
          <w:sz w:val="22"/>
          <w:szCs w:val="22"/>
        </w:rPr>
        <w:t xml:space="preserve"> – Establishes a uniform set of standards and procedures concerning the placement, care, and services provided to unaccompanied </w:t>
      </w:r>
      <w:r w:rsidR="009870C7">
        <w:rPr>
          <w:rFonts w:asciiTheme="majorBidi" w:hAnsiTheme="majorBidi" w:cstheme="majorBidi"/>
        </w:rPr>
        <w:t xml:space="preserve">alien </w:t>
      </w:r>
      <w:r w:rsidRPr="6871F251">
        <w:rPr>
          <w:rFonts w:ascii="Times New Roman" w:hAnsi="Times New Roman" w:cs="Times New Roman"/>
          <w:sz w:val="22"/>
          <w:szCs w:val="22"/>
        </w:rPr>
        <w:t>children in ORR care that is consistent with ORR’s statutory dutie</w:t>
      </w:r>
      <w:r w:rsidRPr="6871F251">
        <w:rPr>
          <w:rFonts w:ascii="Times New Roman" w:eastAsia="Times New Roman" w:hAnsi="Times New Roman" w:cs="Times New Roman"/>
          <w:sz w:val="22"/>
          <w:szCs w:val="22"/>
        </w:rPr>
        <w:t xml:space="preserve">s and implements </w:t>
      </w:r>
      <w:r w:rsidRPr="6871F251" w:rsidR="17409D20">
        <w:rPr>
          <w:rFonts w:ascii="Times New Roman" w:eastAsia="Times New Roman" w:hAnsi="Times New Roman" w:cs="Times New Roman"/>
          <w:color w:val="000000" w:themeColor="text1"/>
          <w:sz w:val="22"/>
          <w:szCs w:val="22"/>
        </w:rPr>
        <w:t>minimum</w:t>
      </w:r>
      <w:r w:rsidRPr="6871F251" w:rsidR="17409D20">
        <w:rPr>
          <w:rFonts w:ascii="Times New Roman" w:eastAsia="Times New Roman" w:hAnsi="Times New Roman" w:cs="Times New Roman"/>
          <w:sz w:val="22"/>
          <w:szCs w:val="22"/>
        </w:rPr>
        <w:t xml:space="preserve"> standards for the care of unaccompanied </w:t>
      </w:r>
      <w:r w:rsidR="009870C7">
        <w:rPr>
          <w:rFonts w:asciiTheme="majorBidi" w:hAnsiTheme="majorBidi" w:cstheme="majorBidi"/>
        </w:rPr>
        <w:t xml:space="preserve">alien </w:t>
      </w:r>
      <w:r w:rsidRPr="6871F251" w:rsidR="17409D20">
        <w:rPr>
          <w:rFonts w:ascii="Times New Roman" w:eastAsia="Times New Roman" w:hAnsi="Times New Roman" w:cs="Times New Roman"/>
          <w:sz w:val="22"/>
          <w:szCs w:val="22"/>
        </w:rPr>
        <w:t>children</w:t>
      </w:r>
      <w:r w:rsidRPr="6871F251">
        <w:rPr>
          <w:rFonts w:ascii="Times New Roman" w:eastAsia="Times New Roman" w:hAnsi="Times New Roman" w:cs="Times New Roman"/>
          <w:sz w:val="22"/>
          <w:szCs w:val="22"/>
        </w:rPr>
        <w:t>.</w:t>
      </w:r>
    </w:p>
    <w:p w:rsidR="006C223B" w:rsidP="00F41F27" w14:paraId="15999021" w14:textId="77777777">
      <w:pPr>
        <w:rPr>
          <w:rStyle w:val="eop"/>
          <w:shd w:val="clear" w:color="auto" w:fill="FFFFFF"/>
        </w:rPr>
      </w:pPr>
    </w:p>
    <w:p w:rsidR="006C223B" w:rsidRPr="00D330E6" w:rsidP="00F41F27" w14:paraId="5834965F" w14:textId="0CEE2529">
      <w:pPr>
        <w:rPr>
          <w:szCs w:val="22"/>
        </w:rPr>
      </w:pPr>
      <w:r>
        <w:rPr>
          <w:rStyle w:val="normaltextrun"/>
          <w:b/>
          <w:bCs/>
          <w:i/>
          <w:iCs/>
          <w:color w:val="000000"/>
          <w:shd w:val="clear" w:color="auto" w:fill="FFFFFF"/>
        </w:rPr>
        <w:t>Lucas R. et al v. Becerra et al</w:t>
      </w:r>
      <w:r>
        <w:rPr>
          <w:rStyle w:val="normaltextrun"/>
          <w:b/>
          <w:bCs/>
          <w:color w:val="000000"/>
          <w:shd w:val="clear" w:color="auto" w:fill="FFFFFF"/>
        </w:rPr>
        <w:t xml:space="preserve"> (Case No. 2:18-CV-05741 DMG PLA) Psychotropic Medication Settlement Agreement</w:t>
      </w:r>
      <w:r>
        <w:rPr>
          <w:rStyle w:val="normaltextrun"/>
          <w:color w:val="000000"/>
          <w:shd w:val="clear" w:color="auto" w:fill="FFFFFF"/>
        </w:rPr>
        <w:t xml:space="preserve"> –</w:t>
      </w:r>
      <w:r w:rsidR="00F41F27">
        <w:rPr>
          <w:rStyle w:val="normaltextrun"/>
          <w:color w:val="000000"/>
          <w:shd w:val="clear" w:color="auto" w:fill="FFFFFF"/>
        </w:rPr>
        <w:t xml:space="preserve"> </w:t>
      </w:r>
      <w:r>
        <w:rPr>
          <w:rStyle w:val="normaltextrun"/>
          <w:color w:val="000000"/>
          <w:shd w:val="clear" w:color="auto" w:fill="FFFFFF"/>
        </w:rPr>
        <w:t>Implements a process for obtaining informed consent for the administration of psychotropic medication to children in ORR custody and identifies people authorized to provide informed consent. Lucas R. also establishes standards for monitoring the administration of psychotropic medication to children in ORR custody and care. </w:t>
      </w:r>
      <w:r>
        <w:rPr>
          <w:rStyle w:val="eop"/>
          <w:color w:val="000000"/>
          <w:shd w:val="clear" w:color="auto" w:fill="FFFFFF"/>
        </w:rPr>
        <w:t> </w:t>
      </w:r>
    </w:p>
    <w:p w:rsidR="00DE529D" w:rsidRPr="004F7B95" w:rsidP="00FB4C3C" w14:paraId="5548F0DE" w14:textId="77777777">
      <w:pPr>
        <w:widowControl/>
        <w:tabs>
          <w:tab w:val="num" w:pos="360"/>
        </w:tabs>
        <w:rPr>
          <w:snapToGrid/>
          <w:sz w:val="24"/>
          <w:szCs w:val="24"/>
        </w:rPr>
      </w:pPr>
    </w:p>
    <w:p w:rsidR="00790D2C" w:rsidRPr="004F7B95" w:rsidP="00D7443D" w14:paraId="6A4D4BDD" w14:textId="77777777">
      <w:pPr>
        <w:widowControl/>
        <w:tabs>
          <w:tab w:val="num" w:pos="360"/>
        </w:tabs>
        <w:ind w:left="360"/>
        <w:rPr>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b/>
          <w:snapToGrid/>
          <w:sz w:val="24"/>
          <w:szCs w:val="24"/>
        </w:rPr>
      </w:pPr>
      <w:r w:rsidRPr="602F4E48">
        <w:rPr>
          <w:b/>
          <w:bCs/>
          <w:snapToGrid/>
          <w:sz w:val="24"/>
          <w:szCs w:val="24"/>
        </w:rPr>
        <w:t>P</w:t>
      </w:r>
      <w:r w:rsidRPr="602F4E48">
        <w:rPr>
          <w:b/>
          <w:bCs/>
          <w:snapToGrid/>
          <w:sz w:val="24"/>
          <w:szCs w:val="24"/>
        </w:rPr>
        <w:t xml:space="preserve">urpose and Use of the Information Collection </w:t>
      </w:r>
    </w:p>
    <w:p w:rsidR="2A7C43A9" w:rsidP="602F4E48" w14:paraId="449C618D" w14:textId="176CC50F">
      <w:pPr>
        <w:pStyle w:val="Default"/>
        <w:widowControl/>
        <w:spacing w:after="120"/>
      </w:pPr>
      <w:r w:rsidRPr="602F4E48">
        <w:rPr>
          <w:rFonts w:ascii="Times New Roman" w:eastAsia="Times New Roman" w:hAnsi="Times New Roman" w:cs="Times New Roman"/>
          <w:color w:val="000000" w:themeColor="text1"/>
          <w:sz w:val="22"/>
          <w:szCs w:val="22"/>
        </w:rPr>
        <w:t xml:space="preserve">The purpose of the forms included in this information collection is to gather information that will </w:t>
      </w:r>
      <w:r w:rsidRPr="602F4E48">
        <w:rPr>
          <w:rFonts w:ascii="Times New Roman" w:eastAsia="Times New Roman" w:hAnsi="Times New Roman" w:cs="Times New Roman"/>
          <w:color w:val="211D1E"/>
          <w:sz w:val="22"/>
          <w:szCs w:val="22"/>
        </w:rPr>
        <w:t xml:space="preserve">allow ORR to </w:t>
      </w:r>
      <w:r w:rsidR="008E0509">
        <w:rPr>
          <w:rFonts w:ascii="Times New Roman" w:hAnsi="Times New Roman" w:cs="Times New Roman"/>
          <w:color w:val="211D1E"/>
          <w:sz w:val="22"/>
          <w:szCs w:val="22"/>
        </w:rPr>
        <w:t>o</w:t>
      </w:r>
      <w:r w:rsidRPr="002A59BC" w:rsidR="008E0509">
        <w:rPr>
          <w:rFonts w:ascii="Times New Roman" w:hAnsi="Times New Roman" w:cs="Times New Roman"/>
          <w:color w:val="211D1E"/>
          <w:sz w:val="22"/>
          <w:szCs w:val="22"/>
        </w:rPr>
        <w:t xml:space="preserve">btain informed consent from authorized consenters and informed assent or agreement from unaccompanied </w:t>
      </w:r>
      <w:r w:rsidR="009870C7">
        <w:rPr>
          <w:rFonts w:asciiTheme="majorBidi" w:hAnsiTheme="majorBidi" w:cstheme="majorBidi"/>
        </w:rPr>
        <w:t xml:space="preserve">alien </w:t>
      </w:r>
      <w:r w:rsidRPr="002A59BC" w:rsidR="008E0509">
        <w:rPr>
          <w:rFonts w:ascii="Times New Roman" w:hAnsi="Times New Roman" w:cs="Times New Roman"/>
          <w:color w:val="211D1E"/>
          <w:sz w:val="22"/>
          <w:szCs w:val="22"/>
        </w:rPr>
        <w:t>children for the administration of psychotropic medication</w:t>
      </w:r>
      <w:r w:rsidRPr="602F4E48">
        <w:rPr>
          <w:rFonts w:ascii="Times New Roman" w:eastAsia="Times New Roman" w:hAnsi="Times New Roman" w:cs="Times New Roman"/>
          <w:color w:val="211D1E"/>
          <w:sz w:val="22"/>
          <w:szCs w:val="22"/>
        </w:rPr>
        <w:t>. Information specific to each form follows.</w:t>
      </w:r>
    </w:p>
    <w:p w:rsidR="00790D2C" w:rsidRPr="00CA0EE7" w:rsidP="007C4E6F" w14:paraId="4C1BFBD8" w14:textId="712E3BAD">
      <w:pPr>
        <w:pStyle w:val="Default"/>
        <w:widowControl/>
        <w:numPr>
          <w:ilvl w:val="0"/>
          <w:numId w:val="23"/>
        </w:numPr>
        <w:spacing w:after="120"/>
        <w:rPr>
          <w:rFonts w:ascii="Times New Roman" w:hAnsi="Times New Roman" w:cs="Times New Roman"/>
          <w:bCs/>
          <w:i/>
          <w:sz w:val="22"/>
          <w:szCs w:val="22"/>
        </w:rPr>
      </w:pPr>
      <w:r w:rsidRPr="00FF2094">
        <w:rPr>
          <w:rFonts w:ascii="Times New Roman" w:hAnsi="Times New Roman" w:cs="Times New Roman"/>
          <w:b/>
          <w:bCs/>
          <w:sz w:val="22"/>
          <w:szCs w:val="22"/>
        </w:rPr>
        <w:t xml:space="preserve">Psychotropic Medication Informed Consent </w:t>
      </w:r>
      <w:r w:rsidR="00577EF7">
        <w:rPr>
          <w:rFonts w:ascii="Times New Roman" w:hAnsi="Times New Roman" w:cs="Times New Roman"/>
          <w:b/>
          <w:bCs/>
          <w:sz w:val="22"/>
          <w:szCs w:val="22"/>
        </w:rPr>
        <w:t xml:space="preserve">(Form </w:t>
      </w:r>
      <w:r>
        <w:rPr>
          <w:rFonts w:ascii="Times New Roman" w:hAnsi="Times New Roman" w:cs="Times New Roman"/>
          <w:b/>
          <w:bCs/>
          <w:sz w:val="22"/>
          <w:szCs w:val="22"/>
        </w:rPr>
        <w:t>MMH-1</w:t>
      </w:r>
      <w:r w:rsidRPr="00DB6884" w:rsidR="00577EF7">
        <w:rPr>
          <w:rFonts w:ascii="Times New Roman" w:hAnsi="Times New Roman" w:cs="Times New Roman"/>
          <w:b/>
          <w:bCs/>
          <w:sz w:val="22"/>
          <w:szCs w:val="22"/>
        </w:rPr>
        <w:t xml:space="preserve">): </w:t>
      </w:r>
      <w:r w:rsidR="00577EF7">
        <w:rPr>
          <w:rFonts w:ascii="Times New Roman" w:hAnsi="Times New Roman" w:cs="Times New Roman"/>
          <w:bCs/>
          <w:sz w:val="22"/>
          <w:szCs w:val="22"/>
        </w:rPr>
        <w:t xml:space="preserve">This </w:t>
      </w:r>
      <w:r w:rsidR="00CA0EE7">
        <w:rPr>
          <w:rFonts w:ascii="Times New Roman" w:hAnsi="Times New Roman" w:cs="Times New Roman"/>
          <w:bCs/>
          <w:sz w:val="22"/>
          <w:szCs w:val="22"/>
        </w:rPr>
        <w:t>form</w:t>
      </w:r>
      <w:r w:rsidR="00577EF7">
        <w:rPr>
          <w:rFonts w:ascii="Times New Roman" w:hAnsi="Times New Roman" w:cs="Times New Roman"/>
          <w:bCs/>
          <w:sz w:val="22"/>
          <w:szCs w:val="22"/>
        </w:rPr>
        <w:t xml:space="preserve"> is completed by </w:t>
      </w:r>
      <w:r w:rsidR="00270860">
        <w:rPr>
          <w:rFonts w:ascii="Times New Roman" w:hAnsi="Times New Roman" w:cs="Times New Roman"/>
          <w:bCs/>
          <w:sz w:val="22"/>
          <w:szCs w:val="22"/>
        </w:rPr>
        <w:t>care providers</w:t>
      </w:r>
      <w:r w:rsidR="00577EF7">
        <w:rPr>
          <w:rFonts w:ascii="Times New Roman" w:hAnsi="Times New Roman" w:cs="Times New Roman"/>
          <w:bCs/>
          <w:sz w:val="22"/>
          <w:szCs w:val="22"/>
        </w:rPr>
        <w:t xml:space="preserve"> to </w:t>
      </w:r>
      <w:r w:rsidRPr="00E14C8D" w:rsidR="00E14C8D">
        <w:rPr>
          <w:rFonts w:ascii="Times New Roman" w:hAnsi="Times New Roman" w:cs="Times New Roman"/>
          <w:bCs/>
          <w:sz w:val="22"/>
          <w:szCs w:val="22"/>
        </w:rPr>
        <w:t>document information about a prescribed psychotropic medication, confirm required topics were discussed with an authorized consenter, and document verbal and written consent (or dissent) from the authorized consenter.</w:t>
      </w:r>
      <w:r w:rsidRPr="00DB6884" w:rsidR="00577EF7">
        <w:rPr>
          <w:rFonts w:ascii="Times New Roman" w:hAnsi="Times New Roman" w:cs="Times New Roman"/>
          <w:bCs/>
          <w:sz w:val="22"/>
          <w:szCs w:val="22"/>
        </w:rPr>
        <w:t xml:space="preserve"> </w:t>
      </w:r>
      <w:r w:rsidR="00577EF7">
        <w:rPr>
          <w:rFonts w:ascii="Times New Roman" w:hAnsi="Times New Roman" w:cs="Times New Roman"/>
          <w:bCs/>
          <w:sz w:val="22"/>
          <w:szCs w:val="22"/>
        </w:rPr>
        <w:t xml:space="preserve">See </w:t>
      </w:r>
      <w:hyperlink r:id="rId10" w:history="1">
        <w:r w:rsidRPr="000C30DC" w:rsidR="00E14C8D">
          <w:rPr>
            <w:rStyle w:val="Hyperlink"/>
            <w:rFonts w:ascii="Times New Roman" w:hAnsi="Times New Roman" w:cs="Times New Roman"/>
            <w:bCs/>
            <w:sz w:val="22"/>
            <w:szCs w:val="22"/>
          </w:rPr>
          <w:t>45 CFR</w:t>
        </w:r>
        <w:r w:rsidRPr="000C30DC" w:rsidR="00852923">
          <w:rPr>
            <w:rStyle w:val="Hyperlink"/>
            <w:rFonts w:ascii="Times New Roman" w:hAnsi="Times New Roman" w:cs="Times New Roman"/>
            <w:bCs/>
            <w:sz w:val="22"/>
            <w:szCs w:val="22"/>
          </w:rPr>
          <w:t xml:space="preserve"> 410</w:t>
        </w:r>
        <w:r w:rsidRPr="000C30DC" w:rsidR="000C30DC">
          <w:rPr>
            <w:rStyle w:val="Hyperlink"/>
            <w:rFonts w:ascii="Times New Roman" w:hAnsi="Times New Roman" w:cs="Times New Roman"/>
            <w:bCs/>
            <w:sz w:val="22"/>
            <w:szCs w:val="22"/>
          </w:rPr>
          <w:t>.1310</w:t>
        </w:r>
      </w:hyperlink>
      <w:r w:rsidR="000C30DC">
        <w:rPr>
          <w:rFonts w:ascii="Times New Roman" w:hAnsi="Times New Roman" w:cs="Times New Roman"/>
          <w:bCs/>
          <w:sz w:val="22"/>
          <w:szCs w:val="22"/>
        </w:rPr>
        <w:t xml:space="preserve"> </w:t>
      </w:r>
      <w:r w:rsidR="00577EF7">
        <w:rPr>
          <w:rFonts w:ascii="Times New Roman" w:hAnsi="Times New Roman" w:cs="Times New Roman"/>
          <w:bCs/>
          <w:sz w:val="22"/>
          <w:szCs w:val="22"/>
        </w:rPr>
        <w:t xml:space="preserve">for related </w:t>
      </w:r>
      <w:r w:rsidR="00E14C8D">
        <w:rPr>
          <w:rFonts w:ascii="Times New Roman" w:hAnsi="Times New Roman" w:cs="Times New Roman"/>
          <w:bCs/>
          <w:sz w:val="22"/>
          <w:szCs w:val="22"/>
        </w:rPr>
        <w:t>agency guidance</w:t>
      </w:r>
      <w:r w:rsidR="00577EF7">
        <w:rPr>
          <w:rFonts w:ascii="Times New Roman" w:hAnsi="Times New Roman" w:cs="Times New Roman"/>
          <w:bCs/>
          <w:sz w:val="22"/>
          <w:szCs w:val="22"/>
        </w:rPr>
        <w:t>.</w:t>
      </w:r>
    </w:p>
    <w:p w:rsidR="00D60543" w:rsidRPr="008E0509" w:rsidP="008E0509" w14:paraId="689974F1" w14:textId="186A59E5">
      <w:pPr>
        <w:pStyle w:val="Default"/>
        <w:widowControl/>
        <w:numPr>
          <w:ilvl w:val="0"/>
          <w:numId w:val="23"/>
        </w:numPr>
        <w:spacing w:after="120"/>
        <w:rPr>
          <w:rFonts w:ascii="Times New Roman" w:hAnsi="Times New Roman" w:cs="Times New Roman"/>
          <w:bCs/>
          <w:i/>
          <w:sz w:val="22"/>
          <w:szCs w:val="22"/>
        </w:rPr>
      </w:pPr>
      <w:r w:rsidRPr="008E0509">
        <w:rPr>
          <w:rFonts w:ascii="Times New Roman" w:hAnsi="Times New Roman" w:cs="Times New Roman"/>
          <w:b/>
          <w:bCs/>
          <w:sz w:val="22"/>
          <w:szCs w:val="22"/>
        </w:rPr>
        <w:t>Psychotropic Medication Assent Notice</w:t>
      </w:r>
      <w:r w:rsidR="00CA0EE7">
        <w:rPr>
          <w:rFonts w:ascii="Times New Roman" w:hAnsi="Times New Roman" w:cs="Times New Roman"/>
          <w:b/>
          <w:bCs/>
          <w:sz w:val="22"/>
          <w:szCs w:val="22"/>
        </w:rPr>
        <w:t xml:space="preserve"> (Form </w:t>
      </w:r>
      <w:r>
        <w:rPr>
          <w:rFonts w:ascii="Times New Roman" w:hAnsi="Times New Roman" w:cs="Times New Roman"/>
          <w:b/>
          <w:bCs/>
          <w:sz w:val="22"/>
          <w:szCs w:val="22"/>
        </w:rPr>
        <w:t>MMH-2</w:t>
      </w:r>
      <w:r w:rsidRPr="00DB6884" w:rsidR="00CA0EE7">
        <w:rPr>
          <w:rFonts w:ascii="Times New Roman" w:hAnsi="Times New Roman" w:cs="Times New Roman"/>
          <w:b/>
          <w:bCs/>
          <w:sz w:val="22"/>
          <w:szCs w:val="22"/>
        </w:rPr>
        <w:t xml:space="preserve">): </w:t>
      </w:r>
      <w:r w:rsidR="00CA0EE7">
        <w:rPr>
          <w:rFonts w:ascii="Times New Roman" w:hAnsi="Times New Roman" w:cs="Times New Roman"/>
          <w:bCs/>
          <w:sz w:val="22"/>
          <w:szCs w:val="22"/>
        </w:rPr>
        <w:t xml:space="preserve">This form is completed by </w:t>
      </w:r>
      <w:r w:rsidR="00B420E9">
        <w:rPr>
          <w:rFonts w:ascii="Times New Roman" w:hAnsi="Times New Roman" w:cs="Times New Roman"/>
          <w:bCs/>
          <w:sz w:val="22"/>
          <w:szCs w:val="22"/>
        </w:rPr>
        <w:t>care providers</w:t>
      </w:r>
      <w:r w:rsidR="00CA0EE7">
        <w:rPr>
          <w:rFonts w:ascii="Times New Roman" w:hAnsi="Times New Roman" w:cs="Times New Roman"/>
          <w:bCs/>
          <w:sz w:val="22"/>
          <w:szCs w:val="22"/>
        </w:rPr>
        <w:t xml:space="preserve"> to </w:t>
      </w:r>
      <w:r w:rsidRPr="00B420E9" w:rsidR="00B420E9">
        <w:rPr>
          <w:rFonts w:ascii="Times New Roman" w:hAnsi="Times New Roman" w:cs="Times New Roman"/>
          <w:bCs/>
          <w:sz w:val="22"/>
          <w:szCs w:val="22"/>
        </w:rPr>
        <w:t>document and review information about a prescribed psychotropic medication with children aged 14 years or older and document their assent (or dissent).</w:t>
      </w:r>
      <w:r w:rsidRPr="00DB6884" w:rsidR="00CA0EE7">
        <w:rPr>
          <w:rFonts w:ascii="Times New Roman" w:hAnsi="Times New Roman" w:cs="Times New Roman"/>
          <w:bCs/>
          <w:sz w:val="22"/>
          <w:szCs w:val="22"/>
        </w:rPr>
        <w:t xml:space="preserve"> </w:t>
      </w:r>
      <w:r w:rsidR="00820E4E">
        <w:rPr>
          <w:rFonts w:ascii="Times New Roman" w:hAnsi="Times New Roman" w:cs="Times New Roman"/>
          <w:bCs/>
          <w:sz w:val="22"/>
          <w:szCs w:val="22"/>
        </w:rPr>
        <w:t xml:space="preserve">See </w:t>
      </w:r>
      <w:hyperlink r:id="rId10" w:history="1">
        <w:r w:rsidRPr="000C30DC" w:rsidR="00820E4E">
          <w:rPr>
            <w:rStyle w:val="Hyperlink"/>
            <w:rFonts w:ascii="Times New Roman" w:hAnsi="Times New Roman" w:cs="Times New Roman"/>
            <w:bCs/>
            <w:sz w:val="22"/>
            <w:szCs w:val="22"/>
          </w:rPr>
          <w:t>45 CFR 410.1310</w:t>
        </w:r>
      </w:hyperlink>
      <w:r w:rsidR="00820E4E">
        <w:rPr>
          <w:rFonts w:ascii="Times New Roman" w:hAnsi="Times New Roman" w:cs="Times New Roman"/>
          <w:bCs/>
          <w:sz w:val="22"/>
          <w:szCs w:val="22"/>
        </w:rPr>
        <w:t xml:space="preserve"> for related agency guidance.</w:t>
      </w:r>
    </w:p>
    <w:p w:rsidR="00642079" w:rsidP="00D7443D" w14:paraId="4772D015" w14:textId="77777777">
      <w:pPr>
        <w:widowControl/>
        <w:tabs>
          <w:tab w:val="num" w:pos="360"/>
        </w:tabs>
        <w:ind w:left="360"/>
        <w:rPr>
          <w:snapToGrid/>
          <w:sz w:val="24"/>
          <w:szCs w:val="24"/>
        </w:rPr>
      </w:pPr>
    </w:p>
    <w:p w:rsidR="002C3C4F" w:rsidRPr="00075889" w:rsidP="00075889" w14:paraId="6DDB8C59"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Use of Improved Information Technology and Burden Reduction </w:t>
      </w:r>
    </w:p>
    <w:p w:rsidR="009C2DE1" w:rsidP="00C97077" w14:paraId="278CCB05" w14:textId="2C33D056">
      <w:pPr>
        <w:widowControl/>
        <w:tabs>
          <w:tab w:val="num" w:pos="360"/>
        </w:tabs>
      </w:pPr>
      <w:r>
        <w:t xml:space="preserve">ORR is in the process of streamlining information management by consolidating unaccompanied </w:t>
      </w:r>
      <w:r w:rsidR="009870C7">
        <w:rPr>
          <w:rFonts w:asciiTheme="majorBidi" w:hAnsiTheme="majorBidi" w:cstheme="majorBidi"/>
        </w:rPr>
        <w:t xml:space="preserve">alien </w:t>
      </w:r>
      <w:r>
        <w:t>children information from disparate storage locations, reducing manual paperwork processing conducted outside of the system (e.g., spreadsheets, PDFs, Word documents), maximizing the use of auto-population so that information is not entered more than once, enforcing business rules through automated workflow management, and improving business intelligence capabilities by automating reporting and data analytics.</w:t>
      </w:r>
    </w:p>
    <w:p w:rsidR="00F71A98" w:rsidP="00C97077" w14:paraId="732A036F" w14:textId="77777777">
      <w:pPr>
        <w:widowControl/>
        <w:tabs>
          <w:tab w:val="num" w:pos="360"/>
        </w:tabs>
      </w:pPr>
    </w:p>
    <w:p w:rsidR="00F71A98" w:rsidP="00C97077" w14:paraId="05895FCC" w14:textId="0EE066BF">
      <w:pPr>
        <w:widowControl/>
        <w:tabs>
          <w:tab w:val="num" w:pos="360"/>
        </w:tabs>
        <w:rPr>
          <w:snapToGrid/>
          <w:sz w:val="24"/>
          <w:szCs w:val="24"/>
        </w:rPr>
      </w:pPr>
      <w:r>
        <w:t xml:space="preserve">The forms in this information collection </w:t>
      </w:r>
      <w:r w:rsidR="00F0007F">
        <w:t xml:space="preserve">will be in PDF format until ORR </w:t>
      </w:r>
      <w:r w:rsidR="007F6678">
        <w:t>is able to</w:t>
      </w:r>
      <w:r w:rsidR="00F0007F">
        <w:t xml:space="preserve"> incorporate them into one of its </w:t>
      </w:r>
      <w:r w:rsidR="007F6678">
        <w:t>technology platforms.</w:t>
      </w:r>
    </w:p>
    <w:p w:rsidR="009C2DE1" w:rsidP="00022586" w14:paraId="64C47E67" w14:textId="77777777">
      <w:pPr>
        <w:widowControl/>
        <w:tabs>
          <w:tab w:val="num" w:pos="360"/>
        </w:tabs>
        <w:ind w:left="360"/>
        <w:rPr>
          <w:snapToGrid/>
          <w:sz w:val="24"/>
          <w:szCs w:val="24"/>
        </w:rPr>
      </w:pPr>
    </w:p>
    <w:p w:rsidR="006D6195" w:rsidP="00022586" w14:paraId="2E632A07" w14:textId="77777777">
      <w:pPr>
        <w:widowControl/>
        <w:tabs>
          <w:tab w:val="num" w:pos="360"/>
        </w:tabs>
        <w:ind w:left="360"/>
        <w:rPr>
          <w:snapToGrid/>
          <w:sz w:val="24"/>
          <w:szCs w:val="24"/>
        </w:rPr>
      </w:pPr>
    </w:p>
    <w:p w:rsidR="00D60543" w:rsidRPr="004F7B95" w:rsidP="00022586" w14:paraId="61323458" w14:textId="77777777">
      <w:pPr>
        <w:widowControl/>
        <w:tabs>
          <w:tab w:val="num" w:pos="360"/>
        </w:tabs>
        <w:ind w:left="360"/>
        <w:rPr>
          <w:snapToGrid/>
          <w:sz w:val="24"/>
          <w:szCs w:val="24"/>
        </w:rPr>
      </w:pPr>
    </w:p>
    <w:p w:rsidR="002C3C4F" w:rsidRPr="00075889" w:rsidP="00075889" w14:paraId="5E0F08A1"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Efforts to Identify Duplication and Use of Similar Information </w:t>
      </w:r>
    </w:p>
    <w:p w:rsidR="00120DB4" w:rsidRPr="004F7B95" w:rsidP="00120DB4" w14:paraId="55EC6619" w14:textId="77777777">
      <w:pPr>
        <w:widowControl/>
        <w:tabs>
          <w:tab w:val="num" w:pos="360"/>
        </w:tabs>
        <w:rPr>
          <w:snapToGrid/>
          <w:sz w:val="24"/>
          <w:szCs w:val="24"/>
        </w:rPr>
      </w:pPr>
      <w:r w:rsidRPr="00D330E6">
        <w:rPr>
          <w:color w:val="211D1E"/>
        </w:rPr>
        <w:t xml:space="preserve">The information being collected by these </w:t>
      </w:r>
      <w:r>
        <w:rPr>
          <w:color w:val="211D1E"/>
        </w:rPr>
        <w:t>forms</w:t>
      </w:r>
      <w:r w:rsidRPr="00D330E6">
        <w:rPr>
          <w:color w:val="211D1E"/>
        </w:rPr>
        <w:t xml:space="preserve"> are not obtainable from other sources.</w:t>
      </w:r>
    </w:p>
    <w:p w:rsidR="009F5543" w:rsidP="00022586" w14:paraId="2896C13D" w14:textId="77777777">
      <w:pPr>
        <w:widowControl/>
        <w:tabs>
          <w:tab w:val="num" w:pos="360"/>
        </w:tabs>
        <w:ind w:left="360"/>
        <w:rPr>
          <w:snapToGrid/>
          <w:sz w:val="24"/>
          <w:szCs w:val="24"/>
        </w:rPr>
      </w:pPr>
    </w:p>
    <w:p w:rsidR="009C2DE1" w:rsidRPr="004F7B95" w:rsidP="00022586" w14:paraId="5BF82A71" w14:textId="77777777">
      <w:pPr>
        <w:widowControl/>
        <w:tabs>
          <w:tab w:val="num" w:pos="360"/>
        </w:tabs>
        <w:ind w:left="360"/>
        <w:rPr>
          <w:snapToGrid/>
          <w:sz w:val="24"/>
          <w:szCs w:val="24"/>
        </w:rPr>
      </w:pPr>
    </w:p>
    <w:p w:rsidR="002C3C4F" w:rsidRPr="00075889" w:rsidP="00075889" w14:paraId="5A812530"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Impact on Small Businesses or Other Small Entities </w:t>
      </w:r>
    </w:p>
    <w:p w:rsidR="00B56A37" w:rsidP="00B56A37" w14:paraId="5691CB82" w14:textId="77777777">
      <w:pPr>
        <w:widowControl/>
        <w:tabs>
          <w:tab w:val="num" w:pos="360"/>
        </w:tabs>
        <w:rPr>
          <w:snapToGrid/>
          <w:sz w:val="24"/>
          <w:szCs w:val="24"/>
        </w:rPr>
      </w:pPr>
      <w:r w:rsidRPr="00D330E6">
        <w:rPr>
          <w:color w:val="211D1E"/>
        </w:rPr>
        <w:t>The proposed information collections will not burden or impact small businesses.</w:t>
      </w:r>
    </w:p>
    <w:p w:rsidR="00B56A37" w:rsidP="00B56A37" w14:paraId="0D2EC6EB" w14:textId="77777777">
      <w:pPr>
        <w:widowControl/>
        <w:tabs>
          <w:tab w:val="num" w:pos="360"/>
        </w:tabs>
        <w:rPr>
          <w:snapToGrid/>
          <w:sz w:val="24"/>
          <w:szCs w:val="24"/>
        </w:rPr>
      </w:pPr>
    </w:p>
    <w:p w:rsidR="00D60543" w:rsidRPr="004F7B95" w:rsidP="00022586" w14:paraId="7A03161C" w14:textId="77777777">
      <w:pPr>
        <w:widowControl/>
        <w:tabs>
          <w:tab w:val="num" w:pos="360"/>
        </w:tabs>
        <w:ind w:left="360"/>
        <w:rPr>
          <w:snapToGrid/>
          <w:sz w:val="24"/>
          <w:szCs w:val="24"/>
        </w:rPr>
      </w:pPr>
    </w:p>
    <w:p w:rsidR="002C3C4F" w:rsidRPr="00075889" w:rsidP="00075889" w14:paraId="6374389D"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Consequences of Collecting </w:t>
      </w:r>
      <w:r w:rsidRPr="00075889">
        <w:rPr>
          <w:b/>
          <w:snapToGrid/>
          <w:sz w:val="24"/>
          <w:szCs w:val="24"/>
        </w:rPr>
        <w:t>the Information</w:t>
      </w:r>
      <w:r w:rsidRPr="00075889">
        <w:rPr>
          <w:b/>
          <w:snapToGrid/>
          <w:sz w:val="24"/>
          <w:szCs w:val="24"/>
        </w:rPr>
        <w:t xml:space="preserve"> Less Frequently </w:t>
      </w:r>
    </w:p>
    <w:p w:rsidR="00D60543" w:rsidRPr="007F6678" w:rsidP="007F6678" w14:paraId="0DA9C819" w14:textId="2AC7F64F">
      <w:pPr>
        <w:widowControl/>
        <w:tabs>
          <w:tab w:val="num" w:pos="360"/>
        </w:tabs>
        <w:rPr>
          <w:snapToGrid/>
          <w:szCs w:val="22"/>
        </w:rPr>
      </w:pPr>
      <w:r w:rsidRPr="007F6678">
        <w:rPr>
          <w:snapToGrid/>
          <w:szCs w:val="22"/>
        </w:rPr>
        <w:t>Not collecting the information request</w:t>
      </w:r>
      <w:r w:rsidR="005D7F68">
        <w:rPr>
          <w:snapToGrid/>
          <w:szCs w:val="22"/>
        </w:rPr>
        <w:t>ed</w:t>
      </w:r>
      <w:r w:rsidRPr="007F6678">
        <w:rPr>
          <w:snapToGrid/>
          <w:szCs w:val="22"/>
        </w:rPr>
        <w:t xml:space="preserve"> </w:t>
      </w:r>
      <w:r w:rsidR="005D7F68">
        <w:rPr>
          <w:snapToGrid/>
          <w:szCs w:val="22"/>
        </w:rPr>
        <w:t>in</w:t>
      </w:r>
      <w:r w:rsidRPr="007F6678">
        <w:rPr>
          <w:snapToGrid/>
          <w:szCs w:val="22"/>
        </w:rPr>
        <w:t xml:space="preserve"> these forms would impede ORR from </w:t>
      </w:r>
      <w:r w:rsidR="005D7F68">
        <w:rPr>
          <w:snapToGrid/>
          <w:szCs w:val="22"/>
        </w:rPr>
        <w:t>abiding by the term</w:t>
      </w:r>
      <w:r w:rsidR="00913415">
        <w:rPr>
          <w:snapToGrid/>
          <w:szCs w:val="22"/>
        </w:rPr>
        <w:t>s</w:t>
      </w:r>
      <w:r w:rsidR="005D7F68">
        <w:rPr>
          <w:snapToGrid/>
          <w:szCs w:val="22"/>
        </w:rPr>
        <w:t xml:space="preserve"> of the</w:t>
      </w:r>
      <w:r w:rsidRPr="00913415" w:rsidR="005D7F68">
        <w:rPr>
          <w:snapToGrid/>
          <w:szCs w:val="22"/>
        </w:rPr>
        <w:t xml:space="preserve"> </w:t>
      </w:r>
      <w:r w:rsidRPr="00913415" w:rsidR="00913415">
        <w:rPr>
          <w:rStyle w:val="normaltextrun"/>
          <w:i/>
          <w:iCs/>
        </w:rPr>
        <w:t>Lucas R. et al v. Becerra et al</w:t>
      </w:r>
      <w:r w:rsidRPr="00913415" w:rsidR="00913415">
        <w:rPr>
          <w:rStyle w:val="normaltextrun"/>
        </w:rPr>
        <w:t xml:space="preserve"> (Case No. 2:18-CV-05741 DMG PLA) Psychotropic Medication Settlement Agreement</w:t>
      </w:r>
      <w:r w:rsidRPr="00913415" w:rsidR="00913415">
        <w:rPr>
          <w:snapToGrid/>
          <w:szCs w:val="22"/>
        </w:rPr>
        <w:t xml:space="preserve"> </w:t>
      </w:r>
      <w:r w:rsidR="005D7F68">
        <w:rPr>
          <w:snapToGrid/>
          <w:szCs w:val="22"/>
        </w:rPr>
        <w:t xml:space="preserve">and </w:t>
      </w:r>
      <w:r w:rsidRPr="007F6678">
        <w:rPr>
          <w:snapToGrid/>
          <w:szCs w:val="22"/>
        </w:rPr>
        <w:t xml:space="preserve">performing its charged duty of providing </w:t>
      </w:r>
      <w:r w:rsidR="00F57B59">
        <w:rPr>
          <w:snapToGrid/>
          <w:szCs w:val="22"/>
        </w:rPr>
        <w:t xml:space="preserve">care and </w:t>
      </w:r>
      <w:r w:rsidRPr="007F6678">
        <w:rPr>
          <w:snapToGrid/>
          <w:szCs w:val="22"/>
        </w:rPr>
        <w:t xml:space="preserve">services to unaccompanied </w:t>
      </w:r>
      <w:r w:rsidR="009870C7">
        <w:rPr>
          <w:rFonts w:asciiTheme="majorBidi" w:hAnsiTheme="majorBidi" w:cstheme="majorBidi"/>
        </w:rPr>
        <w:t xml:space="preserve">alien </w:t>
      </w:r>
      <w:r w:rsidRPr="007F6678">
        <w:rPr>
          <w:snapToGrid/>
          <w:szCs w:val="22"/>
        </w:rPr>
        <w:t xml:space="preserve">children. </w:t>
      </w:r>
    </w:p>
    <w:p w:rsidR="00DE529D" w:rsidP="00022586" w14:paraId="2744D4F5" w14:textId="77777777">
      <w:pPr>
        <w:widowControl/>
        <w:tabs>
          <w:tab w:val="num" w:pos="360"/>
        </w:tabs>
        <w:ind w:left="360"/>
        <w:rPr>
          <w:snapToGrid/>
          <w:sz w:val="24"/>
          <w:szCs w:val="24"/>
        </w:rPr>
      </w:pPr>
    </w:p>
    <w:p w:rsidR="007F6678" w:rsidRPr="004F7B95" w:rsidP="00022586" w14:paraId="2B458C8F" w14:textId="77777777">
      <w:pPr>
        <w:widowControl/>
        <w:tabs>
          <w:tab w:val="num" w:pos="360"/>
        </w:tabs>
        <w:ind w:left="360"/>
        <w:rPr>
          <w:snapToGrid/>
          <w:sz w:val="24"/>
          <w:szCs w:val="24"/>
        </w:rPr>
      </w:pPr>
    </w:p>
    <w:p w:rsidR="002C3C4F" w:rsidRPr="00075889" w:rsidP="00075889" w14:paraId="16AA9585"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Special Circumstances Relating to the Guidelines of 5 CFR 1320.5 </w:t>
      </w:r>
    </w:p>
    <w:p w:rsidR="00E92661" w:rsidRPr="008A031E" w:rsidP="00E92661" w14:paraId="36B6DB69" w14:textId="77777777">
      <w:pPr>
        <w:widowControl/>
        <w:tabs>
          <w:tab w:val="num" w:pos="360"/>
        </w:tabs>
        <w:rPr>
          <w:snapToGrid/>
          <w:sz w:val="28"/>
          <w:szCs w:val="24"/>
        </w:rPr>
      </w:pPr>
      <w:r w:rsidRPr="008A031E">
        <w:rPr>
          <w:szCs w:val="24"/>
        </w:rPr>
        <w:t>None of the characteristics outlined in 5 CFR 1320.5(d)(2) apply to the instruments in this collection.</w:t>
      </w:r>
    </w:p>
    <w:p w:rsidR="00DE529D" w:rsidP="00E92661" w14:paraId="7781B5A4" w14:textId="77777777">
      <w:pPr>
        <w:widowControl/>
        <w:tabs>
          <w:tab w:val="num" w:pos="360"/>
        </w:tabs>
        <w:rPr>
          <w:snapToGrid/>
          <w:sz w:val="24"/>
          <w:szCs w:val="24"/>
        </w:rPr>
      </w:pPr>
    </w:p>
    <w:p w:rsidR="00DE529D" w:rsidRPr="004F7B95" w:rsidP="00022586" w14:paraId="2CFEBB22" w14:textId="77777777">
      <w:pPr>
        <w:widowControl/>
        <w:tabs>
          <w:tab w:val="num" w:pos="360"/>
        </w:tabs>
        <w:ind w:left="360"/>
        <w:rPr>
          <w:snapToGrid/>
          <w:sz w:val="24"/>
          <w:szCs w:val="24"/>
        </w:rPr>
      </w:pPr>
    </w:p>
    <w:p w:rsidR="0051278C" w:rsidRPr="00075889" w:rsidP="00075889" w14:paraId="435DD2BB"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Comments in Response to the Federal Register Notice and Efforts to Consult Outside the Agency </w:t>
      </w:r>
    </w:p>
    <w:p w:rsidR="0084609A" w:rsidRPr="00AC1323" w:rsidP="00AD023C" w14:paraId="016A1F70" w14:textId="1826F34D">
      <w:pPr>
        <w:tabs>
          <w:tab w:val="num" w:pos="360"/>
        </w:tabs>
        <w:rPr>
          <w:szCs w:val="22"/>
        </w:rPr>
      </w:pPr>
      <w:r w:rsidRPr="00AC1323">
        <w:rPr>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AC1323" w:rsidR="00927CB8">
        <w:rPr>
          <w:szCs w:val="22"/>
        </w:rPr>
        <w:t>July 22, 2024</w:t>
      </w:r>
      <w:r w:rsidR="00DA5CB5">
        <w:rPr>
          <w:szCs w:val="22"/>
        </w:rPr>
        <w:t xml:space="preserve"> (</w:t>
      </w:r>
      <w:r w:rsidRPr="00AC1323" w:rsidR="00927CB8">
        <w:rPr>
          <w:szCs w:val="22"/>
        </w:rPr>
        <w:t>89</w:t>
      </w:r>
      <w:r w:rsidR="00DA5CB5">
        <w:rPr>
          <w:szCs w:val="22"/>
        </w:rPr>
        <w:t xml:space="preserve"> FR</w:t>
      </w:r>
      <w:r w:rsidRPr="00AC1323">
        <w:rPr>
          <w:szCs w:val="22"/>
        </w:rPr>
        <w:t xml:space="preserve"> </w:t>
      </w:r>
      <w:r w:rsidRPr="00AC1323" w:rsidR="00927CB8">
        <w:rPr>
          <w:szCs w:val="22"/>
        </w:rPr>
        <w:t>59</w:t>
      </w:r>
      <w:r w:rsidRPr="00AC1323" w:rsidR="00C76F9A">
        <w:rPr>
          <w:szCs w:val="22"/>
        </w:rPr>
        <w:t>115</w:t>
      </w:r>
      <w:r w:rsidR="00DA5CB5">
        <w:rPr>
          <w:szCs w:val="22"/>
        </w:rPr>
        <w:t>)</w:t>
      </w:r>
      <w:r w:rsidRPr="00AC1323">
        <w:rPr>
          <w:szCs w:val="22"/>
        </w:rPr>
        <w:t xml:space="preserve"> and provided a sixty-day period for public comment.  During the notice and comment period, </w:t>
      </w:r>
      <w:r w:rsidRPr="00AC1323" w:rsidR="00C32004">
        <w:rPr>
          <w:rFonts w:eastAsiaTheme="minorEastAsia"/>
          <w:color w:val="211D1E"/>
          <w:szCs w:val="22"/>
        </w:rPr>
        <w:t xml:space="preserve">responses were received from </w:t>
      </w:r>
      <w:r w:rsidRPr="00AC1323" w:rsidR="00C76F9A">
        <w:rPr>
          <w:rFonts w:eastAsiaTheme="minorEastAsia"/>
          <w:color w:val="211D1E"/>
          <w:szCs w:val="22"/>
        </w:rPr>
        <w:t>one</w:t>
      </w:r>
      <w:r w:rsidRPr="00AC1323" w:rsidR="00C32004">
        <w:rPr>
          <w:rFonts w:eastAsiaTheme="minorEastAsia"/>
          <w:color w:val="211D1E"/>
          <w:szCs w:val="22"/>
        </w:rPr>
        <w:t xml:space="preserve"> commenter. Attachment A provides a summary of th</w:t>
      </w:r>
      <w:r w:rsidRPr="00AC1323" w:rsidR="00AC1323">
        <w:rPr>
          <w:rFonts w:eastAsiaTheme="minorEastAsia"/>
          <w:color w:val="211D1E"/>
          <w:szCs w:val="22"/>
        </w:rPr>
        <w:t>e</w:t>
      </w:r>
      <w:r w:rsidRPr="00AC1323" w:rsidR="00C32004">
        <w:rPr>
          <w:rFonts w:eastAsiaTheme="minorEastAsia"/>
          <w:color w:val="211D1E"/>
          <w:szCs w:val="22"/>
        </w:rPr>
        <w:t xml:space="preserve"> comments and ORR’s responses.</w:t>
      </w:r>
      <w:r w:rsidRPr="00AC1323" w:rsidR="00C32004">
        <w:rPr>
          <w:szCs w:val="22"/>
        </w:rPr>
        <w:t> </w:t>
      </w:r>
    </w:p>
    <w:p w:rsidR="009C2DE1" w:rsidRPr="00AC1323" w:rsidP="00022586" w14:paraId="5F44B472" w14:textId="77777777">
      <w:pPr>
        <w:widowControl/>
        <w:tabs>
          <w:tab w:val="num" w:pos="360"/>
        </w:tabs>
        <w:ind w:left="360"/>
        <w:rPr>
          <w:snapToGrid/>
          <w:szCs w:val="22"/>
        </w:rPr>
      </w:pPr>
    </w:p>
    <w:p w:rsidR="00022586" w:rsidRPr="004F7B95" w:rsidP="00022586" w14:paraId="2EDB417E" w14:textId="77777777">
      <w:pPr>
        <w:widowControl/>
        <w:tabs>
          <w:tab w:val="num" w:pos="360"/>
        </w:tabs>
        <w:ind w:left="360"/>
        <w:rPr>
          <w:snapToGrid/>
          <w:sz w:val="24"/>
          <w:szCs w:val="24"/>
        </w:rPr>
      </w:pPr>
    </w:p>
    <w:p w:rsidR="002C3C4F" w:rsidRPr="00075889" w:rsidP="00075889" w14:paraId="2C6C564B"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Explanation of Any Payment or Gift to Respondents </w:t>
      </w:r>
    </w:p>
    <w:p w:rsidR="00D15B41" w:rsidP="008A32E8" w14:paraId="5166FF6A" w14:textId="6407CE11">
      <w:pPr>
        <w:widowControl/>
        <w:tabs>
          <w:tab w:val="num" w:pos="360"/>
        </w:tabs>
        <w:rPr>
          <w:snapToGrid/>
          <w:sz w:val="24"/>
          <w:szCs w:val="24"/>
        </w:rPr>
      </w:pPr>
      <w:r w:rsidRPr="00D330E6">
        <w:rPr>
          <w:color w:val="000000" w:themeColor="text1"/>
        </w:rPr>
        <w:t xml:space="preserve">No </w:t>
      </w:r>
      <w:r>
        <w:rPr>
          <w:color w:val="000000" w:themeColor="text1"/>
        </w:rPr>
        <w:t>payment</w:t>
      </w:r>
      <w:r w:rsidRPr="00D330E6">
        <w:rPr>
          <w:color w:val="000000" w:themeColor="text1"/>
        </w:rPr>
        <w:t xml:space="preserve"> or gift will be provided</w:t>
      </w:r>
      <w:r>
        <w:rPr>
          <w:color w:val="000000" w:themeColor="text1"/>
        </w:rPr>
        <w:t xml:space="preserve"> </w:t>
      </w:r>
      <w:r w:rsidRPr="00D330E6">
        <w:rPr>
          <w:color w:val="000000" w:themeColor="text1"/>
        </w:rPr>
        <w:t>to the respondents.</w:t>
      </w:r>
    </w:p>
    <w:p w:rsidR="00D60543" w:rsidP="00022586" w14:paraId="58AEE861" w14:textId="77777777">
      <w:pPr>
        <w:widowControl/>
        <w:tabs>
          <w:tab w:val="num" w:pos="360"/>
        </w:tabs>
        <w:ind w:left="360"/>
        <w:rPr>
          <w:snapToGrid/>
          <w:sz w:val="24"/>
          <w:szCs w:val="24"/>
        </w:rPr>
      </w:pPr>
    </w:p>
    <w:p w:rsidR="00D60543" w:rsidRPr="004F7B95" w:rsidP="00DE529D" w14:paraId="62113040" w14:textId="77777777">
      <w:pPr>
        <w:widowControl/>
        <w:tabs>
          <w:tab w:val="num" w:pos="360"/>
        </w:tabs>
        <w:ind w:left="360"/>
        <w:rPr>
          <w:snapToGrid/>
          <w:sz w:val="24"/>
          <w:szCs w:val="24"/>
        </w:rPr>
      </w:pPr>
    </w:p>
    <w:p w:rsidR="002C3C4F" w:rsidRPr="00075889" w:rsidP="00240655" w14:paraId="4874FACA" w14:textId="77777777">
      <w:pPr>
        <w:widowControl/>
        <w:numPr>
          <w:ilvl w:val="0"/>
          <w:numId w:val="3"/>
        </w:numPr>
        <w:tabs>
          <w:tab w:val="num" w:pos="360"/>
        </w:tabs>
        <w:spacing w:after="120"/>
        <w:ind w:left="360"/>
        <w:rPr>
          <w:b/>
          <w:snapToGrid/>
          <w:sz w:val="24"/>
          <w:szCs w:val="24"/>
        </w:rPr>
      </w:pPr>
      <w:r w:rsidRPr="0EF57BEA">
        <w:rPr>
          <w:b/>
          <w:bCs/>
          <w:snapToGrid/>
          <w:sz w:val="24"/>
          <w:szCs w:val="24"/>
        </w:rPr>
        <w:t xml:space="preserve">Assurance of Confidentiality Provided to Respondents </w:t>
      </w:r>
    </w:p>
    <w:p w:rsidR="00D60543" w:rsidP="00B1634B" w14:paraId="2748236F" w14:textId="2F1B9274">
      <w:pPr>
        <w:widowControl/>
        <w:tabs>
          <w:tab w:val="num" w:pos="360"/>
        </w:tabs>
        <w:rPr>
          <w:snapToGrid/>
          <w:sz w:val="24"/>
          <w:szCs w:val="24"/>
        </w:rPr>
      </w:pPr>
      <w:r w:rsidRPr="00D330E6">
        <w:rPr>
          <w:color w:val="211D1E"/>
        </w:rPr>
        <w:t>ORR established a system of records to ensure the level of confidentiality pursuant to the Privacy Act. 5 U.S.C. 552a. ORR’s system of records notice</w:t>
      </w:r>
      <w:r>
        <w:rPr>
          <w:color w:val="211D1E"/>
        </w:rPr>
        <w:t xml:space="preserve">, titled </w:t>
      </w:r>
      <w:r w:rsidRPr="00C4478D" w:rsidR="00C4478D">
        <w:rPr>
          <w:color w:val="211D1E"/>
        </w:rPr>
        <w:t>09-80-0321 ORR Division of Children's Services Records</w:t>
      </w:r>
      <w:r>
        <w:rPr>
          <w:color w:val="211D1E"/>
        </w:rPr>
        <w:t>,</w:t>
      </w:r>
      <w:r w:rsidRPr="00D330E6">
        <w:rPr>
          <w:color w:val="211D1E"/>
        </w:rPr>
        <w:t xml:space="preserve"> was published on July 18, </w:t>
      </w:r>
      <w:r w:rsidRPr="00D330E6">
        <w:rPr>
          <w:color w:val="211D1E"/>
        </w:rPr>
        <w:t>2016</w:t>
      </w:r>
      <w:r w:rsidRPr="00D330E6">
        <w:rPr>
          <w:color w:val="211D1E"/>
        </w:rPr>
        <w:t xml:space="preserve"> at 81 FR 46682.</w:t>
      </w:r>
    </w:p>
    <w:p w:rsidR="00D60543" w:rsidP="00022586" w14:paraId="0630E30B" w14:textId="77777777">
      <w:pPr>
        <w:widowControl/>
        <w:tabs>
          <w:tab w:val="num" w:pos="360"/>
        </w:tabs>
        <w:ind w:left="360"/>
        <w:rPr>
          <w:snapToGrid/>
          <w:sz w:val="24"/>
          <w:szCs w:val="24"/>
        </w:rPr>
      </w:pPr>
    </w:p>
    <w:p w:rsidR="004700DF" w:rsidP="00022586" w14:paraId="432BB1D3" w14:textId="77777777">
      <w:pPr>
        <w:widowControl/>
        <w:tabs>
          <w:tab w:val="num" w:pos="360"/>
        </w:tabs>
        <w:ind w:left="360"/>
        <w:rPr>
          <w:snapToGrid/>
          <w:sz w:val="24"/>
          <w:szCs w:val="24"/>
        </w:rPr>
      </w:pPr>
    </w:p>
    <w:p w:rsidR="004700DF" w:rsidP="00022586" w14:paraId="63957484" w14:textId="77777777">
      <w:pPr>
        <w:widowControl/>
        <w:tabs>
          <w:tab w:val="num" w:pos="360"/>
        </w:tabs>
        <w:ind w:left="360"/>
        <w:rPr>
          <w:snapToGrid/>
          <w:sz w:val="24"/>
          <w:szCs w:val="24"/>
        </w:rPr>
      </w:pPr>
    </w:p>
    <w:p w:rsidR="00D60543" w:rsidRPr="004F7B95" w:rsidP="00DE529D" w14:paraId="1C82E036" w14:textId="77777777">
      <w:pPr>
        <w:widowControl/>
        <w:tabs>
          <w:tab w:val="num" w:pos="360"/>
        </w:tabs>
        <w:ind w:left="360"/>
        <w:rPr>
          <w:snapToGrid/>
          <w:sz w:val="24"/>
          <w:szCs w:val="24"/>
        </w:rPr>
      </w:pPr>
    </w:p>
    <w:p w:rsidR="002C3C4F" w:rsidRPr="00075889" w:rsidP="001F78EC" w14:paraId="63E02878"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Justification for Sensitive Questions </w:t>
      </w:r>
    </w:p>
    <w:p w:rsidR="004602FE" w:rsidRPr="00DC79CA" w:rsidP="001F78EC" w14:paraId="1C91DBF9" w14:textId="6D1DC824">
      <w:pPr>
        <w:widowControl/>
        <w:tabs>
          <w:tab w:val="num" w:pos="360"/>
        </w:tabs>
        <w:rPr>
          <w:snapToGrid/>
          <w:szCs w:val="22"/>
        </w:rPr>
      </w:pPr>
      <w:r w:rsidRPr="00DC79CA">
        <w:rPr>
          <w:snapToGrid/>
          <w:szCs w:val="22"/>
        </w:rPr>
        <w:t xml:space="preserve">Sensitive information </w:t>
      </w:r>
      <w:r w:rsidR="00C26E8B">
        <w:rPr>
          <w:snapToGrid/>
          <w:szCs w:val="22"/>
        </w:rPr>
        <w:t xml:space="preserve">related to </w:t>
      </w:r>
      <w:r w:rsidR="00855F76">
        <w:rPr>
          <w:snapToGrid/>
          <w:szCs w:val="22"/>
        </w:rPr>
        <w:t xml:space="preserve">children’s </w:t>
      </w:r>
      <w:r w:rsidR="00923412">
        <w:rPr>
          <w:snapToGrid/>
          <w:szCs w:val="22"/>
        </w:rPr>
        <w:t xml:space="preserve">medical and mental </w:t>
      </w:r>
      <w:r w:rsidR="00DD309B">
        <w:rPr>
          <w:snapToGrid/>
          <w:szCs w:val="22"/>
        </w:rPr>
        <w:t>health diagnoses/conditions and prescribed psychotropic medication are collected in the form</w:t>
      </w:r>
      <w:r w:rsidR="00C16242">
        <w:rPr>
          <w:snapToGrid/>
          <w:szCs w:val="22"/>
        </w:rPr>
        <w:t>s</w:t>
      </w:r>
      <w:r w:rsidR="00DD309B">
        <w:rPr>
          <w:snapToGrid/>
          <w:szCs w:val="22"/>
        </w:rPr>
        <w:t xml:space="preserve">. </w:t>
      </w:r>
      <w:r w:rsidR="0080668A">
        <w:rPr>
          <w:snapToGrid/>
          <w:szCs w:val="22"/>
        </w:rPr>
        <w:t xml:space="preserve">Collection of this information is necessary </w:t>
      </w:r>
      <w:r w:rsidR="00A51113">
        <w:rPr>
          <w:snapToGrid/>
          <w:szCs w:val="22"/>
        </w:rPr>
        <w:t xml:space="preserve">to provide healthcare to children in ORR custody and to abide by the terms of the </w:t>
      </w:r>
      <w:r w:rsidRPr="00913415" w:rsidR="00A51113">
        <w:rPr>
          <w:rStyle w:val="normaltextrun"/>
          <w:i/>
          <w:iCs/>
        </w:rPr>
        <w:t>Lucas R. et al v. Becerra et al</w:t>
      </w:r>
      <w:r w:rsidRPr="00913415" w:rsidR="00A51113">
        <w:rPr>
          <w:rStyle w:val="normaltextrun"/>
        </w:rPr>
        <w:t xml:space="preserve"> (Case No. 2:18-CV-05741 DMG PLA) Psychotropic Medication Settlement Agreement</w:t>
      </w:r>
      <w:r w:rsidR="00A51113">
        <w:rPr>
          <w:rStyle w:val="normaltextrun"/>
        </w:rPr>
        <w:t>.</w:t>
      </w:r>
      <w:r w:rsidR="00FF0A1D">
        <w:rPr>
          <w:rStyle w:val="normaltextrun"/>
        </w:rPr>
        <w:t xml:space="preserve"> ORR does not collect sensitive information beyond what is necessa</w:t>
      </w:r>
      <w:r w:rsidR="00C16242">
        <w:rPr>
          <w:rStyle w:val="normaltextrun"/>
        </w:rPr>
        <w:t>r</w:t>
      </w:r>
      <w:r w:rsidR="00FF0A1D">
        <w:rPr>
          <w:rStyle w:val="normaltextrun"/>
        </w:rPr>
        <w:t xml:space="preserve">y to provide healthcare services to </w:t>
      </w:r>
      <w:r w:rsidR="00FF0A1D">
        <w:rPr>
          <w:rStyle w:val="normaltextrun"/>
        </w:rPr>
        <w:t>child</w:t>
      </w:r>
      <w:r w:rsidR="00FF0A1D">
        <w:rPr>
          <w:rStyle w:val="normaltextrun"/>
        </w:rPr>
        <w:t xml:space="preserve"> and meet the terms of the Settlement Agreement.</w:t>
      </w:r>
    </w:p>
    <w:p w:rsidR="00D60543" w:rsidP="001F78EC" w14:paraId="22B0B361" w14:textId="77777777">
      <w:pPr>
        <w:widowControl/>
        <w:tabs>
          <w:tab w:val="num" w:pos="360"/>
        </w:tabs>
        <w:rPr>
          <w:snapToGrid/>
          <w:sz w:val="24"/>
          <w:szCs w:val="24"/>
        </w:rPr>
      </w:pPr>
    </w:p>
    <w:p w:rsidR="00DE529D" w:rsidRPr="004F7B95" w:rsidP="001F78EC" w14:paraId="710C7355" w14:textId="77777777">
      <w:pPr>
        <w:widowControl/>
        <w:tabs>
          <w:tab w:val="num" w:pos="360"/>
        </w:tabs>
        <w:rPr>
          <w:snapToGrid/>
          <w:sz w:val="24"/>
          <w:szCs w:val="24"/>
        </w:rPr>
      </w:pPr>
    </w:p>
    <w:p w:rsidR="00942AF9" w:rsidRPr="00942AF9" w:rsidP="00942AF9" w14:paraId="15F28F14" w14:textId="45CAB9DE">
      <w:pPr>
        <w:widowControl/>
        <w:numPr>
          <w:ilvl w:val="0"/>
          <w:numId w:val="3"/>
        </w:numPr>
        <w:tabs>
          <w:tab w:val="num" w:pos="360"/>
        </w:tabs>
        <w:spacing w:after="120"/>
        <w:ind w:left="360"/>
        <w:rPr>
          <w:b/>
          <w:snapToGrid/>
          <w:sz w:val="24"/>
          <w:szCs w:val="24"/>
        </w:rPr>
      </w:pPr>
      <w:r w:rsidRPr="5A42027D">
        <w:rPr>
          <w:b/>
          <w:bCs/>
          <w:snapToGrid/>
          <w:sz w:val="24"/>
          <w:szCs w:val="24"/>
        </w:rPr>
        <w:t xml:space="preserve">Estimates of Annualized Burden Hours and Costs </w:t>
      </w:r>
    </w:p>
    <w:p w:rsidR="00942AF9" w:rsidRPr="00DE1651" w:rsidP="0072291B" w14:paraId="53F492F9" w14:textId="3764685B">
      <w:pPr>
        <w:widowControl/>
        <w:spacing w:after="120"/>
        <w:rPr>
          <w:snapToGrid/>
          <w:szCs w:val="22"/>
        </w:rPr>
      </w:pPr>
      <w:r w:rsidRPr="00DE1651">
        <w:rPr>
          <w:snapToGrid/>
          <w:szCs w:val="22"/>
        </w:rPr>
        <w:t xml:space="preserve">The following factors were used to estimate burden hours and cost to </w:t>
      </w:r>
      <w:r w:rsidRPr="00DE1651">
        <w:rPr>
          <w:snapToGrid/>
          <w:szCs w:val="22"/>
        </w:rPr>
        <w:t>respondent</w:t>
      </w:r>
      <w:r w:rsidRPr="00DE1651">
        <w:rPr>
          <w:snapToGrid/>
          <w:szCs w:val="22"/>
        </w:rPr>
        <w:t>:</w:t>
      </w:r>
    </w:p>
    <w:p w:rsidR="0072291B" w:rsidP="0072291B" w14:paraId="38A1E4AA" w14:textId="1919F256">
      <w:pPr>
        <w:pStyle w:val="ListParagraph"/>
        <w:widowControl/>
        <w:numPr>
          <w:ilvl w:val="0"/>
          <w:numId w:val="24"/>
        </w:numPr>
        <w:spacing w:after="120"/>
        <w:rPr>
          <w:snapToGrid/>
          <w:szCs w:val="22"/>
        </w:rPr>
      </w:pPr>
      <w:r w:rsidRPr="00410D1F">
        <w:rPr>
          <w:snapToGrid/>
          <w:szCs w:val="22"/>
        </w:rPr>
        <w:t xml:space="preserve">ORR funds approximately </w:t>
      </w:r>
      <w:r w:rsidR="00513C7E">
        <w:rPr>
          <w:snapToGrid/>
          <w:szCs w:val="22"/>
        </w:rPr>
        <w:t>300</w:t>
      </w:r>
      <w:r w:rsidRPr="00410D1F">
        <w:rPr>
          <w:snapToGrid/>
          <w:szCs w:val="22"/>
        </w:rPr>
        <w:t xml:space="preserve"> care provider grantees.</w:t>
      </w:r>
    </w:p>
    <w:p w:rsidR="001A2D89" w:rsidRPr="00410D1F" w:rsidP="0072291B" w14:paraId="21E923B6" w14:textId="45238917">
      <w:pPr>
        <w:pStyle w:val="ListParagraph"/>
        <w:widowControl/>
        <w:numPr>
          <w:ilvl w:val="0"/>
          <w:numId w:val="24"/>
        </w:numPr>
        <w:spacing w:after="120"/>
        <w:rPr>
          <w:snapToGrid/>
          <w:szCs w:val="22"/>
        </w:rPr>
      </w:pPr>
      <w:r>
        <w:rPr>
          <w:snapToGrid/>
          <w:szCs w:val="22"/>
        </w:rPr>
        <w:t xml:space="preserve">The estimated number of children prescribed psychotropic medication </w:t>
      </w:r>
      <w:r w:rsidR="00110717">
        <w:rPr>
          <w:snapToGrid/>
          <w:szCs w:val="22"/>
        </w:rPr>
        <w:t xml:space="preserve">in a 12-month period is 500 and the estimated number of </w:t>
      </w:r>
      <w:r w:rsidR="00110717">
        <w:rPr>
          <w:snapToGrid/>
          <w:szCs w:val="22"/>
        </w:rPr>
        <w:t>those children</w:t>
      </w:r>
      <w:r w:rsidR="00110717">
        <w:rPr>
          <w:snapToGrid/>
          <w:szCs w:val="22"/>
        </w:rPr>
        <w:t xml:space="preserve"> who are age 14 or older is 400.</w:t>
      </w:r>
    </w:p>
    <w:p w:rsidR="003F3AE8" w:rsidP="00903EB8" w14:paraId="60F2CB5D" w14:textId="5C85A052">
      <w:pPr>
        <w:pStyle w:val="Default"/>
        <w:numPr>
          <w:ilvl w:val="0"/>
          <w:numId w:val="24"/>
        </w:numPr>
        <w:spacing w:after="120"/>
        <w:rPr>
          <w:rFonts w:ascii="Times New Roman" w:hAnsi="Times New Roman" w:cs="Times New Roman"/>
          <w:sz w:val="22"/>
        </w:rPr>
      </w:pPr>
      <w:r w:rsidRPr="00410D1F">
        <w:rPr>
          <w:rFonts w:ascii="Times New Roman" w:hAnsi="Times New Roman" w:cs="Times New Roman"/>
          <w:sz w:val="22"/>
          <w:szCs w:val="22"/>
        </w:rPr>
        <w:t xml:space="preserve">The cost to respondents was calculated using </w:t>
      </w:r>
      <w:r w:rsidRPr="00410D1F" w:rsidR="006D75A9">
        <w:rPr>
          <w:rFonts w:ascii="Times New Roman" w:hAnsi="Times New Roman" w:cs="Times New Roman"/>
          <w:sz w:val="22"/>
          <w:szCs w:val="22"/>
        </w:rPr>
        <w:t xml:space="preserve">median hourly </w:t>
      </w:r>
      <w:r w:rsidRPr="00410D1F">
        <w:rPr>
          <w:rFonts w:ascii="Times New Roman" w:hAnsi="Times New Roman" w:cs="Times New Roman"/>
          <w:sz w:val="22"/>
          <w:szCs w:val="22"/>
        </w:rPr>
        <w:t>wage data</w:t>
      </w:r>
      <w:r w:rsidRPr="00410D1F" w:rsidR="00C10B7B">
        <w:rPr>
          <w:rFonts w:ascii="Times New Roman" w:hAnsi="Times New Roman" w:cs="Times New Roman"/>
          <w:sz w:val="22"/>
          <w:szCs w:val="22"/>
        </w:rPr>
        <w:t xml:space="preserve"> from</w:t>
      </w:r>
      <w:r w:rsidRPr="00410D1F">
        <w:rPr>
          <w:rFonts w:ascii="Times New Roman" w:hAnsi="Times New Roman" w:cs="Times New Roman"/>
          <w:sz w:val="22"/>
          <w:szCs w:val="22"/>
        </w:rPr>
        <w:t xml:space="preserve"> </w:t>
      </w:r>
      <w:r w:rsidR="001775BB">
        <w:rPr>
          <w:rFonts w:ascii="Times New Roman" w:hAnsi="Times New Roman" w:cs="Times New Roman"/>
          <w:sz w:val="22"/>
          <w:szCs w:val="22"/>
        </w:rPr>
        <w:t>May 2023</w:t>
      </w:r>
      <w:r w:rsidRPr="00410D1F" w:rsidR="00C10B7B">
        <w:rPr>
          <w:rFonts w:ascii="Times New Roman" w:hAnsi="Times New Roman" w:cs="Times New Roman"/>
          <w:sz w:val="22"/>
          <w:szCs w:val="22"/>
        </w:rPr>
        <w:t xml:space="preserve">(accessed </w:t>
      </w:r>
      <w:r w:rsidR="001775BB">
        <w:rPr>
          <w:rFonts w:ascii="Times New Roman" w:hAnsi="Times New Roman" w:cs="Times New Roman"/>
          <w:sz w:val="22"/>
          <w:szCs w:val="22"/>
        </w:rPr>
        <w:t>October 2024</w:t>
      </w:r>
      <w:r w:rsidRPr="00410D1F" w:rsidR="00C10B7B">
        <w:rPr>
          <w:rFonts w:ascii="Times New Roman" w:hAnsi="Times New Roman" w:cs="Times New Roman"/>
          <w:sz w:val="22"/>
          <w:szCs w:val="22"/>
        </w:rPr>
        <w:t>)</w:t>
      </w:r>
      <w:r w:rsidRPr="00410D1F">
        <w:rPr>
          <w:rFonts w:ascii="Times New Roman" w:hAnsi="Times New Roman" w:cs="Times New Roman"/>
          <w:sz w:val="22"/>
          <w:szCs w:val="22"/>
        </w:rPr>
        <w:t xml:space="preserve">, for the Bureau of Labor Statistics (BLS) job code 21-1021 Child, Family, and School Social Workers in the industry of Other Residential Care Facilities. The rates were multiplied by two to account for fringe benefits and </w:t>
      </w:r>
      <w:r w:rsidRPr="001775BB">
        <w:rPr>
          <w:rFonts w:ascii="Times New Roman" w:hAnsi="Times New Roman" w:cs="Times New Roman"/>
          <w:sz w:val="22"/>
          <w:szCs w:val="22"/>
        </w:rPr>
        <w:t>ove</w:t>
      </w:r>
      <w:r w:rsidRPr="001775BB">
        <w:rPr>
          <w:rFonts w:ascii="Times New Roman" w:hAnsi="Times New Roman" w:cs="Times New Roman"/>
          <w:sz w:val="22"/>
        </w:rPr>
        <w:t>rhead – $</w:t>
      </w:r>
      <w:r w:rsidRPr="001775BB" w:rsidR="001775BB">
        <w:rPr>
          <w:rFonts w:ascii="Times New Roman" w:hAnsi="Times New Roman" w:cs="Times New Roman"/>
          <w:sz w:val="22"/>
        </w:rPr>
        <w:t>22.01</w:t>
      </w:r>
      <w:r w:rsidRPr="001775BB">
        <w:rPr>
          <w:rFonts w:ascii="Times New Roman" w:hAnsi="Times New Roman" w:cs="Times New Roman"/>
          <w:sz w:val="22"/>
        </w:rPr>
        <w:t xml:space="preserve"> </w:t>
      </w:r>
      <w:r w:rsidRPr="001775BB" w:rsidR="006D75A9">
        <w:rPr>
          <w:rFonts w:ascii="Symbol" w:eastAsia="Symbol" w:hAnsi="Symbol" w:cs="Symbol"/>
          <w:sz w:val="22"/>
        </w:rPr>
        <w:t>´</w:t>
      </w:r>
      <w:r w:rsidRPr="001775BB">
        <w:rPr>
          <w:rFonts w:ascii="Times New Roman" w:hAnsi="Times New Roman" w:cs="Times New Roman"/>
          <w:sz w:val="22"/>
        </w:rPr>
        <w:t xml:space="preserve"> 2 = $</w:t>
      </w:r>
      <w:r w:rsidRPr="001775BB" w:rsidR="001775BB">
        <w:rPr>
          <w:rFonts w:ascii="Times New Roman" w:hAnsi="Times New Roman" w:cs="Times New Roman"/>
          <w:sz w:val="22"/>
        </w:rPr>
        <w:t>44.02</w:t>
      </w:r>
      <w:r w:rsidRPr="003F3AE8">
        <w:rPr>
          <w:rFonts w:ascii="Times New Roman" w:hAnsi="Times New Roman" w:cs="Times New Roman"/>
          <w:sz w:val="22"/>
        </w:rPr>
        <w:t xml:space="preserve"> </w:t>
      </w:r>
    </w:p>
    <w:p w:rsidR="0072291B" w:rsidP="00942AF9" w14:paraId="236D85EA" w14:textId="77777777">
      <w:pPr>
        <w:widowControl/>
        <w:rPr>
          <w:snapToGrid/>
          <w:sz w:val="24"/>
          <w:szCs w:val="24"/>
        </w:rPr>
      </w:pPr>
    </w:p>
    <w:tbl>
      <w:tblPr>
        <w:tblW w:w="9445" w:type="dxa"/>
        <w:tblLayout w:type="fixed"/>
        <w:tblLook w:val="04A0"/>
      </w:tblPr>
      <w:tblGrid>
        <w:gridCol w:w="1885"/>
        <w:gridCol w:w="1350"/>
        <w:gridCol w:w="1170"/>
        <w:gridCol w:w="90"/>
        <w:gridCol w:w="1260"/>
        <w:gridCol w:w="1230"/>
        <w:gridCol w:w="1230"/>
        <w:gridCol w:w="1230"/>
      </w:tblGrid>
      <w:tr w14:paraId="6543AF2C" w14:textId="77777777" w:rsidTr="6871F251">
        <w:tblPrEx>
          <w:tblW w:w="9445" w:type="dxa"/>
          <w:tblLayout w:type="fixed"/>
          <w:tblLook w:val="04A0"/>
        </w:tblPrEx>
        <w:trPr>
          <w:trHeight w:val="440"/>
        </w:trPr>
        <w:tc>
          <w:tcPr>
            <w:tcW w:w="18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67BE0" w:rsidRPr="00367BE0" w:rsidP="00367BE0" w14:paraId="54685018" w14:textId="77777777">
            <w:pPr>
              <w:widowControl/>
              <w:rPr>
                <w:b/>
                <w:bCs/>
                <w:snapToGrid/>
                <w:color w:val="000000"/>
                <w:sz w:val="20"/>
              </w:rPr>
            </w:pPr>
            <w:r w:rsidRPr="00367BE0">
              <w:rPr>
                <w:b/>
                <w:bCs/>
                <w:snapToGrid/>
                <w:color w:val="000000"/>
                <w:sz w:val="20"/>
              </w:rPr>
              <w:t>Form</w:t>
            </w:r>
          </w:p>
        </w:tc>
        <w:tc>
          <w:tcPr>
            <w:tcW w:w="13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67BE0" w:rsidRPr="00367BE0" w:rsidP="6871F251" w14:paraId="40D57E23" w14:textId="77777777">
            <w:pPr>
              <w:widowControl/>
              <w:rPr>
                <w:b/>
                <w:bCs/>
                <w:snapToGrid/>
                <w:color w:val="000000"/>
                <w:sz w:val="20"/>
              </w:rPr>
            </w:pPr>
            <w:r w:rsidRPr="6871F251">
              <w:rPr>
                <w:b/>
                <w:bCs/>
                <w:snapToGrid/>
                <w:color w:val="000000"/>
                <w:sz w:val="20"/>
              </w:rPr>
              <w:t>Annual Number of Respondents</w:t>
            </w:r>
          </w:p>
        </w:tc>
        <w:tc>
          <w:tcPr>
            <w:tcW w:w="126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67BE0" w:rsidRPr="00367BE0" w:rsidP="00367BE0" w14:paraId="5954E140" w14:textId="77777777">
            <w:pPr>
              <w:widowControl/>
              <w:rPr>
                <w:b/>
                <w:bCs/>
                <w:snapToGrid/>
                <w:color w:val="000000"/>
                <w:sz w:val="20"/>
              </w:rPr>
            </w:pPr>
            <w:r w:rsidRPr="00367BE0">
              <w:rPr>
                <w:b/>
                <w:bCs/>
                <w:snapToGrid/>
                <w:color w:val="000000"/>
                <w:sz w:val="20"/>
              </w:rPr>
              <w:t>Number of Responses per Respondent</w:t>
            </w:r>
          </w:p>
        </w:tc>
        <w:tc>
          <w:tcPr>
            <w:tcW w:w="12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67BE0" w:rsidRPr="00367BE0" w:rsidP="00367BE0" w14:paraId="28523A9B" w14:textId="77777777">
            <w:pPr>
              <w:widowControl/>
              <w:rPr>
                <w:b/>
                <w:bCs/>
                <w:snapToGrid/>
                <w:color w:val="000000"/>
                <w:sz w:val="20"/>
              </w:rPr>
            </w:pPr>
            <w:r w:rsidRPr="00367BE0">
              <w:rPr>
                <w:b/>
                <w:bCs/>
                <w:snapToGrid/>
                <w:color w:val="000000"/>
                <w:sz w:val="20"/>
              </w:rPr>
              <w:t xml:space="preserve">Average </w:t>
            </w:r>
            <w:r w:rsidRPr="00367BE0">
              <w:rPr>
                <w:b/>
                <w:bCs/>
                <w:snapToGrid/>
                <w:color w:val="000000"/>
                <w:sz w:val="20"/>
              </w:rPr>
              <w:t>Burden</w:t>
            </w:r>
            <w:r w:rsidRPr="00367BE0">
              <w:rPr>
                <w:b/>
                <w:bCs/>
                <w:snapToGrid/>
                <w:color w:val="000000"/>
                <w:sz w:val="20"/>
              </w:rPr>
              <w:t xml:space="preserve"> Hours per Response</w:t>
            </w:r>
          </w:p>
        </w:tc>
        <w:tc>
          <w:tcPr>
            <w:tcW w:w="12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67BE0" w:rsidRPr="00367BE0" w:rsidP="00367BE0" w14:paraId="759F046D" w14:textId="77777777">
            <w:pPr>
              <w:widowControl/>
              <w:rPr>
                <w:b/>
                <w:bCs/>
                <w:snapToGrid/>
                <w:color w:val="000000"/>
                <w:sz w:val="20"/>
              </w:rPr>
            </w:pPr>
            <w:r w:rsidRPr="00367BE0">
              <w:rPr>
                <w:b/>
                <w:bCs/>
                <w:snapToGrid/>
                <w:color w:val="000000"/>
                <w:sz w:val="20"/>
              </w:rPr>
              <w:t>Annual Total Burden Hours</w:t>
            </w:r>
          </w:p>
        </w:tc>
        <w:tc>
          <w:tcPr>
            <w:tcW w:w="12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67BE0" w:rsidRPr="00367BE0" w:rsidP="00367BE0" w14:paraId="7079CBAC" w14:textId="77777777">
            <w:pPr>
              <w:widowControl/>
              <w:rPr>
                <w:b/>
                <w:bCs/>
                <w:snapToGrid/>
                <w:color w:val="000000"/>
                <w:sz w:val="20"/>
              </w:rPr>
            </w:pPr>
            <w:r w:rsidRPr="00367BE0">
              <w:rPr>
                <w:b/>
                <w:bCs/>
                <w:snapToGrid/>
                <w:color w:val="000000"/>
                <w:sz w:val="20"/>
              </w:rPr>
              <w:t>Average Hourly Wage</w:t>
            </w:r>
          </w:p>
        </w:tc>
        <w:tc>
          <w:tcPr>
            <w:tcW w:w="123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67BE0" w:rsidRPr="00367BE0" w:rsidP="00367BE0" w14:paraId="0B876BEA" w14:textId="77777777">
            <w:pPr>
              <w:widowControl/>
              <w:rPr>
                <w:b/>
                <w:bCs/>
                <w:snapToGrid/>
                <w:color w:val="000000"/>
                <w:sz w:val="20"/>
              </w:rPr>
            </w:pPr>
            <w:r w:rsidRPr="00367BE0">
              <w:rPr>
                <w:b/>
                <w:bCs/>
                <w:snapToGrid/>
                <w:color w:val="000000"/>
                <w:sz w:val="20"/>
              </w:rPr>
              <w:t>Annual Total Cost</w:t>
            </w:r>
          </w:p>
        </w:tc>
      </w:tr>
      <w:tr w14:paraId="2AA94085" w14:textId="77777777" w:rsidTr="6871F251">
        <w:tblPrEx>
          <w:tblW w:w="944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vAlign w:val="center"/>
            <w:hideMark/>
          </w:tcPr>
          <w:p w:rsidR="00367BE0" w:rsidRPr="00367BE0" w:rsidP="00367BE0" w14:paraId="70A4098B" w14:textId="77777777">
            <w:pPr>
              <w:widowControl/>
              <w:rPr>
                <w:snapToGrid/>
                <w:color w:val="000000"/>
                <w:sz w:val="20"/>
              </w:rPr>
            </w:pPr>
            <w:r w:rsidRPr="00367BE0">
              <w:rPr>
                <w:snapToGrid/>
                <w:color w:val="000000"/>
                <w:sz w:val="20"/>
              </w:rPr>
              <w:t>Psychotropic Medication Informed Consent (Form MMH-1)</w:t>
            </w:r>
          </w:p>
        </w:tc>
        <w:tc>
          <w:tcPr>
            <w:tcW w:w="1350" w:type="dxa"/>
            <w:tcBorders>
              <w:top w:val="nil"/>
              <w:left w:val="nil"/>
              <w:bottom w:val="single" w:sz="4" w:space="0" w:color="auto"/>
              <w:right w:val="single" w:sz="4" w:space="0" w:color="auto"/>
            </w:tcBorders>
            <w:vAlign w:val="center"/>
            <w:hideMark/>
          </w:tcPr>
          <w:p w:rsidR="00367BE0" w:rsidRPr="00367BE0" w:rsidP="00367BE0" w14:paraId="600EFC2D" w14:textId="77777777">
            <w:pPr>
              <w:widowControl/>
              <w:jc w:val="right"/>
              <w:rPr>
                <w:snapToGrid/>
                <w:color w:val="000000"/>
                <w:sz w:val="20"/>
              </w:rPr>
            </w:pPr>
            <w:r w:rsidRPr="00367BE0">
              <w:rPr>
                <w:snapToGrid/>
                <w:color w:val="000000"/>
                <w:sz w:val="20"/>
              </w:rPr>
              <w:t>300</w:t>
            </w:r>
          </w:p>
        </w:tc>
        <w:tc>
          <w:tcPr>
            <w:tcW w:w="1260" w:type="dxa"/>
            <w:gridSpan w:val="2"/>
            <w:tcBorders>
              <w:top w:val="nil"/>
              <w:left w:val="nil"/>
              <w:bottom w:val="single" w:sz="4" w:space="0" w:color="auto"/>
              <w:right w:val="single" w:sz="4" w:space="0" w:color="auto"/>
            </w:tcBorders>
            <w:vAlign w:val="center"/>
            <w:hideMark/>
          </w:tcPr>
          <w:p w:rsidR="00367BE0" w:rsidRPr="00367BE0" w:rsidP="00367BE0" w14:paraId="39ED2CBB" w14:textId="77777777">
            <w:pPr>
              <w:widowControl/>
              <w:jc w:val="right"/>
              <w:rPr>
                <w:snapToGrid/>
                <w:color w:val="000000"/>
                <w:sz w:val="20"/>
              </w:rPr>
            </w:pPr>
            <w:r w:rsidRPr="00367BE0">
              <w:rPr>
                <w:snapToGrid/>
                <w:color w:val="000000"/>
                <w:sz w:val="20"/>
              </w:rPr>
              <w:t>2.0</w:t>
            </w:r>
          </w:p>
        </w:tc>
        <w:tc>
          <w:tcPr>
            <w:tcW w:w="1260" w:type="dxa"/>
            <w:tcBorders>
              <w:top w:val="nil"/>
              <w:left w:val="nil"/>
              <w:bottom w:val="single" w:sz="4" w:space="0" w:color="auto"/>
              <w:right w:val="single" w:sz="4" w:space="0" w:color="auto"/>
            </w:tcBorders>
            <w:vAlign w:val="center"/>
            <w:hideMark/>
          </w:tcPr>
          <w:p w:rsidR="00367BE0" w:rsidRPr="00367BE0" w:rsidP="00367BE0" w14:paraId="5AD9C85D" w14:textId="77777777">
            <w:pPr>
              <w:widowControl/>
              <w:jc w:val="right"/>
              <w:rPr>
                <w:snapToGrid/>
                <w:color w:val="000000"/>
                <w:sz w:val="20"/>
              </w:rPr>
            </w:pPr>
            <w:r w:rsidRPr="00367BE0">
              <w:rPr>
                <w:snapToGrid/>
                <w:color w:val="000000"/>
                <w:sz w:val="20"/>
              </w:rPr>
              <w:t>1.50</w:t>
            </w:r>
          </w:p>
        </w:tc>
        <w:tc>
          <w:tcPr>
            <w:tcW w:w="1230" w:type="dxa"/>
            <w:tcBorders>
              <w:top w:val="nil"/>
              <w:left w:val="nil"/>
              <w:bottom w:val="single" w:sz="4" w:space="0" w:color="auto"/>
              <w:right w:val="single" w:sz="4" w:space="0" w:color="auto"/>
            </w:tcBorders>
            <w:vAlign w:val="center"/>
            <w:hideMark/>
          </w:tcPr>
          <w:p w:rsidR="00367BE0" w:rsidRPr="00367BE0" w:rsidP="00367BE0" w14:paraId="6FE88E18" w14:textId="77777777">
            <w:pPr>
              <w:widowControl/>
              <w:jc w:val="right"/>
              <w:rPr>
                <w:snapToGrid/>
                <w:color w:val="000000"/>
                <w:sz w:val="20"/>
              </w:rPr>
            </w:pPr>
            <w:r w:rsidRPr="00367BE0">
              <w:rPr>
                <w:snapToGrid/>
                <w:color w:val="000000"/>
                <w:sz w:val="20"/>
              </w:rPr>
              <w:t>900</w:t>
            </w:r>
          </w:p>
        </w:tc>
        <w:tc>
          <w:tcPr>
            <w:tcW w:w="1230" w:type="dxa"/>
            <w:tcBorders>
              <w:top w:val="nil"/>
              <w:left w:val="nil"/>
              <w:bottom w:val="single" w:sz="4" w:space="0" w:color="auto"/>
              <w:right w:val="single" w:sz="4" w:space="0" w:color="auto"/>
            </w:tcBorders>
            <w:noWrap/>
            <w:vAlign w:val="center"/>
            <w:hideMark/>
          </w:tcPr>
          <w:p w:rsidR="00367BE0" w:rsidRPr="00367BE0" w:rsidP="00367BE0" w14:paraId="47A027A7" w14:textId="77777777">
            <w:pPr>
              <w:widowControl/>
              <w:jc w:val="right"/>
              <w:rPr>
                <w:snapToGrid/>
                <w:color w:val="000000"/>
                <w:sz w:val="20"/>
              </w:rPr>
            </w:pPr>
            <w:r w:rsidRPr="00367BE0">
              <w:rPr>
                <w:snapToGrid/>
                <w:color w:val="000000"/>
                <w:sz w:val="20"/>
              </w:rPr>
              <w:t>$44.02</w:t>
            </w:r>
          </w:p>
        </w:tc>
        <w:tc>
          <w:tcPr>
            <w:tcW w:w="1230" w:type="dxa"/>
            <w:tcBorders>
              <w:top w:val="nil"/>
              <w:left w:val="nil"/>
              <w:bottom w:val="single" w:sz="4" w:space="0" w:color="auto"/>
              <w:right w:val="single" w:sz="4" w:space="0" w:color="auto"/>
            </w:tcBorders>
            <w:noWrap/>
            <w:vAlign w:val="center"/>
            <w:hideMark/>
          </w:tcPr>
          <w:p w:rsidR="00367BE0" w:rsidRPr="00367BE0" w:rsidP="00367BE0" w14:paraId="661E1219" w14:textId="77777777">
            <w:pPr>
              <w:widowControl/>
              <w:jc w:val="right"/>
              <w:rPr>
                <w:snapToGrid/>
                <w:color w:val="000000"/>
                <w:sz w:val="20"/>
              </w:rPr>
            </w:pPr>
            <w:r w:rsidRPr="00367BE0">
              <w:rPr>
                <w:snapToGrid/>
                <w:color w:val="000000"/>
                <w:sz w:val="20"/>
              </w:rPr>
              <w:t>$39,618.00</w:t>
            </w:r>
          </w:p>
        </w:tc>
      </w:tr>
      <w:tr w14:paraId="47436CFD" w14:textId="77777777" w:rsidTr="6871F251">
        <w:tblPrEx>
          <w:tblW w:w="9445" w:type="dxa"/>
          <w:tblLayout w:type="fixed"/>
          <w:tblLook w:val="04A0"/>
        </w:tblPrEx>
        <w:trPr>
          <w:trHeight w:val="300"/>
        </w:trPr>
        <w:tc>
          <w:tcPr>
            <w:tcW w:w="1885" w:type="dxa"/>
            <w:tcBorders>
              <w:top w:val="nil"/>
              <w:left w:val="single" w:sz="4" w:space="0" w:color="auto"/>
              <w:bottom w:val="single" w:sz="4" w:space="0" w:color="auto"/>
              <w:right w:val="single" w:sz="4" w:space="0" w:color="auto"/>
            </w:tcBorders>
            <w:vAlign w:val="center"/>
            <w:hideMark/>
          </w:tcPr>
          <w:p w:rsidR="00367BE0" w:rsidRPr="00367BE0" w:rsidP="00367BE0" w14:paraId="3A1CF653" w14:textId="77777777">
            <w:pPr>
              <w:widowControl/>
              <w:rPr>
                <w:snapToGrid/>
                <w:color w:val="000000"/>
                <w:sz w:val="20"/>
              </w:rPr>
            </w:pPr>
            <w:r w:rsidRPr="00367BE0">
              <w:rPr>
                <w:snapToGrid/>
                <w:color w:val="000000"/>
                <w:sz w:val="20"/>
              </w:rPr>
              <w:t>Psychotropic Medication Assent Notice (Form MMH-2)</w:t>
            </w:r>
          </w:p>
        </w:tc>
        <w:tc>
          <w:tcPr>
            <w:tcW w:w="1350" w:type="dxa"/>
            <w:tcBorders>
              <w:top w:val="nil"/>
              <w:left w:val="nil"/>
              <w:bottom w:val="single" w:sz="4" w:space="0" w:color="auto"/>
              <w:right w:val="single" w:sz="4" w:space="0" w:color="auto"/>
            </w:tcBorders>
            <w:vAlign w:val="center"/>
            <w:hideMark/>
          </w:tcPr>
          <w:p w:rsidR="00367BE0" w:rsidRPr="00367BE0" w:rsidP="00367BE0" w14:paraId="042296FD" w14:textId="77777777">
            <w:pPr>
              <w:widowControl/>
              <w:jc w:val="right"/>
              <w:rPr>
                <w:snapToGrid/>
                <w:color w:val="000000"/>
                <w:sz w:val="20"/>
              </w:rPr>
            </w:pPr>
            <w:r w:rsidRPr="00367BE0">
              <w:rPr>
                <w:snapToGrid/>
                <w:color w:val="000000"/>
                <w:sz w:val="20"/>
              </w:rPr>
              <w:t>300</w:t>
            </w:r>
          </w:p>
        </w:tc>
        <w:tc>
          <w:tcPr>
            <w:tcW w:w="1260" w:type="dxa"/>
            <w:gridSpan w:val="2"/>
            <w:tcBorders>
              <w:top w:val="nil"/>
              <w:left w:val="nil"/>
              <w:bottom w:val="single" w:sz="4" w:space="0" w:color="auto"/>
              <w:right w:val="single" w:sz="4" w:space="0" w:color="auto"/>
            </w:tcBorders>
            <w:vAlign w:val="center"/>
            <w:hideMark/>
          </w:tcPr>
          <w:p w:rsidR="00367BE0" w:rsidRPr="00367BE0" w:rsidP="00367BE0" w14:paraId="3E070A4D" w14:textId="77777777">
            <w:pPr>
              <w:widowControl/>
              <w:jc w:val="right"/>
              <w:rPr>
                <w:snapToGrid/>
                <w:color w:val="000000"/>
                <w:sz w:val="20"/>
              </w:rPr>
            </w:pPr>
            <w:r w:rsidRPr="00367BE0">
              <w:rPr>
                <w:snapToGrid/>
                <w:color w:val="000000"/>
                <w:sz w:val="20"/>
              </w:rPr>
              <w:t>1.0</w:t>
            </w:r>
          </w:p>
        </w:tc>
        <w:tc>
          <w:tcPr>
            <w:tcW w:w="1260" w:type="dxa"/>
            <w:tcBorders>
              <w:top w:val="nil"/>
              <w:left w:val="nil"/>
              <w:bottom w:val="single" w:sz="4" w:space="0" w:color="auto"/>
              <w:right w:val="single" w:sz="4" w:space="0" w:color="auto"/>
            </w:tcBorders>
            <w:vAlign w:val="center"/>
            <w:hideMark/>
          </w:tcPr>
          <w:p w:rsidR="00367BE0" w:rsidRPr="00367BE0" w:rsidP="00367BE0" w14:paraId="2F231420" w14:textId="77777777">
            <w:pPr>
              <w:widowControl/>
              <w:jc w:val="right"/>
              <w:rPr>
                <w:snapToGrid/>
                <w:color w:val="000000"/>
                <w:sz w:val="20"/>
              </w:rPr>
            </w:pPr>
            <w:r w:rsidRPr="00367BE0">
              <w:rPr>
                <w:snapToGrid/>
                <w:color w:val="000000"/>
                <w:sz w:val="20"/>
              </w:rPr>
              <w:t>0.75</w:t>
            </w:r>
          </w:p>
        </w:tc>
        <w:tc>
          <w:tcPr>
            <w:tcW w:w="1230" w:type="dxa"/>
            <w:tcBorders>
              <w:top w:val="nil"/>
              <w:left w:val="nil"/>
              <w:bottom w:val="single" w:sz="4" w:space="0" w:color="auto"/>
              <w:right w:val="single" w:sz="4" w:space="0" w:color="auto"/>
            </w:tcBorders>
            <w:vAlign w:val="center"/>
            <w:hideMark/>
          </w:tcPr>
          <w:p w:rsidR="00367BE0" w:rsidRPr="00367BE0" w:rsidP="00367BE0" w14:paraId="6FC7D588" w14:textId="77777777">
            <w:pPr>
              <w:widowControl/>
              <w:jc w:val="right"/>
              <w:rPr>
                <w:snapToGrid/>
                <w:color w:val="000000"/>
                <w:sz w:val="20"/>
              </w:rPr>
            </w:pPr>
            <w:r w:rsidRPr="00367BE0">
              <w:rPr>
                <w:snapToGrid/>
                <w:color w:val="000000"/>
                <w:sz w:val="20"/>
              </w:rPr>
              <w:t>225</w:t>
            </w:r>
          </w:p>
        </w:tc>
        <w:tc>
          <w:tcPr>
            <w:tcW w:w="1230" w:type="dxa"/>
            <w:tcBorders>
              <w:top w:val="nil"/>
              <w:left w:val="nil"/>
              <w:bottom w:val="single" w:sz="4" w:space="0" w:color="auto"/>
              <w:right w:val="single" w:sz="4" w:space="0" w:color="auto"/>
            </w:tcBorders>
            <w:noWrap/>
            <w:vAlign w:val="center"/>
            <w:hideMark/>
          </w:tcPr>
          <w:p w:rsidR="00367BE0" w:rsidRPr="00367BE0" w:rsidP="00367BE0" w14:paraId="6057AE4D" w14:textId="77777777">
            <w:pPr>
              <w:widowControl/>
              <w:jc w:val="right"/>
              <w:rPr>
                <w:snapToGrid/>
                <w:color w:val="000000"/>
                <w:sz w:val="20"/>
              </w:rPr>
            </w:pPr>
            <w:r w:rsidRPr="00367BE0">
              <w:rPr>
                <w:snapToGrid/>
                <w:color w:val="000000"/>
                <w:sz w:val="20"/>
              </w:rPr>
              <w:t>$44.02</w:t>
            </w:r>
          </w:p>
        </w:tc>
        <w:tc>
          <w:tcPr>
            <w:tcW w:w="1230" w:type="dxa"/>
            <w:tcBorders>
              <w:top w:val="nil"/>
              <w:left w:val="nil"/>
              <w:bottom w:val="single" w:sz="4" w:space="0" w:color="auto"/>
              <w:right w:val="single" w:sz="4" w:space="0" w:color="auto"/>
            </w:tcBorders>
            <w:noWrap/>
            <w:vAlign w:val="center"/>
            <w:hideMark/>
          </w:tcPr>
          <w:p w:rsidR="00367BE0" w:rsidRPr="00367BE0" w:rsidP="00367BE0" w14:paraId="1EC6AF65" w14:textId="77777777">
            <w:pPr>
              <w:widowControl/>
              <w:jc w:val="right"/>
              <w:rPr>
                <w:snapToGrid/>
                <w:color w:val="000000"/>
                <w:sz w:val="20"/>
              </w:rPr>
            </w:pPr>
            <w:r w:rsidRPr="00367BE0">
              <w:rPr>
                <w:snapToGrid/>
                <w:color w:val="000000"/>
                <w:sz w:val="20"/>
              </w:rPr>
              <w:t>$9,904.50</w:t>
            </w:r>
          </w:p>
        </w:tc>
      </w:tr>
      <w:tr w14:paraId="393427E9" w14:textId="77777777" w:rsidTr="6871F251">
        <w:tblPrEx>
          <w:tblW w:w="9445" w:type="dxa"/>
          <w:tblLayout w:type="fixed"/>
          <w:tblLook w:val="04A0"/>
        </w:tblPrEx>
        <w:trPr>
          <w:trHeight w:val="300"/>
        </w:trPr>
        <w:tc>
          <w:tcPr>
            <w:tcW w:w="4405" w:type="dxa"/>
            <w:gridSpan w:val="3"/>
            <w:tcBorders>
              <w:top w:val="single" w:sz="4" w:space="0" w:color="auto"/>
              <w:left w:val="single" w:sz="4" w:space="0" w:color="auto"/>
              <w:bottom w:val="single" w:sz="4" w:space="0" w:color="auto"/>
            </w:tcBorders>
            <w:vAlign w:val="center"/>
            <w:hideMark/>
          </w:tcPr>
          <w:p w:rsidR="00BE2D6B" w:rsidP="00367BE0" w14:paraId="273743FC" w14:textId="11AFB05E">
            <w:pPr>
              <w:widowControl/>
              <w:jc w:val="right"/>
              <w:rPr>
                <w:b/>
                <w:bCs/>
                <w:snapToGrid/>
                <w:color w:val="000000"/>
                <w:sz w:val="20"/>
              </w:rPr>
            </w:pPr>
            <w:r w:rsidRPr="00367BE0">
              <w:rPr>
                <w:b/>
                <w:bCs/>
                <w:snapToGrid/>
                <w:color w:val="000000"/>
                <w:sz w:val="20"/>
              </w:rPr>
              <w:t xml:space="preserve"> </w:t>
            </w:r>
          </w:p>
        </w:tc>
        <w:tc>
          <w:tcPr>
            <w:tcW w:w="1350" w:type="dxa"/>
            <w:gridSpan w:val="2"/>
            <w:tcBorders>
              <w:top w:val="single" w:sz="4" w:space="0" w:color="auto"/>
              <w:bottom w:val="single" w:sz="4" w:space="0" w:color="auto"/>
              <w:right w:val="single" w:sz="4" w:space="0" w:color="auto"/>
            </w:tcBorders>
            <w:vAlign w:val="center"/>
          </w:tcPr>
          <w:p w:rsidR="00BE2D6B" w:rsidP="00BE2D6B" w14:paraId="1C0DB522" w14:textId="77777777">
            <w:pPr>
              <w:widowControl/>
              <w:rPr>
                <w:b/>
                <w:bCs/>
                <w:snapToGrid/>
                <w:color w:val="000000"/>
                <w:sz w:val="20"/>
              </w:rPr>
            </w:pPr>
            <w:r w:rsidRPr="00367BE0">
              <w:rPr>
                <w:b/>
                <w:bCs/>
                <w:snapToGrid/>
                <w:color w:val="000000"/>
                <w:sz w:val="20"/>
              </w:rPr>
              <w:t xml:space="preserve">Estimated </w:t>
            </w:r>
          </w:p>
          <w:p w:rsidR="00160E36" w:rsidP="00BE2D6B" w14:paraId="52DBDF72" w14:textId="77777777">
            <w:pPr>
              <w:widowControl/>
              <w:rPr>
                <w:b/>
                <w:bCs/>
                <w:snapToGrid/>
                <w:color w:val="000000"/>
                <w:sz w:val="20"/>
              </w:rPr>
            </w:pPr>
            <w:r w:rsidRPr="00367BE0">
              <w:rPr>
                <w:b/>
                <w:bCs/>
                <w:snapToGrid/>
                <w:color w:val="000000"/>
                <w:sz w:val="20"/>
              </w:rPr>
              <w:t xml:space="preserve">Annual </w:t>
            </w:r>
          </w:p>
          <w:p w:rsidR="00BE2D6B" w:rsidP="00BE2D6B" w14:paraId="273F1F9B" w14:textId="19C5C323">
            <w:pPr>
              <w:widowControl/>
              <w:rPr>
                <w:b/>
                <w:bCs/>
                <w:snapToGrid/>
                <w:color w:val="000000"/>
                <w:sz w:val="20"/>
              </w:rPr>
            </w:pPr>
            <w:r w:rsidRPr="00367BE0">
              <w:rPr>
                <w:b/>
                <w:bCs/>
                <w:snapToGrid/>
                <w:color w:val="000000"/>
                <w:sz w:val="20"/>
              </w:rPr>
              <w:t xml:space="preserve">Burden </w:t>
            </w:r>
          </w:p>
          <w:p w:rsidR="00BE2D6B" w:rsidRPr="00367BE0" w:rsidP="00BE2D6B" w14:paraId="02986B17" w14:textId="3D2A9FBE">
            <w:pPr>
              <w:widowControl/>
              <w:rPr>
                <w:snapToGrid/>
                <w:color w:val="000000"/>
                <w:sz w:val="20"/>
              </w:rPr>
            </w:pPr>
            <w:r w:rsidRPr="00367BE0">
              <w:rPr>
                <w:b/>
                <w:bCs/>
                <w:snapToGrid/>
                <w:color w:val="000000"/>
                <w:sz w:val="20"/>
              </w:rPr>
              <w:t xml:space="preserve">Hours Total: </w:t>
            </w:r>
          </w:p>
        </w:tc>
        <w:tc>
          <w:tcPr>
            <w:tcW w:w="1230" w:type="dxa"/>
            <w:tcBorders>
              <w:top w:val="nil"/>
              <w:left w:val="nil"/>
              <w:bottom w:val="single" w:sz="4" w:space="0" w:color="auto"/>
              <w:right w:val="single" w:sz="4" w:space="0" w:color="auto"/>
            </w:tcBorders>
            <w:vAlign w:val="center"/>
            <w:hideMark/>
          </w:tcPr>
          <w:p w:rsidR="00BE2D6B" w:rsidRPr="00367BE0" w:rsidP="00367BE0" w14:paraId="2C510642" w14:textId="77777777">
            <w:pPr>
              <w:widowControl/>
              <w:jc w:val="right"/>
              <w:rPr>
                <w:b/>
                <w:bCs/>
                <w:snapToGrid/>
                <w:color w:val="000000"/>
                <w:sz w:val="20"/>
              </w:rPr>
            </w:pPr>
            <w:r w:rsidRPr="00367BE0">
              <w:rPr>
                <w:b/>
                <w:bCs/>
                <w:snapToGrid/>
                <w:color w:val="000000"/>
                <w:sz w:val="20"/>
              </w:rPr>
              <w:t>1,125</w:t>
            </w:r>
          </w:p>
        </w:tc>
        <w:tc>
          <w:tcPr>
            <w:tcW w:w="1230" w:type="dxa"/>
            <w:tcBorders>
              <w:top w:val="nil"/>
              <w:left w:val="nil"/>
              <w:bottom w:val="single" w:sz="4" w:space="0" w:color="auto"/>
              <w:right w:val="single" w:sz="4" w:space="0" w:color="auto"/>
            </w:tcBorders>
            <w:vAlign w:val="bottom"/>
            <w:hideMark/>
          </w:tcPr>
          <w:p w:rsidR="00BE2D6B" w:rsidRPr="00367BE0" w:rsidP="006B323C" w14:paraId="3B69CE99" w14:textId="77777777">
            <w:pPr>
              <w:widowControl/>
              <w:rPr>
                <w:b/>
                <w:bCs/>
                <w:snapToGrid/>
                <w:color w:val="000000"/>
                <w:sz w:val="20"/>
              </w:rPr>
            </w:pPr>
            <w:r w:rsidRPr="00367BE0">
              <w:rPr>
                <w:b/>
                <w:bCs/>
                <w:snapToGrid/>
                <w:color w:val="000000"/>
                <w:sz w:val="20"/>
              </w:rPr>
              <w:t>Estimated Annual Cost Total:</w:t>
            </w:r>
          </w:p>
        </w:tc>
        <w:tc>
          <w:tcPr>
            <w:tcW w:w="1230" w:type="dxa"/>
            <w:tcBorders>
              <w:top w:val="nil"/>
              <w:left w:val="nil"/>
              <w:bottom w:val="single" w:sz="4" w:space="0" w:color="auto"/>
              <w:right w:val="single" w:sz="4" w:space="0" w:color="auto"/>
            </w:tcBorders>
            <w:noWrap/>
            <w:vAlign w:val="center"/>
            <w:hideMark/>
          </w:tcPr>
          <w:p w:rsidR="00BE2D6B" w:rsidRPr="00367BE0" w:rsidP="00367BE0" w14:paraId="65278C09" w14:textId="77777777">
            <w:pPr>
              <w:widowControl/>
              <w:jc w:val="right"/>
              <w:rPr>
                <w:b/>
                <w:bCs/>
                <w:snapToGrid/>
                <w:color w:val="000000"/>
                <w:sz w:val="20"/>
              </w:rPr>
            </w:pPr>
            <w:r w:rsidRPr="00367BE0">
              <w:rPr>
                <w:b/>
                <w:bCs/>
                <w:snapToGrid/>
                <w:color w:val="000000"/>
                <w:sz w:val="20"/>
              </w:rPr>
              <w:t>$49,522.50</w:t>
            </w:r>
          </w:p>
        </w:tc>
      </w:tr>
    </w:tbl>
    <w:p w:rsidR="00942AF9" w:rsidP="004B3243" w14:paraId="5A2CB8F3" w14:textId="77777777">
      <w:pPr>
        <w:widowControl/>
        <w:rPr>
          <w:snapToGrid/>
          <w:sz w:val="24"/>
          <w:szCs w:val="24"/>
        </w:rPr>
      </w:pPr>
    </w:p>
    <w:p w:rsidR="00D60543" w:rsidRPr="004F7B95" w:rsidP="00DE529D" w14:paraId="344EF814" w14:textId="77777777">
      <w:pPr>
        <w:widowControl/>
        <w:ind w:left="360"/>
        <w:rPr>
          <w:snapToGrid/>
          <w:sz w:val="24"/>
          <w:szCs w:val="24"/>
        </w:rPr>
      </w:pPr>
    </w:p>
    <w:p w:rsidR="00D60543" w:rsidRPr="00075889" w:rsidP="00075889" w14:paraId="548FE903" w14:textId="77777777">
      <w:pPr>
        <w:widowControl/>
        <w:numPr>
          <w:ilvl w:val="0"/>
          <w:numId w:val="3"/>
        </w:numPr>
        <w:tabs>
          <w:tab w:val="num" w:pos="360"/>
        </w:tabs>
        <w:spacing w:after="120"/>
        <w:ind w:left="360"/>
        <w:rPr>
          <w:b/>
          <w:snapToGrid/>
          <w:sz w:val="24"/>
          <w:szCs w:val="24"/>
        </w:rPr>
      </w:pPr>
      <w:r w:rsidRPr="00075889">
        <w:rPr>
          <w:b/>
          <w:snapToGrid/>
          <w:sz w:val="24"/>
          <w:szCs w:val="24"/>
        </w:rPr>
        <w:t xml:space="preserve">Estimates of Other Total Annual Cost Burden to Respondents and Record Keepers </w:t>
      </w:r>
    </w:p>
    <w:p w:rsidR="00DF4F76" w:rsidRPr="00DF4F76" w:rsidP="00DF4F76" w14:paraId="6DA88CBC" w14:textId="762BF936">
      <w:pPr>
        <w:widowControl/>
        <w:rPr>
          <w:snapToGrid/>
          <w:szCs w:val="22"/>
        </w:rPr>
      </w:pPr>
      <w:r w:rsidRPr="00DF4F76">
        <w:rPr>
          <w:rFonts w:cs="Courier New"/>
          <w:snapToGrid/>
          <w:szCs w:val="22"/>
        </w:rPr>
        <w:t xml:space="preserve">There are no other costs </w:t>
      </w:r>
      <w:r w:rsidRPr="00DF4F76">
        <w:rPr>
          <w:rFonts w:cs="Courier New"/>
          <w:snapToGrid/>
          <w:szCs w:val="22"/>
        </w:rPr>
        <w:t>to</w:t>
      </w:r>
      <w:r w:rsidRPr="00DF4F76">
        <w:rPr>
          <w:rFonts w:cs="Courier New"/>
          <w:snapToGrid/>
          <w:szCs w:val="22"/>
        </w:rPr>
        <w:t xml:space="preserve"> respondents and record keepers.</w:t>
      </w:r>
    </w:p>
    <w:p w:rsidR="00D60543" w:rsidP="00DE529D" w14:paraId="0A69333B" w14:textId="77777777">
      <w:pPr>
        <w:widowControl/>
        <w:ind w:left="360"/>
        <w:rPr>
          <w:snapToGrid/>
          <w:szCs w:val="22"/>
        </w:rPr>
      </w:pPr>
    </w:p>
    <w:p w:rsidR="004700DF" w:rsidP="00DE529D" w14:paraId="62618024" w14:textId="77777777">
      <w:pPr>
        <w:widowControl/>
        <w:ind w:left="360"/>
        <w:rPr>
          <w:snapToGrid/>
          <w:szCs w:val="22"/>
        </w:rPr>
      </w:pPr>
    </w:p>
    <w:p w:rsidR="004700DF" w:rsidRPr="00DF4F76" w:rsidP="00DE529D" w14:paraId="4F2DE0BF" w14:textId="77777777">
      <w:pPr>
        <w:widowControl/>
        <w:ind w:left="360"/>
        <w:rPr>
          <w:snapToGrid/>
          <w:szCs w:val="22"/>
        </w:rPr>
      </w:pPr>
    </w:p>
    <w:p w:rsidR="00D60543" w:rsidP="00DE529D" w14:paraId="0BE3C51C" w14:textId="77777777">
      <w:pPr>
        <w:widowControl/>
        <w:ind w:left="360"/>
        <w:rPr>
          <w:snapToGrid/>
          <w:sz w:val="24"/>
          <w:szCs w:val="24"/>
        </w:rPr>
      </w:pPr>
    </w:p>
    <w:p w:rsidR="002C3C4F" w:rsidRPr="00075889" w:rsidP="00817E2B" w14:paraId="3C0D7334" w14:textId="77777777">
      <w:pPr>
        <w:widowControl/>
        <w:numPr>
          <w:ilvl w:val="0"/>
          <w:numId w:val="3"/>
        </w:numPr>
        <w:tabs>
          <w:tab w:val="num" w:pos="360"/>
        </w:tabs>
        <w:spacing w:after="120"/>
        <w:ind w:left="360"/>
        <w:rPr>
          <w:b/>
          <w:snapToGrid/>
          <w:sz w:val="24"/>
          <w:szCs w:val="24"/>
        </w:rPr>
      </w:pPr>
      <w:r w:rsidRPr="00075889">
        <w:rPr>
          <w:b/>
          <w:snapToGrid/>
          <w:sz w:val="24"/>
          <w:szCs w:val="24"/>
        </w:rPr>
        <w:t>A</w:t>
      </w:r>
      <w:r w:rsidRPr="00075889">
        <w:rPr>
          <w:b/>
          <w:snapToGrid/>
          <w:sz w:val="24"/>
          <w:szCs w:val="24"/>
        </w:rPr>
        <w:t xml:space="preserve">nnualized Cost to the Federal Government </w:t>
      </w:r>
    </w:p>
    <w:p w:rsidR="0083125C" w:rsidP="0083125C" w14:paraId="2133FC6C" w14:textId="6EB17AF4">
      <w:pPr>
        <w:pStyle w:val="CM15"/>
        <w:rPr>
          <w:rFonts w:ascii="Times New Roman" w:hAnsi="Times New Roman" w:cs="Times New Roman"/>
          <w:sz w:val="22"/>
        </w:rPr>
      </w:pPr>
      <w:r w:rsidRPr="00D330E6">
        <w:rPr>
          <w:rFonts w:ascii="Times New Roman" w:hAnsi="Times New Roman" w:cs="Times New Roman"/>
          <w:sz w:val="22"/>
          <w:szCs w:val="20"/>
        </w:rPr>
        <w:t xml:space="preserve">The annualized cost estimate for each of these instruments considers the time of </w:t>
      </w:r>
      <w:r w:rsidRPr="00D330E6">
        <w:rPr>
          <w:rFonts w:ascii="Times New Roman" w:hAnsi="Times New Roman" w:cs="Times New Roman"/>
          <w:sz w:val="22"/>
          <w:szCs w:val="20"/>
        </w:rPr>
        <w:t xml:space="preserve">a </w:t>
      </w:r>
      <w:r w:rsidRPr="007D4B65">
        <w:rPr>
          <w:rFonts w:ascii="Times New Roman" w:hAnsi="Times New Roman" w:cs="Times New Roman"/>
          <w:sz w:val="22"/>
          <w:szCs w:val="20"/>
        </w:rPr>
        <w:t>step</w:t>
      </w:r>
      <w:r w:rsidRPr="007D4B65">
        <w:rPr>
          <w:rFonts w:ascii="Times New Roman" w:hAnsi="Times New Roman" w:cs="Times New Roman"/>
          <w:sz w:val="22"/>
          <w:szCs w:val="20"/>
        </w:rPr>
        <w:t xml:space="preserve"> 1 GS-12</w:t>
      </w:r>
      <w:r w:rsidRPr="00D330E6">
        <w:rPr>
          <w:rFonts w:ascii="Times New Roman" w:hAnsi="Times New Roman" w:cs="Times New Roman"/>
          <w:sz w:val="22"/>
          <w:szCs w:val="20"/>
        </w:rPr>
        <w:t xml:space="preserve"> in the Washington, DC locality to review information</w:t>
      </w:r>
      <w:r w:rsidR="008522B9">
        <w:rPr>
          <w:rFonts w:ascii="Times New Roman" w:hAnsi="Times New Roman" w:cs="Times New Roman"/>
          <w:sz w:val="22"/>
          <w:szCs w:val="20"/>
        </w:rPr>
        <w:t xml:space="preserve"> collected</w:t>
      </w:r>
      <w:r w:rsidRPr="00D330E6">
        <w:rPr>
          <w:rFonts w:ascii="Times New Roman" w:hAnsi="Times New Roman" w:cs="Times New Roman"/>
          <w:sz w:val="22"/>
          <w:szCs w:val="20"/>
        </w:rPr>
        <w:t xml:space="preserve"> </w:t>
      </w:r>
      <w:r w:rsidR="002831EB">
        <w:rPr>
          <w:rFonts w:ascii="Times New Roman" w:hAnsi="Times New Roman" w:cs="Times New Roman"/>
          <w:sz w:val="22"/>
          <w:szCs w:val="20"/>
        </w:rPr>
        <w:t>in the forms</w:t>
      </w:r>
      <w:r w:rsidRPr="00D330E6">
        <w:rPr>
          <w:rFonts w:ascii="Times New Roman" w:hAnsi="Times New Roman" w:cs="Times New Roman"/>
          <w:sz w:val="22"/>
          <w:szCs w:val="20"/>
        </w:rPr>
        <w:t xml:space="preserve">. No additional costs will be incurred by the Federal government for developing computer systems or storing the instruments as those systems are already in place. </w:t>
      </w:r>
      <w:r w:rsidRPr="00D330E6">
        <w:rPr>
          <w:rFonts w:ascii="Times New Roman" w:hAnsi="Times New Roman" w:cs="Times New Roman"/>
          <w:sz w:val="22"/>
        </w:rPr>
        <w:t>The h</w:t>
      </w:r>
      <w:r>
        <w:rPr>
          <w:rFonts w:ascii="Times New Roman" w:hAnsi="Times New Roman" w:cs="Times New Roman"/>
          <w:sz w:val="22"/>
        </w:rPr>
        <w:t>ourly rate was multiplied by two</w:t>
      </w:r>
      <w:r w:rsidRPr="00D330E6">
        <w:rPr>
          <w:rFonts w:ascii="Times New Roman" w:hAnsi="Times New Roman" w:cs="Times New Roman"/>
          <w:sz w:val="22"/>
        </w:rPr>
        <w:t xml:space="preserve"> to account for fringe benefits and overhead.</w:t>
      </w:r>
    </w:p>
    <w:p w:rsidR="0083125C" w:rsidP="0083125C" w14:paraId="62677574" w14:textId="77777777">
      <w:pPr>
        <w:pStyle w:val="Default"/>
      </w:pPr>
    </w:p>
    <w:tbl>
      <w:tblPr>
        <w:tblW w:w="9445" w:type="dxa"/>
        <w:tblLook w:val="04A0"/>
      </w:tblPr>
      <w:tblGrid>
        <w:gridCol w:w="1705"/>
        <w:gridCol w:w="1440"/>
        <w:gridCol w:w="1170"/>
        <w:gridCol w:w="1350"/>
        <w:gridCol w:w="1350"/>
        <w:gridCol w:w="1170"/>
        <w:gridCol w:w="1260"/>
      </w:tblGrid>
      <w:tr w14:paraId="340DCDF6" w14:textId="77777777" w:rsidTr="006B323C">
        <w:tblPrEx>
          <w:tblW w:w="9445" w:type="dxa"/>
          <w:tblLook w:val="04A0"/>
        </w:tblPrEx>
        <w:trPr>
          <w:trHeight w:val="917"/>
        </w:trPr>
        <w:tc>
          <w:tcPr>
            <w:tcW w:w="170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45237D" w:rsidRPr="0045237D" w:rsidP="0045237D" w14:paraId="295038E4" w14:textId="77777777">
            <w:pPr>
              <w:widowControl/>
              <w:rPr>
                <w:b/>
                <w:bCs/>
                <w:snapToGrid/>
                <w:color w:val="000000"/>
                <w:sz w:val="20"/>
              </w:rPr>
            </w:pPr>
            <w:r w:rsidRPr="0045237D">
              <w:rPr>
                <w:b/>
                <w:bCs/>
                <w:snapToGrid/>
                <w:color w:val="000000"/>
                <w:sz w:val="20"/>
              </w:rPr>
              <w:t>Form</w:t>
            </w:r>
          </w:p>
        </w:tc>
        <w:tc>
          <w:tcPr>
            <w:tcW w:w="1440" w:type="dxa"/>
            <w:tcBorders>
              <w:top w:val="single" w:sz="4" w:space="0" w:color="auto"/>
              <w:left w:val="nil"/>
              <w:bottom w:val="single" w:sz="4" w:space="0" w:color="auto"/>
              <w:right w:val="single" w:sz="4" w:space="0" w:color="auto"/>
            </w:tcBorders>
            <w:shd w:val="clear" w:color="000000" w:fill="F2F2F2"/>
            <w:vAlign w:val="center"/>
            <w:hideMark/>
          </w:tcPr>
          <w:p w:rsidR="0045237D" w:rsidRPr="0045237D" w:rsidP="0045237D" w14:paraId="05A341FF" w14:textId="77777777">
            <w:pPr>
              <w:widowControl/>
              <w:rPr>
                <w:b/>
                <w:bCs/>
                <w:snapToGrid/>
                <w:color w:val="000000"/>
                <w:sz w:val="20"/>
              </w:rPr>
            </w:pPr>
            <w:r w:rsidRPr="0045237D">
              <w:rPr>
                <w:b/>
                <w:bCs/>
                <w:snapToGrid/>
                <w:color w:val="000000"/>
                <w:sz w:val="20"/>
              </w:rPr>
              <w:t>Annual Number of Federal Staff</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45237D" w:rsidRPr="0045237D" w:rsidP="0045237D" w14:paraId="63278BD5" w14:textId="77777777">
            <w:pPr>
              <w:widowControl/>
              <w:rPr>
                <w:b/>
                <w:bCs/>
                <w:snapToGrid/>
                <w:color w:val="000000"/>
                <w:sz w:val="20"/>
              </w:rPr>
            </w:pPr>
            <w:r w:rsidRPr="0045237D">
              <w:rPr>
                <w:b/>
                <w:bCs/>
                <w:snapToGrid/>
                <w:color w:val="000000"/>
                <w:sz w:val="20"/>
              </w:rPr>
              <w:t xml:space="preserve">Number of Reviews </w:t>
            </w:r>
            <w:r w:rsidRPr="0045237D">
              <w:rPr>
                <w:b/>
                <w:bCs/>
                <w:snapToGrid/>
                <w:color w:val="000000"/>
                <w:sz w:val="20"/>
              </w:rPr>
              <w:t>per</w:t>
            </w:r>
            <w:r w:rsidRPr="0045237D">
              <w:rPr>
                <w:b/>
                <w:bCs/>
                <w:snapToGrid/>
                <w:color w:val="000000"/>
                <w:sz w:val="20"/>
              </w:rPr>
              <w:t xml:space="preserve"> Federal Staff</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45237D" w:rsidRPr="0045237D" w:rsidP="0045237D" w14:paraId="7F2C4D0E" w14:textId="77777777">
            <w:pPr>
              <w:widowControl/>
              <w:rPr>
                <w:b/>
                <w:bCs/>
                <w:snapToGrid/>
                <w:color w:val="000000"/>
                <w:sz w:val="20"/>
              </w:rPr>
            </w:pPr>
            <w:r w:rsidRPr="0045237D">
              <w:rPr>
                <w:b/>
                <w:bCs/>
                <w:snapToGrid/>
                <w:color w:val="000000"/>
                <w:sz w:val="20"/>
              </w:rPr>
              <w:t>Average Federal Staff Burden Hours per Review</w:t>
            </w:r>
          </w:p>
        </w:tc>
        <w:tc>
          <w:tcPr>
            <w:tcW w:w="1350" w:type="dxa"/>
            <w:tcBorders>
              <w:top w:val="single" w:sz="4" w:space="0" w:color="auto"/>
              <w:left w:val="nil"/>
              <w:bottom w:val="single" w:sz="4" w:space="0" w:color="auto"/>
              <w:right w:val="single" w:sz="4" w:space="0" w:color="auto"/>
            </w:tcBorders>
            <w:shd w:val="clear" w:color="000000" w:fill="F2F2F2"/>
            <w:vAlign w:val="center"/>
            <w:hideMark/>
          </w:tcPr>
          <w:p w:rsidR="0045237D" w:rsidRPr="0045237D" w:rsidP="0045237D" w14:paraId="61951AC1" w14:textId="77777777">
            <w:pPr>
              <w:widowControl/>
              <w:rPr>
                <w:b/>
                <w:bCs/>
                <w:snapToGrid/>
                <w:color w:val="000000"/>
                <w:sz w:val="20"/>
              </w:rPr>
            </w:pPr>
            <w:r w:rsidRPr="0045237D">
              <w:rPr>
                <w:b/>
                <w:bCs/>
                <w:snapToGrid/>
                <w:color w:val="000000"/>
                <w:sz w:val="20"/>
              </w:rPr>
              <w:t>Annual Total Federal Staff Burden Hours</w:t>
            </w:r>
          </w:p>
        </w:tc>
        <w:tc>
          <w:tcPr>
            <w:tcW w:w="1170" w:type="dxa"/>
            <w:tcBorders>
              <w:top w:val="single" w:sz="4" w:space="0" w:color="auto"/>
              <w:left w:val="nil"/>
              <w:bottom w:val="single" w:sz="4" w:space="0" w:color="auto"/>
              <w:right w:val="single" w:sz="4" w:space="0" w:color="auto"/>
            </w:tcBorders>
            <w:shd w:val="clear" w:color="000000" w:fill="F2F2F2"/>
            <w:vAlign w:val="center"/>
            <w:hideMark/>
          </w:tcPr>
          <w:p w:rsidR="0045237D" w:rsidRPr="0045237D" w:rsidP="0045237D" w14:paraId="303043F1" w14:textId="77777777">
            <w:pPr>
              <w:widowControl/>
              <w:rPr>
                <w:b/>
                <w:bCs/>
                <w:snapToGrid/>
                <w:color w:val="000000"/>
                <w:sz w:val="20"/>
              </w:rPr>
            </w:pPr>
            <w:r w:rsidRPr="0045237D">
              <w:rPr>
                <w:b/>
                <w:bCs/>
                <w:snapToGrid/>
                <w:color w:val="000000"/>
                <w:sz w:val="20"/>
              </w:rPr>
              <w:t>Average Federal Staff Hourly Wage</w:t>
            </w:r>
          </w:p>
        </w:tc>
        <w:tc>
          <w:tcPr>
            <w:tcW w:w="1260" w:type="dxa"/>
            <w:tcBorders>
              <w:top w:val="single" w:sz="4" w:space="0" w:color="auto"/>
              <w:left w:val="nil"/>
              <w:bottom w:val="single" w:sz="4" w:space="0" w:color="auto"/>
              <w:right w:val="single" w:sz="4" w:space="0" w:color="auto"/>
            </w:tcBorders>
            <w:shd w:val="clear" w:color="000000" w:fill="F2F2F2"/>
            <w:vAlign w:val="center"/>
            <w:hideMark/>
          </w:tcPr>
          <w:p w:rsidR="0045237D" w:rsidRPr="0045237D" w:rsidP="0045237D" w14:paraId="46AB489F" w14:textId="77777777">
            <w:pPr>
              <w:widowControl/>
              <w:rPr>
                <w:b/>
                <w:bCs/>
                <w:snapToGrid/>
                <w:color w:val="000000"/>
                <w:sz w:val="20"/>
              </w:rPr>
            </w:pPr>
            <w:r w:rsidRPr="0045237D">
              <w:rPr>
                <w:b/>
                <w:bCs/>
                <w:snapToGrid/>
                <w:color w:val="000000"/>
                <w:sz w:val="20"/>
              </w:rPr>
              <w:t>Annual Total Federal Staff Cost</w:t>
            </w:r>
          </w:p>
        </w:tc>
      </w:tr>
      <w:tr w14:paraId="0A7E7AE7" w14:textId="77777777" w:rsidTr="006B323C">
        <w:tblPrEx>
          <w:tblW w:w="9445" w:type="dxa"/>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45237D" w:rsidRPr="0045237D" w:rsidP="0045237D" w14:paraId="10A313D0" w14:textId="77777777">
            <w:pPr>
              <w:widowControl/>
              <w:rPr>
                <w:snapToGrid/>
                <w:color w:val="000000"/>
                <w:sz w:val="20"/>
              </w:rPr>
            </w:pPr>
            <w:r w:rsidRPr="0045237D">
              <w:rPr>
                <w:snapToGrid/>
                <w:color w:val="000000"/>
                <w:sz w:val="20"/>
              </w:rPr>
              <w:t>Psychotropic Medication Informed Consent (Form MMH-1)</w:t>
            </w:r>
          </w:p>
        </w:tc>
        <w:tc>
          <w:tcPr>
            <w:tcW w:w="1440" w:type="dxa"/>
            <w:tcBorders>
              <w:top w:val="nil"/>
              <w:left w:val="nil"/>
              <w:bottom w:val="single" w:sz="4" w:space="0" w:color="auto"/>
              <w:right w:val="single" w:sz="4" w:space="0" w:color="auto"/>
            </w:tcBorders>
            <w:vAlign w:val="center"/>
            <w:hideMark/>
          </w:tcPr>
          <w:p w:rsidR="0045237D" w:rsidRPr="0045237D" w:rsidP="0045237D" w14:paraId="5B3BC3F0" w14:textId="77777777">
            <w:pPr>
              <w:widowControl/>
              <w:jc w:val="right"/>
              <w:rPr>
                <w:snapToGrid/>
                <w:color w:val="000000"/>
                <w:sz w:val="20"/>
              </w:rPr>
            </w:pPr>
            <w:r w:rsidRPr="0045237D">
              <w:rPr>
                <w:snapToGrid/>
                <w:color w:val="000000"/>
                <w:sz w:val="20"/>
              </w:rPr>
              <w:t>110</w:t>
            </w:r>
          </w:p>
        </w:tc>
        <w:tc>
          <w:tcPr>
            <w:tcW w:w="1170" w:type="dxa"/>
            <w:tcBorders>
              <w:top w:val="nil"/>
              <w:left w:val="nil"/>
              <w:bottom w:val="single" w:sz="4" w:space="0" w:color="auto"/>
              <w:right w:val="single" w:sz="4" w:space="0" w:color="auto"/>
            </w:tcBorders>
            <w:vAlign w:val="center"/>
            <w:hideMark/>
          </w:tcPr>
          <w:p w:rsidR="0045237D" w:rsidRPr="0045237D" w:rsidP="0045237D" w14:paraId="1ED8C2EE" w14:textId="77777777">
            <w:pPr>
              <w:widowControl/>
              <w:jc w:val="right"/>
              <w:rPr>
                <w:snapToGrid/>
                <w:color w:val="000000"/>
                <w:sz w:val="20"/>
              </w:rPr>
            </w:pPr>
            <w:r w:rsidRPr="0045237D">
              <w:rPr>
                <w:snapToGrid/>
                <w:color w:val="000000"/>
                <w:sz w:val="20"/>
              </w:rPr>
              <w:t>5</w:t>
            </w:r>
          </w:p>
        </w:tc>
        <w:tc>
          <w:tcPr>
            <w:tcW w:w="1350" w:type="dxa"/>
            <w:tcBorders>
              <w:top w:val="nil"/>
              <w:left w:val="nil"/>
              <w:bottom w:val="single" w:sz="4" w:space="0" w:color="auto"/>
              <w:right w:val="single" w:sz="4" w:space="0" w:color="auto"/>
            </w:tcBorders>
            <w:vAlign w:val="center"/>
            <w:hideMark/>
          </w:tcPr>
          <w:p w:rsidR="0045237D" w:rsidRPr="0045237D" w:rsidP="0045237D" w14:paraId="7CBAD7C9" w14:textId="77777777">
            <w:pPr>
              <w:widowControl/>
              <w:jc w:val="right"/>
              <w:rPr>
                <w:snapToGrid/>
                <w:color w:val="000000"/>
                <w:sz w:val="20"/>
              </w:rPr>
            </w:pPr>
            <w:r w:rsidRPr="0045237D">
              <w:rPr>
                <w:snapToGrid/>
                <w:color w:val="000000"/>
                <w:sz w:val="20"/>
              </w:rPr>
              <w:t>0.25</w:t>
            </w:r>
          </w:p>
        </w:tc>
        <w:tc>
          <w:tcPr>
            <w:tcW w:w="1350" w:type="dxa"/>
            <w:tcBorders>
              <w:top w:val="nil"/>
              <w:left w:val="nil"/>
              <w:bottom w:val="single" w:sz="4" w:space="0" w:color="auto"/>
              <w:right w:val="single" w:sz="4" w:space="0" w:color="auto"/>
            </w:tcBorders>
            <w:vAlign w:val="center"/>
            <w:hideMark/>
          </w:tcPr>
          <w:p w:rsidR="0045237D" w:rsidRPr="0045237D" w:rsidP="0045237D" w14:paraId="26F5241F" w14:textId="77777777">
            <w:pPr>
              <w:widowControl/>
              <w:jc w:val="right"/>
              <w:rPr>
                <w:snapToGrid/>
                <w:color w:val="000000"/>
                <w:sz w:val="20"/>
              </w:rPr>
            </w:pPr>
            <w:r w:rsidRPr="0045237D">
              <w:rPr>
                <w:snapToGrid/>
                <w:color w:val="000000"/>
                <w:sz w:val="20"/>
              </w:rPr>
              <w:t>138</w:t>
            </w:r>
          </w:p>
        </w:tc>
        <w:tc>
          <w:tcPr>
            <w:tcW w:w="1170" w:type="dxa"/>
            <w:tcBorders>
              <w:top w:val="nil"/>
              <w:left w:val="nil"/>
              <w:bottom w:val="single" w:sz="4" w:space="0" w:color="auto"/>
              <w:right w:val="single" w:sz="4" w:space="0" w:color="auto"/>
            </w:tcBorders>
            <w:noWrap/>
            <w:vAlign w:val="center"/>
            <w:hideMark/>
          </w:tcPr>
          <w:p w:rsidR="0045237D" w:rsidRPr="0045237D" w:rsidP="0045237D" w14:paraId="25777488" w14:textId="77777777">
            <w:pPr>
              <w:widowControl/>
              <w:jc w:val="right"/>
              <w:rPr>
                <w:snapToGrid/>
                <w:color w:val="000000"/>
                <w:sz w:val="20"/>
              </w:rPr>
            </w:pPr>
            <w:r w:rsidRPr="0045237D">
              <w:rPr>
                <w:snapToGrid/>
                <w:color w:val="000000"/>
                <w:sz w:val="20"/>
              </w:rPr>
              <w:t>$95.06</w:t>
            </w:r>
          </w:p>
        </w:tc>
        <w:tc>
          <w:tcPr>
            <w:tcW w:w="1260" w:type="dxa"/>
            <w:tcBorders>
              <w:top w:val="nil"/>
              <w:left w:val="nil"/>
              <w:bottom w:val="single" w:sz="4" w:space="0" w:color="auto"/>
              <w:right w:val="single" w:sz="4" w:space="0" w:color="auto"/>
            </w:tcBorders>
            <w:noWrap/>
            <w:vAlign w:val="center"/>
            <w:hideMark/>
          </w:tcPr>
          <w:p w:rsidR="0045237D" w:rsidRPr="0045237D" w:rsidP="0045237D" w14:paraId="72BE52E1" w14:textId="77777777">
            <w:pPr>
              <w:widowControl/>
              <w:jc w:val="right"/>
              <w:rPr>
                <w:snapToGrid/>
                <w:color w:val="000000"/>
                <w:sz w:val="20"/>
              </w:rPr>
            </w:pPr>
            <w:r w:rsidRPr="0045237D">
              <w:rPr>
                <w:snapToGrid/>
                <w:color w:val="000000"/>
                <w:sz w:val="20"/>
              </w:rPr>
              <w:t>$13,070.75</w:t>
            </w:r>
          </w:p>
        </w:tc>
      </w:tr>
      <w:tr w14:paraId="6EDC0B15" w14:textId="77777777" w:rsidTr="00BE2D6B">
        <w:tblPrEx>
          <w:tblW w:w="9445" w:type="dxa"/>
          <w:tblLook w:val="04A0"/>
        </w:tblPrEx>
        <w:trPr>
          <w:trHeight w:val="300"/>
        </w:trPr>
        <w:tc>
          <w:tcPr>
            <w:tcW w:w="1705" w:type="dxa"/>
            <w:tcBorders>
              <w:top w:val="nil"/>
              <w:left w:val="single" w:sz="4" w:space="0" w:color="auto"/>
              <w:bottom w:val="single" w:sz="4" w:space="0" w:color="auto"/>
              <w:right w:val="single" w:sz="4" w:space="0" w:color="auto"/>
            </w:tcBorders>
            <w:vAlign w:val="center"/>
            <w:hideMark/>
          </w:tcPr>
          <w:p w:rsidR="0045237D" w:rsidRPr="0045237D" w:rsidP="0045237D" w14:paraId="313D9875" w14:textId="77777777">
            <w:pPr>
              <w:widowControl/>
              <w:rPr>
                <w:snapToGrid/>
                <w:color w:val="000000"/>
                <w:sz w:val="20"/>
              </w:rPr>
            </w:pPr>
            <w:r w:rsidRPr="0045237D">
              <w:rPr>
                <w:snapToGrid/>
                <w:color w:val="000000"/>
                <w:sz w:val="20"/>
              </w:rPr>
              <w:t>Psychotropic Medication Assent Notice (Form MMH-2)</w:t>
            </w:r>
          </w:p>
        </w:tc>
        <w:tc>
          <w:tcPr>
            <w:tcW w:w="1440" w:type="dxa"/>
            <w:tcBorders>
              <w:top w:val="nil"/>
              <w:left w:val="nil"/>
              <w:bottom w:val="single" w:sz="4" w:space="0" w:color="auto"/>
              <w:right w:val="single" w:sz="4" w:space="0" w:color="auto"/>
            </w:tcBorders>
            <w:vAlign w:val="center"/>
            <w:hideMark/>
          </w:tcPr>
          <w:p w:rsidR="0045237D" w:rsidRPr="0045237D" w:rsidP="0045237D" w14:paraId="230E7E3F" w14:textId="77777777">
            <w:pPr>
              <w:widowControl/>
              <w:jc w:val="right"/>
              <w:rPr>
                <w:snapToGrid/>
                <w:color w:val="000000"/>
                <w:sz w:val="20"/>
              </w:rPr>
            </w:pPr>
            <w:r w:rsidRPr="0045237D">
              <w:rPr>
                <w:snapToGrid/>
                <w:color w:val="000000"/>
                <w:sz w:val="20"/>
              </w:rPr>
              <w:t>110</w:t>
            </w:r>
          </w:p>
        </w:tc>
        <w:tc>
          <w:tcPr>
            <w:tcW w:w="1170" w:type="dxa"/>
            <w:tcBorders>
              <w:top w:val="nil"/>
              <w:left w:val="nil"/>
              <w:bottom w:val="single" w:sz="4" w:space="0" w:color="auto"/>
              <w:right w:val="single" w:sz="4" w:space="0" w:color="auto"/>
            </w:tcBorders>
            <w:vAlign w:val="center"/>
            <w:hideMark/>
          </w:tcPr>
          <w:p w:rsidR="0045237D" w:rsidRPr="0045237D" w:rsidP="0045237D" w14:paraId="7E0E0422" w14:textId="77777777">
            <w:pPr>
              <w:widowControl/>
              <w:jc w:val="right"/>
              <w:rPr>
                <w:snapToGrid/>
                <w:color w:val="000000"/>
                <w:sz w:val="20"/>
              </w:rPr>
            </w:pPr>
            <w:r w:rsidRPr="0045237D">
              <w:rPr>
                <w:snapToGrid/>
                <w:color w:val="000000"/>
                <w:sz w:val="20"/>
              </w:rPr>
              <w:t>4.0</w:t>
            </w:r>
          </w:p>
        </w:tc>
        <w:tc>
          <w:tcPr>
            <w:tcW w:w="1350" w:type="dxa"/>
            <w:tcBorders>
              <w:top w:val="nil"/>
              <w:left w:val="nil"/>
              <w:bottom w:val="single" w:sz="4" w:space="0" w:color="auto"/>
              <w:right w:val="single" w:sz="4" w:space="0" w:color="auto"/>
            </w:tcBorders>
            <w:vAlign w:val="center"/>
            <w:hideMark/>
          </w:tcPr>
          <w:p w:rsidR="0045237D" w:rsidRPr="0045237D" w:rsidP="0045237D" w14:paraId="7AC196F7" w14:textId="77777777">
            <w:pPr>
              <w:widowControl/>
              <w:jc w:val="right"/>
              <w:rPr>
                <w:snapToGrid/>
                <w:color w:val="000000"/>
                <w:sz w:val="20"/>
              </w:rPr>
            </w:pPr>
            <w:r w:rsidRPr="0045237D">
              <w:rPr>
                <w:snapToGrid/>
                <w:color w:val="000000"/>
                <w:sz w:val="20"/>
              </w:rPr>
              <w:t>0.17</w:t>
            </w:r>
          </w:p>
        </w:tc>
        <w:tc>
          <w:tcPr>
            <w:tcW w:w="1350" w:type="dxa"/>
            <w:tcBorders>
              <w:top w:val="nil"/>
              <w:left w:val="nil"/>
              <w:bottom w:val="single" w:sz="4" w:space="0" w:color="auto"/>
              <w:right w:val="single" w:sz="4" w:space="0" w:color="auto"/>
            </w:tcBorders>
            <w:vAlign w:val="center"/>
            <w:hideMark/>
          </w:tcPr>
          <w:p w:rsidR="0045237D" w:rsidRPr="0045237D" w:rsidP="0045237D" w14:paraId="6FC9836E" w14:textId="77777777">
            <w:pPr>
              <w:widowControl/>
              <w:jc w:val="right"/>
              <w:rPr>
                <w:snapToGrid/>
                <w:color w:val="000000"/>
                <w:sz w:val="20"/>
              </w:rPr>
            </w:pPr>
            <w:r w:rsidRPr="0045237D">
              <w:rPr>
                <w:snapToGrid/>
                <w:color w:val="000000"/>
                <w:sz w:val="20"/>
              </w:rPr>
              <w:t>75</w:t>
            </w:r>
          </w:p>
        </w:tc>
        <w:tc>
          <w:tcPr>
            <w:tcW w:w="1170" w:type="dxa"/>
            <w:tcBorders>
              <w:top w:val="nil"/>
              <w:left w:val="nil"/>
              <w:bottom w:val="single" w:sz="4" w:space="0" w:color="auto"/>
              <w:right w:val="single" w:sz="4" w:space="0" w:color="auto"/>
            </w:tcBorders>
            <w:noWrap/>
            <w:vAlign w:val="center"/>
            <w:hideMark/>
          </w:tcPr>
          <w:p w:rsidR="0045237D" w:rsidRPr="0045237D" w:rsidP="0045237D" w14:paraId="20C3FCFD" w14:textId="77777777">
            <w:pPr>
              <w:widowControl/>
              <w:jc w:val="right"/>
              <w:rPr>
                <w:snapToGrid/>
                <w:color w:val="000000"/>
                <w:sz w:val="20"/>
              </w:rPr>
            </w:pPr>
            <w:r w:rsidRPr="0045237D">
              <w:rPr>
                <w:snapToGrid/>
                <w:color w:val="000000"/>
                <w:sz w:val="20"/>
              </w:rPr>
              <w:t>$95.06</w:t>
            </w:r>
          </w:p>
        </w:tc>
        <w:tc>
          <w:tcPr>
            <w:tcW w:w="1260" w:type="dxa"/>
            <w:tcBorders>
              <w:top w:val="nil"/>
              <w:left w:val="nil"/>
              <w:bottom w:val="single" w:sz="4" w:space="0" w:color="auto"/>
              <w:right w:val="single" w:sz="4" w:space="0" w:color="auto"/>
            </w:tcBorders>
            <w:noWrap/>
            <w:vAlign w:val="center"/>
            <w:hideMark/>
          </w:tcPr>
          <w:p w:rsidR="0045237D" w:rsidRPr="0045237D" w:rsidP="0045237D" w14:paraId="19CD2A4A" w14:textId="77777777">
            <w:pPr>
              <w:widowControl/>
              <w:jc w:val="right"/>
              <w:rPr>
                <w:snapToGrid/>
                <w:color w:val="000000"/>
                <w:sz w:val="20"/>
              </w:rPr>
            </w:pPr>
            <w:r w:rsidRPr="0045237D">
              <w:rPr>
                <w:snapToGrid/>
                <w:color w:val="000000"/>
                <w:sz w:val="20"/>
              </w:rPr>
              <w:t>$7,110.49</w:t>
            </w:r>
          </w:p>
        </w:tc>
      </w:tr>
      <w:tr w14:paraId="2134202D" w14:textId="77777777" w:rsidTr="00160E36">
        <w:tblPrEx>
          <w:tblW w:w="9445" w:type="dxa"/>
          <w:tblLook w:val="04A0"/>
        </w:tblPrEx>
        <w:trPr>
          <w:trHeight w:val="773"/>
        </w:trPr>
        <w:tc>
          <w:tcPr>
            <w:tcW w:w="4315" w:type="dxa"/>
            <w:gridSpan w:val="3"/>
            <w:tcBorders>
              <w:top w:val="single" w:sz="4" w:space="0" w:color="auto"/>
              <w:left w:val="single" w:sz="4" w:space="0" w:color="auto"/>
              <w:bottom w:val="single" w:sz="4" w:space="0" w:color="auto"/>
            </w:tcBorders>
            <w:vAlign w:val="center"/>
            <w:hideMark/>
          </w:tcPr>
          <w:p w:rsidR="006B323C" w:rsidP="006B323C" w14:paraId="2302DF02" w14:textId="2D539853">
            <w:pPr>
              <w:widowControl/>
              <w:jc w:val="right"/>
              <w:rPr>
                <w:b/>
                <w:bCs/>
                <w:snapToGrid/>
                <w:color w:val="000000"/>
                <w:sz w:val="20"/>
              </w:rPr>
            </w:pPr>
            <w:r w:rsidRPr="0045237D">
              <w:rPr>
                <w:b/>
                <w:bCs/>
                <w:snapToGrid/>
                <w:color w:val="000000"/>
                <w:sz w:val="20"/>
              </w:rPr>
              <w:t xml:space="preserve"> </w:t>
            </w:r>
          </w:p>
        </w:tc>
        <w:tc>
          <w:tcPr>
            <w:tcW w:w="1350" w:type="dxa"/>
            <w:tcBorders>
              <w:top w:val="single" w:sz="4" w:space="0" w:color="auto"/>
              <w:bottom w:val="single" w:sz="4" w:space="0" w:color="auto"/>
              <w:right w:val="single" w:sz="4" w:space="0" w:color="auto"/>
            </w:tcBorders>
            <w:vAlign w:val="center"/>
          </w:tcPr>
          <w:p w:rsidR="006B323C" w:rsidP="006B323C" w14:paraId="7B077CAB" w14:textId="77777777">
            <w:pPr>
              <w:widowControl/>
              <w:rPr>
                <w:b/>
                <w:bCs/>
                <w:snapToGrid/>
                <w:color w:val="000000"/>
                <w:sz w:val="20"/>
              </w:rPr>
            </w:pPr>
            <w:r w:rsidRPr="0045237D">
              <w:rPr>
                <w:b/>
                <w:bCs/>
                <w:snapToGrid/>
                <w:color w:val="000000"/>
                <w:sz w:val="20"/>
              </w:rPr>
              <w:t xml:space="preserve">Estimated </w:t>
            </w:r>
          </w:p>
          <w:p w:rsidR="00160E36" w:rsidP="006B323C" w14:paraId="2DE27604" w14:textId="77777777">
            <w:pPr>
              <w:widowControl/>
              <w:rPr>
                <w:b/>
                <w:bCs/>
                <w:snapToGrid/>
                <w:color w:val="000000"/>
                <w:sz w:val="20"/>
              </w:rPr>
            </w:pPr>
            <w:r w:rsidRPr="0045237D">
              <w:rPr>
                <w:b/>
                <w:bCs/>
                <w:snapToGrid/>
                <w:color w:val="000000"/>
                <w:sz w:val="20"/>
              </w:rPr>
              <w:t xml:space="preserve">Annual </w:t>
            </w:r>
          </w:p>
          <w:p w:rsidR="006B323C" w:rsidP="006B323C" w14:paraId="1E02A675" w14:textId="6AB49C70">
            <w:pPr>
              <w:widowControl/>
              <w:rPr>
                <w:b/>
                <w:bCs/>
                <w:snapToGrid/>
                <w:color w:val="000000"/>
                <w:sz w:val="20"/>
              </w:rPr>
            </w:pPr>
            <w:r w:rsidRPr="0045237D">
              <w:rPr>
                <w:b/>
                <w:bCs/>
                <w:snapToGrid/>
                <w:color w:val="000000"/>
                <w:sz w:val="20"/>
              </w:rPr>
              <w:t xml:space="preserve">Burden </w:t>
            </w:r>
          </w:p>
          <w:p w:rsidR="006B323C" w:rsidRPr="0045237D" w:rsidP="006B323C" w14:paraId="020B866E" w14:textId="0E599700">
            <w:pPr>
              <w:widowControl/>
              <w:rPr>
                <w:b/>
                <w:bCs/>
                <w:snapToGrid/>
                <w:color w:val="000000"/>
                <w:sz w:val="20"/>
              </w:rPr>
            </w:pPr>
            <w:r w:rsidRPr="0045237D">
              <w:rPr>
                <w:b/>
                <w:bCs/>
                <w:snapToGrid/>
                <w:color w:val="000000"/>
                <w:sz w:val="20"/>
              </w:rPr>
              <w:t>Hours Total:</w:t>
            </w:r>
          </w:p>
        </w:tc>
        <w:tc>
          <w:tcPr>
            <w:tcW w:w="1350" w:type="dxa"/>
            <w:tcBorders>
              <w:top w:val="nil"/>
              <w:left w:val="nil"/>
              <w:bottom w:val="single" w:sz="4" w:space="0" w:color="auto"/>
              <w:right w:val="single" w:sz="4" w:space="0" w:color="auto"/>
            </w:tcBorders>
            <w:vAlign w:val="center"/>
            <w:hideMark/>
          </w:tcPr>
          <w:p w:rsidR="006B323C" w:rsidRPr="0045237D" w:rsidP="0045237D" w14:paraId="0F30D4F9" w14:textId="77777777">
            <w:pPr>
              <w:widowControl/>
              <w:jc w:val="right"/>
              <w:rPr>
                <w:b/>
                <w:bCs/>
                <w:snapToGrid/>
                <w:color w:val="000000"/>
                <w:sz w:val="20"/>
              </w:rPr>
            </w:pPr>
            <w:r w:rsidRPr="0045237D">
              <w:rPr>
                <w:b/>
                <w:bCs/>
                <w:snapToGrid/>
                <w:color w:val="000000"/>
                <w:sz w:val="20"/>
              </w:rPr>
              <w:t>212</w:t>
            </w:r>
          </w:p>
        </w:tc>
        <w:tc>
          <w:tcPr>
            <w:tcW w:w="1170" w:type="dxa"/>
            <w:tcBorders>
              <w:top w:val="nil"/>
              <w:left w:val="nil"/>
              <w:bottom w:val="single" w:sz="4" w:space="0" w:color="auto"/>
              <w:right w:val="single" w:sz="4" w:space="0" w:color="auto"/>
            </w:tcBorders>
            <w:vAlign w:val="bottom"/>
            <w:hideMark/>
          </w:tcPr>
          <w:p w:rsidR="006B323C" w:rsidRPr="0045237D" w:rsidP="006B323C" w14:paraId="5F6711F9" w14:textId="77777777">
            <w:pPr>
              <w:widowControl/>
              <w:rPr>
                <w:b/>
                <w:bCs/>
                <w:snapToGrid/>
                <w:color w:val="000000"/>
                <w:sz w:val="20"/>
              </w:rPr>
            </w:pPr>
            <w:r w:rsidRPr="0045237D">
              <w:rPr>
                <w:b/>
                <w:bCs/>
                <w:snapToGrid/>
                <w:color w:val="000000"/>
                <w:sz w:val="20"/>
              </w:rPr>
              <w:t>Estimated Annual Cost Total:</w:t>
            </w:r>
          </w:p>
        </w:tc>
        <w:tc>
          <w:tcPr>
            <w:tcW w:w="1260" w:type="dxa"/>
            <w:tcBorders>
              <w:top w:val="nil"/>
              <w:left w:val="nil"/>
              <w:bottom w:val="single" w:sz="4" w:space="0" w:color="auto"/>
              <w:right w:val="single" w:sz="4" w:space="0" w:color="auto"/>
            </w:tcBorders>
            <w:noWrap/>
            <w:vAlign w:val="center"/>
            <w:hideMark/>
          </w:tcPr>
          <w:p w:rsidR="006B323C" w:rsidRPr="0045237D" w:rsidP="0045237D" w14:paraId="1029732C" w14:textId="77777777">
            <w:pPr>
              <w:widowControl/>
              <w:jc w:val="right"/>
              <w:rPr>
                <w:b/>
                <w:bCs/>
                <w:snapToGrid/>
                <w:color w:val="000000"/>
                <w:sz w:val="20"/>
              </w:rPr>
            </w:pPr>
            <w:r w:rsidRPr="0045237D">
              <w:rPr>
                <w:b/>
                <w:bCs/>
                <w:snapToGrid/>
                <w:color w:val="000000"/>
                <w:sz w:val="20"/>
              </w:rPr>
              <w:t>$20,181.24</w:t>
            </w:r>
          </w:p>
        </w:tc>
      </w:tr>
    </w:tbl>
    <w:p w:rsidR="0083125C" w:rsidRPr="004F7B95" w:rsidP="0083125C" w14:paraId="61FC2568" w14:textId="77777777">
      <w:pPr>
        <w:widowControl/>
        <w:rPr>
          <w:snapToGrid/>
          <w:sz w:val="24"/>
          <w:szCs w:val="24"/>
        </w:rPr>
      </w:pPr>
    </w:p>
    <w:p w:rsidR="00DE529D" w:rsidRPr="004F7B95" w:rsidP="00DE529D" w14:paraId="35C07DCF" w14:textId="77777777">
      <w:pPr>
        <w:widowControl/>
        <w:ind w:left="360"/>
        <w:rPr>
          <w:snapToGrid/>
          <w:sz w:val="24"/>
          <w:szCs w:val="24"/>
        </w:rPr>
      </w:pPr>
    </w:p>
    <w:p w:rsidR="00A04EF3" w:rsidRPr="00644E73" w:rsidP="00644E73" w14:paraId="10D6D58F" w14:textId="392E1C55">
      <w:pPr>
        <w:widowControl/>
        <w:numPr>
          <w:ilvl w:val="0"/>
          <w:numId w:val="3"/>
        </w:numPr>
        <w:tabs>
          <w:tab w:val="num" w:pos="360"/>
        </w:tabs>
        <w:spacing w:after="120"/>
        <w:ind w:left="360"/>
        <w:rPr>
          <w:b/>
          <w:snapToGrid/>
          <w:sz w:val="24"/>
          <w:szCs w:val="24"/>
        </w:rPr>
      </w:pPr>
      <w:r w:rsidRPr="00817E2B">
        <w:rPr>
          <w:b/>
          <w:snapToGrid/>
          <w:sz w:val="24"/>
          <w:szCs w:val="24"/>
        </w:rPr>
        <w:t xml:space="preserve">Explanation for Program Changes or Adjustments </w:t>
      </w:r>
    </w:p>
    <w:p w:rsidR="00730F4B" w:rsidP="000B3544" w14:paraId="002A6E47" w14:textId="5DF926B5">
      <w:pPr>
        <w:pStyle w:val="Default"/>
        <w:widowControl/>
        <w:rPr>
          <w:rFonts w:ascii="Times New Roman" w:hAnsi="Times New Roman" w:cs="Times New Roman"/>
          <w:bCs/>
          <w:iCs/>
          <w:sz w:val="22"/>
          <w:szCs w:val="22"/>
        </w:rPr>
      </w:pPr>
      <w:r>
        <w:rPr>
          <w:rFonts w:ascii="Times New Roman" w:hAnsi="Times New Roman" w:cs="Times New Roman"/>
          <w:bCs/>
          <w:iCs/>
          <w:sz w:val="22"/>
          <w:szCs w:val="22"/>
        </w:rPr>
        <w:t>This is a new information collection.</w:t>
      </w:r>
    </w:p>
    <w:p w:rsidR="00A86A5E" w:rsidRPr="00A86A5E" w:rsidP="000B3544" w14:paraId="7CD89D81" w14:textId="77777777">
      <w:pPr>
        <w:pStyle w:val="Default"/>
        <w:widowControl/>
        <w:rPr>
          <w:rFonts w:ascii="Times New Roman" w:hAnsi="Times New Roman" w:cs="Times New Roman"/>
          <w:bCs/>
          <w:iCs/>
          <w:sz w:val="22"/>
          <w:szCs w:val="22"/>
        </w:rPr>
      </w:pPr>
    </w:p>
    <w:p w:rsidR="00D60543" w:rsidRPr="004F7B95" w:rsidP="004F7B95" w14:paraId="2982928D" w14:textId="77777777">
      <w:pPr>
        <w:widowControl/>
        <w:ind w:left="360"/>
        <w:rPr>
          <w:snapToGrid/>
          <w:sz w:val="24"/>
          <w:szCs w:val="24"/>
        </w:rPr>
      </w:pPr>
    </w:p>
    <w:p w:rsidR="002C3C4F" w:rsidRPr="00817E2B" w:rsidP="00817E2B" w14:paraId="113CF5B4" w14:textId="77777777">
      <w:pPr>
        <w:widowControl/>
        <w:numPr>
          <w:ilvl w:val="0"/>
          <w:numId w:val="3"/>
        </w:numPr>
        <w:tabs>
          <w:tab w:val="num" w:pos="360"/>
        </w:tabs>
        <w:spacing w:after="120"/>
        <w:ind w:left="360"/>
        <w:rPr>
          <w:b/>
          <w:snapToGrid/>
          <w:sz w:val="24"/>
          <w:szCs w:val="24"/>
        </w:rPr>
      </w:pPr>
      <w:r w:rsidRPr="00817E2B">
        <w:rPr>
          <w:b/>
          <w:snapToGrid/>
          <w:sz w:val="24"/>
          <w:szCs w:val="24"/>
        </w:rPr>
        <w:t xml:space="preserve">Plans for Tabulation and Publication and Project Time Schedule </w:t>
      </w:r>
    </w:p>
    <w:p w:rsidR="00D60543" w:rsidP="00642079" w14:paraId="20669B59" w14:textId="02D97E58">
      <w:pPr>
        <w:widowControl/>
        <w:rPr>
          <w:snapToGrid/>
          <w:sz w:val="24"/>
          <w:szCs w:val="24"/>
        </w:rPr>
      </w:pPr>
      <w:r w:rsidRPr="00D330E6">
        <w:t>ORR does not plan to publish the information provided by the respondents.</w:t>
      </w:r>
    </w:p>
    <w:p w:rsidR="00D60543" w:rsidP="00DE529D" w14:paraId="1B626A1E" w14:textId="77777777">
      <w:pPr>
        <w:widowControl/>
        <w:ind w:left="360"/>
        <w:rPr>
          <w:snapToGrid/>
          <w:sz w:val="24"/>
          <w:szCs w:val="24"/>
        </w:rPr>
      </w:pPr>
    </w:p>
    <w:p w:rsidR="007935D5" w:rsidRPr="004F7B95" w:rsidP="00DE529D" w14:paraId="298DD100" w14:textId="77777777">
      <w:pPr>
        <w:widowControl/>
        <w:ind w:left="360"/>
        <w:rPr>
          <w:snapToGrid/>
          <w:sz w:val="24"/>
          <w:szCs w:val="24"/>
        </w:rPr>
      </w:pPr>
    </w:p>
    <w:p w:rsidR="002C3C4F" w:rsidRPr="00817E2B" w:rsidP="00817E2B" w14:paraId="4097A725" w14:textId="77777777">
      <w:pPr>
        <w:widowControl/>
        <w:numPr>
          <w:ilvl w:val="0"/>
          <w:numId w:val="3"/>
        </w:numPr>
        <w:tabs>
          <w:tab w:val="left" w:pos="360"/>
        </w:tabs>
        <w:spacing w:after="120"/>
        <w:ind w:left="360"/>
        <w:rPr>
          <w:b/>
          <w:snapToGrid/>
          <w:sz w:val="24"/>
          <w:szCs w:val="24"/>
        </w:rPr>
      </w:pPr>
      <w:r w:rsidRPr="00817E2B">
        <w:rPr>
          <w:b/>
          <w:snapToGrid/>
          <w:sz w:val="24"/>
          <w:szCs w:val="24"/>
        </w:rPr>
        <w:t xml:space="preserve">Reason(s) Display of OMB Expiration Date is Inappropriate </w:t>
      </w:r>
    </w:p>
    <w:p w:rsidR="00A04EF3" w:rsidP="00FB2D9C" w14:paraId="14F40E7C" w14:textId="6938804B">
      <w:pPr>
        <w:widowControl/>
        <w:rPr>
          <w:snapToGrid/>
          <w:sz w:val="24"/>
          <w:szCs w:val="24"/>
        </w:rPr>
      </w:pPr>
      <w:r w:rsidRPr="00D330E6">
        <w:t>ORR plans to display the expiration date of clearance as set by OMB</w:t>
      </w:r>
      <w:r w:rsidR="00242349">
        <w:t>.</w:t>
      </w:r>
    </w:p>
    <w:p w:rsidR="00D60543" w:rsidP="00642079" w14:paraId="67DA4836" w14:textId="77777777">
      <w:pPr>
        <w:widowControl/>
        <w:rPr>
          <w:snapToGrid/>
          <w:sz w:val="24"/>
          <w:szCs w:val="24"/>
        </w:rPr>
      </w:pPr>
    </w:p>
    <w:p w:rsidR="00D60543" w:rsidRPr="004F7B95" w:rsidP="00DE529D" w14:paraId="3C11407F" w14:textId="77777777">
      <w:pPr>
        <w:widowControl/>
        <w:ind w:left="360" w:hanging="90"/>
        <w:rPr>
          <w:snapToGrid/>
          <w:sz w:val="24"/>
          <w:szCs w:val="24"/>
        </w:rPr>
      </w:pPr>
    </w:p>
    <w:p w:rsidR="002C3C4F" w:rsidRPr="00817E2B" w:rsidP="00817E2B" w14:paraId="7CE40BCB" w14:textId="77777777">
      <w:pPr>
        <w:widowControl/>
        <w:numPr>
          <w:ilvl w:val="0"/>
          <w:numId w:val="3"/>
        </w:numPr>
        <w:tabs>
          <w:tab w:val="num" w:pos="360"/>
        </w:tabs>
        <w:spacing w:after="120"/>
        <w:ind w:left="360"/>
        <w:rPr>
          <w:b/>
          <w:snapToGrid/>
          <w:sz w:val="24"/>
          <w:szCs w:val="24"/>
        </w:rPr>
      </w:pPr>
      <w:r w:rsidRPr="00817E2B">
        <w:rPr>
          <w:b/>
          <w:snapToGrid/>
          <w:sz w:val="24"/>
          <w:szCs w:val="24"/>
        </w:rPr>
        <w:t>Exceptions to Certification for Paperwork Reduction Act Submissions</w:t>
      </w:r>
    </w:p>
    <w:p w:rsidR="00E53667" w:rsidRPr="00005D18" w:rsidP="00E53667" w14:paraId="6EC3E84E" w14:textId="5AE0FA43">
      <w:pPr>
        <w:pStyle w:val="Default"/>
        <w:rPr>
          <w:rFonts w:ascii="Times New Roman" w:hAnsi="Times New Roman"/>
        </w:rPr>
      </w:pPr>
      <w:r w:rsidRPr="00D330E6">
        <w:rPr>
          <w:rFonts w:ascii="Times New Roman" w:hAnsi="Times New Roman" w:cs="Times New Roman"/>
          <w:sz w:val="22"/>
          <w:szCs w:val="20"/>
        </w:rPr>
        <w:t>No exceptions are necessary for this information collection</w:t>
      </w:r>
      <w:r>
        <w:rPr>
          <w:rFonts w:ascii="Times New Roman" w:hAnsi="Times New Roman" w:cs="Times New Roman"/>
          <w:sz w:val="22"/>
          <w:szCs w:val="20"/>
        </w:rPr>
        <w:t>.</w:t>
      </w: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91140" w14:paraId="037C532F" w14:textId="77777777">
      <w:pPr>
        <w:spacing w:line="20" w:lineRule="exact"/>
        <w:rPr>
          <w:sz w:val="24"/>
        </w:rPr>
      </w:pPr>
    </w:p>
  </w:endnote>
  <w:endnote w:type="continuationSeparator" w:id="1">
    <w:p w:rsidR="00591140" w14:paraId="50E4F539" w14:textId="77777777">
      <w:r>
        <w:rPr>
          <w:sz w:val="24"/>
        </w:rPr>
        <w:t xml:space="preserve"> </w:t>
      </w:r>
    </w:p>
  </w:endnote>
  <w:endnote w:type="continuationNotice" w:id="2">
    <w:p w:rsidR="00591140" w14:paraId="7897E42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charset w:val="00"/>
    <w:family w:val="roman"/>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color w:val="2B579A"/>
        <w:shd w:val="clear" w:color="auto" w:fill="E6E6E6"/>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EC26A5">
                            <w:rPr>
                              <w:noProof/>
                              <w:sz w:val="24"/>
                            </w:rPr>
                            <w:t>6</w:t>
                          </w:r>
                          <w:r>
                            <w:rPr>
                              <w:color w:val="2B579A"/>
                              <w:sz w:val="24"/>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color w:val="2B579A"/>
                        <w:sz w:val="24"/>
                        <w:shd w:val="clear" w:color="auto" w:fill="E6E6E6"/>
                      </w:rPr>
                      <w:fldChar w:fldCharType="begin"/>
                    </w:r>
                    <w:r>
                      <w:rPr>
                        <w:sz w:val="24"/>
                      </w:rPr>
                      <w:instrText>page \* arabic</w:instrText>
                    </w:r>
                    <w:r>
                      <w:rPr>
                        <w:color w:val="2B579A"/>
                        <w:sz w:val="24"/>
                        <w:shd w:val="clear" w:color="auto" w:fill="E6E6E6"/>
                      </w:rPr>
                      <w:fldChar w:fldCharType="separate"/>
                    </w:r>
                    <w:r w:rsidR="00EC26A5">
                      <w:rPr>
                        <w:noProof/>
                        <w:sz w:val="24"/>
                      </w:rPr>
                      <w:t>6</w:t>
                    </w:r>
                    <w:r>
                      <w:rPr>
                        <w:color w:val="2B579A"/>
                        <w:sz w:val="24"/>
                        <w:shd w:val="clear" w:color="auto" w:fill="E6E6E6"/>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1140" w14:paraId="7CC62FBC" w14:textId="77777777">
      <w:r>
        <w:rPr>
          <w:sz w:val="24"/>
        </w:rPr>
        <w:separator/>
      </w:r>
    </w:p>
  </w:footnote>
  <w:footnote w:type="continuationSeparator" w:id="1">
    <w:p w:rsidR="00591140" w14:paraId="6B672BCC" w14:textId="77777777">
      <w:r>
        <w:continuationSeparator/>
      </w:r>
    </w:p>
  </w:footnote>
  <w:footnote w:type="continuationNotice" w:id="2">
    <w:p w:rsidR="00591140" w14:paraId="05333D9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7032C13"/>
    <w:multiLevelType w:val="hybridMultilevel"/>
    <w:tmpl w:val="3B56E3BA"/>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397430"/>
    <w:multiLevelType w:val="hybridMultilevel"/>
    <w:tmpl w:val="3AECCF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5B3DC9"/>
    <w:multiLevelType w:val="hybridMultilevel"/>
    <w:tmpl w:val="93CC767C"/>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986E97"/>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951CF2"/>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884F63"/>
    <w:multiLevelType w:val="hybridMultilevel"/>
    <w:tmpl w:val="A65EE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F140CA"/>
    <w:multiLevelType w:val="hybridMultilevel"/>
    <w:tmpl w:val="8724F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572C07F8"/>
    <w:multiLevelType w:val="hybridMultilevel"/>
    <w:tmpl w:val="0204C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501B19"/>
    <w:multiLevelType w:val="hybridMultilevel"/>
    <w:tmpl w:val="61B257AE"/>
    <w:lvl w:ilvl="0">
      <w:start w:val="1"/>
      <w:numFmt w:val="decimal"/>
      <w:lvlText w:val="%1."/>
      <w:lvlJc w:val="left"/>
      <w:pPr>
        <w:ind w:left="720" w:hanging="360"/>
      </w:pPr>
      <w:rPr>
        <w:rFonts w:asciiTheme="majorBidi" w:hAnsiTheme="majorBidi" w:cstheme="majorBidi" w:hint="default"/>
        <w:i w:val="0"/>
        <w:iCs/>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3B66B9"/>
    <w:multiLevelType w:val="hybridMultilevel"/>
    <w:tmpl w:val="4A7E38CC"/>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112E0B"/>
    <w:multiLevelType w:val="hybridMultilevel"/>
    <w:tmpl w:val="31305278"/>
    <w:lvl w:ilvl="0">
      <w:start w:val="1"/>
      <w:numFmt w:val="decimal"/>
      <w:lvlText w:val="%1."/>
      <w:lvlJc w:val="left"/>
      <w:pPr>
        <w:ind w:left="720" w:hanging="360"/>
      </w:pPr>
      <w:rPr>
        <w:rFonts w:asciiTheme="majorBidi" w:hAnsiTheme="majorBidi" w:cstheme="majorBidi" w:hint="default"/>
        <w:i w:val="0"/>
        <w:iCs/>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1727074"/>
    <w:multiLevelType w:val="hybridMultilevel"/>
    <w:tmpl w:val="23AC0616"/>
    <w:lvl w:ilvl="0">
      <w:start w:val="1"/>
      <w:numFmt w:val="decimal"/>
      <w:lvlText w:val="%1."/>
      <w:lvlJc w:val="left"/>
      <w:pPr>
        <w:ind w:left="720" w:hanging="360"/>
      </w:pPr>
      <w:rPr>
        <w:rFonts w:asciiTheme="majorBidi" w:hAnsiTheme="majorBidi" w:cstheme="majorBidi" w:hint="default"/>
        <w:b w:val="0"/>
        <w:bCs/>
        <w:i w:val="0"/>
        <w:iCs/>
        <w:sz w:val="22"/>
        <w:szCs w:val="22"/>
      </w:rPr>
    </w:lvl>
    <w:lvl w:ilvl="1">
      <w:start w:val="1"/>
      <w:numFmt w:val="bullet"/>
      <w:lvlText w:val=""/>
      <w:lvlJc w:val="left"/>
      <w:pPr>
        <w:ind w:left="180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60206852">
    <w:abstractNumId w:val="18"/>
  </w:num>
  <w:num w:numId="2" w16cid:durableId="115998747">
    <w:abstractNumId w:val="19"/>
  </w:num>
  <w:num w:numId="3" w16cid:durableId="78403398">
    <w:abstractNumId w:val="22"/>
  </w:num>
  <w:num w:numId="4" w16cid:durableId="1378816611">
    <w:abstractNumId w:val="9"/>
  </w:num>
  <w:num w:numId="5" w16cid:durableId="2054885822">
    <w:abstractNumId w:val="13"/>
  </w:num>
  <w:num w:numId="6" w16cid:durableId="1873104983">
    <w:abstractNumId w:val="17"/>
  </w:num>
  <w:num w:numId="7" w16cid:durableId="1934437032">
    <w:abstractNumId w:val="3"/>
  </w:num>
  <w:num w:numId="8" w16cid:durableId="746918754">
    <w:abstractNumId w:val="16"/>
  </w:num>
  <w:num w:numId="9" w16cid:durableId="1162427439">
    <w:abstractNumId w:val="24"/>
  </w:num>
  <w:num w:numId="10" w16cid:durableId="1006397936">
    <w:abstractNumId w:val="15"/>
  </w:num>
  <w:num w:numId="11" w16cid:durableId="178742228">
    <w:abstractNumId w:val="12"/>
  </w:num>
  <w:num w:numId="12" w16cid:durableId="233470095">
    <w:abstractNumId w:val="0"/>
  </w:num>
  <w:num w:numId="13" w16cid:durableId="1578588264">
    <w:abstractNumId w:val="27"/>
  </w:num>
  <w:num w:numId="14" w16cid:durableId="582570358">
    <w:abstractNumId w:val="1"/>
  </w:num>
  <w:num w:numId="15" w16cid:durableId="502085993">
    <w:abstractNumId w:val="7"/>
  </w:num>
  <w:num w:numId="16" w16cid:durableId="331834791">
    <w:abstractNumId w:val="21"/>
  </w:num>
  <w:num w:numId="17" w16cid:durableId="171459752">
    <w:abstractNumId w:val="29"/>
  </w:num>
  <w:num w:numId="18" w16cid:durableId="631443726">
    <w:abstractNumId w:val="8"/>
  </w:num>
  <w:num w:numId="19" w16cid:durableId="686518064">
    <w:abstractNumId w:val="31"/>
  </w:num>
  <w:num w:numId="20" w16cid:durableId="1646011434">
    <w:abstractNumId w:val="26"/>
  </w:num>
  <w:num w:numId="21" w16cid:durableId="1457065735">
    <w:abstractNumId w:val="14"/>
  </w:num>
  <w:num w:numId="22" w16cid:durableId="170920255">
    <w:abstractNumId w:val="23"/>
  </w:num>
  <w:num w:numId="23" w16cid:durableId="1136030195">
    <w:abstractNumId w:val="11"/>
  </w:num>
  <w:num w:numId="24" w16cid:durableId="1520195719">
    <w:abstractNumId w:val="4"/>
  </w:num>
  <w:num w:numId="25" w16cid:durableId="127672616">
    <w:abstractNumId w:val="20"/>
  </w:num>
  <w:num w:numId="26" w16cid:durableId="1513106929">
    <w:abstractNumId w:val="28"/>
  </w:num>
  <w:num w:numId="27" w16cid:durableId="339308528">
    <w:abstractNumId w:val="10"/>
  </w:num>
  <w:num w:numId="28" w16cid:durableId="26100482">
    <w:abstractNumId w:val="25"/>
  </w:num>
  <w:num w:numId="29" w16cid:durableId="1794590611">
    <w:abstractNumId w:val="6"/>
  </w:num>
  <w:num w:numId="30" w16cid:durableId="366107410">
    <w:abstractNumId w:val="2"/>
  </w:num>
  <w:num w:numId="31" w16cid:durableId="2020740371">
    <w:abstractNumId w:val="5"/>
  </w:num>
  <w:num w:numId="32" w16cid:durableId="4181395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D18"/>
    <w:rsid w:val="00022586"/>
    <w:rsid w:val="000233E6"/>
    <w:rsid w:val="0002476F"/>
    <w:rsid w:val="00044735"/>
    <w:rsid w:val="00053779"/>
    <w:rsid w:val="0005501A"/>
    <w:rsid w:val="00056C4B"/>
    <w:rsid w:val="0006577B"/>
    <w:rsid w:val="00071A82"/>
    <w:rsid w:val="00075889"/>
    <w:rsid w:val="00076F27"/>
    <w:rsid w:val="0009007E"/>
    <w:rsid w:val="00090E5E"/>
    <w:rsid w:val="000A72AD"/>
    <w:rsid w:val="000B3544"/>
    <w:rsid w:val="000B4A1B"/>
    <w:rsid w:val="000C30DC"/>
    <w:rsid w:val="000C362A"/>
    <w:rsid w:val="000D32EC"/>
    <w:rsid w:val="000F069F"/>
    <w:rsid w:val="000F5EA7"/>
    <w:rsid w:val="00102200"/>
    <w:rsid w:val="00110717"/>
    <w:rsid w:val="00113C2C"/>
    <w:rsid w:val="00120DB4"/>
    <w:rsid w:val="001337B5"/>
    <w:rsid w:val="0014145B"/>
    <w:rsid w:val="00144CBD"/>
    <w:rsid w:val="00157624"/>
    <w:rsid w:val="00160621"/>
    <w:rsid w:val="001608E4"/>
    <w:rsid w:val="00160E36"/>
    <w:rsid w:val="00173D55"/>
    <w:rsid w:val="001775BB"/>
    <w:rsid w:val="00177903"/>
    <w:rsid w:val="00186385"/>
    <w:rsid w:val="00191CEF"/>
    <w:rsid w:val="00192CD7"/>
    <w:rsid w:val="001971B5"/>
    <w:rsid w:val="00197716"/>
    <w:rsid w:val="001A2D89"/>
    <w:rsid w:val="001A7783"/>
    <w:rsid w:val="001C483C"/>
    <w:rsid w:val="001C7FFE"/>
    <w:rsid w:val="001D1651"/>
    <w:rsid w:val="001D6AE2"/>
    <w:rsid w:val="001E09F5"/>
    <w:rsid w:val="001F690B"/>
    <w:rsid w:val="001F78EC"/>
    <w:rsid w:val="00222C7F"/>
    <w:rsid w:val="00226C42"/>
    <w:rsid w:val="00234235"/>
    <w:rsid w:val="00240655"/>
    <w:rsid w:val="00242349"/>
    <w:rsid w:val="002464EB"/>
    <w:rsid w:val="00247009"/>
    <w:rsid w:val="002509BD"/>
    <w:rsid w:val="00270860"/>
    <w:rsid w:val="00270D78"/>
    <w:rsid w:val="002831EB"/>
    <w:rsid w:val="00290A1C"/>
    <w:rsid w:val="0029589B"/>
    <w:rsid w:val="00296738"/>
    <w:rsid w:val="002A59BC"/>
    <w:rsid w:val="002B264A"/>
    <w:rsid w:val="002C3C4F"/>
    <w:rsid w:val="002C7AF1"/>
    <w:rsid w:val="002D5CDA"/>
    <w:rsid w:val="002D6C81"/>
    <w:rsid w:val="002E10D1"/>
    <w:rsid w:val="002F1C28"/>
    <w:rsid w:val="002F6622"/>
    <w:rsid w:val="00301732"/>
    <w:rsid w:val="003405A4"/>
    <w:rsid w:val="00352DC6"/>
    <w:rsid w:val="00354319"/>
    <w:rsid w:val="00367BE0"/>
    <w:rsid w:val="00376481"/>
    <w:rsid w:val="00377ED3"/>
    <w:rsid w:val="003803A2"/>
    <w:rsid w:val="0038209B"/>
    <w:rsid w:val="003949E9"/>
    <w:rsid w:val="00397D7F"/>
    <w:rsid w:val="003A513A"/>
    <w:rsid w:val="003B023F"/>
    <w:rsid w:val="003B7A50"/>
    <w:rsid w:val="003C1D6E"/>
    <w:rsid w:val="003C2A79"/>
    <w:rsid w:val="003C58BD"/>
    <w:rsid w:val="003E6EA3"/>
    <w:rsid w:val="003F3AE8"/>
    <w:rsid w:val="00402D24"/>
    <w:rsid w:val="00402D9C"/>
    <w:rsid w:val="00405C10"/>
    <w:rsid w:val="00410D1F"/>
    <w:rsid w:val="004110F5"/>
    <w:rsid w:val="00414A0C"/>
    <w:rsid w:val="00417CE6"/>
    <w:rsid w:val="00422E1D"/>
    <w:rsid w:val="00433773"/>
    <w:rsid w:val="0045237D"/>
    <w:rsid w:val="00457DD1"/>
    <w:rsid w:val="004602FE"/>
    <w:rsid w:val="00467954"/>
    <w:rsid w:val="004700DF"/>
    <w:rsid w:val="004753BB"/>
    <w:rsid w:val="00476C1F"/>
    <w:rsid w:val="00480072"/>
    <w:rsid w:val="00481B13"/>
    <w:rsid w:val="00490457"/>
    <w:rsid w:val="0049119A"/>
    <w:rsid w:val="004943E0"/>
    <w:rsid w:val="004A758B"/>
    <w:rsid w:val="004B032A"/>
    <w:rsid w:val="004B3243"/>
    <w:rsid w:val="004E4505"/>
    <w:rsid w:val="004F45CE"/>
    <w:rsid w:val="004F7B95"/>
    <w:rsid w:val="0051278C"/>
    <w:rsid w:val="00513C7E"/>
    <w:rsid w:val="00522C18"/>
    <w:rsid w:val="00523DD0"/>
    <w:rsid w:val="00541E51"/>
    <w:rsid w:val="00544600"/>
    <w:rsid w:val="005520C3"/>
    <w:rsid w:val="00556056"/>
    <w:rsid w:val="00567CA6"/>
    <w:rsid w:val="00577EF7"/>
    <w:rsid w:val="00580B0A"/>
    <w:rsid w:val="005824BD"/>
    <w:rsid w:val="00591140"/>
    <w:rsid w:val="00595A70"/>
    <w:rsid w:val="00597098"/>
    <w:rsid w:val="00597E7F"/>
    <w:rsid w:val="005A6D3E"/>
    <w:rsid w:val="005B00FC"/>
    <w:rsid w:val="005B22D4"/>
    <w:rsid w:val="005C60F1"/>
    <w:rsid w:val="005D1B7E"/>
    <w:rsid w:val="005D274E"/>
    <w:rsid w:val="005D4E71"/>
    <w:rsid w:val="005D61DB"/>
    <w:rsid w:val="005D7F68"/>
    <w:rsid w:val="005E0B35"/>
    <w:rsid w:val="005F0ED4"/>
    <w:rsid w:val="005F67D0"/>
    <w:rsid w:val="00603498"/>
    <w:rsid w:val="00627AD9"/>
    <w:rsid w:val="00634E1D"/>
    <w:rsid w:val="00640565"/>
    <w:rsid w:val="00642079"/>
    <w:rsid w:val="00643B89"/>
    <w:rsid w:val="00644E73"/>
    <w:rsid w:val="00651F0F"/>
    <w:rsid w:val="00670C6F"/>
    <w:rsid w:val="00681E38"/>
    <w:rsid w:val="006B1006"/>
    <w:rsid w:val="006B2726"/>
    <w:rsid w:val="006B323C"/>
    <w:rsid w:val="006C223B"/>
    <w:rsid w:val="006D12B0"/>
    <w:rsid w:val="006D1643"/>
    <w:rsid w:val="006D6195"/>
    <w:rsid w:val="006D75A9"/>
    <w:rsid w:val="006E059A"/>
    <w:rsid w:val="006E6629"/>
    <w:rsid w:val="006F589F"/>
    <w:rsid w:val="006F68BE"/>
    <w:rsid w:val="00707AFB"/>
    <w:rsid w:val="00713971"/>
    <w:rsid w:val="0072291B"/>
    <w:rsid w:val="0072323C"/>
    <w:rsid w:val="00730F4B"/>
    <w:rsid w:val="007522FC"/>
    <w:rsid w:val="00762C40"/>
    <w:rsid w:val="00766CC6"/>
    <w:rsid w:val="00773502"/>
    <w:rsid w:val="0078054E"/>
    <w:rsid w:val="00786793"/>
    <w:rsid w:val="00790D2C"/>
    <w:rsid w:val="007935D5"/>
    <w:rsid w:val="007A0FBE"/>
    <w:rsid w:val="007A5637"/>
    <w:rsid w:val="007C4E6F"/>
    <w:rsid w:val="007D4817"/>
    <w:rsid w:val="007D4B65"/>
    <w:rsid w:val="007E48CC"/>
    <w:rsid w:val="007F6678"/>
    <w:rsid w:val="007F7E04"/>
    <w:rsid w:val="0080322C"/>
    <w:rsid w:val="0080325F"/>
    <w:rsid w:val="0080668A"/>
    <w:rsid w:val="00817E2B"/>
    <w:rsid w:val="00820E4E"/>
    <w:rsid w:val="00824F78"/>
    <w:rsid w:val="0083125C"/>
    <w:rsid w:val="00834D66"/>
    <w:rsid w:val="00841BDF"/>
    <w:rsid w:val="00841CB5"/>
    <w:rsid w:val="0084609A"/>
    <w:rsid w:val="00846E18"/>
    <w:rsid w:val="0085176E"/>
    <w:rsid w:val="008518BF"/>
    <w:rsid w:val="008522B9"/>
    <w:rsid w:val="00852923"/>
    <w:rsid w:val="00855F76"/>
    <w:rsid w:val="00885B57"/>
    <w:rsid w:val="00886E1D"/>
    <w:rsid w:val="008900A8"/>
    <w:rsid w:val="00894990"/>
    <w:rsid w:val="008955AC"/>
    <w:rsid w:val="008A031E"/>
    <w:rsid w:val="008A32E8"/>
    <w:rsid w:val="008A52ED"/>
    <w:rsid w:val="008C22E5"/>
    <w:rsid w:val="008C5FA4"/>
    <w:rsid w:val="008E0509"/>
    <w:rsid w:val="008F7221"/>
    <w:rsid w:val="00903EB8"/>
    <w:rsid w:val="009113FF"/>
    <w:rsid w:val="00913415"/>
    <w:rsid w:val="00923412"/>
    <w:rsid w:val="00924F79"/>
    <w:rsid w:val="00927CB8"/>
    <w:rsid w:val="00936A53"/>
    <w:rsid w:val="00942AF9"/>
    <w:rsid w:val="009451B1"/>
    <w:rsid w:val="00945B72"/>
    <w:rsid w:val="009534FE"/>
    <w:rsid w:val="00957799"/>
    <w:rsid w:val="00962045"/>
    <w:rsid w:val="00966622"/>
    <w:rsid w:val="009870C7"/>
    <w:rsid w:val="009B25D1"/>
    <w:rsid w:val="009C2DE1"/>
    <w:rsid w:val="009C5213"/>
    <w:rsid w:val="009C553B"/>
    <w:rsid w:val="009D789F"/>
    <w:rsid w:val="009E6157"/>
    <w:rsid w:val="009F5543"/>
    <w:rsid w:val="009F58E1"/>
    <w:rsid w:val="00A04EE6"/>
    <w:rsid w:val="00A04EF3"/>
    <w:rsid w:val="00A05B31"/>
    <w:rsid w:val="00A160B5"/>
    <w:rsid w:val="00A35057"/>
    <w:rsid w:val="00A44491"/>
    <w:rsid w:val="00A51113"/>
    <w:rsid w:val="00A61AC0"/>
    <w:rsid w:val="00A663DE"/>
    <w:rsid w:val="00A77AC0"/>
    <w:rsid w:val="00A81B59"/>
    <w:rsid w:val="00A86A5E"/>
    <w:rsid w:val="00A918E4"/>
    <w:rsid w:val="00AA293A"/>
    <w:rsid w:val="00AA7B9B"/>
    <w:rsid w:val="00AB2712"/>
    <w:rsid w:val="00AC1323"/>
    <w:rsid w:val="00AC4D6C"/>
    <w:rsid w:val="00AD023C"/>
    <w:rsid w:val="00AD5ED7"/>
    <w:rsid w:val="00AD7032"/>
    <w:rsid w:val="00AE164A"/>
    <w:rsid w:val="00AF399C"/>
    <w:rsid w:val="00AF4347"/>
    <w:rsid w:val="00AF49E6"/>
    <w:rsid w:val="00AF5FE7"/>
    <w:rsid w:val="00B02B4D"/>
    <w:rsid w:val="00B10326"/>
    <w:rsid w:val="00B14349"/>
    <w:rsid w:val="00B14B43"/>
    <w:rsid w:val="00B1634B"/>
    <w:rsid w:val="00B27136"/>
    <w:rsid w:val="00B27347"/>
    <w:rsid w:val="00B32617"/>
    <w:rsid w:val="00B3425D"/>
    <w:rsid w:val="00B420E9"/>
    <w:rsid w:val="00B56A37"/>
    <w:rsid w:val="00B56FB6"/>
    <w:rsid w:val="00B7140D"/>
    <w:rsid w:val="00B72F0F"/>
    <w:rsid w:val="00B74C5C"/>
    <w:rsid w:val="00B8312C"/>
    <w:rsid w:val="00B83FA5"/>
    <w:rsid w:val="00B84243"/>
    <w:rsid w:val="00B86C2B"/>
    <w:rsid w:val="00BA1B34"/>
    <w:rsid w:val="00BB05ED"/>
    <w:rsid w:val="00BC255C"/>
    <w:rsid w:val="00BC7D59"/>
    <w:rsid w:val="00BD378C"/>
    <w:rsid w:val="00BE0A15"/>
    <w:rsid w:val="00BE2D6B"/>
    <w:rsid w:val="00BE438D"/>
    <w:rsid w:val="00BF20A9"/>
    <w:rsid w:val="00C02282"/>
    <w:rsid w:val="00C10B7B"/>
    <w:rsid w:val="00C13BA6"/>
    <w:rsid w:val="00C14E34"/>
    <w:rsid w:val="00C16242"/>
    <w:rsid w:val="00C22D3C"/>
    <w:rsid w:val="00C26929"/>
    <w:rsid w:val="00C26E8B"/>
    <w:rsid w:val="00C32004"/>
    <w:rsid w:val="00C4478D"/>
    <w:rsid w:val="00C6005E"/>
    <w:rsid w:val="00C70B3A"/>
    <w:rsid w:val="00C76F9A"/>
    <w:rsid w:val="00C97077"/>
    <w:rsid w:val="00CA0EE7"/>
    <w:rsid w:val="00CB0F1B"/>
    <w:rsid w:val="00CB1A12"/>
    <w:rsid w:val="00CE02EF"/>
    <w:rsid w:val="00CE4B13"/>
    <w:rsid w:val="00CE53AB"/>
    <w:rsid w:val="00CE56D0"/>
    <w:rsid w:val="00CE6182"/>
    <w:rsid w:val="00D02115"/>
    <w:rsid w:val="00D02EF1"/>
    <w:rsid w:val="00D15B41"/>
    <w:rsid w:val="00D176EB"/>
    <w:rsid w:val="00D17704"/>
    <w:rsid w:val="00D203FE"/>
    <w:rsid w:val="00D330E6"/>
    <w:rsid w:val="00D344B2"/>
    <w:rsid w:val="00D50AD7"/>
    <w:rsid w:val="00D60543"/>
    <w:rsid w:val="00D65290"/>
    <w:rsid w:val="00D67D80"/>
    <w:rsid w:val="00D7443D"/>
    <w:rsid w:val="00D806D3"/>
    <w:rsid w:val="00D94D5C"/>
    <w:rsid w:val="00D9648C"/>
    <w:rsid w:val="00D9720E"/>
    <w:rsid w:val="00DA39DC"/>
    <w:rsid w:val="00DA5CB5"/>
    <w:rsid w:val="00DB2443"/>
    <w:rsid w:val="00DB6884"/>
    <w:rsid w:val="00DC1C23"/>
    <w:rsid w:val="00DC79CA"/>
    <w:rsid w:val="00DD161F"/>
    <w:rsid w:val="00DD309B"/>
    <w:rsid w:val="00DE1651"/>
    <w:rsid w:val="00DE25C0"/>
    <w:rsid w:val="00DE529D"/>
    <w:rsid w:val="00DF3DF5"/>
    <w:rsid w:val="00DF4F76"/>
    <w:rsid w:val="00E0193A"/>
    <w:rsid w:val="00E01B4E"/>
    <w:rsid w:val="00E14C8D"/>
    <w:rsid w:val="00E32F1F"/>
    <w:rsid w:val="00E368FB"/>
    <w:rsid w:val="00E4383A"/>
    <w:rsid w:val="00E53667"/>
    <w:rsid w:val="00E60590"/>
    <w:rsid w:val="00E64397"/>
    <w:rsid w:val="00E92661"/>
    <w:rsid w:val="00EA3789"/>
    <w:rsid w:val="00EA509C"/>
    <w:rsid w:val="00EC26A5"/>
    <w:rsid w:val="00EC4507"/>
    <w:rsid w:val="00EC5839"/>
    <w:rsid w:val="00EC698B"/>
    <w:rsid w:val="00EC7558"/>
    <w:rsid w:val="00ED3132"/>
    <w:rsid w:val="00ED782E"/>
    <w:rsid w:val="00F0007F"/>
    <w:rsid w:val="00F02021"/>
    <w:rsid w:val="00F02F22"/>
    <w:rsid w:val="00F10B17"/>
    <w:rsid w:val="00F210CA"/>
    <w:rsid w:val="00F22440"/>
    <w:rsid w:val="00F2746C"/>
    <w:rsid w:val="00F27EC1"/>
    <w:rsid w:val="00F41F27"/>
    <w:rsid w:val="00F55ADE"/>
    <w:rsid w:val="00F57B01"/>
    <w:rsid w:val="00F57B59"/>
    <w:rsid w:val="00F71A98"/>
    <w:rsid w:val="00F71B27"/>
    <w:rsid w:val="00F83116"/>
    <w:rsid w:val="00FA4325"/>
    <w:rsid w:val="00FA5092"/>
    <w:rsid w:val="00FB2D9C"/>
    <w:rsid w:val="00FB4221"/>
    <w:rsid w:val="00FB4C3C"/>
    <w:rsid w:val="00FB7547"/>
    <w:rsid w:val="00FC6AAD"/>
    <w:rsid w:val="00FD1285"/>
    <w:rsid w:val="00FD404A"/>
    <w:rsid w:val="00FE0BFF"/>
    <w:rsid w:val="00FE0FDC"/>
    <w:rsid w:val="00FF0A1D"/>
    <w:rsid w:val="00FF2094"/>
    <w:rsid w:val="00FF7CE7"/>
    <w:rsid w:val="049BC524"/>
    <w:rsid w:val="070F07CD"/>
    <w:rsid w:val="0EF57BEA"/>
    <w:rsid w:val="10286388"/>
    <w:rsid w:val="119B0644"/>
    <w:rsid w:val="11AC214B"/>
    <w:rsid w:val="17409D20"/>
    <w:rsid w:val="2018A6A2"/>
    <w:rsid w:val="2A7C43A9"/>
    <w:rsid w:val="329FB18C"/>
    <w:rsid w:val="3C16D1C5"/>
    <w:rsid w:val="43DCFA87"/>
    <w:rsid w:val="48F59BFF"/>
    <w:rsid w:val="4C77F392"/>
    <w:rsid w:val="4E0C59D3"/>
    <w:rsid w:val="4E144FD9"/>
    <w:rsid w:val="540C4DD3"/>
    <w:rsid w:val="5A42027D"/>
    <w:rsid w:val="5A5AFE3C"/>
    <w:rsid w:val="5BE40CA9"/>
    <w:rsid w:val="5E09556B"/>
    <w:rsid w:val="5E916FE6"/>
    <w:rsid w:val="602F4E48"/>
    <w:rsid w:val="61A04608"/>
    <w:rsid w:val="65D56E8D"/>
    <w:rsid w:val="65E8BF4D"/>
    <w:rsid w:val="662C67B4"/>
    <w:rsid w:val="6871F251"/>
    <w:rsid w:val="68CE4019"/>
    <w:rsid w:val="6E8B4C99"/>
    <w:rsid w:val="6EF812DA"/>
    <w:rsid w:val="74FBFE0C"/>
    <w:rsid w:val="77C5AD30"/>
    <w:rsid w:val="7A3C24A2"/>
    <w:rsid w:val="7B0E0B3A"/>
    <w:rsid w:val="7EF534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3C0CA0CE-0EAD-4880-B60F-F6CD43B8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F27"/>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Default">
    <w:name w:val="Default"/>
    <w:rsid w:val="008A52ED"/>
    <w:pPr>
      <w:widowControl w:val="0"/>
      <w:autoSpaceDE w:val="0"/>
      <w:autoSpaceDN w:val="0"/>
      <w:adjustRightInd w:val="0"/>
    </w:pPr>
    <w:rPr>
      <w:rFonts w:ascii="JMABN O+ Courier New," w:hAnsi="JMABN O+ Courier New," w:eastAsiaTheme="minorEastAsia" w:cs="JMABN O+ Courier New,"/>
      <w:color w:val="000000"/>
      <w:sz w:val="24"/>
      <w:szCs w:val="24"/>
    </w:rPr>
  </w:style>
  <w:style w:type="paragraph" w:customStyle="1" w:styleId="CM16">
    <w:name w:val="CM16"/>
    <w:basedOn w:val="Default"/>
    <w:next w:val="Default"/>
    <w:uiPriority w:val="99"/>
    <w:rsid w:val="008A52ED"/>
    <w:rPr>
      <w:rFonts w:cstheme="minorBidi"/>
      <w:color w:val="auto"/>
    </w:rPr>
  </w:style>
  <w:style w:type="character" w:customStyle="1" w:styleId="normaltextrun">
    <w:name w:val="normaltextrun"/>
    <w:basedOn w:val="DefaultParagraphFont"/>
    <w:rsid w:val="00053779"/>
  </w:style>
  <w:style w:type="character" w:customStyle="1" w:styleId="eop">
    <w:name w:val="eop"/>
    <w:basedOn w:val="DefaultParagraphFont"/>
    <w:rsid w:val="00053779"/>
  </w:style>
  <w:style w:type="character" w:styleId="UnresolvedMention">
    <w:name w:val="Unresolved Mention"/>
    <w:basedOn w:val="DefaultParagraphFont"/>
    <w:uiPriority w:val="99"/>
    <w:semiHidden/>
    <w:unhideWhenUsed/>
    <w:rsid w:val="00376481"/>
    <w:rPr>
      <w:color w:val="605E5C"/>
      <w:shd w:val="clear" w:color="auto" w:fill="E1DFDD"/>
    </w:rPr>
  </w:style>
  <w:style w:type="paragraph" w:customStyle="1" w:styleId="CM15">
    <w:name w:val="CM15"/>
    <w:basedOn w:val="Default"/>
    <w:next w:val="Default"/>
    <w:uiPriority w:val="99"/>
    <w:rsid w:val="00F22440"/>
    <w:rPr>
      <w:rFonts w:cstheme="minorBidi"/>
      <w:color w:val="auto"/>
    </w:rPr>
  </w:style>
  <w:style w:type="character" w:customStyle="1" w:styleId="cf11">
    <w:name w:val="cf11"/>
    <w:basedOn w:val="DefaultParagraphFont"/>
    <w:uiPriority w:val="1"/>
    <w:rsid w:val="602F4E48"/>
    <w:rPr>
      <w:rFonts w:ascii="Segoe UI" w:hAnsi="Segoe UI" w:cs="Segoe UI"/>
      <w:color w:val="211D1E"/>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5/section-410.131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SharedWithUsers xmlns="23ef38b6-7648-470d-b5e3-09395448522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www.w3.org/XML/1998/namespace"/>
    <ds:schemaRef ds:uri="http://purl.org/dc/elements/1.1/"/>
    <ds:schemaRef ds:uri="http://purl.org/dc/dcmitype/"/>
    <ds:schemaRef ds:uri="23ef38b6-7648-470d-b5e3-09395448522b"/>
    <ds:schemaRef ds:uri="6f2f78f1-91a5-4d68-8b46-c99d45c19e6d"/>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3A11942-DDE0-4346-840C-5F3001A64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1736</Words>
  <Characters>10350</Characters>
  <Application>Microsoft Office Word</Application>
  <DocSecurity>0</DocSecurity>
  <Lines>86</Lines>
  <Paragraphs>24</Paragraphs>
  <ScaleCrop>false</ScaleCrop>
  <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15</cp:revision>
  <dcterms:created xsi:type="dcterms:W3CDTF">2024-10-29T19:57:00Z</dcterms:created>
  <dcterms:modified xsi:type="dcterms:W3CDTF">2026-03-19T13:25:00Z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0x0101000E28620216181944A73EC5F108E52833</vt:lpwstr>
  </property>
  <property fmtid="{D5CDD505-2E9C-101B-9397-08002B2CF9AE}" pid="4" name="MediaServiceImageTags">
    <vt:lpwstr/>
  </property>
  <property fmtid="{D5CDD505-2E9C-101B-9397-08002B2CF9AE}" pid="5" name="Order">
    <vt:r8>1100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