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A3E44" w:rsidP="003C1AB6" w14:paraId="52685730" w14:textId="77777777">
      <w:pPr>
        <w:pStyle w:val="ReportCover-Title"/>
        <w:jc w:val="center"/>
        <w:rPr>
          <w:color w:val="000000"/>
        </w:rPr>
      </w:pPr>
    </w:p>
    <w:p w:rsidR="00FA3E44" w:rsidP="003C1AB6" w14:paraId="13563EDE" w14:textId="77777777">
      <w:pPr>
        <w:pStyle w:val="ReportCover-Title"/>
        <w:jc w:val="center"/>
        <w:rPr>
          <w:color w:val="000000"/>
        </w:rPr>
      </w:pPr>
    </w:p>
    <w:p w:rsidR="003C1AB6" w:rsidRPr="00160621" w:rsidP="003C1AB6" w14:paraId="47672300" w14:textId="4D7A1AC4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color w:val="000000"/>
        </w:rPr>
        <w:t xml:space="preserve">Annual Report on </w:t>
      </w:r>
      <w:r w:rsidR="00C91A7D">
        <w:rPr>
          <w:color w:val="000000"/>
        </w:rPr>
        <w:t xml:space="preserve">Temporary Assistance for Needy Families Programs and </w:t>
      </w:r>
      <w:r>
        <w:rPr>
          <w:color w:val="000000"/>
        </w:rPr>
        <w:t>State Maintenance-of-Effort Programs</w:t>
      </w:r>
      <w:r w:rsidR="00C91A7D">
        <w:rPr>
          <w:color w:val="000000"/>
        </w:rPr>
        <w:t xml:space="preserve"> -</w:t>
      </w:r>
      <w:r>
        <w:rPr>
          <w:color w:val="000000"/>
        </w:rPr>
        <w:t xml:space="preserve"> ACF-204</w:t>
      </w:r>
      <w:r w:rsidR="00C91A7D">
        <w:rPr>
          <w:color w:val="000000"/>
        </w:rPr>
        <w:t xml:space="preserve"> (Annual TANF and MOE Report)</w:t>
      </w:r>
    </w:p>
    <w:p w:rsidR="003C1AB6" w:rsidP="003C1AB6" w14:paraId="5AB69D80" w14:textId="77777777">
      <w:pPr>
        <w:pStyle w:val="ReportCover-Title"/>
        <w:rPr>
          <w:rFonts w:ascii="Arial" w:hAnsi="Arial" w:cs="Arial"/>
          <w:color w:val="auto"/>
        </w:rPr>
      </w:pPr>
    </w:p>
    <w:p w:rsidR="00F16AF9" w:rsidP="003C1AB6" w14:paraId="2AC523EC" w14:textId="77777777">
      <w:pPr>
        <w:pStyle w:val="ReportCover-Title"/>
        <w:rPr>
          <w:rFonts w:ascii="Arial" w:hAnsi="Arial" w:cs="Arial"/>
          <w:color w:val="auto"/>
        </w:rPr>
      </w:pPr>
    </w:p>
    <w:p w:rsidR="00F16AF9" w:rsidP="003C1AB6" w14:paraId="67FFE834" w14:textId="77777777">
      <w:pPr>
        <w:pStyle w:val="ReportCover-Title"/>
        <w:rPr>
          <w:rFonts w:ascii="Arial" w:hAnsi="Arial" w:cs="Arial"/>
          <w:color w:val="auto"/>
        </w:rPr>
      </w:pPr>
    </w:p>
    <w:p w:rsidR="00F16AF9" w:rsidRPr="00160621" w:rsidP="003C1AB6" w14:paraId="5F7BFA11" w14:textId="77777777">
      <w:pPr>
        <w:pStyle w:val="ReportCover-Title"/>
        <w:rPr>
          <w:rFonts w:ascii="Arial" w:hAnsi="Arial" w:cs="Arial"/>
          <w:color w:val="auto"/>
        </w:rPr>
      </w:pPr>
    </w:p>
    <w:p w:rsidR="003C1AB6" w:rsidRPr="00160621" w:rsidP="003C1AB6" w14:paraId="32353C96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3C1AB6" w:rsidRPr="00160621" w:rsidP="003C1AB6" w14:paraId="3F621B3D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>
        <w:rPr>
          <w:rFonts w:ascii="Arial" w:hAnsi="Arial" w:cs="Arial"/>
          <w:color w:val="auto"/>
          <w:sz w:val="32"/>
          <w:szCs w:val="32"/>
        </w:rPr>
        <w:t>0248</w:t>
      </w:r>
    </w:p>
    <w:p w:rsidR="003C1AB6" w:rsidRPr="00160621" w:rsidP="003C1AB6" w14:paraId="31BBB759" w14:textId="77777777">
      <w:pPr>
        <w:rPr>
          <w:rFonts w:ascii="Arial" w:hAnsi="Arial" w:cs="Arial"/>
          <w:szCs w:val="22"/>
        </w:rPr>
      </w:pPr>
    </w:p>
    <w:p w:rsidR="003C1AB6" w:rsidP="003C1AB6" w14:paraId="0975900D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16AF9" w:rsidP="003C1AB6" w14:paraId="7E23F778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16AF9" w:rsidP="003C1AB6" w14:paraId="44D9B200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16AF9" w:rsidP="003C1AB6" w14:paraId="6E8E8A21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16AF9" w:rsidRPr="00160621" w:rsidP="003C1AB6" w14:paraId="6D5615E9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3C1AB6" w:rsidRPr="00160621" w:rsidP="003C1AB6" w14:paraId="1A938AA7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D26AE5" w:rsidP="0056605D" w14:paraId="50B340DF" w14:textId="77777777">
      <w:pPr>
        <w:pStyle w:val="ReportCover-Date"/>
        <w:spacing w:after="0"/>
        <w:rPr>
          <w:rFonts w:ascii="Arial" w:hAnsi="Arial" w:cs="Arial"/>
          <w:color w:val="auto"/>
        </w:rPr>
      </w:pPr>
    </w:p>
    <w:p w:rsidR="003C1AB6" w:rsidRPr="00160621" w:rsidP="003C1AB6" w14:paraId="07CC8EBF" w14:textId="1EAF0DE0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March </w:t>
      </w:r>
      <w:r w:rsidR="00DA5466">
        <w:rPr>
          <w:rFonts w:ascii="Arial" w:hAnsi="Arial" w:cs="Arial"/>
          <w:color w:val="auto"/>
        </w:rPr>
        <w:t>202</w:t>
      </w:r>
      <w:r>
        <w:rPr>
          <w:rFonts w:ascii="Arial" w:hAnsi="Arial" w:cs="Arial"/>
          <w:color w:val="auto"/>
        </w:rPr>
        <w:t>6</w:t>
      </w:r>
    </w:p>
    <w:p w:rsidR="003C1AB6" w:rsidP="003C1AB6" w14:paraId="4D8CDFCC" w14:textId="77777777">
      <w:pPr>
        <w:jc w:val="center"/>
        <w:rPr>
          <w:rFonts w:ascii="Arial" w:hAnsi="Arial" w:cs="Arial"/>
        </w:rPr>
      </w:pPr>
    </w:p>
    <w:p w:rsidR="003C1AB6" w:rsidP="003C1AB6" w14:paraId="3072679B" w14:textId="77777777">
      <w:pPr>
        <w:jc w:val="center"/>
        <w:rPr>
          <w:rFonts w:ascii="Arial" w:hAnsi="Arial" w:cs="Arial"/>
        </w:rPr>
      </w:pPr>
    </w:p>
    <w:p w:rsidR="00A33FDC" w:rsidP="003C1AB6" w14:paraId="31515C95" w14:textId="77777777">
      <w:pPr>
        <w:jc w:val="center"/>
        <w:rPr>
          <w:rFonts w:ascii="Arial" w:hAnsi="Arial" w:cs="Arial"/>
        </w:rPr>
      </w:pPr>
    </w:p>
    <w:p w:rsidR="00A33FDC" w:rsidP="003C1AB6" w14:paraId="05ED9CAB" w14:textId="77777777">
      <w:pPr>
        <w:jc w:val="center"/>
        <w:rPr>
          <w:rFonts w:ascii="Arial" w:hAnsi="Arial" w:cs="Arial"/>
        </w:rPr>
      </w:pPr>
    </w:p>
    <w:p w:rsidR="00A33FDC" w:rsidRPr="0056605D" w:rsidP="0056605D" w14:paraId="529BD0AE" w14:textId="40689DD3">
      <w:pPr>
        <w:pStyle w:val="ReportCover-Title"/>
        <w:jc w:val="center"/>
        <w:rPr>
          <w:rFonts w:ascii="Arial" w:hAnsi="Arial" w:cs="Arial"/>
          <w:b w:val="0"/>
          <w:bCs/>
          <w:color w:val="auto"/>
          <w:sz w:val="32"/>
          <w:szCs w:val="32"/>
        </w:rPr>
      </w:pPr>
      <w:r w:rsidRPr="0056605D">
        <w:rPr>
          <w:rFonts w:ascii="Arial" w:hAnsi="Arial" w:cs="Arial"/>
          <w:color w:val="auto"/>
          <w:sz w:val="32"/>
          <w:szCs w:val="32"/>
        </w:rPr>
        <w:t xml:space="preserve">Type of Request: </w:t>
      </w:r>
      <w:r w:rsidR="00C91A7D">
        <w:rPr>
          <w:rFonts w:ascii="Arial" w:hAnsi="Arial" w:cs="Arial"/>
          <w:b w:val="0"/>
          <w:bCs/>
          <w:color w:val="auto"/>
          <w:sz w:val="32"/>
          <w:szCs w:val="32"/>
        </w:rPr>
        <w:t>Revision</w:t>
      </w:r>
    </w:p>
    <w:p w:rsidR="003C1AB6" w:rsidP="003C1AB6" w14:paraId="2FFD7EA0" w14:textId="77777777">
      <w:pPr>
        <w:jc w:val="center"/>
        <w:rPr>
          <w:rFonts w:ascii="Arial" w:hAnsi="Arial" w:cs="Arial"/>
        </w:rPr>
      </w:pPr>
    </w:p>
    <w:p w:rsidR="003C1AB6" w:rsidP="003C1AB6" w14:paraId="2AEF8762" w14:textId="77777777">
      <w:pPr>
        <w:jc w:val="center"/>
        <w:rPr>
          <w:rFonts w:ascii="Arial" w:hAnsi="Arial" w:cs="Arial"/>
        </w:rPr>
      </w:pPr>
    </w:p>
    <w:p w:rsidR="003C1AB6" w:rsidP="003C1AB6" w14:paraId="42298A7A" w14:textId="77777777">
      <w:pPr>
        <w:jc w:val="center"/>
        <w:rPr>
          <w:rFonts w:ascii="Arial" w:hAnsi="Arial" w:cs="Arial"/>
        </w:rPr>
      </w:pPr>
    </w:p>
    <w:p w:rsidR="003C1AB6" w:rsidP="003C1AB6" w14:paraId="4EB235EC" w14:textId="77777777">
      <w:pPr>
        <w:jc w:val="center"/>
        <w:rPr>
          <w:rFonts w:ascii="Arial" w:hAnsi="Arial" w:cs="Arial"/>
        </w:rPr>
      </w:pPr>
    </w:p>
    <w:p w:rsidR="003C1AB6" w:rsidP="003C1AB6" w14:paraId="25CB8324" w14:textId="77777777">
      <w:pPr>
        <w:jc w:val="center"/>
        <w:rPr>
          <w:rFonts w:ascii="Arial" w:hAnsi="Arial" w:cs="Arial"/>
        </w:rPr>
      </w:pPr>
    </w:p>
    <w:p w:rsidR="003C1AB6" w:rsidP="003C1AB6" w14:paraId="0B72BED8" w14:textId="77777777">
      <w:pPr>
        <w:jc w:val="center"/>
        <w:rPr>
          <w:rFonts w:ascii="Arial" w:hAnsi="Arial" w:cs="Arial"/>
        </w:rPr>
      </w:pPr>
    </w:p>
    <w:p w:rsidR="003C1AB6" w:rsidP="003C1AB6" w14:paraId="1F8A9B10" w14:textId="77777777">
      <w:pPr>
        <w:jc w:val="center"/>
        <w:rPr>
          <w:rFonts w:ascii="Arial" w:hAnsi="Arial" w:cs="Arial"/>
        </w:rPr>
      </w:pPr>
    </w:p>
    <w:p w:rsidR="003C1AB6" w:rsidP="003C1AB6" w14:paraId="236B82BD" w14:textId="77777777">
      <w:pPr>
        <w:jc w:val="center"/>
        <w:rPr>
          <w:rFonts w:ascii="Arial" w:hAnsi="Arial" w:cs="Arial"/>
        </w:rPr>
      </w:pPr>
    </w:p>
    <w:p w:rsidR="003C1AB6" w:rsidP="003C1AB6" w14:paraId="6E8362E6" w14:textId="77777777">
      <w:pPr>
        <w:jc w:val="center"/>
        <w:rPr>
          <w:rFonts w:ascii="Arial" w:hAnsi="Arial" w:cs="Arial"/>
        </w:rPr>
      </w:pPr>
    </w:p>
    <w:p w:rsidR="003C1AB6" w:rsidP="003C1AB6" w14:paraId="41761461" w14:textId="77777777">
      <w:pPr>
        <w:jc w:val="center"/>
        <w:rPr>
          <w:rFonts w:ascii="Arial" w:hAnsi="Arial" w:cs="Arial"/>
        </w:rPr>
      </w:pPr>
    </w:p>
    <w:p w:rsidR="003C1AB6" w:rsidRPr="00160621" w:rsidP="003C1AB6" w14:paraId="69F8ACC5" w14:textId="77777777">
      <w:pPr>
        <w:jc w:val="center"/>
        <w:rPr>
          <w:rFonts w:ascii="Arial" w:hAnsi="Arial" w:cs="Arial"/>
        </w:rPr>
      </w:pPr>
    </w:p>
    <w:p w:rsidR="003C1AB6" w:rsidRPr="00160621" w:rsidP="003C1AB6" w14:paraId="0408F21D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3C1AB6" w:rsidRPr="00160621" w:rsidP="003C1AB6" w14:paraId="663CEF44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Family Assistance</w:t>
      </w:r>
    </w:p>
    <w:p w:rsidR="003C1AB6" w:rsidRPr="00160621" w:rsidP="003C1AB6" w14:paraId="4AB3EE67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3C1AB6" w:rsidRPr="00160621" w:rsidP="003C1AB6" w14:paraId="73CDB211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CA1001" w:rsidP="00CA1001" w14:paraId="4AFF40EF" w14:textId="275754A7">
      <w:pPr>
        <w:tabs>
          <w:tab w:val="center" w:pos="4680"/>
        </w:tabs>
        <w:suppressAutoHyphens/>
        <w:rPr>
          <w:b/>
          <w:sz w:val="24"/>
        </w:rPr>
      </w:pPr>
    </w:p>
    <w:p w:rsidR="00CA1001" w:rsidP="00CA1001" w14:paraId="4399951F" w14:textId="77777777">
      <w:pPr>
        <w:tabs>
          <w:tab w:val="center" w:pos="4680"/>
        </w:tabs>
        <w:suppressAutoHyphens/>
        <w:rPr>
          <w:b/>
          <w:sz w:val="24"/>
        </w:rPr>
      </w:pPr>
    </w:p>
    <w:p w:rsidR="00CA1001" w:rsidP="00CA1001" w14:paraId="5C74D25E" w14:textId="77777777">
      <w:pPr>
        <w:tabs>
          <w:tab w:val="center" w:pos="4680"/>
        </w:tabs>
        <w:suppressAutoHyphens/>
        <w:rPr>
          <w:b/>
          <w:sz w:val="24"/>
        </w:rPr>
      </w:pPr>
    </w:p>
    <w:p w:rsidR="00CA1001" w:rsidP="00025DF6" w14:paraId="15D6BE03" w14:textId="77777777">
      <w:pPr>
        <w:tabs>
          <w:tab w:val="center" w:pos="4680"/>
        </w:tabs>
        <w:suppressAutoHyphens/>
        <w:rPr>
          <w:b/>
          <w:sz w:val="24"/>
        </w:rPr>
      </w:pPr>
    </w:p>
    <w:p w:rsidR="002C3C4F" w:rsidRPr="003C1AB6" w:rsidP="003C1AB6" w14:paraId="00DBDF2C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507E68" w:rsidRPr="00507E68" w:rsidP="003C1AB6" w14:paraId="0E0D40D4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Pr="00507E68">
        <w:rPr>
          <w:rFonts w:ascii="Times New Roman" w:hAnsi="Times New Roman"/>
          <w:noProof/>
          <w:sz w:val="24"/>
          <w:szCs w:val="24"/>
        </w:rPr>
        <w:t>The Personal Responsibility and Work Opportunity Reconciliation Act of 1996 (PRWORA) amended the Social Security Act and imposed certain data collection requirements including section</w:t>
      </w:r>
      <w:r w:rsidR="003C1AB6">
        <w:rPr>
          <w:rFonts w:ascii="Times New Roman" w:hAnsi="Times New Roman"/>
          <w:noProof/>
          <w:sz w:val="24"/>
          <w:szCs w:val="24"/>
        </w:rPr>
        <w:t xml:space="preserve"> </w:t>
      </w:r>
      <w:r w:rsidRPr="00507E68">
        <w:rPr>
          <w:rFonts w:ascii="Times New Roman" w:hAnsi="Times New Roman"/>
          <w:noProof/>
          <w:sz w:val="24"/>
          <w:szCs w:val="24"/>
        </w:rPr>
        <w:t xml:space="preserve">411(b)(3) (data collection and reporting), which requires the annual reporting of the characteristics of programs funded by PRWORA.  These requirements are also discussed in Part 265 of the </w:t>
      </w:r>
      <w:r w:rsidRPr="00507E68" w:rsidR="003C1AB6">
        <w:rPr>
          <w:rFonts w:ascii="Times New Roman" w:hAnsi="Times New Roman"/>
          <w:sz w:val="24"/>
          <w:szCs w:val="24"/>
        </w:rPr>
        <w:t>Temporary Assistance for Needy Families Program (</w:t>
      </w:r>
      <w:r w:rsidRPr="00507E68">
        <w:rPr>
          <w:rFonts w:ascii="Times New Roman" w:hAnsi="Times New Roman"/>
          <w:noProof/>
          <w:sz w:val="24"/>
          <w:szCs w:val="24"/>
        </w:rPr>
        <w:t>TANF</w:t>
      </w:r>
      <w:r w:rsidR="003C1AB6">
        <w:rPr>
          <w:rFonts w:ascii="Times New Roman" w:hAnsi="Times New Roman"/>
          <w:noProof/>
          <w:sz w:val="24"/>
          <w:szCs w:val="24"/>
        </w:rPr>
        <w:t>)</w:t>
      </w:r>
      <w:r w:rsidRPr="00507E68">
        <w:rPr>
          <w:rFonts w:ascii="Times New Roman" w:hAnsi="Times New Roman"/>
          <w:noProof/>
          <w:sz w:val="24"/>
          <w:szCs w:val="24"/>
        </w:rPr>
        <w:t xml:space="preserve"> final rule that was published on April 12, 1999.  The requirement remains unchanged under the Deficit Reduction Act of 2006 and the TANF Reauthorization Interim Final Rule.</w:t>
      </w:r>
    </w:p>
    <w:p w:rsidR="003C1AB6" w:rsidP="003C1AB6" w14:paraId="2D7CAE14" w14:textId="77777777">
      <w:pPr>
        <w:widowControl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</w:p>
    <w:p w:rsidR="008E1FDA" w:rsidP="004E72D1" w14:paraId="5E762B26" w14:textId="640C789A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 xml:space="preserve">Authority: </w:t>
      </w:r>
      <w:r w:rsidRPr="004E72D1" w:rsidR="004E72D1">
        <w:rPr>
          <w:rFonts w:ascii="Times New Roman" w:hAnsi="Times New Roman"/>
          <w:noProof/>
          <w:sz w:val="24"/>
          <w:szCs w:val="24"/>
        </w:rPr>
        <w:t>42 U.S.C. 602 and 611; the Personal Responsibility and Work Opportunity Reconciliation Act of 1996, Public Law 104–193, 110 Stat. 2105.</w:t>
      </w:r>
    </w:p>
    <w:p w:rsidR="003C1AB6" w:rsidP="003C1AB6" w14:paraId="76623817" w14:textId="77777777">
      <w:pPr>
        <w:widowControl/>
        <w:rPr>
          <w:rFonts w:ascii="Times New Roman" w:hAnsi="Times New Roman"/>
          <w:noProof/>
          <w:sz w:val="24"/>
          <w:szCs w:val="24"/>
        </w:rPr>
      </w:pPr>
    </w:p>
    <w:p w:rsidR="00CA1001" w:rsidP="003C1AB6" w14:paraId="304A665B" w14:textId="77777777">
      <w:pPr>
        <w:widowControl/>
        <w:rPr>
          <w:rFonts w:ascii="Times New Roman" w:hAnsi="Times New Roman"/>
          <w:noProof/>
          <w:sz w:val="24"/>
          <w:szCs w:val="24"/>
        </w:rPr>
      </w:pPr>
    </w:p>
    <w:p w:rsidR="002C3C4F" w:rsidRPr="003C1AB6" w:rsidP="003C1AB6" w14:paraId="310EC670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Purpose and Use of the Information Collection </w:t>
      </w:r>
    </w:p>
    <w:p w:rsidR="003C1AB6" w:rsidP="003C1AB6" w14:paraId="1EDF88BD" w14:textId="5C5760C2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In addition to fulfilling the statutory requirement above, t</w:t>
      </w:r>
      <w:r w:rsidRPr="00507E68" w:rsidR="00DA5466">
        <w:rPr>
          <w:rFonts w:ascii="Times New Roman" w:hAnsi="Times New Roman"/>
          <w:noProof/>
          <w:sz w:val="24"/>
          <w:szCs w:val="24"/>
        </w:rPr>
        <w:t xml:space="preserve">hese data will also provide </w:t>
      </w:r>
      <w:r w:rsidR="004E72D1">
        <w:rPr>
          <w:rFonts w:ascii="Times New Roman" w:hAnsi="Times New Roman"/>
          <w:noProof/>
          <w:sz w:val="24"/>
          <w:szCs w:val="24"/>
        </w:rPr>
        <w:t>the Administration for Children and Families (ACF)</w:t>
      </w:r>
      <w:r w:rsidRPr="00507E68" w:rsidR="004E72D1">
        <w:rPr>
          <w:rFonts w:ascii="Times New Roman" w:hAnsi="Times New Roman"/>
          <w:noProof/>
          <w:sz w:val="24"/>
          <w:szCs w:val="24"/>
        </w:rPr>
        <w:t xml:space="preserve"> </w:t>
      </w:r>
      <w:r w:rsidRPr="00507E68" w:rsidR="00DA5466">
        <w:rPr>
          <w:rFonts w:ascii="Times New Roman" w:hAnsi="Times New Roman"/>
          <w:noProof/>
          <w:sz w:val="24"/>
          <w:szCs w:val="24"/>
        </w:rPr>
        <w:t xml:space="preserve">with the necessary information to carry out our other financial management and oversight responsibilities.  </w:t>
      </w:r>
      <w:r w:rsidR="005D1090">
        <w:rPr>
          <w:rFonts w:ascii="Times New Roman" w:hAnsi="Times New Roman"/>
          <w:noProof/>
          <w:sz w:val="24"/>
          <w:szCs w:val="24"/>
        </w:rPr>
        <w:t xml:space="preserve">For example, the detailed program descriptions enable ACF to assess whether reported expenditures </w:t>
      </w:r>
      <w:r w:rsidR="00105B67">
        <w:rPr>
          <w:rFonts w:ascii="Times New Roman" w:hAnsi="Times New Roman"/>
          <w:noProof/>
          <w:sz w:val="24"/>
          <w:szCs w:val="24"/>
        </w:rPr>
        <w:t>on</w:t>
      </w:r>
      <w:r w:rsidR="005D1090">
        <w:rPr>
          <w:rFonts w:ascii="Times New Roman" w:hAnsi="Times New Roman"/>
          <w:noProof/>
          <w:sz w:val="24"/>
          <w:szCs w:val="24"/>
        </w:rPr>
        <w:t xml:space="preserve"> benefits and services are reasonably calculated to accomplish a TANF purpose and are otherwise allowable. </w:t>
      </w:r>
      <w:r w:rsidRPr="00507E68" w:rsidR="00DA5466">
        <w:rPr>
          <w:rFonts w:ascii="Times New Roman" w:hAnsi="Times New Roman"/>
          <w:noProof/>
          <w:sz w:val="24"/>
          <w:szCs w:val="24"/>
        </w:rPr>
        <w:t xml:space="preserve">Other analyses will include, but not necessarily be limited to, analyses of the impacts of various TANF provisions and descriptions of the characteristics of the populations served.  We publish these </w:t>
      </w:r>
      <w:r w:rsidR="00DA5466">
        <w:rPr>
          <w:rFonts w:ascii="Times New Roman" w:hAnsi="Times New Roman"/>
          <w:noProof/>
          <w:sz w:val="24"/>
          <w:szCs w:val="24"/>
        </w:rPr>
        <w:t>f</w:t>
      </w:r>
      <w:r w:rsidRPr="00507E68" w:rsidR="00DA5466">
        <w:rPr>
          <w:rFonts w:ascii="Times New Roman" w:hAnsi="Times New Roman"/>
          <w:noProof/>
          <w:sz w:val="24"/>
          <w:szCs w:val="24"/>
        </w:rPr>
        <w:t>indings in the TANF Annual Report to Congress.</w:t>
      </w:r>
    </w:p>
    <w:p w:rsidR="008E1FDA" w:rsidP="003C1AB6" w14:paraId="008D6A2B" w14:textId="77777777">
      <w:pPr>
        <w:widowControl/>
        <w:ind w:left="720"/>
        <w:rPr>
          <w:rFonts w:ascii="Times New Roman" w:hAnsi="Times New Roman"/>
          <w:sz w:val="24"/>
          <w:szCs w:val="24"/>
        </w:rPr>
      </w:pPr>
    </w:p>
    <w:p w:rsidR="003C1AB6" w:rsidRPr="00507E68" w:rsidP="003C1AB6" w14:paraId="4C2EAD3E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35B8F127" w14:textId="77777777">
      <w:pPr>
        <w:widowControl/>
        <w:numPr>
          <w:ilvl w:val="0"/>
          <w:numId w:val="3"/>
        </w:numPr>
        <w:spacing w:after="100" w:afterAutospacing="1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507E68" w:rsidP="003C1AB6" w14:paraId="13082B01" w14:textId="1E658915">
      <w:pPr>
        <w:tabs>
          <w:tab w:val="left" w:pos="-720"/>
        </w:tabs>
        <w:suppressAutoHyphens/>
        <w:ind w:left="72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It is mandatory that </w:t>
      </w:r>
      <w:r w:rsidR="00C46342">
        <w:rPr>
          <w:rFonts w:ascii="Times New Roman" w:hAnsi="Times New Roman"/>
          <w:noProof/>
          <w:sz w:val="24"/>
          <w:szCs w:val="24"/>
        </w:rPr>
        <w:t xml:space="preserve">States </w:t>
      </w:r>
      <w:r w:rsidRPr="00507E68">
        <w:rPr>
          <w:rFonts w:ascii="Times New Roman" w:hAnsi="Times New Roman"/>
          <w:noProof/>
          <w:sz w:val="24"/>
          <w:szCs w:val="24"/>
        </w:rPr>
        <w:t xml:space="preserve">submit this report as an electronic file via </w:t>
      </w:r>
      <w:r w:rsidR="0042571A">
        <w:rPr>
          <w:rFonts w:ascii="Times New Roman" w:hAnsi="Times New Roman"/>
          <w:noProof/>
          <w:sz w:val="24"/>
          <w:szCs w:val="24"/>
        </w:rPr>
        <w:t>the Online Data Collection (OLDC) system</w:t>
      </w:r>
      <w:r w:rsidR="00C46342">
        <w:rPr>
          <w:rFonts w:ascii="Times New Roman" w:hAnsi="Times New Roman"/>
          <w:noProof/>
          <w:sz w:val="24"/>
          <w:szCs w:val="24"/>
        </w:rPr>
        <w:t xml:space="preserve"> so States </w:t>
      </w:r>
      <w:r w:rsidR="001C377E">
        <w:rPr>
          <w:rFonts w:ascii="Times New Roman" w:hAnsi="Times New Roman"/>
          <w:noProof/>
          <w:sz w:val="24"/>
          <w:szCs w:val="24"/>
        </w:rPr>
        <w:t>do not</w:t>
      </w:r>
      <w:r w:rsidR="00C46342">
        <w:rPr>
          <w:rFonts w:ascii="Times New Roman" w:hAnsi="Times New Roman"/>
          <w:noProof/>
          <w:sz w:val="24"/>
          <w:szCs w:val="24"/>
        </w:rPr>
        <w:t xml:space="preserve"> have to produce “clearance packages” in hard copy form</w:t>
      </w:r>
      <w:r w:rsidRPr="00507E68">
        <w:rPr>
          <w:rFonts w:ascii="Times New Roman" w:hAnsi="Times New Roman"/>
          <w:noProof/>
          <w:sz w:val="24"/>
          <w:szCs w:val="24"/>
        </w:rPr>
        <w:t>.</w:t>
      </w:r>
      <w:r w:rsidR="00C46342">
        <w:rPr>
          <w:rFonts w:ascii="Times New Roman" w:hAnsi="Times New Roman"/>
          <w:noProof/>
          <w:sz w:val="24"/>
          <w:szCs w:val="24"/>
        </w:rPr>
        <w:t xml:space="preserve"> </w:t>
      </w:r>
      <w:r w:rsidR="00526BF1">
        <w:rPr>
          <w:rFonts w:ascii="Times New Roman" w:hAnsi="Times New Roman"/>
          <w:noProof/>
          <w:sz w:val="24"/>
          <w:szCs w:val="24"/>
        </w:rPr>
        <w:t xml:space="preserve"> </w:t>
      </w:r>
      <w:r w:rsidR="00C46342">
        <w:rPr>
          <w:rFonts w:ascii="Times New Roman" w:hAnsi="Times New Roman"/>
          <w:noProof/>
          <w:sz w:val="24"/>
          <w:szCs w:val="24"/>
        </w:rPr>
        <w:t xml:space="preserve">The electronic submission also saves on paper and mailing expenses. </w:t>
      </w:r>
    </w:p>
    <w:p w:rsidR="00507E68" w:rsidP="003C1AB6" w14:paraId="3B6683EE" w14:textId="77777777">
      <w:pPr>
        <w:tabs>
          <w:tab w:val="left" w:pos="-720"/>
        </w:tabs>
        <w:suppressAutoHyphens/>
        <w:rPr>
          <w:rFonts w:ascii="Times New Roman" w:hAnsi="Times New Roman"/>
          <w:snapToGrid/>
          <w:sz w:val="24"/>
          <w:szCs w:val="24"/>
        </w:rPr>
      </w:pPr>
    </w:p>
    <w:p w:rsidR="003C1AB6" w:rsidRPr="00507E68" w:rsidP="003C1AB6" w14:paraId="66E00EA3" w14:textId="77777777">
      <w:pPr>
        <w:tabs>
          <w:tab w:val="left" w:pos="-720"/>
        </w:tabs>
        <w:suppressAutoHyphens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3C9E6080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507E68" w:rsidP="003C1AB6" w14:paraId="22E8EDD0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>There are no TANF-specific data available that are similar to what we collect with this information collection.</w:t>
      </w:r>
    </w:p>
    <w:p w:rsidR="003C1AB6" w:rsidP="003C1AB6" w14:paraId="5CF7F9D6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1C377E" w:rsidRPr="00507E68" w:rsidP="003C1AB6" w14:paraId="30386634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7EB59C19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507E68" w:rsidP="003C1AB6" w14:paraId="183268AA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>This collection of information does not impact small businesses or other small entities.  It will affect only states and territories and has been held to the absolute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07E68">
        <w:rPr>
          <w:rFonts w:ascii="Times New Roman" w:hAnsi="Times New Roman"/>
          <w:noProof/>
          <w:sz w:val="24"/>
          <w:szCs w:val="24"/>
        </w:rPr>
        <w:t>minimum required for the intended uses.</w:t>
      </w:r>
    </w:p>
    <w:p w:rsidR="003C1AB6" w:rsidP="003C1AB6" w14:paraId="60E605B7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2C3C4F" w:rsidRPr="003C1AB6" w:rsidP="001C377E" w14:paraId="18B664EF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Consequences of Collecting </w:t>
      </w:r>
      <w:r w:rsidRPr="003C1AB6">
        <w:rPr>
          <w:rFonts w:ascii="Times New Roman" w:hAnsi="Times New Roman"/>
          <w:b/>
          <w:snapToGrid/>
          <w:sz w:val="24"/>
          <w:szCs w:val="24"/>
        </w:rPr>
        <w:t>the Information</w:t>
      </w: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 Less Frequently </w:t>
      </w:r>
    </w:p>
    <w:p w:rsidR="00507E68" w:rsidP="00FA3E44" w14:paraId="284AD275" w14:textId="2F22BF60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 xml:space="preserve">The statute mandates the annual collection of the Annual Report on </w:t>
      </w:r>
      <w:r w:rsidR="0042571A">
        <w:rPr>
          <w:rFonts w:ascii="Times New Roman" w:hAnsi="Times New Roman"/>
          <w:noProof/>
          <w:sz w:val="24"/>
          <w:szCs w:val="24"/>
        </w:rPr>
        <w:t xml:space="preserve">TANF Programs and </w:t>
      </w:r>
      <w:r w:rsidRPr="00507E68">
        <w:rPr>
          <w:rFonts w:ascii="Times New Roman" w:hAnsi="Times New Roman"/>
          <w:noProof/>
          <w:sz w:val="24"/>
          <w:szCs w:val="24"/>
        </w:rPr>
        <w:t>State MOE Programs.</w:t>
      </w:r>
    </w:p>
    <w:p w:rsidR="000A1718" w:rsidP="00FA3E44" w14:paraId="45C2C116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0A1718" w:rsidP="00FA3E44" w14:paraId="32937DBD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2C3C4F" w:rsidRPr="003C1AB6" w:rsidP="003C1AB6" w14:paraId="7AD62D49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507E68" w:rsidP="003C1AB6" w14:paraId="059441C9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 xml:space="preserve">This collection of information does not involve any special circumstances and will not </w:t>
      </w:r>
      <w:r>
        <w:rPr>
          <w:rFonts w:ascii="Times New Roman" w:hAnsi="Times New Roman"/>
          <w:noProof/>
          <w:sz w:val="24"/>
          <w:szCs w:val="24"/>
        </w:rPr>
        <w:t xml:space="preserve">result in a system of records.  </w:t>
      </w:r>
      <w:r w:rsidRPr="00507E68">
        <w:rPr>
          <w:rFonts w:ascii="Times New Roman" w:hAnsi="Times New Roman"/>
          <w:noProof/>
          <w:sz w:val="24"/>
          <w:szCs w:val="24"/>
        </w:rPr>
        <w:t>The data relate to program characteristics only.</w:t>
      </w:r>
    </w:p>
    <w:p w:rsidR="003C1AB6" w:rsidP="003C1AB6" w14:paraId="23AC7498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3C1AB6" w:rsidRPr="00507E68" w:rsidP="003C1AB6" w14:paraId="2A01A404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1BFDFB28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3C1AB6" w:rsidP="008E1FDA" w14:paraId="7998EEDE" w14:textId="7C261D9F">
      <w:pPr>
        <w:ind w:left="720"/>
        <w:rPr>
          <w:rFonts w:ascii="Times New Roman" w:hAnsi="Times New Roman"/>
          <w:noProof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 xml:space="preserve"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  This notice was published </w:t>
      </w:r>
      <w:r w:rsidRPr="0056605D">
        <w:rPr>
          <w:rFonts w:ascii="Times New Roman" w:hAnsi="Times New Roman"/>
          <w:sz w:val="24"/>
          <w:szCs w:val="24"/>
        </w:rPr>
        <w:t xml:space="preserve">on </w:t>
      </w:r>
      <w:r w:rsidRPr="0056605D" w:rsidR="00C37B58">
        <w:rPr>
          <w:rFonts w:ascii="Times New Roman" w:hAnsi="Times New Roman"/>
          <w:sz w:val="24"/>
          <w:szCs w:val="24"/>
        </w:rPr>
        <w:t>January 20</w:t>
      </w:r>
      <w:r w:rsidRPr="0056605D" w:rsidR="00FA3E44">
        <w:rPr>
          <w:rFonts w:ascii="Times New Roman" w:hAnsi="Times New Roman"/>
          <w:sz w:val="24"/>
          <w:szCs w:val="24"/>
        </w:rPr>
        <w:t xml:space="preserve">, </w:t>
      </w:r>
      <w:r w:rsidRPr="0056605D" w:rsidR="00C37B58">
        <w:rPr>
          <w:rFonts w:ascii="Times New Roman" w:hAnsi="Times New Roman"/>
          <w:sz w:val="24"/>
          <w:szCs w:val="24"/>
        </w:rPr>
        <w:t>2026</w:t>
      </w:r>
      <w:r w:rsidR="0056605D">
        <w:rPr>
          <w:rFonts w:ascii="Times New Roman" w:hAnsi="Times New Roman"/>
          <w:sz w:val="24"/>
          <w:szCs w:val="24"/>
        </w:rPr>
        <w:t xml:space="preserve"> (</w:t>
      </w:r>
      <w:r w:rsidRPr="0056605D" w:rsidR="00C37B58">
        <w:rPr>
          <w:rFonts w:ascii="Times New Roman" w:hAnsi="Times New Roman"/>
          <w:sz w:val="24"/>
          <w:szCs w:val="24"/>
        </w:rPr>
        <w:t>91</w:t>
      </w:r>
      <w:r w:rsidR="004E72D1">
        <w:rPr>
          <w:rFonts w:ascii="Times New Roman" w:hAnsi="Times New Roman"/>
          <w:sz w:val="24"/>
          <w:szCs w:val="24"/>
        </w:rPr>
        <w:t xml:space="preserve"> FR</w:t>
      </w:r>
      <w:r w:rsidRPr="0056605D">
        <w:rPr>
          <w:rFonts w:ascii="Times New Roman" w:hAnsi="Times New Roman"/>
          <w:sz w:val="24"/>
          <w:szCs w:val="24"/>
        </w:rPr>
        <w:t xml:space="preserve"> </w:t>
      </w:r>
      <w:r w:rsidRPr="0056605D" w:rsidR="00C37B58">
        <w:rPr>
          <w:rFonts w:ascii="Times New Roman" w:hAnsi="Times New Roman"/>
          <w:sz w:val="24"/>
          <w:szCs w:val="24"/>
        </w:rPr>
        <w:t>2361</w:t>
      </w:r>
      <w:r w:rsidR="0056605D">
        <w:rPr>
          <w:rFonts w:ascii="Times New Roman" w:hAnsi="Times New Roman"/>
          <w:sz w:val="24"/>
          <w:szCs w:val="24"/>
        </w:rPr>
        <w:t>)</w:t>
      </w:r>
      <w:r w:rsidRPr="00C37B58">
        <w:rPr>
          <w:rFonts w:ascii="Times New Roman" w:hAnsi="Times New Roman"/>
          <w:sz w:val="24"/>
          <w:szCs w:val="24"/>
        </w:rPr>
        <w:t xml:space="preserve"> and provided a sixty-day period for public comment. </w:t>
      </w:r>
      <w:r w:rsidR="00526BF1">
        <w:rPr>
          <w:rFonts w:ascii="Times New Roman" w:hAnsi="Times New Roman"/>
          <w:sz w:val="24"/>
          <w:szCs w:val="24"/>
        </w:rPr>
        <w:t xml:space="preserve"> </w:t>
      </w:r>
      <w:r w:rsidRPr="00C37B58" w:rsidR="00507E68">
        <w:rPr>
          <w:rFonts w:ascii="Times New Roman" w:hAnsi="Times New Roman"/>
          <w:noProof/>
          <w:sz w:val="24"/>
          <w:szCs w:val="24"/>
        </w:rPr>
        <w:t>We</w:t>
      </w:r>
      <w:r w:rsidR="002C54BD">
        <w:rPr>
          <w:rFonts w:ascii="Times New Roman" w:hAnsi="Times New Roman"/>
          <w:noProof/>
          <w:sz w:val="24"/>
          <w:szCs w:val="24"/>
        </w:rPr>
        <w:t xml:space="preserve"> did not receive </w:t>
      </w:r>
      <w:r w:rsidRPr="00C37B58" w:rsidR="00507E68">
        <w:rPr>
          <w:rFonts w:ascii="Times New Roman" w:hAnsi="Times New Roman"/>
          <w:noProof/>
          <w:sz w:val="24"/>
          <w:szCs w:val="24"/>
        </w:rPr>
        <w:t>comments.</w:t>
      </w:r>
      <w:r w:rsidRPr="00507E68" w:rsidR="00507E68">
        <w:rPr>
          <w:rFonts w:ascii="Times New Roman" w:hAnsi="Times New Roman"/>
          <w:noProof/>
          <w:sz w:val="24"/>
          <w:szCs w:val="24"/>
        </w:rPr>
        <w:t xml:space="preserve">  </w:t>
      </w:r>
    </w:p>
    <w:p w:rsidR="003C1AB6" w:rsidP="003C1AB6" w14:paraId="7B10A378" w14:textId="7F6D0E6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CA1001" w:rsidRPr="00507E68" w:rsidP="003C1AB6" w14:paraId="620EF650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485C374B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507E68" w:rsidP="003C1AB6" w14:paraId="14C20619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>This data collection does not involve any payment or gift to respondents other than remuneration of grantees.</w:t>
      </w:r>
    </w:p>
    <w:p w:rsidR="003C1AB6" w:rsidP="003C1AB6" w14:paraId="7270BC5A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3C1AB6" w:rsidRPr="00507E68" w:rsidP="003C1AB6" w14:paraId="69F6CFA4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3C88A5AA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507E68" w:rsidP="00217C86" w14:paraId="6148317D" w14:textId="0D4F35F4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This information collection does not collect information that requires assurances of confidentiality. </w:t>
      </w:r>
      <w:r w:rsidR="00526BF1">
        <w:rPr>
          <w:rFonts w:ascii="Times New Roman" w:hAnsi="Times New Roman"/>
          <w:noProof/>
          <w:sz w:val="24"/>
          <w:szCs w:val="24"/>
        </w:rPr>
        <w:t xml:space="preserve"> </w:t>
      </w:r>
      <w:r w:rsidRPr="00507E68">
        <w:rPr>
          <w:rFonts w:ascii="Times New Roman" w:hAnsi="Times New Roman"/>
          <w:noProof/>
          <w:sz w:val="24"/>
          <w:szCs w:val="24"/>
        </w:rPr>
        <w:t>This data collection does not constitute a Privacy Act System of Records.</w:t>
      </w:r>
    </w:p>
    <w:p w:rsidR="003C1AB6" w:rsidP="003C1AB6" w14:paraId="299F743C" w14:textId="77777777">
      <w:pPr>
        <w:widowControl/>
        <w:ind w:firstLine="720"/>
        <w:rPr>
          <w:rFonts w:ascii="Times New Roman" w:hAnsi="Times New Roman"/>
          <w:snapToGrid/>
          <w:sz w:val="24"/>
          <w:szCs w:val="24"/>
        </w:rPr>
      </w:pPr>
    </w:p>
    <w:p w:rsidR="003C1AB6" w:rsidRPr="00507E68" w:rsidP="003C1AB6" w14:paraId="653AE3E2" w14:textId="77777777">
      <w:pPr>
        <w:widowControl/>
        <w:ind w:firstLine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1F4536E3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507E68" w:rsidP="003C1AB6" w14:paraId="3D575784" w14:textId="77777777">
      <w:pPr>
        <w:widowControl/>
        <w:ind w:firstLine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>This data collection does not contain any questions of a sensitive nature.</w:t>
      </w:r>
    </w:p>
    <w:p w:rsidR="00F16AF9" w:rsidP="003C1AB6" w14:paraId="3CED2956" w14:textId="77777777">
      <w:pPr>
        <w:widowControl/>
        <w:ind w:firstLine="720"/>
        <w:rPr>
          <w:rFonts w:ascii="Times New Roman" w:hAnsi="Times New Roman"/>
          <w:snapToGrid/>
          <w:sz w:val="24"/>
          <w:szCs w:val="24"/>
        </w:rPr>
      </w:pPr>
    </w:p>
    <w:p w:rsidR="00F16AF9" w:rsidRPr="00507E68" w:rsidP="003C1AB6" w14:paraId="71579ACF" w14:textId="77777777">
      <w:pPr>
        <w:widowControl/>
        <w:ind w:firstLine="720"/>
        <w:rPr>
          <w:rFonts w:ascii="Times New Roman" w:hAnsi="Times New Roman"/>
          <w:snapToGrid/>
          <w:sz w:val="24"/>
          <w:szCs w:val="24"/>
        </w:rPr>
      </w:pPr>
    </w:p>
    <w:p w:rsidR="002C3C4F" w:rsidP="00FA3E44" w14:paraId="48DAFDD8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56605D" w:rsidP="00025DF6" w14:paraId="406C931C" w14:textId="31418DC6">
      <w:pPr>
        <w:widowControl/>
        <w:spacing w:after="60"/>
        <w:ind w:left="720"/>
        <w:rPr>
          <w:rFonts w:ascii="Times New Roman" w:hAnsi="Times New Roman"/>
          <w:bCs/>
          <w:i/>
          <w:iCs/>
          <w:snapToGrid/>
          <w:sz w:val="24"/>
          <w:szCs w:val="24"/>
        </w:rPr>
      </w:pPr>
      <w:r>
        <w:rPr>
          <w:rFonts w:ascii="Times New Roman" w:hAnsi="Times New Roman"/>
          <w:bCs/>
          <w:i/>
          <w:iCs/>
          <w:snapToGrid/>
          <w:sz w:val="24"/>
          <w:szCs w:val="24"/>
        </w:rPr>
        <w:t>Estimated Burden Hours</w:t>
      </w:r>
    </w:p>
    <w:p w:rsidR="00422A56" w:rsidP="00422A56" w14:paraId="13499168" w14:textId="77777777">
      <w:pPr>
        <w:tabs>
          <w:tab w:val="left" w:pos="-720"/>
        </w:tabs>
        <w:suppressAutoHyphens/>
        <w:ind w:left="720"/>
        <w:rPr>
          <w:rFonts w:ascii="Times New Roman" w:hAnsi="Times New Roman"/>
          <w:noProof/>
          <w:sz w:val="24"/>
        </w:rPr>
      </w:pPr>
      <w:r w:rsidRPr="00110ED4">
        <w:rPr>
          <w:rFonts w:ascii="Times New Roman" w:hAnsi="Times New Roman"/>
          <w:noProof/>
          <w:sz w:val="24"/>
        </w:rPr>
        <w:t xml:space="preserve">We have estimated the burden hours for each information collection activity as though they applied to all jurisdictions for ease of discussion and public review.  </w:t>
      </w:r>
    </w:p>
    <w:p w:rsidR="001E5749" w:rsidP="00422A56" w14:paraId="0FFAE24A" w14:textId="77777777">
      <w:pPr>
        <w:tabs>
          <w:tab w:val="left" w:pos="-720"/>
        </w:tabs>
        <w:suppressAutoHyphens/>
        <w:ind w:left="720"/>
        <w:rPr>
          <w:rFonts w:ascii="Times New Roman" w:hAnsi="Times New Roman"/>
          <w:noProof/>
          <w:sz w:val="24"/>
        </w:rPr>
      </w:pPr>
    </w:p>
    <w:p w:rsidR="001E5749" w:rsidP="00422A56" w14:paraId="77A13041" w14:textId="1980CF36">
      <w:pPr>
        <w:tabs>
          <w:tab w:val="left" w:pos="-720"/>
        </w:tabs>
        <w:suppressAutoHyphens/>
        <w:ind w:left="720"/>
        <w:rPr>
          <w:rFonts w:ascii="Times New Roman" w:hAnsi="Times New Roman"/>
          <w:noProof/>
          <w:sz w:val="24"/>
        </w:rPr>
      </w:pPr>
      <w:r w:rsidRPr="001E5749">
        <w:rPr>
          <w:rFonts w:ascii="Times New Roman" w:hAnsi="Times New Roman"/>
          <w:noProof/>
          <w:sz w:val="24"/>
        </w:rPr>
        <w:t>ACF proposes a reduction in estimated average time per response</w:t>
      </w:r>
      <w:r w:rsidR="00A24FBF">
        <w:rPr>
          <w:rFonts w:ascii="Times New Roman" w:hAnsi="Times New Roman"/>
          <w:noProof/>
          <w:sz w:val="24"/>
        </w:rPr>
        <w:t xml:space="preserve"> from 118 to 80 hours</w:t>
      </w:r>
      <w:r w:rsidRPr="001E5749">
        <w:rPr>
          <w:rFonts w:ascii="Times New Roman" w:hAnsi="Times New Roman"/>
          <w:noProof/>
          <w:sz w:val="24"/>
        </w:rPr>
        <w:t xml:space="preserve"> to reflect the intent of existing regulations. </w:t>
      </w:r>
      <w:r w:rsidR="00526BF1">
        <w:rPr>
          <w:rFonts w:ascii="Times New Roman" w:hAnsi="Times New Roman"/>
          <w:noProof/>
          <w:sz w:val="24"/>
        </w:rPr>
        <w:t xml:space="preserve"> </w:t>
      </w:r>
      <w:r w:rsidRPr="001E5749">
        <w:rPr>
          <w:rFonts w:ascii="Times New Roman" w:hAnsi="Times New Roman"/>
          <w:noProof/>
          <w:sz w:val="24"/>
        </w:rPr>
        <w:t xml:space="preserve">45 CFR 265.9(d) indicates that states that have </w:t>
      </w:r>
      <w:r w:rsidRPr="001E5749">
        <w:rPr>
          <w:rFonts w:ascii="Times New Roman" w:hAnsi="Times New Roman"/>
          <w:noProof/>
          <w:sz w:val="24"/>
        </w:rPr>
        <w:t xml:space="preserve">already incorporated the information required in their TANF State Plan may meet the annual reporting requirements by reference in lieu of completing a re-submission of a particular data element. </w:t>
      </w:r>
      <w:r w:rsidR="00526BF1">
        <w:rPr>
          <w:rFonts w:ascii="Times New Roman" w:hAnsi="Times New Roman"/>
          <w:noProof/>
          <w:sz w:val="24"/>
        </w:rPr>
        <w:t xml:space="preserve"> </w:t>
      </w:r>
      <w:r w:rsidRPr="001E5749">
        <w:rPr>
          <w:rFonts w:ascii="Times New Roman" w:hAnsi="Times New Roman"/>
          <w:noProof/>
          <w:sz w:val="24"/>
        </w:rPr>
        <w:t xml:space="preserve">If the information in the annual report has not changed since the previous annual report, the state may reference this information in lieu of re-submission of a particular data element. </w:t>
      </w:r>
      <w:r w:rsidR="00526BF1">
        <w:rPr>
          <w:rFonts w:ascii="Times New Roman" w:hAnsi="Times New Roman"/>
          <w:noProof/>
          <w:sz w:val="24"/>
        </w:rPr>
        <w:t xml:space="preserve"> </w:t>
      </w:r>
      <w:r w:rsidRPr="001E5749">
        <w:rPr>
          <w:rFonts w:ascii="Times New Roman" w:hAnsi="Times New Roman"/>
          <w:noProof/>
          <w:sz w:val="24"/>
        </w:rPr>
        <w:t>Instructions have been updated to make clear both opportunities to reference in lieu of re- submission.</w:t>
      </w:r>
    </w:p>
    <w:p w:rsidR="00422A56" w:rsidRPr="004E72D1" w:rsidP="00025DF6" w14:paraId="769FCFC6" w14:textId="77777777">
      <w:pPr>
        <w:widowControl/>
        <w:ind w:left="720"/>
        <w:rPr>
          <w:rFonts w:ascii="Times New Roman" w:hAnsi="Times New Roman"/>
          <w:bCs/>
          <w:snapToGrid/>
          <w:sz w:val="24"/>
          <w:szCs w:val="24"/>
        </w:rPr>
      </w:pPr>
    </w:p>
    <w:p w:rsidR="0056605D" w:rsidP="00025DF6" w14:paraId="10BF050E" w14:textId="41569E04">
      <w:pPr>
        <w:widowControl/>
        <w:spacing w:after="60"/>
        <w:ind w:left="720"/>
        <w:rPr>
          <w:rFonts w:ascii="Times New Roman" w:hAnsi="Times New Roman"/>
          <w:bCs/>
          <w:i/>
          <w:iCs/>
          <w:snapToGrid/>
          <w:sz w:val="24"/>
          <w:szCs w:val="24"/>
        </w:rPr>
      </w:pPr>
      <w:r>
        <w:rPr>
          <w:rFonts w:ascii="Times New Roman" w:hAnsi="Times New Roman"/>
          <w:bCs/>
          <w:i/>
          <w:iCs/>
          <w:snapToGrid/>
          <w:sz w:val="24"/>
          <w:szCs w:val="24"/>
        </w:rPr>
        <w:t xml:space="preserve">Estimated Cost </w:t>
      </w:r>
      <w:r>
        <w:rPr>
          <w:rFonts w:ascii="Times New Roman" w:hAnsi="Times New Roman"/>
          <w:bCs/>
          <w:i/>
          <w:iCs/>
          <w:snapToGrid/>
          <w:sz w:val="24"/>
          <w:szCs w:val="24"/>
        </w:rPr>
        <w:t>to</w:t>
      </w:r>
      <w:r>
        <w:rPr>
          <w:rFonts w:ascii="Times New Roman" w:hAnsi="Times New Roman"/>
          <w:bCs/>
          <w:i/>
          <w:iCs/>
          <w:snapToGrid/>
          <w:sz w:val="24"/>
          <w:szCs w:val="24"/>
        </w:rPr>
        <w:t xml:space="preserve"> Respondents</w:t>
      </w:r>
    </w:p>
    <w:p w:rsidR="00422A56" w:rsidRPr="00D03C86" w:rsidP="000A1718" w14:paraId="1E5FF16F" w14:textId="4CA5681F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According to Bureau of Labor Statistics </w:t>
      </w:r>
      <w:r w:rsidR="00A24FBF">
        <w:rPr>
          <w:rFonts w:ascii="Times New Roman" w:hAnsi="Times New Roman"/>
          <w:noProof/>
          <w:sz w:val="24"/>
        </w:rPr>
        <w:t xml:space="preserve">(BLS) </w:t>
      </w:r>
      <w:r>
        <w:rPr>
          <w:rFonts w:ascii="Times New Roman" w:hAnsi="Times New Roman"/>
          <w:noProof/>
          <w:sz w:val="24"/>
        </w:rPr>
        <w:t xml:space="preserve">data from May </w:t>
      </w:r>
      <w:r w:rsidR="00D70539">
        <w:rPr>
          <w:rFonts w:ascii="Times New Roman" w:hAnsi="Times New Roman"/>
          <w:noProof/>
          <w:sz w:val="24"/>
        </w:rPr>
        <w:t>2024</w:t>
      </w:r>
      <w:r>
        <w:rPr>
          <w:rFonts w:ascii="Times New Roman" w:hAnsi="Times New Roman"/>
          <w:noProof/>
          <w:sz w:val="24"/>
        </w:rPr>
        <w:t xml:space="preserve"> (</w:t>
      </w:r>
      <w:hyperlink r:id="rId10" w:anchor="/industry/999200" w:history="1">
        <w:r w:rsidRPr="00651487" w:rsidR="00D70539">
          <w:rPr>
            <w:rStyle w:val="Hyperlink"/>
            <w:rFonts w:ascii="Times New Roman" w:hAnsi="Times New Roman"/>
            <w:noProof/>
            <w:sz w:val="24"/>
          </w:rPr>
          <w:t>https://data.bls.gov/oes/#/industry/999200</w:t>
        </w:r>
      </w:hyperlink>
      <w:r w:rsidR="00D70539">
        <w:rPr>
          <w:rFonts w:ascii="Times New Roman" w:hAnsi="Times New Roman"/>
          <w:noProof/>
          <w:sz w:val="24"/>
        </w:rPr>
        <w:t>)</w:t>
      </w:r>
      <w:r>
        <w:rPr>
          <w:rFonts w:ascii="Times New Roman" w:hAnsi="Times New Roman"/>
          <w:noProof/>
          <w:sz w:val="24"/>
        </w:rPr>
        <w:t xml:space="preserve">, the mean hourly wage for state government employees is </w:t>
      </w:r>
      <w:r w:rsidRPr="00D70539" w:rsidR="00D70539">
        <w:rPr>
          <w:rFonts w:ascii="Times New Roman" w:hAnsi="Times New Roman"/>
          <w:noProof/>
          <w:sz w:val="24"/>
        </w:rPr>
        <w:t>$34.89</w:t>
      </w:r>
      <w:r>
        <w:rPr>
          <w:rFonts w:ascii="Times New Roman" w:hAnsi="Times New Roman"/>
          <w:noProof/>
          <w:sz w:val="24"/>
        </w:rPr>
        <w:t xml:space="preserve">. </w:t>
      </w:r>
      <w:r w:rsidRPr="00110ED4">
        <w:rPr>
          <w:rFonts w:ascii="Times New Roman" w:hAnsi="Times New Roman"/>
          <w:noProof/>
          <w:sz w:val="24"/>
        </w:rPr>
        <w:t xml:space="preserve"> </w:t>
      </w:r>
      <w:r w:rsidR="002C54BD">
        <w:rPr>
          <w:rFonts w:ascii="Times New Roman" w:hAnsi="Times New Roman"/>
          <w:noProof/>
          <w:sz w:val="24"/>
        </w:rPr>
        <w:t xml:space="preserve">To account for fringe benefits and overhead </w:t>
      </w:r>
      <w:r>
        <w:rPr>
          <w:rFonts w:ascii="Times New Roman" w:hAnsi="Times New Roman"/>
          <w:noProof/>
          <w:sz w:val="24"/>
        </w:rPr>
        <w:t xml:space="preserve">this </w:t>
      </w:r>
      <w:r w:rsidR="002C54BD">
        <w:rPr>
          <w:rFonts w:ascii="Times New Roman" w:hAnsi="Times New Roman"/>
          <w:noProof/>
          <w:sz w:val="24"/>
        </w:rPr>
        <w:t xml:space="preserve">rate is multiplied </w:t>
      </w:r>
      <w:r>
        <w:rPr>
          <w:rFonts w:ascii="Times New Roman" w:hAnsi="Times New Roman"/>
          <w:noProof/>
          <w:sz w:val="24"/>
        </w:rPr>
        <w:t>by two</w:t>
      </w:r>
      <w:r w:rsidR="002C54BD">
        <w:rPr>
          <w:rFonts w:ascii="Times New Roman" w:hAnsi="Times New Roman"/>
          <w:noProof/>
          <w:sz w:val="24"/>
        </w:rPr>
        <w:t>,</w:t>
      </w:r>
      <w:r>
        <w:rPr>
          <w:rFonts w:ascii="Times New Roman" w:hAnsi="Times New Roman"/>
          <w:noProof/>
          <w:sz w:val="24"/>
        </w:rPr>
        <w:t xml:space="preserve"> </w:t>
      </w:r>
      <w:r w:rsidR="002C54BD">
        <w:rPr>
          <w:rFonts w:ascii="Times New Roman" w:hAnsi="Times New Roman"/>
          <w:noProof/>
          <w:sz w:val="24"/>
        </w:rPr>
        <w:t>resulting</w:t>
      </w:r>
      <w:r>
        <w:rPr>
          <w:rFonts w:ascii="Times New Roman" w:hAnsi="Times New Roman"/>
          <w:noProof/>
          <w:sz w:val="24"/>
        </w:rPr>
        <w:t xml:space="preserve"> in an average hourly cost of $</w:t>
      </w:r>
      <w:r w:rsidRPr="00D70539" w:rsidR="00D70539">
        <w:rPr>
          <w:rFonts w:ascii="Times New Roman" w:hAnsi="Times New Roman"/>
          <w:noProof/>
          <w:sz w:val="24"/>
        </w:rPr>
        <w:t>69.78</w:t>
      </w:r>
      <w:r>
        <w:rPr>
          <w:rFonts w:ascii="Times New Roman" w:hAnsi="Times New Roman"/>
          <w:noProof/>
          <w:sz w:val="24"/>
        </w:rPr>
        <w:t xml:space="preserve">.  The estimate of </w:t>
      </w:r>
      <w:r w:rsidR="002C54BD">
        <w:rPr>
          <w:rFonts w:ascii="Times New Roman" w:hAnsi="Times New Roman"/>
          <w:noProof/>
          <w:sz w:val="24"/>
        </w:rPr>
        <w:t xml:space="preserve">total </w:t>
      </w:r>
      <w:r>
        <w:rPr>
          <w:rFonts w:ascii="Times New Roman" w:hAnsi="Times New Roman"/>
          <w:noProof/>
          <w:sz w:val="24"/>
        </w:rPr>
        <w:t>annualized cost to respondents is thus $</w:t>
      </w:r>
      <w:r w:rsidRPr="00D70539" w:rsidR="00D70539">
        <w:rPr>
          <w:rFonts w:ascii="Times New Roman" w:hAnsi="Times New Roman"/>
          <w:noProof/>
          <w:sz w:val="24"/>
        </w:rPr>
        <w:t>69.78</w:t>
      </w:r>
      <w:r w:rsidR="00D70539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times </w:t>
      </w:r>
      <w:r w:rsidR="00D70539">
        <w:rPr>
          <w:rFonts w:ascii="Times New Roman" w:hAnsi="Times New Roman"/>
          <w:noProof/>
          <w:sz w:val="24"/>
        </w:rPr>
        <w:t xml:space="preserve">4,320 </w:t>
      </w:r>
      <w:r>
        <w:rPr>
          <w:rFonts w:ascii="Times New Roman" w:hAnsi="Times New Roman"/>
          <w:noProof/>
          <w:sz w:val="24"/>
        </w:rPr>
        <w:t>or $</w:t>
      </w:r>
      <w:r w:rsidRPr="00D70539" w:rsidR="00D70539">
        <w:rPr>
          <w:rFonts w:ascii="Times New Roman" w:hAnsi="Times New Roman"/>
          <w:noProof/>
          <w:sz w:val="24"/>
        </w:rPr>
        <w:t>301,449.6</w:t>
      </w:r>
      <w:r w:rsidR="00D70539">
        <w:rPr>
          <w:rFonts w:ascii="Times New Roman" w:hAnsi="Times New Roman"/>
          <w:noProof/>
          <w:sz w:val="24"/>
        </w:rPr>
        <w:t xml:space="preserve">, </w:t>
      </w:r>
      <w:r w:rsidR="004D59FE">
        <w:rPr>
          <w:rFonts w:ascii="Times New Roman" w:hAnsi="Times New Roman"/>
          <w:noProof/>
          <w:sz w:val="24"/>
        </w:rPr>
        <w:t xml:space="preserve">which has been </w:t>
      </w:r>
      <w:r w:rsidR="00D70539">
        <w:rPr>
          <w:rFonts w:ascii="Times New Roman" w:hAnsi="Times New Roman"/>
          <w:noProof/>
          <w:sz w:val="24"/>
        </w:rPr>
        <w:t>rounded up to $301,450</w:t>
      </w:r>
      <w:r>
        <w:rPr>
          <w:rFonts w:ascii="Times New Roman" w:hAnsi="Times New Roman"/>
          <w:noProof/>
          <w:sz w:val="24"/>
        </w:rPr>
        <w:t>.</w:t>
      </w:r>
      <w:r w:rsidRPr="00110ED4">
        <w:rPr>
          <w:rFonts w:ascii="Times New Roman" w:hAnsi="Times New Roman"/>
          <w:noProof/>
          <w:sz w:val="24"/>
        </w:rPr>
        <w:t xml:space="preserve"> </w:t>
      </w:r>
    </w:p>
    <w:p w:rsidR="00422A56" w:rsidRPr="004E72D1" w:rsidP="00025DF6" w14:paraId="3D55AE26" w14:textId="77777777">
      <w:pPr>
        <w:widowControl/>
        <w:ind w:left="720"/>
        <w:rPr>
          <w:rFonts w:ascii="Times New Roman" w:hAnsi="Times New Roman"/>
          <w:bCs/>
          <w:snapToGrid/>
          <w:sz w:val="24"/>
          <w:szCs w:val="24"/>
        </w:rPr>
      </w:pPr>
    </w:p>
    <w:tbl>
      <w:tblPr>
        <w:tblW w:w="8910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1350"/>
        <w:gridCol w:w="1260"/>
        <w:gridCol w:w="1080"/>
        <w:gridCol w:w="900"/>
        <w:gridCol w:w="990"/>
        <w:gridCol w:w="990"/>
      </w:tblGrid>
      <w:tr w14:paraId="4B181965" w14:textId="4E8D83CD" w:rsidTr="00025DF6">
        <w:tblPrEx>
          <w:tblW w:w="8910" w:type="dxa"/>
          <w:tblInd w:w="8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tblHeader/>
        </w:trPr>
        <w:tc>
          <w:tcPr>
            <w:tcW w:w="2340" w:type="dxa"/>
            <w:shd w:val="clear" w:color="auto" w:fill="AEAAAA" w:themeFill="background2" w:themeFillShade="BF"/>
            <w:vAlign w:val="center"/>
          </w:tcPr>
          <w:p w:rsidR="00FA3E44" w:rsidRPr="00FA3E44" w:rsidP="00D962AB" w14:paraId="56EB4A36" w14:textId="5D4B654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Information Collection Title</w:t>
            </w:r>
          </w:p>
        </w:tc>
        <w:tc>
          <w:tcPr>
            <w:tcW w:w="1350" w:type="dxa"/>
            <w:shd w:val="clear" w:color="auto" w:fill="AEAAAA" w:themeFill="background2" w:themeFillShade="BF"/>
            <w:vAlign w:val="center"/>
          </w:tcPr>
          <w:p w:rsidR="00FA3E44" w:rsidRPr="00FA3E44" w:rsidP="00D962AB" w14:paraId="1B8AE3F1" w14:textId="30795333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Total Number</w:t>
            </w:r>
            <w:r w:rsidRPr="00FA3E44" w:rsidR="00DA5466">
              <w:rPr>
                <w:rFonts w:ascii="Times New Roman" w:hAnsi="Times New Roman"/>
                <w:szCs w:val="16"/>
              </w:rPr>
              <w:t xml:space="preserve"> of Respondents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:rsidR="00FA3E44" w:rsidRPr="00FA3E44" w:rsidP="00D962AB" w14:paraId="3A5764BA" w14:textId="39798F6A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Annual</w:t>
            </w:r>
            <w:r w:rsidR="00D962AB">
              <w:rPr>
                <w:rFonts w:ascii="Times New Roman" w:hAnsi="Times New Roman"/>
                <w:szCs w:val="16"/>
              </w:rPr>
              <w:t xml:space="preserve"> Number of Responses Per Respondent</w:t>
            </w:r>
          </w:p>
        </w:tc>
        <w:tc>
          <w:tcPr>
            <w:tcW w:w="1080" w:type="dxa"/>
            <w:shd w:val="clear" w:color="auto" w:fill="AEAAAA" w:themeFill="background2" w:themeFillShade="BF"/>
            <w:vAlign w:val="center"/>
          </w:tcPr>
          <w:p w:rsidR="00FA3E44" w:rsidRPr="00FA3E44" w:rsidP="00D962AB" w14:paraId="45BFF4AF" w14:textId="7777777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szCs w:val="16"/>
              </w:rPr>
              <w:t xml:space="preserve">Average </w:t>
            </w:r>
            <w:r w:rsidRPr="00FA3E44">
              <w:rPr>
                <w:rFonts w:ascii="Times New Roman" w:hAnsi="Times New Roman"/>
                <w:szCs w:val="16"/>
              </w:rPr>
              <w:t>Burden</w:t>
            </w:r>
            <w:r w:rsidRPr="00FA3E44">
              <w:rPr>
                <w:rFonts w:ascii="Times New Roman" w:hAnsi="Times New Roman"/>
                <w:szCs w:val="16"/>
              </w:rPr>
              <w:t xml:space="preserve"> Hours per Response</w:t>
            </w:r>
          </w:p>
        </w:tc>
        <w:tc>
          <w:tcPr>
            <w:tcW w:w="900" w:type="dxa"/>
            <w:shd w:val="clear" w:color="auto" w:fill="AEAAAA" w:themeFill="background2" w:themeFillShade="BF"/>
            <w:vAlign w:val="center"/>
          </w:tcPr>
          <w:p w:rsidR="00FA3E44" w:rsidRPr="00FA3E44" w:rsidP="00D962AB" w14:paraId="701AB17E" w14:textId="7777777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szCs w:val="16"/>
              </w:rPr>
              <w:t>Total Annual Burden Hours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:rsidR="00FA3E44" w:rsidRPr="00FA3E44" w:rsidP="00D962AB" w14:paraId="6B542A60" w14:textId="240C3F8A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szCs w:val="16"/>
              </w:rPr>
              <w:t xml:space="preserve">Average </w:t>
            </w:r>
            <w:r w:rsidR="0056605D">
              <w:rPr>
                <w:rFonts w:ascii="Times New Roman" w:hAnsi="Times New Roman"/>
                <w:szCs w:val="16"/>
              </w:rPr>
              <w:t xml:space="preserve">Hourly </w:t>
            </w:r>
            <w:r w:rsidRPr="00FA3E44">
              <w:rPr>
                <w:rFonts w:ascii="Times New Roman" w:hAnsi="Times New Roman"/>
                <w:szCs w:val="16"/>
              </w:rPr>
              <w:t>Wage</w:t>
            </w:r>
          </w:p>
        </w:tc>
        <w:tc>
          <w:tcPr>
            <w:tcW w:w="990" w:type="dxa"/>
            <w:shd w:val="clear" w:color="auto" w:fill="AEAAAA" w:themeFill="background2" w:themeFillShade="BF"/>
            <w:vAlign w:val="center"/>
          </w:tcPr>
          <w:p w:rsidR="00FA3E44" w:rsidRPr="00FA3E44" w:rsidP="00D962AB" w14:paraId="26061F46" w14:textId="3BAEBA6C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szCs w:val="16"/>
              </w:rPr>
              <w:t>Total Annual Cost</w:t>
            </w:r>
          </w:p>
        </w:tc>
      </w:tr>
      <w:tr w14:paraId="1EE3757E" w14:textId="53EA8510" w:rsidTr="00025DF6">
        <w:tblPrEx>
          <w:tblW w:w="8910" w:type="dxa"/>
          <w:tblInd w:w="840" w:type="dxa"/>
          <w:tblLayout w:type="fixed"/>
          <w:tblCellMar>
            <w:left w:w="120" w:type="dxa"/>
            <w:right w:w="120" w:type="dxa"/>
          </w:tblCellMar>
          <w:tblLook w:val="0000"/>
        </w:tblPrEx>
        <w:tc>
          <w:tcPr>
            <w:tcW w:w="2340" w:type="dxa"/>
          </w:tcPr>
          <w:p w:rsidR="00FA3E44" w:rsidRPr="00FA3E44" w:rsidP="003C1AB6" w14:paraId="769323CF" w14:textId="192B6A54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szCs w:val="16"/>
              </w:rPr>
              <w:t xml:space="preserve">Annual Report on </w:t>
            </w:r>
            <w:r w:rsidR="00A511E4">
              <w:rPr>
                <w:rFonts w:ascii="Times New Roman" w:hAnsi="Times New Roman"/>
                <w:szCs w:val="16"/>
              </w:rPr>
              <w:t xml:space="preserve">TANF and </w:t>
            </w:r>
            <w:r w:rsidRPr="00FA3E44">
              <w:rPr>
                <w:rFonts w:ascii="Times New Roman" w:hAnsi="Times New Roman"/>
                <w:szCs w:val="16"/>
              </w:rPr>
              <w:t xml:space="preserve">State MOE Programs – ACF-204 </w:t>
            </w:r>
            <w:r w:rsidR="001E5749">
              <w:rPr>
                <w:rFonts w:ascii="Times New Roman" w:hAnsi="Times New Roman"/>
                <w:szCs w:val="16"/>
              </w:rPr>
              <w:t xml:space="preserve">(Annual TANF and MOE Report) </w:t>
            </w:r>
            <w:r w:rsidRPr="00FA3E44">
              <w:rPr>
                <w:rFonts w:ascii="Times New Roman" w:hAnsi="Times New Roman"/>
                <w:szCs w:val="16"/>
              </w:rPr>
              <w:t>§265.9(b)-(c)6</w:t>
            </w:r>
          </w:p>
        </w:tc>
        <w:tc>
          <w:tcPr>
            <w:tcW w:w="1350" w:type="dxa"/>
            <w:vAlign w:val="center"/>
          </w:tcPr>
          <w:p w:rsidR="00FA3E44" w:rsidRPr="00FA3E44" w:rsidP="008E1FDA" w14:paraId="05D1C087" w14:textId="7777777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szCs w:val="16"/>
              </w:rPr>
              <w:t>54</w:t>
            </w:r>
          </w:p>
        </w:tc>
        <w:tc>
          <w:tcPr>
            <w:tcW w:w="1260" w:type="dxa"/>
            <w:vAlign w:val="center"/>
          </w:tcPr>
          <w:p w:rsidR="00FA3E44" w:rsidRPr="00FA3E44" w:rsidP="008E1FDA" w14:paraId="5AD3A620" w14:textId="7777777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FA3E44" w:rsidRPr="00FA3E44" w:rsidP="008E1FDA" w14:paraId="0499047A" w14:textId="077F9EB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80</w:t>
            </w:r>
          </w:p>
        </w:tc>
        <w:tc>
          <w:tcPr>
            <w:tcW w:w="900" w:type="dxa"/>
            <w:vAlign w:val="center"/>
          </w:tcPr>
          <w:p w:rsidR="00FA3E44" w:rsidRPr="00FA3E44" w:rsidP="008E1FDA" w14:paraId="7D4D708B" w14:textId="45F897B7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4,320</w:t>
            </w:r>
          </w:p>
        </w:tc>
        <w:tc>
          <w:tcPr>
            <w:tcW w:w="990" w:type="dxa"/>
            <w:vAlign w:val="center"/>
          </w:tcPr>
          <w:p w:rsidR="00FA3E44" w:rsidRPr="00FA3E44" w:rsidP="00FA3E44" w14:paraId="4002E216" w14:textId="6CE11B06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noProof/>
                <w:szCs w:val="16"/>
              </w:rPr>
              <w:t>$</w:t>
            </w:r>
            <w:r w:rsidR="004D59FE">
              <w:rPr>
                <w:rFonts w:ascii="Times New Roman" w:hAnsi="Times New Roman"/>
                <w:noProof/>
                <w:szCs w:val="16"/>
              </w:rPr>
              <w:t>69.78</w:t>
            </w:r>
          </w:p>
        </w:tc>
        <w:tc>
          <w:tcPr>
            <w:tcW w:w="990" w:type="dxa"/>
            <w:vAlign w:val="center"/>
          </w:tcPr>
          <w:p w:rsidR="00FA3E44" w:rsidRPr="00FA3E44" w:rsidP="00FA3E44" w14:paraId="66FF9F56" w14:textId="12D6A354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Cs w:val="16"/>
              </w:rPr>
            </w:pPr>
            <w:r w:rsidRPr="00FA3E44">
              <w:rPr>
                <w:rFonts w:ascii="Times New Roman" w:hAnsi="Times New Roman"/>
                <w:noProof/>
                <w:szCs w:val="16"/>
              </w:rPr>
              <w:t>$</w:t>
            </w:r>
            <w:r w:rsidRPr="00D70539" w:rsidR="00D70539">
              <w:rPr>
                <w:rFonts w:ascii="Times New Roman" w:hAnsi="Times New Roman"/>
                <w:noProof/>
                <w:szCs w:val="16"/>
              </w:rPr>
              <w:t>301,</w:t>
            </w:r>
            <w:r w:rsidR="00D70539">
              <w:rPr>
                <w:rFonts w:ascii="Times New Roman" w:hAnsi="Times New Roman"/>
                <w:noProof/>
                <w:szCs w:val="16"/>
              </w:rPr>
              <w:t>450</w:t>
            </w:r>
          </w:p>
        </w:tc>
      </w:tr>
    </w:tbl>
    <w:p w:rsidR="00D469F5" w:rsidP="003C1AB6" w14:paraId="171F12F5" w14:textId="77777777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:rsidR="00025DF6" w:rsidP="003C1AB6" w14:paraId="6A561CB7" w14:textId="77777777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:rsidR="002C3C4F" w:rsidRPr="003C1AB6" w:rsidP="003C1AB6" w14:paraId="7FA64391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217C86" w:rsidRPr="008E1FDA" w:rsidP="00FA3E44" w14:paraId="287B0D02" w14:textId="77777777">
      <w:pPr>
        <w:widowControl/>
        <w:ind w:firstLine="720"/>
        <w:rPr>
          <w:rFonts w:ascii="Times New Roman" w:hAnsi="Times New Roman"/>
          <w:snapToGrid/>
          <w:sz w:val="24"/>
          <w:szCs w:val="24"/>
        </w:rPr>
      </w:pPr>
      <w:r w:rsidRPr="008E1FDA">
        <w:rPr>
          <w:rFonts w:ascii="Times New Roman" w:hAnsi="Times New Roman"/>
          <w:snapToGrid/>
          <w:sz w:val="24"/>
          <w:szCs w:val="24"/>
        </w:rPr>
        <w:t xml:space="preserve">There are no other costs </w:t>
      </w:r>
      <w:r w:rsidRPr="008E1FDA">
        <w:rPr>
          <w:rFonts w:ascii="Times New Roman" w:hAnsi="Times New Roman"/>
          <w:snapToGrid/>
          <w:sz w:val="24"/>
          <w:szCs w:val="24"/>
        </w:rPr>
        <w:t>to</w:t>
      </w:r>
      <w:r w:rsidRPr="008E1FDA">
        <w:rPr>
          <w:rFonts w:ascii="Times New Roman" w:hAnsi="Times New Roman"/>
          <w:snapToGrid/>
          <w:sz w:val="24"/>
          <w:szCs w:val="24"/>
        </w:rPr>
        <w:t xml:space="preserve"> respondents and record keepers. </w:t>
      </w:r>
    </w:p>
    <w:p w:rsidR="003C1AB6" w:rsidP="003C1AB6" w14:paraId="13AEDEF8" w14:textId="77777777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Times New Roman" w:hAnsi="Times New Roman"/>
          <w:noProof/>
          <w:sz w:val="24"/>
          <w:szCs w:val="24"/>
        </w:rPr>
      </w:pPr>
    </w:p>
    <w:p w:rsidR="003C1AB6" w:rsidRPr="00507E68" w:rsidP="003C1AB6" w14:paraId="36AC9062" w14:textId="77777777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152BD399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Annualized Cost to the Federal Government </w:t>
      </w:r>
    </w:p>
    <w:p w:rsidR="001E6F4C" w:rsidRPr="00D03C86" w:rsidP="001E6F4C" w14:paraId="4D615FCF" w14:textId="0D11A265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 xml:space="preserve">We estimate total annual federal burden </w:t>
      </w:r>
      <w:r w:rsidR="00BB4059">
        <w:rPr>
          <w:rFonts w:ascii="Times New Roman" w:hAnsi="Times New Roman"/>
          <w:noProof/>
          <w:sz w:val="24"/>
          <w:szCs w:val="24"/>
        </w:rPr>
        <w:t xml:space="preserve">on this information collection activity </w:t>
      </w:r>
      <w:r w:rsidRPr="00507E68">
        <w:rPr>
          <w:rFonts w:ascii="Times New Roman" w:hAnsi="Times New Roman"/>
          <w:noProof/>
          <w:sz w:val="24"/>
          <w:szCs w:val="24"/>
        </w:rPr>
        <w:t xml:space="preserve">to be </w:t>
      </w:r>
      <w:r w:rsidR="00182C28">
        <w:rPr>
          <w:rFonts w:ascii="Times New Roman" w:hAnsi="Times New Roman"/>
          <w:noProof/>
          <w:sz w:val="24"/>
          <w:szCs w:val="24"/>
        </w:rPr>
        <w:t>200</w:t>
      </w:r>
      <w:r w:rsidRPr="00507E68" w:rsidR="00182C28">
        <w:rPr>
          <w:rFonts w:ascii="Times New Roman" w:hAnsi="Times New Roman"/>
          <w:noProof/>
          <w:sz w:val="24"/>
          <w:szCs w:val="24"/>
        </w:rPr>
        <w:t xml:space="preserve"> </w:t>
      </w:r>
      <w:r w:rsidRPr="00507E68">
        <w:rPr>
          <w:rFonts w:ascii="Times New Roman" w:hAnsi="Times New Roman"/>
          <w:noProof/>
          <w:sz w:val="24"/>
          <w:szCs w:val="24"/>
        </w:rPr>
        <w:t xml:space="preserve">hours. </w:t>
      </w:r>
      <w:r w:rsidR="00C378B9">
        <w:rPr>
          <w:rFonts w:ascii="Times New Roman" w:hAnsi="Times New Roman"/>
          <w:noProof/>
          <w:sz w:val="24"/>
          <w:szCs w:val="24"/>
        </w:rPr>
        <w:t xml:space="preserve"> </w:t>
      </w:r>
      <w:r w:rsidRPr="00507E68">
        <w:rPr>
          <w:rFonts w:ascii="Times New Roman" w:hAnsi="Times New Roman"/>
          <w:noProof/>
          <w:sz w:val="24"/>
          <w:szCs w:val="24"/>
        </w:rPr>
        <w:t>This includes the costs of information collection</w:t>
      </w:r>
      <w:r w:rsidR="00182C28">
        <w:rPr>
          <w:rFonts w:ascii="Times New Roman" w:hAnsi="Times New Roman"/>
          <w:noProof/>
          <w:sz w:val="24"/>
          <w:szCs w:val="24"/>
        </w:rPr>
        <w:t xml:space="preserve"> and reviewing the reports</w:t>
      </w:r>
      <w:r w:rsidRPr="00507E68">
        <w:rPr>
          <w:rFonts w:ascii="Times New Roman" w:hAnsi="Times New Roman"/>
          <w:noProof/>
          <w:sz w:val="24"/>
          <w:szCs w:val="24"/>
        </w:rPr>
        <w:t>.</w:t>
      </w:r>
      <w:r w:rsidR="008326A3">
        <w:rPr>
          <w:rFonts w:ascii="Times New Roman" w:hAnsi="Times New Roman"/>
          <w:noProof/>
          <w:sz w:val="24"/>
          <w:szCs w:val="24"/>
        </w:rPr>
        <w:t xml:space="preserve"> </w:t>
      </w:r>
      <w:r w:rsidRPr="00507E68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</w:rPr>
        <w:t xml:space="preserve">According to Bureau of Labor Statistics data from May </w:t>
      </w:r>
      <w:r w:rsidR="00585AE8">
        <w:rPr>
          <w:rFonts w:ascii="Times New Roman" w:hAnsi="Times New Roman"/>
          <w:noProof/>
          <w:sz w:val="24"/>
        </w:rPr>
        <w:t xml:space="preserve">2024 </w:t>
      </w:r>
      <w:r>
        <w:rPr>
          <w:rFonts w:ascii="Times New Roman" w:hAnsi="Times New Roman"/>
          <w:noProof/>
          <w:sz w:val="24"/>
        </w:rPr>
        <w:t>(</w:t>
      </w:r>
      <w:hyperlink r:id="rId10" w:anchor="/industry/999100" w:history="1">
        <w:r w:rsidRPr="00051DA0" w:rsidR="00585AE8">
          <w:rPr>
            <w:rStyle w:val="Hyperlink"/>
            <w:rFonts w:ascii="Times New Roman" w:hAnsi="Times New Roman"/>
            <w:noProof/>
            <w:sz w:val="24"/>
          </w:rPr>
          <w:t>https://data.bls.gov/oes/#/industry/999100</w:t>
        </w:r>
      </w:hyperlink>
      <w:r w:rsidR="00585AE8">
        <w:rPr>
          <w:rFonts w:ascii="Times New Roman" w:hAnsi="Times New Roman"/>
          <w:noProof/>
          <w:sz w:val="24"/>
        </w:rPr>
        <w:t>)</w:t>
      </w:r>
      <w:r>
        <w:rPr>
          <w:rFonts w:ascii="Times New Roman" w:hAnsi="Times New Roman"/>
          <w:noProof/>
          <w:sz w:val="24"/>
        </w:rPr>
        <w:t>, the mean hourly wage for federal government employees is $</w:t>
      </w:r>
      <w:r w:rsidRPr="00585AE8" w:rsidR="00585AE8">
        <w:rPr>
          <w:rFonts w:ascii="Times New Roman" w:hAnsi="Times New Roman"/>
          <w:noProof/>
          <w:sz w:val="24"/>
        </w:rPr>
        <w:t>51.70</w:t>
      </w:r>
      <w:r>
        <w:rPr>
          <w:rFonts w:ascii="Times New Roman" w:hAnsi="Times New Roman"/>
          <w:noProof/>
          <w:sz w:val="24"/>
        </w:rPr>
        <w:t xml:space="preserve">. </w:t>
      </w:r>
      <w:r w:rsidR="00526BF1">
        <w:rPr>
          <w:rFonts w:ascii="Times New Roman" w:hAnsi="Times New Roman"/>
          <w:noProof/>
          <w:sz w:val="24"/>
        </w:rPr>
        <w:t xml:space="preserve"> </w:t>
      </w:r>
      <w:r w:rsidR="002C54BD">
        <w:rPr>
          <w:rFonts w:ascii="Times New Roman" w:hAnsi="Times New Roman"/>
          <w:noProof/>
          <w:sz w:val="24"/>
        </w:rPr>
        <w:t>To account for fringe benefits and overhead this rate is multiplied by two,</w:t>
      </w:r>
      <w:r>
        <w:rPr>
          <w:rFonts w:ascii="Times New Roman" w:hAnsi="Times New Roman"/>
          <w:noProof/>
          <w:sz w:val="24"/>
        </w:rPr>
        <w:t xml:space="preserve"> result</w:t>
      </w:r>
      <w:r w:rsidR="002C54BD">
        <w:rPr>
          <w:rFonts w:ascii="Times New Roman" w:hAnsi="Times New Roman"/>
          <w:noProof/>
          <w:sz w:val="24"/>
        </w:rPr>
        <w:t>ing</w:t>
      </w:r>
      <w:r>
        <w:rPr>
          <w:rFonts w:ascii="Times New Roman" w:hAnsi="Times New Roman"/>
          <w:noProof/>
          <w:sz w:val="24"/>
        </w:rPr>
        <w:t xml:space="preserve"> in an average hourly cost of $</w:t>
      </w:r>
      <w:r w:rsidRPr="00585AE8" w:rsidR="00585AE8">
        <w:rPr>
          <w:rFonts w:ascii="Times New Roman" w:hAnsi="Times New Roman"/>
          <w:noProof/>
          <w:sz w:val="24"/>
        </w:rPr>
        <w:t>103.4</w:t>
      </w:r>
      <w:r w:rsidR="00585AE8">
        <w:rPr>
          <w:rFonts w:ascii="Times New Roman" w:hAnsi="Times New Roman"/>
          <w:noProof/>
          <w:sz w:val="24"/>
        </w:rPr>
        <w:t>0</w:t>
      </w:r>
      <w:r>
        <w:rPr>
          <w:rFonts w:ascii="Times New Roman" w:hAnsi="Times New Roman"/>
          <w:noProof/>
          <w:sz w:val="24"/>
        </w:rPr>
        <w:t xml:space="preserve">.  The </w:t>
      </w:r>
      <w:r w:rsidR="008326A3">
        <w:rPr>
          <w:rFonts w:ascii="Times New Roman" w:hAnsi="Times New Roman"/>
          <w:noProof/>
          <w:sz w:val="24"/>
        </w:rPr>
        <w:t xml:space="preserve">total </w:t>
      </w:r>
      <w:r>
        <w:rPr>
          <w:rFonts w:ascii="Times New Roman" w:hAnsi="Times New Roman"/>
          <w:noProof/>
          <w:sz w:val="24"/>
        </w:rPr>
        <w:t>estimate</w:t>
      </w:r>
      <w:r w:rsidR="008326A3">
        <w:rPr>
          <w:rFonts w:ascii="Times New Roman" w:hAnsi="Times New Roman"/>
          <w:noProof/>
          <w:sz w:val="24"/>
        </w:rPr>
        <w:t>d</w:t>
      </w:r>
      <w:r>
        <w:rPr>
          <w:rFonts w:ascii="Times New Roman" w:hAnsi="Times New Roman"/>
          <w:noProof/>
          <w:sz w:val="24"/>
        </w:rPr>
        <w:t xml:space="preserve"> </w:t>
      </w:r>
      <w:r w:rsidR="008326A3">
        <w:rPr>
          <w:rFonts w:ascii="Times New Roman" w:hAnsi="Times New Roman"/>
          <w:noProof/>
          <w:sz w:val="24"/>
        </w:rPr>
        <w:t>annual cost</w:t>
      </w:r>
      <w:r w:rsidR="00BB4059">
        <w:rPr>
          <w:rFonts w:ascii="Times New Roman" w:hAnsi="Times New Roman"/>
          <w:noProof/>
          <w:sz w:val="24"/>
        </w:rPr>
        <w:t xml:space="preserve"> to the federal government</w:t>
      </w:r>
      <w:r w:rsidR="008326A3"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is thus $</w:t>
      </w:r>
      <w:r w:rsidRPr="00585AE8" w:rsidR="00585AE8">
        <w:rPr>
          <w:rFonts w:ascii="Times New Roman" w:hAnsi="Times New Roman"/>
          <w:noProof/>
          <w:sz w:val="24"/>
        </w:rPr>
        <w:t>103.4</w:t>
      </w:r>
      <w:r w:rsidR="00585AE8">
        <w:rPr>
          <w:rFonts w:ascii="Times New Roman" w:hAnsi="Times New Roman"/>
          <w:noProof/>
          <w:sz w:val="24"/>
        </w:rPr>
        <w:t xml:space="preserve">0 </w:t>
      </w:r>
      <w:r>
        <w:rPr>
          <w:rFonts w:ascii="Times New Roman" w:hAnsi="Times New Roman"/>
          <w:noProof/>
          <w:sz w:val="24"/>
        </w:rPr>
        <w:t xml:space="preserve">times </w:t>
      </w:r>
      <w:r w:rsidR="00526BF1">
        <w:rPr>
          <w:rFonts w:ascii="Times New Roman" w:hAnsi="Times New Roman"/>
          <w:noProof/>
          <w:sz w:val="24"/>
        </w:rPr>
        <w:t xml:space="preserve">200 </w:t>
      </w:r>
      <w:r>
        <w:rPr>
          <w:rFonts w:ascii="Times New Roman" w:hAnsi="Times New Roman"/>
          <w:noProof/>
          <w:sz w:val="24"/>
        </w:rPr>
        <w:t>or $</w:t>
      </w:r>
      <w:r w:rsidR="00182C28">
        <w:rPr>
          <w:rFonts w:ascii="Times New Roman" w:hAnsi="Times New Roman"/>
          <w:noProof/>
          <w:sz w:val="24"/>
        </w:rPr>
        <w:t>20,680</w:t>
      </w:r>
      <w:r>
        <w:rPr>
          <w:rFonts w:ascii="Times New Roman" w:hAnsi="Times New Roman"/>
          <w:noProof/>
          <w:sz w:val="24"/>
        </w:rPr>
        <w:t>.</w:t>
      </w:r>
      <w:r w:rsidRPr="00110ED4">
        <w:rPr>
          <w:rFonts w:ascii="Times New Roman" w:hAnsi="Times New Roman"/>
          <w:noProof/>
          <w:sz w:val="24"/>
        </w:rPr>
        <w:t xml:space="preserve"> </w:t>
      </w:r>
    </w:p>
    <w:p w:rsidR="003C1AB6" w:rsidP="003C1AB6" w14:paraId="2BA57020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025DF6" w:rsidP="003C1AB6" w14:paraId="6665784D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507E68" w:rsidRPr="003C1AB6" w:rsidP="00217C86" w14:paraId="073BAC2D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>Explanation for Program Changes or Adjustments</w:t>
      </w:r>
    </w:p>
    <w:p w:rsidR="00C46342" w:rsidP="003C1AB6" w14:paraId="1748DBEB" w14:textId="38FAC6DF">
      <w:pPr>
        <w:widowControl/>
        <w:ind w:left="720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This request is for a</w:t>
      </w:r>
      <w:r w:rsidR="00182C28">
        <w:rPr>
          <w:rFonts w:ascii="Times New Roman" w:hAnsi="Times New Roman"/>
          <w:noProof/>
          <w:color w:val="000000"/>
          <w:sz w:val="24"/>
          <w:szCs w:val="24"/>
        </w:rPr>
        <w:t xml:space="preserve"> revision</w:t>
      </w:r>
      <w:r w:rsidR="00526BF1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of the information collection under OMB #0970-0248. </w:t>
      </w:r>
      <w:r w:rsidRPr="00BB4059" w:rsidR="00BB4059">
        <w:rPr>
          <w:rFonts w:ascii="Times New Roman" w:hAnsi="Times New Roman"/>
          <w:noProof/>
          <w:color w:val="000000"/>
          <w:sz w:val="24"/>
          <w:szCs w:val="24"/>
        </w:rPr>
        <w:t xml:space="preserve">Reporting requirements have not changed since the last renewal of this information </w:t>
      </w:r>
      <w:r w:rsidRPr="00BB4059" w:rsidR="00BB4059">
        <w:rPr>
          <w:rFonts w:ascii="Times New Roman" w:hAnsi="Times New Roman"/>
          <w:noProof/>
          <w:color w:val="000000"/>
          <w:sz w:val="24"/>
          <w:szCs w:val="24"/>
        </w:rPr>
        <w:t>collection in 202</w:t>
      </w:r>
      <w:r w:rsidR="00BB4059">
        <w:rPr>
          <w:rFonts w:ascii="Times New Roman" w:hAnsi="Times New Roman"/>
          <w:noProof/>
          <w:color w:val="000000"/>
          <w:sz w:val="24"/>
          <w:szCs w:val="24"/>
        </w:rPr>
        <w:t>2</w:t>
      </w:r>
      <w:r w:rsidRPr="00BB4059" w:rsidR="00BB4059">
        <w:rPr>
          <w:rFonts w:ascii="Times New Roman" w:hAnsi="Times New Roman"/>
          <w:noProof/>
          <w:color w:val="000000"/>
          <w:sz w:val="24"/>
          <w:szCs w:val="24"/>
        </w:rPr>
        <w:t>. </w:t>
      </w:r>
      <w:r w:rsidR="00526BF1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Pr="00BB4059" w:rsidR="00BB4059">
        <w:rPr>
          <w:rFonts w:ascii="Times New Roman" w:hAnsi="Times New Roman"/>
          <w:noProof/>
          <w:color w:val="000000"/>
          <w:sz w:val="24"/>
          <w:szCs w:val="24"/>
        </w:rPr>
        <w:t xml:space="preserve">However, </w:t>
      </w:r>
      <w:r w:rsidR="00182C28">
        <w:rPr>
          <w:rFonts w:ascii="Times New Roman" w:hAnsi="Times New Roman"/>
          <w:noProof/>
          <w:color w:val="000000"/>
          <w:sz w:val="24"/>
          <w:szCs w:val="24"/>
        </w:rPr>
        <w:t xml:space="preserve">text was added to the instructions </w:t>
      </w:r>
      <w:r w:rsidRPr="00BB4059" w:rsidR="00BB4059">
        <w:rPr>
          <w:rFonts w:ascii="Times New Roman" w:hAnsi="Times New Roman"/>
          <w:noProof/>
          <w:color w:val="000000"/>
          <w:sz w:val="24"/>
          <w:szCs w:val="24"/>
        </w:rPr>
        <w:t xml:space="preserve">to reflect that states </w:t>
      </w:r>
      <w:r w:rsidR="00A24FBF">
        <w:rPr>
          <w:rFonts w:ascii="Times New Roman" w:hAnsi="Times New Roman"/>
          <w:noProof/>
          <w:color w:val="000000"/>
          <w:sz w:val="24"/>
          <w:szCs w:val="24"/>
        </w:rPr>
        <w:t xml:space="preserve">may </w:t>
      </w:r>
      <w:r w:rsidR="00182C28">
        <w:rPr>
          <w:rFonts w:ascii="Times New Roman" w:hAnsi="Times New Roman"/>
          <w:noProof/>
          <w:color w:val="000000"/>
          <w:sz w:val="24"/>
          <w:szCs w:val="24"/>
        </w:rPr>
        <w:t xml:space="preserve">reference their TANF State Plan or previous submissions </w:t>
      </w:r>
      <w:r w:rsidR="00707712">
        <w:rPr>
          <w:rFonts w:ascii="Times New Roman" w:hAnsi="Times New Roman"/>
          <w:noProof/>
          <w:color w:val="000000"/>
          <w:sz w:val="24"/>
          <w:szCs w:val="24"/>
        </w:rPr>
        <w:t xml:space="preserve">in leiu of re-submitting particular data elements. </w:t>
      </w:r>
      <w:r w:rsidR="00526BF1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707712">
        <w:rPr>
          <w:rFonts w:ascii="Times New Roman" w:hAnsi="Times New Roman"/>
          <w:noProof/>
          <w:color w:val="000000"/>
          <w:sz w:val="24"/>
          <w:szCs w:val="24"/>
        </w:rPr>
        <w:t>This new instruction led to a reduction in the estimate of burden</w:t>
      </w:r>
      <w:r w:rsidR="00A24FBF">
        <w:rPr>
          <w:rFonts w:ascii="Times New Roman" w:hAnsi="Times New Roman"/>
          <w:noProof/>
          <w:color w:val="000000"/>
          <w:sz w:val="24"/>
          <w:szCs w:val="24"/>
        </w:rPr>
        <w:t>; estimated costs have been adjusted accordingly and reflect the latest BLS data available</w:t>
      </w:r>
      <w:r w:rsidR="00962028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F47B41">
        <w:rPr>
          <w:rFonts w:ascii="Times New Roman" w:hAnsi="Times New Roman"/>
          <w:noProof/>
          <w:color w:val="000000"/>
          <w:sz w:val="24"/>
          <w:szCs w:val="24"/>
        </w:rPr>
        <w:t>Additionally, previously separate instructions for Attachment A were incorporated into the form itself.</w:t>
      </w:r>
    </w:p>
    <w:p w:rsidR="003C1AB6" w:rsidP="003C1AB6" w14:paraId="6129883B" w14:textId="77777777">
      <w:pPr>
        <w:widowControl/>
        <w:ind w:left="720"/>
        <w:rPr>
          <w:rFonts w:ascii="Times New Roman" w:hAnsi="Times New Roman"/>
          <w:noProof/>
          <w:color w:val="000000"/>
          <w:sz w:val="24"/>
          <w:szCs w:val="24"/>
        </w:rPr>
      </w:pPr>
    </w:p>
    <w:p w:rsidR="003C1AB6" w:rsidP="003C1AB6" w14:paraId="115C32AD" w14:textId="77777777">
      <w:pPr>
        <w:widowControl/>
        <w:ind w:left="720"/>
        <w:rPr>
          <w:rFonts w:ascii="Times New Roman" w:hAnsi="Times New Roman"/>
          <w:noProof/>
          <w:color w:val="000000"/>
          <w:sz w:val="24"/>
          <w:szCs w:val="24"/>
        </w:rPr>
      </w:pPr>
    </w:p>
    <w:p w:rsidR="002C3C4F" w:rsidRPr="003C1AB6" w:rsidP="00217C86" w14:paraId="1910D843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507E68" w:rsidP="003C1AB6" w14:paraId="36454BC5" w14:textId="21B01B60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noProof/>
          <w:sz w:val="24"/>
          <w:szCs w:val="24"/>
        </w:rPr>
        <w:t>We analyze and compile these data at the end of each fiscal year after the states have transmitted the data to us.</w:t>
      </w:r>
      <w:r w:rsidR="00692BF8">
        <w:rPr>
          <w:rFonts w:ascii="Times New Roman" w:hAnsi="Times New Roman"/>
          <w:noProof/>
          <w:sz w:val="24"/>
          <w:szCs w:val="24"/>
        </w:rPr>
        <w:t xml:space="preserve">  </w:t>
      </w:r>
      <w:r w:rsidRPr="00507E68">
        <w:rPr>
          <w:rFonts w:ascii="Times New Roman" w:hAnsi="Times New Roman"/>
          <w:noProof/>
          <w:sz w:val="24"/>
          <w:szCs w:val="24"/>
        </w:rPr>
        <w:t xml:space="preserve">These data will also provide us with the necessary information to carry out our other financial management and oversight responsibilities.  Other analyses </w:t>
      </w:r>
      <w:r w:rsidR="00707712">
        <w:rPr>
          <w:rFonts w:ascii="Times New Roman" w:hAnsi="Times New Roman"/>
          <w:noProof/>
          <w:sz w:val="24"/>
          <w:szCs w:val="24"/>
        </w:rPr>
        <w:t>may</w:t>
      </w:r>
      <w:r w:rsidRPr="00507E68" w:rsidR="00707712">
        <w:rPr>
          <w:rFonts w:ascii="Times New Roman" w:hAnsi="Times New Roman"/>
          <w:noProof/>
          <w:sz w:val="24"/>
          <w:szCs w:val="24"/>
        </w:rPr>
        <w:t xml:space="preserve"> </w:t>
      </w:r>
      <w:r w:rsidRPr="00507E68">
        <w:rPr>
          <w:rFonts w:ascii="Times New Roman" w:hAnsi="Times New Roman"/>
          <w:noProof/>
          <w:sz w:val="24"/>
          <w:szCs w:val="24"/>
        </w:rPr>
        <w:t xml:space="preserve">include, but not necessarily be limited to, analyses of the impacts of various TANF provisions and descriptions of the characteristics of the populations served.  We publish these </w:t>
      </w:r>
      <w:r w:rsidR="00C378B9">
        <w:rPr>
          <w:rFonts w:ascii="Times New Roman" w:hAnsi="Times New Roman"/>
          <w:noProof/>
          <w:sz w:val="24"/>
          <w:szCs w:val="24"/>
        </w:rPr>
        <w:t>f</w:t>
      </w:r>
      <w:r w:rsidRPr="00507E68">
        <w:rPr>
          <w:rFonts w:ascii="Times New Roman" w:hAnsi="Times New Roman"/>
          <w:noProof/>
          <w:sz w:val="24"/>
          <w:szCs w:val="24"/>
        </w:rPr>
        <w:t>indings in the TANF Annual Report to Congress.</w:t>
      </w:r>
    </w:p>
    <w:p w:rsidR="003C1AB6" w:rsidP="003C1AB6" w14:paraId="1B789EB5" w14:textId="77777777">
      <w:pPr>
        <w:widowControl/>
        <w:ind w:left="720"/>
        <w:rPr>
          <w:rFonts w:ascii="Times New Roman" w:hAnsi="Times New Roman"/>
          <w:noProof/>
          <w:sz w:val="24"/>
          <w:szCs w:val="24"/>
        </w:rPr>
      </w:pPr>
    </w:p>
    <w:p w:rsidR="003C1AB6" w:rsidRPr="00507E68" w:rsidP="003C1AB6" w14:paraId="7D6D4CEF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652D5C17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is Inappropriate </w:t>
      </w:r>
    </w:p>
    <w:p w:rsidR="00507E68" w:rsidP="003C1AB6" w14:paraId="1832D485" w14:textId="1C55DDF1">
      <w:pPr>
        <w:widowControl/>
        <w:ind w:firstLine="36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sz w:val="24"/>
          <w:szCs w:val="24"/>
        </w:rPr>
        <w:t xml:space="preserve">     </w:t>
      </w:r>
      <w:r w:rsidRPr="00507E68">
        <w:rPr>
          <w:rFonts w:ascii="Times New Roman" w:hAnsi="Times New Roman"/>
          <w:noProof/>
          <w:sz w:val="24"/>
          <w:szCs w:val="24"/>
        </w:rPr>
        <w:t>Not applicable</w:t>
      </w:r>
      <w:r w:rsidR="0056605D">
        <w:rPr>
          <w:rFonts w:ascii="Times New Roman" w:hAnsi="Times New Roman"/>
          <w:noProof/>
          <w:sz w:val="24"/>
          <w:szCs w:val="24"/>
        </w:rPr>
        <w:t>.</w:t>
      </w:r>
    </w:p>
    <w:p w:rsidR="003C1AB6" w:rsidP="003C1AB6" w14:paraId="710FB6F3" w14:textId="77777777">
      <w:pPr>
        <w:widowControl/>
        <w:ind w:firstLine="360"/>
        <w:rPr>
          <w:rFonts w:ascii="Times New Roman" w:hAnsi="Times New Roman"/>
          <w:noProof/>
          <w:sz w:val="24"/>
          <w:szCs w:val="24"/>
        </w:rPr>
      </w:pPr>
    </w:p>
    <w:p w:rsidR="003C1AB6" w:rsidRPr="00507E68" w:rsidP="003C1AB6" w14:paraId="02EA70CE" w14:textId="77777777">
      <w:pPr>
        <w:widowControl/>
        <w:ind w:firstLine="360"/>
        <w:rPr>
          <w:rFonts w:ascii="Times New Roman" w:hAnsi="Times New Roman"/>
          <w:snapToGrid/>
          <w:sz w:val="24"/>
          <w:szCs w:val="24"/>
        </w:rPr>
      </w:pPr>
    </w:p>
    <w:p w:rsidR="002C3C4F" w:rsidRPr="003C1AB6" w:rsidP="003C1AB6" w14:paraId="76F6514B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C1AB6">
        <w:rPr>
          <w:rFonts w:ascii="Times New Roman" w:hAnsi="Times New Roman"/>
          <w:b/>
          <w:snapToGrid/>
          <w:sz w:val="24"/>
          <w:szCs w:val="24"/>
        </w:rPr>
        <w:t>Exceptions to Certification for Paperwork Reduction Act Submissions</w:t>
      </w:r>
    </w:p>
    <w:p w:rsidR="002C3C4F" w:rsidRPr="00FA3E44" w:rsidP="00FA3E44" w14:paraId="421EDCCF" w14:textId="60307810">
      <w:pPr>
        <w:widowControl/>
        <w:ind w:left="360"/>
        <w:rPr>
          <w:rFonts w:ascii="Times New Roman" w:hAnsi="Times New Roman"/>
          <w:noProof/>
          <w:sz w:val="24"/>
          <w:szCs w:val="24"/>
        </w:rPr>
      </w:pPr>
      <w:r w:rsidRPr="00507E68">
        <w:rPr>
          <w:rFonts w:ascii="Times New Roman" w:hAnsi="Times New Roman"/>
          <w:sz w:val="24"/>
          <w:szCs w:val="24"/>
        </w:rPr>
        <w:t xml:space="preserve">   </w:t>
      </w:r>
      <w:r w:rsidR="00CA1943">
        <w:rPr>
          <w:rFonts w:ascii="Times New Roman" w:hAnsi="Times New Roman"/>
          <w:sz w:val="24"/>
          <w:szCs w:val="24"/>
        </w:rPr>
        <w:tab/>
      </w:r>
      <w:r w:rsidRPr="00507E68">
        <w:rPr>
          <w:rFonts w:ascii="Times New Roman" w:hAnsi="Times New Roman"/>
          <w:noProof/>
          <w:sz w:val="24"/>
          <w:szCs w:val="24"/>
        </w:rPr>
        <w:t>Not applicable</w:t>
      </w:r>
      <w:r w:rsidR="0056605D">
        <w:rPr>
          <w:rFonts w:ascii="Times New Roman" w:hAnsi="Times New Roman"/>
          <w:noProof/>
          <w:sz w:val="24"/>
          <w:szCs w:val="24"/>
        </w:rPr>
        <w:t>.</w:t>
      </w:r>
    </w:p>
    <w:sectPr w:rsidSect="00A918E4">
      <w:footerReference w:type="default" r:id="rId11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223B7" w14:paraId="67F8709B" w14:textId="77777777">
      <w:pPr>
        <w:spacing w:line="20" w:lineRule="exact"/>
        <w:rPr>
          <w:sz w:val="24"/>
        </w:rPr>
      </w:pPr>
    </w:p>
  </w:endnote>
  <w:endnote w:type="continuationSeparator" w:id="1">
    <w:p w:rsidR="008223B7" w14:paraId="737D6294" w14:textId="77777777">
      <w:r>
        <w:rPr>
          <w:sz w:val="24"/>
        </w:rPr>
        <w:t xml:space="preserve"> </w:t>
      </w:r>
    </w:p>
  </w:endnote>
  <w:endnote w:type="continuationNotice" w:id="2">
    <w:p w:rsidR="008223B7" w14:paraId="0CC0E36D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0E932CB4" w14:textId="77777777">
    <w:pPr>
      <w:spacing w:before="140" w:line="100" w:lineRule="exact"/>
      <w:rPr>
        <w:sz w:val="10"/>
      </w:rPr>
    </w:pPr>
  </w:p>
  <w:p w:rsidR="00DC1C23" w14:paraId="3F26AF89" w14:textId="77777777">
    <w:pPr>
      <w:tabs>
        <w:tab w:val="left" w:pos="-720"/>
      </w:tabs>
      <w:suppressAutoHyphens/>
      <w:rPr>
        <w:sz w:val="24"/>
      </w:rPr>
    </w:pPr>
  </w:p>
  <w:p w:rsidR="00DC1C23" w14:paraId="4A28F2CF" w14:textId="77777777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w:pict>
        <v:rect id="_x0000_s2049" style="width:465pt;height:12pt;margin-top:12pt;margin-left:1.5pt;mso-position-horizontal-relative:margin;position:absolute;z-index:-251658240" o:allowincell="f" filled="f" stroked="f">
          <v:textbox inset="0,0,0,0">
            <w:txbxContent>
              <w:p w:rsidR="00DC1C23" w14:paraId="089A9535" w14:textId="77777777">
                <w:pPr>
                  <w:tabs>
                    <w:tab w:val="center" w:pos="4650"/>
                  </w:tabs>
                  <w:suppressAutoHyphens/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ab/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>page \* arabic</w:instrText>
                </w:r>
                <w:r>
                  <w:rPr>
                    <w:sz w:val="24"/>
                  </w:rPr>
                  <w:fldChar w:fldCharType="separate"/>
                </w:r>
                <w:r w:rsidR="00F16AF9"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223B7" w14:paraId="3509BE9A" w14:textId="77777777">
      <w:r>
        <w:rPr>
          <w:sz w:val="24"/>
        </w:rPr>
        <w:separator/>
      </w:r>
    </w:p>
  </w:footnote>
  <w:footnote w:type="continuationSeparator" w:id="1">
    <w:p w:rsidR="008223B7" w14:paraId="6238AFE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510B"/>
    <w:multiLevelType w:val="multilevel"/>
    <w:tmpl w:val="91DA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A35B6"/>
    <w:multiLevelType w:val="hybridMultilevel"/>
    <w:tmpl w:val="DBA264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61744">
    <w:abstractNumId w:val="2"/>
  </w:num>
  <w:num w:numId="2" w16cid:durableId="1534730163">
    <w:abstractNumId w:val="3"/>
  </w:num>
  <w:num w:numId="3" w16cid:durableId="835191851">
    <w:abstractNumId w:val="4"/>
  </w:num>
  <w:num w:numId="4" w16cid:durableId="347028859">
    <w:abstractNumId w:val="1"/>
  </w:num>
  <w:num w:numId="5" w16cid:durableId="1675375466">
    <w:abstractNumId w:val="0"/>
  </w:num>
  <w:num w:numId="6" w16cid:durableId="1173643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C23"/>
    <w:rsid w:val="00025DF6"/>
    <w:rsid w:val="00030F67"/>
    <w:rsid w:val="00043C88"/>
    <w:rsid w:val="00045E74"/>
    <w:rsid w:val="00051DA0"/>
    <w:rsid w:val="00063052"/>
    <w:rsid w:val="00065647"/>
    <w:rsid w:val="00075962"/>
    <w:rsid w:val="000852BD"/>
    <w:rsid w:val="000A0FEE"/>
    <w:rsid w:val="000A1718"/>
    <w:rsid w:val="000A3107"/>
    <w:rsid w:val="000E1C7F"/>
    <w:rsid w:val="00105B67"/>
    <w:rsid w:val="00110ED4"/>
    <w:rsid w:val="0014145B"/>
    <w:rsid w:val="00160621"/>
    <w:rsid w:val="00182C28"/>
    <w:rsid w:val="00186385"/>
    <w:rsid w:val="001A2B28"/>
    <w:rsid w:val="001B3CD6"/>
    <w:rsid w:val="001C377E"/>
    <w:rsid w:val="001C483C"/>
    <w:rsid w:val="001E5749"/>
    <w:rsid w:val="001E6F4C"/>
    <w:rsid w:val="00207578"/>
    <w:rsid w:val="00217C86"/>
    <w:rsid w:val="002244C6"/>
    <w:rsid w:val="00234235"/>
    <w:rsid w:val="00293110"/>
    <w:rsid w:val="0029589B"/>
    <w:rsid w:val="00296738"/>
    <w:rsid w:val="002C089F"/>
    <w:rsid w:val="002C3C4F"/>
    <w:rsid w:val="002C54BD"/>
    <w:rsid w:val="002D7ABD"/>
    <w:rsid w:val="002E10D1"/>
    <w:rsid w:val="002E6F03"/>
    <w:rsid w:val="003002F6"/>
    <w:rsid w:val="00327C13"/>
    <w:rsid w:val="003405A4"/>
    <w:rsid w:val="003B61BA"/>
    <w:rsid w:val="003C1AB6"/>
    <w:rsid w:val="003E6EA3"/>
    <w:rsid w:val="00415ABD"/>
    <w:rsid w:val="00422A56"/>
    <w:rsid w:val="0042571A"/>
    <w:rsid w:val="00454F0A"/>
    <w:rsid w:val="00467954"/>
    <w:rsid w:val="00476C1F"/>
    <w:rsid w:val="00480072"/>
    <w:rsid w:val="0049119A"/>
    <w:rsid w:val="004943E0"/>
    <w:rsid w:val="004D27AE"/>
    <w:rsid w:val="004D59FE"/>
    <w:rsid w:val="004E72D1"/>
    <w:rsid w:val="004F7B95"/>
    <w:rsid w:val="00507E68"/>
    <w:rsid w:val="005129AD"/>
    <w:rsid w:val="00526BF1"/>
    <w:rsid w:val="0056605D"/>
    <w:rsid w:val="005824BD"/>
    <w:rsid w:val="00585AE8"/>
    <w:rsid w:val="005B22D4"/>
    <w:rsid w:val="005B7460"/>
    <w:rsid w:val="005C60F1"/>
    <w:rsid w:val="005D1090"/>
    <w:rsid w:val="005D274E"/>
    <w:rsid w:val="005D61DB"/>
    <w:rsid w:val="005F0ED4"/>
    <w:rsid w:val="00603498"/>
    <w:rsid w:val="00640565"/>
    <w:rsid w:val="00651487"/>
    <w:rsid w:val="00676BFF"/>
    <w:rsid w:val="00692BF8"/>
    <w:rsid w:val="00693C48"/>
    <w:rsid w:val="006B2726"/>
    <w:rsid w:val="006E6629"/>
    <w:rsid w:val="006F68BE"/>
    <w:rsid w:val="00707712"/>
    <w:rsid w:val="007806A9"/>
    <w:rsid w:val="007900A3"/>
    <w:rsid w:val="007B4FAD"/>
    <w:rsid w:val="007D3169"/>
    <w:rsid w:val="008223B7"/>
    <w:rsid w:val="008326A3"/>
    <w:rsid w:val="00836624"/>
    <w:rsid w:val="00841BDF"/>
    <w:rsid w:val="00844E15"/>
    <w:rsid w:val="00846E18"/>
    <w:rsid w:val="0085527D"/>
    <w:rsid w:val="008B3BD1"/>
    <w:rsid w:val="008E1FDA"/>
    <w:rsid w:val="0093641E"/>
    <w:rsid w:val="00936A53"/>
    <w:rsid w:val="00945B72"/>
    <w:rsid w:val="00962028"/>
    <w:rsid w:val="00977C8F"/>
    <w:rsid w:val="00A02F17"/>
    <w:rsid w:val="00A24FBF"/>
    <w:rsid w:val="00A33FDC"/>
    <w:rsid w:val="00A405B0"/>
    <w:rsid w:val="00A40CDC"/>
    <w:rsid w:val="00A511E4"/>
    <w:rsid w:val="00A77373"/>
    <w:rsid w:val="00A774E9"/>
    <w:rsid w:val="00A77AC0"/>
    <w:rsid w:val="00A83147"/>
    <w:rsid w:val="00A918E4"/>
    <w:rsid w:val="00AB327A"/>
    <w:rsid w:val="00AB5A73"/>
    <w:rsid w:val="00AC0BD4"/>
    <w:rsid w:val="00AF4347"/>
    <w:rsid w:val="00AF5FE7"/>
    <w:rsid w:val="00B0349C"/>
    <w:rsid w:val="00B27AF5"/>
    <w:rsid w:val="00B774D2"/>
    <w:rsid w:val="00BB4059"/>
    <w:rsid w:val="00BD378C"/>
    <w:rsid w:val="00C13BA6"/>
    <w:rsid w:val="00C15E55"/>
    <w:rsid w:val="00C378B9"/>
    <w:rsid w:val="00C37B58"/>
    <w:rsid w:val="00C46342"/>
    <w:rsid w:val="00C46E34"/>
    <w:rsid w:val="00C63867"/>
    <w:rsid w:val="00C91A7D"/>
    <w:rsid w:val="00CA0EAB"/>
    <w:rsid w:val="00CA1001"/>
    <w:rsid w:val="00CA1943"/>
    <w:rsid w:val="00CC3F27"/>
    <w:rsid w:val="00CE53AB"/>
    <w:rsid w:val="00CE6330"/>
    <w:rsid w:val="00CF4F74"/>
    <w:rsid w:val="00CF58C7"/>
    <w:rsid w:val="00D03C86"/>
    <w:rsid w:val="00D176EB"/>
    <w:rsid w:val="00D26AE5"/>
    <w:rsid w:val="00D34327"/>
    <w:rsid w:val="00D469F5"/>
    <w:rsid w:val="00D70539"/>
    <w:rsid w:val="00D719C5"/>
    <w:rsid w:val="00D8276D"/>
    <w:rsid w:val="00D962AB"/>
    <w:rsid w:val="00D9648C"/>
    <w:rsid w:val="00DA5466"/>
    <w:rsid w:val="00DA7CE4"/>
    <w:rsid w:val="00DC1C23"/>
    <w:rsid w:val="00F10B17"/>
    <w:rsid w:val="00F16AF9"/>
    <w:rsid w:val="00F47B41"/>
    <w:rsid w:val="00F93143"/>
    <w:rsid w:val="00FA3E44"/>
    <w:rsid w:val="00FA5092"/>
    <w:rsid w:val="00FE49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3ADDA3"/>
  <w15:chartTrackingRefBased/>
  <w15:docId w15:val="{48275333-602E-4F1D-B90D-DB9549AD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3C1A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AB6"/>
  </w:style>
  <w:style w:type="character" w:customStyle="1" w:styleId="CommentTextChar">
    <w:name w:val="Comment Text Char"/>
    <w:link w:val="CommentText"/>
    <w:rsid w:val="003C1AB6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C1AB6"/>
    <w:rPr>
      <w:b/>
      <w:bCs/>
    </w:rPr>
  </w:style>
  <w:style w:type="character" w:customStyle="1" w:styleId="CommentSubjectChar">
    <w:name w:val="Comment Subject Char"/>
    <w:link w:val="CommentSubject"/>
    <w:rsid w:val="003C1AB6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3C1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1AB6"/>
    <w:rPr>
      <w:rFonts w:ascii="Segoe UI" w:hAnsi="Segoe UI" w:cs="Segoe UI"/>
      <w:snapToGrid w:val="0"/>
      <w:sz w:val="18"/>
      <w:szCs w:val="18"/>
    </w:rPr>
  </w:style>
  <w:style w:type="paragraph" w:customStyle="1" w:styleId="ReportCover-Title">
    <w:name w:val="ReportCover-Title"/>
    <w:basedOn w:val="Normal"/>
    <w:rsid w:val="003C1AB6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3C1AB6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styleId="FollowedHyperlink">
    <w:name w:val="FollowedHyperlink"/>
    <w:rsid w:val="00207578"/>
    <w:rPr>
      <w:color w:val="954F72"/>
      <w:u w:val="single"/>
    </w:rPr>
  </w:style>
  <w:style w:type="paragraph" w:styleId="Revision">
    <w:name w:val="Revision"/>
    <w:hidden/>
    <w:uiPriority w:val="99"/>
    <w:semiHidden/>
    <w:rsid w:val="00DA5466"/>
    <w:rPr>
      <w:rFonts w:ascii="Courier New" w:hAnsi="Courier New"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70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data.bls.gov/oes/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Reinstatement without change of a previously approved collection</Request_x0020_Type>
    <Content_x0020_Changes xmlns="e059a2d5-a4f8-4fd8-b836-4c9cf26100e7">Yes - Minor Changes</Content_x0020_Changes>
    <OMB_x0020_Control_x0020_Number xmlns="e059a2d5-a4f8-4fd8-b836-4c9cf26100e7">0970-0248</OMB_x0020_Control_x0020_Number>
    <FR_x0020_Title xmlns="e059a2d5-a4f8-4fd8-b836-4c9cf26100e7" xsi:nil="true"/>
    <ACF_x0020_Tracking_x0020_No_x002e_ xmlns="e059a2d5-a4f8-4fd8-b836-4c9cf26100e7">OFA-0045</ACF_x0020_Tracking_x0020_No_x002e_>
    <Description0 xmlns="e059a2d5-a4f8-4fd8-b836-4c9cf26100e7">Supporting Statement 10/02/2014</Description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1cfa0b941736390d1cba958ea947847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60a940305807b9e331ab7124842678a8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4C325-5AB3-4CF5-B34C-170547BD458F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8D8B848D-1CD6-4901-9F36-5026ED139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3FDA5-F770-482E-97B5-F786822E4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A622F8-5435-487A-9539-17CC56C28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1248</Words>
  <Characters>6989</Characters>
  <Application>Microsoft Office Word</Application>
  <DocSecurity>0</DocSecurity>
  <Lines>225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ACF-204</vt:lpstr>
    </vt:vector>
  </TitlesOfParts>
  <Company>DHHS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ACF-204</dc:title>
  <dc:creator>ACF</dc:creator>
  <cp:lastModifiedBy>ACF PRA</cp:lastModifiedBy>
  <cp:revision>3</cp:revision>
  <cp:lastPrinted>2014-10-01T17:59:00Z</cp:lastPrinted>
  <dcterms:created xsi:type="dcterms:W3CDTF">2026-03-24T09:52:00Z</dcterms:created>
  <dcterms:modified xsi:type="dcterms:W3CDTF">2026-03-24T10:05:00Z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F Tracking No.">
    <vt:lpwstr>OFA-0045</vt:lpwstr>
  </property>
  <property fmtid="{D5CDD505-2E9C-101B-9397-08002B2CF9AE}" pid="3" name="Content Changes">
    <vt:lpwstr>Yes - Minor Changes</vt:lpwstr>
  </property>
  <property fmtid="{D5CDD505-2E9C-101B-9397-08002B2CF9AE}" pid="4" name="ContentType">
    <vt:lpwstr>Document</vt:lpwstr>
  </property>
  <property fmtid="{D5CDD505-2E9C-101B-9397-08002B2CF9AE}" pid="5" name="Description0">
    <vt:lpwstr>Supporting Statement 10/02/2014</vt:lpwstr>
  </property>
  <property fmtid="{D5CDD505-2E9C-101B-9397-08002B2CF9AE}" pid="6" name="FR Title">
    <vt:lpwstr/>
  </property>
  <property fmtid="{D5CDD505-2E9C-101B-9397-08002B2CF9AE}" pid="7" name="OMB Control Number">
    <vt:lpwstr>0970-0248</vt:lpwstr>
  </property>
  <property fmtid="{D5CDD505-2E9C-101B-9397-08002B2CF9AE}" pid="8" name="Request Type">
    <vt:lpwstr>Reinstatement without change of a previously approved collection</vt:lpwstr>
  </property>
</Properties>
</file>