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75719" w:rsidRPr="00BA58E2" w:rsidP="00273774" w14:paraId="1CC96FF2" w14:textId="77777777">
      <w:pPr>
        <w:pStyle w:val="Subtitle"/>
        <w:tabs>
          <w:tab w:val="left" w:pos="3195"/>
          <w:tab w:val="center" w:pos="4680"/>
        </w:tabs>
        <w:rPr>
          <w:rFonts w:ascii="Times New Roman" w:hAnsi="Times New Roman"/>
          <w:b/>
          <w:szCs w:val="24"/>
        </w:rPr>
      </w:pPr>
      <w:r w:rsidRPr="00BA58E2">
        <w:rPr>
          <w:rFonts w:ascii="Times New Roman" w:hAnsi="Times New Roman"/>
          <w:b/>
          <w:szCs w:val="24"/>
        </w:rPr>
        <w:t>Supporting Statement For</w:t>
      </w:r>
    </w:p>
    <w:p w:rsidR="00875719" w:rsidRPr="00BA58E2" w:rsidP="004A2673" w14:paraId="76D86895" w14:textId="77777777">
      <w:pPr>
        <w:tabs>
          <w:tab w:val="left" w:pos="0"/>
        </w:tabs>
        <w:jc w:val="center"/>
        <w:rPr>
          <w:b/>
          <w:sz w:val="24"/>
          <w:szCs w:val="24"/>
        </w:rPr>
      </w:pPr>
      <w:r w:rsidRPr="00BA58E2">
        <w:rPr>
          <w:b/>
          <w:sz w:val="24"/>
          <w:szCs w:val="24"/>
        </w:rPr>
        <w:t>Private Printing and Modification</w:t>
      </w:r>
      <w:r w:rsidRPr="00BA58E2" w:rsidR="004A2673">
        <w:rPr>
          <w:b/>
          <w:sz w:val="24"/>
          <w:szCs w:val="24"/>
        </w:rPr>
        <w:t xml:space="preserve"> </w:t>
      </w:r>
      <w:r w:rsidRPr="00BA58E2">
        <w:rPr>
          <w:b/>
          <w:sz w:val="24"/>
          <w:szCs w:val="24"/>
        </w:rPr>
        <w:t>of Prescribed Applications and Other Forms</w:t>
      </w:r>
    </w:p>
    <w:p w:rsidR="00875719" w:rsidRPr="00BA58E2" w:rsidP="00875719" w14:paraId="67311BE1" w14:textId="77777777">
      <w:pPr>
        <w:tabs>
          <w:tab w:val="left" w:pos="0"/>
        </w:tabs>
        <w:jc w:val="center"/>
        <w:rPr>
          <w:b/>
          <w:sz w:val="24"/>
          <w:szCs w:val="24"/>
        </w:rPr>
      </w:pPr>
      <w:r w:rsidRPr="00BA58E2">
        <w:rPr>
          <w:b/>
          <w:sz w:val="24"/>
          <w:szCs w:val="24"/>
        </w:rPr>
        <w:t>20 CFR 422.527</w:t>
      </w:r>
    </w:p>
    <w:p w:rsidR="00875719" w:rsidRPr="00BA58E2" w:rsidP="00AA0498" w14:paraId="62077B66" w14:textId="77777777">
      <w:pPr>
        <w:tabs>
          <w:tab w:val="left" w:pos="0"/>
        </w:tabs>
        <w:jc w:val="center"/>
        <w:rPr>
          <w:b/>
          <w:sz w:val="24"/>
          <w:szCs w:val="24"/>
        </w:rPr>
      </w:pPr>
      <w:r w:rsidRPr="00BA58E2">
        <w:rPr>
          <w:b/>
          <w:sz w:val="24"/>
          <w:szCs w:val="24"/>
        </w:rPr>
        <w:t>OMB No. 0960-0663</w:t>
      </w:r>
    </w:p>
    <w:p w:rsidR="006D3F9E" w:rsidRPr="00BA58E2" w:rsidP="00B805D5" w14:paraId="5415F123" w14:textId="77777777">
      <w:pPr>
        <w:tabs>
          <w:tab w:val="left" w:pos="0"/>
        </w:tabs>
        <w:rPr>
          <w:b/>
          <w:sz w:val="24"/>
          <w:szCs w:val="24"/>
        </w:rPr>
      </w:pPr>
    </w:p>
    <w:p w:rsidR="00875719" w:rsidRPr="00BA58E2" w:rsidP="00DE79A8" w14:paraId="68D0B9EF" w14:textId="77777777">
      <w:pPr>
        <w:numPr>
          <w:ilvl w:val="0"/>
          <w:numId w:val="4"/>
        </w:numPr>
        <w:ind w:hanging="540"/>
        <w:rPr>
          <w:b/>
          <w:sz w:val="24"/>
          <w:szCs w:val="24"/>
          <w:u w:val="single"/>
        </w:rPr>
      </w:pPr>
      <w:r w:rsidRPr="00BA58E2">
        <w:rPr>
          <w:b/>
          <w:sz w:val="24"/>
          <w:szCs w:val="24"/>
          <w:u w:val="single"/>
        </w:rPr>
        <w:t>Justification</w:t>
      </w:r>
    </w:p>
    <w:p w:rsidR="00875719" w:rsidRPr="00BA58E2" w:rsidP="00875719" w14:paraId="2A79E715" w14:textId="77777777">
      <w:pPr>
        <w:tabs>
          <w:tab w:val="left" w:pos="0"/>
        </w:tabs>
        <w:rPr>
          <w:sz w:val="24"/>
          <w:szCs w:val="24"/>
        </w:rPr>
      </w:pPr>
    </w:p>
    <w:p w:rsidR="00875719" w:rsidRPr="00BA58E2" w:rsidP="00DE79A8" w14:paraId="21A2E1A1" w14:textId="77777777">
      <w:pPr>
        <w:numPr>
          <w:ilvl w:val="0"/>
          <w:numId w:val="2"/>
        </w:numPr>
        <w:tabs>
          <w:tab w:val="clear" w:pos="720"/>
          <w:tab w:val="num" w:pos="1440"/>
        </w:tabs>
        <w:ind w:left="1440" w:hanging="720"/>
        <w:rPr>
          <w:b/>
          <w:sz w:val="24"/>
          <w:szCs w:val="24"/>
        </w:rPr>
      </w:pPr>
      <w:r w:rsidRPr="00BA58E2">
        <w:rPr>
          <w:b/>
          <w:sz w:val="24"/>
          <w:szCs w:val="24"/>
        </w:rPr>
        <w:t>Introduction/Authoring Laws and Regulation</w:t>
      </w:r>
    </w:p>
    <w:p w:rsidR="00875719" w:rsidRPr="00BA58E2" w:rsidP="00AA0498" w14:paraId="78EC6DFE" w14:textId="5388C0F0">
      <w:pPr>
        <w:tabs>
          <w:tab w:val="num" w:pos="1440"/>
        </w:tabs>
        <w:ind w:left="1440"/>
        <w:rPr>
          <w:sz w:val="24"/>
          <w:szCs w:val="24"/>
        </w:rPr>
      </w:pPr>
      <w:r w:rsidRPr="00BA58E2">
        <w:rPr>
          <w:sz w:val="24"/>
          <w:szCs w:val="24"/>
        </w:rPr>
        <w:t xml:space="preserve">Our regulation at </w:t>
      </w:r>
      <w:r w:rsidRPr="00BA58E2">
        <w:rPr>
          <w:i/>
          <w:sz w:val="24"/>
          <w:szCs w:val="24"/>
        </w:rPr>
        <w:t>20 CFR 422.527</w:t>
      </w:r>
      <w:r w:rsidRPr="00BA58E2">
        <w:rPr>
          <w:sz w:val="24"/>
          <w:szCs w:val="24"/>
        </w:rPr>
        <w:t xml:space="preserve"> of the </w:t>
      </w:r>
      <w:r w:rsidRPr="00BA58E2">
        <w:rPr>
          <w:i/>
          <w:sz w:val="24"/>
          <w:szCs w:val="24"/>
        </w:rPr>
        <w:t>Code of Federal Regulations</w:t>
      </w:r>
      <w:r w:rsidRPr="00BA58E2">
        <w:rPr>
          <w:sz w:val="24"/>
          <w:szCs w:val="24"/>
        </w:rPr>
        <w:t xml:space="preserve"> requires a person, institution, or organization (third party requesting entities) to obtain approval from the Social Security Administration (SSA) prior to reproducing, duplicating, or privately printing any application or other form prescribed by the agency.  We require such approval whether or not the requesting entity intends to charge a fee for SSA’s application(s) or other form(s).  </w:t>
      </w:r>
      <w:r w:rsidRPr="00BA58E2" w:rsidR="00151327">
        <w:rPr>
          <w:sz w:val="24"/>
          <w:szCs w:val="24"/>
        </w:rPr>
        <w:t xml:space="preserve">If the requesting enity does not intend to charge a fee, they do not require SSA’s authorization to reproduce forms.  SSA allows our publicly available forms to be reproduced </w:t>
      </w:r>
      <w:r>
        <w:rPr>
          <w:sz w:val="24"/>
          <w:szCs w:val="24"/>
        </w:rPr>
        <w:t xml:space="preserve">free of charge </w:t>
      </w:r>
      <w:r w:rsidRPr="00BA58E2" w:rsidR="00151327">
        <w:rPr>
          <w:sz w:val="24"/>
          <w:szCs w:val="24"/>
        </w:rPr>
        <w:t xml:space="preserve">by anybody.  </w:t>
      </w:r>
      <w:r w:rsidRPr="00BA58E2">
        <w:rPr>
          <w:sz w:val="24"/>
          <w:szCs w:val="24"/>
        </w:rPr>
        <w:t xml:space="preserve">Section </w:t>
      </w:r>
      <w:r w:rsidRPr="00BA58E2">
        <w:rPr>
          <w:i/>
          <w:sz w:val="24"/>
          <w:szCs w:val="24"/>
        </w:rPr>
        <w:t>1140(a)(2)(A)</w:t>
      </w:r>
      <w:r w:rsidRPr="00BA58E2">
        <w:rPr>
          <w:sz w:val="24"/>
          <w:szCs w:val="24"/>
        </w:rPr>
        <w:t xml:space="preserve"> of the </w:t>
      </w:r>
      <w:r w:rsidRPr="00BA58E2">
        <w:rPr>
          <w:i/>
          <w:sz w:val="24"/>
          <w:szCs w:val="24"/>
        </w:rPr>
        <w:t>Social Security Act</w:t>
      </w:r>
      <w:r w:rsidRPr="00BA58E2">
        <w:rPr>
          <w:sz w:val="24"/>
          <w:szCs w:val="24"/>
        </w:rPr>
        <w:t xml:space="preserve"> </w:t>
      </w:r>
      <w:r w:rsidRPr="00BA58E2">
        <w:rPr>
          <w:i/>
          <w:sz w:val="24"/>
          <w:szCs w:val="24"/>
        </w:rPr>
        <w:t>(Act)</w:t>
      </w:r>
      <w:r w:rsidRPr="00BA58E2">
        <w:rPr>
          <w:sz w:val="24"/>
          <w:szCs w:val="24"/>
        </w:rPr>
        <w:t xml:space="preserve"> prohibits requesting entities from charging a fee to reproduce, reprint, or distribute any SSA application, form, or publication unless they obtain the authorization of the Commissioner of Social Security in accordance with such regulations as </w:t>
      </w:r>
      <w:r w:rsidRPr="00BA58E2" w:rsidR="004A2673">
        <w:rPr>
          <w:sz w:val="24"/>
          <w:szCs w:val="24"/>
        </w:rPr>
        <w:t>the Commissioner</w:t>
      </w:r>
      <w:r w:rsidRPr="00BA58E2" w:rsidR="00F40D30">
        <w:rPr>
          <w:sz w:val="24"/>
          <w:szCs w:val="24"/>
        </w:rPr>
        <w:t xml:space="preserve"> may prescrib</w:t>
      </w:r>
      <w:r w:rsidR="00C70D86">
        <w:rPr>
          <w:sz w:val="24"/>
          <w:szCs w:val="24"/>
        </w:rPr>
        <w:t xml:space="preserve">e under </w:t>
      </w:r>
      <w:r w:rsidRPr="00BA58E2">
        <w:rPr>
          <w:i/>
          <w:sz w:val="24"/>
          <w:szCs w:val="24"/>
        </w:rPr>
        <w:t xml:space="preserve">42 USC 1320b-10(a)(2)(A) </w:t>
      </w:r>
      <w:r w:rsidRPr="00BA58E2">
        <w:rPr>
          <w:iCs/>
          <w:sz w:val="24"/>
          <w:szCs w:val="24"/>
        </w:rPr>
        <w:t>of the</w:t>
      </w:r>
      <w:r w:rsidRPr="00BA58E2">
        <w:rPr>
          <w:i/>
          <w:sz w:val="24"/>
          <w:szCs w:val="24"/>
        </w:rPr>
        <w:t xml:space="preserve"> United States Code</w:t>
      </w:r>
      <w:r w:rsidRPr="00BA58E2">
        <w:rPr>
          <w:sz w:val="24"/>
          <w:szCs w:val="24"/>
        </w:rPr>
        <w:t xml:space="preserve">.  This rule implements </w:t>
      </w:r>
      <w:r w:rsidRPr="00BA58E2" w:rsidR="007F3223">
        <w:rPr>
          <w:sz w:val="24"/>
          <w:szCs w:val="24"/>
        </w:rPr>
        <w:t>S</w:t>
      </w:r>
      <w:r w:rsidRPr="00BA58E2">
        <w:rPr>
          <w:sz w:val="24"/>
          <w:szCs w:val="24"/>
        </w:rPr>
        <w:t xml:space="preserve">ection </w:t>
      </w:r>
      <w:r w:rsidRPr="00BA58E2">
        <w:rPr>
          <w:i/>
          <w:sz w:val="24"/>
          <w:szCs w:val="24"/>
        </w:rPr>
        <w:t>1140(a)(2)(A)</w:t>
      </w:r>
      <w:r w:rsidRPr="00BA58E2">
        <w:rPr>
          <w:sz w:val="24"/>
          <w:szCs w:val="24"/>
        </w:rPr>
        <w:t xml:space="preserve"> of the </w:t>
      </w:r>
      <w:r w:rsidRPr="00BA58E2">
        <w:rPr>
          <w:i/>
          <w:sz w:val="24"/>
          <w:szCs w:val="24"/>
        </w:rPr>
        <w:t>Act</w:t>
      </w:r>
      <w:r w:rsidRPr="00BA58E2">
        <w:rPr>
          <w:sz w:val="24"/>
          <w:szCs w:val="24"/>
        </w:rPr>
        <w:t xml:space="preserve"> by adding SSA’s</w:t>
      </w:r>
      <w:r w:rsidRPr="00BA58E2" w:rsidR="00F2304D">
        <w:rPr>
          <w:sz w:val="24"/>
          <w:szCs w:val="24"/>
        </w:rPr>
        <w:t xml:space="preserve"> </w:t>
      </w:r>
      <w:r w:rsidRPr="00BA58E2">
        <w:rPr>
          <w:sz w:val="24"/>
          <w:szCs w:val="24"/>
        </w:rPr>
        <w:t xml:space="preserve">publications to the pre-authorization requirement identified in </w:t>
      </w:r>
      <w:r w:rsidRPr="00BA58E2">
        <w:rPr>
          <w:i/>
          <w:sz w:val="24"/>
          <w:szCs w:val="24"/>
        </w:rPr>
        <w:t>20</w:t>
      </w:r>
      <w:r w:rsidR="00C70D86">
        <w:rPr>
          <w:i/>
          <w:sz w:val="24"/>
          <w:szCs w:val="24"/>
        </w:rPr>
        <w:t> </w:t>
      </w:r>
      <w:r w:rsidRPr="00BA58E2">
        <w:rPr>
          <w:i/>
          <w:sz w:val="24"/>
          <w:szCs w:val="24"/>
        </w:rPr>
        <w:t>CFR 422.527</w:t>
      </w:r>
      <w:r w:rsidRPr="00BA58E2" w:rsidR="0076720B">
        <w:rPr>
          <w:sz w:val="24"/>
          <w:szCs w:val="24"/>
        </w:rPr>
        <w:t xml:space="preserve">, </w:t>
      </w:r>
      <w:r w:rsidRPr="00BA58E2">
        <w:rPr>
          <w:sz w:val="24"/>
          <w:szCs w:val="24"/>
        </w:rPr>
        <w:t>and by establishing that requesting entities only require SSA’s authorization when they intend to charge a fee.  The rule also prescribes the procedures requesting entities who intend to charge a fee must follow to obtain SSA’s written authorization pr</w:t>
      </w:r>
      <w:r w:rsidRPr="00BA58E2" w:rsidR="00337CB6">
        <w:rPr>
          <w:sz w:val="24"/>
          <w:szCs w:val="24"/>
        </w:rPr>
        <w:t xml:space="preserve">ior to reproducing, reprinting, </w:t>
      </w:r>
      <w:r w:rsidRPr="00BA58E2">
        <w:rPr>
          <w:sz w:val="24"/>
          <w:szCs w:val="24"/>
        </w:rPr>
        <w:t>or distributing SSA’s applications, forms, or publications.</w:t>
      </w:r>
    </w:p>
    <w:p w:rsidR="00875719" w:rsidRPr="00BA58E2" w:rsidP="00DE79A8" w14:paraId="21449805" w14:textId="77777777">
      <w:pPr>
        <w:tabs>
          <w:tab w:val="num" w:pos="1440"/>
        </w:tabs>
        <w:ind w:left="1440"/>
        <w:rPr>
          <w:sz w:val="24"/>
          <w:szCs w:val="24"/>
        </w:rPr>
      </w:pPr>
      <w:r w:rsidRPr="00BA58E2">
        <w:rPr>
          <w:sz w:val="24"/>
          <w:szCs w:val="24"/>
        </w:rPr>
        <w:t xml:space="preserve"> </w:t>
      </w:r>
    </w:p>
    <w:p w:rsidR="00875719" w:rsidRPr="00BA58E2" w:rsidP="00DE79A8" w14:paraId="5F88C8AA" w14:textId="77777777">
      <w:pPr>
        <w:numPr>
          <w:ilvl w:val="0"/>
          <w:numId w:val="2"/>
        </w:numPr>
        <w:tabs>
          <w:tab w:val="clear" w:pos="720"/>
          <w:tab w:val="num" w:pos="1440"/>
        </w:tabs>
        <w:ind w:left="1440" w:hanging="720"/>
        <w:rPr>
          <w:b/>
          <w:sz w:val="24"/>
          <w:szCs w:val="24"/>
        </w:rPr>
      </w:pPr>
      <w:r w:rsidRPr="00BA58E2">
        <w:rPr>
          <w:b/>
          <w:sz w:val="24"/>
          <w:szCs w:val="24"/>
        </w:rPr>
        <w:t>Description of Collection</w:t>
      </w:r>
    </w:p>
    <w:p w:rsidR="00EC4A86" w:rsidRPr="00BA58E2" w:rsidP="00C70D86" w14:paraId="7C401EDD" w14:textId="26115E8F">
      <w:pPr>
        <w:pStyle w:val="CommentText"/>
        <w:spacing w:before="24" w:after="24"/>
        <w:ind w:left="1440"/>
        <w:rPr>
          <w:color w:val="212121"/>
          <w:sz w:val="24"/>
          <w:szCs w:val="24"/>
        </w:rPr>
      </w:pPr>
      <w:r w:rsidRPr="00BA58E2">
        <w:rPr>
          <w:color w:val="212121"/>
          <w:spacing w:val="3"/>
          <w:sz w:val="24"/>
          <w:szCs w:val="24"/>
          <w:shd w:val="clear" w:color="auto" w:fill="FFFFFF"/>
        </w:rPr>
        <w:t xml:space="preserve">If a third party organization outside SSA would like to reproduce a form or publication and charge a fee to customers for the reproduction, the organization must receive prior written approval from SSA.  </w:t>
      </w:r>
      <w:r w:rsidRPr="00BA58E2" w:rsidR="00F60B35">
        <w:rPr>
          <w:color w:val="212121"/>
          <w:spacing w:val="3"/>
          <w:sz w:val="24"/>
          <w:szCs w:val="24"/>
          <w:shd w:val="clear" w:color="auto" w:fill="FFFFFF"/>
        </w:rPr>
        <w:t>The respondent can find the requirements, and instructions to rep</w:t>
      </w:r>
      <w:r w:rsidRPr="00BA58E2">
        <w:rPr>
          <w:color w:val="212121"/>
          <w:spacing w:val="3"/>
          <w:sz w:val="24"/>
          <w:szCs w:val="24"/>
          <w:shd w:val="clear" w:color="auto" w:fill="FFFFFF"/>
        </w:rPr>
        <w:t xml:space="preserve">roduce SSA’s </w:t>
      </w:r>
      <w:r w:rsidRPr="00BA58E2" w:rsidR="00F60B35">
        <w:rPr>
          <w:color w:val="212121"/>
          <w:spacing w:val="3"/>
          <w:sz w:val="24"/>
          <w:szCs w:val="24"/>
          <w:shd w:val="clear" w:color="auto" w:fill="FFFFFF"/>
        </w:rPr>
        <w:t>form</w:t>
      </w:r>
      <w:r w:rsidRPr="00BA58E2">
        <w:rPr>
          <w:color w:val="212121"/>
          <w:spacing w:val="3"/>
          <w:sz w:val="24"/>
          <w:szCs w:val="24"/>
          <w:shd w:val="clear" w:color="auto" w:fill="FFFFFF"/>
        </w:rPr>
        <w:t>s</w:t>
      </w:r>
      <w:r w:rsidRPr="00BA58E2" w:rsidR="00F60B35">
        <w:rPr>
          <w:color w:val="212121"/>
          <w:spacing w:val="3"/>
          <w:sz w:val="24"/>
          <w:szCs w:val="24"/>
          <w:shd w:val="clear" w:color="auto" w:fill="FFFFFF"/>
        </w:rPr>
        <w:t>, or publ</w:t>
      </w:r>
      <w:r w:rsidRPr="00BA58E2">
        <w:rPr>
          <w:color w:val="212121"/>
          <w:spacing w:val="3"/>
          <w:sz w:val="24"/>
          <w:szCs w:val="24"/>
          <w:shd w:val="clear" w:color="auto" w:fill="FFFFFF"/>
        </w:rPr>
        <w:t>ication</w:t>
      </w:r>
      <w:r w:rsidRPr="00BA58E2" w:rsidR="00F60B35">
        <w:rPr>
          <w:color w:val="212121"/>
          <w:spacing w:val="3"/>
          <w:sz w:val="24"/>
          <w:szCs w:val="24"/>
          <w:shd w:val="clear" w:color="auto" w:fill="FFFFFF"/>
        </w:rPr>
        <w:t xml:space="preserve"> and charge a fee to customers on SSA’s website at </w:t>
      </w:r>
      <w:hyperlink r:id="rId5" w:history="1">
        <w:r w:rsidRPr="00BA58E2" w:rsidR="00F60B35">
          <w:rPr>
            <w:rStyle w:val="Hyperlink"/>
            <w:sz w:val="24"/>
            <w:szCs w:val="24"/>
          </w:rPr>
          <w:t>www.ssa.gov/online/thirdpartyforms.html</w:t>
        </w:r>
      </w:hyperlink>
      <w:r w:rsidRPr="00BA58E2" w:rsidR="00C30514">
        <w:rPr>
          <w:color w:val="FF0000"/>
          <w:sz w:val="24"/>
          <w:szCs w:val="24"/>
        </w:rPr>
        <w:t>.</w:t>
      </w:r>
    </w:p>
    <w:p w:rsidR="00C30514" w:rsidRPr="00BA58E2" w:rsidP="00304CCB" w14:paraId="5AFB6FB7" w14:textId="6E105034">
      <w:pPr>
        <w:pStyle w:val="NormalWeb"/>
        <w:shd w:val="clear" w:color="auto" w:fill="FFFFFF"/>
        <w:ind w:left="1440"/>
        <w:rPr>
          <w:color w:val="212121"/>
          <w:spacing w:val="3"/>
        </w:rPr>
      </w:pPr>
      <w:r w:rsidRPr="00BA58E2">
        <w:rPr>
          <w:color w:val="212121"/>
          <w:spacing w:val="3"/>
        </w:rPr>
        <w:t xml:space="preserve">To obtain SSA’s approval, the third-party organization </w:t>
      </w:r>
      <w:r w:rsidR="00304CCB">
        <w:rPr>
          <w:color w:val="212121"/>
          <w:spacing w:val="3"/>
        </w:rPr>
        <w:t>mails SSA’s</w:t>
      </w:r>
      <w:r w:rsidR="00BA58E2">
        <w:rPr>
          <w:color w:val="212121"/>
          <w:spacing w:val="3"/>
        </w:rPr>
        <w:t xml:space="preserve"> Office of Media and Logistics Management Forms Policy and Design Team,</w:t>
      </w:r>
      <w:r w:rsidR="00304CCB">
        <w:rPr>
          <w:color w:val="212121"/>
          <w:spacing w:val="3"/>
        </w:rPr>
        <w:t xml:space="preserve"> or emails </w:t>
      </w:r>
      <w:r w:rsidRPr="002F56D7" w:rsidR="002F56D7">
        <w:t>^FM OFSM CPM Third Party Approval</w:t>
      </w:r>
      <w:r w:rsidR="002F56D7">
        <w:t xml:space="preserve"> </w:t>
      </w:r>
      <w:r w:rsidRPr="002F56D7" w:rsidR="002F56D7">
        <w:t>&lt;FM.OFSM.CPM.Third.Party.Approval@ssa.gov&gt;</w:t>
      </w:r>
      <w:r w:rsidRPr="00BA58E2">
        <w:rPr>
          <w:color w:val="212121"/>
          <w:spacing w:val="3"/>
        </w:rPr>
        <w:t xml:space="preserve"> the following information to SSA on company letterhead.</w:t>
      </w:r>
    </w:p>
    <w:p w:rsidR="00C30514" w:rsidRPr="00BA58E2" w:rsidP="00C30514" w14:paraId="7AF9ABD3" w14:textId="77777777">
      <w:pPr>
        <w:numPr>
          <w:ilvl w:val="0"/>
          <w:numId w:val="11"/>
        </w:numPr>
        <w:shd w:val="clear" w:color="auto" w:fill="FFFFFF"/>
        <w:spacing w:before="100" w:beforeAutospacing="1" w:after="100" w:afterAutospacing="1"/>
        <w:rPr>
          <w:noProof w:val="0"/>
          <w:color w:val="212121"/>
          <w:spacing w:val="3"/>
          <w:sz w:val="24"/>
          <w:szCs w:val="24"/>
        </w:rPr>
      </w:pPr>
      <w:r w:rsidRPr="00BA58E2">
        <w:rPr>
          <w:noProof w:val="0"/>
          <w:color w:val="212121"/>
          <w:spacing w:val="3"/>
          <w:sz w:val="24"/>
          <w:szCs w:val="24"/>
        </w:rPr>
        <w:t>The title and form number to be reproduced;</w:t>
      </w:r>
    </w:p>
    <w:p w:rsidR="00C30514" w:rsidRPr="00BA58E2" w:rsidP="00C30514" w14:paraId="5741B084" w14:textId="77777777">
      <w:pPr>
        <w:numPr>
          <w:ilvl w:val="0"/>
          <w:numId w:val="11"/>
        </w:numPr>
        <w:shd w:val="clear" w:color="auto" w:fill="FFFFFF"/>
        <w:spacing w:before="100" w:beforeAutospacing="1" w:after="100" w:afterAutospacing="1"/>
        <w:rPr>
          <w:noProof w:val="0"/>
          <w:color w:val="212121"/>
          <w:spacing w:val="3"/>
          <w:sz w:val="24"/>
          <w:szCs w:val="24"/>
        </w:rPr>
      </w:pPr>
      <w:r w:rsidRPr="00BA58E2">
        <w:rPr>
          <w:noProof w:val="0"/>
          <w:color w:val="212121"/>
          <w:spacing w:val="3"/>
          <w:sz w:val="24"/>
          <w:szCs w:val="24"/>
        </w:rPr>
        <w:t>A summary of how the reproduced form will be used by the requesting organization;</w:t>
      </w:r>
    </w:p>
    <w:p w:rsidR="00C30514" w:rsidRPr="00BA58E2" w:rsidP="00C30514" w14:paraId="0E1DA354" w14:textId="77777777">
      <w:pPr>
        <w:numPr>
          <w:ilvl w:val="0"/>
          <w:numId w:val="11"/>
        </w:numPr>
        <w:shd w:val="clear" w:color="auto" w:fill="FFFFFF"/>
        <w:spacing w:before="100" w:beforeAutospacing="1" w:after="100" w:afterAutospacing="1"/>
        <w:rPr>
          <w:noProof w:val="0"/>
          <w:color w:val="212121"/>
          <w:spacing w:val="3"/>
          <w:sz w:val="24"/>
          <w:szCs w:val="24"/>
        </w:rPr>
      </w:pPr>
      <w:r w:rsidRPr="00BA58E2">
        <w:rPr>
          <w:noProof w:val="0"/>
          <w:color w:val="212121"/>
          <w:spacing w:val="3"/>
          <w:sz w:val="24"/>
          <w:szCs w:val="24"/>
        </w:rPr>
        <w:t>The services that the customer is receiving from the organization;</w:t>
      </w:r>
    </w:p>
    <w:p w:rsidR="00C30514" w:rsidRPr="00BA58E2" w:rsidP="00C30514" w14:paraId="220F8C28" w14:textId="77777777">
      <w:pPr>
        <w:numPr>
          <w:ilvl w:val="0"/>
          <w:numId w:val="11"/>
        </w:numPr>
        <w:shd w:val="clear" w:color="auto" w:fill="FFFFFF"/>
        <w:spacing w:before="100" w:beforeAutospacing="1" w:after="100" w:afterAutospacing="1"/>
        <w:rPr>
          <w:noProof w:val="0"/>
          <w:color w:val="212121"/>
          <w:spacing w:val="3"/>
          <w:sz w:val="24"/>
          <w:szCs w:val="24"/>
        </w:rPr>
      </w:pPr>
      <w:r w:rsidRPr="00BA58E2">
        <w:rPr>
          <w:noProof w:val="0"/>
          <w:color w:val="212121"/>
          <w:spacing w:val="3"/>
          <w:sz w:val="24"/>
          <w:szCs w:val="24"/>
        </w:rPr>
        <w:t>The requesting organization's name and corporate address;</w:t>
      </w:r>
    </w:p>
    <w:p w:rsidR="00C30514" w:rsidRPr="00BA58E2" w:rsidP="00C30514" w14:paraId="4980AEAD" w14:textId="77777777">
      <w:pPr>
        <w:numPr>
          <w:ilvl w:val="0"/>
          <w:numId w:val="11"/>
        </w:numPr>
        <w:shd w:val="clear" w:color="auto" w:fill="FFFFFF"/>
        <w:spacing w:before="100" w:beforeAutospacing="1" w:after="100" w:afterAutospacing="1"/>
        <w:rPr>
          <w:noProof w:val="0"/>
          <w:color w:val="212121"/>
          <w:spacing w:val="3"/>
          <w:sz w:val="24"/>
          <w:szCs w:val="24"/>
        </w:rPr>
      </w:pPr>
      <w:r w:rsidRPr="00BA58E2">
        <w:rPr>
          <w:noProof w:val="0"/>
          <w:color w:val="212121"/>
          <w:spacing w:val="3"/>
          <w:sz w:val="24"/>
          <w:szCs w:val="24"/>
        </w:rPr>
        <w:t>The requesting individual's name and address;</w:t>
      </w:r>
    </w:p>
    <w:p w:rsidR="00C30514" w:rsidRPr="00BA58E2" w:rsidP="00C30514" w14:paraId="68B9FC03" w14:textId="77777777">
      <w:pPr>
        <w:numPr>
          <w:ilvl w:val="0"/>
          <w:numId w:val="11"/>
        </w:numPr>
        <w:shd w:val="clear" w:color="auto" w:fill="FFFFFF"/>
        <w:spacing w:before="100" w:beforeAutospacing="1" w:after="100" w:afterAutospacing="1"/>
        <w:rPr>
          <w:noProof w:val="0"/>
          <w:color w:val="212121"/>
          <w:spacing w:val="3"/>
          <w:sz w:val="24"/>
          <w:szCs w:val="24"/>
        </w:rPr>
      </w:pPr>
      <w:r w:rsidRPr="00BA58E2">
        <w:rPr>
          <w:noProof w:val="0"/>
          <w:color w:val="212121"/>
          <w:spacing w:val="3"/>
          <w:sz w:val="24"/>
          <w:szCs w:val="24"/>
        </w:rPr>
        <w:t>The requesting individual's area code and telephone number;</w:t>
      </w:r>
    </w:p>
    <w:p w:rsidR="00C30514" w:rsidRPr="00BA58E2" w:rsidP="00C30514" w14:paraId="4205DEC6" w14:textId="77777777">
      <w:pPr>
        <w:numPr>
          <w:ilvl w:val="0"/>
          <w:numId w:val="11"/>
        </w:numPr>
        <w:shd w:val="clear" w:color="auto" w:fill="FFFFFF"/>
        <w:spacing w:before="100" w:beforeAutospacing="1" w:after="100" w:afterAutospacing="1"/>
        <w:rPr>
          <w:noProof w:val="0"/>
          <w:color w:val="212121"/>
          <w:spacing w:val="3"/>
          <w:sz w:val="24"/>
          <w:szCs w:val="24"/>
        </w:rPr>
      </w:pPr>
      <w:r w:rsidRPr="00BA58E2">
        <w:rPr>
          <w:noProof w:val="0"/>
          <w:color w:val="212121"/>
          <w:spacing w:val="3"/>
          <w:sz w:val="24"/>
          <w:szCs w:val="24"/>
        </w:rPr>
        <w:t>A draft of the form to be reviewed; and</w:t>
      </w:r>
    </w:p>
    <w:p w:rsidR="00C30514" w:rsidRPr="00BA58E2" w:rsidP="00C30514" w14:paraId="76402A0B" w14:textId="77777777">
      <w:pPr>
        <w:numPr>
          <w:ilvl w:val="0"/>
          <w:numId w:val="11"/>
        </w:numPr>
        <w:shd w:val="clear" w:color="auto" w:fill="FFFFFF"/>
        <w:spacing w:before="100" w:beforeAutospacing="1" w:after="100" w:afterAutospacing="1"/>
        <w:rPr>
          <w:noProof w:val="0"/>
          <w:color w:val="212121"/>
          <w:spacing w:val="3"/>
          <w:sz w:val="24"/>
          <w:szCs w:val="24"/>
        </w:rPr>
      </w:pPr>
      <w:r w:rsidRPr="00BA58E2">
        <w:rPr>
          <w:noProof w:val="0"/>
          <w:color w:val="212121"/>
          <w:spacing w:val="3"/>
          <w:sz w:val="24"/>
          <w:szCs w:val="24"/>
        </w:rPr>
        <w:t>A description of how the organization intends to provide only the most up-to-date edition of the forms.</w:t>
      </w:r>
    </w:p>
    <w:p w:rsidR="003515BB" w:rsidRPr="00BA58E2" w:rsidP="003515BB" w14:paraId="1D86FB3A" w14:textId="78769174">
      <w:pPr>
        <w:ind w:left="1440"/>
        <w:rPr>
          <w:sz w:val="24"/>
          <w:szCs w:val="24"/>
        </w:rPr>
      </w:pPr>
      <w:r w:rsidRPr="00BA58E2">
        <w:rPr>
          <w:sz w:val="24"/>
          <w:szCs w:val="24"/>
        </w:rPr>
        <w:t>SSA uses the information to:</w:t>
      </w:r>
      <w:r w:rsidRPr="00BA58E2" w:rsidR="00637279">
        <w:rPr>
          <w:sz w:val="24"/>
          <w:szCs w:val="24"/>
        </w:rPr>
        <w:t xml:space="preserve">  </w:t>
      </w:r>
      <w:r w:rsidRPr="00BA58E2">
        <w:rPr>
          <w:sz w:val="24"/>
          <w:szCs w:val="24"/>
        </w:rPr>
        <w:t>(1) ensure requests comply with the law and regulations</w:t>
      </w:r>
      <w:r w:rsidRPr="00BA58E2" w:rsidR="00637279">
        <w:rPr>
          <w:sz w:val="24"/>
          <w:szCs w:val="24"/>
        </w:rPr>
        <w:t xml:space="preserve">; </w:t>
      </w:r>
      <w:r w:rsidRPr="00BA58E2">
        <w:rPr>
          <w:sz w:val="24"/>
          <w:szCs w:val="24"/>
        </w:rPr>
        <w:t xml:space="preserve">and (2) process requests from third-party entities who want to reproduce, duplicate, or privately print any SSA application or other SSA form.  SSA employees review the requests and provide approval via email or mail to the third-party entities. </w:t>
      </w:r>
      <w:r w:rsidRPr="00BA58E2" w:rsidR="00C77B0E">
        <w:rPr>
          <w:sz w:val="24"/>
          <w:szCs w:val="24"/>
        </w:rPr>
        <w:t xml:space="preserve"> If third parties are found making unauthorized copies of SSA forms SSA may impose a civial money penalty not to exceed $5,000, or $25,000 in the case of a viloation consiting of a broadcast to telecast.  On several occassions SSA’s has found found SSA’s forms posted online by companies charging a fee for access or reproducing forms as part of a workbook that is sold to clients.  In addition, on occassion SSA receives reports of forms being accepted at field offices without SSA’s code attached; typically, these are reported to us if there is a discrepancy </w:t>
      </w:r>
      <w:r>
        <w:rPr>
          <w:sz w:val="24"/>
          <w:szCs w:val="24"/>
        </w:rPr>
        <w:t>o</w:t>
      </w:r>
      <w:r w:rsidRPr="00BA58E2" w:rsidR="00C77B0E">
        <w:rPr>
          <w:sz w:val="24"/>
          <w:szCs w:val="24"/>
        </w:rPr>
        <w:t>n the form and we are asked to investigate.</w:t>
      </w:r>
      <w:r w:rsidRPr="00BA58E2" w:rsidR="000233BB">
        <w:rPr>
          <w:sz w:val="24"/>
          <w:szCs w:val="24"/>
        </w:rPr>
        <w:t xml:space="preserve">  SSA does not have a formal process in place to track non-complicance, because it is an infrequent occurrence.  In the event SSA finds out a third party made unahtorized copies, SSA issue</w:t>
      </w:r>
      <w:r>
        <w:rPr>
          <w:sz w:val="24"/>
          <w:szCs w:val="24"/>
        </w:rPr>
        <w:t>s</w:t>
      </w:r>
      <w:r w:rsidRPr="00BA58E2" w:rsidR="000233BB">
        <w:rPr>
          <w:sz w:val="24"/>
          <w:szCs w:val="24"/>
        </w:rPr>
        <w:t xml:space="preserve"> a certificate letter requesting the company to comply with the regulations outline on SSA’s website, or cease production of the form.  If we do not receive a response from the third party SSA esc</w:t>
      </w:r>
      <w:r>
        <w:rPr>
          <w:sz w:val="24"/>
          <w:szCs w:val="24"/>
        </w:rPr>
        <w:t>a</w:t>
      </w:r>
      <w:r w:rsidRPr="00BA58E2" w:rsidR="000233BB">
        <w:rPr>
          <w:sz w:val="24"/>
          <w:szCs w:val="24"/>
        </w:rPr>
        <w:t>late</w:t>
      </w:r>
      <w:r>
        <w:rPr>
          <w:sz w:val="24"/>
          <w:szCs w:val="24"/>
        </w:rPr>
        <w:t>s</w:t>
      </w:r>
      <w:r w:rsidRPr="00BA58E2" w:rsidR="000233BB">
        <w:rPr>
          <w:sz w:val="24"/>
          <w:szCs w:val="24"/>
        </w:rPr>
        <w:t xml:space="preserve"> the issue to the Office of Instector General</w:t>
      </w:r>
      <w:r w:rsidRPr="00BA58E2" w:rsidR="00C30514">
        <w:rPr>
          <w:sz w:val="24"/>
          <w:szCs w:val="24"/>
        </w:rPr>
        <w:t xml:space="preserve">.  </w:t>
      </w:r>
      <w:r w:rsidRPr="00BA58E2">
        <w:rPr>
          <w:sz w:val="24"/>
          <w:szCs w:val="24"/>
        </w:rPr>
        <w:t>The respondents are third-party entities who submit a request to SSA to reproduce, duplicate, or privately print an SSA-owned form.</w:t>
      </w:r>
    </w:p>
    <w:p w:rsidR="00875719" w:rsidRPr="00BA58E2" w:rsidP="00DE79A8" w14:paraId="5E608EE6" w14:textId="77777777">
      <w:pPr>
        <w:tabs>
          <w:tab w:val="left" w:pos="0"/>
          <w:tab w:val="num" w:pos="1440"/>
        </w:tabs>
        <w:ind w:left="1440"/>
        <w:rPr>
          <w:sz w:val="24"/>
          <w:szCs w:val="24"/>
        </w:rPr>
      </w:pPr>
    </w:p>
    <w:p w:rsidR="00875719" w:rsidRPr="00BA58E2" w:rsidP="00DE79A8" w14:paraId="3956FB8D" w14:textId="77777777">
      <w:pPr>
        <w:pStyle w:val="BodyTextIndent"/>
        <w:numPr>
          <w:ilvl w:val="0"/>
          <w:numId w:val="2"/>
        </w:numPr>
        <w:tabs>
          <w:tab w:val="clear" w:pos="720"/>
          <w:tab w:val="num" w:pos="1440"/>
        </w:tabs>
        <w:ind w:left="1440" w:hanging="720"/>
        <w:rPr>
          <w:rFonts w:ascii="Times New Roman" w:hAnsi="Times New Roman"/>
          <w:b/>
          <w:szCs w:val="24"/>
        </w:rPr>
      </w:pPr>
      <w:r w:rsidRPr="00BA58E2">
        <w:rPr>
          <w:rFonts w:ascii="Times New Roman" w:hAnsi="Times New Roman"/>
          <w:b/>
          <w:szCs w:val="24"/>
        </w:rPr>
        <w:t>Use of Information Technology to Collect the Information</w:t>
      </w:r>
    </w:p>
    <w:p w:rsidR="00F82CC6" w:rsidRPr="00BA58E2" w:rsidP="00F82CC6" w14:paraId="58FD1C93" w14:textId="1CDA890B">
      <w:pPr>
        <w:ind w:left="1440"/>
        <w:rPr>
          <w:sz w:val="24"/>
          <w:szCs w:val="24"/>
        </w:rPr>
      </w:pPr>
      <w:r w:rsidRPr="00BA58E2">
        <w:rPr>
          <w:sz w:val="24"/>
          <w:szCs w:val="24"/>
        </w:rPr>
        <w:t>S</w:t>
      </w:r>
      <w:r w:rsidRPr="00BA58E2" w:rsidR="00706816">
        <w:rPr>
          <w:sz w:val="24"/>
          <w:szCs w:val="24"/>
        </w:rPr>
        <w:t xml:space="preserve">ince SSA no longer supplies an application for this request, we explain the written requirements for this regulation on our website, </w:t>
      </w:r>
      <w:hyperlink r:id="rId5" w:history="1">
        <w:r w:rsidRPr="00BA58E2">
          <w:rPr>
            <w:rStyle w:val="Hyperlink"/>
            <w:sz w:val="24"/>
            <w:szCs w:val="24"/>
          </w:rPr>
          <w:t>www.ssa.gov/online/thirdpartyforms.html</w:t>
        </w:r>
      </w:hyperlink>
      <w:r w:rsidRPr="00BA58E2" w:rsidR="00706816">
        <w:rPr>
          <w:sz w:val="24"/>
          <w:szCs w:val="24"/>
        </w:rPr>
        <w:t>.  S</w:t>
      </w:r>
      <w:r w:rsidRPr="00BA58E2">
        <w:rPr>
          <w:sz w:val="24"/>
          <w:szCs w:val="24"/>
        </w:rPr>
        <w:t>SA accepts submissions via email, and many third party companies submit their request via email</w:t>
      </w:r>
      <w:r w:rsidRPr="00BA58E2" w:rsidR="0011649E">
        <w:rPr>
          <w:sz w:val="24"/>
          <w:szCs w:val="24"/>
        </w:rPr>
        <w:t xml:space="preserve"> to a control box,</w:t>
      </w:r>
      <w:r w:rsidRPr="00BA58E2">
        <w:rPr>
          <w:sz w:val="24"/>
          <w:szCs w:val="24"/>
        </w:rPr>
        <w:t xml:space="preserve"> rather than mail.   </w:t>
      </w:r>
      <w:r w:rsidRPr="00BA58E2" w:rsidR="005E0A61">
        <w:rPr>
          <w:sz w:val="24"/>
          <w:szCs w:val="24"/>
        </w:rPr>
        <w:t>Based</w:t>
      </w:r>
      <w:r w:rsidRPr="00BA58E2" w:rsidR="00B805D5">
        <w:rPr>
          <w:sz w:val="24"/>
          <w:szCs w:val="24"/>
        </w:rPr>
        <w:t xml:space="preserve"> on our </w:t>
      </w:r>
      <w:r>
        <w:rPr>
          <w:sz w:val="24"/>
          <w:szCs w:val="24"/>
        </w:rPr>
        <w:t xml:space="preserve">current </w:t>
      </w:r>
      <w:r w:rsidRPr="00BA58E2" w:rsidR="00B805D5">
        <w:rPr>
          <w:sz w:val="24"/>
          <w:szCs w:val="24"/>
        </w:rPr>
        <w:t>data, we estimate appro</w:t>
      </w:r>
      <w:r w:rsidRPr="00BA58E2" w:rsidR="005E0A61">
        <w:rPr>
          <w:sz w:val="24"/>
          <w:szCs w:val="24"/>
        </w:rPr>
        <w:t xml:space="preserve">ximately 100% of respondents under this OMB number </w:t>
      </w:r>
      <w:r w:rsidRPr="00BA58E2" w:rsidR="009D2198">
        <w:rPr>
          <w:sz w:val="24"/>
          <w:szCs w:val="24"/>
        </w:rPr>
        <w:t>submit their requests via</w:t>
      </w:r>
      <w:r w:rsidRPr="00BA58E2" w:rsidR="005E0A61">
        <w:rPr>
          <w:sz w:val="24"/>
          <w:szCs w:val="24"/>
        </w:rPr>
        <w:t xml:space="preserve"> email.</w:t>
      </w:r>
    </w:p>
    <w:p w:rsidR="00C30514" w:rsidRPr="00BA58E2" w:rsidP="00F82CC6" w14:paraId="05BC0251" w14:textId="77777777">
      <w:pPr>
        <w:ind w:left="1440"/>
        <w:rPr>
          <w:sz w:val="24"/>
          <w:szCs w:val="24"/>
        </w:rPr>
      </w:pPr>
    </w:p>
    <w:p w:rsidR="00875719" w:rsidRPr="00BA58E2" w:rsidP="00DE79A8" w14:paraId="43D8B2CE" w14:textId="77777777">
      <w:pPr>
        <w:numPr>
          <w:ilvl w:val="0"/>
          <w:numId w:val="2"/>
        </w:numPr>
        <w:tabs>
          <w:tab w:val="clear" w:pos="720"/>
          <w:tab w:val="num" w:pos="1440"/>
        </w:tabs>
        <w:ind w:left="1440" w:hanging="720"/>
        <w:rPr>
          <w:b/>
          <w:sz w:val="24"/>
          <w:szCs w:val="24"/>
        </w:rPr>
      </w:pPr>
      <w:r w:rsidRPr="00BA58E2">
        <w:rPr>
          <w:b/>
          <w:sz w:val="24"/>
          <w:szCs w:val="24"/>
        </w:rPr>
        <w:t>Why We Cannot Use Duplicate Information</w:t>
      </w:r>
    </w:p>
    <w:p w:rsidR="00875719" w:rsidP="00DE79A8" w14:paraId="6B5066DE" w14:textId="77777777">
      <w:pPr>
        <w:tabs>
          <w:tab w:val="num" w:pos="1440"/>
        </w:tabs>
        <w:ind w:left="1440"/>
        <w:rPr>
          <w:sz w:val="24"/>
          <w:szCs w:val="24"/>
        </w:rPr>
      </w:pPr>
      <w:r w:rsidRPr="00BA58E2">
        <w:rPr>
          <w:sz w:val="24"/>
          <w:szCs w:val="24"/>
        </w:rPr>
        <w:t xml:space="preserve">The nature of the information we </w:t>
      </w:r>
      <w:r w:rsidRPr="00BA58E2" w:rsidR="007F3223">
        <w:rPr>
          <w:sz w:val="24"/>
          <w:szCs w:val="24"/>
        </w:rPr>
        <w:t>c</w:t>
      </w:r>
      <w:r w:rsidRPr="00BA58E2">
        <w:rPr>
          <w:sz w:val="24"/>
          <w:szCs w:val="24"/>
        </w:rPr>
        <w:t>ollect</w:t>
      </w:r>
      <w:r w:rsidRPr="00BA58E2" w:rsidR="007F3223">
        <w:rPr>
          <w:sz w:val="24"/>
          <w:szCs w:val="24"/>
        </w:rPr>
        <w:t xml:space="preserve"> </w:t>
      </w:r>
      <w:r w:rsidRPr="00BA58E2">
        <w:rPr>
          <w:sz w:val="24"/>
          <w:szCs w:val="24"/>
        </w:rPr>
        <w:t>and the manner in which we colle</w:t>
      </w:r>
      <w:r w:rsidRPr="00BA58E2" w:rsidR="00183B7D">
        <w:rPr>
          <w:sz w:val="24"/>
          <w:szCs w:val="24"/>
        </w:rPr>
        <w:t>c</w:t>
      </w:r>
      <w:r w:rsidRPr="00BA58E2">
        <w:rPr>
          <w:sz w:val="24"/>
          <w:szCs w:val="24"/>
        </w:rPr>
        <w:t>t it preclude duplication.  SSA does not use another collection instrument to obtain similar data.</w:t>
      </w:r>
    </w:p>
    <w:p w:rsidR="007C1024" w:rsidP="00DE79A8" w14:paraId="557BAB32" w14:textId="77777777">
      <w:pPr>
        <w:tabs>
          <w:tab w:val="num" w:pos="1440"/>
        </w:tabs>
        <w:ind w:left="1440"/>
        <w:rPr>
          <w:sz w:val="24"/>
          <w:szCs w:val="24"/>
        </w:rPr>
      </w:pPr>
    </w:p>
    <w:p w:rsidR="007C1024" w:rsidRPr="00BA58E2" w:rsidP="00DE79A8" w14:paraId="77D627A7" w14:textId="77777777">
      <w:pPr>
        <w:tabs>
          <w:tab w:val="num" w:pos="1440"/>
        </w:tabs>
        <w:ind w:left="1440"/>
        <w:rPr>
          <w:sz w:val="24"/>
          <w:szCs w:val="24"/>
        </w:rPr>
      </w:pPr>
    </w:p>
    <w:p w:rsidR="00875719" w:rsidRPr="00BA58E2" w:rsidP="00DE79A8" w14:paraId="06875148" w14:textId="77777777">
      <w:pPr>
        <w:tabs>
          <w:tab w:val="num" w:pos="1440"/>
        </w:tabs>
        <w:ind w:left="1440"/>
        <w:rPr>
          <w:sz w:val="24"/>
          <w:szCs w:val="24"/>
        </w:rPr>
      </w:pPr>
    </w:p>
    <w:p w:rsidR="00875719" w:rsidRPr="007C1024" w:rsidP="007C1024" w14:paraId="1045E9BC" w14:textId="25C06102">
      <w:pPr>
        <w:numPr>
          <w:ilvl w:val="0"/>
          <w:numId w:val="2"/>
        </w:numPr>
        <w:tabs>
          <w:tab w:val="clear" w:pos="720"/>
          <w:tab w:val="num" w:pos="1440"/>
        </w:tabs>
        <w:ind w:left="1440" w:hanging="720"/>
        <w:rPr>
          <w:b/>
          <w:sz w:val="24"/>
          <w:szCs w:val="24"/>
        </w:rPr>
      </w:pPr>
      <w:r w:rsidRPr="007C1024">
        <w:rPr>
          <w:b/>
          <w:sz w:val="24"/>
          <w:szCs w:val="24"/>
        </w:rPr>
        <w:t>Minimizing Burden on Small Respondents</w:t>
      </w:r>
    </w:p>
    <w:p w:rsidR="00875719" w:rsidRPr="00BA58E2" w:rsidP="00DE79A8" w14:paraId="65249C13" w14:textId="77777777">
      <w:pPr>
        <w:tabs>
          <w:tab w:val="num" w:pos="1440"/>
        </w:tabs>
        <w:ind w:left="1440"/>
        <w:rPr>
          <w:sz w:val="24"/>
          <w:szCs w:val="24"/>
        </w:rPr>
      </w:pPr>
      <w:r w:rsidRPr="00BA58E2">
        <w:rPr>
          <w:sz w:val="24"/>
          <w:szCs w:val="24"/>
        </w:rPr>
        <w:t>This collection does not significantly affect small businesses or other small entities.</w:t>
      </w:r>
      <w:r w:rsidRPr="00BA58E2" w:rsidR="0011649E">
        <w:rPr>
          <w:sz w:val="24"/>
          <w:szCs w:val="24"/>
        </w:rPr>
        <w:t xml:space="preserve"> </w:t>
      </w:r>
    </w:p>
    <w:p w:rsidR="00875719" w:rsidRPr="00BA58E2" w:rsidP="00DE79A8" w14:paraId="48846962" w14:textId="77777777">
      <w:pPr>
        <w:tabs>
          <w:tab w:val="num" w:pos="1440"/>
        </w:tabs>
        <w:ind w:left="1440"/>
        <w:rPr>
          <w:sz w:val="24"/>
          <w:szCs w:val="24"/>
        </w:rPr>
      </w:pPr>
    </w:p>
    <w:p w:rsidR="00875719" w:rsidRPr="00BA58E2" w:rsidP="00DE79A8" w14:paraId="1ACB9E55" w14:textId="77777777">
      <w:pPr>
        <w:numPr>
          <w:ilvl w:val="0"/>
          <w:numId w:val="2"/>
        </w:numPr>
        <w:tabs>
          <w:tab w:val="clear" w:pos="720"/>
          <w:tab w:val="num" w:pos="1440"/>
        </w:tabs>
        <w:ind w:left="1440" w:hanging="720"/>
        <w:rPr>
          <w:b/>
          <w:sz w:val="24"/>
          <w:szCs w:val="24"/>
        </w:rPr>
      </w:pPr>
      <w:r w:rsidRPr="00BA58E2">
        <w:rPr>
          <w:b/>
          <w:sz w:val="24"/>
          <w:szCs w:val="24"/>
        </w:rPr>
        <w:t>Consequence of Not Collecting Information or Collectiong it Less Frequently</w:t>
      </w:r>
    </w:p>
    <w:p w:rsidR="00875719" w:rsidRPr="00BA58E2" w:rsidP="00DE79A8" w14:paraId="1085F288" w14:textId="77777777">
      <w:pPr>
        <w:tabs>
          <w:tab w:val="num" w:pos="1440"/>
        </w:tabs>
        <w:ind w:left="1440"/>
        <w:rPr>
          <w:sz w:val="24"/>
          <w:szCs w:val="24"/>
        </w:rPr>
      </w:pPr>
      <w:r w:rsidRPr="00BA58E2">
        <w:rPr>
          <w:sz w:val="24"/>
          <w:szCs w:val="24"/>
        </w:rPr>
        <w:t>Since obtaining SSA approval for reproducing, duplicating, or privately printing any application or other form prescribed by the agency is mandated by law, we need to collect this information to allow respondents to reproduce SSA forms.  If we did not collect the information, the respondent would not legally be able to reproduce SSA forms or charge a fee.  Because we only collect the information on an as needed basis, we cannot collect it less frequently.</w:t>
      </w:r>
      <w:r w:rsidRPr="00BA58E2" w:rsidR="00337CB6">
        <w:rPr>
          <w:sz w:val="24"/>
          <w:szCs w:val="24"/>
        </w:rPr>
        <w:t xml:space="preserve">  </w:t>
      </w:r>
      <w:r w:rsidRPr="00BA58E2">
        <w:rPr>
          <w:sz w:val="24"/>
          <w:szCs w:val="24"/>
        </w:rPr>
        <w:t>There are no technical or legal obstacles that prevent burden reduction.</w:t>
      </w:r>
    </w:p>
    <w:p w:rsidR="00875719" w:rsidRPr="00BA58E2" w:rsidP="00DE79A8" w14:paraId="7DB6021A" w14:textId="77777777">
      <w:pPr>
        <w:tabs>
          <w:tab w:val="num" w:pos="1440"/>
        </w:tabs>
        <w:ind w:left="1440"/>
        <w:rPr>
          <w:sz w:val="24"/>
          <w:szCs w:val="24"/>
        </w:rPr>
      </w:pPr>
    </w:p>
    <w:p w:rsidR="00875719" w:rsidRPr="00BA58E2" w:rsidP="00DE79A8" w14:paraId="4A7B9036" w14:textId="77777777">
      <w:pPr>
        <w:numPr>
          <w:ilvl w:val="0"/>
          <w:numId w:val="2"/>
        </w:numPr>
        <w:tabs>
          <w:tab w:val="clear" w:pos="720"/>
          <w:tab w:val="num" w:pos="1440"/>
        </w:tabs>
        <w:ind w:left="1440" w:hanging="720"/>
        <w:rPr>
          <w:b/>
          <w:sz w:val="24"/>
          <w:szCs w:val="24"/>
        </w:rPr>
      </w:pPr>
      <w:r w:rsidRPr="00BA58E2">
        <w:rPr>
          <w:b/>
          <w:sz w:val="24"/>
          <w:szCs w:val="24"/>
        </w:rPr>
        <w:t>Special Circumstances</w:t>
      </w:r>
    </w:p>
    <w:p w:rsidR="007F3223" w:rsidRPr="00BA58E2" w:rsidP="00DE79A8" w14:paraId="01584FB2" w14:textId="77777777">
      <w:pPr>
        <w:tabs>
          <w:tab w:val="num" w:pos="1440"/>
        </w:tabs>
        <w:ind w:left="1440"/>
        <w:rPr>
          <w:sz w:val="24"/>
          <w:szCs w:val="24"/>
        </w:rPr>
      </w:pPr>
      <w:r w:rsidRPr="00BA58E2">
        <w:rPr>
          <w:sz w:val="24"/>
          <w:szCs w:val="24"/>
        </w:rPr>
        <w:t xml:space="preserve">There are no special circumstances that would cause SSA to conduct this information collection in a manner inconsistent with </w:t>
      </w:r>
      <w:r w:rsidRPr="00BA58E2">
        <w:rPr>
          <w:i/>
          <w:sz w:val="24"/>
          <w:szCs w:val="24"/>
        </w:rPr>
        <w:t>5 CFR 1320.5.</w:t>
      </w:r>
    </w:p>
    <w:p w:rsidR="00875719" w:rsidRPr="00BA58E2" w:rsidP="00DE79A8" w14:paraId="33F61E9B" w14:textId="77777777">
      <w:pPr>
        <w:tabs>
          <w:tab w:val="num" w:pos="1440"/>
        </w:tabs>
        <w:ind w:left="1440"/>
        <w:rPr>
          <w:sz w:val="24"/>
          <w:szCs w:val="24"/>
        </w:rPr>
      </w:pPr>
    </w:p>
    <w:p w:rsidR="00875719" w:rsidRPr="00BA58E2" w:rsidP="00DE79A8" w14:paraId="0400E9F8" w14:textId="77777777">
      <w:pPr>
        <w:numPr>
          <w:ilvl w:val="0"/>
          <w:numId w:val="2"/>
        </w:numPr>
        <w:tabs>
          <w:tab w:val="clear" w:pos="720"/>
          <w:tab w:val="num" w:pos="1440"/>
        </w:tabs>
        <w:ind w:left="1440" w:hanging="720"/>
        <w:rPr>
          <w:b/>
          <w:sz w:val="24"/>
          <w:szCs w:val="24"/>
        </w:rPr>
      </w:pPr>
      <w:r w:rsidRPr="00BA58E2">
        <w:rPr>
          <w:b/>
          <w:sz w:val="24"/>
          <w:szCs w:val="24"/>
        </w:rPr>
        <w:t>Solicitation of Public Comment and Other Consultations with the Public</w:t>
      </w:r>
    </w:p>
    <w:p w:rsidR="00B77EB1" w:rsidRPr="00C76551" w:rsidP="000E0BFD" w14:paraId="321C7CEA" w14:textId="2BD39C77">
      <w:pPr>
        <w:pStyle w:val="ListParagraph"/>
        <w:ind w:left="1440"/>
        <w:rPr>
          <w:sz w:val="24"/>
          <w:szCs w:val="24"/>
          <w:highlight w:val="yellow"/>
        </w:rPr>
      </w:pPr>
      <w:r w:rsidRPr="00C76551">
        <w:rPr>
          <w:sz w:val="24"/>
          <w:szCs w:val="24"/>
          <w:highlight w:val="yellow"/>
        </w:rPr>
        <w:t>The 60-day advance Federal Register Notice published on June</w:t>
      </w:r>
      <w:r w:rsidRPr="00C76551" w:rsidR="006F011C">
        <w:rPr>
          <w:sz w:val="24"/>
          <w:szCs w:val="24"/>
          <w:highlight w:val="yellow"/>
        </w:rPr>
        <w:t xml:space="preserve"> </w:t>
      </w:r>
      <w:r w:rsidRPr="00C76551" w:rsidR="00637279">
        <w:rPr>
          <w:sz w:val="24"/>
          <w:szCs w:val="24"/>
          <w:highlight w:val="yellow"/>
        </w:rPr>
        <w:t>30</w:t>
      </w:r>
      <w:r w:rsidRPr="00C76551">
        <w:rPr>
          <w:sz w:val="24"/>
          <w:szCs w:val="24"/>
          <w:highlight w:val="yellow"/>
        </w:rPr>
        <w:t>, 20</w:t>
      </w:r>
      <w:r w:rsidRPr="00C76551" w:rsidR="006F011C">
        <w:rPr>
          <w:sz w:val="24"/>
          <w:szCs w:val="24"/>
          <w:highlight w:val="yellow"/>
        </w:rPr>
        <w:t>22</w:t>
      </w:r>
      <w:r w:rsidRPr="00C76551">
        <w:rPr>
          <w:sz w:val="24"/>
          <w:szCs w:val="24"/>
          <w:highlight w:val="yellow"/>
        </w:rPr>
        <w:t xml:space="preserve">, at </w:t>
      </w:r>
    </w:p>
    <w:p w:rsidR="00102972" w:rsidRPr="00BA58E2" w:rsidP="000E0BFD" w14:paraId="09F0E67B" w14:textId="594471B3">
      <w:pPr>
        <w:pStyle w:val="ListParagraph"/>
        <w:ind w:left="1440"/>
        <w:rPr>
          <w:sz w:val="24"/>
          <w:szCs w:val="24"/>
        </w:rPr>
      </w:pPr>
      <w:r w:rsidRPr="00C76551">
        <w:rPr>
          <w:sz w:val="24"/>
          <w:szCs w:val="24"/>
          <w:highlight w:val="yellow"/>
        </w:rPr>
        <w:t>8</w:t>
      </w:r>
      <w:r w:rsidRPr="00C76551" w:rsidR="006F011C">
        <w:rPr>
          <w:sz w:val="24"/>
          <w:szCs w:val="24"/>
          <w:highlight w:val="yellow"/>
        </w:rPr>
        <w:t>7</w:t>
      </w:r>
      <w:r w:rsidRPr="00C76551" w:rsidR="000E0BFD">
        <w:rPr>
          <w:sz w:val="24"/>
          <w:szCs w:val="24"/>
          <w:highlight w:val="yellow"/>
        </w:rPr>
        <w:t xml:space="preserve"> FR </w:t>
      </w:r>
      <w:r w:rsidRPr="00C76551" w:rsidR="00637279">
        <w:rPr>
          <w:sz w:val="24"/>
          <w:szCs w:val="24"/>
          <w:highlight w:val="yellow"/>
        </w:rPr>
        <w:t>39153</w:t>
      </w:r>
      <w:r w:rsidRPr="00C76551" w:rsidR="000E0BFD">
        <w:rPr>
          <w:sz w:val="24"/>
          <w:szCs w:val="24"/>
          <w:highlight w:val="yellow"/>
        </w:rPr>
        <w:t xml:space="preserve">, and we received no public comments.  The 30-day FRN published on </w:t>
      </w:r>
      <w:r w:rsidRPr="00C76551" w:rsidR="00303BDC">
        <w:rPr>
          <w:sz w:val="24"/>
          <w:szCs w:val="24"/>
          <w:highlight w:val="yellow"/>
        </w:rPr>
        <w:t>September 20,</w:t>
      </w:r>
      <w:r w:rsidRPr="00C76551" w:rsidR="00A724B1">
        <w:rPr>
          <w:sz w:val="24"/>
          <w:szCs w:val="24"/>
          <w:highlight w:val="yellow"/>
        </w:rPr>
        <w:t xml:space="preserve"> 20</w:t>
      </w:r>
      <w:r w:rsidRPr="00C76551" w:rsidR="006F011C">
        <w:rPr>
          <w:sz w:val="24"/>
          <w:szCs w:val="24"/>
          <w:highlight w:val="yellow"/>
        </w:rPr>
        <w:t>22</w:t>
      </w:r>
      <w:r w:rsidRPr="00C76551" w:rsidR="000E0BFD">
        <w:rPr>
          <w:sz w:val="24"/>
          <w:szCs w:val="24"/>
          <w:highlight w:val="yellow"/>
        </w:rPr>
        <w:t xml:space="preserve"> at</w:t>
      </w:r>
      <w:r w:rsidRPr="00C76551" w:rsidR="00A724B1">
        <w:rPr>
          <w:sz w:val="24"/>
          <w:szCs w:val="24"/>
          <w:highlight w:val="yellow"/>
        </w:rPr>
        <w:t xml:space="preserve"> 8</w:t>
      </w:r>
      <w:r w:rsidRPr="00C76551" w:rsidR="006F011C">
        <w:rPr>
          <w:sz w:val="24"/>
          <w:szCs w:val="24"/>
          <w:highlight w:val="yellow"/>
        </w:rPr>
        <w:t>7</w:t>
      </w:r>
      <w:r w:rsidRPr="00C76551" w:rsidR="00A724B1">
        <w:rPr>
          <w:sz w:val="24"/>
          <w:szCs w:val="24"/>
          <w:highlight w:val="yellow"/>
        </w:rPr>
        <w:t xml:space="preserve"> FR </w:t>
      </w:r>
      <w:r w:rsidRPr="00C76551" w:rsidR="00303BDC">
        <w:rPr>
          <w:sz w:val="24"/>
          <w:szCs w:val="24"/>
          <w:highlight w:val="yellow"/>
        </w:rPr>
        <w:t>57551.</w:t>
      </w:r>
      <w:r w:rsidRPr="00C76551" w:rsidR="000E0BFD">
        <w:rPr>
          <w:sz w:val="24"/>
          <w:szCs w:val="24"/>
          <w:highlight w:val="yellow"/>
        </w:rPr>
        <w:t xml:space="preserve">  If we receive any comments in response to this Notice, we will forward them to OMB.</w:t>
      </w:r>
      <w:r w:rsidRPr="00BA58E2" w:rsidR="000E0BFD">
        <w:rPr>
          <w:sz w:val="24"/>
          <w:szCs w:val="24"/>
        </w:rPr>
        <w:t xml:space="preserve"> </w:t>
      </w:r>
      <w:r w:rsidRPr="00BA58E2">
        <w:rPr>
          <w:sz w:val="24"/>
          <w:szCs w:val="24"/>
        </w:rPr>
        <w:t xml:space="preserve"> </w:t>
      </w:r>
    </w:p>
    <w:p w:rsidR="00875719" w:rsidRPr="00BA58E2" w:rsidP="00DE79A8" w14:paraId="54123124" w14:textId="77777777">
      <w:pPr>
        <w:tabs>
          <w:tab w:val="num" w:pos="1440"/>
        </w:tabs>
        <w:ind w:left="1440"/>
        <w:rPr>
          <w:sz w:val="24"/>
          <w:szCs w:val="24"/>
        </w:rPr>
      </w:pPr>
    </w:p>
    <w:p w:rsidR="00875719" w:rsidRPr="00BA58E2" w:rsidP="00DE79A8" w14:paraId="58F421A5" w14:textId="77777777">
      <w:pPr>
        <w:numPr>
          <w:ilvl w:val="0"/>
          <w:numId w:val="2"/>
        </w:numPr>
        <w:tabs>
          <w:tab w:val="clear" w:pos="720"/>
          <w:tab w:val="num" w:pos="1440"/>
        </w:tabs>
        <w:ind w:left="1440" w:hanging="720"/>
        <w:rPr>
          <w:b/>
          <w:sz w:val="24"/>
          <w:szCs w:val="24"/>
        </w:rPr>
      </w:pPr>
      <w:r w:rsidRPr="00BA58E2">
        <w:rPr>
          <w:b/>
          <w:sz w:val="24"/>
          <w:szCs w:val="24"/>
        </w:rPr>
        <w:t>Payment or Gifts to Respondents</w:t>
      </w:r>
    </w:p>
    <w:p w:rsidR="00875719" w:rsidRPr="00BA58E2" w:rsidP="00DE79A8" w14:paraId="28BBA28A" w14:textId="77777777">
      <w:pPr>
        <w:tabs>
          <w:tab w:val="num" w:pos="1440"/>
        </w:tabs>
        <w:ind w:left="1440"/>
        <w:rPr>
          <w:sz w:val="24"/>
          <w:szCs w:val="24"/>
        </w:rPr>
      </w:pPr>
      <w:r w:rsidRPr="00BA58E2">
        <w:rPr>
          <w:sz w:val="24"/>
          <w:szCs w:val="24"/>
        </w:rPr>
        <w:t>SSA does not provide payments or gifts to the respondents.</w:t>
      </w:r>
      <w:r w:rsidRPr="00BA58E2" w:rsidR="00107C54">
        <w:rPr>
          <w:sz w:val="24"/>
          <w:szCs w:val="24"/>
        </w:rPr>
        <w:t xml:space="preserve"> </w:t>
      </w:r>
    </w:p>
    <w:p w:rsidR="00107C54" w:rsidRPr="00BA58E2" w:rsidP="00107C54" w14:paraId="41575BAE" w14:textId="77777777">
      <w:pPr>
        <w:ind w:left="720"/>
        <w:rPr>
          <w:b/>
          <w:sz w:val="24"/>
          <w:szCs w:val="24"/>
        </w:rPr>
      </w:pPr>
    </w:p>
    <w:p w:rsidR="00875719" w:rsidRPr="00BA58E2" w:rsidP="00DE79A8" w14:paraId="4F64E9FE" w14:textId="77777777">
      <w:pPr>
        <w:numPr>
          <w:ilvl w:val="0"/>
          <w:numId w:val="2"/>
        </w:numPr>
        <w:tabs>
          <w:tab w:val="clear" w:pos="720"/>
          <w:tab w:val="num" w:pos="1440"/>
        </w:tabs>
        <w:ind w:left="1440" w:hanging="720"/>
        <w:rPr>
          <w:b/>
          <w:sz w:val="24"/>
          <w:szCs w:val="24"/>
        </w:rPr>
      </w:pPr>
      <w:r w:rsidRPr="00BA58E2">
        <w:rPr>
          <w:b/>
          <w:sz w:val="24"/>
          <w:szCs w:val="24"/>
        </w:rPr>
        <w:t>Assurances of Confidentiality</w:t>
      </w:r>
    </w:p>
    <w:p w:rsidR="00875719" w:rsidRPr="00BA58E2" w:rsidP="00DE79A8" w14:paraId="6D718F8F" w14:textId="77777777">
      <w:pPr>
        <w:tabs>
          <w:tab w:val="num" w:pos="1440"/>
        </w:tabs>
        <w:ind w:left="1440"/>
        <w:rPr>
          <w:sz w:val="24"/>
          <w:szCs w:val="24"/>
        </w:rPr>
      </w:pPr>
      <w:r w:rsidRPr="00BA58E2">
        <w:rPr>
          <w:sz w:val="24"/>
          <w:szCs w:val="24"/>
        </w:rPr>
        <w:t xml:space="preserve">SSA protects and holds confidential the information it collects in accordance with </w:t>
      </w:r>
      <w:r w:rsidRPr="00BA58E2">
        <w:rPr>
          <w:i/>
          <w:sz w:val="24"/>
          <w:szCs w:val="24"/>
        </w:rPr>
        <w:t>42 U.S.C. 1306, 20 CFR 401</w:t>
      </w:r>
      <w:r w:rsidRPr="00BA58E2">
        <w:rPr>
          <w:sz w:val="24"/>
          <w:szCs w:val="24"/>
        </w:rPr>
        <w:t xml:space="preserve"> and </w:t>
      </w:r>
      <w:r w:rsidRPr="00BA58E2">
        <w:rPr>
          <w:i/>
          <w:sz w:val="24"/>
          <w:szCs w:val="24"/>
        </w:rPr>
        <w:t>402, 5 U.S.C. 552</w:t>
      </w:r>
      <w:r w:rsidRPr="00BA58E2">
        <w:rPr>
          <w:sz w:val="24"/>
          <w:szCs w:val="24"/>
        </w:rPr>
        <w:t xml:space="preserve"> (Freedom of Information Act), </w:t>
      </w:r>
      <w:r w:rsidRPr="00BA58E2">
        <w:rPr>
          <w:i/>
          <w:sz w:val="24"/>
          <w:szCs w:val="24"/>
        </w:rPr>
        <w:t>5 U.S.C. 552a</w:t>
      </w:r>
      <w:r w:rsidRPr="00BA58E2">
        <w:rPr>
          <w:sz w:val="24"/>
          <w:szCs w:val="24"/>
        </w:rPr>
        <w:t xml:space="preserve"> (Privacy Act of 1974), and OMB Circular No. A-130.</w:t>
      </w:r>
    </w:p>
    <w:p w:rsidR="00875719" w:rsidRPr="00BA58E2" w:rsidP="00DE79A8" w14:paraId="389D5C6F" w14:textId="77777777">
      <w:pPr>
        <w:tabs>
          <w:tab w:val="num" w:pos="1440"/>
        </w:tabs>
        <w:ind w:left="1440"/>
        <w:rPr>
          <w:sz w:val="24"/>
          <w:szCs w:val="24"/>
        </w:rPr>
      </w:pPr>
    </w:p>
    <w:p w:rsidR="00875719" w:rsidRPr="00BA58E2" w:rsidP="00DE79A8" w14:paraId="07EFCEFE" w14:textId="77777777">
      <w:pPr>
        <w:numPr>
          <w:ilvl w:val="0"/>
          <w:numId w:val="2"/>
        </w:numPr>
        <w:tabs>
          <w:tab w:val="clear" w:pos="720"/>
          <w:tab w:val="num" w:pos="1440"/>
        </w:tabs>
        <w:ind w:left="1440" w:hanging="720"/>
        <w:rPr>
          <w:b/>
          <w:sz w:val="24"/>
          <w:szCs w:val="24"/>
        </w:rPr>
      </w:pPr>
      <w:r w:rsidRPr="00BA58E2">
        <w:rPr>
          <w:b/>
          <w:sz w:val="24"/>
          <w:szCs w:val="24"/>
        </w:rPr>
        <w:t>Justification for Sensitive Questions</w:t>
      </w:r>
    </w:p>
    <w:p w:rsidR="00875719" w:rsidRPr="00BA58E2" w:rsidP="00DE79A8" w14:paraId="15E49063" w14:textId="3DF536AA">
      <w:pPr>
        <w:tabs>
          <w:tab w:val="num" w:pos="1440"/>
        </w:tabs>
        <w:ind w:left="1440"/>
        <w:rPr>
          <w:sz w:val="24"/>
          <w:szCs w:val="24"/>
        </w:rPr>
      </w:pPr>
      <w:r w:rsidRPr="00BA58E2">
        <w:rPr>
          <w:sz w:val="24"/>
          <w:szCs w:val="24"/>
        </w:rPr>
        <w:t>The information collection does not contain any questions of a sensitive nature.</w:t>
      </w:r>
    </w:p>
    <w:p w:rsidR="00637279" w:rsidRPr="00BA58E2" w:rsidP="00DE79A8" w14:paraId="033EEF34" w14:textId="206B5065">
      <w:pPr>
        <w:tabs>
          <w:tab w:val="num" w:pos="1440"/>
        </w:tabs>
        <w:ind w:left="1440"/>
        <w:rPr>
          <w:sz w:val="24"/>
          <w:szCs w:val="24"/>
        </w:rPr>
      </w:pPr>
    </w:p>
    <w:p w:rsidR="00436A01" w:rsidRPr="00BA58E2" w:rsidP="007C42C1" w14:paraId="2F6A05D9" w14:textId="3F2AAB71">
      <w:pPr>
        <w:numPr>
          <w:ilvl w:val="0"/>
          <w:numId w:val="2"/>
        </w:numPr>
        <w:tabs>
          <w:tab w:val="clear" w:pos="720"/>
          <w:tab w:val="num" w:pos="1440"/>
        </w:tabs>
        <w:ind w:left="1440" w:hanging="720"/>
        <w:rPr>
          <w:b/>
          <w:sz w:val="24"/>
          <w:szCs w:val="24"/>
        </w:rPr>
      </w:pPr>
      <w:r w:rsidRPr="00BA58E2">
        <w:rPr>
          <w:b/>
          <w:sz w:val="24"/>
          <w:szCs w:val="24"/>
        </w:rPr>
        <w:t>Estimates of Public Reporting Burden</w:t>
      </w:r>
    </w:p>
    <w:tbl>
      <w:tblPr>
        <w:tblpPr w:leftFromText="180" w:rightFromText="180" w:vertAnchor="text" w:horzAnchor="page" w:tblpX="1861" w:tblpY="194"/>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4"/>
        <w:gridCol w:w="1523"/>
        <w:gridCol w:w="1310"/>
        <w:gridCol w:w="1190"/>
        <w:gridCol w:w="1256"/>
        <w:gridCol w:w="1389"/>
        <w:gridCol w:w="1510"/>
      </w:tblGrid>
      <w:tr w14:paraId="677CB3EC" w14:textId="77777777" w:rsidTr="009E27EF">
        <w:tblPrEx>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51"/>
        </w:trPr>
        <w:tc>
          <w:tcPr>
            <w:tcW w:w="1874" w:type="dxa"/>
            <w:tcBorders>
              <w:top w:val="single" w:sz="4" w:space="0" w:color="auto"/>
              <w:left w:val="single" w:sz="4" w:space="0" w:color="auto"/>
              <w:bottom w:val="single" w:sz="4" w:space="0" w:color="auto"/>
              <w:right w:val="single" w:sz="4" w:space="0" w:color="auto"/>
            </w:tcBorders>
            <w:hideMark/>
          </w:tcPr>
          <w:p w:rsidR="009E27EF" w:rsidRPr="00BA58E2" w:rsidP="009E27EF" w14:paraId="7C322E9D" w14:textId="77777777">
            <w:pPr>
              <w:keepNext/>
              <w:keepLines/>
              <w:snapToGrid w:val="0"/>
              <w:rPr>
                <w:rFonts w:eastAsia="SimSun"/>
                <w:b/>
                <w:noProof w:val="0"/>
                <w:sz w:val="24"/>
                <w:szCs w:val="24"/>
                <w:lang w:eastAsia="zh-CN"/>
              </w:rPr>
            </w:pPr>
            <w:r w:rsidRPr="00BA58E2">
              <w:rPr>
                <w:rFonts w:eastAsia="SimSun"/>
                <w:b/>
                <w:noProof w:val="0"/>
                <w:sz w:val="24"/>
                <w:szCs w:val="24"/>
                <w:lang w:eastAsia="zh-CN"/>
              </w:rPr>
              <w:t>Modality of Completion</w:t>
            </w:r>
          </w:p>
        </w:tc>
        <w:tc>
          <w:tcPr>
            <w:tcW w:w="1523" w:type="dxa"/>
            <w:tcBorders>
              <w:top w:val="single" w:sz="4" w:space="0" w:color="auto"/>
              <w:left w:val="single" w:sz="4" w:space="0" w:color="auto"/>
              <w:bottom w:val="single" w:sz="4" w:space="0" w:color="auto"/>
              <w:right w:val="single" w:sz="4" w:space="0" w:color="auto"/>
            </w:tcBorders>
          </w:tcPr>
          <w:p w:rsidR="009E27EF" w:rsidRPr="00BA58E2" w:rsidP="009E27EF" w14:paraId="2C3335F9" w14:textId="77777777">
            <w:pPr>
              <w:keepNext/>
              <w:keepLines/>
              <w:snapToGrid w:val="0"/>
              <w:rPr>
                <w:rFonts w:eastAsia="SimSun"/>
                <w:b/>
                <w:noProof w:val="0"/>
                <w:sz w:val="24"/>
                <w:szCs w:val="24"/>
                <w:lang w:eastAsia="zh-CN"/>
              </w:rPr>
            </w:pPr>
            <w:r w:rsidRPr="00BA58E2">
              <w:rPr>
                <w:rFonts w:eastAsia="SimSun"/>
                <w:b/>
                <w:noProof w:val="0"/>
                <w:sz w:val="24"/>
                <w:szCs w:val="24"/>
                <w:lang w:eastAsia="zh-CN"/>
              </w:rPr>
              <w:t>Number of Respondents</w:t>
            </w:r>
          </w:p>
        </w:tc>
        <w:tc>
          <w:tcPr>
            <w:tcW w:w="1310" w:type="dxa"/>
            <w:tcBorders>
              <w:top w:val="single" w:sz="4" w:space="0" w:color="auto"/>
              <w:left w:val="single" w:sz="4" w:space="0" w:color="auto"/>
              <w:bottom w:val="single" w:sz="4" w:space="0" w:color="auto"/>
              <w:right w:val="single" w:sz="4" w:space="0" w:color="auto"/>
            </w:tcBorders>
            <w:hideMark/>
          </w:tcPr>
          <w:p w:rsidR="009E27EF" w:rsidRPr="00BA58E2" w:rsidP="009E27EF" w14:paraId="43AA4B87" w14:textId="77777777">
            <w:pPr>
              <w:keepNext/>
              <w:keepLines/>
              <w:snapToGrid w:val="0"/>
              <w:rPr>
                <w:rFonts w:eastAsia="SimSun"/>
                <w:b/>
                <w:noProof w:val="0"/>
                <w:sz w:val="24"/>
                <w:szCs w:val="24"/>
                <w:lang w:eastAsia="zh-CN"/>
              </w:rPr>
            </w:pPr>
            <w:r w:rsidRPr="00BA58E2">
              <w:rPr>
                <w:rFonts w:eastAsia="SimSun"/>
                <w:b/>
                <w:noProof w:val="0"/>
                <w:sz w:val="24"/>
                <w:szCs w:val="24"/>
                <w:lang w:eastAsia="zh-CN"/>
              </w:rPr>
              <w:t>Frequency of Response</w:t>
            </w:r>
          </w:p>
        </w:tc>
        <w:tc>
          <w:tcPr>
            <w:tcW w:w="1190" w:type="dxa"/>
            <w:tcBorders>
              <w:top w:val="single" w:sz="4" w:space="0" w:color="auto"/>
              <w:left w:val="single" w:sz="4" w:space="0" w:color="auto"/>
              <w:bottom w:val="single" w:sz="4" w:space="0" w:color="auto"/>
              <w:right w:val="single" w:sz="4" w:space="0" w:color="auto"/>
            </w:tcBorders>
            <w:hideMark/>
          </w:tcPr>
          <w:p w:rsidR="009E27EF" w:rsidRPr="00BA58E2" w:rsidP="009E27EF" w14:paraId="77204B1D" w14:textId="77777777">
            <w:pPr>
              <w:keepNext/>
              <w:keepLines/>
              <w:snapToGrid w:val="0"/>
              <w:rPr>
                <w:rFonts w:eastAsia="SimSun"/>
                <w:b/>
                <w:noProof w:val="0"/>
                <w:sz w:val="24"/>
                <w:szCs w:val="24"/>
                <w:lang w:eastAsia="zh-CN"/>
              </w:rPr>
            </w:pPr>
            <w:r w:rsidRPr="00BA58E2">
              <w:rPr>
                <w:rFonts w:eastAsia="SimSun"/>
                <w:b/>
                <w:noProof w:val="0"/>
                <w:sz w:val="24"/>
                <w:szCs w:val="24"/>
                <w:lang w:eastAsia="zh-CN"/>
              </w:rPr>
              <w:t>Average Burden Per Response (minutes)</w:t>
            </w:r>
          </w:p>
        </w:tc>
        <w:tc>
          <w:tcPr>
            <w:tcW w:w="1256" w:type="dxa"/>
            <w:tcBorders>
              <w:top w:val="single" w:sz="4" w:space="0" w:color="auto"/>
              <w:left w:val="single" w:sz="4" w:space="0" w:color="auto"/>
              <w:bottom w:val="single" w:sz="4" w:space="0" w:color="auto"/>
              <w:right w:val="single" w:sz="4" w:space="0" w:color="auto"/>
            </w:tcBorders>
            <w:hideMark/>
          </w:tcPr>
          <w:p w:rsidR="009E27EF" w:rsidRPr="00BA58E2" w:rsidP="009E27EF" w14:paraId="2CEE85E8" w14:textId="77777777">
            <w:pPr>
              <w:keepNext/>
              <w:keepLines/>
              <w:snapToGrid w:val="0"/>
              <w:rPr>
                <w:rFonts w:eastAsia="SimSun"/>
                <w:b/>
                <w:noProof w:val="0"/>
                <w:sz w:val="24"/>
                <w:szCs w:val="24"/>
                <w:lang w:eastAsia="zh-CN"/>
              </w:rPr>
            </w:pPr>
            <w:r w:rsidRPr="00BA58E2">
              <w:rPr>
                <w:rFonts w:eastAsia="SimSun"/>
                <w:b/>
                <w:noProof w:val="0"/>
                <w:sz w:val="24"/>
                <w:szCs w:val="24"/>
                <w:lang w:eastAsia="zh-CN"/>
              </w:rPr>
              <w:t>Estimated Total Annual Burden (hours)</w:t>
            </w:r>
          </w:p>
        </w:tc>
        <w:tc>
          <w:tcPr>
            <w:tcW w:w="1389" w:type="dxa"/>
            <w:tcBorders>
              <w:top w:val="single" w:sz="4" w:space="0" w:color="auto"/>
              <w:left w:val="single" w:sz="4" w:space="0" w:color="auto"/>
              <w:bottom w:val="single" w:sz="4" w:space="0" w:color="auto"/>
              <w:right w:val="single" w:sz="4" w:space="0" w:color="auto"/>
            </w:tcBorders>
            <w:hideMark/>
          </w:tcPr>
          <w:p w:rsidR="009E27EF" w:rsidRPr="00BA58E2" w:rsidP="009E27EF" w14:paraId="5593DE2F" w14:textId="77777777">
            <w:pPr>
              <w:keepNext/>
              <w:keepLines/>
              <w:snapToGrid w:val="0"/>
              <w:rPr>
                <w:rFonts w:eastAsia="SimSun"/>
                <w:b/>
                <w:noProof w:val="0"/>
                <w:sz w:val="24"/>
                <w:szCs w:val="24"/>
                <w:lang w:eastAsia="zh-CN"/>
              </w:rPr>
            </w:pPr>
            <w:r w:rsidRPr="00BA58E2">
              <w:rPr>
                <w:rFonts w:eastAsia="SimSun"/>
                <w:b/>
                <w:noProof w:val="0"/>
                <w:sz w:val="24"/>
                <w:szCs w:val="24"/>
                <w:lang w:eastAsia="zh-CN"/>
              </w:rPr>
              <w:t>Average Theoretical Hourly Cost Amount (dollars)*</w:t>
            </w:r>
          </w:p>
        </w:tc>
        <w:tc>
          <w:tcPr>
            <w:tcW w:w="1510" w:type="dxa"/>
            <w:tcBorders>
              <w:top w:val="single" w:sz="4" w:space="0" w:color="auto"/>
              <w:left w:val="single" w:sz="4" w:space="0" w:color="auto"/>
              <w:bottom w:val="single" w:sz="4" w:space="0" w:color="auto"/>
              <w:right w:val="single" w:sz="4" w:space="0" w:color="auto"/>
            </w:tcBorders>
            <w:hideMark/>
          </w:tcPr>
          <w:p w:rsidR="009E27EF" w:rsidRPr="00BA58E2" w:rsidP="009E27EF" w14:paraId="24BFA72A" w14:textId="77777777">
            <w:pPr>
              <w:keepNext/>
              <w:keepLines/>
              <w:snapToGrid w:val="0"/>
              <w:rPr>
                <w:rFonts w:eastAsia="SimSun"/>
                <w:b/>
                <w:noProof w:val="0"/>
                <w:sz w:val="24"/>
                <w:szCs w:val="24"/>
                <w:lang w:eastAsia="zh-CN"/>
              </w:rPr>
            </w:pPr>
            <w:r w:rsidRPr="00BA58E2">
              <w:rPr>
                <w:rFonts w:eastAsia="SimSun"/>
                <w:b/>
                <w:noProof w:val="0"/>
                <w:sz w:val="24"/>
                <w:szCs w:val="24"/>
                <w:lang w:eastAsia="zh-CN"/>
              </w:rPr>
              <w:t>Total Annual Opportunity Cost (dollars)**</w:t>
            </w:r>
          </w:p>
        </w:tc>
      </w:tr>
      <w:tr w14:paraId="6C861F55" w14:textId="77777777" w:rsidTr="009E27EF">
        <w:tblPrEx>
          <w:tblW w:w="10052" w:type="dxa"/>
          <w:tblLook w:val="04A0"/>
        </w:tblPrEx>
        <w:trPr>
          <w:trHeight w:val="261"/>
        </w:trPr>
        <w:tc>
          <w:tcPr>
            <w:tcW w:w="1874" w:type="dxa"/>
            <w:tcBorders>
              <w:top w:val="single" w:sz="4" w:space="0" w:color="auto"/>
              <w:left w:val="single" w:sz="4" w:space="0" w:color="auto"/>
              <w:bottom w:val="single" w:sz="4" w:space="0" w:color="auto"/>
              <w:right w:val="single" w:sz="4" w:space="0" w:color="auto"/>
            </w:tcBorders>
          </w:tcPr>
          <w:p w:rsidR="009E27EF" w:rsidRPr="00BA58E2" w:rsidP="009E27EF" w14:paraId="360F5162" w14:textId="77777777">
            <w:pPr>
              <w:keepNext/>
              <w:keepLines/>
              <w:snapToGrid w:val="0"/>
              <w:rPr>
                <w:rFonts w:eastAsia="SimSun"/>
                <w:b/>
                <w:noProof w:val="0"/>
                <w:sz w:val="24"/>
                <w:szCs w:val="24"/>
                <w:lang w:eastAsia="zh-CN"/>
              </w:rPr>
            </w:pPr>
            <w:r w:rsidRPr="00BA58E2">
              <w:rPr>
                <w:rFonts w:eastAsia="SimSun"/>
                <w:noProof w:val="0"/>
                <w:sz w:val="24"/>
                <w:szCs w:val="24"/>
                <w:lang w:eastAsia="zh-CN"/>
              </w:rPr>
              <w:t>20 CFR 422.527</w:t>
            </w:r>
          </w:p>
        </w:tc>
        <w:tc>
          <w:tcPr>
            <w:tcW w:w="1523" w:type="dxa"/>
            <w:tcBorders>
              <w:top w:val="single" w:sz="4" w:space="0" w:color="auto"/>
              <w:left w:val="single" w:sz="4" w:space="0" w:color="auto"/>
              <w:bottom w:val="single" w:sz="4" w:space="0" w:color="auto"/>
              <w:right w:val="single" w:sz="4" w:space="0" w:color="auto"/>
            </w:tcBorders>
          </w:tcPr>
          <w:p w:rsidR="009E27EF" w:rsidRPr="00BA58E2" w:rsidP="009E27EF" w14:paraId="04B1DE9E" w14:textId="77777777">
            <w:pPr>
              <w:keepNext/>
              <w:keepLines/>
              <w:snapToGrid w:val="0"/>
              <w:jc w:val="right"/>
              <w:rPr>
                <w:rFonts w:eastAsia="SimSun"/>
                <w:noProof w:val="0"/>
                <w:sz w:val="24"/>
                <w:szCs w:val="24"/>
                <w:lang w:eastAsia="zh-CN"/>
              </w:rPr>
            </w:pPr>
            <w:r w:rsidRPr="00BA58E2">
              <w:rPr>
                <w:rFonts w:eastAsia="SimSun"/>
                <w:noProof w:val="0"/>
                <w:sz w:val="24"/>
                <w:szCs w:val="24"/>
                <w:lang w:eastAsia="zh-CN"/>
              </w:rPr>
              <w:t>10</w:t>
            </w:r>
          </w:p>
        </w:tc>
        <w:tc>
          <w:tcPr>
            <w:tcW w:w="1310" w:type="dxa"/>
            <w:tcBorders>
              <w:top w:val="single" w:sz="4" w:space="0" w:color="auto"/>
              <w:left w:val="single" w:sz="4" w:space="0" w:color="auto"/>
              <w:bottom w:val="single" w:sz="4" w:space="0" w:color="auto"/>
              <w:right w:val="single" w:sz="4" w:space="0" w:color="auto"/>
            </w:tcBorders>
          </w:tcPr>
          <w:p w:rsidR="009E27EF" w:rsidRPr="00BA58E2" w:rsidP="009E27EF" w14:paraId="36B607D9" w14:textId="77777777">
            <w:pPr>
              <w:keepNext/>
              <w:keepLines/>
              <w:snapToGrid w:val="0"/>
              <w:jc w:val="right"/>
              <w:rPr>
                <w:rFonts w:eastAsia="SimSun"/>
                <w:noProof w:val="0"/>
                <w:sz w:val="24"/>
                <w:szCs w:val="24"/>
                <w:lang w:eastAsia="zh-CN"/>
              </w:rPr>
            </w:pPr>
            <w:r w:rsidRPr="00BA58E2">
              <w:rPr>
                <w:rFonts w:eastAsia="SimSun"/>
                <w:noProof w:val="0"/>
                <w:sz w:val="24"/>
                <w:szCs w:val="24"/>
                <w:lang w:eastAsia="zh-CN"/>
              </w:rPr>
              <w:t>15</w:t>
            </w:r>
          </w:p>
        </w:tc>
        <w:tc>
          <w:tcPr>
            <w:tcW w:w="1190" w:type="dxa"/>
            <w:tcBorders>
              <w:top w:val="single" w:sz="4" w:space="0" w:color="auto"/>
              <w:left w:val="single" w:sz="4" w:space="0" w:color="auto"/>
              <w:bottom w:val="single" w:sz="4" w:space="0" w:color="auto"/>
              <w:right w:val="single" w:sz="4" w:space="0" w:color="auto"/>
            </w:tcBorders>
          </w:tcPr>
          <w:p w:rsidR="009E27EF" w:rsidRPr="00BA58E2" w:rsidP="009E27EF" w14:paraId="0057EF5F" w14:textId="77777777">
            <w:pPr>
              <w:keepNext/>
              <w:keepLines/>
              <w:snapToGrid w:val="0"/>
              <w:jc w:val="right"/>
              <w:rPr>
                <w:rFonts w:eastAsia="SimSun"/>
                <w:noProof w:val="0"/>
                <w:sz w:val="24"/>
                <w:szCs w:val="24"/>
                <w:lang w:eastAsia="zh-CN"/>
              </w:rPr>
            </w:pPr>
            <w:r w:rsidRPr="00BA58E2">
              <w:rPr>
                <w:rFonts w:eastAsia="SimSun"/>
                <w:noProof w:val="0"/>
                <w:sz w:val="24"/>
                <w:szCs w:val="24"/>
                <w:lang w:eastAsia="zh-CN"/>
              </w:rPr>
              <w:t>10</w:t>
            </w:r>
          </w:p>
        </w:tc>
        <w:tc>
          <w:tcPr>
            <w:tcW w:w="1256" w:type="dxa"/>
            <w:tcBorders>
              <w:top w:val="single" w:sz="4" w:space="0" w:color="auto"/>
              <w:left w:val="single" w:sz="4" w:space="0" w:color="auto"/>
              <w:bottom w:val="single" w:sz="4" w:space="0" w:color="auto"/>
              <w:right w:val="single" w:sz="4" w:space="0" w:color="auto"/>
            </w:tcBorders>
          </w:tcPr>
          <w:p w:rsidR="009E27EF" w:rsidRPr="00BA58E2" w:rsidP="009E27EF" w14:paraId="4886B354" w14:textId="77777777">
            <w:pPr>
              <w:keepNext/>
              <w:keepLines/>
              <w:snapToGrid w:val="0"/>
              <w:jc w:val="right"/>
              <w:rPr>
                <w:rFonts w:eastAsia="SimSun"/>
                <w:b/>
                <w:noProof w:val="0"/>
                <w:sz w:val="24"/>
                <w:szCs w:val="24"/>
                <w:lang w:eastAsia="zh-CN"/>
              </w:rPr>
            </w:pPr>
            <w:r w:rsidRPr="00BA58E2">
              <w:rPr>
                <w:rFonts w:eastAsia="SimSun"/>
                <w:noProof w:val="0"/>
                <w:sz w:val="24"/>
                <w:szCs w:val="24"/>
                <w:lang w:eastAsia="zh-CN"/>
              </w:rPr>
              <w:t>25</w:t>
            </w:r>
          </w:p>
        </w:tc>
        <w:tc>
          <w:tcPr>
            <w:tcW w:w="1389" w:type="dxa"/>
            <w:tcBorders>
              <w:top w:val="single" w:sz="4" w:space="0" w:color="auto"/>
              <w:left w:val="single" w:sz="4" w:space="0" w:color="auto"/>
              <w:bottom w:val="single" w:sz="4" w:space="0" w:color="auto"/>
              <w:right w:val="single" w:sz="4" w:space="0" w:color="auto"/>
            </w:tcBorders>
          </w:tcPr>
          <w:p w:rsidR="009E27EF" w:rsidRPr="00BA58E2" w:rsidP="009E27EF" w14:paraId="729A709C" w14:textId="77777777">
            <w:pPr>
              <w:keepNext/>
              <w:keepLines/>
              <w:snapToGrid w:val="0"/>
              <w:jc w:val="right"/>
              <w:rPr>
                <w:rFonts w:eastAsia="SimSun"/>
                <w:bCs/>
                <w:noProof w:val="0"/>
                <w:sz w:val="24"/>
                <w:szCs w:val="24"/>
                <w:lang w:eastAsia="zh-CN"/>
              </w:rPr>
            </w:pPr>
            <w:r w:rsidRPr="00BA58E2">
              <w:rPr>
                <w:rFonts w:eastAsia="SimSun"/>
                <w:bCs/>
                <w:noProof w:val="0"/>
                <w:sz w:val="24"/>
                <w:szCs w:val="24"/>
                <w:lang w:eastAsia="zh-CN"/>
              </w:rPr>
              <w:t>$16.17*</w:t>
            </w:r>
          </w:p>
        </w:tc>
        <w:tc>
          <w:tcPr>
            <w:tcW w:w="1510" w:type="dxa"/>
            <w:tcBorders>
              <w:top w:val="single" w:sz="4" w:space="0" w:color="auto"/>
              <w:left w:val="single" w:sz="4" w:space="0" w:color="auto"/>
              <w:bottom w:val="single" w:sz="4" w:space="0" w:color="auto"/>
              <w:right w:val="single" w:sz="4" w:space="0" w:color="auto"/>
            </w:tcBorders>
          </w:tcPr>
          <w:p w:rsidR="009E27EF" w:rsidRPr="00BA58E2" w:rsidP="009E27EF" w14:paraId="29DF09C2" w14:textId="77777777">
            <w:pPr>
              <w:keepNext/>
              <w:keepLines/>
              <w:snapToGrid w:val="0"/>
              <w:jc w:val="right"/>
              <w:rPr>
                <w:rFonts w:eastAsia="SimSun"/>
                <w:bCs/>
                <w:noProof w:val="0"/>
                <w:sz w:val="24"/>
                <w:szCs w:val="24"/>
                <w:lang w:eastAsia="zh-CN"/>
              </w:rPr>
            </w:pPr>
            <w:r w:rsidRPr="00BA58E2">
              <w:rPr>
                <w:rFonts w:eastAsia="SimSun"/>
                <w:bCs/>
                <w:noProof w:val="0"/>
                <w:sz w:val="24"/>
                <w:szCs w:val="24"/>
                <w:lang w:eastAsia="zh-CN"/>
              </w:rPr>
              <w:t>$404**</w:t>
            </w:r>
          </w:p>
        </w:tc>
      </w:tr>
    </w:tbl>
    <w:p w:rsidR="009E27EF" w:rsidRPr="00BA58E2" w:rsidP="009E27EF" w14:paraId="04E76F92" w14:textId="7EB75E86">
      <w:pPr>
        <w:keepNext/>
        <w:ind w:left="1354"/>
        <w:contextualSpacing/>
        <w:rPr>
          <w:sz w:val="24"/>
          <w:szCs w:val="24"/>
        </w:rPr>
      </w:pPr>
      <w:r w:rsidRPr="00BA58E2">
        <w:rPr>
          <w:sz w:val="24"/>
          <w:szCs w:val="24"/>
        </w:rPr>
        <w:t>* We based this figure on the median hourly salary of third-party Personal Care and Service occupations hourly wages, as reported by Bureau of Labor Statistics data (</w:t>
      </w:r>
      <w:hyperlink r:id="rId6" w:history="1">
        <w:r w:rsidRPr="00BA58E2">
          <w:rPr>
            <w:rStyle w:val="Hyperlink"/>
            <w:sz w:val="24"/>
            <w:szCs w:val="24"/>
          </w:rPr>
          <w:t>https://www.bls.gov/oes/current/oes390000.htm</w:t>
        </w:r>
      </w:hyperlink>
      <w:r w:rsidRPr="00BA58E2">
        <w:rPr>
          <w:sz w:val="24"/>
          <w:szCs w:val="24"/>
        </w:rPr>
        <w:t>).</w:t>
      </w:r>
    </w:p>
    <w:p w:rsidR="009E27EF" w:rsidRPr="00BA58E2" w:rsidP="009E27EF" w14:paraId="5BB231D0" w14:textId="77777777">
      <w:pPr>
        <w:keepNext/>
        <w:ind w:left="1354"/>
        <w:contextualSpacing/>
        <w:rPr>
          <w:sz w:val="24"/>
          <w:szCs w:val="24"/>
        </w:rPr>
      </w:pPr>
    </w:p>
    <w:p w:rsidR="009E27EF" w:rsidRPr="00BA58E2" w:rsidP="009E27EF" w14:paraId="62FFDF45" w14:textId="3DAFD7C8">
      <w:pPr>
        <w:ind w:left="1440"/>
        <w:rPr>
          <w:b/>
          <w:sz w:val="24"/>
          <w:szCs w:val="24"/>
        </w:rPr>
      </w:pPr>
      <w:r w:rsidRPr="00BA58E2">
        <w:rPr>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BA58E2">
        <w:rPr>
          <w:b/>
          <w:sz w:val="24"/>
          <w:szCs w:val="24"/>
          <w:u w:val="single"/>
        </w:rPr>
        <w:t>There is no actual charge to respondents to complete the application</w:t>
      </w:r>
    </w:p>
    <w:p w:rsidR="00436A01" w:rsidRPr="00BA58E2" w:rsidP="009E27EF" w14:paraId="52D18ABE" w14:textId="77777777">
      <w:pPr>
        <w:rPr>
          <w:b/>
          <w:sz w:val="24"/>
          <w:szCs w:val="24"/>
        </w:rPr>
      </w:pPr>
    </w:p>
    <w:p w:rsidR="009E27EF" w:rsidRPr="00BA58E2" w:rsidP="009E27EF" w14:paraId="69AA3162" w14:textId="77777777">
      <w:pPr>
        <w:pStyle w:val="ListParagraph"/>
        <w:ind w:left="1440"/>
        <w:rPr>
          <w:sz w:val="24"/>
          <w:szCs w:val="24"/>
        </w:rPr>
      </w:pPr>
      <w:r w:rsidRPr="00BA58E2">
        <w:rPr>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p>
    <w:p w:rsidR="009E27EF" w:rsidRPr="00BA58E2" w:rsidP="009E27EF" w14:paraId="7FDB5587" w14:textId="7D81F437">
      <w:pPr>
        <w:pStyle w:val="ListParagraph"/>
        <w:ind w:left="1440"/>
        <w:rPr>
          <w:sz w:val="24"/>
          <w:szCs w:val="24"/>
        </w:rPr>
      </w:pPr>
      <w:r w:rsidRPr="00BA58E2">
        <w:rPr>
          <w:b/>
          <w:bCs/>
          <w:sz w:val="24"/>
          <w:szCs w:val="24"/>
        </w:rPr>
        <w:t>15</w:t>
      </w:r>
      <w:r w:rsidRPr="00BA58E2">
        <w:rPr>
          <w:sz w:val="24"/>
          <w:szCs w:val="24"/>
        </w:rPr>
        <w:t xml:space="preserve"> minutes accurately shows the average burden per response for reading the instructions, gathering the facts, and answering the questions.  Based on our current management information data, the current burden information we provided is accurate.  The total burden for this ICR is </w:t>
      </w:r>
      <w:r w:rsidRPr="00BA58E2">
        <w:rPr>
          <w:b/>
          <w:sz w:val="24"/>
          <w:szCs w:val="24"/>
        </w:rPr>
        <w:t>25</w:t>
      </w:r>
      <w:r w:rsidRPr="00BA58E2">
        <w:rPr>
          <w:sz w:val="24"/>
          <w:szCs w:val="24"/>
        </w:rPr>
        <w:t xml:space="preserve"> burden hours (reflecting SSA management information data), which results in an associated theoretical (not actual) opportunity cost financial burden of </w:t>
      </w:r>
      <w:r w:rsidRPr="00BA58E2">
        <w:rPr>
          <w:b/>
          <w:sz w:val="24"/>
          <w:szCs w:val="24"/>
        </w:rPr>
        <w:t>$404</w:t>
      </w:r>
      <w:r w:rsidRPr="00BA58E2">
        <w:rPr>
          <w:sz w:val="24"/>
          <w:szCs w:val="24"/>
        </w:rPr>
        <w:t>.  SSA does not charge respondents to complete our applications.</w:t>
      </w:r>
    </w:p>
    <w:p w:rsidR="00423854" w:rsidRPr="00BA58E2" w:rsidP="009D2230" w14:paraId="4BC4790F" w14:textId="77777777">
      <w:pPr>
        <w:pStyle w:val="ListParagraph"/>
        <w:ind w:left="1440"/>
        <w:rPr>
          <w:sz w:val="24"/>
          <w:szCs w:val="24"/>
        </w:rPr>
      </w:pPr>
    </w:p>
    <w:p w:rsidR="00875719" w:rsidRPr="00BA58E2" w:rsidP="00DE79A8" w14:paraId="3328B746" w14:textId="77777777">
      <w:pPr>
        <w:numPr>
          <w:ilvl w:val="0"/>
          <w:numId w:val="2"/>
        </w:numPr>
        <w:tabs>
          <w:tab w:val="clear" w:pos="720"/>
          <w:tab w:val="num" w:pos="1440"/>
        </w:tabs>
        <w:ind w:left="1440" w:hanging="720"/>
        <w:rPr>
          <w:b/>
          <w:sz w:val="24"/>
          <w:szCs w:val="24"/>
        </w:rPr>
      </w:pPr>
      <w:r w:rsidRPr="00BA58E2">
        <w:rPr>
          <w:b/>
          <w:sz w:val="24"/>
          <w:szCs w:val="24"/>
        </w:rPr>
        <w:t>Annual Cost to the Respondents (Other)</w:t>
      </w:r>
    </w:p>
    <w:p w:rsidR="00875719" w:rsidRPr="00BA58E2" w:rsidP="00DE79A8" w14:paraId="3C0BBECA" w14:textId="77777777">
      <w:pPr>
        <w:tabs>
          <w:tab w:val="num" w:pos="1440"/>
        </w:tabs>
        <w:ind w:left="1440"/>
        <w:rPr>
          <w:sz w:val="24"/>
          <w:szCs w:val="24"/>
        </w:rPr>
      </w:pPr>
      <w:r w:rsidRPr="00BA58E2">
        <w:rPr>
          <w:sz w:val="24"/>
          <w:szCs w:val="24"/>
        </w:rPr>
        <w:t>This collection does not impose a known cost burden to the respondents.</w:t>
      </w:r>
    </w:p>
    <w:p w:rsidR="00875719" w:rsidRPr="00BA58E2" w:rsidP="00DE79A8" w14:paraId="29A3145D" w14:textId="77777777">
      <w:pPr>
        <w:tabs>
          <w:tab w:val="num" w:pos="1440"/>
        </w:tabs>
        <w:ind w:left="1440"/>
        <w:rPr>
          <w:sz w:val="24"/>
          <w:szCs w:val="24"/>
        </w:rPr>
      </w:pPr>
    </w:p>
    <w:p w:rsidR="00875719" w:rsidRPr="00BA58E2" w:rsidP="00DE79A8" w14:paraId="70510A79" w14:textId="77777777">
      <w:pPr>
        <w:numPr>
          <w:ilvl w:val="0"/>
          <w:numId w:val="2"/>
        </w:numPr>
        <w:tabs>
          <w:tab w:val="clear" w:pos="720"/>
          <w:tab w:val="num" w:pos="1440"/>
        </w:tabs>
        <w:ind w:left="1440" w:hanging="720"/>
        <w:rPr>
          <w:b/>
          <w:sz w:val="24"/>
          <w:szCs w:val="24"/>
        </w:rPr>
      </w:pPr>
      <w:r w:rsidRPr="00BA58E2">
        <w:rPr>
          <w:b/>
          <w:sz w:val="24"/>
          <w:szCs w:val="24"/>
        </w:rPr>
        <w:t>Annual Cost To Federal Government</w:t>
      </w:r>
    </w:p>
    <w:p w:rsidR="00730449" w:rsidRPr="00BA58E2" w:rsidP="006D3F9E" w14:paraId="1DF4C895" w14:textId="398A2AB6">
      <w:pPr>
        <w:tabs>
          <w:tab w:val="num" w:pos="1440"/>
        </w:tabs>
        <w:ind w:left="1440"/>
        <w:rPr>
          <w:b/>
          <w:sz w:val="24"/>
          <w:szCs w:val="24"/>
        </w:rPr>
      </w:pPr>
      <w:r w:rsidRPr="00BA58E2">
        <w:rPr>
          <w:sz w:val="24"/>
          <w:szCs w:val="24"/>
        </w:rPr>
        <w:t>The annual cost to the Federal Government is approximately</w:t>
      </w:r>
      <w:r w:rsidRPr="00BA58E2" w:rsidR="00BE79C0">
        <w:rPr>
          <w:sz w:val="24"/>
          <w:szCs w:val="24"/>
        </w:rPr>
        <w:t xml:space="preserve"> </w:t>
      </w:r>
      <w:r w:rsidRPr="00BA58E2">
        <w:rPr>
          <w:sz w:val="24"/>
          <w:szCs w:val="24"/>
        </w:rPr>
        <w:t>$</w:t>
      </w:r>
      <w:r w:rsidRPr="00BA58E2" w:rsidR="00637279">
        <w:rPr>
          <w:sz w:val="24"/>
          <w:szCs w:val="24"/>
        </w:rPr>
        <w:t>2,288</w:t>
      </w:r>
      <w:r w:rsidRPr="00BA58E2" w:rsidR="006D3F9E">
        <w:rPr>
          <w:b/>
          <w:sz w:val="24"/>
          <w:szCs w:val="24"/>
        </w:rPr>
        <w:t xml:space="preserve">.  </w:t>
      </w:r>
      <w:r w:rsidRPr="00BA58E2" w:rsidR="006D3F9E">
        <w:rPr>
          <w:color w:val="000000"/>
          <w:sz w:val="24"/>
          <w:szCs w:val="24"/>
        </w:rPr>
        <w:t xml:space="preserve">This estimate accounts for costs from the following areas: </w:t>
      </w:r>
    </w:p>
    <w:tbl>
      <w:tblPr>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2458"/>
        <w:gridCol w:w="3117"/>
      </w:tblGrid>
      <w:tr w14:paraId="7E1634C2" w14:textId="77777777" w:rsidTr="009E27EF">
        <w:tblPrEx>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50" w:type="dxa"/>
          </w:tcPr>
          <w:p w:rsidR="00730449" w:rsidRPr="00BA58E2" w:rsidP="00DE0ACB" w14:paraId="52BFCE53" w14:textId="77777777">
            <w:pPr>
              <w:pStyle w:val="ListParagraph"/>
              <w:ind w:left="0"/>
              <w:rPr>
                <w:b/>
                <w:bCs/>
                <w:color w:val="000000"/>
                <w:sz w:val="24"/>
                <w:szCs w:val="24"/>
              </w:rPr>
            </w:pPr>
            <w:r w:rsidRPr="00BA58E2">
              <w:rPr>
                <w:b/>
                <w:bCs/>
                <w:color w:val="000000"/>
                <w:sz w:val="24"/>
                <w:szCs w:val="24"/>
              </w:rPr>
              <w:t>Description of Cost Factor</w:t>
            </w:r>
          </w:p>
        </w:tc>
        <w:tc>
          <w:tcPr>
            <w:tcW w:w="2458" w:type="dxa"/>
          </w:tcPr>
          <w:p w:rsidR="00730449" w:rsidRPr="00BA58E2" w:rsidP="00DE0ACB" w14:paraId="235B29F5" w14:textId="77777777">
            <w:pPr>
              <w:pStyle w:val="ListParagraph"/>
              <w:ind w:left="0"/>
              <w:rPr>
                <w:b/>
                <w:bCs/>
                <w:color w:val="000000"/>
                <w:sz w:val="24"/>
                <w:szCs w:val="24"/>
              </w:rPr>
            </w:pPr>
            <w:r w:rsidRPr="00BA58E2">
              <w:rPr>
                <w:b/>
                <w:bCs/>
                <w:color w:val="000000"/>
                <w:sz w:val="24"/>
                <w:szCs w:val="24"/>
              </w:rPr>
              <w:t>Methodology for Estimating Cost</w:t>
            </w:r>
          </w:p>
        </w:tc>
        <w:tc>
          <w:tcPr>
            <w:tcW w:w="3117" w:type="dxa"/>
          </w:tcPr>
          <w:p w:rsidR="00730449" w:rsidRPr="00BA58E2" w:rsidP="00637279" w14:paraId="7B6573BE" w14:textId="77777777">
            <w:pPr>
              <w:pStyle w:val="ListParagraph"/>
              <w:ind w:left="0"/>
              <w:rPr>
                <w:b/>
                <w:bCs/>
                <w:color w:val="000000"/>
                <w:sz w:val="24"/>
                <w:szCs w:val="24"/>
              </w:rPr>
            </w:pPr>
            <w:r w:rsidRPr="00BA58E2">
              <w:rPr>
                <w:b/>
                <w:bCs/>
                <w:color w:val="000000"/>
                <w:sz w:val="24"/>
                <w:szCs w:val="24"/>
              </w:rPr>
              <w:t>Cost in Dollars*</w:t>
            </w:r>
          </w:p>
        </w:tc>
      </w:tr>
      <w:tr w14:paraId="175466E4" w14:textId="77777777" w:rsidTr="009E27EF">
        <w:tblPrEx>
          <w:tblW w:w="0" w:type="auto"/>
          <w:tblInd w:w="1525" w:type="dxa"/>
          <w:tblLook w:val="04A0"/>
        </w:tblPrEx>
        <w:tc>
          <w:tcPr>
            <w:tcW w:w="2250" w:type="dxa"/>
          </w:tcPr>
          <w:p w:rsidR="00730449" w:rsidRPr="00BA58E2" w:rsidP="00DE0ACB" w14:paraId="34F2F6AE" w14:textId="77777777">
            <w:pPr>
              <w:pStyle w:val="ListParagraph"/>
              <w:ind w:left="0"/>
              <w:rPr>
                <w:color w:val="000000"/>
                <w:sz w:val="24"/>
                <w:szCs w:val="24"/>
              </w:rPr>
            </w:pPr>
            <w:r w:rsidRPr="00BA58E2">
              <w:rPr>
                <w:color w:val="000000"/>
                <w:sz w:val="24"/>
                <w:szCs w:val="24"/>
              </w:rPr>
              <w:t>Designing and Printing the Form</w:t>
            </w:r>
          </w:p>
        </w:tc>
        <w:tc>
          <w:tcPr>
            <w:tcW w:w="2458" w:type="dxa"/>
          </w:tcPr>
          <w:p w:rsidR="00730449" w:rsidRPr="00BA58E2" w:rsidP="00637279" w14:paraId="67EE42F5" w14:textId="77777777">
            <w:pPr>
              <w:pStyle w:val="ListParagraph"/>
              <w:ind w:left="0"/>
              <w:rPr>
                <w:color w:val="000000"/>
                <w:sz w:val="24"/>
                <w:szCs w:val="24"/>
              </w:rPr>
            </w:pPr>
            <w:r w:rsidRPr="00BA58E2">
              <w:rPr>
                <w:color w:val="000000"/>
                <w:sz w:val="24"/>
                <w:szCs w:val="24"/>
              </w:rPr>
              <w:t>Design Cost + Printing Cost</w:t>
            </w:r>
          </w:p>
        </w:tc>
        <w:tc>
          <w:tcPr>
            <w:tcW w:w="3117" w:type="dxa"/>
          </w:tcPr>
          <w:p w:rsidR="00730449" w:rsidRPr="00BA58E2" w:rsidP="00637279" w14:paraId="3A8B915D" w14:textId="0FF38DAD">
            <w:pPr>
              <w:pStyle w:val="ListParagraph"/>
              <w:ind w:left="0"/>
              <w:jc w:val="right"/>
              <w:rPr>
                <w:color w:val="000000"/>
                <w:sz w:val="24"/>
                <w:szCs w:val="24"/>
              </w:rPr>
            </w:pPr>
            <w:r w:rsidRPr="00BA58E2">
              <w:rPr>
                <w:color w:val="000000"/>
                <w:sz w:val="24"/>
                <w:szCs w:val="24"/>
              </w:rPr>
              <w:t>$0*</w:t>
            </w:r>
          </w:p>
        </w:tc>
      </w:tr>
      <w:tr w14:paraId="5C12DBD5" w14:textId="77777777" w:rsidTr="009E27EF">
        <w:tblPrEx>
          <w:tblW w:w="0" w:type="auto"/>
          <w:tblInd w:w="1525" w:type="dxa"/>
          <w:tblLook w:val="04A0"/>
        </w:tblPrEx>
        <w:tc>
          <w:tcPr>
            <w:tcW w:w="2250" w:type="dxa"/>
          </w:tcPr>
          <w:p w:rsidR="00730449" w:rsidRPr="00BA58E2" w:rsidP="00DE0ACB" w14:paraId="1BFC04F5" w14:textId="77777777">
            <w:pPr>
              <w:pStyle w:val="ListParagraph"/>
              <w:ind w:left="0"/>
              <w:rPr>
                <w:color w:val="000000"/>
                <w:sz w:val="24"/>
                <w:szCs w:val="24"/>
              </w:rPr>
            </w:pPr>
            <w:r w:rsidRPr="00BA58E2">
              <w:rPr>
                <w:color w:val="000000"/>
                <w:sz w:val="24"/>
                <w:szCs w:val="24"/>
              </w:rPr>
              <w:t>Distributing, Shipping, and Material Costs for the Form</w:t>
            </w:r>
          </w:p>
        </w:tc>
        <w:tc>
          <w:tcPr>
            <w:tcW w:w="2458" w:type="dxa"/>
          </w:tcPr>
          <w:p w:rsidR="00730449" w:rsidRPr="00BA58E2" w:rsidP="00637279" w14:paraId="2E56F376" w14:textId="77777777">
            <w:pPr>
              <w:pStyle w:val="ListParagraph"/>
              <w:ind w:left="0"/>
              <w:rPr>
                <w:color w:val="000000"/>
                <w:sz w:val="24"/>
                <w:szCs w:val="24"/>
              </w:rPr>
            </w:pPr>
            <w:r w:rsidRPr="00BA58E2">
              <w:rPr>
                <w:color w:val="000000"/>
                <w:sz w:val="24"/>
                <w:szCs w:val="24"/>
              </w:rPr>
              <w:t>Distribution + Shipping + Material Cost</w:t>
            </w:r>
          </w:p>
        </w:tc>
        <w:tc>
          <w:tcPr>
            <w:tcW w:w="3117" w:type="dxa"/>
          </w:tcPr>
          <w:p w:rsidR="00730449" w:rsidRPr="00BA58E2" w:rsidP="00637279" w14:paraId="58C6C225" w14:textId="71D0A652">
            <w:pPr>
              <w:pStyle w:val="ListParagraph"/>
              <w:ind w:left="0"/>
              <w:jc w:val="right"/>
              <w:rPr>
                <w:color w:val="000000"/>
                <w:sz w:val="24"/>
                <w:szCs w:val="24"/>
              </w:rPr>
            </w:pPr>
            <w:r w:rsidRPr="00BA58E2">
              <w:rPr>
                <w:color w:val="000000"/>
                <w:sz w:val="24"/>
                <w:szCs w:val="24"/>
              </w:rPr>
              <w:t>$0*</w:t>
            </w:r>
          </w:p>
        </w:tc>
      </w:tr>
      <w:tr w14:paraId="7FABDD80" w14:textId="77777777" w:rsidTr="009E27EF">
        <w:tblPrEx>
          <w:tblW w:w="0" w:type="auto"/>
          <w:tblInd w:w="1525" w:type="dxa"/>
          <w:tblLook w:val="04A0"/>
        </w:tblPrEx>
        <w:tc>
          <w:tcPr>
            <w:tcW w:w="2250" w:type="dxa"/>
          </w:tcPr>
          <w:p w:rsidR="00730449" w:rsidRPr="00BA58E2" w:rsidP="00DE0ACB" w14:paraId="5A8864C7" w14:textId="77777777">
            <w:pPr>
              <w:pStyle w:val="ListParagraph"/>
              <w:ind w:left="0"/>
              <w:rPr>
                <w:color w:val="000000"/>
                <w:sz w:val="24"/>
                <w:szCs w:val="24"/>
              </w:rPr>
            </w:pPr>
            <w:r w:rsidRPr="00BA58E2">
              <w:rPr>
                <w:color w:val="000000"/>
                <w:sz w:val="24"/>
                <w:szCs w:val="24"/>
              </w:rPr>
              <w:t>SSA Employee (e.g., field office, 800 number, DDS staff) Information Collection and Processing Time</w:t>
            </w:r>
          </w:p>
        </w:tc>
        <w:tc>
          <w:tcPr>
            <w:tcW w:w="2458" w:type="dxa"/>
          </w:tcPr>
          <w:p w:rsidR="00730449" w:rsidRPr="00BA58E2" w:rsidP="00DE0ACB" w14:paraId="3D8EFD6F" w14:textId="77777777">
            <w:pPr>
              <w:pStyle w:val="ListParagraph"/>
              <w:ind w:left="0"/>
              <w:rPr>
                <w:color w:val="000000"/>
                <w:sz w:val="24"/>
                <w:szCs w:val="24"/>
              </w:rPr>
            </w:pPr>
            <w:r w:rsidRPr="00BA58E2">
              <w:rPr>
                <w:color w:val="000000"/>
                <w:sz w:val="24"/>
                <w:szCs w:val="24"/>
              </w:rPr>
              <w:t>GS-9 employee x # of responses x processing time</w:t>
            </w:r>
          </w:p>
        </w:tc>
        <w:tc>
          <w:tcPr>
            <w:tcW w:w="3117" w:type="dxa"/>
          </w:tcPr>
          <w:p w:rsidR="00730449" w:rsidRPr="00BA58E2" w:rsidP="00637279" w14:paraId="319D6EAE" w14:textId="6C898F99">
            <w:pPr>
              <w:pStyle w:val="ListParagraph"/>
              <w:ind w:left="0"/>
              <w:jc w:val="right"/>
              <w:rPr>
                <w:color w:val="000000"/>
                <w:sz w:val="24"/>
                <w:szCs w:val="24"/>
              </w:rPr>
            </w:pPr>
            <w:r w:rsidRPr="00BA58E2">
              <w:rPr>
                <w:color w:val="000000"/>
                <w:sz w:val="24"/>
                <w:szCs w:val="24"/>
              </w:rPr>
              <w:t>$</w:t>
            </w:r>
            <w:r w:rsidRPr="00BA58E2" w:rsidR="003E2865">
              <w:rPr>
                <w:color w:val="000000"/>
                <w:sz w:val="24"/>
                <w:szCs w:val="24"/>
              </w:rPr>
              <w:t>920</w:t>
            </w:r>
          </w:p>
        </w:tc>
      </w:tr>
      <w:tr w14:paraId="39A785E0" w14:textId="77777777" w:rsidTr="009E27EF">
        <w:tblPrEx>
          <w:tblW w:w="0" w:type="auto"/>
          <w:tblInd w:w="1525" w:type="dxa"/>
          <w:tblLook w:val="04A0"/>
        </w:tblPrEx>
        <w:tc>
          <w:tcPr>
            <w:tcW w:w="2250" w:type="dxa"/>
          </w:tcPr>
          <w:p w:rsidR="00730449" w:rsidRPr="00BA58E2" w:rsidP="00DE0ACB" w14:paraId="7F5D84F6" w14:textId="77777777">
            <w:pPr>
              <w:pStyle w:val="ListParagraph"/>
              <w:ind w:left="0"/>
              <w:rPr>
                <w:color w:val="000000"/>
                <w:sz w:val="24"/>
                <w:szCs w:val="24"/>
              </w:rPr>
            </w:pPr>
            <w:r w:rsidRPr="00BA58E2">
              <w:rPr>
                <w:color w:val="000000"/>
                <w:sz w:val="24"/>
                <w:szCs w:val="24"/>
              </w:rPr>
              <w:t>Full-Time Equivalent Costs</w:t>
            </w:r>
          </w:p>
        </w:tc>
        <w:tc>
          <w:tcPr>
            <w:tcW w:w="2458" w:type="dxa"/>
          </w:tcPr>
          <w:p w:rsidR="00730449" w:rsidRPr="00BA58E2" w:rsidP="00DE0ACB" w14:paraId="41C2CF2C" w14:textId="77777777">
            <w:pPr>
              <w:pStyle w:val="ListParagraph"/>
              <w:ind w:left="0"/>
              <w:rPr>
                <w:color w:val="000000"/>
                <w:sz w:val="24"/>
                <w:szCs w:val="24"/>
              </w:rPr>
            </w:pPr>
            <w:r w:rsidRPr="00BA58E2">
              <w:rPr>
                <w:color w:val="000000"/>
                <w:sz w:val="24"/>
                <w:szCs w:val="24"/>
              </w:rPr>
              <w:t>Out of pocket costs + Other expenses for providing this service</w:t>
            </w:r>
          </w:p>
        </w:tc>
        <w:tc>
          <w:tcPr>
            <w:tcW w:w="3117" w:type="dxa"/>
          </w:tcPr>
          <w:p w:rsidR="00730449" w:rsidRPr="00BA58E2" w:rsidP="00637279" w14:paraId="6992A3EC" w14:textId="40C9F57F">
            <w:pPr>
              <w:pStyle w:val="ListParagraph"/>
              <w:ind w:left="0"/>
              <w:jc w:val="right"/>
              <w:rPr>
                <w:color w:val="000000"/>
                <w:sz w:val="24"/>
                <w:szCs w:val="24"/>
              </w:rPr>
            </w:pPr>
            <w:r w:rsidRPr="00BA58E2">
              <w:rPr>
                <w:color w:val="000000"/>
                <w:sz w:val="24"/>
                <w:szCs w:val="24"/>
              </w:rPr>
              <w:t>$</w:t>
            </w:r>
            <w:r w:rsidRPr="00BA58E2" w:rsidR="003E2865">
              <w:rPr>
                <w:color w:val="000000"/>
                <w:sz w:val="24"/>
                <w:szCs w:val="24"/>
              </w:rPr>
              <w:t>0</w:t>
            </w:r>
            <w:r w:rsidRPr="00BA58E2">
              <w:rPr>
                <w:color w:val="000000"/>
                <w:sz w:val="24"/>
                <w:szCs w:val="24"/>
              </w:rPr>
              <w:t>*</w:t>
            </w:r>
          </w:p>
        </w:tc>
      </w:tr>
      <w:tr w14:paraId="00C85D79" w14:textId="77777777" w:rsidTr="009E27EF">
        <w:tblPrEx>
          <w:tblW w:w="0" w:type="auto"/>
          <w:tblInd w:w="1525" w:type="dxa"/>
          <w:tblLook w:val="04A0"/>
        </w:tblPrEx>
        <w:tc>
          <w:tcPr>
            <w:tcW w:w="2250" w:type="dxa"/>
          </w:tcPr>
          <w:p w:rsidR="00730449" w:rsidRPr="00BA58E2" w:rsidP="00DE0ACB" w14:paraId="6AC7C6DA" w14:textId="77777777">
            <w:pPr>
              <w:pStyle w:val="ListParagraph"/>
              <w:ind w:left="0"/>
              <w:rPr>
                <w:color w:val="000000"/>
                <w:sz w:val="24"/>
                <w:szCs w:val="24"/>
              </w:rPr>
            </w:pPr>
            <w:r w:rsidRPr="00BA58E2">
              <w:rPr>
                <w:color w:val="000000"/>
                <w:sz w:val="24"/>
                <w:szCs w:val="24"/>
              </w:rPr>
              <w:t>Systems Development, Updating, and Maintenance</w:t>
            </w:r>
          </w:p>
        </w:tc>
        <w:tc>
          <w:tcPr>
            <w:tcW w:w="2458" w:type="dxa"/>
          </w:tcPr>
          <w:p w:rsidR="00730449" w:rsidRPr="00BA58E2" w:rsidP="00DE0ACB" w14:paraId="0D24894B" w14:textId="77777777">
            <w:pPr>
              <w:pStyle w:val="ListParagraph"/>
              <w:ind w:left="0"/>
              <w:rPr>
                <w:color w:val="000000"/>
                <w:sz w:val="24"/>
                <w:szCs w:val="24"/>
              </w:rPr>
            </w:pPr>
            <w:r w:rsidRPr="00BA58E2">
              <w:rPr>
                <w:color w:val="000000"/>
                <w:sz w:val="24"/>
                <w:szCs w:val="24"/>
              </w:rPr>
              <w:t>GS-9 employee x man hours for development, updating, maintenance</w:t>
            </w:r>
          </w:p>
        </w:tc>
        <w:tc>
          <w:tcPr>
            <w:tcW w:w="3117" w:type="dxa"/>
          </w:tcPr>
          <w:p w:rsidR="00730449" w:rsidRPr="00BA58E2" w:rsidP="00637279" w14:paraId="4DB3AB88" w14:textId="49C30A5F">
            <w:pPr>
              <w:pStyle w:val="ListParagraph"/>
              <w:ind w:left="0"/>
              <w:jc w:val="right"/>
              <w:rPr>
                <w:color w:val="000000"/>
                <w:sz w:val="24"/>
                <w:szCs w:val="24"/>
              </w:rPr>
            </w:pPr>
            <w:r w:rsidRPr="00BA58E2">
              <w:rPr>
                <w:color w:val="000000"/>
                <w:sz w:val="24"/>
                <w:szCs w:val="24"/>
              </w:rPr>
              <w:t>$</w:t>
            </w:r>
            <w:r w:rsidRPr="00BA58E2" w:rsidR="002E0359">
              <w:rPr>
                <w:color w:val="000000"/>
                <w:sz w:val="24"/>
                <w:szCs w:val="24"/>
              </w:rPr>
              <w:t>1,368</w:t>
            </w:r>
          </w:p>
        </w:tc>
      </w:tr>
      <w:tr w14:paraId="10748AB6" w14:textId="77777777" w:rsidTr="009E27EF">
        <w:tblPrEx>
          <w:tblW w:w="0" w:type="auto"/>
          <w:tblInd w:w="1525" w:type="dxa"/>
          <w:tblLook w:val="04A0"/>
        </w:tblPrEx>
        <w:tc>
          <w:tcPr>
            <w:tcW w:w="2250" w:type="dxa"/>
          </w:tcPr>
          <w:p w:rsidR="00730449" w:rsidRPr="00BA58E2" w:rsidP="00DE0ACB" w14:paraId="5BF2C1F3" w14:textId="77777777">
            <w:pPr>
              <w:pStyle w:val="ListParagraph"/>
              <w:ind w:left="0"/>
              <w:rPr>
                <w:b/>
                <w:bCs/>
                <w:color w:val="000000"/>
                <w:sz w:val="24"/>
                <w:szCs w:val="24"/>
              </w:rPr>
            </w:pPr>
            <w:r w:rsidRPr="00BA58E2">
              <w:rPr>
                <w:b/>
                <w:bCs/>
                <w:color w:val="000000"/>
                <w:sz w:val="24"/>
                <w:szCs w:val="24"/>
              </w:rPr>
              <w:t>Total</w:t>
            </w:r>
          </w:p>
        </w:tc>
        <w:tc>
          <w:tcPr>
            <w:tcW w:w="2458" w:type="dxa"/>
          </w:tcPr>
          <w:p w:rsidR="00730449" w:rsidRPr="00BA58E2" w:rsidP="00DE0ACB" w14:paraId="0B075EDF" w14:textId="77777777">
            <w:pPr>
              <w:pStyle w:val="ListParagraph"/>
              <w:ind w:left="0"/>
              <w:rPr>
                <w:b/>
                <w:bCs/>
                <w:color w:val="000000"/>
                <w:sz w:val="24"/>
                <w:szCs w:val="24"/>
              </w:rPr>
            </w:pPr>
          </w:p>
        </w:tc>
        <w:tc>
          <w:tcPr>
            <w:tcW w:w="3117" w:type="dxa"/>
          </w:tcPr>
          <w:p w:rsidR="00730449" w:rsidRPr="00BA58E2" w:rsidP="00637279" w14:paraId="34CF5173" w14:textId="5A71AD7C">
            <w:pPr>
              <w:pStyle w:val="ListParagraph"/>
              <w:ind w:left="0"/>
              <w:jc w:val="right"/>
              <w:rPr>
                <w:b/>
                <w:bCs/>
                <w:color w:val="000000"/>
                <w:sz w:val="24"/>
                <w:szCs w:val="24"/>
              </w:rPr>
            </w:pPr>
            <w:r w:rsidRPr="00BA58E2">
              <w:rPr>
                <w:b/>
                <w:bCs/>
                <w:color w:val="000000"/>
                <w:sz w:val="24"/>
                <w:szCs w:val="24"/>
              </w:rPr>
              <w:t>$</w:t>
            </w:r>
            <w:r w:rsidRPr="00BA58E2" w:rsidR="00637279">
              <w:rPr>
                <w:b/>
                <w:bCs/>
                <w:color w:val="000000"/>
                <w:sz w:val="24"/>
                <w:szCs w:val="24"/>
              </w:rPr>
              <w:t>2,288</w:t>
            </w:r>
          </w:p>
        </w:tc>
      </w:tr>
    </w:tbl>
    <w:p w:rsidR="00637279" w:rsidRPr="00BA58E2" w:rsidP="00637279" w14:paraId="17926D12" w14:textId="77777777">
      <w:pPr>
        <w:ind w:left="1440"/>
        <w:rPr>
          <w:color w:val="000000"/>
          <w:sz w:val="24"/>
          <w:szCs w:val="24"/>
        </w:rPr>
      </w:pPr>
      <w:r w:rsidRPr="00BA58E2">
        <w:rPr>
          <w:color w:val="000000"/>
          <w:sz w:val="24"/>
          <w:szCs w:val="24"/>
        </w:rPr>
        <w:t>* We have inserted a $0 amount for cost factors that do not apply to this collection.</w:t>
      </w:r>
    </w:p>
    <w:p w:rsidR="00637279" w:rsidRPr="00BA58E2" w:rsidP="00637279" w14:paraId="676F1232" w14:textId="77777777">
      <w:pPr>
        <w:rPr>
          <w:color w:val="000000"/>
          <w:sz w:val="24"/>
          <w:szCs w:val="24"/>
        </w:rPr>
      </w:pPr>
    </w:p>
    <w:p w:rsidR="00637279" w:rsidRPr="00BA58E2" w:rsidP="00637279" w14:paraId="2B19ED05" w14:textId="3521D883">
      <w:pPr>
        <w:ind w:left="1440"/>
        <w:rPr>
          <w:color w:val="000000"/>
          <w:sz w:val="24"/>
          <w:szCs w:val="24"/>
        </w:rPr>
      </w:pPr>
      <w:r w:rsidRPr="00BA58E2">
        <w:rPr>
          <w:color w:val="000000"/>
          <w:sz w:val="24"/>
          <w:szCs w:val="24"/>
        </w:rPr>
        <w:t>SSA is unable to break down the costs to the Federal government further than we already have.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DA26A8" w:rsidRPr="00BA58E2" w:rsidP="006D3F9E" w14:paraId="0F5A0018" w14:textId="74B2A024">
      <w:pPr>
        <w:tabs>
          <w:tab w:val="num" w:pos="1440"/>
        </w:tabs>
        <w:ind w:left="1440"/>
        <w:rPr>
          <w:b/>
          <w:sz w:val="24"/>
          <w:szCs w:val="24"/>
        </w:rPr>
      </w:pPr>
      <w:r w:rsidRPr="00BA58E2">
        <w:rPr>
          <w:b/>
          <w:sz w:val="24"/>
          <w:szCs w:val="24"/>
        </w:rPr>
        <w:tab/>
      </w:r>
    </w:p>
    <w:p w:rsidR="0059477F" w:rsidRPr="00BA58E2" w:rsidP="00DE79A8" w14:paraId="0AC2574A" w14:textId="77777777">
      <w:pPr>
        <w:pStyle w:val="BodyTextIndent"/>
        <w:numPr>
          <w:ilvl w:val="0"/>
          <w:numId w:val="2"/>
        </w:numPr>
        <w:tabs>
          <w:tab w:val="clear" w:pos="720"/>
          <w:tab w:val="num" w:pos="1440"/>
        </w:tabs>
        <w:ind w:left="1440" w:hanging="720"/>
        <w:rPr>
          <w:rFonts w:ascii="Times New Roman" w:hAnsi="Times New Roman"/>
          <w:b/>
          <w:szCs w:val="24"/>
        </w:rPr>
      </w:pPr>
      <w:r w:rsidRPr="00BA58E2">
        <w:rPr>
          <w:rFonts w:ascii="Times New Roman" w:hAnsi="Times New Roman"/>
          <w:b/>
          <w:szCs w:val="24"/>
        </w:rPr>
        <w:t>Program Changes or Adjustments to the Information Collection Request</w:t>
      </w:r>
    </w:p>
    <w:p w:rsidR="00786500" w:rsidRPr="00BA58E2" w:rsidP="00786500" w14:paraId="5C9B58B2" w14:textId="77777777">
      <w:pPr>
        <w:pStyle w:val="ListParagraph"/>
        <w:ind w:firstLine="720"/>
        <w:rPr>
          <w:sz w:val="24"/>
          <w:szCs w:val="24"/>
        </w:rPr>
      </w:pPr>
      <w:r w:rsidRPr="00BA58E2">
        <w:rPr>
          <w:sz w:val="24"/>
          <w:szCs w:val="24"/>
        </w:rPr>
        <w:t>There are no changes to the public reporting burden.</w:t>
      </w:r>
    </w:p>
    <w:p w:rsidR="00786500" w:rsidRPr="00BA58E2" w:rsidP="00786500" w14:paraId="4EA681F3" w14:textId="77777777">
      <w:pPr>
        <w:pStyle w:val="ListParagraph"/>
        <w:rPr>
          <w:sz w:val="24"/>
          <w:szCs w:val="24"/>
        </w:rPr>
      </w:pPr>
    </w:p>
    <w:p w:rsidR="00875719" w:rsidRPr="00BA58E2" w:rsidP="00DE79A8" w14:paraId="64D42696" w14:textId="77777777">
      <w:pPr>
        <w:numPr>
          <w:ilvl w:val="0"/>
          <w:numId w:val="2"/>
        </w:numPr>
        <w:tabs>
          <w:tab w:val="clear" w:pos="720"/>
          <w:tab w:val="num" w:pos="1440"/>
        </w:tabs>
        <w:ind w:left="1440" w:hanging="720"/>
        <w:rPr>
          <w:b/>
          <w:sz w:val="24"/>
          <w:szCs w:val="24"/>
        </w:rPr>
      </w:pPr>
      <w:r w:rsidRPr="00BA58E2">
        <w:rPr>
          <w:b/>
          <w:sz w:val="24"/>
          <w:szCs w:val="24"/>
        </w:rPr>
        <w:t>Plans for Publication Information Collection Results</w:t>
      </w:r>
    </w:p>
    <w:p w:rsidR="00875719" w:rsidRPr="00BA58E2" w:rsidP="00DE79A8" w14:paraId="39D92421" w14:textId="77777777">
      <w:pPr>
        <w:tabs>
          <w:tab w:val="num" w:pos="1440"/>
        </w:tabs>
        <w:ind w:left="1440"/>
        <w:rPr>
          <w:sz w:val="24"/>
          <w:szCs w:val="24"/>
        </w:rPr>
      </w:pPr>
      <w:r w:rsidRPr="00BA58E2">
        <w:rPr>
          <w:sz w:val="24"/>
          <w:szCs w:val="24"/>
        </w:rPr>
        <w:t>SSA will not publish the results of the information collection.</w:t>
      </w:r>
    </w:p>
    <w:p w:rsidR="00875719" w:rsidRPr="00BA58E2" w:rsidP="00DE79A8" w14:paraId="5A4BE572" w14:textId="77777777">
      <w:pPr>
        <w:tabs>
          <w:tab w:val="num" w:pos="1440"/>
        </w:tabs>
        <w:ind w:left="1440"/>
        <w:rPr>
          <w:sz w:val="24"/>
          <w:szCs w:val="24"/>
        </w:rPr>
      </w:pPr>
    </w:p>
    <w:p w:rsidR="00875719" w:rsidRPr="00BA58E2" w:rsidP="00DE79A8" w14:paraId="2CAE2FFD" w14:textId="77777777">
      <w:pPr>
        <w:numPr>
          <w:ilvl w:val="0"/>
          <w:numId w:val="2"/>
        </w:numPr>
        <w:tabs>
          <w:tab w:val="clear" w:pos="720"/>
          <w:tab w:val="num" w:pos="1440"/>
        </w:tabs>
        <w:ind w:left="1440" w:hanging="720"/>
        <w:rPr>
          <w:b/>
          <w:sz w:val="24"/>
          <w:szCs w:val="24"/>
        </w:rPr>
      </w:pPr>
      <w:r w:rsidRPr="00BA58E2">
        <w:rPr>
          <w:b/>
          <w:sz w:val="24"/>
          <w:szCs w:val="24"/>
        </w:rPr>
        <w:t>Displaying the OMB Approval Expiration Date</w:t>
      </w:r>
    </w:p>
    <w:p w:rsidR="005B5C08" w:rsidRPr="00BA58E2" w:rsidP="00DE79A8" w14:paraId="3173D421" w14:textId="77777777">
      <w:pPr>
        <w:tabs>
          <w:tab w:val="num" w:pos="1440"/>
        </w:tabs>
        <w:ind w:left="1440"/>
        <w:rPr>
          <w:sz w:val="24"/>
          <w:szCs w:val="24"/>
        </w:rPr>
      </w:pPr>
      <w:r w:rsidRPr="00BA58E2">
        <w:rPr>
          <w:sz w:val="24"/>
          <w:szCs w:val="24"/>
        </w:rPr>
        <w:t>SSA is not requesting an exception to the requirements to display an expiration date.</w:t>
      </w:r>
    </w:p>
    <w:p w:rsidR="005B5C08" w:rsidRPr="00BA58E2" w:rsidP="00DE79A8" w14:paraId="439DB9F3" w14:textId="77777777">
      <w:pPr>
        <w:tabs>
          <w:tab w:val="num" w:pos="1440"/>
        </w:tabs>
        <w:ind w:left="1440"/>
        <w:rPr>
          <w:sz w:val="24"/>
          <w:szCs w:val="24"/>
        </w:rPr>
      </w:pPr>
    </w:p>
    <w:p w:rsidR="00875719" w:rsidRPr="00BA58E2" w:rsidP="00DE79A8" w14:paraId="14F36F74" w14:textId="77777777">
      <w:pPr>
        <w:numPr>
          <w:ilvl w:val="0"/>
          <w:numId w:val="2"/>
        </w:numPr>
        <w:tabs>
          <w:tab w:val="clear" w:pos="720"/>
          <w:tab w:val="num" w:pos="1440"/>
        </w:tabs>
        <w:ind w:left="1440" w:hanging="720"/>
        <w:rPr>
          <w:b/>
          <w:sz w:val="24"/>
          <w:szCs w:val="24"/>
        </w:rPr>
      </w:pPr>
      <w:r w:rsidRPr="00BA58E2">
        <w:rPr>
          <w:b/>
          <w:sz w:val="24"/>
          <w:szCs w:val="24"/>
        </w:rPr>
        <w:t>Exceptions to Certification Statement</w:t>
      </w:r>
    </w:p>
    <w:p w:rsidR="00786500" w:rsidRPr="00BA58E2" w:rsidP="00DE79A8" w14:paraId="5A077641" w14:textId="77777777">
      <w:pPr>
        <w:tabs>
          <w:tab w:val="num" w:pos="1440"/>
        </w:tabs>
        <w:ind w:left="1440"/>
        <w:rPr>
          <w:sz w:val="24"/>
          <w:szCs w:val="24"/>
        </w:rPr>
      </w:pPr>
      <w:r w:rsidRPr="00BA58E2">
        <w:rPr>
          <w:sz w:val="24"/>
          <w:szCs w:val="24"/>
        </w:rPr>
        <w:t xml:space="preserve">SSA is not requesting an exception to the certification requirements at </w:t>
      </w:r>
    </w:p>
    <w:p w:rsidR="00875719" w:rsidRPr="00BA58E2" w:rsidP="00DE79A8" w14:paraId="6B506F88" w14:textId="77777777">
      <w:pPr>
        <w:tabs>
          <w:tab w:val="num" w:pos="1440"/>
        </w:tabs>
        <w:ind w:left="1440"/>
        <w:rPr>
          <w:sz w:val="24"/>
          <w:szCs w:val="24"/>
        </w:rPr>
      </w:pPr>
      <w:r w:rsidRPr="00BA58E2">
        <w:rPr>
          <w:i/>
          <w:sz w:val="24"/>
          <w:szCs w:val="24"/>
        </w:rPr>
        <w:t>5 CFR 1320.9</w:t>
      </w:r>
      <w:r w:rsidRPr="00BA58E2">
        <w:rPr>
          <w:sz w:val="24"/>
          <w:szCs w:val="24"/>
        </w:rPr>
        <w:t xml:space="preserve"> and related provisions at</w:t>
      </w:r>
      <w:r w:rsidRPr="00BA58E2">
        <w:rPr>
          <w:i/>
          <w:sz w:val="24"/>
          <w:szCs w:val="24"/>
        </w:rPr>
        <w:t xml:space="preserve"> 5 CFR 1320.8(b)(3)</w:t>
      </w:r>
      <w:r w:rsidRPr="00BA58E2">
        <w:rPr>
          <w:sz w:val="24"/>
          <w:szCs w:val="24"/>
        </w:rPr>
        <w:t>.</w:t>
      </w:r>
    </w:p>
    <w:p w:rsidR="00875719" w:rsidRPr="00BA58E2" w:rsidP="00875719" w14:paraId="07D39F08" w14:textId="77777777">
      <w:pPr>
        <w:ind w:left="720" w:hanging="360"/>
        <w:rPr>
          <w:sz w:val="24"/>
          <w:szCs w:val="24"/>
        </w:rPr>
      </w:pPr>
    </w:p>
    <w:p w:rsidR="00875719" w:rsidRPr="00BA58E2" w:rsidP="00DE79A8" w14:paraId="5C88BBAA" w14:textId="77777777">
      <w:pPr>
        <w:ind w:left="720" w:hanging="540"/>
        <w:rPr>
          <w:sz w:val="24"/>
          <w:szCs w:val="24"/>
        </w:rPr>
      </w:pPr>
      <w:r w:rsidRPr="00BA58E2">
        <w:rPr>
          <w:b/>
          <w:sz w:val="24"/>
          <w:szCs w:val="24"/>
        </w:rPr>
        <w:t>B.</w:t>
      </w:r>
      <w:r w:rsidRPr="00BA58E2">
        <w:rPr>
          <w:b/>
          <w:sz w:val="24"/>
          <w:szCs w:val="24"/>
        </w:rPr>
        <w:tab/>
      </w:r>
      <w:r w:rsidRPr="00BA58E2">
        <w:rPr>
          <w:b/>
          <w:sz w:val="24"/>
          <w:szCs w:val="24"/>
          <w:u w:val="single"/>
        </w:rPr>
        <w:t>Collections of Information Employinq Statistical Methods</w:t>
      </w:r>
    </w:p>
    <w:p w:rsidR="00875719" w:rsidRPr="00BA58E2" w:rsidP="00875719" w14:paraId="049446B9" w14:textId="77777777">
      <w:pPr>
        <w:ind w:firstLine="720"/>
        <w:rPr>
          <w:sz w:val="24"/>
          <w:szCs w:val="24"/>
          <w:u w:val="single"/>
        </w:rPr>
      </w:pPr>
    </w:p>
    <w:p w:rsidR="00CF5672" w:rsidRPr="00BA58E2" w:rsidP="00637279" w14:paraId="41AF8BFD" w14:textId="6E7BDA7A">
      <w:pPr>
        <w:ind w:left="1440"/>
        <w:rPr>
          <w:sz w:val="24"/>
          <w:szCs w:val="24"/>
        </w:rPr>
      </w:pPr>
      <w:r w:rsidRPr="00BA58E2">
        <w:rPr>
          <w:sz w:val="24"/>
          <w:szCs w:val="24"/>
        </w:rPr>
        <w:t>SSA does not use statistical methods for this information collection</w:t>
      </w:r>
      <w:r w:rsidRPr="00BA58E2" w:rsidR="00273774">
        <w:rPr>
          <w:sz w:val="24"/>
          <w:szCs w:val="24"/>
        </w:rPr>
        <w:t>.</w:t>
      </w:r>
      <w:r w:rsidRPr="00BA58E2" w:rsidR="00AA0498">
        <w:rPr>
          <w:sz w:val="24"/>
          <w:szCs w:val="24"/>
        </w:rPr>
        <w:t xml:space="preserve"> </w:t>
      </w:r>
    </w:p>
    <w:sectPr w:rsidSect="00DE79A8">
      <w:headerReference w:type="even" r:id="rId7"/>
      <w:headerReference w:type="default" r:id="rId8"/>
      <w:footerReference w:type="even" r:id="rId9"/>
      <w:footerReference w:type="default" r:id="rId10"/>
      <w:type w:val="continuous"/>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1FB8" w14:paraId="0EB7CF5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31FB8" w14:paraId="3C9905D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1FB8" w14:paraId="09CB8827" w14:textId="77777777">
    <w:pPr>
      <w:pStyle w:val="Footer"/>
      <w:framePr w:wrap="around" w:vAnchor="text" w:hAnchor="margin" w:xAlign="right" w:y="1"/>
      <w:rPr>
        <w:rStyle w:val="PageNumber"/>
      </w:rPr>
    </w:pPr>
  </w:p>
  <w:p w:rsidR="00A31FB8" w14:paraId="6032FA29" w14:textId="77777777">
    <w:pPr>
      <w:pStyle w:val="Footer"/>
      <w:ind w:right="360"/>
      <w:rPr>
        <w:rStyle w:val="PageNumber"/>
      </w:rPr>
    </w:pPr>
    <w:r>
      <w:rPr>
        <w:snapToGrid w:val="0"/>
      </w:rPr>
      <w:tab/>
    </w:r>
    <w:r>
      <w:rPr>
        <w:rStyle w:val="PageNumber"/>
      </w:rPr>
      <w:fldChar w:fldCharType="begin"/>
    </w:r>
    <w:r>
      <w:rPr>
        <w:rStyle w:val="PageNumber"/>
      </w:rPr>
      <w:instrText xml:space="preserve"> PAGE </w:instrText>
    </w:r>
    <w:r>
      <w:rPr>
        <w:rStyle w:val="PageNumber"/>
      </w:rPr>
      <w:fldChar w:fldCharType="separate"/>
    </w:r>
    <w:r w:rsidR="00B805D5">
      <w:rPr>
        <w:rStyle w:val="PageNumber"/>
      </w:rPr>
      <w:t>1</w:t>
    </w:r>
    <w:r>
      <w:rPr>
        <w:rStyle w:val="PageNumber"/>
      </w:rPr>
      <w:fldChar w:fldCharType="end"/>
    </w:r>
    <w:r>
      <w:rPr>
        <w:rStyle w:val="PageNumber"/>
      </w:rPr>
      <w:tab/>
    </w:r>
  </w:p>
  <w:p w:rsidR="00A31FB8" w14:paraId="1EB3E75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1FB8" w14:paraId="1DAC76EB"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31FB8" w14:paraId="7C5AC579"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1FB8" w14:paraId="33EAD740" w14:textId="77777777">
    <w:pPr>
      <w:pStyle w:val="Header"/>
      <w:framePr w:wrap="around" w:vAnchor="text" w:hAnchor="margin" w:xAlign="right" w:y="1"/>
      <w:rPr>
        <w:rStyle w:val="PageNumber"/>
      </w:rPr>
    </w:pPr>
  </w:p>
  <w:p w:rsidR="00A31FB8" w14:paraId="53507695"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A20B0"/>
    <w:multiLevelType w:val="hybridMultilevel"/>
    <w:tmpl w:val="56427EBC"/>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F03EE4"/>
    <w:multiLevelType w:val="hybridMultilevel"/>
    <w:tmpl w:val="4FA4BA72"/>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CF41D6"/>
    <w:multiLevelType w:val="hybridMultilevel"/>
    <w:tmpl w:val="C2B669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DB4E8A"/>
    <w:multiLevelType w:val="multilevel"/>
    <w:tmpl w:val="A5FE8C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7495044"/>
    <w:multiLevelType w:val="singleLevel"/>
    <w:tmpl w:val="0409000F"/>
    <w:lvl w:ilvl="0">
      <w:start w:val="1"/>
      <w:numFmt w:val="decimal"/>
      <w:lvlText w:val="%1."/>
      <w:lvlJc w:val="left"/>
      <w:pPr>
        <w:tabs>
          <w:tab w:val="num" w:pos="360"/>
        </w:tabs>
        <w:ind w:left="360" w:hanging="360"/>
      </w:pPr>
    </w:lvl>
  </w:abstractNum>
  <w:abstractNum w:abstractNumId="5">
    <w:nsid w:val="290A183D"/>
    <w:multiLevelType w:val="hybridMultilevel"/>
    <w:tmpl w:val="F7DC7DDE"/>
    <w:lvl w:ilvl="0">
      <w:start w:val="0"/>
      <w:numFmt w:val="bullet"/>
      <w:lvlText w:val="-"/>
      <w:lvlJc w:val="left"/>
      <w:pPr>
        <w:ind w:left="1440" w:hanging="360"/>
      </w:pPr>
      <w:rPr>
        <w:rFonts w:ascii="Calibri" w:eastAsia="Calibri" w:hAnsi="Calibr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3406780D"/>
    <w:multiLevelType w:val="multilevel"/>
    <w:tmpl w:val="196EFDB0"/>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nsid w:val="58E05F15"/>
    <w:multiLevelType w:val="multilevel"/>
    <w:tmpl w:val="05B2D83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nsid w:val="5B983300"/>
    <w:multiLevelType w:val="hybridMultilevel"/>
    <w:tmpl w:val="A1140E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E3309C1"/>
    <w:multiLevelType w:val="hybridMultilevel"/>
    <w:tmpl w:val="AC5E47E2"/>
    <w:lvl w:ilvl="0">
      <w:start w:val="1"/>
      <w:numFmt w:val="decimal"/>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2A9018D"/>
    <w:multiLevelType w:val="hybridMultilevel"/>
    <w:tmpl w:val="CC406E3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72941484">
    <w:abstractNumId w:val="4"/>
  </w:num>
  <w:num w:numId="2" w16cid:durableId="138764933">
    <w:abstractNumId w:val="9"/>
  </w:num>
  <w:num w:numId="3" w16cid:durableId="1812475351">
    <w:abstractNumId w:val="3"/>
  </w:num>
  <w:num w:numId="4" w16cid:durableId="1911695380">
    <w:abstractNumId w:val="1"/>
  </w:num>
  <w:num w:numId="5" w16cid:durableId="871570619">
    <w:abstractNumId w:val="6"/>
  </w:num>
  <w:num w:numId="6" w16cid:durableId="838814011">
    <w:abstractNumId w:val="2"/>
  </w:num>
  <w:num w:numId="7" w16cid:durableId="1503010822">
    <w:abstractNumId w:val="0"/>
  </w:num>
  <w:num w:numId="8" w16cid:durableId="520705925">
    <w:abstractNumId w:val="8"/>
  </w:num>
  <w:num w:numId="9" w16cid:durableId="413862500">
    <w:abstractNumId w:val="5"/>
  </w:num>
  <w:num w:numId="10" w16cid:durableId="955789041">
    <w:abstractNumId w:val="10"/>
    <w:lvlOverride w:ilvl="0">
      <w:startOverride w:val="1"/>
    </w:lvlOverride>
    <w:lvlOverride w:ilvl="1"/>
    <w:lvlOverride w:ilvl="2"/>
    <w:lvlOverride w:ilvl="3"/>
    <w:lvlOverride w:ilvl="4"/>
    <w:lvlOverride w:ilvl="5"/>
    <w:lvlOverride w:ilvl="6"/>
    <w:lvlOverride w:ilvl="7"/>
    <w:lvlOverride w:ilvl="8"/>
  </w:num>
  <w:num w:numId="11" w16cid:durableId="466104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672"/>
    <w:rsid w:val="000233BB"/>
    <w:rsid w:val="00034675"/>
    <w:rsid w:val="0005148C"/>
    <w:rsid w:val="00054C5C"/>
    <w:rsid w:val="00065F76"/>
    <w:rsid w:val="000807C9"/>
    <w:rsid w:val="000A7533"/>
    <w:rsid w:val="000C07EB"/>
    <w:rsid w:val="000E0BFD"/>
    <w:rsid w:val="000F215B"/>
    <w:rsid w:val="00102972"/>
    <w:rsid w:val="00107C54"/>
    <w:rsid w:val="001144E8"/>
    <w:rsid w:val="0011649E"/>
    <w:rsid w:val="00134020"/>
    <w:rsid w:val="00151327"/>
    <w:rsid w:val="00183B7D"/>
    <w:rsid w:val="00215256"/>
    <w:rsid w:val="0022745E"/>
    <w:rsid w:val="002528AF"/>
    <w:rsid w:val="002717C4"/>
    <w:rsid w:val="00271F6E"/>
    <w:rsid w:val="00273774"/>
    <w:rsid w:val="00294061"/>
    <w:rsid w:val="002A56EB"/>
    <w:rsid w:val="002D2154"/>
    <w:rsid w:val="002E0359"/>
    <w:rsid w:val="002E7644"/>
    <w:rsid w:val="002F3E54"/>
    <w:rsid w:val="002F4D43"/>
    <w:rsid w:val="002F56D7"/>
    <w:rsid w:val="00303BDC"/>
    <w:rsid w:val="00304CCB"/>
    <w:rsid w:val="003062CA"/>
    <w:rsid w:val="0033048B"/>
    <w:rsid w:val="00337CB6"/>
    <w:rsid w:val="00344713"/>
    <w:rsid w:val="003515BB"/>
    <w:rsid w:val="00360B39"/>
    <w:rsid w:val="0036710D"/>
    <w:rsid w:val="00377D70"/>
    <w:rsid w:val="003C3446"/>
    <w:rsid w:val="003D4F87"/>
    <w:rsid w:val="003E1766"/>
    <w:rsid w:val="003E2865"/>
    <w:rsid w:val="0041196C"/>
    <w:rsid w:val="00422551"/>
    <w:rsid w:val="00423854"/>
    <w:rsid w:val="00433ABE"/>
    <w:rsid w:val="00436A01"/>
    <w:rsid w:val="0044107F"/>
    <w:rsid w:val="00460BCB"/>
    <w:rsid w:val="0047739C"/>
    <w:rsid w:val="00492C2D"/>
    <w:rsid w:val="004A2673"/>
    <w:rsid w:val="004B6D27"/>
    <w:rsid w:val="004E69F8"/>
    <w:rsid w:val="005310C9"/>
    <w:rsid w:val="00536641"/>
    <w:rsid w:val="005604E2"/>
    <w:rsid w:val="0058207A"/>
    <w:rsid w:val="0059477F"/>
    <w:rsid w:val="005B5C08"/>
    <w:rsid w:val="005E0A61"/>
    <w:rsid w:val="005F6A12"/>
    <w:rsid w:val="00600BFA"/>
    <w:rsid w:val="00613F88"/>
    <w:rsid w:val="00622BBD"/>
    <w:rsid w:val="00637279"/>
    <w:rsid w:val="00655254"/>
    <w:rsid w:val="00670A26"/>
    <w:rsid w:val="00684E47"/>
    <w:rsid w:val="00692571"/>
    <w:rsid w:val="006A5710"/>
    <w:rsid w:val="006D3F9E"/>
    <w:rsid w:val="006E3804"/>
    <w:rsid w:val="006F011C"/>
    <w:rsid w:val="006F4DFE"/>
    <w:rsid w:val="0070046E"/>
    <w:rsid w:val="00706816"/>
    <w:rsid w:val="007116FE"/>
    <w:rsid w:val="00720297"/>
    <w:rsid w:val="007240E6"/>
    <w:rsid w:val="00730449"/>
    <w:rsid w:val="007446A5"/>
    <w:rsid w:val="00756E75"/>
    <w:rsid w:val="007625CB"/>
    <w:rsid w:val="0076720B"/>
    <w:rsid w:val="0077704C"/>
    <w:rsid w:val="00786500"/>
    <w:rsid w:val="007871A0"/>
    <w:rsid w:val="007B69A3"/>
    <w:rsid w:val="007C1024"/>
    <w:rsid w:val="007C42C1"/>
    <w:rsid w:val="007F3223"/>
    <w:rsid w:val="007F7A42"/>
    <w:rsid w:val="00816AE1"/>
    <w:rsid w:val="00860107"/>
    <w:rsid w:val="00874C5B"/>
    <w:rsid w:val="00875719"/>
    <w:rsid w:val="008918AF"/>
    <w:rsid w:val="008A5E93"/>
    <w:rsid w:val="008B3582"/>
    <w:rsid w:val="008E06F3"/>
    <w:rsid w:val="00956D7C"/>
    <w:rsid w:val="009720E9"/>
    <w:rsid w:val="009A7AAF"/>
    <w:rsid w:val="009C640A"/>
    <w:rsid w:val="009D2198"/>
    <w:rsid w:val="009D2230"/>
    <w:rsid w:val="009D2B48"/>
    <w:rsid w:val="009E27EF"/>
    <w:rsid w:val="009F0266"/>
    <w:rsid w:val="00A07E59"/>
    <w:rsid w:val="00A15FFC"/>
    <w:rsid w:val="00A25A13"/>
    <w:rsid w:val="00A31FB8"/>
    <w:rsid w:val="00A67848"/>
    <w:rsid w:val="00A724B1"/>
    <w:rsid w:val="00A7638C"/>
    <w:rsid w:val="00A90FB4"/>
    <w:rsid w:val="00A95FF5"/>
    <w:rsid w:val="00AA0498"/>
    <w:rsid w:val="00AB5A19"/>
    <w:rsid w:val="00AD5A06"/>
    <w:rsid w:val="00AD71E5"/>
    <w:rsid w:val="00B230DD"/>
    <w:rsid w:val="00B462CE"/>
    <w:rsid w:val="00B46F1F"/>
    <w:rsid w:val="00B77EB1"/>
    <w:rsid w:val="00B805D5"/>
    <w:rsid w:val="00BA58E2"/>
    <w:rsid w:val="00BA6768"/>
    <w:rsid w:val="00BE4995"/>
    <w:rsid w:val="00BE79C0"/>
    <w:rsid w:val="00BF1E73"/>
    <w:rsid w:val="00C170BA"/>
    <w:rsid w:val="00C30514"/>
    <w:rsid w:val="00C31F57"/>
    <w:rsid w:val="00C67E5B"/>
    <w:rsid w:val="00C70D86"/>
    <w:rsid w:val="00C76551"/>
    <w:rsid w:val="00C77B0E"/>
    <w:rsid w:val="00C810E5"/>
    <w:rsid w:val="00CD3C76"/>
    <w:rsid w:val="00CD5ADB"/>
    <w:rsid w:val="00CF5672"/>
    <w:rsid w:val="00D2043C"/>
    <w:rsid w:val="00D23537"/>
    <w:rsid w:val="00D32383"/>
    <w:rsid w:val="00DA0EA8"/>
    <w:rsid w:val="00DA26A8"/>
    <w:rsid w:val="00DC2C2C"/>
    <w:rsid w:val="00DD4705"/>
    <w:rsid w:val="00DE0ACB"/>
    <w:rsid w:val="00DE79A8"/>
    <w:rsid w:val="00E1505B"/>
    <w:rsid w:val="00E20779"/>
    <w:rsid w:val="00E62A33"/>
    <w:rsid w:val="00E67E8E"/>
    <w:rsid w:val="00E9141C"/>
    <w:rsid w:val="00EB2EB0"/>
    <w:rsid w:val="00EC4A86"/>
    <w:rsid w:val="00EE5F60"/>
    <w:rsid w:val="00EF7900"/>
    <w:rsid w:val="00F1249D"/>
    <w:rsid w:val="00F21F89"/>
    <w:rsid w:val="00F2304D"/>
    <w:rsid w:val="00F3087A"/>
    <w:rsid w:val="00F33CDC"/>
    <w:rsid w:val="00F40D30"/>
    <w:rsid w:val="00F60B35"/>
    <w:rsid w:val="00F82CC6"/>
    <w:rsid w:val="00F9392D"/>
    <w:rsid w:val="00FC11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5E4D7D"/>
  <w15:docId w15:val="{A4E6F0A2-5404-42D5-91A2-95E259C9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noProof/>
    </w:rPr>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0"/>
      </w:tabs>
      <w:jc w:val="center"/>
    </w:pPr>
    <w:rPr>
      <w:rFonts w:ascii="Courier New" w:hAnsi="Courier New"/>
      <w:sz w:val="24"/>
    </w:rPr>
  </w:style>
  <w:style w:type="paragraph" w:styleId="Subtitle">
    <w:name w:val="Subtitle"/>
    <w:basedOn w:val="Normal"/>
    <w:qFormat/>
    <w:pPr>
      <w:tabs>
        <w:tab w:val="left" w:pos="0"/>
      </w:tabs>
      <w:jc w:val="center"/>
    </w:pPr>
    <w:rPr>
      <w:rFonts w:ascii="Courier New" w:hAnsi="Courier New"/>
      <w:sz w:val="24"/>
    </w:rPr>
  </w:style>
  <w:style w:type="paragraph" w:styleId="PlainText">
    <w:name w:val="Plain Text"/>
    <w:basedOn w:val="Normal"/>
    <w:rPr>
      <w:rFonts w:ascii="Courier New" w:hAnsi="Courier New"/>
      <w:noProof w:val="0"/>
    </w:rPr>
  </w:style>
  <w:style w:type="paragraph" w:styleId="BodyTextIndent">
    <w:name w:val="Body Text Indent"/>
    <w:basedOn w:val="Normal"/>
    <w:pPr>
      <w:ind w:left="1440" w:hanging="720"/>
    </w:pPr>
    <w:rPr>
      <w:rFonts w:ascii="Courier New" w:hAnsi="Courier New"/>
      <w:sz w:val="24"/>
    </w:rPr>
  </w:style>
  <w:style w:type="paragraph" w:styleId="BodyTextIndent2">
    <w:name w:val="Body Text Indent 2"/>
    <w:basedOn w:val="Normal"/>
    <w:pPr>
      <w:tabs>
        <w:tab w:val="left" w:pos="-720"/>
        <w:tab w:val="left" w:pos="0"/>
        <w:tab w:val="left" w:pos="720"/>
      </w:tabs>
      <w:suppressAutoHyphens/>
      <w:ind w:left="1440" w:hanging="1440"/>
    </w:pPr>
    <w:rPr>
      <w:rFonts w:ascii="Courier New" w:hAnsi="Courier New"/>
      <w:sz w:val="24"/>
    </w:rPr>
  </w:style>
  <w:style w:type="paragraph" w:styleId="BodyText">
    <w:name w:val="Body Text"/>
    <w:basedOn w:val="Normal"/>
    <w:rPr>
      <w:rFonts w:ascii="Courier New" w:hAnsi="Courier New"/>
      <w:sz w:val="24"/>
    </w:rPr>
  </w:style>
  <w:style w:type="paragraph" w:styleId="Footer">
    <w:name w:val="footer"/>
    <w:basedOn w:val="Normal"/>
    <w:pPr>
      <w:tabs>
        <w:tab w:val="center" w:pos="4320"/>
        <w:tab w:val="right" w:pos="8640"/>
      </w:tabs>
    </w:pPr>
  </w:style>
  <w:style w:type="paragraph" w:styleId="BodyText2">
    <w:name w:val="Body Text 2"/>
    <w:basedOn w:val="Normal"/>
    <w:rsid w:val="0022745E"/>
    <w:pPr>
      <w:spacing w:after="120" w:line="480" w:lineRule="auto"/>
    </w:pPr>
  </w:style>
  <w:style w:type="character" w:styleId="Hyperlink">
    <w:name w:val="Hyperlink"/>
    <w:rsid w:val="00706816"/>
    <w:rPr>
      <w:color w:val="0000FF"/>
      <w:u w:val="single"/>
    </w:rPr>
  </w:style>
  <w:style w:type="paragraph" w:styleId="ListParagraph">
    <w:name w:val="List Paragraph"/>
    <w:basedOn w:val="Normal"/>
    <w:uiPriority w:val="34"/>
    <w:qFormat/>
    <w:rsid w:val="000E0BFD"/>
    <w:pPr>
      <w:ind w:left="720"/>
      <w:contextualSpacing/>
    </w:pPr>
  </w:style>
  <w:style w:type="paragraph" w:styleId="BalloonText">
    <w:name w:val="Balloon Text"/>
    <w:basedOn w:val="Normal"/>
    <w:link w:val="BalloonTextChar"/>
    <w:rsid w:val="0005148C"/>
    <w:rPr>
      <w:rFonts w:ascii="Segoe UI" w:hAnsi="Segoe UI" w:cs="Segoe UI"/>
      <w:sz w:val="18"/>
      <w:szCs w:val="18"/>
    </w:rPr>
  </w:style>
  <w:style w:type="character" w:customStyle="1" w:styleId="BalloonTextChar">
    <w:name w:val="Balloon Text Char"/>
    <w:basedOn w:val="DefaultParagraphFont"/>
    <w:link w:val="BalloonText"/>
    <w:rsid w:val="0005148C"/>
    <w:rPr>
      <w:rFonts w:ascii="Segoe UI" w:hAnsi="Segoe UI" w:cs="Segoe UI"/>
      <w:noProof/>
      <w:sz w:val="18"/>
      <w:szCs w:val="18"/>
    </w:rPr>
  </w:style>
  <w:style w:type="character" w:styleId="UnresolvedMention">
    <w:name w:val="Unresolved Mention"/>
    <w:basedOn w:val="DefaultParagraphFont"/>
    <w:uiPriority w:val="99"/>
    <w:semiHidden/>
    <w:unhideWhenUsed/>
    <w:rsid w:val="00730449"/>
    <w:rPr>
      <w:color w:val="605E5C"/>
      <w:shd w:val="clear" w:color="auto" w:fill="E1DFDD"/>
    </w:rPr>
  </w:style>
  <w:style w:type="character" w:styleId="FollowedHyperlink">
    <w:name w:val="FollowedHyperlink"/>
    <w:basedOn w:val="DefaultParagraphFont"/>
    <w:semiHidden/>
    <w:unhideWhenUsed/>
    <w:rsid w:val="006F011C"/>
    <w:rPr>
      <w:color w:val="954F72" w:themeColor="followedHyperlink"/>
      <w:u w:val="single"/>
    </w:rPr>
  </w:style>
  <w:style w:type="character" w:styleId="CommentReference">
    <w:name w:val="annotation reference"/>
    <w:basedOn w:val="DefaultParagraphFont"/>
    <w:semiHidden/>
    <w:unhideWhenUsed/>
    <w:rsid w:val="00A95FF5"/>
    <w:rPr>
      <w:sz w:val="16"/>
      <w:szCs w:val="16"/>
    </w:rPr>
  </w:style>
  <w:style w:type="paragraph" w:styleId="CommentText">
    <w:name w:val="annotation text"/>
    <w:basedOn w:val="Normal"/>
    <w:link w:val="CommentTextChar"/>
    <w:uiPriority w:val="99"/>
    <w:unhideWhenUsed/>
    <w:rsid w:val="00A95FF5"/>
  </w:style>
  <w:style w:type="character" w:customStyle="1" w:styleId="CommentTextChar">
    <w:name w:val="Comment Text Char"/>
    <w:basedOn w:val="DefaultParagraphFont"/>
    <w:link w:val="CommentText"/>
    <w:uiPriority w:val="99"/>
    <w:rsid w:val="00A95FF5"/>
    <w:rPr>
      <w:noProof/>
    </w:rPr>
  </w:style>
  <w:style w:type="paragraph" w:styleId="CommentSubject">
    <w:name w:val="annotation subject"/>
    <w:basedOn w:val="CommentText"/>
    <w:next w:val="CommentText"/>
    <w:link w:val="CommentSubjectChar"/>
    <w:semiHidden/>
    <w:unhideWhenUsed/>
    <w:rsid w:val="00A95FF5"/>
    <w:rPr>
      <w:b/>
      <w:bCs/>
    </w:rPr>
  </w:style>
  <w:style w:type="character" w:customStyle="1" w:styleId="CommentSubjectChar">
    <w:name w:val="Comment Subject Char"/>
    <w:basedOn w:val="CommentTextChar"/>
    <w:link w:val="CommentSubject"/>
    <w:semiHidden/>
    <w:rsid w:val="00A95FF5"/>
    <w:rPr>
      <w:b/>
      <w:bCs/>
      <w:noProof/>
    </w:rPr>
  </w:style>
  <w:style w:type="paragraph" w:customStyle="1" w:styleId="subsec">
    <w:name w:val="subsec"/>
    <w:basedOn w:val="Normal"/>
    <w:rsid w:val="00EC4A86"/>
    <w:pPr>
      <w:spacing w:before="100" w:beforeAutospacing="1" w:after="100" w:afterAutospacing="1"/>
    </w:pPr>
    <w:rPr>
      <w:noProof w:val="0"/>
      <w:sz w:val="24"/>
      <w:szCs w:val="24"/>
    </w:rPr>
  </w:style>
  <w:style w:type="paragraph" w:customStyle="1" w:styleId="paragraph">
    <w:name w:val="paragraph"/>
    <w:basedOn w:val="Normal"/>
    <w:rsid w:val="00EC4A86"/>
    <w:pPr>
      <w:spacing w:before="100" w:beforeAutospacing="1" w:after="100" w:afterAutospacing="1"/>
    </w:pPr>
    <w:rPr>
      <w:noProof w:val="0"/>
      <w:sz w:val="24"/>
      <w:szCs w:val="24"/>
    </w:rPr>
  </w:style>
  <w:style w:type="paragraph" w:styleId="NormalWeb">
    <w:name w:val="Normal (Web)"/>
    <w:basedOn w:val="Normal"/>
    <w:uiPriority w:val="99"/>
    <w:unhideWhenUsed/>
    <w:rsid w:val="00C30514"/>
    <w:pPr>
      <w:spacing w:before="100" w:beforeAutospacing="1" w:after="100" w:afterAutospacing="1"/>
    </w:pPr>
    <w:rPr>
      <w:noProof w:val="0"/>
      <w:sz w:val="24"/>
      <w:szCs w:val="24"/>
    </w:rPr>
  </w:style>
  <w:style w:type="paragraph" w:customStyle="1" w:styleId="bg-gray-100">
    <w:name w:val="bg-gray-100"/>
    <w:basedOn w:val="Normal"/>
    <w:uiPriority w:val="99"/>
    <w:rsid w:val="00C30514"/>
    <w:pPr>
      <w:spacing w:before="100" w:beforeAutospacing="1" w:after="100" w:afterAutospacing="1"/>
    </w:pPr>
    <w:rPr>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sa.gov/online/thirdpartyforms.html" TargetMode="External" /><Relationship Id="rId6" Type="http://schemas.openxmlformats.org/officeDocument/2006/relationships/hyperlink" Target="https://www.bls.gov/oes/current/oes390000.ht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EC8C1-038A-4DAB-89DF-C103BD652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1676</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Social Security Administration</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YCROSS</dc:creator>
  <cp:lastModifiedBy>Naomi Sipple</cp:lastModifiedBy>
  <cp:revision>3</cp:revision>
  <cp:lastPrinted>2019-08-14T17:06:00Z</cp:lastPrinted>
  <dcterms:created xsi:type="dcterms:W3CDTF">2026-04-20T19:39:00Z</dcterms:created>
  <dcterms:modified xsi:type="dcterms:W3CDTF">2026-04-20T20:31:00Z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1315461312</vt:i4>
  </property>
  <property fmtid="{D5CDD505-2E9C-101B-9397-08002B2CF9AE}" pid="3" name="_AuthorEmail">
    <vt:lpwstr>Brian.Fox@ssa.gov</vt:lpwstr>
  </property>
  <property fmtid="{D5CDD505-2E9C-101B-9397-08002B2CF9AE}" pid="4" name="_AuthorEmailDisplayName">
    <vt:lpwstr>Fox, Brian</vt:lpwstr>
  </property>
  <property fmtid="{D5CDD505-2E9C-101B-9397-08002B2CF9AE}" pid="5" name="_EmailSubject">
    <vt:lpwstr>OMB Expiration Notice:   0960-0663 Private Printing and Modification of Prescribed Application and Other Forms</vt:lpwstr>
  </property>
  <property fmtid="{D5CDD505-2E9C-101B-9397-08002B2CF9AE}" pid="6" name="_NewReviewCycle">
    <vt:lpwstr/>
  </property>
  <property fmtid="{D5CDD505-2E9C-101B-9397-08002B2CF9AE}" pid="7" name="_PreviousAdHocReviewCycleID">
    <vt:i4>-1165060039</vt:i4>
  </property>
  <property fmtid="{D5CDD505-2E9C-101B-9397-08002B2CF9AE}" pid="8" name="_ReviewingToolsShownOnce">
    <vt:lpwstr/>
  </property>
</Properties>
</file>