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26ECD" w:rsidRPr="00CB726C" w:rsidP="00E26ECD" w14:paraId="1102EB19" w14:textId="77777777">
      <w:pPr>
        <w:widowControl w:val="0"/>
        <w:ind w:left="720" w:hanging="360"/>
        <w:jc w:val="center"/>
        <w:rPr>
          <w:b/>
          <w:bCs/>
        </w:rPr>
      </w:pPr>
      <w:r w:rsidRPr="00CB726C">
        <w:rPr>
          <w:b/>
          <w:bCs/>
        </w:rPr>
        <w:t>Support</w:t>
      </w:r>
      <w:r w:rsidR="000419D2">
        <w:rPr>
          <w:b/>
          <w:bCs/>
        </w:rPr>
        <w:t>ing Statement for Form SSA-781</w:t>
      </w:r>
    </w:p>
    <w:p w:rsidR="00E26ECD" w:rsidRPr="00CB726C" w:rsidP="00E26ECD" w14:paraId="3801E87D" w14:textId="51BB7D82">
      <w:pPr>
        <w:widowControl w:val="0"/>
        <w:autoSpaceDE w:val="0"/>
        <w:autoSpaceDN w:val="0"/>
        <w:adjustRightInd w:val="0"/>
        <w:spacing w:line="273" w:lineRule="atLeast"/>
        <w:ind w:right="360"/>
        <w:jc w:val="center"/>
        <w:rPr>
          <w:b/>
          <w:bCs/>
        </w:rPr>
      </w:pPr>
      <w:r w:rsidRPr="00CB726C">
        <w:rPr>
          <w:b/>
          <w:bCs/>
        </w:rPr>
        <w:t>Certificate of Responsibility</w:t>
      </w:r>
      <w:r w:rsidR="00110A1D">
        <w:rPr>
          <w:b/>
          <w:bCs/>
        </w:rPr>
        <w:t xml:space="preserve"> </w:t>
      </w:r>
      <w:r w:rsidR="00C377CB">
        <w:rPr>
          <w:b/>
          <w:bCs/>
        </w:rPr>
        <w:t>f</w:t>
      </w:r>
      <w:r w:rsidRPr="00CB726C">
        <w:rPr>
          <w:b/>
          <w:bCs/>
        </w:rPr>
        <w:t>or Welfare and Care of Child Not in Applicant's Custody</w:t>
      </w:r>
    </w:p>
    <w:p w:rsidR="000419D2" w:rsidRPr="00CB726C" w:rsidP="00110A1D" w14:paraId="3C40C50C" w14:textId="77777777">
      <w:pPr>
        <w:widowControl w:val="0"/>
        <w:autoSpaceDE w:val="0"/>
        <w:autoSpaceDN w:val="0"/>
        <w:adjustRightInd w:val="0"/>
        <w:spacing w:line="273" w:lineRule="atLeast"/>
        <w:ind w:right="360"/>
        <w:jc w:val="center"/>
        <w:rPr>
          <w:b/>
          <w:bCs/>
        </w:rPr>
      </w:pPr>
      <w:r w:rsidRPr="00CB726C">
        <w:rPr>
          <w:b/>
          <w:bCs/>
        </w:rPr>
        <w:t>20 CFR 404.330, 404.339-404.341 and 404.348-404.349</w:t>
      </w:r>
    </w:p>
    <w:p w:rsidR="00CE18FB" w:rsidRPr="00204E62" w:rsidP="004B3A80" w14:paraId="1BD43BB2" w14:textId="77777777">
      <w:pPr>
        <w:widowControl w:val="0"/>
        <w:autoSpaceDE w:val="0"/>
        <w:autoSpaceDN w:val="0"/>
        <w:adjustRightInd w:val="0"/>
        <w:spacing w:line="273" w:lineRule="atLeast"/>
        <w:ind w:right="360"/>
        <w:jc w:val="center"/>
        <w:rPr>
          <w:b/>
          <w:bCs/>
        </w:rPr>
      </w:pPr>
      <w:r>
        <w:rPr>
          <w:b/>
          <w:bCs/>
        </w:rPr>
        <w:t xml:space="preserve">OMB No. </w:t>
      </w:r>
      <w:r w:rsidRPr="00CB726C" w:rsidR="00E26ECD">
        <w:rPr>
          <w:b/>
          <w:bCs/>
        </w:rPr>
        <w:t>0960-0019</w:t>
      </w:r>
    </w:p>
    <w:p w:rsidR="008A0CC0" w:rsidRPr="00204E62" w:rsidP="004B3A80" w14:paraId="3802E971" w14:textId="77777777">
      <w:pPr>
        <w:widowControl w:val="0"/>
        <w:autoSpaceDE w:val="0"/>
        <w:autoSpaceDN w:val="0"/>
        <w:adjustRightInd w:val="0"/>
        <w:spacing w:line="273" w:lineRule="atLeast"/>
        <w:ind w:right="360"/>
        <w:rPr>
          <w:b/>
          <w:bCs/>
        </w:rPr>
      </w:pPr>
      <w:r>
        <w:rPr>
          <w:b/>
          <w:bCs/>
        </w:rPr>
        <w:t xml:space="preserve"> </w:t>
      </w:r>
    </w:p>
    <w:p w:rsidR="00B86869" w:rsidP="00797C91" w14:paraId="62C25C5B" w14:textId="77777777">
      <w:pPr>
        <w:widowControl w:val="0"/>
        <w:numPr>
          <w:ilvl w:val="0"/>
          <w:numId w:val="2"/>
        </w:numPr>
        <w:autoSpaceDE w:val="0"/>
        <w:autoSpaceDN w:val="0"/>
        <w:adjustRightInd w:val="0"/>
        <w:spacing w:line="220" w:lineRule="atLeast"/>
        <w:ind w:right="360" w:hanging="540"/>
        <w:jc w:val="both"/>
        <w:rPr>
          <w:b/>
          <w:bCs/>
          <w:u w:val="single"/>
        </w:rPr>
      </w:pPr>
      <w:r w:rsidRPr="008408BF">
        <w:rPr>
          <w:b/>
          <w:bCs/>
          <w:u w:val="single"/>
        </w:rPr>
        <w:t>Justification</w:t>
      </w:r>
    </w:p>
    <w:p w:rsidR="00503D6D" w:rsidP="00503D6D" w14:paraId="555DF3C3" w14:textId="77777777">
      <w:pPr>
        <w:widowControl w:val="0"/>
        <w:autoSpaceDE w:val="0"/>
        <w:autoSpaceDN w:val="0"/>
        <w:adjustRightInd w:val="0"/>
        <w:spacing w:line="220" w:lineRule="atLeast"/>
        <w:ind w:left="360" w:right="360"/>
        <w:jc w:val="both"/>
        <w:rPr>
          <w:b/>
          <w:bCs/>
          <w:u w:val="single"/>
        </w:rPr>
      </w:pPr>
    </w:p>
    <w:p w:rsidR="00503D6D" w:rsidRPr="00797C91" w:rsidP="00797C91" w14:paraId="105D5E7A" w14:textId="3D0511D6">
      <w:pPr>
        <w:widowControl w:val="0"/>
        <w:numPr>
          <w:ilvl w:val="0"/>
          <w:numId w:val="1"/>
        </w:numPr>
        <w:tabs>
          <w:tab w:val="clear" w:pos="1170"/>
          <w:tab w:val="num" w:pos="1440"/>
        </w:tabs>
        <w:autoSpaceDE w:val="0"/>
        <w:autoSpaceDN w:val="0"/>
        <w:adjustRightInd w:val="0"/>
        <w:spacing w:line="220" w:lineRule="atLeast"/>
        <w:ind w:left="1440" w:right="360" w:hanging="720"/>
        <w:jc w:val="both"/>
        <w:rPr>
          <w:b/>
          <w:bCs/>
        </w:rPr>
      </w:pPr>
      <w:r w:rsidRPr="00797C91">
        <w:rPr>
          <w:b/>
          <w:bCs/>
        </w:rPr>
        <w:t>Introduction/Authoring Laws and Regulations</w:t>
      </w:r>
      <w:r w:rsidRPr="00797C91" w:rsidR="008B16B5">
        <w:rPr>
          <w:b/>
          <w:bCs/>
        </w:rPr>
        <w:t xml:space="preserve"> </w:t>
      </w:r>
    </w:p>
    <w:p w:rsidR="00191C26" w:rsidP="00797C91" w14:paraId="68FE319B" w14:textId="29E8DF44">
      <w:pPr>
        <w:widowControl w:val="0"/>
        <w:tabs>
          <w:tab w:val="num" w:pos="1440"/>
        </w:tabs>
        <w:autoSpaceDE w:val="0"/>
        <w:autoSpaceDN w:val="0"/>
        <w:adjustRightInd w:val="0"/>
        <w:spacing w:line="273" w:lineRule="atLeast"/>
        <w:ind w:left="1440" w:right="360"/>
      </w:pPr>
      <w:r w:rsidRPr="007F1E9C">
        <w:rPr>
          <w:iCs/>
        </w:rPr>
        <w:t>Sections</w:t>
      </w:r>
      <w:r w:rsidRPr="007F1E9C">
        <w:rPr>
          <w:i/>
          <w:iCs/>
        </w:rPr>
        <w:t xml:space="preserve"> 202(b)(l)(</w:t>
      </w:r>
      <w:r w:rsidRPr="007F1E9C" w:rsidR="00204E62">
        <w:rPr>
          <w:i/>
          <w:iCs/>
        </w:rPr>
        <w:t>B</w:t>
      </w:r>
      <w:r w:rsidRPr="007F1E9C">
        <w:rPr>
          <w:i/>
          <w:iCs/>
        </w:rPr>
        <w:t>), 202 (c)(l)(B)</w:t>
      </w:r>
      <w:r w:rsidRPr="007F1E9C" w:rsidR="00057F38">
        <w:rPr>
          <w:i/>
          <w:iCs/>
        </w:rPr>
        <w:t>,</w:t>
      </w:r>
      <w:r w:rsidRPr="007F1E9C">
        <w:rPr>
          <w:i/>
          <w:iCs/>
        </w:rPr>
        <w:t xml:space="preserve"> </w:t>
      </w:r>
      <w:r w:rsidRPr="007F1E9C">
        <w:rPr>
          <w:iCs/>
        </w:rPr>
        <w:t>and</w:t>
      </w:r>
      <w:r w:rsidRPr="007F1E9C">
        <w:rPr>
          <w:i/>
          <w:iCs/>
        </w:rPr>
        <w:t xml:space="preserve"> 202(g)(l)(E) </w:t>
      </w:r>
      <w:r w:rsidRPr="007F1E9C">
        <w:rPr>
          <w:iCs/>
        </w:rPr>
        <w:t>of the</w:t>
      </w:r>
      <w:r w:rsidRPr="007F1E9C" w:rsidR="00E97214">
        <w:rPr>
          <w:i/>
          <w:iCs/>
        </w:rPr>
        <w:t xml:space="preserve"> Social Security Act</w:t>
      </w:r>
      <w:r w:rsidRPr="007F1E9C" w:rsidR="008A0CC0">
        <w:rPr>
          <w:i/>
          <w:iCs/>
        </w:rPr>
        <w:t xml:space="preserve"> (Act)</w:t>
      </w:r>
      <w:r w:rsidRPr="007F1E9C" w:rsidR="00057F38">
        <w:rPr>
          <w:i/>
          <w:iCs/>
        </w:rPr>
        <w:t>,</w:t>
      </w:r>
      <w:r w:rsidRPr="007F1E9C" w:rsidR="00E97214">
        <w:rPr>
          <w:i/>
          <w:iCs/>
        </w:rPr>
        <w:t xml:space="preserve"> </w:t>
      </w:r>
      <w:r w:rsidRPr="007F1E9C">
        <w:t xml:space="preserve">and </w:t>
      </w:r>
      <w:r w:rsidRPr="007F1E9C">
        <w:rPr>
          <w:i/>
          <w:iCs/>
        </w:rPr>
        <w:t xml:space="preserve">20 CFR </w:t>
      </w:r>
      <w:r w:rsidRPr="007F1E9C" w:rsidR="00C35F7A">
        <w:rPr>
          <w:i/>
          <w:iCs/>
        </w:rPr>
        <w:t>404.330,</w:t>
      </w:r>
      <w:r w:rsidRPr="007F1E9C" w:rsidR="00A02437">
        <w:rPr>
          <w:i/>
          <w:iCs/>
        </w:rPr>
        <w:t xml:space="preserve"> </w:t>
      </w:r>
      <w:r w:rsidRPr="007F1E9C">
        <w:rPr>
          <w:i/>
          <w:iCs/>
        </w:rPr>
        <w:t>404.33</w:t>
      </w:r>
      <w:r w:rsidRPr="007F1E9C" w:rsidR="00DB3A49">
        <w:rPr>
          <w:i/>
          <w:iCs/>
        </w:rPr>
        <w:t>9-404.</w:t>
      </w:r>
      <w:r w:rsidRPr="007F1E9C">
        <w:rPr>
          <w:i/>
          <w:iCs/>
        </w:rPr>
        <w:t>3</w:t>
      </w:r>
      <w:r w:rsidRPr="007F1E9C" w:rsidR="00DB3A49">
        <w:rPr>
          <w:i/>
          <w:iCs/>
        </w:rPr>
        <w:t>41</w:t>
      </w:r>
      <w:r w:rsidRPr="007F1E9C" w:rsidR="00057F38">
        <w:rPr>
          <w:i/>
          <w:iCs/>
        </w:rPr>
        <w:t>,</w:t>
      </w:r>
      <w:r w:rsidRPr="007F1E9C" w:rsidR="00A02437">
        <w:rPr>
          <w:i/>
          <w:iCs/>
        </w:rPr>
        <w:t xml:space="preserve"> </w:t>
      </w:r>
      <w:r w:rsidRPr="007F1E9C" w:rsidR="00C35F7A">
        <w:t>and</w:t>
      </w:r>
      <w:r w:rsidRPr="007F1E9C">
        <w:t xml:space="preserve"> </w:t>
      </w:r>
      <w:r w:rsidRPr="007F1E9C" w:rsidR="00C35F7A">
        <w:rPr>
          <w:i/>
          <w:iCs/>
        </w:rPr>
        <w:t>404.348-</w:t>
      </w:r>
      <w:r w:rsidRPr="007F1E9C" w:rsidR="008A0CC0">
        <w:rPr>
          <w:i/>
          <w:iCs/>
        </w:rPr>
        <w:t>404</w:t>
      </w:r>
      <w:r w:rsidRPr="007F1E9C" w:rsidR="00C35F7A">
        <w:rPr>
          <w:i/>
          <w:iCs/>
        </w:rPr>
        <w:t>.349</w:t>
      </w:r>
      <w:r w:rsidRPr="007F1E9C" w:rsidR="00C35F7A">
        <w:t xml:space="preserve"> </w:t>
      </w:r>
      <w:r w:rsidRPr="007F1E9C" w:rsidR="00A80244">
        <w:t>of the</w:t>
      </w:r>
      <w:r w:rsidR="00A80244">
        <w:t xml:space="preserve"> </w:t>
      </w:r>
      <w:r w:rsidRPr="00364E89" w:rsidR="00A80244">
        <w:rPr>
          <w:i/>
        </w:rPr>
        <w:t>Code of Federal Regulations</w:t>
      </w:r>
      <w:r w:rsidR="008A0CC0">
        <w:t xml:space="preserve">, </w:t>
      </w:r>
      <w:r w:rsidR="00C316E0">
        <w:t xml:space="preserve">contain the </w:t>
      </w:r>
      <w:r w:rsidR="00ED253A">
        <w:t>“in-care”</w:t>
      </w:r>
      <w:r w:rsidRPr="00204E62">
        <w:t xml:space="preserve"> entitlement requirement and the conditions under which</w:t>
      </w:r>
      <w:r w:rsidR="00F730FE">
        <w:t xml:space="preserve"> a claimant meets it</w:t>
      </w:r>
      <w:r w:rsidRPr="00204E62">
        <w:t>.</w:t>
      </w:r>
      <w:r w:rsidR="00DB3A49">
        <w:t xml:space="preserve"> </w:t>
      </w:r>
      <w:r w:rsidRPr="00204E62">
        <w:t xml:space="preserve"> A requirement for entitlement</w:t>
      </w:r>
      <w:r w:rsidR="007614CE">
        <w:t xml:space="preserve"> </w:t>
      </w:r>
      <w:r w:rsidR="00BC5F4B">
        <w:t>to</w:t>
      </w:r>
      <w:r w:rsidR="00A80244">
        <w:t xml:space="preserve"> Social Security </w:t>
      </w:r>
      <w:r w:rsidR="007614CE">
        <w:t xml:space="preserve">benefits </w:t>
      </w:r>
      <w:r w:rsidR="008A0CC0">
        <w:t>as a mother</w:t>
      </w:r>
      <w:r w:rsidR="00BA1C87">
        <w:t>,</w:t>
      </w:r>
      <w:r w:rsidR="00A80244">
        <w:t xml:space="preserve"> </w:t>
      </w:r>
      <w:r w:rsidR="00075D5C">
        <w:t xml:space="preserve">a </w:t>
      </w:r>
      <w:r w:rsidR="00A80244">
        <w:t>father</w:t>
      </w:r>
      <w:r w:rsidR="00BA1C87">
        <w:t>,</w:t>
      </w:r>
      <w:r w:rsidR="00A80244">
        <w:t xml:space="preserve"> </w:t>
      </w:r>
      <w:r w:rsidR="008A0CC0">
        <w:t>a surviving divorced mother or father</w:t>
      </w:r>
      <w:r w:rsidR="00BA1C87">
        <w:t>,</w:t>
      </w:r>
      <w:r w:rsidR="008A0CC0">
        <w:t xml:space="preserve"> </w:t>
      </w:r>
      <w:r w:rsidR="007614CE">
        <w:t>or</w:t>
      </w:r>
      <w:r w:rsidRPr="00204E62">
        <w:t xml:space="preserve"> as a </w:t>
      </w:r>
      <w:r w:rsidR="00A80244">
        <w:t>spouse who is under age 62</w:t>
      </w:r>
      <w:r w:rsidR="00ED253A">
        <w:t>,</w:t>
      </w:r>
      <w:r w:rsidR="008A0CC0">
        <w:t xml:space="preserve"> </w:t>
      </w:r>
      <w:r w:rsidRPr="00707AE8">
        <w:t xml:space="preserve">is </w:t>
      </w:r>
      <w:r w:rsidRPr="00707AE8" w:rsidR="007614CE">
        <w:t xml:space="preserve">that </w:t>
      </w:r>
      <w:r w:rsidRPr="00707AE8">
        <w:t>the spouse</w:t>
      </w:r>
      <w:r w:rsidRPr="00707AE8" w:rsidR="00075D5C">
        <w:t xml:space="preserve"> under age 62</w:t>
      </w:r>
      <w:r w:rsidRPr="00707AE8" w:rsidR="008A0CC0">
        <w:t xml:space="preserve">; the surviving divorced mother or father; </w:t>
      </w:r>
      <w:r w:rsidRPr="00707AE8" w:rsidR="00075D5C">
        <w:t xml:space="preserve">the </w:t>
      </w:r>
      <w:r w:rsidRPr="00707AE8">
        <w:t>mother</w:t>
      </w:r>
      <w:r w:rsidRPr="00707AE8" w:rsidR="008A0CC0">
        <w:t>;</w:t>
      </w:r>
      <w:r w:rsidRPr="00707AE8" w:rsidR="00A247CB">
        <w:t xml:space="preserve"> or </w:t>
      </w:r>
      <w:r w:rsidRPr="00707AE8" w:rsidR="00075D5C">
        <w:t xml:space="preserve">the </w:t>
      </w:r>
      <w:r w:rsidRPr="00707AE8" w:rsidR="00A247CB">
        <w:t xml:space="preserve">father must have in their </w:t>
      </w:r>
      <w:r w:rsidRPr="00707AE8">
        <w:t>care an entitled child</w:t>
      </w:r>
      <w:r w:rsidRPr="00707AE8" w:rsidR="000419D2">
        <w:t xml:space="preserve"> (under age 16 or disabled)</w:t>
      </w:r>
      <w:r w:rsidRPr="00707AE8">
        <w:t>.</w:t>
      </w:r>
      <w:r w:rsidR="001C3D33">
        <w:t xml:space="preserve"> </w:t>
      </w:r>
      <w:bookmarkStart w:id="0" w:name="_Hlk204242306"/>
      <w:r w:rsidR="008B1D6B">
        <w:t xml:space="preserve"> </w:t>
      </w:r>
      <w:r w:rsidR="00E00BB8">
        <w:t xml:space="preserve">If the child is not living with the claimant, </w:t>
      </w:r>
      <w:r w:rsidR="00B809EB">
        <w:t>the claimant must complete Form SSA-781.</w:t>
      </w:r>
    </w:p>
    <w:bookmarkEnd w:id="0"/>
    <w:p w:rsidR="00D16D35" w:rsidP="009D2CDD" w14:paraId="05215C06" w14:textId="77777777">
      <w:pPr>
        <w:widowControl w:val="0"/>
        <w:tabs>
          <w:tab w:val="num" w:pos="1440"/>
        </w:tabs>
        <w:autoSpaceDE w:val="0"/>
        <w:autoSpaceDN w:val="0"/>
        <w:adjustRightInd w:val="0"/>
        <w:spacing w:line="273" w:lineRule="atLeast"/>
        <w:ind w:right="360"/>
      </w:pPr>
    </w:p>
    <w:p w:rsidR="00160098" w:rsidRPr="00797C91" w:rsidP="00797C91" w14:paraId="7B8DF8F9" w14:textId="32D208CB">
      <w:pPr>
        <w:widowControl w:val="0"/>
        <w:numPr>
          <w:ilvl w:val="0"/>
          <w:numId w:val="1"/>
        </w:numPr>
        <w:tabs>
          <w:tab w:val="clear" w:pos="1170"/>
          <w:tab w:val="num" w:pos="1440"/>
        </w:tabs>
        <w:autoSpaceDE w:val="0"/>
        <w:autoSpaceDN w:val="0"/>
        <w:adjustRightInd w:val="0"/>
        <w:spacing w:line="273" w:lineRule="atLeast"/>
        <w:ind w:left="1440" w:right="360" w:hanging="720"/>
        <w:rPr>
          <w:b/>
          <w:bCs/>
        </w:rPr>
      </w:pPr>
      <w:r w:rsidRPr="00797C91">
        <w:rPr>
          <w:b/>
          <w:bCs/>
        </w:rPr>
        <w:t>Description of Collection</w:t>
      </w:r>
    </w:p>
    <w:p w:rsidR="00FF2055" w:rsidP="00797C91" w14:paraId="2F2F8CA3" w14:textId="15602EEB">
      <w:pPr>
        <w:widowControl w:val="0"/>
        <w:tabs>
          <w:tab w:val="num" w:pos="1440"/>
        </w:tabs>
        <w:autoSpaceDE w:val="0"/>
        <w:autoSpaceDN w:val="0"/>
        <w:adjustRightInd w:val="0"/>
        <w:spacing w:line="273" w:lineRule="atLeast"/>
        <w:ind w:left="1440" w:right="360"/>
      </w:pPr>
      <w:r>
        <w:rPr>
          <w:color w:val="111111"/>
          <w:shd w:val="clear" w:color="auto" w:fill="FFFFFF"/>
        </w:rPr>
        <w:t xml:space="preserve">To qualify </w:t>
      </w:r>
      <w:r w:rsidR="00417326">
        <w:rPr>
          <w:color w:val="111111"/>
          <w:shd w:val="clear" w:color="auto" w:fill="FFFFFF"/>
        </w:rPr>
        <w:t>for mother’s/father’s, surviving divorced mother’s/father’s, or spouse</w:t>
      </w:r>
      <w:r w:rsidR="00892494">
        <w:rPr>
          <w:color w:val="111111"/>
          <w:shd w:val="clear" w:color="auto" w:fill="FFFFFF"/>
        </w:rPr>
        <w:t>’</w:t>
      </w:r>
      <w:r w:rsidR="00417326">
        <w:rPr>
          <w:color w:val="111111"/>
          <w:shd w:val="clear" w:color="auto" w:fill="FFFFFF"/>
        </w:rPr>
        <w:t>s (under age 62</w:t>
      </w:r>
      <w:r w:rsidR="006E6D9A">
        <w:rPr>
          <w:color w:val="111111"/>
          <w:shd w:val="clear" w:color="auto" w:fill="FFFFFF"/>
        </w:rPr>
        <w:t>) benefits</w:t>
      </w:r>
      <w:r>
        <w:rPr>
          <w:color w:val="111111"/>
          <w:shd w:val="clear" w:color="auto" w:fill="FFFFFF"/>
        </w:rPr>
        <w:t>, the claimant</w:t>
      </w:r>
      <w:r w:rsidR="006E6D9A">
        <w:rPr>
          <w:color w:val="111111"/>
          <w:shd w:val="clear" w:color="auto" w:fill="FFFFFF"/>
        </w:rPr>
        <w:t xml:space="preserve"> must have in-care an entitled child of the </w:t>
      </w:r>
      <w:r w:rsidR="008B1D6B">
        <w:rPr>
          <w:color w:val="111111"/>
          <w:shd w:val="clear" w:color="auto" w:fill="FFFFFF"/>
        </w:rPr>
        <w:t>number holder, and t</w:t>
      </w:r>
      <w:r w:rsidR="00113C07">
        <w:t xml:space="preserve">he </w:t>
      </w:r>
      <w:r w:rsidR="00892494">
        <w:t xml:space="preserve">child must be </w:t>
      </w:r>
      <w:r w:rsidR="00113C07">
        <w:t xml:space="preserve">under age 16 or disabled. </w:t>
      </w:r>
      <w:r w:rsidR="008B1D6B">
        <w:t xml:space="preserve"> </w:t>
      </w:r>
      <w:r w:rsidRPr="001F18DF" w:rsidR="004E4872">
        <w:t>If the child is not living with the claimant, the claimant must complete Form SSA-781</w:t>
      </w:r>
      <w:r w:rsidR="008B1D6B">
        <w:t>, Certificate of Responsibility for Welfare and Care of a Child Not in Applicant’s Custody</w:t>
      </w:r>
      <w:r w:rsidRPr="001F18DF" w:rsidR="004E4872">
        <w:t>.</w:t>
      </w:r>
      <w:r w:rsidR="00105409">
        <w:t xml:space="preserve"> </w:t>
      </w:r>
      <w:r w:rsidR="008B1D6B">
        <w:t xml:space="preserve"> </w:t>
      </w:r>
      <w:r w:rsidR="005943D2">
        <w:t>The claimant either completes and submits Form SSA</w:t>
      </w:r>
      <w:r w:rsidR="005943D2">
        <w:noBreakHyphen/>
        <w:t xml:space="preserve">781 as a static PDF through our Upload Documents portal (0960-0830) or through a personal interview with an SSA technician (either in a field office or over the telephone).  For those who choose the personal interview, </w:t>
      </w:r>
      <w:r w:rsidR="00DB5B9D">
        <w:t xml:space="preserve">the </w:t>
      </w:r>
      <w:r w:rsidR="00777750">
        <w:t>SSA tech</w:t>
      </w:r>
      <w:r w:rsidR="00DB5B9D">
        <w:t>nician complete</w:t>
      </w:r>
      <w:r w:rsidR="00EA2127">
        <w:t>s</w:t>
      </w:r>
      <w:r w:rsidR="00DB5B9D">
        <w:t xml:space="preserve"> the claimant’s application, </w:t>
      </w:r>
      <w:r w:rsidR="005943D2">
        <w:t>then</w:t>
      </w:r>
      <w:r w:rsidR="00DB5B9D">
        <w:t xml:space="preserve"> </w:t>
      </w:r>
      <w:r w:rsidR="00FC0D6F">
        <w:t xml:space="preserve">either hands </w:t>
      </w:r>
      <w:r w:rsidR="00861B0C">
        <w:t xml:space="preserve">or mails </w:t>
      </w:r>
      <w:r w:rsidR="00EA2127">
        <w:t xml:space="preserve">the form to the claimant. </w:t>
      </w:r>
      <w:r w:rsidR="008B1D6B">
        <w:t xml:space="preserve"> </w:t>
      </w:r>
      <w:r w:rsidR="00CC3FBB">
        <w:t>SSA uses Form SSA-</w:t>
      </w:r>
      <w:r w:rsidR="009702E3">
        <w:t>781 to determine if non-custodial parents who fil</w:t>
      </w:r>
      <w:r w:rsidR="00057F38">
        <w:t xml:space="preserve">e </w:t>
      </w:r>
      <w:r w:rsidR="009702E3">
        <w:t xml:space="preserve">for </w:t>
      </w:r>
      <w:r w:rsidRPr="001F18DF" w:rsidR="00505F13">
        <w:rPr>
          <w:color w:val="111111"/>
          <w:shd w:val="clear" w:color="auto" w:fill="FFFFFF"/>
        </w:rPr>
        <w:t>mother's</w:t>
      </w:r>
      <w:r w:rsidR="005943D2">
        <w:rPr>
          <w:color w:val="111111"/>
          <w:shd w:val="clear" w:color="auto" w:fill="FFFFFF"/>
        </w:rPr>
        <w:t xml:space="preserve"> or </w:t>
      </w:r>
      <w:r w:rsidRPr="001F18DF" w:rsidR="00505F13">
        <w:rPr>
          <w:color w:val="111111"/>
          <w:shd w:val="clear" w:color="auto" w:fill="FFFFFF"/>
        </w:rPr>
        <w:t>father's, surviving divorced mother's</w:t>
      </w:r>
      <w:r w:rsidR="005943D2">
        <w:rPr>
          <w:color w:val="111111"/>
          <w:shd w:val="clear" w:color="auto" w:fill="FFFFFF"/>
        </w:rPr>
        <w:t xml:space="preserve"> or </w:t>
      </w:r>
      <w:r w:rsidRPr="001F18DF" w:rsidR="00505F13">
        <w:rPr>
          <w:color w:val="111111"/>
          <w:shd w:val="clear" w:color="auto" w:fill="FFFFFF"/>
        </w:rPr>
        <w:t>father's, or spouse’s (under age 62) benefits</w:t>
      </w:r>
      <w:r w:rsidR="003744F4">
        <w:t xml:space="preserve"> meet the </w:t>
      </w:r>
      <w:r w:rsidR="007F1E9C">
        <w:t>child-</w:t>
      </w:r>
      <w:r w:rsidR="003744F4">
        <w:t xml:space="preserve">in-care requirement. </w:t>
      </w:r>
      <w:r w:rsidR="008B1D6B">
        <w:t xml:space="preserve"> </w:t>
      </w:r>
      <w:r w:rsidR="00131746">
        <w:t>Claimants</w:t>
      </w:r>
      <w:r w:rsidRPr="006148AF" w:rsidR="006148AF">
        <w:rPr>
          <w:snapToGrid w:val="0"/>
        </w:rPr>
        <w:t xml:space="preserve"> may provide information personally or solicit information from others to complete the </w:t>
      </w:r>
      <w:r w:rsidR="00131746">
        <w:rPr>
          <w:snapToGrid w:val="0"/>
        </w:rPr>
        <w:t>form</w:t>
      </w:r>
      <w:r w:rsidRPr="006148AF" w:rsidR="006148AF">
        <w:rPr>
          <w:snapToGrid w:val="0"/>
        </w:rPr>
        <w:t xml:space="preserve">.  </w:t>
      </w:r>
    </w:p>
    <w:p w:rsidR="00FF2055" w:rsidP="00797C91" w14:paraId="17C10532" w14:textId="77777777">
      <w:pPr>
        <w:widowControl w:val="0"/>
        <w:tabs>
          <w:tab w:val="num" w:pos="1440"/>
        </w:tabs>
        <w:autoSpaceDE w:val="0"/>
        <w:autoSpaceDN w:val="0"/>
        <w:adjustRightInd w:val="0"/>
        <w:spacing w:line="273" w:lineRule="atLeast"/>
        <w:ind w:left="1440" w:right="360"/>
      </w:pPr>
    </w:p>
    <w:p w:rsidR="001610CA" w:rsidRPr="00734D1A" w:rsidP="001610CA" w14:paraId="7963D5EF" w14:textId="0911E2D3">
      <w:pPr>
        <w:widowControl w:val="0"/>
        <w:ind w:left="1440"/>
        <w:rPr>
          <w:rFonts w:eastAsia="Times New Roman"/>
          <w:snapToGrid w:val="0"/>
          <w:lang w:eastAsia="en-US"/>
        </w:rPr>
      </w:pPr>
      <w:r w:rsidRPr="00734D1A">
        <w:rPr>
          <w:rFonts w:eastAsia="Times New Roman"/>
          <w:snapToGrid w:val="0"/>
          <w:lang w:eastAsia="en-US"/>
        </w:rPr>
        <w:t>We identified the following psychological cost based on the requirements for this information collection:</w:t>
      </w:r>
    </w:p>
    <w:p w:rsidR="001610CA" w:rsidRPr="00734D1A" w:rsidP="001610CA" w14:paraId="061326F1" w14:textId="77777777">
      <w:pPr>
        <w:widowControl w:val="0"/>
        <w:ind w:left="1440"/>
        <w:rPr>
          <w:rFonts w:eastAsia="Times New Roman"/>
          <w:snapToGrid w:val="0"/>
          <w:lang w:eastAsia="en-US"/>
        </w:rPr>
      </w:pPr>
    </w:p>
    <w:p w:rsidR="005943D2" w:rsidP="005943D2" w14:paraId="294CD44F" w14:textId="77777777">
      <w:pPr>
        <w:widowControl w:val="0"/>
        <w:numPr>
          <w:ilvl w:val="0"/>
          <w:numId w:val="4"/>
        </w:numPr>
        <w:ind w:left="1710" w:hanging="270"/>
        <w:rPr>
          <w:rFonts w:eastAsia="Times New Roman"/>
          <w:szCs w:val="20"/>
          <w:lang w:eastAsia="en-US"/>
        </w:rPr>
      </w:pPr>
      <w:r w:rsidRPr="00734D1A">
        <w:rPr>
          <w:rFonts w:eastAsia="Times New Roman"/>
          <w:b/>
          <w:bCs/>
          <w:snapToGrid w:val="0"/>
          <w:u w:val="single"/>
          <w:lang w:eastAsia="en-US"/>
        </w:rPr>
        <w:t>Psychological Cost #1</w:t>
      </w:r>
      <w:r w:rsidRPr="00734D1A">
        <w:rPr>
          <w:rFonts w:eastAsia="Times New Roman"/>
          <w:snapToGrid w:val="0"/>
          <w:lang w:eastAsia="en-US"/>
        </w:rPr>
        <w:t xml:space="preserve">:  </w:t>
      </w:r>
    </w:p>
    <w:p w:rsidR="005943D2" w:rsidP="005943D2" w14:paraId="10E7FC5B" w14:textId="5673B0DC">
      <w:pPr>
        <w:widowControl w:val="0"/>
        <w:numPr>
          <w:ilvl w:val="2"/>
          <w:numId w:val="4"/>
        </w:numPr>
        <w:rPr>
          <w:rFonts w:eastAsia="Times New Roman"/>
          <w:szCs w:val="20"/>
          <w:lang w:eastAsia="en-US"/>
        </w:rPr>
      </w:pPr>
      <w:r w:rsidRPr="005943D2">
        <w:rPr>
          <w:rFonts w:eastAsia="Times New Roman"/>
          <w:b/>
          <w:bCs/>
          <w:snapToGrid w:val="0"/>
          <w:lang w:eastAsia="en-US"/>
        </w:rPr>
        <w:t>Requirement for the Program:</w:t>
      </w:r>
      <w:r w:rsidRPr="005943D2">
        <w:rPr>
          <w:rFonts w:eastAsia="Times New Roman"/>
          <w:snapToGrid w:val="0"/>
          <w:lang w:eastAsia="en-US"/>
        </w:rPr>
        <w:t xml:space="preserve">  The SSA-7</w:t>
      </w:r>
      <w:r w:rsidRPr="005943D2" w:rsidR="00FC236C">
        <w:rPr>
          <w:rFonts w:eastAsia="Times New Roman"/>
          <w:snapToGrid w:val="0"/>
          <w:lang w:eastAsia="en-US"/>
        </w:rPr>
        <w:t>81</w:t>
      </w:r>
      <w:r w:rsidRPr="005943D2" w:rsidR="001C4822">
        <w:rPr>
          <w:rFonts w:eastAsia="Times New Roman"/>
          <w:snapToGrid w:val="0"/>
          <w:lang w:eastAsia="en-US"/>
        </w:rPr>
        <w:t xml:space="preserve"> requires the applicant to provide information that will be used to determine entitlemen</w:t>
      </w:r>
      <w:r w:rsidRPr="005943D2" w:rsidR="00E16342">
        <w:rPr>
          <w:rFonts w:eastAsia="Times New Roman"/>
          <w:snapToGrid w:val="0"/>
          <w:lang w:eastAsia="en-US"/>
        </w:rPr>
        <w:t>t to benefits.</w:t>
      </w:r>
    </w:p>
    <w:p w:rsidR="005943D2" w:rsidRPr="005943D2" w:rsidP="005943D2" w14:paraId="6EE06E53" w14:textId="77777777">
      <w:pPr>
        <w:widowControl w:val="0"/>
        <w:ind w:left="2070"/>
        <w:rPr>
          <w:rFonts w:eastAsia="Times New Roman"/>
          <w:szCs w:val="20"/>
          <w:lang w:eastAsia="en-US"/>
        </w:rPr>
      </w:pPr>
    </w:p>
    <w:p w:rsidR="002A5775" w:rsidRPr="005943D2" w:rsidP="005943D2" w14:paraId="4CD52682" w14:textId="2EC8F80A">
      <w:pPr>
        <w:widowControl w:val="0"/>
        <w:numPr>
          <w:ilvl w:val="2"/>
          <w:numId w:val="4"/>
        </w:numPr>
        <w:rPr>
          <w:rFonts w:eastAsia="Times New Roman"/>
          <w:szCs w:val="20"/>
          <w:lang w:eastAsia="en-US"/>
        </w:rPr>
      </w:pPr>
      <w:r w:rsidRPr="005943D2">
        <w:rPr>
          <w:rFonts w:eastAsia="Times New Roman"/>
          <w:b/>
          <w:bCs/>
          <w:snapToGrid w:val="0"/>
          <w:lang w:eastAsia="en-US"/>
        </w:rPr>
        <w:t xml:space="preserve">Psychological Cost:  </w:t>
      </w:r>
      <w:r w:rsidRPr="005943D2" w:rsidR="004917DE">
        <w:rPr>
          <w:rFonts w:eastAsia="Times New Roman"/>
          <w:snapToGrid w:val="0"/>
          <w:lang w:eastAsia="en-US"/>
        </w:rPr>
        <w:t xml:space="preserve">Some respondents may </w:t>
      </w:r>
      <w:r w:rsidRPr="005943D2" w:rsidR="00D8253B">
        <w:rPr>
          <w:rFonts w:eastAsia="Times New Roman"/>
          <w:snapToGrid w:val="0"/>
          <w:lang w:eastAsia="en-US"/>
        </w:rPr>
        <w:t xml:space="preserve">find completing the form stressful as they know their responses will be used to determine </w:t>
      </w:r>
      <w:r w:rsidRPr="005943D2" w:rsidR="005C56C1">
        <w:rPr>
          <w:rFonts w:eastAsia="Times New Roman"/>
          <w:snapToGrid w:val="0"/>
          <w:lang w:eastAsia="en-US"/>
        </w:rPr>
        <w:t xml:space="preserve">if they meet the child-in-care requirement for entitlement to </w:t>
      </w:r>
      <w:r w:rsidRPr="005943D2">
        <w:rPr>
          <w:rFonts w:eastAsia="Times New Roman"/>
          <w:snapToGrid w:val="0"/>
          <w:lang w:eastAsia="en-US"/>
        </w:rPr>
        <w:t xml:space="preserve">the benefits for which </w:t>
      </w:r>
      <w:r w:rsidRPr="005943D2">
        <w:rPr>
          <w:rFonts w:eastAsia="Times New Roman"/>
          <w:snapToGrid w:val="0"/>
          <w:lang w:eastAsia="en-US"/>
        </w:rPr>
        <w:t>they are applying.</w:t>
      </w:r>
    </w:p>
    <w:p w:rsidR="002A5775" w:rsidP="002A5775" w14:paraId="2DEEB9B4" w14:textId="77777777">
      <w:pPr>
        <w:widowControl w:val="0"/>
        <w:ind w:left="1440"/>
        <w:rPr>
          <w:snapToGrid w:val="0"/>
          <w:color w:val="000000"/>
        </w:rPr>
      </w:pPr>
    </w:p>
    <w:p w:rsidR="001610CA" w:rsidP="002A5775" w14:paraId="7CA930DD" w14:textId="043CDCC9">
      <w:pPr>
        <w:widowControl w:val="0"/>
        <w:ind w:left="1440"/>
        <w:rPr>
          <w:snapToGrid w:val="0"/>
          <w:color w:val="000000"/>
        </w:rPr>
      </w:pPr>
      <w:r w:rsidRPr="002A5775">
        <w:rPr>
          <w:snapToGrid w:val="0"/>
          <w:color w:val="000000"/>
        </w:rPr>
        <w:t>We understand these psychological costs may cause respondents to delay their completion of the information collection or cause them to abandon the information collection entirely.  However, we require full completion of this collection to receive benefits.  Therefore, we have taken this potential psychological cost into account when calculating our burden in #12 below</w:t>
      </w:r>
      <w:r w:rsidRPr="002A5775" w:rsidR="004A78F2">
        <w:rPr>
          <w:snapToGrid w:val="0"/>
          <w:color w:val="000000"/>
        </w:rPr>
        <w:t>.</w:t>
      </w:r>
    </w:p>
    <w:p w:rsidR="00F93589" w:rsidP="002A5775" w14:paraId="353D580E" w14:textId="77777777">
      <w:pPr>
        <w:widowControl w:val="0"/>
        <w:ind w:left="1440"/>
        <w:rPr>
          <w:snapToGrid w:val="0"/>
          <w:color w:val="000000"/>
        </w:rPr>
      </w:pPr>
    </w:p>
    <w:p w:rsidR="00F93589" w:rsidRPr="001610CA" w:rsidP="002A5775" w14:paraId="62E69A39" w14:textId="4AD2AC3E">
      <w:pPr>
        <w:widowControl w:val="0"/>
        <w:ind w:left="1440"/>
        <w:rPr>
          <w:rFonts w:eastAsia="Times New Roman"/>
          <w:b/>
          <w:bCs/>
          <w:snapToGrid w:val="0"/>
          <w:highlight w:val="yellow"/>
          <w:lang w:eastAsia="en-US"/>
        </w:rPr>
      </w:pPr>
      <w:r w:rsidRPr="00EB2B99">
        <w:rPr>
          <w:bCs/>
        </w:rPr>
        <w:t xml:space="preserve">The respondents are applicants for </w:t>
      </w:r>
      <w:r w:rsidRPr="00C077FC">
        <w:t>spouse’s; mother’s; father’s</w:t>
      </w:r>
      <w:r>
        <w:t>;</w:t>
      </w:r>
      <w:r w:rsidRPr="00C077FC">
        <w:t xml:space="preserve"> or surviving divorced mother’s or father’s Social Security benefits</w:t>
      </w:r>
      <w:r>
        <w:t xml:space="preserve">.  </w:t>
      </w:r>
    </w:p>
    <w:p w:rsidR="00160098" w:rsidRPr="003A54CF" w:rsidP="00797C91" w14:paraId="4D787D2D" w14:textId="77777777">
      <w:pPr>
        <w:widowControl w:val="0"/>
        <w:tabs>
          <w:tab w:val="num" w:pos="1440"/>
        </w:tabs>
        <w:autoSpaceDE w:val="0"/>
        <w:autoSpaceDN w:val="0"/>
        <w:adjustRightInd w:val="0"/>
        <w:spacing w:line="273" w:lineRule="atLeast"/>
        <w:ind w:left="1440" w:right="360"/>
        <w:rPr>
          <w:b/>
        </w:rPr>
      </w:pPr>
    </w:p>
    <w:p w:rsidR="00DD3A58" w:rsidRPr="005943D2" w:rsidP="005943D2" w14:paraId="2DCFE32E" w14:textId="2775F65B">
      <w:pPr>
        <w:widowControl w:val="0"/>
        <w:numPr>
          <w:ilvl w:val="0"/>
          <w:numId w:val="1"/>
        </w:numPr>
        <w:tabs>
          <w:tab w:val="clear" w:pos="1170"/>
          <w:tab w:val="num" w:pos="1440"/>
          <w:tab w:val="left" w:pos="1530"/>
        </w:tabs>
        <w:autoSpaceDE w:val="0"/>
        <w:autoSpaceDN w:val="0"/>
        <w:adjustRightInd w:val="0"/>
        <w:spacing w:line="273" w:lineRule="atLeast"/>
        <w:ind w:left="1440" w:right="360" w:hanging="720"/>
        <w:rPr>
          <w:b/>
          <w:bCs/>
        </w:rPr>
      </w:pPr>
      <w:r w:rsidRPr="00797C91">
        <w:rPr>
          <w:b/>
          <w:bCs/>
        </w:rPr>
        <w:t xml:space="preserve">Use of Information Technology to Collect the Information </w:t>
      </w:r>
    </w:p>
    <w:p w:rsidR="00353440" w:rsidP="00353440" w14:paraId="45DC2FB1" w14:textId="0B1F6280">
      <w:pPr>
        <w:widowControl w:val="0"/>
        <w:tabs>
          <w:tab w:val="num" w:pos="1440"/>
        </w:tabs>
        <w:autoSpaceDE w:val="0"/>
        <w:autoSpaceDN w:val="0"/>
        <w:adjustRightInd w:val="0"/>
        <w:spacing w:line="273" w:lineRule="atLeast"/>
        <w:ind w:left="1440" w:right="360"/>
      </w:pPr>
      <w:r w:rsidRPr="006E3325">
        <w:rPr>
          <w:snapToGrid w:val="0"/>
        </w:rPr>
        <w:t xml:space="preserve">Per our recent risk assessment, we </w:t>
      </w:r>
      <w:r w:rsidRPr="006E3325">
        <w:t>require a signature on th</w:t>
      </w:r>
      <w:r w:rsidR="00013101">
        <w:t>is form</w:t>
      </w:r>
      <w:r w:rsidRPr="006E3325">
        <w:t xml:space="preserve"> because there is a need to bind a party to this document because we will use the information provided to determine if</w:t>
      </w:r>
      <w:r w:rsidR="005943D2">
        <w:t xml:space="preserve"> the respondent meets the</w:t>
      </w:r>
      <w:r w:rsidRPr="006E3325">
        <w:t xml:space="preserve"> entitlement requirements.</w:t>
      </w:r>
    </w:p>
    <w:p w:rsidR="00C747CA" w:rsidP="00353440" w14:paraId="3AF5029E" w14:textId="77777777">
      <w:pPr>
        <w:widowControl w:val="0"/>
        <w:tabs>
          <w:tab w:val="num" w:pos="1440"/>
        </w:tabs>
        <w:autoSpaceDE w:val="0"/>
        <w:autoSpaceDN w:val="0"/>
        <w:adjustRightInd w:val="0"/>
        <w:spacing w:line="273" w:lineRule="atLeast"/>
        <w:ind w:left="1440" w:right="360"/>
      </w:pPr>
    </w:p>
    <w:p w:rsidR="00BE7C28" w:rsidRPr="00BE7C28" w:rsidP="00BE7C28" w14:paraId="7265C02D" w14:textId="3A7A47D5">
      <w:pPr>
        <w:pStyle w:val="ListParagraph"/>
        <w:ind w:left="1440"/>
        <w:rPr>
          <w:rFonts w:ascii="Times New Roman" w:eastAsia="Arial" w:hAnsi="Times New Roman"/>
          <w:color w:val="000000"/>
          <w:sz w:val="24"/>
          <w:szCs w:val="24"/>
        </w:rPr>
      </w:pPr>
      <w:r>
        <w:rPr>
          <w:rFonts w:ascii="Times New Roman" w:hAnsi="Times New Roman"/>
          <w:iCs/>
          <w:sz w:val="24"/>
          <w:szCs w:val="24"/>
        </w:rPr>
        <w:t>Even so, as mentioned above, t</w:t>
      </w:r>
      <w:r w:rsidRPr="00BE7C28">
        <w:rPr>
          <w:rFonts w:ascii="Times New Roman" w:hAnsi="Times New Roman"/>
          <w:iCs/>
          <w:sz w:val="24"/>
          <w:szCs w:val="24"/>
        </w:rPr>
        <w:t xml:space="preserve">his collection has a public-facing fillable and submittable </w:t>
      </w:r>
      <w:r>
        <w:rPr>
          <w:rFonts w:ascii="Times New Roman" w:hAnsi="Times New Roman"/>
          <w:iCs/>
          <w:sz w:val="24"/>
          <w:szCs w:val="24"/>
        </w:rPr>
        <w:t xml:space="preserve">PDF </w:t>
      </w:r>
      <w:r w:rsidRPr="00BE7C28">
        <w:rPr>
          <w:rFonts w:ascii="Times New Roman" w:hAnsi="Times New Roman"/>
          <w:iCs/>
          <w:sz w:val="24"/>
          <w:szCs w:val="24"/>
        </w:rPr>
        <w:t>version which the respondent can submit using SSA’s Upload Documents Portal (OMB No. 0960</w:t>
      </w:r>
      <w:r w:rsidRPr="00BE7C28">
        <w:rPr>
          <w:rFonts w:ascii="Times New Roman" w:hAnsi="Times New Roman"/>
          <w:iCs/>
          <w:sz w:val="24"/>
          <w:szCs w:val="24"/>
        </w:rPr>
        <w:noBreakHyphen/>
        <w:t>0830)</w:t>
      </w:r>
      <w:r w:rsidRPr="00BE7C28">
        <w:rPr>
          <w:rFonts w:ascii="Times New Roman" w:hAnsi="Times New Roman"/>
          <w:color w:val="000000"/>
          <w:sz w:val="24"/>
          <w:szCs w:val="24"/>
        </w:rPr>
        <w:t xml:space="preserve">.  Upload Documents </w:t>
      </w:r>
      <w:r w:rsidRPr="00BE7C28">
        <w:rPr>
          <w:rFonts w:ascii="Times New Roman" w:hAnsi="Times New Roman"/>
          <w:color w:val="000000"/>
          <w:sz w:val="24"/>
          <w:szCs w:val="24"/>
        </w:rPr>
        <w:t>allows</w:t>
      </w:r>
      <w:r w:rsidRPr="00BE7C28">
        <w:rPr>
          <w:rFonts w:ascii="Times New Roman" w:hAnsi="Times New Roman"/>
          <w:color w:val="000000"/>
          <w:sz w:val="24"/>
          <w:szCs w:val="24"/>
        </w:rPr>
        <w:t xml:space="preserve"> the respondent to complete the</w:t>
      </w:r>
      <w:r>
        <w:rPr>
          <w:rFonts w:ascii="Times New Roman" w:hAnsi="Times New Roman"/>
          <w:color w:val="000000"/>
          <w:sz w:val="24"/>
          <w:szCs w:val="24"/>
        </w:rPr>
        <w:t xml:space="preserve"> static</w:t>
      </w:r>
      <w:r w:rsidRPr="00BE7C28">
        <w:rPr>
          <w:rFonts w:ascii="Times New Roman" w:hAnsi="Times New Roman"/>
          <w:color w:val="000000"/>
          <w:sz w:val="24"/>
          <w:szCs w:val="24"/>
        </w:rPr>
        <w:t xml:space="preserve"> fillable PDF, </w:t>
      </w:r>
      <w:r w:rsidRPr="00BE7C28">
        <w:rPr>
          <w:rFonts w:ascii="Times New Roman" w:hAnsi="Times New Roman"/>
          <w:sz w:val="24"/>
          <w:szCs w:val="24"/>
        </w:rPr>
        <w:t>electronically sign it</w:t>
      </w:r>
      <w:r w:rsidRPr="00BE7C28">
        <w:rPr>
          <w:rFonts w:ascii="Times New Roman" w:hAnsi="Times New Roman"/>
          <w:color w:val="000000"/>
          <w:sz w:val="24"/>
          <w:szCs w:val="24"/>
        </w:rPr>
        <w:t xml:space="preserve">, and submit the information through the Upload Documents Portal.  The submittable version mirrors the paper version and provides respondents with an online service option as an alternative to mailing, faxing, or bringing the form to an SSA field office.  Use of the Upload Documents Portal does not require respondents to download and install the application locally on their device or pay any subscription or licensing fees, and we account for the burden </w:t>
      </w:r>
      <w:r>
        <w:rPr>
          <w:rFonts w:ascii="Times New Roman" w:hAnsi="Times New Roman"/>
          <w:color w:val="000000"/>
          <w:sz w:val="24"/>
          <w:szCs w:val="24"/>
        </w:rPr>
        <w:t>to navigate to the form in</w:t>
      </w:r>
      <w:r w:rsidRPr="00BE7C28">
        <w:rPr>
          <w:rFonts w:ascii="Times New Roman" w:hAnsi="Times New Roman"/>
          <w:color w:val="000000"/>
          <w:sz w:val="24"/>
          <w:szCs w:val="24"/>
        </w:rPr>
        <w:t xml:space="preserve"> Upload Documents under OMB No. 0960-0830.</w:t>
      </w:r>
      <w:r>
        <w:rPr>
          <w:rFonts w:ascii="Times New Roman" w:hAnsi="Times New Roman"/>
          <w:color w:val="000000"/>
          <w:sz w:val="24"/>
          <w:szCs w:val="24"/>
        </w:rPr>
        <w:t xml:space="preserve">  Since the burden for completing the static PDF remains the same as filling the form out with an SSA technician, we do not show any separate burden for the fillable PDF version in #12 below.</w:t>
      </w:r>
    </w:p>
    <w:p w:rsidR="00BE7C28" w:rsidP="00BE7C28" w14:paraId="448A7988" w14:textId="6FF1977F">
      <w:pPr>
        <w:ind w:left="1440"/>
        <w:rPr>
          <w:b/>
          <w:bCs/>
          <w:i/>
          <w:color w:val="0000FF"/>
        </w:rPr>
      </w:pPr>
      <w:r w:rsidRPr="00BE7C28">
        <w:rPr>
          <w:color w:val="000000"/>
        </w:rPr>
        <w:t xml:space="preserve">This collection does not currently have a fully </w:t>
      </w:r>
      <w:r w:rsidR="005C2247">
        <w:rPr>
          <w:color w:val="000000"/>
        </w:rPr>
        <w:t xml:space="preserve">electronic </w:t>
      </w:r>
      <w:r w:rsidRPr="00BE7C28">
        <w:rPr>
          <w:color w:val="000000"/>
        </w:rPr>
        <w:t>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w:t>
      </w:r>
      <w:r w:rsidRPr="008041B4">
        <w:rPr>
          <w:color w:val="000000"/>
        </w:rPr>
        <w:t xml:space="preserve"> Mod schema, but this may be unconnected to the PRA approval lifecycle</w:t>
      </w:r>
      <w:r w:rsidR="0053158C">
        <w:rPr>
          <w:color w:val="000000"/>
        </w:rPr>
        <w:t>.</w:t>
      </w:r>
    </w:p>
    <w:p w:rsidR="00BE7C28" w:rsidRPr="00204E62" w:rsidP="00C747CA" w14:paraId="1DCB0928" w14:textId="77777777">
      <w:pPr>
        <w:pStyle w:val="ListParagraph"/>
        <w:spacing w:after="0"/>
        <w:ind w:left="1440"/>
      </w:pPr>
    </w:p>
    <w:p w:rsidR="00646E45" w:rsidRPr="00797C91" w:rsidP="00797C91" w14:paraId="6599C080" w14:textId="36162BB4">
      <w:pPr>
        <w:widowControl w:val="0"/>
        <w:numPr>
          <w:ilvl w:val="0"/>
          <w:numId w:val="1"/>
        </w:numPr>
        <w:tabs>
          <w:tab w:val="clear" w:pos="1170"/>
          <w:tab w:val="num" w:pos="1440"/>
        </w:tabs>
        <w:autoSpaceDE w:val="0"/>
        <w:autoSpaceDN w:val="0"/>
        <w:adjustRightInd w:val="0"/>
        <w:spacing w:line="273" w:lineRule="atLeast"/>
        <w:ind w:left="1440" w:right="360" w:hanging="720"/>
        <w:rPr>
          <w:b/>
          <w:bCs/>
        </w:rPr>
      </w:pPr>
      <w:r w:rsidRPr="00797C91">
        <w:rPr>
          <w:b/>
          <w:bCs/>
        </w:rPr>
        <w:t>Why We Cannot Use Duplication Information</w:t>
      </w:r>
    </w:p>
    <w:p w:rsidR="00B86869" w:rsidP="00797C91" w14:paraId="567AE81C" w14:textId="77777777">
      <w:pPr>
        <w:widowControl w:val="0"/>
        <w:tabs>
          <w:tab w:val="num" w:pos="1440"/>
        </w:tabs>
        <w:autoSpaceDE w:val="0"/>
        <w:autoSpaceDN w:val="0"/>
        <w:adjustRightInd w:val="0"/>
        <w:spacing w:line="273" w:lineRule="atLeast"/>
        <w:ind w:left="1440" w:right="360"/>
      </w:pPr>
      <w:r w:rsidRPr="00204E62">
        <w:t xml:space="preserve">The nature of the information </w:t>
      </w:r>
      <w:r w:rsidR="00646E45">
        <w:t xml:space="preserve">we </w:t>
      </w:r>
      <w:r w:rsidR="00564CC7">
        <w:t>collect</w:t>
      </w:r>
      <w:r w:rsidR="00646E45">
        <w:t xml:space="preserve"> and the</w:t>
      </w:r>
      <w:r w:rsidRPr="00204E62">
        <w:t xml:space="preserve"> manner in which </w:t>
      </w:r>
      <w:r w:rsidR="00646E45">
        <w:t>we</w:t>
      </w:r>
      <w:r w:rsidR="00564CC7">
        <w:t xml:space="preserve"> collect </w:t>
      </w:r>
      <w:r w:rsidR="00646E45">
        <w:t>it</w:t>
      </w:r>
      <w:r w:rsidRPr="00204E62">
        <w:t xml:space="preserve"> preclude duplication.</w:t>
      </w:r>
      <w:r w:rsidR="00A51B52">
        <w:t xml:space="preserve"> </w:t>
      </w:r>
      <w:r w:rsidRPr="00204E62">
        <w:t xml:space="preserve"> </w:t>
      </w:r>
      <w:r w:rsidR="00646E45">
        <w:t xml:space="preserve">SSA does not use another collection instrument to obtain similar data.  </w:t>
      </w:r>
    </w:p>
    <w:p w:rsidR="00FC5097" w:rsidP="00797C91" w14:paraId="44274C71" w14:textId="77777777">
      <w:pPr>
        <w:widowControl w:val="0"/>
        <w:tabs>
          <w:tab w:val="num" w:pos="1440"/>
        </w:tabs>
        <w:autoSpaceDE w:val="0"/>
        <w:autoSpaceDN w:val="0"/>
        <w:adjustRightInd w:val="0"/>
        <w:spacing w:line="273" w:lineRule="atLeast"/>
        <w:ind w:left="1440" w:right="360"/>
      </w:pPr>
    </w:p>
    <w:p w:rsidR="00646E45" w:rsidRPr="00797C91" w:rsidP="00797C91" w14:paraId="32AC75D3" w14:textId="18B618CF">
      <w:pPr>
        <w:widowControl w:val="0"/>
        <w:tabs>
          <w:tab w:val="left" w:pos="1440"/>
        </w:tabs>
        <w:autoSpaceDE w:val="0"/>
        <w:autoSpaceDN w:val="0"/>
        <w:adjustRightInd w:val="0"/>
        <w:spacing w:line="297" w:lineRule="atLeast"/>
        <w:ind w:left="1440" w:right="360" w:hanging="720"/>
        <w:jc w:val="both"/>
        <w:rPr>
          <w:b/>
          <w:bCs/>
        </w:rPr>
      </w:pPr>
      <w:r w:rsidRPr="00797C91">
        <w:rPr>
          <w:b/>
          <w:bCs/>
        </w:rPr>
        <w:t>5.</w:t>
      </w:r>
      <w:r w:rsidR="002019C7">
        <w:rPr>
          <w:b/>
          <w:bCs/>
        </w:rPr>
        <w:tab/>
      </w:r>
      <w:r w:rsidRPr="00797C91">
        <w:rPr>
          <w:b/>
          <w:bCs/>
        </w:rPr>
        <w:t>Minimizing Burden on Small Respondents</w:t>
      </w:r>
    </w:p>
    <w:p w:rsidR="00364E89" w:rsidRPr="00204E62" w:rsidP="005C2247" w14:paraId="79F1932D" w14:textId="0C09E59B">
      <w:pPr>
        <w:widowControl w:val="0"/>
        <w:tabs>
          <w:tab w:val="left" w:pos="1440"/>
        </w:tabs>
        <w:autoSpaceDE w:val="0"/>
        <w:autoSpaceDN w:val="0"/>
        <w:adjustRightInd w:val="0"/>
        <w:spacing w:line="297" w:lineRule="atLeast"/>
        <w:ind w:left="1440" w:right="360"/>
        <w:jc w:val="both"/>
      </w:pPr>
      <w:r>
        <w:t xml:space="preserve">This collection does not affect small businesses or other small entities.  </w:t>
      </w:r>
    </w:p>
    <w:p w:rsidR="00776BE7" w:rsidRPr="00776BE7" w:rsidP="00797C91" w14:paraId="43A821E1" w14:textId="3234D36D">
      <w:pPr>
        <w:widowControl w:val="0"/>
        <w:tabs>
          <w:tab w:val="num" w:pos="1440"/>
        </w:tabs>
        <w:autoSpaceDE w:val="0"/>
        <w:autoSpaceDN w:val="0"/>
        <w:adjustRightInd w:val="0"/>
        <w:spacing w:line="273" w:lineRule="atLeast"/>
        <w:ind w:left="1440" w:hanging="720"/>
        <w:rPr>
          <w:b/>
        </w:rPr>
      </w:pPr>
      <w:r w:rsidRPr="00797C91">
        <w:rPr>
          <w:b/>
          <w:bCs/>
        </w:rPr>
        <w:t>6.</w:t>
      </w:r>
      <w:r w:rsidR="001A3163">
        <w:rPr>
          <w:b/>
          <w:bCs/>
        </w:rPr>
        <w:tab/>
      </w:r>
      <w:r w:rsidRPr="00797C91">
        <w:rPr>
          <w:b/>
          <w:bCs/>
        </w:rPr>
        <w:t>Consequence</w:t>
      </w:r>
      <w:r w:rsidRPr="00797C91" w:rsidR="00877508">
        <w:rPr>
          <w:b/>
          <w:bCs/>
        </w:rPr>
        <w:t xml:space="preserve"> </w:t>
      </w:r>
      <w:r w:rsidRPr="00797C91">
        <w:rPr>
          <w:b/>
          <w:bCs/>
        </w:rPr>
        <w:t>of Not Collecting Information or Collecting it Less</w:t>
      </w:r>
      <w:r>
        <w:rPr>
          <w:b/>
        </w:rPr>
        <w:t xml:space="preserve"> Frequently</w:t>
      </w:r>
    </w:p>
    <w:p w:rsidR="00B86869" w:rsidP="00797C91" w14:paraId="24288A62" w14:textId="5A22C473">
      <w:pPr>
        <w:widowControl w:val="0"/>
        <w:tabs>
          <w:tab w:val="num" w:pos="1440"/>
        </w:tabs>
        <w:autoSpaceDE w:val="0"/>
        <w:autoSpaceDN w:val="0"/>
        <w:adjustRightInd w:val="0"/>
        <w:spacing w:line="273" w:lineRule="atLeast"/>
        <w:ind w:left="1440" w:right="360"/>
      </w:pPr>
      <w:r w:rsidRPr="00204E62">
        <w:t>If</w:t>
      </w:r>
      <w:r w:rsidR="000419D2">
        <w:t xml:space="preserve"> we did </w:t>
      </w:r>
      <w:r w:rsidR="00BA1C87">
        <w:t xml:space="preserve">not collect this information, </w:t>
      </w:r>
      <w:r w:rsidR="00300D06">
        <w:t xml:space="preserve">we would not be able to </w:t>
      </w:r>
      <w:r w:rsidRPr="00204E62">
        <w:t xml:space="preserve">determine whether the </w:t>
      </w:r>
      <w:r w:rsidR="00E5021C">
        <w:t xml:space="preserve">claimant meets the </w:t>
      </w:r>
      <w:r w:rsidR="00ED253A">
        <w:t>statutory “</w:t>
      </w:r>
      <w:r w:rsidR="00D7235F">
        <w:t>child-</w:t>
      </w:r>
      <w:r w:rsidRPr="00204E62">
        <w:t>in</w:t>
      </w:r>
      <w:r w:rsidR="00A51B52">
        <w:t xml:space="preserve"> </w:t>
      </w:r>
      <w:r w:rsidR="00ED253A">
        <w:softHyphen/>
        <w:t>care”</w:t>
      </w:r>
      <w:r w:rsidR="00E5021C">
        <w:t xml:space="preserve"> requirement</w:t>
      </w:r>
      <w:r w:rsidR="007F0598">
        <w:t xml:space="preserve">.  </w:t>
      </w:r>
      <w:r w:rsidR="00043926">
        <w:t xml:space="preserve">Because we only collect the information once, we cannot collect it less frequently.  </w:t>
      </w:r>
      <w:r w:rsidR="009F2849">
        <w:t xml:space="preserve">There are no technical or legal obstacles to burden reduction.  </w:t>
      </w:r>
    </w:p>
    <w:p w:rsidR="00ED253A" w:rsidRPr="00204E62" w:rsidP="00797C91" w14:paraId="42519CAE" w14:textId="77777777">
      <w:pPr>
        <w:widowControl w:val="0"/>
        <w:tabs>
          <w:tab w:val="num" w:pos="1440"/>
        </w:tabs>
        <w:autoSpaceDE w:val="0"/>
        <w:autoSpaceDN w:val="0"/>
        <w:adjustRightInd w:val="0"/>
        <w:spacing w:line="273" w:lineRule="atLeast"/>
        <w:ind w:left="1440" w:right="360"/>
      </w:pPr>
    </w:p>
    <w:p w:rsidR="009F2849" w:rsidRPr="00797C91" w:rsidP="00797C91" w14:paraId="4FF49933" w14:textId="77777777">
      <w:pPr>
        <w:widowControl w:val="0"/>
        <w:tabs>
          <w:tab w:val="left" w:pos="1440"/>
        </w:tabs>
        <w:autoSpaceDE w:val="0"/>
        <w:autoSpaceDN w:val="0"/>
        <w:adjustRightInd w:val="0"/>
        <w:spacing w:line="273" w:lineRule="atLeast"/>
        <w:ind w:left="1440" w:right="360" w:hanging="720"/>
        <w:jc w:val="both"/>
        <w:rPr>
          <w:b/>
          <w:bCs/>
        </w:rPr>
      </w:pPr>
      <w:r w:rsidRPr="00797C91">
        <w:rPr>
          <w:b/>
          <w:bCs/>
        </w:rPr>
        <w:t xml:space="preserve">7. </w:t>
      </w:r>
      <w:r w:rsidRPr="00797C91" w:rsidR="005F3756">
        <w:rPr>
          <w:b/>
          <w:bCs/>
        </w:rPr>
        <w:t xml:space="preserve"> </w:t>
      </w:r>
      <w:r w:rsidRPr="00797C91" w:rsidR="000B2CA9">
        <w:rPr>
          <w:b/>
          <w:bCs/>
        </w:rPr>
        <w:t xml:space="preserve"> </w:t>
      </w:r>
      <w:r w:rsidRPr="00797C91" w:rsidR="00C316E0">
        <w:rPr>
          <w:b/>
          <w:bCs/>
        </w:rPr>
        <w:t xml:space="preserve">  </w:t>
      </w:r>
      <w:r w:rsidRPr="00797C91" w:rsidR="00423D6A">
        <w:rPr>
          <w:b/>
          <w:bCs/>
        </w:rPr>
        <w:t xml:space="preserve"> </w:t>
      </w:r>
      <w:r w:rsidRPr="00797C91" w:rsidR="00C42E54">
        <w:rPr>
          <w:b/>
          <w:bCs/>
        </w:rPr>
        <w:t xml:space="preserve">   </w:t>
      </w:r>
      <w:r w:rsidRPr="00797C91">
        <w:rPr>
          <w:b/>
          <w:bCs/>
        </w:rPr>
        <w:t>Special Circumstances</w:t>
      </w:r>
    </w:p>
    <w:p w:rsidR="00BA1C87" w:rsidRPr="00BA1C87" w:rsidP="00BA1C87" w14:paraId="25C7A866" w14:textId="77777777">
      <w:pPr>
        <w:widowControl w:val="0"/>
        <w:tabs>
          <w:tab w:val="left" w:pos="1440"/>
        </w:tabs>
        <w:ind w:left="1440"/>
        <w:rPr>
          <w:rFonts w:eastAsia="Times New Roman"/>
          <w:bCs/>
          <w:iCs/>
          <w:snapToGrid w:val="0"/>
          <w:lang w:eastAsia="en-US"/>
        </w:rPr>
      </w:pPr>
      <w:r w:rsidRPr="00BA1C87">
        <w:rPr>
          <w:rFonts w:eastAsia="Times New Roman"/>
          <w:bCs/>
          <w:iCs/>
          <w:snapToGrid w:val="0"/>
          <w:lang w:eastAsia="en-US"/>
        </w:rPr>
        <w:t xml:space="preserve">There are no special circumstances that would cause SSA to conduct this information collection in a manner inconsistent with </w:t>
      </w:r>
      <w:r w:rsidRPr="00BA1C87">
        <w:rPr>
          <w:rFonts w:eastAsia="Times New Roman"/>
          <w:bCs/>
          <w:i/>
          <w:iCs/>
          <w:snapToGrid w:val="0"/>
          <w:lang w:eastAsia="en-US"/>
        </w:rPr>
        <w:t>5 CFR 1320.5</w:t>
      </w:r>
      <w:r w:rsidRPr="00BA1C87">
        <w:rPr>
          <w:rFonts w:eastAsia="Times New Roman"/>
          <w:bCs/>
          <w:iCs/>
          <w:snapToGrid w:val="0"/>
          <w:lang w:eastAsia="en-US"/>
        </w:rPr>
        <w:t>.</w:t>
      </w:r>
    </w:p>
    <w:p w:rsidR="00B86869" w:rsidRPr="00204E62" w:rsidP="00797C91" w14:paraId="001F24DE" w14:textId="77777777">
      <w:pPr>
        <w:widowControl w:val="0"/>
        <w:tabs>
          <w:tab w:val="left" w:pos="355"/>
          <w:tab w:val="num" w:pos="1440"/>
          <w:tab w:val="left" w:pos="1530"/>
        </w:tabs>
        <w:autoSpaceDE w:val="0"/>
        <w:autoSpaceDN w:val="0"/>
        <w:adjustRightInd w:val="0"/>
        <w:spacing w:line="273" w:lineRule="atLeast"/>
        <w:ind w:left="1440" w:right="360"/>
        <w:jc w:val="both"/>
      </w:pPr>
    </w:p>
    <w:p w:rsidR="006F1BA2" w:rsidP="00797C91" w14:paraId="10965527" w14:textId="4205C0C9">
      <w:pPr>
        <w:widowControl w:val="0"/>
        <w:tabs>
          <w:tab w:val="left" w:pos="900"/>
          <w:tab w:val="num" w:pos="1440"/>
          <w:tab w:val="left" w:pos="1530"/>
        </w:tabs>
        <w:autoSpaceDE w:val="0"/>
        <w:autoSpaceDN w:val="0"/>
        <w:adjustRightInd w:val="0"/>
        <w:spacing w:line="240" w:lineRule="atLeast"/>
        <w:ind w:left="1440" w:right="360" w:hanging="720"/>
        <w:jc w:val="both"/>
        <w:rPr>
          <w:b/>
        </w:rPr>
      </w:pPr>
      <w:r w:rsidRPr="00797C91">
        <w:rPr>
          <w:b/>
          <w:bCs/>
        </w:rPr>
        <w:t>8.</w:t>
      </w:r>
      <w:r w:rsidRPr="00797C91" w:rsidR="005F3756">
        <w:rPr>
          <w:b/>
          <w:bCs/>
        </w:rPr>
        <w:t xml:space="preserve">  </w:t>
      </w:r>
      <w:r w:rsidRPr="00797C91" w:rsidR="00C316E0">
        <w:rPr>
          <w:b/>
          <w:bCs/>
        </w:rPr>
        <w:t xml:space="preserve">    </w:t>
      </w:r>
      <w:r w:rsidRPr="00797C91" w:rsidR="007240FE">
        <w:rPr>
          <w:b/>
          <w:bCs/>
        </w:rPr>
        <w:t xml:space="preserve">  </w:t>
      </w:r>
      <w:r w:rsidRPr="00797C91" w:rsidR="00790952">
        <w:rPr>
          <w:b/>
          <w:bCs/>
        </w:rPr>
        <w:tab/>
      </w:r>
      <w:r w:rsidRPr="00797C91" w:rsidR="00677D6A">
        <w:rPr>
          <w:b/>
          <w:bCs/>
        </w:rPr>
        <w:t>Solicitation of Public Comment and Other Consultations with the</w:t>
      </w:r>
      <w:r w:rsidR="00677D6A">
        <w:rPr>
          <w:b/>
        </w:rPr>
        <w:t xml:space="preserve"> Public</w:t>
      </w:r>
    </w:p>
    <w:p w:rsidR="006F1BA2" w:rsidRPr="006F1BA2" w:rsidP="006F1BA2" w14:paraId="506591C6" w14:textId="05164D3B">
      <w:pPr>
        <w:widowControl w:val="0"/>
        <w:tabs>
          <w:tab w:val="num" w:pos="900"/>
          <w:tab w:val="left" w:pos="1440"/>
        </w:tabs>
        <w:ind w:left="1440"/>
        <w:rPr>
          <w:rFonts w:eastAsia="Times New Roman"/>
          <w:bCs/>
          <w:snapToGrid w:val="0"/>
          <w:color w:val="FF0000"/>
          <w:lang w:eastAsia="en-US"/>
        </w:rPr>
      </w:pPr>
      <w:r w:rsidRPr="006F1BA2">
        <w:rPr>
          <w:snapToGrid w:val="0"/>
          <w:lang w:eastAsia="ar-SA"/>
        </w:rPr>
        <w:t xml:space="preserve">The 60-day advance Federal Register Notice published on </w:t>
      </w:r>
      <w:r w:rsidR="005C2247">
        <w:rPr>
          <w:snapToGrid w:val="0"/>
          <w:lang w:eastAsia="ar-SA"/>
        </w:rPr>
        <w:t>February 26, 2026,</w:t>
      </w:r>
      <w:r w:rsidRPr="006F1BA2">
        <w:rPr>
          <w:snapToGrid w:val="0"/>
          <w:lang w:eastAsia="ar-SA"/>
        </w:rPr>
        <w:t xml:space="preserve"> at </w:t>
      </w:r>
    </w:p>
    <w:p w:rsidR="006F1BA2" w:rsidP="006F1BA2" w14:paraId="2186EE02" w14:textId="468B4287">
      <w:pPr>
        <w:widowControl w:val="0"/>
        <w:tabs>
          <w:tab w:val="num" w:pos="900"/>
          <w:tab w:val="left" w:pos="1440"/>
        </w:tabs>
        <w:ind w:left="1440"/>
        <w:rPr>
          <w:b/>
        </w:rPr>
      </w:pPr>
      <w:r>
        <w:rPr>
          <w:snapToGrid w:val="0"/>
          <w:lang w:eastAsia="ar-SA"/>
        </w:rPr>
        <w:t>91 FR 9671</w:t>
      </w:r>
      <w:r w:rsidRPr="006F1BA2">
        <w:rPr>
          <w:snapToGrid w:val="0"/>
          <w:lang w:eastAsia="ar-SA"/>
        </w:rPr>
        <w:t>, and we received no public comments.  The 30-day FRN published on</w:t>
      </w:r>
      <w:r>
        <w:rPr>
          <w:snapToGrid w:val="0"/>
          <w:lang w:eastAsia="ar-SA"/>
        </w:rPr>
        <w:t xml:space="preserve"> </w:t>
      </w:r>
      <w:r w:rsidR="004416C8">
        <w:rPr>
          <w:snapToGrid w:val="0"/>
          <w:lang w:eastAsia="ar-SA"/>
        </w:rPr>
        <w:t>April 24, 2026</w:t>
      </w:r>
      <w:r w:rsidR="004416C8">
        <w:rPr>
          <w:snapToGrid w:val="0"/>
          <w:lang w:eastAsia="ar-SA"/>
        </w:rPr>
        <w:tab/>
      </w:r>
      <w:r w:rsidRPr="006F1BA2">
        <w:rPr>
          <w:rFonts w:eastAsia="Times New Roman"/>
          <w:snapToGrid w:val="0"/>
          <w:lang w:eastAsia="en-US"/>
        </w:rPr>
        <w:t xml:space="preserve">, at </w:t>
      </w:r>
      <w:r>
        <w:rPr>
          <w:rFonts w:eastAsia="Times New Roman"/>
          <w:snapToGrid w:val="0"/>
          <w:lang w:eastAsia="en-US"/>
        </w:rPr>
        <w:t xml:space="preserve">91 FR </w:t>
      </w:r>
      <w:r w:rsidR="004416C8">
        <w:rPr>
          <w:rFonts w:eastAsia="Times New Roman"/>
          <w:snapToGrid w:val="0"/>
          <w:lang w:eastAsia="en-US"/>
        </w:rPr>
        <w:t>22195</w:t>
      </w:r>
      <w:r w:rsidRPr="006F1BA2">
        <w:rPr>
          <w:rFonts w:eastAsia="Times New Roman"/>
          <w:snapToGrid w:val="0"/>
          <w:lang w:eastAsia="en-US"/>
        </w:rPr>
        <w:t xml:space="preserve">.  </w:t>
      </w:r>
      <w:r w:rsidRPr="006F1BA2">
        <w:rPr>
          <w:snapToGrid w:val="0"/>
          <w:lang w:eastAsia="ar-SA"/>
        </w:rPr>
        <w:t xml:space="preserve">If we receive any comments in response to this Notice, we will forward them to OMB.  </w:t>
      </w:r>
      <w:r w:rsidRPr="006F1BA2">
        <w:rPr>
          <w:iCs/>
          <w:snapToGrid w:val="0"/>
          <w:lang w:eastAsia="ar-SA"/>
        </w:rPr>
        <w:t>We did not consult with the public in the development revision of this form.</w:t>
      </w:r>
    </w:p>
    <w:p w:rsidR="00A247CB" w:rsidP="00797C91" w14:paraId="126F4233" w14:textId="77777777">
      <w:pPr>
        <w:widowControl w:val="0"/>
        <w:tabs>
          <w:tab w:val="left" w:pos="900"/>
          <w:tab w:val="num" w:pos="1440"/>
          <w:tab w:val="left" w:pos="1530"/>
        </w:tabs>
        <w:autoSpaceDE w:val="0"/>
        <w:autoSpaceDN w:val="0"/>
        <w:adjustRightInd w:val="0"/>
        <w:spacing w:line="240" w:lineRule="atLeast"/>
        <w:ind w:left="1440" w:right="360"/>
        <w:jc w:val="both"/>
        <w:rPr>
          <w:b/>
        </w:rPr>
      </w:pPr>
    </w:p>
    <w:p w:rsidR="001B00D0" w:rsidRPr="00797C91" w:rsidP="00797C91" w14:paraId="514B5AB2" w14:textId="77777777">
      <w:pPr>
        <w:widowControl w:val="0"/>
        <w:tabs>
          <w:tab w:val="num" w:pos="1440"/>
        </w:tabs>
        <w:autoSpaceDE w:val="0"/>
        <w:autoSpaceDN w:val="0"/>
        <w:adjustRightInd w:val="0"/>
        <w:spacing w:line="292" w:lineRule="atLeast"/>
        <w:ind w:left="1440" w:right="360" w:hanging="720"/>
        <w:jc w:val="both"/>
        <w:rPr>
          <w:b/>
          <w:bCs/>
        </w:rPr>
      </w:pPr>
      <w:r w:rsidRPr="00797C91">
        <w:rPr>
          <w:b/>
          <w:bCs/>
        </w:rPr>
        <w:t>9.</w:t>
      </w:r>
      <w:r w:rsidRPr="00797C91" w:rsidR="005F3756">
        <w:rPr>
          <w:b/>
          <w:bCs/>
        </w:rPr>
        <w:t xml:space="preserve">  </w:t>
      </w:r>
      <w:r w:rsidRPr="00797C91" w:rsidR="000B2CA9">
        <w:rPr>
          <w:b/>
          <w:bCs/>
        </w:rPr>
        <w:t xml:space="preserve"> </w:t>
      </w:r>
      <w:r w:rsidRPr="00797C91" w:rsidR="00C316E0">
        <w:rPr>
          <w:b/>
          <w:bCs/>
        </w:rPr>
        <w:t xml:space="preserve"> </w:t>
      </w:r>
      <w:r w:rsidRPr="00797C91" w:rsidR="007240FE">
        <w:rPr>
          <w:b/>
          <w:bCs/>
        </w:rPr>
        <w:t xml:space="preserve">    </w:t>
      </w:r>
      <w:r w:rsidRPr="00797C91" w:rsidR="00790952">
        <w:rPr>
          <w:b/>
          <w:bCs/>
        </w:rPr>
        <w:t xml:space="preserve"> </w:t>
      </w:r>
      <w:r w:rsidRPr="00797C91">
        <w:rPr>
          <w:b/>
          <w:bCs/>
        </w:rPr>
        <w:t>Payment or Gifts to Respondents</w:t>
      </w:r>
    </w:p>
    <w:p w:rsidR="00B86869" w:rsidRPr="00204E62" w:rsidP="00797C91" w14:paraId="52E33308" w14:textId="0F8DB61F">
      <w:pPr>
        <w:widowControl w:val="0"/>
        <w:tabs>
          <w:tab w:val="num" w:pos="1440"/>
        </w:tabs>
        <w:autoSpaceDE w:val="0"/>
        <w:autoSpaceDN w:val="0"/>
        <w:adjustRightInd w:val="0"/>
        <w:spacing w:line="292" w:lineRule="atLeast"/>
        <w:ind w:left="1440" w:right="360"/>
        <w:jc w:val="both"/>
      </w:pPr>
      <w:r w:rsidRPr="00204E62">
        <w:t xml:space="preserve">SSA </w:t>
      </w:r>
      <w:r w:rsidR="001B00D0">
        <w:t xml:space="preserve">does not </w:t>
      </w:r>
      <w:r w:rsidRPr="00204E62">
        <w:t>provide payment or gifts to the respondents.</w:t>
      </w:r>
    </w:p>
    <w:p w:rsidR="00B86869" w:rsidRPr="00204E62" w:rsidP="00797C91" w14:paraId="7129A7F9" w14:textId="77777777">
      <w:pPr>
        <w:widowControl w:val="0"/>
        <w:tabs>
          <w:tab w:val="num" w:pos="1440"/>
        </w:tabs>
        <w:autoSpaceDE w:val="0"/>
        <w:autoSpaceDN w:val="0"/>
        <w:adjustRightInd w:val="0"/>
        <w:spacing w:line="292" w:lineRule="atLeast"/>
        <w:ind w:left="1440" w:right="360"/>
        <w:jc w:val="both"/>
      </w:pPr>
    </w:p>
    <w:p w:rsidR="0082453D" w:rsidRPr="00797C91" w:rsidP="00797C91" w14:paraId="661DF523" w14:textId="34CD21E2">
      <w:pPr>
        <w:widowControl w:val="0"/>
        <w:tabs>
          <w:tab w:val="num" w:pos="1440"/>
        </w:tabs>
        <w:autoSpaceDE w:val="0"/>
        <w:autoSpaceDN w:val="0"/>
        <w:adjustRightInd w:val="0"/>
        <w:spacing w:line="273" w:lineRule="atLeast"/>
        <w:ind w:left="1440" w:right="360" w:hanging="720"/>
        <w:rPr>
          <w:b/>
          <w:bCs/>
        </w:rPr>
      </w:pPr>
      <w:r w:rsidRPr="00797C91">
        <w:rPr>
          <w:b/>
          <w:bCs/>
        </w:rPr>
        <w:t xml:space="preserve">10. </w:t>
      </w:r>
      <w:r w:rsidRPr="00797C91" w:rsidR="00C316E0">
        <w:rPr>
          <w:b/>
          <w:bCs/>
        </w:rPr>
        <w:t xml:space="preserve">   </w:t>
      </w:r>
      <w:r w:rsidRPr="00797C91" w:rsidR="007240FE">
        <w:rPr>
          <w:b/>
          <w:bCs/>
        </w:rPr>
        <w:tab/>
      </w:r>
      <w:r w:rsidRPr="00797C91">
        <w:rPr>
          <w:b/>
          <w:bCs/>
        </w:rPr>
        <w:t>Assurances of Confidentiality</w:t>
      </w:r>
    </w:p>
    <w:p w:rsidR="00B86869" w:rsidRPr="00204E62" w:rsidP="00797C91" w14:paraId="26523F52" w14:textId="256376CE">
      <w:pPr>
        <w:widowControl w:val="0"/>
        <w:tabs>
          <w:tab w:val="num" w:pos="1440"/>
        </w:tabs>
        <w:autoSpaceDE w:val="0"/>
        <w:autoSpaceDN w:val="0"/>
        <w:adjustRightInd w:val="0"/>
        <w:spacing w:line="273" w:lineRule="atLeast"/>
        <w:ind w:left="1440"/>
      </w:pPr>
      <w:r w:rsidRPr="00C21CE9">
        <w:rPr>
          <w:rFonts w:eastAsia="Times New Roman"/>
          <w:snapToGrid w:val="0"/>
          <w:lang w:eastAsia="en-US"/>
        </w:rPr>
        <w:t xml:space="preserve">SSA protects and holds confidential the information it collects in accordance with </w:t>
      </w:r>
      <w:r w:rsidRPr="00C21CE9">
        <w:rPr>
          <w:rFonts w:eastAsia="Times New Roman"/>
          <w:i/>
          <w:snapToGrid w:val="0"/>
          <w:lang w:eastAsia="en-US"/>
        </w:rPr>
        <w:t>42 U.S.C. 1306, 20 CFR 401</w:t>
      </w:r>
      <w:r w:rsidRPr="00C21CE9">
        <w:rPr>
          <w:rFonts w:eastAsia="Times New Roman"/>
          <w:snapToGrid w:val="0"/>
          <w:lang w:eastAsia="en-US"/>
        </w:rPr>
        <w:t xml:space="preserve"> and </w:t>
      </w:r>
      <w:r w:rsidRPr="00C21CE9">
        <w:rPr>
          <w:rFonts w:eastAsia="Times New Roman"/>
          <w:i/>
          <w:snapToGrid w:val="0"/>
          <w:lang w:eastAsia="en-US"/>
        </w:rPr>
        <w:t>402</w:t>
      </w:r>
      <w:r w:rsidRPr="00C21CE9">
        <w:rPr>
          <w:rFonts w:eastAsia="Times New Roman"/>
          <w:snapToGrid w:val="0"/>
          <w:lang w:eastAsia="en-US"/>
        </w:rPr>
        <w:t xml:space="preserve">, </w:t>
      </w:r>
      <w:r w:rsidRPr="00C21CE9">
        <w:rPr>
          <w:rFonts w:eastAsia="Times New Roman"/>
          <w:i/>
          <w:snapToGrid w:val="0"/>
          <w:lang w:eastAsia="en-US"/>
        </w:rPr>
        <w:t>5 U.S.C. 552</w:t>
      </w:r>
      <w:r w:rsidRPr="00C21CE9">
        <w:rPr>
          <w:rFonts w:eastAsia="Times New Roman"/>
          <w:snapToGrid w:val="0"/>
          <w:lang w:eastAsia="en-US"/>
        </w:rPr>
        <w:t xml:space="preserve"> (Freedom of Information Act), </w:t>
      </w:r>
      <w:r w:rsidRPr="00C21CE9">
        <w:rPr>
          <w:rFonts w:eastAsia="Times New Roman"/>
          <w:i/>
          <w:snapToGrid w:val="0"/>
          <w:lang w:eastAsia="en-US"/>
        </w:rPr>
        <w:t>5 U.S.C. 552a</w:t>
      </w:r>
      <w:r w:rsidRPr="00C21CE9">
        <w:rPr>
          <w:rFonts w:eastAsia="Times New Roman"/>
          <w:snapToGrid w:val="0"/>
          <w:lang w:eastAsia="en-US"/>
        </w:rPr>
        <w:t xml:space="preserve"> (Privacy Act of 1974), and OMB Circular No. A-130</w:t>
      </w:r>
      <w:r w:rsidRPr="00204E62">
        <w:t>.</w:t>
      </w:r>
    </w:p>
    <w:p w:rsidR="00B86869" w:rsidRPr="00204E62" w:rsidP="00797C91" w14:paraId="3C53ED14" w14:textId="77777777">
      <w:pPr>
        <w:widowControl w:val="0"/>
        <w:tabs>
          <w:tab w:val="num" w:pos="1440"/>
        </w:tabs>
        <w:autoSpaceDE w:val="0"/>
        <w:autoSpaceDN w:val="0"/>
        <w:adjustRightInd w:val="0"/>
        <w:spacing w:line="273" w:lineRule="atLeast"/>
        <w:ind w:left="1440" w:right="360"/>
      </w:pPr>
    </w:p>
    <w:p w:rsidR="004018C4" w:rsidRPr="00797C91" w:rsidP="00797C91" w14:paraId="7ABAEC42" w14:textId="77777777">
      <w:pPr>
        <w:widowControl w:val="0"/>
        <w:tabs>
          <w:tab w:val="num" w:pos="1440"/>
        </w:tabs>
        <w:autoSpaceDE w:val="0"/>
        <w:autoSpaceDN w:val="0"/>
        <w:adjustRightInd w:val="0"/>
        <w:spacing w:line="292" w:lineRule="atLeast"/>
        <w:ind w:left="1440" w:right="360" w:hanging="720"/>
        <w:jc w:val="both"/>
        <w:rPr>
          <w:b/>
          <w:bCs/>
        </w:rPr>
      </w:pPr>
      <w:r w:rsidRPr="00797C91">
        <w:rPr>
          <w:b/>
          <w:bCs/>
        </w:rPr>
        <w:t xml:space="preserve">11. </w:t>
      </w:r>
      <w:r w:rsidRPr="00797C91" w:rsidR="00530294">
        <w:rPr>
          <w:b/>
          <w:bCs/>
        </w:rPr>
        <w:t xml:space="preserve">  </w:t>
      </w:r>
      <w:r w:rsidRPr="00797C91" w:rsidR="00C316E0">
        <w:rPr>
          <w:b/>
          <w:bCs/>
        </w:rPr>
        <w:t xml:space="preserve"> </w:t>
      </w:r>
      <w:r w:rsidRPr="00797C91" w:rsidR="00790952">
        <w:rPr>
          <w:b/>
          <w:bCs/>
        </w:rPr>
        <w:tab/>
      </w:r>
      <w:r w:rsidRPr="00797C91">
        <w:rPr>
          <w:b/>
          <w:bCs/>
        </w:rPr>
        <w:t>Justification of Sensitive Questions</w:t>
      </w:r>
    </w:p>
    <w:p w:rsidR="00B86869" w:rsidRPr="00204E62" w:rsidP="00797C91" w14:paraId="70069191" w14:textId="32AEAA4C">
      <w:pPr>
        <w:widowControl w:val="0"/>
        <w:tabs>
          <w:tab w:val="num" w:pos="1440"/>
        </w:tabs>
        <w:autoSpaceDE w:val="0"/>
        <w:autoSpaceDN w:val="0"/>
        <w:adjustRightInd w:val="0"/>
        <w:spacing w:line="292" w:lineRule="atLeast"/>
        <w:ind w:left="1440" w:right="360"/>
        <w:jc w:val="both"/>
      </w:pPr>
      <w:r w:rsidRPr="00204E62">
        <w:t>The information collection does not contain any questions of a sensitive nature.</w:t>
      </w:r>
    </w:p>
    <w:p w:rsidR="00B86869" w:rsidRPr="00204E62" w:rsidP="00797C91" w14:paraId="470B4F9A" w14:textId="77777777">
      <w:pPr>
        <w:widowControl w:val="0"/>
        <w:tabs>
          <w:tab w:val="num" w:pos="1440"/>
        </w:tabs>
        <w:autoSpaceDE w:val="0"/>
        <w:autoSpaceDN w:val="0"/>
        <w:adjustRightInd w:val="0"/>
        <w:spacing w:line="292" w:lineRule="atLeast"/>
        <w:ind w:left="1440" w:right="360"/>
        <w:jc w:val="both"/>
      </w:pPr>
    </w:p>
    <w:p w:rsidR="004018C4" w:rsidRPr="00797C91" w:rsidP="00797C91" w14:paraId="17F99E64" w14:textId="1E49CB5A">
      <w:pPr>
        <w:widowControl w:val="0"/>
        <w:tabs>
          <w:tab w:val="num" w:pos="1440"/>
        </w:tabs>
        <w:autoSpaceDE w:val="0"/>
        <w:autoSpaceDN w:val="0"/>
        <w:adjustRightInd w:val="0"/>
        <w:spacing w:line="278" w:lineRule="atLeast"/>
        <w:ind w:left="1440" w:right="360" w:hanging="720"/>
        <w:rPr>
          <w:b/>
          <w:bCs/>
        </w:rPr>
      </w:pPr>
      <w:r w:rsidRPr="00797C91">
        <w:rPr>
          <w:b/>
          <w:bCs/>
        </w:rPr>
        <w:t xml:space="preserve">12. </w:t>
      </w:r>
      <w:r w:rsidRPr="00797C91" w:rsidR="00530294">
        <w:rPr>
          <w:b/>
          <w:bCs/>
        </w:rPr>
        <w:t xml:space="preserve"> </w:t>
      </w:r>
      <w:r w:rsidRPr="00797C91" w:rsidR="00C316E0">
        <w:rPr>
          <w:b/>
          <w:bCs/>
        </w:rPr>
        <w:t xml:space="preserve"> </w:t>
      </w:r>
      <w:r w:rsidRPr="00797C91" w:rsidR="00790952">
        <w:rPr>
          <w:b/>
          <w:bCs/>
        </w:rPr>
        <w:tab/>
      </w:r>
      <w:r w:rsidRPr="00797C91" w:rsidR="0074489B">
        <w:rPr>
          <w:b/>
          <w:bCs/>
        </w:rPr>
        <w:t>Estimates of Public Reporting Burd</w:t>
      </w:r>
      <w:r w:rsidRPr="00797C91" w:rsidR="0061077F">
        <w:rPr>
          <w:b/>
          <w:bCs/>
        </w:rPr>
        <w:t>e</w:t>
      </w:r>
      <w:r w:rsidRPr="00797C91" w:rsidR="0074489B">
        <w:rPr>
          <w:b/>
          <w:bCs/>
        </w:rPr>
        <w:t>n</w:t>
      </w:r>
    </w:p>
    <w:p w:rsidR="00CD1DA2" w:rsidRPr="006C2A8B" w:rsidP="00797C91" w14:paraId="20E8A328" w14:textId="3CB566C9">
      <w:pPr>
        <w:pStyle w:val="ListParagraph"/>
        <w:tabs>
          <w:tab w:val="num" w:pos="1440"/>
        </w:tabs>
        <w:ind w:left="1440"/>
        <w:rPr>
          <w:rFonts w:ascii="Times New Roman" w:hAnsi="Times New Roman" w:cs="Times New Roman"/>
          <w:sz w:val="24"/>
          <w:szCs w:val="24"/>
        </w:rPr>
      </w:pPr>
      <w:r w:rsidRPr="00C21CE9">
        <w:rPr>
          <w:rFonts w:ascii="Times New Roman" w:eastAsia="Times New Roman" w:hAnsi="Times New Roman" w:cs="Times New Roman"/>
          <w:noProof/>
          <w:sz w:val="24"/>
          <w:szCs w:val="20"/>
          <w:lang w:eastAsia="zh-CN" w:bidi="en-US"/>
        </w:rPr>
        <w:t>Please see the burden chart below</w:t>
      </w:r>
      <w:r w:rsidRPr="006C2A8B">
        <w:rPr>
          <w:rFonts w:ascii="Times New Roman" w:hAnsi="Times New Roman" w:cs="Times New Roman"/>
          <w:sz w:val="24"/>
          <w:szCs w:val="24"/>
        </w:rPr>
        <w:t>:</w:t>
      </w:r>
    </w:p>
    <w:tbl>
      <w:tblPr>
        <w:tblW w:w="11716"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6"/>
        <w:gridCol w:w="1523"/>
        <w:gridCol w:w="1310"/>
        <w:gridCol w:w="1190"/>
        <w:gridCol w:w="1256"/>
        <w:gridCol w:w="1389"/>
        <w:gridCol w:w="1816"/>
        <w:gridCol w:w="1816"/>
      </w:tblGrid>
      <w:tr w14:paraId="6A755A72" w14:textId="77777777" w:rsidTr="00ED3E19">
        <w:tblPrEx>
          <w:tblW w:w="11716"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16" w:type="dxa"/>
          </w:tcPr>
          <w:p w:rsidR="00ED3E19" w:rsidRPr="00ED3E19" w:rsidP="00ED3E19" w14:paraId="13C88E9E" w14:textId="77777777">
            <w:pPr>
              <w:rPr>
                <w:b/>
              </w:rPr>
            </w:pPr>
            <w:r w:rsidRPr="00ED3E19">
              <w:rPr>
                <w:b/>
              </w:rPr>
              <w:t>Modality of Completion</w:t>
            </w:r>
          </w:p>
        </w:tc>
        <w:tc>
          <w:tcPr>
            <w:tcW w:w="1523" w:type="dxa"/>
          </w:tcPr>
          <w:p w:rsidR="00ED3E19" w:rsidRPr="00ED3E19" w:rsidP="00ED3E19" w14:paraId="10140364" w14:textId="77777777">
            <w:pPr>
              <w:rPr>
                <w:b/>
              </w:rPr>
            </w:pPr>
            <w:r w:rsidRPr="00ED3E19">
              <w:rPr>
                <w:b/>
              </w:rPr>
              <w:t>Number of Respondents</w:t>
            </w:r>
          </w:p>
        </w:tc>
        <w:tc>
          <w:tcPr>
            <w:tcW w:w="1310" w:type="dxa"/>
          </w:tcPr>
          <w:p w:rsidR="00ED3E19" w:rsidRPr="00ED3E19" w:rsidP="00ED3E19" w14:paraId="6AD2CB72" w14:textId="77777777">
            <w:pPr>
              <w:rPr>
                <w:b/>
              </w:rPr>
            </w:pPr>
            <w:r w:rsidRPr="00ED3E19">
              <w:rPr>
                <w:b/>
              </w:rPr>
              <w:t>Frequency of Response</w:t>
            </w:r>
          </w:p>
        </w:tc>
        <w:tc>
          <w:tcPr>
            <w:tcW w:w="1190" w:type="dxa"/>
          </w:tcPr>
          <w:p w:rsidR="00ED3E19" w:rsidRPr="00ED3E19" w:rsidP="00ED3E19" w14:paraId="33D3D67E" w14:textId="77777777">
            <w:pPr>
              <w:rPr>
                <w:b/>
              </w:rPr>
            </w:pPr>
            <w:r w:rsidRPr="00ED3E19">
              <w:rPr>
                <w:b/>
              </w:rPr>
              <w:t>Average Burden Per Response (minutes)</w:t>
            </w:r>
          </w:p>
        </w:tc>
        <w:tc>
          <w:tcPr>
            <w:tcW w:w="1256" w:type="dxa"/>
          </w:tcPr>
          <w:p w:rsidR="00ED3E19" w:rsidRPr="00ED3E19" w:rsidP="00ED3E19" w14:paraId="60D85FD6" w14:textId="77777777">
            <w:pPr>
              <w:rPr>
                <w:b/>
              </w:rPr>
            </w:pPr>
            <w:r w:rsidRPr="00ED3E19">
              <w:rPr>
                <w:b/>
              </w:rPr>
              <w:t>Estimated Total Annual Burden (hours)</w:t>
            </w:r>
          </w:p>
        </w:tc>
        <w:tc>
          <w:tcPr>
            <w:tcW w:w="1389" w:type="dxa"/>
          </w:tcPr>
          <w:p w:rsidR="00ED3E19" w:rsidRPr="00ED3E19" w:rsidP="00ED3E19" w14:paraId="67E17A31" w14:textId="77777777">
            <w:pPr>
              <w:rPr>
                <w:b/>
              </w:rPr>
            </w:pPr>
            <w:r w:rsidRPr="00ED3E19">
              <w:rPr>
                <w:b/>
              </w:rPr>
              <w:t>Average Theoretical Hourly Cost Amount (dollars)*</w:t>
            </w:r>
          </w:p>
        </w:tc>
        <w:tc>
          <w:tcPr>
            <w:tcW w:w="1816" w:type="dxa"/>
          </w:tcPr>
          <w:p w:rsidR="00ED3E19" w:rsidRPr="00ED3E19" w:rsidP="00ED3E19" w14:paraId="5019A7C1" w14:textId="77777777">
            <w:pPr>
              <w:suppressAutoHyphens/>
              <w:autoSpaceDE w:val="0"/>
              <w:autoSpaceDN w:val="0"/>
              <w:adjustRightInd w:val="0"/>
              <w:rPr>
                <w:rFonts w:eastAsia="Calibri"/>
                <w:b/>
                <w:lang w:eastAsia="ar-SA"/>
              </w:rPr>
            </w:pPr>
            <w:r w:rsidRPr="00ED3E19">
              <w:rPr>
                <w:rFonts w:eastAsia="Calibri"/>
                <w:b/>
                <w:lang w:eastAsia="ar-SA"/>
              </w:rPr>
              <w:t xml:space="preserve">Average Wait Time in Field Office or for Teleservice Centers </w:t>
            </w:r>
          </w:p>
          <w:p w:rsidR="00ED3E19" w:rsidRPr="00ED3E19" w:rsidP="00ED3E19" w14:paraId="03457DEB" w14:textId="77777777">
            <w:pPr>
              <w:rPr>
                <w:b/>
              </w:rPr>
            </w:pPr>
            <w:r w:rsidRPr="00ED3E19">
              <w:rPr>
                <w:rFonts w:eastAsia="Calibri"/>
                <w:b/>
                <w:lang w:val="x-none" w:eastAsia="ar-SA"/>
              </w:rPr>
              <w:t>(minutes) **</w:t>
            </w:r>
          </w:p>
        </w:tc>
        <w:tc>
          <w:tcPr>
            <w:tcW w:w="1816" w:type="dxa"/>
          </w:tcPr>
          <w:p w:rsidR="00ED3E19" w:rsidRPr="00ED3E19" w:rsidP="00ED3E19" w14:paraId="1BFC5BF1" w14:textId="77777777">
            <w:pPr>
              <w:autoSpaceDE w:val="0"/>
              <w:autoSpaceDN w:val="0"/>
              <w:adjustRightInd w:val="0"/>
              <w:rPr>
                <w:rFonts w:eastAsia="Times New Roman"/>
                <w:b/>
              </w:rPr>
            </w:pPr>
            <w:r w:rsidRPr="00ED3E19">
              <w:rPr>
                <w:rFonts w:eastAsia="Times New Roman"/>
                <w:b/>
              </w:rPr>
              <w:t>Total Annual Opportunity Cost</w:t>
            </w:r>
          </w:p>
          <w:p w:rsidR="00ED3E19" w:rsidRPr="00ED3E19" w:rsidP="00ED3E19" w14:paraId="3B5FEF8A" w14:textId="77777777">
            <w:pPr>
              <w:autoSpaceDE w:val="0"/>
              <w:autoSpaceDN w:val="0"/>
              <w:adjustRightInd w:val="0"/>
              <w:rPr>
                <w:rFonts w:eastAsia="Times New Roman"/>
                <w:b/>
              </w:rPr>
            </w:pPr>
            <w:r w:rsidRPr="00ED3E19">
              <w:rPr>
                <w:rFonts w:eastAsia="Times New Roman"/>
                <w:b/>
              </w:rPr>
              <w:t>(dollars) ***</w:t>
            </w:r>
          </w:p>
        </w:tc>
      </w:tr>
      <w:tr w14:paraId="70E000ED" w14:textId="77777777" w:rsidTr="00ED3E19">
        <w:tblPrEx>
          <w:tblW w:w="11716" w:type="dxa"/>
          <w:tblInd w:w="-1175" w:type="dxa"/>
          <w:tblLook w:val="04A0"/>
        </w:tblPrEx>
        <w:tc>
          <w:tcPr>
            <w:tcW w:w="1416" w:type="dxa"/>
          </w:tcPr>
          <w:p w:rsidR="00C21CE9" w:rsidRPr="00ED3E19" w:rsidP="00C21CE9" w14:paraId="331BB509" w14:textId="5D0EBB9A">
            <w:r w:rsidRPr="00C077FC">
              <w:t>SSA-781</w:t>
            </w:r>
          </w:p>
        </w:tc>
        <w:tc>
          <w:tcPr>
            <w:tcW w:w="1523" w:type="dxa"/>
          </w:tcPr>
          <w:p w:rsidR="00C21CE9" w:rsidRPr="00ED3E19" w:rsidP="00C21CE9" w14:paraId="48FCEA25" w14:textId="6B0AF2FD">
            <w:pPr>
              <w:jc w:val="right"/>
            </w:pPr>
            <w:r>
              <w:t>478</w:t>
            </w:r>
          </w:p>
        </w:tc>
        <w:tc>
          <w:tcPr>
            <w:tcW w:w="1310" w:type="dxa"/>
          </w:tcPr>
          <w:p w:rsidR="00C21CE9" w:rsidRPr="00ED3E19" w:rsidP="00C21CE9" w14:paraId="29AF590C" w14:textId="008F5061">
            <w:pPr>
              <w:jc w:val="right"/>
            </w:pPr>
            <w:r w:rsidRPr="00C077FC">
              <w:t>1</w:t>
            </w:r>
          </w:p>
        </w:tc>
        <w:tc>
          <w:tcPr>
            <w:tcW w:w="1190" w:type="dxa"/>
          </w:tcPr>
          <w:p w:rsidR="00C21CE9" w:rsidRPr="00ED3E19" w:rsidP="00C21CE9" w14:paraId="46F7DF66" w14:textId="6CA204A0">
            <w:pPr>
              <w:jc w:val="right"/>
            </w:pPr>
            <w:r w:rsidRPr="00C077FC">
              <w:t>5</w:t>
            </w:r>
          </w:p>
        </w:tc>
        <w:tc>
          <w:tcPr>
            <w:tcW w:w="1256" w:type="dxa"/>
          </w:tcPr>
          <w:p w:rsidR="00C21CE9" w:rsidRPr="00ED3E19" w:rsidP="00C21CE9" w14:paraId="2E42352E" w14:textId="131F753B">
            <w:pPr>
              <w:jc w:val="right"/>
            </w:pPr>
            <w:r>
              <w:t>40</w:t>
            </w:r>
          </w:p>
        </w:tc>
        <w:tc>
          <w:tcPr>
            <w:tcW w:w="1389" w:type="dxa"/>
          </w:tcPr>
          <w:p w:rsidR="00C21CE9" w:rsidRPr="00ED3E19" w:rsidP="00C21CE9" w14:paraId="3CFEF97B" w14:textId="52382CA9">
            <w:pPr>
              <w:jc w:val="right"/>
            </w:pPr>
            <w:r>
              <w:t>$</w:t>
            </w:r>
            <w:r w:rsidR="00FB5E62">
              <w:t>32.66</w:t>
            </w:r>
            <w:r>
              <w:t>*</w:t>
            </w:r>
          </w:p>
        </w:tc>
        <w:tc>
          <w:tcPr>
            <w:tcW w:w="1816" w:type="dxa"/>
          </w:tcPr>
          <w:p w:rsidR="00C21CE9" w:rsidRPr="009C6941" w:rsidP="00C21CE9" w14:paraId="1CB5C05F" w14:textId="3D690ED2">
            <w:pPr>
              <w:jc w:val="right"/>
            </w:pPr>
            <w:r>
              <w:t>35</w:t>
            </w:r>
            <w:r w:rsidRPr="009C6941">
              <w:t>**</w:t>
            </w:r>
          </w:p>
        </w:tc>
        <w:tc>
          <w:tcPr>
            <w:tcW w:w="1816" w:type="dxa"/>
          </w:tcPr>
          <w:p w:rsidR="00C21CE9" w:rsidRPr="00534240" w:rsidP="00C21CE9" w14:paraId="03A1CA71" w14:textId="2B5A81D6">
            <w:pPr>
              <w:jc w:val="right"/>
            </w:pPr>
            <w:r w:rsidRPr="00534240">
              <w:t>$</w:t>
            </w:r>
            <w:r w:rsidR="00987006">
              <w:t>10,419</w:t>
            </w:r>
            <w:r w:rsidRPr="00534240">
              <w:t>***</w:t>
            </w:r>
          </w:p>
        </w:tc>
      </w:tr>
    </w:tbl>
    <w:p w:rsidR="009C5F21" w:rsidRPr="009C5F21" w:rsidP="001E255D" w14:paraId="23D233DE" w14:textId="49748620">
      <w:pPr>
        <w:widowControl w:val="0"/>
        <w:tabs>
          <w:tab w:val="left" w:pos="1440"/>
        </w:tabs>
        <w:suppressAutoHyphens/>
        <w:ind w:left="1440"/>
        <w:rPr>
          <w:rFonts w:eastAsia="Times New Roman"/>
          <w:snapToGrid w:val="0"/>
          <w:lang w:eastAsia="en-US"/>
        </w:rPr>
      </w:pPr>
      <w:bookmarkStart w:id="1" w:name="_Hlk86926304"/>
      <w:bookmarkStart w:id="2" w:name="_Hlk86926357"/>
      <w:r>
        <w:rPr>
          <w:rFonts w:eastAsia="Times New Roman"/>
          <w:bCs/>
        </w:rPr>
        <w:t>*</w:t>
      </w:r>
      <w:r>
        <w:rPr>
          <w:rFonts w:eastAsia="Times New Roman"/>
          <w:b/>
        </w:rPr>
        <w:t xml:space="preserve"> </w:t>
      </w:r>
      <w:bookmarkEnd w:id="1"/>
      <w:bookmarkEnd w:id="2"/>
      <w:r w:rsidRPr="005D0DA8" w:rsidR="00987006">
        <w:t>We based this figure on average U.S. citizen’s hourly salary, as reported by Bureau of Labor Statistics data (</w:t>
      </w:r>
      <w:hyperlink r:id="rId4" w:anchor="/industry/000000" w:history="1">
        <w:r w:rsidRPr="005D0DA8" w:rsidR="00987006">
          <w:rPr>
            <w:rStyle w:val="Hyperlink"/>
          </w:rPr>
          <w:t>Occupational Employment and Wage Statistics</w:t>
        </w:r>
      </w:hyperlink>
      <w:r w:rsidRPr="005D0DA8" w:rsidR="00987006">
        <w:t>)</w:t>
      </w:r>
      <w:r>
        <w:rPr>
          <w:rFonts w:eastAsia="Times New Roman"/>
        </w:rPr>
        <w:t>.</w:t>
      </w:r>
    </w:p>
    <w:p w:rsidR="00C21CE9" w:rsidP="00C21CE9" w14:paraId="0F68118D" w14:textId="77777777">
      <w:pPr>
        <w:widowControl w:val="0"/>
        <w:tabs>
          <w:tab w:val="left" w:pos="1440"/>
        </w:tabs>
        <w:suppressAutoHyphens/>
        <w:ind w:left="1440"/>
        <w:rPr>
          <w:rFonts w:eastAsia="Times New Roman"/>
          <w:snapToGrid w:val="0"/>
          <w:lang w:eastAsia="en-US"/>
        </w:rPr>
      </w:pPr>
    </w:p>
    <w:p w:rsidR="00C21CE9" w:rsidP="00C21CE9" w14:paraId="053CA918" w14:textId="49266F0F">
      <w:pPr>
        <w:widowControl w:val="0"/>
        <w:tabs>
          <w:tab w:val="left" w:pos="1440"/>
        </w:tabs>
        <w:suppressAutoHyphens/>
        <w:ind w:left="1440"/>
        <w:rPr>
          <w:snapToGrid w:val="0"/>
        </w:rPr>
      </w:pPr>
      <w:r w:rsidRPr="00C21CE9">
        <w:rPr>
          <w:rFonts w:eastAsia="Times New Roman"/>
          <w:snapToGrid w:val="0"/>
          <w:lang w:eastAsia="en-US"/>
        </w:rPr>
        <w:t xml:space="preserve">** </w:t>
      </w:r>
      <w:r w:rsidRPr="00424B49" w:rsidR="00987006">
        <w:t>We based this figure on the average combined FY 2026 wait times for field offices (2</w:t>
      </w:r>
      <w:r w:rsidR="00987006">
        <w:t>2</w:t>
      </w:r>
      <w:r w:rsidRPr="00424B49" w:rsidR="00987006">
        <w:t xml:space="preserve"> minutes) and for teleservice centers (</w:t>
      </w:r>
      <w:r w:rsidR="00987006">
        <w:t>48</w:t>
      </w:r>
      <w:r w:rsidRPr="00424B49" w:rsidR="00987006">
        <w:t xml:space="preserve"> minutes which includes the average speed of answer of </w:t>
      </w:r>
      <w:r w:rsidR="00987006">
        <w:t>7</w:t>
      </w:r>
      <w:r w:rsidRPr="00424B49" w:rsidR="00987006">
        <w:t xml:space="preserve"> minutes as well as the average 41-minute wait time for a call back from an SSA technician), based on SSA’s current management information data.  This figure reflects both data from our systems and the data </w:t>
      </w:r>
      <w:r w:rsidRPr="00424B49" w:rsidR="00987006">
        <w:t>posted on our public facing website (</w:t>
      </w:r>
      <w:hyperlink r:id="rId5" w:history="1">
        <w:r w:rsidRPr="00424B49" w:rsidR="00987006">
          <w:rPr>
            <w:rStyle w:val="Hyperlink"/>
          </w:rPr>
          <w:t>Social Security performance | SSA</w:t>
        </w:r>
      </w:hyperlink>
      <w:r w:rsidRPr="00424B49" w:rsidR="00987006">
        <w:t xml:space="preserve">) on the date we drafted this document.  As the figures fluctuate daily, the wait times may be different on the website than they appear here.  We continue to monitor our website and </w:t>
      </w:r>
      <w:r w:rsidRPr="00424B49" w:rsidR="00987006">
        <w:t>management</w:t>
      </w:r>
      <w:r w:rsidRPr="00424B49" w:rsidR="00987006">
        <w:t xml:space="preserve"> information data on call back times to ensure we report updated figures when possible</w:t>
      </w:r>
      <w:r w:rsidR="00533590">
        <w:rPr>
          <w:snapToGrid w:val="0"/>
        </w:rPr>
        <w:t>.</w:t>
      </w:r>
    </w:p>
    <w:p w:rsidR="00987006" w:rsidP="00C21CE9" w14:paraId="7955F9C2" w14:textId="77777777">
      <w:pPr>
        <w:widowControl w:val="0"/>
        <w:tabs>
          <w:tab w:val="left" w:pos="1440"/>
        </w:tabs>
        <w:suppressAutoHyphens/>
        <w:ind w:left="1440"/>
        <w:rPr>
          <w:snapToGrid w:val="0"/>
        </w:rPr>
      </w:pPr>
    </w:p>
    <w:p w:rsidR="00987006" w:rsidP="00987006" w14:paraId="0C8DD7CA" w14:textId="02F3BF60">
      <w:pPr>
        <w:widowControl w:val="0"/>
        <w:tabs>
          <w:tab w:val="left" w:pos="1440"/>
        </w:tabs>
        <w:suppressAutoHyphens/>
        <w:ind w:left="1440"/>
        <w:rPr>
          <w:rFonts w:eastAsia="Times New Roman"/>
          <w:bCs/>
        </w:rPr>
      </w:pPr>
      <w:r>
        <w:rPr>
          <w:rFonts w:eastAsia="Times New Roman"/>
          <w:bCs/>
        </w:rPr>
        <w:t>Note:  Since respondents using Upload Documents complete the same fillable PDF as those who use the personal interview option, we did not separate out the burden for each modality, since the burden is the same.  However, the small percentage of respondents</w:t>
      </w:r>
      <w:r w:rsidR="0042244C">
        <w:rPr>
          <w:rFonts w:eastAsia="Times New Roman"/>
          <w:bCs/>
        </w:rPr>
        <w:t xml:space="preserve"> (approximately 20%)</w:t>
      </w:r>
      <w:r>
        <w:rPr>
          <w:rFonts w:eastAsia="Times New Roman"/>
          <w:bCs/>
        </w:rPr>
        <w:t xml:space="preserve"> who choose to use Upload Documents to complete this form have no telephone or in-office </w:t>
      </w:r>
      <w:r>
        <w:rPr>
          <w:rFonts w:eastAsia="Times New Roman"/>
          <w:bCs/>
        </w:rPr>
        <w:t>wait</w:t>
      </w:r>
      <w:r>
        <w:rPr>
          <w:rFonts w:eastAsia="Times New Roman"/>
          <w:bCs/>
        </w:rPr>
        <w:t xml:space="preserve"> time.</w:t>
      </w:r>
    </w:p>
    <w:p w:rsidR="00C21CE9" w:rsidRPr="00C21CE9" w:rsidP="00987006" w14:paraId="18098341" w14:textId="77777777">
      <w:pPr>
        <w:widowControl w:val="0"/>
        <w:tabs>
          <w:tab w:val="left" w:pos="1440"/>
        </w:tabs>
        <w:suppressAutoHyphens/>
        <w:rPr>
          <w:rFonts w:eastAsia="Times New Roman"/>
          <w:spacing w:val="-2"/>
          <w:lang w:eastAsia="ar-SA"/>
        </w:rPr>
      </w:pPr>
    </w:p>
    <w:p w:rsidR="005E6788" w:rsidP="00C21CE9" w14:paraId="5C4284D4" w14:textId="623524E8">
      <w:pPr>
        <w:pStyle w:val="ListParagraph"/>
        <w:tabs>
          <w:tab w:val="left" w:pos="1440"/>
        </w:tabs>
        <w:spacing w:after="0" w:line="240" w:lineRule="auto"/>
        <w:ind w:left="1440"/>
        <w:rPr>
          <w:rFonts w:ascii="Times New Roman" w:hAnsi="Times New Roman" w:cs="Times New Roman"/>
          <w:b/>
          <w:sz w:val="24"/>
          <w:szCs w:val="24"/>
          <w:u w:val="single"/>
        </w:rPr>
      </w:pPr>
      <w:r w:rsidRPr="00C21CE9">
        <w:rPr>
          <w:rFonts w:ascii="Times New Roman" w:eastAsia="Times New Roman" w:hAnsi="Times New Roman" w:cs="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w:t>
      </w:r>
      <w:r w:rsidRPr="00C21CE9">
        <w:rPr>
          <w:rFonts w:ascii="Times New Roman" w:eastAsia="Times New Roman" w:hAnsi="Times New Roman" w:cs="Times New Roman"/>
          <w:sz w:val="24"/>
          <w:szCs w:val="24"/>
        </w:rPr>
        <w:t>to complete</w:t>
      </w:r>
      <w:r w:rsidRPr="00C21CE9">
        <w:rPr>
          <w:rFonts w:ascii="Times New Roman" w:eastAsia="Times New Roman" w:hAnsi="Times New Roman" w:cs="Times New Roman"/>
          <w:sz w:val="24"/>
          <w:szCs w:val="24"/>
        </w:rPr>
        <w:t xml:space="preserve"> the application.  </w:t>
      </w:r>
      <w:r w:rsidRPr="00C21CE9">
        <w:rPr>
          <w:rFonts w:ascii="Times New Roman" w:eastAsia="Times New Roman" w:hAnsi="Times New Roman" w:cs="Times New Roman"/>
          <w:b/>
          <w:sz w:val="24"/>
          <w:szCs w:val="24"/>
          <w:u w:val="single"/>
        </w:rPr>
        <w:t>There is no actual charge to respondents to complete the application</w:t>
      </w:r>
      <w:r w:rsidRPr="006C2A8B">
        <w:rPr>
          <w:rFonts w:ascii="Times New Roman" w:hAnsi="Times New Roman" w:cs="Times New Roman"/>
          <w:b/>
          <w:sz w:val="24"/>
          <w:szCs w:val="24"/>
          <w:u w:val="single"/>
        </w:rPr>
        <w:t>.</w:t>
      </w:r>
    </w:p>
    <w:p w:rsidR="00C21CE9" w:rsidP="00C21CE9" w14:paraId="2BD5BDBC" w14:textId="41DCACE3">
      <w:pPr>
        <w:pStyle w:val="ListParagraph"/>
        <w:tabs>
          <w:tab w:val="left" w:pos="1440"/>
        </w:tabs>
        <w:spacing w:after="0" w:line="240" w:lineRule="auto"/>
        <w:ind w:left="1440"/>
        <w:rPr>
          <w:rFonts w:ascii="Times New Roman" w:hAnsi="Times New Roman" w:cs="Times New Roman"/>
          <w:b/>
          <w:sz w:val="24"/>
          <w:szCs w:val="24"/>
          <w:u w:val="single"/>
        </w:rPr>
      </w:pPr>
    </w:p>
    <w:p w:rsidR="00C21CE9" w:rsidRPr="00C21CE9" w:rsidP="00C21CE9" w14:paraId="67437DA2" w14:textId="77777777">
      <w:pPr>
        <w:widowControl w:val="0"/>
        <w:ind w:left="1440"/>
        <w:rPr>
          <w:rFonts w:eastAsia="Times New Roman"/>
          <w:snapToGrid w:val="0"/>
          <w:lang w:eastAsia="en-US"/>
        </w:rPr>
      </w:pPr>
      <w:r w:rsidRPr="00C21CE9">
        <w:rPr>
          <w:rFonts w:eastAsia="Times New Roman"/>
          <w:snapToGrid w:val="0"/>
          <w:lang w:eastAsia="en-US"/>
        </w:rPr>
        <w:t>In addition, OMB’s Office of Information and Regulatory Affairs (OIRA)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00C21CE9" w:rsidRPr="00C21CE9" w:rsidP="00C21CE9" w14:paraId="23379934" w14:textId="77777777">
      <w:pPr>
        <w:widowControl w:val="0"/>
        <w:ind w:left="1440"/>
        <w:rPr>
          <w:rFonts w:eastAsia="Times New Roman"/>
          <w:lang w:eastAsia="en-US"/>
        </w:rPr>
      </w:pPr>
    </w:p>
    <w:tbl>
      <w:tblPr>
        <w:tblStyle w:val="TableGrid1"/>
        <w:tblW w:w="0" w:type="auto"/>
        <w:tblInd w:w="1327" w:type="dxa"/>
        <w:tblLook w:val="04A0"/>
      </w:tblPr>
      <w:tblGrid>
        <w:gridCol w:w="1671"/>
        <w:gridCol w:w="1572"/>
        <w:gridCol w:w="1529"/>
        <w:gridCol w:w="1548"/>
        <w:gridCol w:w="1703"/>
      </w:tblGrid>
      <w:tr w14:paraId="56DBAA81" w14:textId="77777777" w:rsidTr="0042244C">
        <w:tblPrEx>
          <w:tblW w:w="0" w:type="auto"/>
          <w:tblInd w:w="1327" w:type="dxa"/>
          <w:tblLook w:val="04A0"/>
        </w:tblPrEx>
        <w:tc>
          <w:tcPr>
            <w:tcW w:w="1671" w:type="dxa"/>
            <w:tcBorders>
              <w:top w:val="single" w:sz="4" w:space="0" w:color="auto"/>
              <w:left w:val="single" w:sz="4" w:space="0" w:color="auto"/>
              <w:bottom w:val="single" w:sz="4" w:space="0" w:color="auto"/>
              <w:right w:val="single" w:sz="4" w:space="0" w:color="auto"/>
            </w:tcBorders>
            <w:hideMark/>
          </w:tcPr>
          <w:p w:rsidR="00C21CE9" w:rsidRPr="00C21CE9" w:rsidP="00C21CE9" w14:paraId="26FD2234" w14:textId="77777777">
            <w:pPr>
              <w:rPr>
                <w:rFonts w:eastAsia="Times New Roman"/>
                <w:snapToGrid w:val="0"/>
                <w:lang w:eastAsia="en-US"/>
              </w:rPr>
            </w:pPr>
            <w:r w:rsidRPr="00C21CE9">
              <w:rPr>
                <w:rFonts w:eastAsia="Times New Roman"/>
                <w:snapToGrid w:val="0"/>
                <w:lang w:eastAsia="en-US"/>
              </w:rPr>
              <w:t>Total Number of Respondents Who Visit a Field Office</w:t>
            </w:r>
          </w:p>
        </w:tc>
        <w:tc>
          <w:tcPr>
            <w:tcW w:w="1572" w:type="dxa"/>
            <w:tcBorders>
              <w:top w:val="single" w:sz="4" w:space="0" w:color="auto"/>
              <w:left w:val="single" w:sz="4" w:space="0" w:color="auto"/>
              <w:bottom w:val="single" w:sz="4" w:space="0" w:color="auto"/>
              <w:right w:val="single" w:sz="4" w:space="0" w:color="auto"/>
            </w:tcBorders>
            <w:hideMark/>
          </w:tcPr>
          <w:p w:rsidR="00C21CE9" w:rsidRPr="00C21CE9" w:rsidP="00C21CE9" w14:paraId="5815F536" w14:textId="77777777">
            <w:pPr>
              <w:rPr>
                <w:rFonts w:eastAsia="Times New Roman"/>
                <w:snapToGrid w:val="0"/>
                <w:lang w:eastAsia="en-US"/>
              </w:rPr>
            </w:pPr>
            <w:r w:rsidRPr="00C21CE9">
              <w:rPr>
                <w:rFonts w:eastAsia="Times New Roman"/>
                <w:snapToGrid w:val="0"/>
                <w:lang w:eastAsia="en-US"/>
              </w:rPr>
              <w:t>Frequency of Response</w:t>
            </w:r>
          </w:p>
        </w:tc>
        <w:tc>
          <w:tcPr>
            <w:tcW w:w="1529" w:type="dxa"/>
            <w:tcBorders>
              <w:top w:val="single" w:sz="4" w:space="0" w:color="auto"/>
              <w:left w:val="single" w:sz="4" w:space="0" w:color="auto"/>
              <w:bottom w:val="single" w:sz="4" w:space="0" w:color="auto"/>
              <w:right w:val="single" w:sz="4" w:space="0" w:color="auto"/>
            </w:tcBorders>
            <w:hideMark/>
          </w:tcPr>
          <w:p w:rsidR="00C21CE9" w:rsidRPr="00C21CE9" w:rsidP="00C21CE9" w14:paraId="5D6D0E07" w14:textId="77777777">
            <w:pPr>
              <w:rPr>
                <w:rFonts w:eastAsia="Times New Roman"/>
                <w:snapToGrid w:val="0"/>
                <w:lang w:eastAsia="en-US"/>
              </w:rPr>
            </w:pPr>
            <w:r w:rsidRPr="00C21CE9">
              <w:rPr>
                <w:rFonts w:eastAsia="Times New Roman"/>
                <w:snapToGrid w:val="0"/>
                <w:lang w:eastAsia="en-US"/>
              </w:rPr>
              <w:t>Average One-Way Travel Time to a Field Office (minutes)</w:t>
            </w:r>
          </w:p>
        </w:tc>
        <w:tc>
          <w:tcPr>
            <w:tcW w:w="1548" w:type="dxa"/>
            <w:tcBorders>
              <w:top w:val="single" w:sz="4" w:space="0" w:color="auto"/>
              <w:left w:val="single" w:sz="4" w:space="0" w:color="auto"/>
              <w:bottom w:val="single" w:sz="4" w:space="0" w:color="auto"/>
              <w:right w:val="single" w:sz="4" w:space="0" w:color="auto"/>
            </w:tcBorders>
            <w:hideMark/>
          </w:tcPr>
          <w:p w:rsidR="00C21CE9" w:rsidRPr="00C21CE9" w:rsidP="00C21CE9" w14:paraId="3BC01496" w14:textId="77777777">
            <w:pPr>
              <w:rPr>
                <w:rFonts w:eastAsia="Times New Roman"/>
                <w:snapToGrid w:val="0"/>
                <w:lang w:eastAsia="en-US"/>
              </w:rPr>
            </w:pPr>
            <w:r w:rsidRPr="00C21CE9">
              <w:rPr>
                <w:rFonts w:eastAsia="Times New Roman"/>
                <w:snapToGrid w:val="0"/>
                <w:lang w:eastAsia="en-US"/>
              </w:rPr>
              <w:t>Estimated Total Travel Time to a Field Office (hours)</w:t>
            </w:r>
          </w:p>
        </w:tc>
        <w:tc>
          <w:tcPr>
            <w:tcW w:w="1703" w:type="dxa"/>
            <w:tcBorders>
              <w:top w:val="single" w:sz="4" w:space="0" w:color="auto"/>
              <w:left w:val="single" w:sz="4" w:space="0" w:color="auto"/>
              <w:bottom w:val="single" w:sz="4" w:space="0" w:color="auto"/>
              <w:right w:val="single" w:sz="4" w:space="0" w:color="auto"/>
            </w:tcBorders>
            <w:hideMark/>
          </w:tcPr>
          <w:p w:rsidR="00C21CE9" w:rsidRPr="00C21CE9" w:rsidP="00C21CE9" w14:paraId="52E28380" w14:textId="77777777">
            <w:pPr>
              <w:rPr>
                <w:rFonts w:eastAsia="Times New Roman"/>
                <w:snapToGrid w:val="0"/>
                <w:lang w:eastAsia="en-US"/>
              </w:rPr>
            </w:pPr>
            <w:r w:rsidRPr="00C21CE9">
              <w:rPr>
                <w:rFonts w:eastAsia="Times New Roman"/>
                <w:snapToGrid w:val="0"/>
                <w:lang w:eastAsia="en-US"/>
              </w:rPr>
              <w:t>Total Annual Opportunity Cost for Travel Time (dollars)****</w:t>
            </w:r>
          </w:p>
        </w:tc>
      </w:tr>
      <w:tr w14:paraId="464C6885" w14:textId="77777777" w:rsidTr="0042244C">
        <w:tblPrEx>
          <w:tblW w:w="0" w:type="auto"/>
          <w:tblInd w:w="1327" w:type="dxa"/>
          <w:tblLook w:val="04A0"/>
        </w:tblPrEx>
        <w:tc>
          <w:tcPr>
            <w:tcW w:w="1671" w:type="dxa"/>
            <w:tcBorders>
              <w:top w:val="single" w:sz="4" w:space="0" w:color="auto"/>
              <w:left w:val="single" w:sz="4" w:space="0" w:color="auto"/>
              <w:bottom w:val="single" w:sz="4" w:space="0" w:color="auto"/>
              <w:right w:val="single" w:sz="4" w:space="0" w:color="auto"/>
            </w:tcBorders>
            <w:hideMark/>
          </w:tcPr>
          <w:p w:rsidR="00C21CE9" w:rsidRPr="0042244C" w:rsidP="00C21CE9" w14:paraId="4428EB02" w14:textId="5C117615">
            <w:pPr>
              <w:jc w:val="right"/>
              <w:rPr>
                <w:rFonts w:eastAsia="Times New Roman"/>
                <w:snapToGrid w:val="0"/>
                <w:lang w:eastAsia="en-US"/>
              </w:rPr>
            </w:pPr>
            <w:r w:rsidRPr="0042244C">
              <w:rPr>
                <w:rFonts w:eastAsia="Times New Roman"/>
                <w:snapToGrid w:val="0"/>
                <w:lang w:eastAsia="en-US"/>
              </w:rPr>
              <w:t>382</w:t>
            </w:r>
          </w:p>
        </w:tc>
        <w:tc>
          <w:tcPr>
            <w:tcW w:w="1572" w:type="dxa"/>
            <w:tcBorders>
              <w:top w:val="single" w:sz="4" w:space="0" w:color="auto"/>
              <w:left w:val="single" w:sz="4" w:space="0" w:color="auto"/>
              <w:bottom w:val="single" w:sz="4" w:space="0" w:color="auto"/>
              <w:right w:val="single" w:sz="4" w:space="0" w:color="auto"/>
            </w:tcBorders>
            <w:hideMark/>
          </w:tcPr>
          <w:p w:rsidR="00C21CE9" w:rsidRPr="0042244C" w:rsidP="00C21CE9" w14:paraId="70CC84E3" w14:textId="77777777">
            <w:pPr>
              <w:jc w:val="right"/>
              <w:rPr>
                <w:rFonts w:eastAsia="Times New Roman"/>
                <w:snapToGrid w:val="0"/>
                <w:lang w:eastAsia="en-US"/>
              </w:rPr>
            </w:pPr>
            <w:r w:rsidRPr="0042244C">
              <w:rPr>
                <w:rFonts w:eastAsia="Times New Roman"/>
                <w:snapToGrid w:val="0"/>
                <w:lang w:eastAsia="en-US"/>
              </w:rPr>
              <w:t>1</w:t>
            </w:r>
          </w:p>
        </w:tc>
        <w:tc>
          <w:tcPr>
            <w:tcW w:w="1529" w:type="dxa"/>
            <w:tcBorders>
              <w:top w:val="single" w:sz="4" w:space="0" w:color="auto"/>
              <w:left w:val="single" w:sz="4" w:space="0" w:color="auto"/>
              <w:bottom w:val="single" w:sz="4" w:space="0" w:color="auto"/>
              <w:right w:val="single" w:sz="4" w:space="0" w:color="auto"/>
            </w:tcBorders>
            <w:hideMark/>
          </w:tcPr>
          <w:p w:rsidR="00C21CE9" w:rsidRPr="0042244C" w:rsidP="00C21CE9" w14:paraId="7112FE82" w14:textId="77777777">
            <w:pPr>
              <w:jc w:val="right"/>
              <w:rPr>
                <w:rFonts w:eastAsia="Times New Roman"/>
                <w:snapToGrid w:val="0"/>
                <w:lang w:eastAsia="en-US"/>
              </w:rPr>
            </w:pPr>
            <w:r w:rsidRPr="0042244C">
              <w:rPr>
                <w:rFonts w:eastAsia="Times New Roman"/>
                <w:snapToGrid w:val="0"/>
                <w:lang w:eastAsia="en-US"/>
              </w:rPr>
              <w:t>30</w:t>
            </w:r>
          </w:p>
        </w:tc>
        <w:tc>
          <w:tcPr>
            <w:tcW w:w="1548" w:type="dxa"/>
            <w:tcBorders>
              <w:top w:val="single" w:sz="4" w:space="0" w:color="auto"/>
              <w:left w:val="single" w:sz="4" w:space="0" w:color="auto"/>
              <w:bottom w:val="single" w:sz="4" w:space="0" w:color="auto"/>
              <w:right w:val="single" w:sz="4" w:space="0" w:color="auto"/>
            </w:tcBorders>
            <w:hideMark/>
          </w:tcPr>
          <w:p w:rsidR="00C21CE9" w:rsidRPr="0042244C" w:rsidP="00C21CE9" w14:paraId="00BABFC9" w14:textId="5A0B5756">
            <w:pPr>
              <w:jc w:val="right"/>
              <w:rPr>
                <w:rFonts w:eastAsia="Times New Roman"/>
                <w:snapToGrid w:val="0"/>
                <w:lang w:eastAsia="en-US"/>
              </w:rPr>
            </w:pPr>
            <w:r w:rsidRPr="0042244C">
              <w:rPr>
                <w:rFonts w:eastAsia="Times New Roman"/>
                <w:snapToGrid w:val="0"/>
                <w:lang w:eastAsia="en-US"/>
              </w:rPr>
              <w:t>191</w:t>
            </w:r>
          </w:p>
        </w:tc>
        <w:tc>
          <w:tcPr>
            <w:tcW w:w="1703" w:type="dxa"/>
            <w:tcBorders>
              <w:top w:val="single" w:sz="4" w:space="0" w:color="auto"/>
              <w:left w:val="single" w:sz="4" w:space="0" w:color="auto"/>
              <w:bottom w:val="single" w:sz="4" w:space="0" w:color="auto"/>
              <w:right w:val="single" w:sz="4" w:space="0" w:color="auto"/>
            </w:tcBorders>
            <w:hideMark/>
          </w:tcPr>
          <w:p w:rsidR="00C21CE9" w:rsidRPr="0042244C" w:rsidP="00C21CE9" w14:paraId="175C2D8E" w14:textId="5AA13FA0">
            <w:pPr>
              <w:jc w:val="right"/>
              <w:rPr>
                <w:rFonts w:eastAsia="Times New Roman"/>
                <w:snapToGrid w:val="0"/>
                <w:lang w:eastAsia="en-US"/>
              </w:rPr>
            </w:pPr>
            <w:r w:rsidRPr="0042244C">
              <w:rPr>
                <w:rFonts w:eastAsia="Times New Roman"/>
                <w:snapToGrid w:val="0"/>
                <w:lang w:eastAsia="en-US"/>
              </w:rPr>
              <w:t>$</w:t>
            </w:r>
            <w:r w:rsidRPr="0042244C" w:rsidR="0042244C">
              <w:rPr>
                <w:rFonts w:eastAsia="Times New Roman"/>
                <w:snapToGrid w:val="0"/>
                <w:lang w:eastAsia="en-US"/>
              </w:rPr>
              <w:t>6,238****</w:t>
            </w:r>
          </w:p>
        </w:tc>
      </w:tr>
    </w:tbl>
    <w:p w:rsidR="00C21CE9" w:rsidRPr="00C21CE9" w:rsidP="00C21CE9" w14:paraId="7C5283AD" w14:textId="77777777">
      <w:pPr>
        <w:widowControl w:val="0"/>
        <w:ind w:left="1440"/>
        <w:rPr>
          <w:rFonts w:eastAsia="Times New Roman"/>
          <w:snapToGrid w:val="0"/>
          <w:lang w:eastAsia="en-US"/>
        </w:rPr>
      </w:pPr>
      <w:r w:rsidRPr="00C21CE9">
        <w:rPr>
          <w:rFonts w:eastAsia="Times New Roman"/>
          <w:snapToGrid w:val="0"/>
          <w:lang w:eastAsia="en-US"/>
        </w:rPr>
        <w:t xml:space="preserve">**** We based this dollar amount on the Average Theoretical Hourly Cost Amount in dollars shown on the burden chart above.  </w:t>
      </w:r>
    </w:p>
    <w:p w:rsidR="00C21CE9" w:rsidRPr="00C21CE9" w:rsidP="00C21CE9" w14:paraId="049285C7" w14:textId="77777777">
      <w:pPr>
        <w:widowControl w:val="0"/>
        <w:ind w:left="1440"/>
        <w:rPr>
          <w:rFonts w:eastAsia="Times New Roman"/>
          <w:snapToGrid w:val="0"/>
          <w:lang w:eastAsia="en-US"/>
        </w:rPr>
      </w:pPr>
    </w:p>
    <w:p w:rsidR="00C21CE9" w:rsidRPr="00C21CE9" w:rsidP="00C21CE9" w14:paraId="0422D593" w14:textId="77DF9A2D">
      <w:pPr>
        <w:widowControl w:val="0"/>
        <w:ind w:left="1440"/>
        <w:rPr>
          <w:rFonts w:eastAsia="Times New Roman"/>
          <w:snapToGrid w:val="0"/>
          <w:lang w:eastAsia="en-US"/>
        </w:rPr>
      </w:pPr>
      <w:r w:rsidRPr="00C21CE9">
        <w:rPr>
          <w:rFonts w:eastAsia="Times New Roman"/>
          <w:snapToGrid w:val="0"/>
          <w:lang w:eastAsia="en-US"/>
        </w:rPr>
        <w:t xml:space="preserve">Per OIRA, we include this travel time burden estimate under the </w:t>
      </w:r>
      <w:r w:rsidRPr="0042244C">
        <w:rPr>
          <w:rFonts w:eastAsia="Times New Roman"/>
          <w:i/>
          <w:iCs/>
          <w:snapToGrid w:val="0"/>
          <w:lang w:eastAsia="en-US"/>
        </w:rPr>
        <w:t>5</w:t>
      </w:r>
      <w:r w:rsidR="0042244C">
        <w:rPr>
          <w:rFonts w:eastAsia="Times New Roman"/>
          <w:i/>
          <w:iCs/>
          <w:snapToGrid w:val="0"/>
          <w:lang w:eastAsia="en-US"/>
        </w:rPr>
        <w:t> </w:t>
      </w:r>
      <w:r w:rsidRPr="0042244C">
        <w:rPr>
          <w:rFonts w:eastAsia="Times New Roman"/>
          <w:i/>
          <w:iCs/>
          <w:snapToGrid w:val="0"/>
          <w:lang w:eastAsia="en-US"/>
        </w:rPr>
        <w:t>CFR</w:t>
      </w:r>
      <w:r w:rsidR="0042244C">
        <w:rPr>
          <w:rFonts w:eastAsia="Times New Roman"/>
          <w:i/>
          <w:iCs/>
          <w:snapToGrid w:val="0"/>
          <w:lang w:eastAsia="en-US"/>
        </w:rPr>
        <w:t> </w:t>
      </w:r>
      <w:r w:rsidRPr="0042244C">
        <w:rPr>
          <w:rFonts w:eastAsia="Times New Roman"/>
          <w:i/>
          <w:iCs/>
          <w:snapToGrid w:val="0"/>
          <w:lang w:eastAsia="en-US"/>
        </w:rPr>
        <w:t>1320.8(a)(4)</w:t>
      </w:r>
      <w:r w:rsidRPr="00C21CE9">
        <w:rPr>
          <w:rFonts w:eastAsia="Times New Roman"/>
          <w:snapToGrid w:val="0"/>
          <w:lang w:eastAsia="en-US"/>
        </w:rPr>
        <w:t xml:space="preserve">, which requires us to provide “time, effort, or financial resources expended by persons [for]…transmitting, or otherwise disclosing the information,” as well as </w:t>
      </w:r>
      <w:r w:rsidRPr="0042244C">
        <w:rPr>
          <w:rFonts w:eastAsia="Times New Roman"/>
          <w:i/>
          <w:iCs/>
          <w:snapToGrid w:val="0"/>
          <w:lang w:eastAsia="en-US"/>
        </w:rPr>
        <w:t xml:space="preserve">5 CFR 1320.8(b)(3)(iii) </w:t>
      </w:r>
      <w:r w:rsidRPr="00C21CE9">
        <w:rPr>
          <w:rFonts w:eastAsia="Times New Roman"/>
          <w:snapToGrid w:val="0"/>
          <w:lang w:eastAsia="en-US"/>
        </w:rPr>
        <w:t xml:space="preserve">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 </w:t>
      </w:r>
    </w:p>
    <w:p w:rsidR="00C21CE9" w:rsidRPr="00C21CE9" w:rsidP="00C21CE9" w14:paraId="4768174F" w14:textId="77777777">
      <w:pPr>
        <w:widowControl w:val="0"/>
        <w:ind w:left="1440"/>
        <w:contextualSpacing/>
        <w:rPr>
          <w:rFonts w:eastAsia="Times New Roman"/>
          <w:snapToGrid w:val="0"/>
          <w:lang w:eastAsia="en-US"/>
        </w:rPr>
      </w:pPr>
    </w:p>
    <w:p w:rsidR="00C21CE9" w:rsidP="00C21CE9" w14:paraId="49E16744" w14:textId="7F53004C">
      <w:pPr>
        <w:pStyle w:val="ListParagraph"/>
        <w:tabs>
          <w:tab w:val="left" w:pos="1440"/>
        </w:tabs>
        <w:spacing w:after="0" w:line="240" w:lineRule="auto"/>
        <w:ind w:left="1440"/>
        <w:rPr>
          <w:rFonts w:ascii="Times New Roman" w:eastAsia="Times New Roman" w:hAnsi="Times New Roman" w:cs="Times New Roman"/>
          <w:snapToGrid w:val="0"/>
          <w:sz w:val="24"/>
          <w:szCs w:val="24"/>
        </w:rPr>
      </w:pPr>
      <w:r w:rsidRPr="00C21CE9">
        <w:rPr>
          <w:rFonts w:ascii="Times New Roman" w:eastAsia="Times New Roman" w:hAnsi="Times New Roman" w:cs="Times New Roman"/>
          <w:snapToGrid w:val="0"/>
          <w:sz w:val="24"/>
          <w:szCs w:val="24"/>
        </w:rPr>
        <w:t>NOTE:  We included the total opportunity cost estimate from this chart in our calculations when showing the total time and opportunity cost estimates in the paragraph below.</w:t>
      </w:r>
    </w:p>
    <w:p w:rsidR="00DA73FF" w:rsidP="00C21CE9" w14:paraId="72C1EB3F" w14:textId="77777777">
      <w:pPr>
        <w:pStyle w:val="ListParagraph"/>
        <w:tabs>
          <w:tab w:val="left" w:pos="1440"/>
        </w:tabs>
        <w:spacing w:after="0" w:line="240" w:lineRule="auto"/>
        <w:ind w:left="1440"/>
        <w:rPr>
          <w:rFonts w:ascii="Times New Roman" w:eastAsia="Times New Roman" w:hAnsi="Times New Roman" w:cs="Times New Roman"/>
          <w:snapToGrid w:val="0"/>
          <w:sz w:val="24"/>
          <w:szCs w:val="24"/>
        </w:rPr>
      </w:pPr>
    </w:p>
    <w:p w:rsidR="00DA73FF" w:rsidP="00DA73FF" w14:paraId="1D27DB38" w14:textId="77777777">
      <w:pPr>
        <w:ind w:left="1440"/>
        <w:rPr>
          <w:kern w:val="2"/>
          <w:lang w:eastAsia="ar-SA"/>
        </w:rPr>
      </w:pPr>
      <w:r>
        <w:rPr>
          <w:kern w:val="2"/>
          <w:lang w:eastAsia="ar-SA"/>
        </w:rPr>
        <w:t>We did not include a separate Learning Cost for this information collection, as we include the Learning Cost in the burdens listed in the chart above.</w:t>
      </w:r>
    </w:p>
    <w:p w:rsidR="00DA73FF" w:rsidP="00DA73FF" w14:paraId="1D11A985" w14:textId="77777777">
      <w:pPr>
        <w:ind w:left="1440"/>
        <w:rPr>
          <w:kern w:val="2"/>
          <w:lang w:eastAsia="ar-SA"/>
        </w:rPr>
      </w:pPr>
    </w:p>
    <w:p w:rsidR="00962502" w:rsidP="002019C7" w14:paraId="224A94A3" w14:textId="70315040">
      <w:pPr>
        <w:widowControl w:val="0"/>
        <w:tabs>
          <w:tab w:val="left" w:pos="1440"/>
        </w:tabs>
        <w:ind w:left="1440"/>
        <w:contextualSpacing/>
        <w:rPr>
          <w:rFonts w:eastAsia="Times New Roman"/>
          <w:snapToGrid w:val="0"/>
          <w:lang w:eastAsia="en-US"/>
        </w:rPr>
      </w:pPr>
      <w:r w:rsidRPr="00962502">
        <w:rPr>
          <w:rFonts w:eastAsia="Times New Roman"/>
          <w:snapToGrid w:val="0"/>
          <w:lang w:eastAsia="en-US"/>
        </w:rPr>
        <w:t xml:space="preserve">We base our burden estimates on current management information data, which includes data from actual interviews, as well as from years of conducting this information collection.  Per our management information data, we believe that </w:t>
      </w:r>
      <w:r w:rsidRPr="00A1051E">
        <w:rPr>
          <w:rFonts w:eastAsia="Times New Roman"/>
          <w:snapToGrid w:val="0"/>
          <w:lang w:eastAsia="en-US"/>
        </w:rPr>
        <w:t>5</w:t>
      </w:r>
      <w:r w:rsidR="0042244C">
        <w:rPr>
          <w:rFonts w:eastAsia="Times New Roman"/>
          <w:snapToGrid w:val="0"/>
          <w:lang w:eastAsia="en-US"/>
        </w:rPr>
        <w:t> </w:t>
      </w:r>
      <w:r w:rsidRPr="00962502">
        <w:rPr>
          <w:rFonts w:eastAsia="Times New Roman"/>
          <w:snapToGrid w:val="0"/>
          <w:lang w:eastAsia="en-US"/>
        </w:rPr>
        <w:t xml:space="preserve">minutes accurately shows the average burden per response for reading the instructions, gathering the facts, and answering the questions.  Based on our current management information data, the current burden information we provided is accurate.  The total burden for this ICR </w:t>
      </w:r>
      <w:r w:rsidRPr="001707B8">
        <w:rPr>
          <w:rFonts w:eastAsia="Times New Roman"/>
          <w:snapToGrid w:val="0"/>
          <w:lang w:eastAsia="en-US"/>
        </w:rPr>
        <w:t xml:space="preserve">is </w:t>
      </w:r>
      <w:r w:rsidRPr="001707B8" w:rsidR="00484879">
        <w:rPr>
          <w:rFonts w:eastAsia="Times New Roman"/>
          <w:snapToGrid w:val="0"/>
          <w:lang w:eastAsia="en-US"/>
        </w:rPr>
        <w:t>40</w:t>
      </w:r>
      <w:r w:rsidRPr="00962502">
        <w:rPr>
          <w:rFonts w:eastAsia="Times New Roman"/>
          <w:snapToGrid w:val="0"/>
          <w:lang w:eastAsia="en-US"/>
        </w:rPr>
        <w:t xml:space="preserve"> burden hours (reflecting SSA management information data), which results in an associated theoretical (not actual) opportunity cost financial burden </w:t>
      </w:r>
      <w:r w:rsidRPr="001707B8">
        <w:rPr>
          <w:rFonts w:eastAsia="Times New Roman"/>
          <w:snapToGrid w:val="0"/>
          <w:lang w:eastAsia="en-US"/>
        </w:rPr>
        <w:t xml:space="preserve">of </w:t>
      </w:r>
      <w:r w:rsidRPr="001707B8" w:rsidR="002757F6">
        <w:rPr>
          <w:rFonts w:eastAsia="Times New Roman"/>
          <w:snapToGrid w:val="0"/>
          <w:lang w:eastAsia="en-US"/>
        </w:rPr>
        <w:t>$</w:t>
      </w:r>
      <w:r w:rsidR="0042244C">
        <w:rPr>
          <w:rFonts w:eastAsia="Times New Roman"/>
          <w:snapToGrid w:val="0"/>
          <w:lang w:eastAsia="en-US"/>
        </w:rPr>
        <w:t>16,657</w:t>
      </w:r>
      <w:r w:rsidRPr="001707B8">
        <w:rPr>
          <w:rFonts w:eastAsia="Times New Roman"/>
          <w:snapToGrid w:val="0"/>
          <w:lang w:eastAsia="en-US"/>
        </w:rPr>
        <w:t>.</w:t>
      </w:r>
      <w:r w:rsidRPr="00962502">
        <w:rPr>
          <w:rFonts w:eastAsia="Times New Roman"/>
          <w:snapToGrid w:val="0"/>
          <w:lang w:eastAsia="en-US"/>
        </w:rPr>
        <w:t xml:space="preserve">  SSA does not charge respondents to complete our applications.</w:t>
      </w:r>
    </w:p>
    <w:p w:rsidR="00CE7D29" w:rsidP="007F0598" w14:paraId="283FCFC1" w14:textId="77777777">
      <w:pPr>
        <w:widowControl w:val="0"/>
        <w:tabs>
          <w:tab w:val="left" w:pos="1260"/>
          <w:tab w:val="left" w:pos="1350"/>
          <w:tab w:val="left" w:pos="1440"/>
        </w:tabs>
        <w:autoSpaceDE w:val="0"/>
        <w:autoSpaceDN w:val="0"/>
        <w:adjustRightInd w:val="0"/>
        <w:spacing w:line="278" w:lineRule="atLeast"/>
        <w:ind w:left="1350" w:right="360" w:hanging="360"/>
        <w:rPr>
          <w:i/>
        </w:rPr>
      </w:pPr>
    </w:p>
    <w:p w:rsidR="003D5081" w:rsidRPr="005C6BC5" w:rsidP="005C6BC5" w14:paraId="1D223626" w14:textId="77777777">
      <w:pPr>
        <w:widowControl w:val="0"/>
        <w:tabs>
          <w:tab w:val="left" w:pos="1440"/>
        </w:tabs>
        <w:autoSpaceDE w:val="0"/>
        <w:autoSpaceDN w:val="0"/>
        <w:adjustRightInd w:val="0"/>
        <w:spacing w:line="292" w:lineRule="atLeast"/>
        <w:ind w:left="1440" w:right="360" w:hanging="720"/>
        <w:jc w:val="both"/>
        <w:rPr>
          <w:b/>
          <w:bCs/>
        </w:rPr>
      </w:pPr>
      <w:r w:rsidRPr="005C6BC5">
        <w:rPr>
          <w:b/>
          <w:bCs/>
        </w:rPr>
        <w:t xml:space="preserve">13. </w:t>
      </w:r>
      <w:r w:rsidRPr="005C6BC5" w:rsidR="00C316E0">
        <w:rPr>
          <w:b/>
          <w:bCs/>
        </w:rPr>
        <w:t xml:space="preserve">  </w:t>
      </w:r>
      <w:r w:rsidRPr="005C6BC5" w:rsidR="00C42E54">
        <w:rPr>
          <w:b/>
          <w:bCs/>
        </w:rPr>
        <w:t xml:space="preserve"> </w:t>
      </w:r>
      <w:r w:rsidRPr="005C6BC5" w:rsidR="00790952">
        <w:rPr>
          <w:b/>
          <w:bCs/>
        </w:rPr>
        <w:tab/>
      </w:r>
      <w:r w:rsidRPr="005C6BC5">
        <w:rPr>
          <w:b/>
          <w:bCs/>
        </w:rPr>
        <w:t>Annual Cost to the Respondents (Other)</w:t>
      </w:r>
    </w:p>
    <w:p w:rsidR="00B86869" w:rsidRPr="00204E62" w:rsidP="005C6BC5" w14:paraId="448401A2" w14:textId="78D8B3E5">
      <w:pPr>
        <w:widowControl w:val="0"/>
        <w:tabs>
          <w:tab w:val="left" w:pos="1170"/>
          <w:tab w:val="left" w:pos="1350"/>
        </w:tabs>
        <w:autoSpaceDE w:val="0"/>
        <w:autoSpaceDN w:val="0"/>
        <w:adjustRightInd w:val="0"/>
        <w:spacing w:line="292" w:lineRule="atLeast"/>
        <w:ind w:left="1440" w:right="360"/>
        <w:jc w:val="both"/>
      </w:pPr>
      <w:r>
        <w:t xml:space="preserve">This collection does not impose a known cost burden </w:t>
      </w:r>
      <w:r w:rsidR="00A13AF9">
        <w:t>on</w:t>
      </w:r>
      <w:r>
        <w:t xml:space="preserve"> the re</w:t>
      </w:r>
      <w:r w:rsidRPr="00204E62">
        <w:t>spondents.</w:t>
      </w:r>
    </w:p>
    <w:p w:rsidR="00B86869" w:rsidRPr="00204E62" w:rsidP="005C6BC5" w14:paraId="173F75AD" w14:textId="77777777">
      <w:pPr>
        <w:widowControl w:val="0"/>
        <w:autoSpaceDE w:val="0"/>
        <w:autoSpaceDN w:val="0"/>
        <w:adjustRightInd w:val="0"/>
        <w:spacing w:line="292" w:lineRule="atLeast"/>
        <w:ind w:left="1440" w:right="360"/>
        <w:jc w:val="both"/>
      </w:pPr>
    </w:p>
    <w:p w:rsidR="00203CAB" w:rsidRPr="005C6BC5" w:rsidP="005C6BC5" w14:paraId="78922ECF" w14:textId="77777777">
      <w:pPr>
        <w:widowControl w:val="0"/>
        <w:tabs>
          <w:tab w:val="left" w:pos="1350"/>
        </w:tabs>
        <w:autoSpaceDE w:val="0"/>
        <w:autoSpaceDN w:val="0"/>
        <w:adjustRightInd w:val="0"/>
        <w:spacing w:line="307" w:lineRule="atLeast"/>
        <w:ind w:left="1440" w:right="360" w:hanging="720"/>
        <w:jc w:val="both"/>
        <w:rPr>
          <w:b/>
          <w:bCs/>
        </w:rPr>
      </w:pPr>
      <w:r w:rsidRPr="005C6BC5">
        <w:rPr>
          <w:b/>
          <w:bCs/>
        </w:rPr>
        <w:t xml:space="preserve">14. </w:t>
      </w:r>
      <w:r w:rsidRPr="005C6BC5" w:rsidR="00C316E0">
        <w:rPr>
          <w:b/>
          <w:bCs/>
        </w:rPr>
        <w:t xml:space="preserve">  </w:t>
      </w:r>
      <w:r w:rsidRPr="005C6BC5" w:rsidR="00790952">
        <w:rPr>
          <w:b/>
          <w:bCs/>
        </w:rPr>
        <w:tab/>
      </w:r>
      <w:r w:rsidRPr="005C6BC5" w:rsidR="00790952">
        <w:rPr>
          <w:b/>
          <w:bCs/>
        </w:rPr>
        <w:tab/>
      </w:r>
      <w:r w:rsidRPr="005C6BC5">
        <w:rPr>
          <w:b/>
          <w:bCs/>
        </w:rPr>
        <w:t>Annual Cost to the Federal Government</w:t>
      </w:r>
    </w:p>
    <w:p w:rsidR="00514278" w:rsidP="009D68BD" w14:paraId="6840A213" w14:textId="2EE0A85A">
      <w:pPr>
        <w:ind w:left="1440"/>
        <w:rPr>
          <w:color w:val="000000"/>
        </w:rPr>
      </w:pPr>
      <w:r w:rsidRPr="009D68BD">
        <w:rPr>
          <w:color w:val="000000"/>
        </w:rPr>
        <w:t xml:space="preserve">The annual cost to the Federal Government is approximately </w:t>
      </w:r>
      <w:r w:rsidR="0042244C">
        <w:rPr>
          <w:color w:val="000000"/>
        </w:rPr>
        <w:t>$</w:t>
      </w:r>
      <w:r w:rsidR="007D6887">
        <w:rPr>
          <w:b/>
          <w:bCs/>
          <w:color w:val="000000"/>
        </w:rPr>
        <w:t>6,171</w:t>
      </w:r>
      <w:r w:rsidR="00E04845">
        <w:rPr>
          <w:color w:val="000000"/>
        </w:rPr>
        <w:t xml:space="preserve">. </w:t>
      </w:r>
      <w:r w:rsidR="001A3163">
        <w:rPr>
          <w:color w:val="000000"/>
        </w:rPr>
        <w:t xml:space="preserve"> </w:t>
      </w:r>
      <w:r w:rsidRPr="00E04845" w:rsidR="00E04845">
        <w:rPr>
          <w:rFonts w:eastAsia="Times New Roman"/>
          <w:color w:val="000000"/>
        </w:rPr>
        <w:t>This estimate accounts for costs from the following areas:</w:t>
      </w:r>
    </w:p>
    <w:p w:rsidR="00514278" w:rsidP="00514278" w14:paraId="67DB9956" w14:textId="77777777">
      <w:pPr>
        <w:rPr>
          <w:color w:val="000000"/>
        </w:rPr>
      </w:pPr>
    </w:p>
    <w:tbl>
      <w:tblPr>
        <w:tblStyle w:val="TableGrid"/>
        <w:tblW w:w="0" w:type="auto"/>
        <w:tblInd w:w="1075" w:type="dxa"/>
        <w:tblLook w:val="04A0"/>
      </w:tblPr>
      <w:tblGrid>
        <w:gridCol w:w="2970"/>
        <w:gridCol w:w="3420"/>
        <w:gridCol w:w="1885"/>
      </w:tblGrid>
      <w:tr w14:paraId="4A4A0000" w14:textId="77777777" w:rsidTr="0042244C">
        <w:tblPrEx>
          <w:tblW w:w="0" w:type="auto"/>
          <w:tblInd w:w="1075" w:type="dxa"/>
          <w:tblLook w:val="04A0"/>
        </w:tblPrEx>
        <w:tc>
          <w:tcPr>
            <w:tcW w:w="2970" w:type="dxa"/>
          </w:tcPr>
          <w:p w:rsidR="00514278" w:rsidP="00C21025" w14:paraId="6E96706D" w14:textId="77777777">
            <w:pPr>
              <w:pStyle w:val="ListParagraph"/>
              <w:spacing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Description of Cost Factor</w:t>
            </w:r>
          </w:p>
        </w:tc>
        <w:tc>
          <w:tcPr>
            <w:tcW w:w="3420" w:type="dxa"/>
          </w:tcPr>
          <w:p w:rsidR="00514278" w:rsidP="00C21025" w14:paraId="1C63ECED" w14:textId="77777777">
            <w:pPr>
              <w:pStyle w:val="ListParagraph"/>
              <w:spacing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Methodology for Estimating Cost</w:t>
            </w:r>
          </w:p>
        </w:tc>
        <w:tc>
          <w:tcPr>
            <w:tcW w:w="1885" w:type="dxa"/>
          </w:tcPr>
          <w:p w:rsidR="00514278" w:rsidP="00C21025" w14:paraId="40850628" w14:textId="77777777">
            <w:pPr>
              <w:pStyle w:val="ListParagraph"/>
              <w:spacing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Cost in Dollars*</w:t>
            </w:r>
          </w:p>
        </w:tc>
      </w:tr>
      <w:tr w14:paraId="3F4C38E4" w14:textId="77777777" w:rsidTr="0042244C">
        <w:tblPrEx>
          <w:tblW w:w="0" w:type="auto"/>
          <w:tblInd w:w="1075" w:type="dxa"/>
          <w:tblLook w:val="04A0"/>
        </w:tblPrEx>
        <w:tc>
          <w:tcPr>
            <w:tcW w:w="2970" w:type="dxa"/>
          </w:tcPr>
          <w:p w:rsidR="00514278" w:rsidP="00C21025" w14:paraId="13EEE72E"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Designing and Printing the Form</w:t>
            </w:r>
          </w:p>
        </w:tc>
        <w:tc>
          <w:tcPr>
            <w:tcW w:w="3420" w:type="dxa"/>
          </w:tcPr>
          <w:p w:rsidR="00514278" w:rsidP="00C21025" w14:paraId="4F2787C2"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Design Cost + Printing Cost</w:t>
            </w:r>
          </w:p>
        </w:tc>
        <w:tc>
          <w:tcPr>
            <w:tcW w:w="1885" w:type="dxa"/>
          </w:tcPr>
          <w:p w:rsidR="00514278" w:rsidRPr="00BB6254" w:rsidP="001A3163" w14:paraId="3A8FF239" w14:textId="6225F551">
            <w:pPr>
              <w:pStyle w:val="ListParagraph"/>
              <w:spacing w:line="240" w:lineRule="auto"/>
              <w:ind w:left="0"/>
              <w:jc w:val="right"/>
              <w:rPr>
                <w:rFonts w:ascii="Times New Roman" w:hAnsi="Times New Roman" w:cs="Times New Roman"/>
                <w:color w:val="000000"/>
                <w:sz w:val="24"/>
                <w:szCs w:val="24"/>
                <w:highlight w:val="yellow"/>
              </w:rPr>
            </w:pPr>
            <w:r w:rsidRPr="00DF1837">
              <w:rPr>
                <w:rFonts w:ascii="Times New Roman" w:hAnsi="Times New Roman" w:cs="Times New Roman"/>
                <w:color w:val="000000"/>
                <w:sz w:val="24"/>
                <w:szCs w:val="24"/>
              </w:rPr>
              <w:t>$750</w:t>
            </w:r>
          </w:p>
        </w:tc>
      </w:tr>
      <w:tr w14:paraId="3D27A15B" w14:textId="77777777" w:rsidTr="0042244C">
        <w:tblPrEx>
          <w:tblW w:w="0" w:type="auto"/>
          <w:tblInd w:w="1075" w:type="dxa"/>
          <w:tblLook w:val="04A0"/>
        </w:tblPrEx>
        <w:tc>
          <w:tcPr>
            <w:tcW w:w="2970" w:type="dxa"/>
          </w:tcPr>
          <w:p w:rsidR="00514278" w:rsidP="00C21025" w14:paraId="6A2F67E7"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Distributing, Shipping, and Material Costs for the Form</w:t>
            </w:r>
          </w:p>
        </w:tc>
        <w:tc>
          <w:tcPr>
            <w:tcW w:w="3420" w:type="dxa"/>
          </w:tcPr>
          <w:p w:rsidR="00514278" w:rsidP="00C21025" w14:paraId="37B20A65"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Distribution + Shipping + Material Cost</w:t>
            </w:r>
          </w:p>
        </w:tc>
        <w:tc>
          <w:tcPr>
            <w:tcW w:w="1885" w:type="dxa"/>
          </w:tcPr>
          <w:p w:rsidR="00514278" w:rsidRPr="00BB6254" w:rsidP="001A3163" w14:paraId="444599BC" w14:textId="4C53C34A">
            <w:pPr>
              <w:pStyle w:val="ListParagraph"/>
              <w:spacing w:line="240" w:lineRule="auto"/>
              <w:ind w:left="0"/>
              <w:jc w:val="right"/>
              <w:rPr>
                <w:rFonts w:ascii="Times New Roman" w:hAnsi="Times New Roman" w:cs="Times New Roman"/>
                <w:color w:val="000000"/>
                <w:sz w:val="24"/>
                <w:szCs w:val="24"/>
                <w:highlight w:val="yellow"/>
              </w:rPr>
            </w:pPr>
            <w:r w:rsidRPr="00F72866">
              <w:rPr>
                <w:rFonts w:ascii="Times New Roman" w:hAnsi="Times New Roman" w:cs="Times New Roman"/>
                <w:color w:val="000000"/>
                <w:sz w:val="24"/>
                <w:szCs w:val="24"/>
              </w:rPr>
              <w:t>$0*</w:t>
            </w:r>
          </w:p>
        </w:tc>
      </w:tr>
      <w:tr w14:paraId="611ADEE6" w14:textId="77777777" w:rsidTr="0042244C">
        <w:tblPrEx>
          <w:tblW w:w="0" w:type="auto"/>
          <w:tblInd w:w="1075" w:type="dxa"/>
          <w:tblLook w:val="04A0"/>
        </w:tblPrEx>
        <w:tc>
          <w:tcPr>
            <w:tcW w:w="2970" w:type="dxa"/>
          </w:tcPr>
          <w:p w:rsidR="00514278" w:rsidP="00C21025" w14:paraId="3465F4A7"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SSA Employee (e.g., field office, 800 number, DDS staff) Information Collection and Processing Time</w:t>
            </w:r>
          </w:p>
        </w:tc>
        <w:tc>
          <w:tcPr>
            <w:tcW w:w="3420" w:type="dxa"/>
          </w:tcPr>
          <w:p w:rsidR="00514278" w:rsidP="00C21025" w14:paraId="07C74244"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GS-9 employee x # of responses x processing time</w:t>
            </w:r>
          </w:p>
          <w:p w:rsidR="002437E7" w:rsidP="00C21025" w14:paraId="46678747" w14:textId="611BE84D">
            <w:pPr>
              <w:pStyle w:val="ListParagraph"/>
              <w:spacing w:line="240" w:lineRule="auto"/>
              <w:ind w:left="0"/>
              <w:rPr>
                <w:rFonts w:ascii="Times New Roman" w:hAnsi="Times New Roman" w:cs="Times New Roman"/>
                <w:color w:val="000000"/>
                <w:sz w:val="24"/>
                <w:szCs w:val="24"/>
              </w:rPr>
            </w:pPr>
          </w:p>
        </w:tc>
        <w:tc>
          <w:tcPr>
            <w:tcW w:w="1885" w:type="dxa"/>
          </w:tcPr>
          <w:p w:rsidR="00514278" w:rsidRPr="00BB6254" w:rsidP="001A3163" w14:paraId="0CBD9C1E" w14:textId="1C310102">
            <w:pPr>
              <w:pStyle w:val="ListParagraph"/>
              <w:spacing w:line="240" w:lineRule="auto"/>
              <w:ind w:left="0"/>
              <w:jc w:val="right"/>
              <w:rPr>
                <w:rFonts w:ascii="Times New Roman" w:hAnsi="Times New Roman" w:cs="Times New Roman"/>
                <w:color w:val="000000"/>
                <w:sz w:val="24"/>
                <w:szCs w:val="24"/>
                <w:highlight w:val="yellow"/>
              </w:rPr>
            </w:pPr>
            <w:r w:rsidRPr="00E72AAB">
              <w:rPr>
                <w:rFonts w:ascii="Times New Roman" w:hAnsi="Times New Roman" w:cs="Times New Roman"/>
                <w:color w:val="000000"/>
                <w:sz w:val="24"/>
                <w:szCs w:val="24"/>
              </w:rPr>
              <w:t>$2,001</w:t>
            </w:r>
          </w:p>
        </w:tc>
      </w:tr>
      <w:tr w14:paraId="61225EA7" w14:textId="77777777" w:rsidTr="0042244C">
        <w:tblPrEx>
          <w:tblW w:w="0" w:type="auto"/>
          <w:tblInd w:w="1075" w:type="dxa"/>
          <w:tblLook w:val="04A0"/>
        </w:tblPrEx>
        <w:tc>
          <w:tcPr>
            <w:tcW w:w="2970" w:type="dxa"/>
          </w:tcPr>
          <w:p w:rsidR="00514278" w:rsidP="00C21025" w14:paraId="5EE5F9A4"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Full-Time Equivalent Costs</w:t>
            </w:r>
          </w:p>
        </w:tc>
        <w:tc>
          <w:tcPr>
            <w:tcW w:w="3420" w:type="dxa"/>
          </w:tcPr>
          <w:p w:rsidR="00514278" w:rsidP="00C21025" w14:paraId="37A6EB7C"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Out of pocket costs + Other expenses for providing this service</w:t>
            </w:r>
          </w:p>
        </w:tc>
        <w:tc>
          <w:tcPr>
            <w:tcW w:w="1885" w:type="dxa"/>
          </w:tcPr>
          <w:p w:rsidR="00514278" w:rsidRPr="00BB6254" w:rsidP="001A3163" w14:paraId="19A4C4E6" w14:textId="4477CED7">
            <w:pPr>
              <w:pStyle w:val="ListParagraph"/>
              <w:spacing w:line="240" w:lineRule="auto"/>
              <w:ind w:left="0"/>
              <w:jc w:val="right"/>
              <w:rPr>
                <w:rFonts w:ascii="Times New Roman" w:hAnsi="Times New Roman" w:cs="Times New Roman"/>
                <w:color w:val="000000"/>
                <w:sz w:val="24"/>
                <w:szCs w:val="24"/>
                <w:highlight w:val="yellow"/>
              </w:rPr>
            </w:pPr>
            <w:r w:rsidRPr="00ED1CA3">
              <w:rPr>
                <w:rFonts w:ascii="Times New Roman" w:hAnsi="Times New Roman" w:cs="Times New Roman"/>
                <w:color w:val="000000"/>
                <w:sz w:val="24"/>
                <w:szCs w:val="24"/>
              </w:rPr>
              <w:t>$</w:t>
            </w:r>
            <w:r w:rsidRPr="00ED1CA3" w:rsidR="002437E7">
              <w:rPr>
                <w:rFonts w:ascii="Times New Roman" w:hAnsi="Times New Roman" w:cs="Times New Roman"/>
                <w:color w:val="000000"/>
                <w:sz w:val="24"/>
                <w:szCs w:val="24"/>
              </w:rPr>
              <w:t>0</w:t>
            </w:r>
            <w:r w:rsidRPr="00ED1CA3" w:rsidR="001A3163">
              <w:rPr>
                <w:rFonts w:ascii="Times New Roman" w:hAnsi="Times New Roman" w:cs="Times New Roman"/>
                <w:color w:val="000000"/>
                <w:sz w:val="24"/>
                <w:szCs w:val="24"/>
              </w:rPr>
              <w:t>*</w:t>
            </w:r>
          </w:p>
        </w:tc>
      </w:tr>
      <w:tr w14:paraId="457BE762" w14:textId="77777777" w:rsidTr="0042244C">
        <w:tblPrEx>
          <w:tblW w:w="0" w:type="auto"/>
          <w:tblInd w:w="1075" w:type="dxa"/>
          <w:tblLook w:val="04A0"/>
        </w:tblPrEx>
        <w:tc>
          <w:tcPr>
            <w:tcW w:w="2970" w:type="dxa"/>
          </w:tcPr>
          <w:p w:rsidR="00514278" w:rsidP="00C21025" w14:paraId="7E962839"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Systems Development, Updating, and Maintenance</w:t>
            </w:r>
          </w:p>
        </w:tc>
        <w:tc>
          <w:tcPr>
            <w:tcW w:w="3420" w:type="dxa"/>
          </w:tcPr>
          <w:p w:rsidR="00514278" w:rsidP="00C21025" w14:paraId="48988A88" w14:textId="61AD6CCD">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GS-9 employee x man hours for development, updating, maintenance</w:t>
            </w:r>
          </w:p>
          <w:p w:rsidR="007E07D2" w:rsidRPr="007E07D2" w:rsidP="00C21025" w14:paraId="7882AC34" w14:textId="77777777">
            <w:pPr>
              <w:pStyle w:val="ListParagraph"/>
              <w:spacing w:line="240" w:lineRule="auto"/>
              <w:ind w:left="0"/>
              <w:rPr>
                <w:rFonts w:ascii="Times New Roman" w:hAnsi="Times New Roman" w:cs="Times New Roman"/>
                <w:color w:val="000000"/>
                <w:sz w:val="24"/>
                <w:szCs w:val="24"/>
              </w:rPr>
            </w:pPr>
          </w:p>
          <w:p w:rsidR="007E07D2" w:rsidP="00C21025" w14:paraId="709AB4D0" w14:textId="77777777">
            <w:pPr>
              <w:pStyle w:val="ListParagraph"/>
              <w:spacing w:line="240" w:lineRule="auto"/>
              <w:ind w:left="0"/>
              <w:rPr>
                <w:rFonts w:ascii="Times New Roman" w:hAnsi="Times New Roman" w:cs="Times New Roman"/>
                <w:color w:val="000000"/>
                <w:sz w:val="24"/>
                <w:szCs w:val="24"/>
              </w:rPr>
            </w:pPr>
          </w:p>
          <w:p w:rsidR="007E07D2" w:rsidP="00C21025" w14:paraId="619200B3" w14:textId="481534E3">
            <w:pPr>
              <w:pStyle w:val="ListParagraph"/>
              <w:spacing w:line="240" w:lineRule="auto"/>
              <w:ind w:left="0"/>
              <w:rPr>
                <w:rFonts w:ascii="Times New Roman" w:hAnsi="Times New Roman" w:cs="Times New Roman"/>
                <w:color w:val="000000"/>
                <w:sz w:val="24"/>
                <w:szCs w:val="24"/>
              </w:rPr>
            </w:pPr>
          </w:p>
        </w:tc>
        <w:tc>
          <w:tcPr>
            <w:tcW w:w="1885" w:type="dxa"/>
          </w:tcPr>
          <w:p w:rsidR="00514278" w:rsidRPr="00BB6254" w:rsidP="001A3163" w14:paraId="3931C5BE" w14:textId="4FA1BC7C">
            <w:pPr>
              <w:pStyle w:val="ListParagraph"/>
              <w:spacing w:line="240" w:lineRule="auto"/>
              <w:ind w:left="0"/>
              <w:jc w:val="right"/>
              <w:rPr>
                <w:rFonts w:ascii="Times New Roman" w:hAnsi="Times New Roman" w:cs="Times New Roman"/>
                <w:color w:val="000000"/>
                <w:sz w:val="24"/>
                <w:szCs w:val="24"/>
                <w:highlight w:val="yellow"/>
              </w:rPr>
            </w:pPr>
            <w:r w:rsidRPr="002021D6">
              <w:rPr>
                <w:rFonts w:ascii="Times New Roman" w:hAnsi="Times New Roman" w:cs="Times New Roman"/>
                <w:color w:val="000000"/>
                <w:sz w:val="24"/>
                <w:szCs w:val="24"/>
              </w:rPr>
              <w:t>$3,420</w:t>
            </w:r>
          </w:p>
        </w:tc>
      </w:tr>
      <w:tr w14:paraId="0CCECB8B" w14:textId="77777777" w:rsidTr="0042244C">
        <w:tblPrEx>
          <w:tblW w:w="0" w:type="auto"/>
          <w:tblInd w:w="1075" w:type="dxa"/>
          <w:tblLook w:val="04A0"/>
        </w:tblPrEx>
        <w:tc>
          <w:tcPr>
            <w:tcW w:w="2970" w:type="dxa"/>
          </w:tcPr>
          <w:p w:rsidR="00514278" w:rsidP="00C21025" w14:paraId="3D6880E1"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Quantifiable IT Costs</w:t>
            </w:r>
          </w:p>
        </w:tc>
        <w:tc>
          <w:tcPr>
            <w:tcW w:w="3420" w:type="dxa"/>
          </w:tcPr>
          <w:p w:rsidR="00514278" w:rsidP="00C21025" w14:paraId="6D250F41"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Any additional IT costs</w:t>
            </w:r>
          </w:p>
        </w:tc>
        <w:tc>
          <w:tcPr>
            <w:tcW w:w="1885" w:type="dxa"/>
          </w:tcPr>
          <w:p w:rsidR="00514278" w:rsidRPr="00BB6254" w:rsidP="001A3163" w14:paraId="41C71072" w14:textId="127C3DBE">
            <w:pPr>
              <w:pStyle w:val="ListParagraph"/>
              <w:spacing w:line="240" w:lineRule="auto"/>
              <w:ind w:left="0"/>
              <w:jc w:val="right"/>
              <w:rPr>
                <w:rFonts w:ascii="Times New Roman" w:hAnsi="Times New Roman" w:cs="Times New Roman"/>
                <w:color w:val="000000"/>
                <w:sz w:val="24"/>
                <w:szCs w:val="24"/>
                <w:highlight w:val="yellow"/>
              </w:rPr>
            </w:pPr>
            <w:r w:rsidRPr="00ED1CA3">
              <w:rPr>
                <w:rFonts w:ascii="Times New Roman" w:hAnsi="Times New Roman" w:cs="Times New Roman"/>
                <w:color w:val="000000"/>
                <w:sz w:val="24"/>
                <w:szCs w:val="24"/>
              </w:rPr>
              <w:t>$</w:t>
            </w:r>
            <w:r w:rsidRPr="00ED1CA3" w:rsidR="002437E7">
              <w:rPr>
                <w:rFonts w:ascii="Times New Roman" w:hAnsi="Times New Roman" w:cs="Times New Roman"/>
                <w:color w:val="000000"/>
                <w:sz w:val="24"/>
                <w:szCs w:val="24"/>
              </w:rPr>
              <w:t>0</w:t>
            </w:r>
            <w:r w:rsidRPr="00ED1CA3">
              <w:rPr>
                <w:rFonts w:ascii="Times New Roman" w:hAnsi="Times New Roman" w:cs="Times New Roman"/>
                <w:color w:val="000000"/>
                <w:sz w:val="24"/>
                <w:szCs w:val="24"/>
              </w:rPr>
              <w:t>*</w:t>
            </w:r>
          </w:p>
        </w:tc>
      </w:tr>
      <w:tr w14:paraId="2DF25E21" w14:textId="77777777" w:rsidTr="0042244C">
        <w:tblPrEx>
          <w:tblW w:w="0" w:type="auto"/>
          <w:tblInd w:w="1075" w:type="dxa"/>
          <w:tblLook w:val="04A0"/>
        </w:tblPrEx>
        <w:trPr>
          <w:trHeight w:val="287"/>
        </w:trPr>
        <w:tc>
          <w:tcPr>
            <w:tcW w:w="2970" w:type="dxa"/>
          </w:tcPr>
          <w:p w:rsidR="00514278" w:rsidP="00C21025" w14:paraId="5C2E06BA" w14:textId="77777777">
            <w:pPr>
              <w:pStyle w:val="ListParagraph"/>
              <w:spacing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Total</w:t>
            </w:r>
          </w:p>
        </w:tc>
        <w:tc>
          <w:tcPr>
            <w:tcW w:w="3420" w:type="dxa"/>
          </w:tcPr>
          <w:p w:rsidR="00514278" w:rsidP="00C21025" w14:paraId="6CC4EF20" w14:textId="77777777">
            <w:pPr>
              <w:pStyle w:val="ListParagraph"/>
              <w:spacing w:line="240" w:lineRule="auto"/>
              <w:ind w:left="0"/>
              <w:rPr>
                <w:rFonts w:ascii="Times New Roman" w:hAnsi="Times New Roman" w:cs="Times New Roman"/>
                <w:b/>
                <w:bCs/>
                <w:color w:val="000000"/>
                <w:sz w:val="24"/>
                <w:szCs w:val="24"/>
              </w:rPr>
            </w:pPr>
          </w:p>
        </w:tc>
        <w:tc>
          <w:tcPr>
            <w:tcW w:w="1885" w:type="dxa"/>
          </w:tcPr>
          <w:p w:rsidR="00514278" w:rsidP="001A3163" w14:paraId="5A168B7F" w14:textId="669F4701">
            <w:pPr>
              <w:pStyle w:val="ListParagraph"/>
              <w:spacing w:line="240" w:lineRule="auto"/>
              <w:ind w:left="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$6,171</w:t>
            </w:r>
          </w:p>
        </w:tc>
      </w:tr>
    </w:tbl>
    <w:p w:rsidR="00514278" w:rsidP="005C6BC5" w14:paraId="4611ED68" w14:textId="0C08C278">
      <w:pPr>
        <w:ind w:left="1440"/>
        <w:rPr>
          <w:color w:val="000000"/>
        </w:rPr>
      </w:pPr>
      <w:r>
        <w:rPr>
          <w:color w:val="000000"/>
        </w:rPr>
        <w:t xml:space="preserve">* We have inserted a $0 amount for cost factors that </w:t>
      </w:r>
      <w:r>
        <w:rPr>
          <w:color w:val="000000"/>
        </w:rPr>
        <w:t>do not apply</w:t>
      </w:r>
      <w:r>
        <w:rPr>
          <w:color w:val="000000"/>
        </w:rPr>
        <w:t xml:space="preserve"> to this collection.</w:t>
      </w:r>
    </w:p>
    <w:p w:rsidR="00F76D86" w:rsidP="005C6BC5" w14:paraId="4719398E" w14:textId="2DC1CCC3">
      <w:pPr>
        <w:ind w:left="1440"/>
        <w:rPr>
          <w:color w:val="000000"/>
        </w:rPr>
      </w:pPr>
    </w:p>
    <w:p w:rsidR="00F76D86" w:rsidP="0068566E" w14:paraId="692C058F" w14:textId="3A28ECB0">
      <w:pPr>
        <w:widowControl w:val="0"/>
        <w:snapToGrid w:val="0"/>
        <w:ind w:left="1440"/>
        <w:rPr>
          <w:color w:val="000000"/>
        </w:rPr>
      </w:pPr>
      <w:r w:rsidRPr="0068566E">
        <w:rPr>
          <w:rFonts w:eastAsia="Times New Roman"/>
          <w:lang w:eastAsia="ar-SA"/>
        </w:rPr>
        <w:t xml:space="preserve">SSA is unable to break down the costs to the Federal government further than we already have.  First, since we work with almost every US citizen, we often do bulk </w:t>
      </w:r>
      <w:r w:rsidRPr="0068566E" w:rsidR="0042244C">
        <w:rPr>
          <w:rFonts w:eastAsia="Times New Roman"/>
          <w:lang w:eastAsia="ar-SA"/>
        </w:rPr>
        <w:t>mailings and</w:t>
      </w:r>
      <w:r w:rsidRPr="0068566E">
        <w:rPr>
          <w:rFonts w:eastAsia="Times New Roman"/>
          <w:lang w:eastAsia="ar-SA"/>
        </w:rPr>
        <w:t xml:space="preserve">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sidRPr="0068566E">
        <w:rPr>
          <w:rFonts w:eastAsia="Times New Roman"/>
          <w:lang w:eastAsia="en-US"/>
        </w:rPr>
        <w:t>.</w:t>
      </w:r>
    </w:p>
    <w:p w:rsidR="009D68BD" w:rsidRPr="00204E62" w:rsidP="005C6BC5" w14:paraId="689A7282" w14:textId="77777777">
      <w:pPr>
        <w:ind w:left="1440"/>
      </w:pPr>
    </w:p>
    <w:p w:rsidR="00863F8B" w:rsidP="0042244C" w14:paraId="005BF4F2" w14:textId="196B3DF3">
      <w:pPr>
        <w:widowControl w:val="0"/>
        <w:autoSpaceDE w:val="0"/>
        <w:autoSpaceDN w:val="0"/>
        <w:adjustRightInd w:val="0"/>
        <w:spacing w:line="297" w:lineRule="atLeast"/>
        <w:ind w:left="1440" w:right="360" w:hanging="720"/>
        <w:jc w:val="both"/>
        <w:rPr>
          <w:b/>
        </w:rPr>
      </w:pPr>
      <w:r w:rsidRPr="005C6BC5">
        <w:rPr>
          <w:b/>
          <w:bCs/>
        </w:rPr>
        <w:t xml:space="preserve">15. </w:t>
      </w:r>
      <w:r w:rsidRPr="005C6BC5" w:rsidR="002F2B10">
        <w:rPr>
          <w:b/>
          <w:bCs/>
        </w:rPr>
        <w:t xml:space="preserve"> </w:t>
      </w:r>
      <w:r w:rsidRPr="005C6BC5" w:rsidR="00C316E0">
        <w:rPr>
          <w:b/>
          <w:bCs/>
        </w:rPr>
        <w:t xml:space="preserve">  </w:t>
      </w:r>
      <w:r w:rsidRPr="005C6BC5" w:rsidR="00790952">
        <w:rPr>
          <w:b/>
          <w:bCs/>
        </w:rPr>
        <w:tab/>
      </w:r>
      <w:r w:rsidRPr="005C6BC5" w:rsidR="005835BC">
        <w:rPr>
          <w:b/>
          <w:bCs/>
        </w:rPr>
        <w:t>Program Changes or Adjustments to the Information Collection</w:t>
      </w:r>
      <w:r w:rsidR="005835BC">
        <w:rPr>
          <w:b/>
        </w:rPr>
        <w:t xml:space="preserve"> Request</w:t>
      </w:r>
    </w:p>
    <w:p w:rsidR="00863F8B" w:rsidP="0090470D" w14:paraId="7A1C6385" w14:textId="430E6E65">
      <w:pPr>
        <w:ind w:left="1440"/>
        <w:rPr>
          <w:iCs/>
        </w:rPr>
      </w:pPr>
      <w:r w:rsidRPr="0090470D">
        <w:rPr>
          <w:iCs/>
        </w:rPr>
        <w:t>When we last cleared this IC in 20</w:t>
      </w:r>
      <w:r w:rsidRPr="0090470D" w:rsidR="009D4592">
        <w:rPr>
          <w:iCs/>
        </w:rPr>
        <w:t>23</w:t>
      </w:r>
      <w:r w:rsidRPr="0090470D">
        <w:rPr>
          <w:iCs/>
        </w:rPr>
        <w:t xml:space="preserve">, the burden was </w:t>
      </w:r>
      <w:r w:rsidR="00B328EC">
        <w:rPr>
          <w:iCs/>
        </w:rPr>
        <w:t>33</w:t>
      </w:r>
      <w:r w:rsidR="00D26375">
        <w:rPr>
          <w:iCs/>
        </w:rPr>
        <w:t xml:space="preserve"> </w:t>
      </w:r>
      <w:r w:rsidRPr="0090470D">
        <w:rPr>
          <w:iCs/>
        </w:rPr>
        <w:t xml:space="preserve">hours.  However, we are currently reporting a burden of </w:t>
      </w:r>
      <w:r w:rsidR="004C2F9F">
        <w:rPr>
          <w:iCs/>
        </w:rPr>
        <w:t>40</w:t>
      </w:r>
      <w:r w:rsidRPr="0090470D">
        <w:rPr>
          <w:iCs/>
        </w:rPr>
        <w:t xml:space="preserve"> hours.  This change stems </w:t>
      </w:r>
      <w:r w:rsidRPr="0090470D" w:rsidR="004568D6">
        <w:rPr>
          <w:iCs/>
        </w:rPr>
        <w:t xml:space="preserve">from an </w:t>
      </w:r>
      <w:r w:rsidRPr="0090470D">
        <w:rPr>
          <w:iCs/>
        </w:rPr>
        <w:t xml:space="preserve">increase in the number of responses from </w:t>
      </w:r>
      <w:r w:rsidRPr="0090470D" w:rsidR="0090470D">
        <w:rPr>
          <w:iCs/>
        </w:rPr>
        <w:t>390</w:t>
      </w:r>
      <w:r w:rsidRPr="0090470D">
        <w:rPr>
          <w:iCs/>
        </w:rPr>
        <w:t xml:space="preserve"> to </w:t>
      </w:r>
      <w:r w:rsidRPr="0090470D" w:rsidR="0090470D">
        <w:rPr>
          <w:iCs/>
        </w:rPr>
        <w:t>478</w:t>
      </w:r>
      <w:r w:rsidRPr="0090470D">
        <w:rPr>
          <w:iCs/>
        </w:rPr>
        <w:t>.  There is no change to the burden time per response.  Although the number of responses changed, SSA did not take any actions to cause this change.  These figures represent current Management Information data.</w:t>
      </w:r>
    </w:p>
    <w:p w:rsidR="00463A8E" w:rsidP="0090470D" w14:paraId="71C088F0" w14:textId="77777777">
      <w:pPr>
        <w:ind w:left="1440"/>
        <w:rPr>
          <w:iCs/>
        </w:rPr>
      </w:pPr>
    </w:p>
    <w:p w:rsidR="00463A8E" w:rsidRPr="0090470D" w:rsidP="0090470D" w14:paraId="2E0286FD" w14:textId="2958D8C2">
      <w:pPr>
        <w:ind w:left="1440"/>
        <w:rPr>
          <w:b/>
          <w:iCs/>
        </w:rPr>
      </w:pPr>
      <w:r>
        <w:rPr>
          <w:color w:val="000000"/>
        </w:rPr>
        <w:t xml:space="preserve">* Note: The total burden reflected in ROCIS is </w:t>
      </w:r>
      <w:r>
        <w:rPr>
          <w:b/>
          <w:bCs/>
          <w:color w:val="000000"/>
        </w:rPr>
        <w:t>279</w:t>
      </w:r>
      <w:r>
        <w:rPr>
          <w:color w:val="000000"/>
        </w:rPr>
        <w:t xml:space="preserve">, while the burden cited in #12 of the Supporting Statement is </w:t>
      </w:r>
      <w:r>
        <w:rPr>
          <w:b/>
          <w:bCs/>
          <w:color w:val="000000"/>
        </w:rPr>
        <w:t>40</w:t>
      </w:r>
      <w:r>
        <w:rPr>
          <w:color w:val="000000"/>
        </w:rPr>
        <w:t>.  This discrepancy is because the ROCIS burden reflects the following components:  field office/telephone waiting time + a rough estimate of a 30-minute, one-way, drive burden.  In contrast, the chart in #12 of the Supporting Statement reflects actual burden.</w:t>
      </w:r>
    </w:p>
    <w:p w:rsidR="0061077F" w:rsidP="005C6BC5" w14:paraId="1465A04B" w14:textId="5F16AD2E">
      <w:pPr>
        <w:ind w:left="1440"/>
      </w:pPr>
    </w:p>
    <w:p w:rsidR="00FE4B62" w:rsidRPr="005C6BC5" w:rsidP="005C6BC5" w14:paraId="75076E68" w14:textId="77777777">
      <w:pPr>
        <w:widowControl w:val="0"/>
        <w:autoSpaceDE w:val="0"/>
        <w:autoSpaceDN w:val="0"/>
        <w:adjustRightInd w:val="0"/>
        <w:spacing w:line="292" w:lineRule="atLeast"/>
        <w:ind w:left="1440" w:right="360" w:hanging="720"/>
        <w:jc w:val="both"/>
        <w:rPr>
          <w:b/>
          <w:bCs/>
        </w:rPr>
      </w:pPr>
      <w:r w:rsidRPr="005C6BC5">
        <w:rPr>
          <w:b/>
          <w:bCs/>
        </w:rPr>
        <w:t xml:space="preserve">16.  </w:t>
      </w:r>
      <w:r w:rsidRPr="005C6BC5" w:rsidR="00C316E0">
        <w:rPr>
          <w:b/>
          <w:bCs/>
        </w:rPr>
        <w:t xml:space="preserve">  </w:t>
      </w:r>
      <w:r w:rsidRPr="005C6BC5" w:rsidR="00790952">
        <w:rPr>
          <w:b/>
          <w:bCs/>
        </w:rPr>
        <w:tab/>
      </w:r>
      <w:r w:rsidRPr="005C6BC5">
        <w:rPr>
          <w:b/>
          <w:bCs/>
        </w:rPr>
        <w:t>Plans for Publication Information Collection Results</w:t>
      </w:r>
    </w:p>
    <w:p w:rsidR="00E350BA" w:rsidP="005C6BC5" w14:paraId="392383E4" w14:textId="0B587485">
      <w:pPr>
        <w:widowControl w:val="0"/>
        <w:tabs>
          <w:tab w:val="left" w:pos="1170"/>
          <w:tab w:val="left" w:pos="1440"/>
        </w:tabs>
        <w:autoSpaceDE w:val="0"/>
        <w:autoSpaceDN w:val="0"/>
        <w:adjustRightInd w:val="0"/>
        <w:spacing w:line="292" w:lineRule="atLeast"/>
        <w:ind w:left="1440" w:right="360"/>
        <w:jc w:val="both"/>
      </w:pPr>
      <w:r>
        <w:t xml:space="preserve">SSA will not publish the results of the information collection.  </w:t>
      </w:r>
    </w:p>
    <w:p w:rsidR="00B86869" w:rsidRPr="00204E62" w:rsidP="005C6BC5" w14:paraId="2287A243" w14:textId="77777777">
      <w:pPr>
        <w:widowControl w:val="0"/>
        <w:autoSpaceDE w:val="0"/>
        <w:autoSpaceDN w:val="0"/>
        <w:adjustRightInd w:val="0"/>
        <w:spacing w:line="292" w:lineRule="atLeast"/>
        <w:ind w:left="1440" w:right="360"/>
        <w:jc w:val="both"/>
      </w:pPr>
    </w:p>
    <w:p w:rsidR="000F4DDE" w:rsidRPr="005C6BC5" w:rsidP="005C6BC5" w14:paraId="4868B569" w14:textId="77777777">
      <w:pPr>
        <w:widowControl w:val="0"/>
        <w:autoSpaceDE w:val="0"/>
        <w:autoSpaceDN w:val="0"/>
        <w:adjustRightInd w:val="0"/>
        <w:spacing w:line="273" w:lineRule="atLeast"/>
        <w:ind w:left="1440" w:right="360" w:hanging="720"/>
        <w:rPr>
          <w:b/>
          <w:bCs/>
        </w:rPr>
      </w:pPr>
      <w:r w:rsidRPr="005C6BC5">
        <w:rPr>
          <w:b/>
          <w:bCs/>
        </w:rPr>
        <w:t xml:space="preserve">17. </w:t>
      </w:r>
      <w:r w:rsidRPr="005C6BC5" w:rsidR="002F2B10">
        <w:rPr>
          <w:b/>
          <w:bCs/>
        </w:rPr>
        <w:t xml:space="preserve"> </w:t>
      </w:r>
      <w:r w:rsidRPr="005C6BC5" w:rsidR="00C316E0">
        <w:rPr>
          <w:b/>
          <w:bCs/>
        </w:rPr>
        <w:t xml:space="preserve"> </w:t>
      </w:r>
      <w:r w:rsidRPr="005C6BC5" w:rsidR="002F2B10">
        <w:rPr>
          <w:b/>
          <w:bCs/>
        </w:rPr>
        <w:t xml:space="preserve"> </w:t>
      </w:r>
      <w:r w:rsidRPr="005C6BC5" w:rsidR="00790952">
        <w:rPr>
          <w:b/>
          <w:bCs/>
        </w:rPr>
        <w:tab/>
      </w:r>
      <w:r w:rsidRPr="005C6BC5">
        <w:rPr>
          <w:b/>
          <w:bCs/>
        </w:rPr>
        <w:t>Displaying the OMB Approval Expiration Date</w:t>
      </w:r>
    </w:p>
    <w:p w:rsidR="002F2B10" w:rsidRPr="002F2B10" w:rsidP="005C6BC5" w14:paraId="74046B83" w14:textId="713CFB36">
      <w:pPr>
        <w:pStyle w:val="NoSpacing"/>
        <w:ind w:left="1440"/>
        <w:rPr>
          <w:bCs/>
          <w:iCs/>
        </w:rPr>
      </w:pPr>
      <w:r w:rsidRPr="002F2B10">
        <w:rPr>
          <w:bCs/>
          <w:iCs/>
        </w:rPr>
        <w:t>OMB granted SSA an exemption from the requirement to print the OMB expiration date on its program forms.  SSA produces millions of public-use forms with life</w:t>
      </w:r>
      <w:r w:rsidR="00737113">
        <w:rPr>
          <w:bCs/>
          <w:iCs/>
        </w:rPr>
        <w:t xml:space="preserve"> </w:t>
      </w:r>
      <w:r w:rsidRPr="002F2B10">
        <w:rPr>
          <w:bCs/>
          <w:iCs/>
        </w:rPr>
        <w:t xml:space="preserve">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2F2B10" w:rsidRPr="00B64CC5" w:rsidP="005C6BC5" w14:paraId="689D6FC8" w14:textId="77777777">
      <w:pPr>
        <w:pStyle w:val="NoSpacing"/>
        <w:ind w:left="1440"/>
        <w:rPr>
          <w:bCs/>
          <w:i/>
          <w:iCs/>
        </w:rPr>
      </w:pPr>
    </w:p>
    <w:p w:rsidR="001E4C32" w:rsidRPr="005C6BC5" w:rsidP="005C6BC5" w14:paraId="7AD63AC6" w14:textId="77777777">
      <w:pPr>
        <w:widowControl w:val="0"/>
        <w:tabs>
          <w:tab w:val="left" w:pos="331"/>
        </w:tabs>
        <w:autoSpaceDE w:val="0"/>
        <w:autoSpaceDN w:val="0"/>
        <w:adjustRightInd w:val="0"/>
        <w:spacing w:line="273" w:lineRule="atLeast"/>
        <w:ind w:left="1440" w:right="360" w:hanging="720"/>
        <w:jc w:val="both"/>
        <w:rPr>
          <w:b/>
          <w:bCs/>
        </w:rPr>
      </w:pPr>
      <w:r w:rsidRPr="005C6BC5">
        <w:rPr>
          <w:b/>
          <w:bCs/>
        </w:rPr>
        <w:t xml:space="preserve">18. </w:t>
      </w:r>
      <w:r w:rsidRPr="005C6BC5" w:rsidR="00C316E0">
        <w:rPr>
          <w:b/>
          <w:bCs/>
        </w:rPr>
        <w:t xml:space="preserve">   </w:t>
      </w:r>
      <w:r w:rsidRPr="005C6BC5" w:rsidR="00790952">
        <w:rPr>
          <w:b/>
          <w:bCs/>
        </w:rPr>
        <w:tab/>
      </w:r>
      <w:r w:rsidRPr="005C6BC5">
        <w:rPr>
          <w:b/>
          <w:bCs/>
        </w:rPr>
        <w:t>Exceptions to Certification Statement</w:t>
      </w:r>
    </w:p>
    <w:p w:rsidR="009D68BD" w:rsidP="005C6BC5" w14:paraId="0799A615" w14:textId="0F127FFB">
      <w:pPr>
        <w:widowControl w:val="0"/>
        <w:tabs>
          <w:tab w:val="left" w:pos="331"/>
          <w:tab w:val="left" w:pos="1170"/>
          <w:tab w:val="left" w:pos="1440"/>
          <w:tab w:val="left" w:pos="1530"/>
        </w:tabs>
        <w:autoSpaceDE w:val="0"/>
        <w:autoSpaceDN w:val="0"/>
        <w:adjustRightInd w:val="0"/>
        <w:spacing w:line="273" w:lineRule="atLeast"/>
        <w:ind w:left="1440" w:right="360"/>
        <w:jc w:val="both"/>
      </w:pPr>
      <w:r w:rsidRPr="00204E62">
        <w:t>SSA is not requesting an exception to the certification requirements</w:t>
      </w:r>
      <w:r w:rsidR="00D87B7A">
        <w:t xml:space="preserve"> at </w:t>
      </w:r>
    </w:p>
    <w:p w:rsidR="00B86869" w:rsidRPr="00204E62" w:rsidP="005C6BC5" w14:paraId="2C8539B0" w14:textId="6C2554CE">
      <w:pPr>
        <w:widowControl w:val="0"/>
        <w:tabs>
          <w:tab w:val="left" w:pos="331"/>
          <w:tab w:val="left" w:pos="1170"/>
          <w:tab w:val="left" w:pos="1440"/>
          <w:tab w:val="left" w:pos="1530"/>
        </w:tabs>
        <w:autoSpaceDE w:val="0"/>
        <w:autoSpaceDN w:val="0"/>
        <w:adjustRightInd w:val="0"/>
        <w:spacing w:line="273" w:lineRule="atLeast"/>
        <w:ind w:left="1440" w:right="360"/>
        <w:jc w:val="both"/>
      </w:pPr>
      <w:r w:rsidRPr="00A247CB">
        <w:rPr>
          <w:i/>
        </w:rPr>
        <w:t xml:space="preserve">5 CFR </w:t>
      </w:r>
      <w:r w:rsidR="009D68BD">
        <w:rPr>
          <w:i/>
        </w:rPr>
        <w:tab/>
      </w:r>
      <w:r w:rsidRPr="00A247CB">
        <w:rPr>
          <w:i/>
        </w:rPr>
        <w:t>1320.9</w:t>
      </w:r>
      <w:r>
        <w:t xml:space="preserve"> and related provisions at </w:t>
      </w:r>
      <w:r w:rsidRPr="00A247CB">
        <w:rPr>
          <w:i/>
        </w:rPr>
        <w:t>5 CFR 1320.8(b)(3</w:t>
      </w:r>
      <w:r>
        <w:t>)</w:t>
      </w:r>
      <w:r w:rsidRPr="00204E62">
        <w:t>.</w:t>
      </w:r>
      <w:r w:rsidR="00A51B52">
        <w:t xml:space="preserve"> </w:t>
      </w:r>
      <w:r w:rsidRPr="00204E62">
        <w:t xml:space="preserve"> </w:t>
      </w:r>
    </w:p>
    <w:p w:rsidR="00B86869" w:rsidRPr="00204E62" w:rsidP="00C32AC2" w14:paraId="0E02E869" w14:textId="77777777">
      <w:pPr>
        <w:widowControl w:val="0"/>
        <w:tabs>
          <w:tab w:val="left" w:pos="331"/>
        </w:tabs>
        <w:autoSpaceDE w:val="0"/>
        <w:autoSpaceDN w:val="0"/>
        <w:adjustRightInd w:val="0"/>
        <w:spacing w:line="273" w:lineRule="atLeast"/>
        <w:ind w:right="360" w:hanging="450"/>
        <w:jc w:val="both"/>
      </w:pPr>
    </w:p>
    <w:p w:rsidR="00B86869" w:rsidRPr="002F2B10" w:rsidP="00797C91" w14:paraId="209AC4F6" w14:textId="77777777">
      <w:pPr>
        <w:widowControl w:val="0"/>
        <w:autoSpaceDE w:val="0"/>
        <w:autoSpaceDN w:val="0"/>
        <w:adjustRightInd w:val="0"/>
        <w:spacing w:line="249" w:lineRule="atLeast"/>
        <w:ind w:left="720" w:right="360" w:hanging="540"/>
        <w:jc w:val="both"/>
        <w:rPr>
          <w:b/>
          <w:bCs/>
          <w:u w:val="single"/>
        </w:rPr>
      </w:pPr>
      <w:r w:rsidRPr="004F471C">
        <w:rPr>
          <w:b/>
          <w:bCs/>
        </w:rPr>
        <w:t>B</w:t>
      </w:r>
      <w:r w:rsidRPr="004F471C" w:rsidR="00A51B52">
        <w:rPr>
          <w:b/>
          <w:bCs/>
        </w:rPr>
        <w:t>.</w:t>
      </w:r>
      <w:r w:rsidRPr="004F471C">
        <w:rPr>
          <w:b/>
          <w:bCs/>
        </w:rPr>
        <w:t xml:space="preserve"> </w:t>
      </w:r>
      <w:r w:rsidR="009D68BD">
        <w:rPr>
          <w:b/>
          <w:bCs/>
        </w:rPr>
        <w:tab/>
      </w:r>
      <w:r w:rsidRPr="002F2B10">
        <w:rPr>
          <w:b/>
          <w:bCs/>
          <w:u w:val="single"/>
        </w:rPr>
        <w:t>Collections of Information Employin</w:t>
      </w:r>
      <w:r w:rsidRPr="002F2B10" w:rsidR="004B3A80">
        <w:rPr>
          <w:b/>
          <w:bCs/>
          <w:u w:val="single"/>
        </w:rPr>
        <w:t>g</w:t>
      </w:r>
      <w:r w:rsidRPr="002F2B10" w:rsidR="004F471C">
        <w:rPr>
          <w:b/>
          <w:bCs/>
          <w:u w:val="single"/>
        </w:rPr>
        <w:t xml:space="preserve"> </w:t>
      </w:r>
      <w:r w:rsidRPr="002F2B10">
        <w:rPr>
          <w:b/>
          <w:bCs/>
          <w:u w:val="single"/>
        </w:rPr>
        <w:t>Statistical Methods</w:t>
      </w:r>
    </w:p>
    <w:p w:rsidR="00B86869" w:rsidRPr="002F2B10" w:rsidP="00C32AC2" w14:paraId="6C82C969" w14:textId="77777777">
      <w:pPr>
        <w:widowControl w:val="0"/>
        <w:autoSpaceDE w:val="0"/>
        <w:autoSpaceDN w:val="0"/>
        <w:adjustRightInd w:val="0"/>
        <w:spacing w:line="249" w:lineRule="atLeast"/>
        <w:ind w:right="360" w:hanging="450"/>
        <w:jc w:val="both"/>
        <w:rPr>
          <w:b/>
          <w:bCs/>
          <w:u w:val="single"/>
        </w:rPr>
      </w:pPr>
    </w:p>
    <w:p w:rsidR="00B86869" w:rsidRPr="00204E62" w:rsidP="00797C91" w14:paraId="7075BC40" w14:textId="6F1D713B">
      <w:pPr>
        <w:widowControl w:val="0"/>
        <w:tabs>
          <w:tab w:val="left" w:pos="1440"/>
        </w:tabs>
        <w:autoSpaceDE w:val="0"/>
        <w:autoSpaceDN w:val="0"/>
        <w:adjustRightInd w:val="0"/>
        <w:spacing w:line="292" w:lineRule="atLeast"/>
        <w:ind w:left="1440" w:right="360"/>
        <w:jc w:val="both"/>
      </w:pPr>
      <w:r>
        <w:t>SSA does not use statistical methods for this information collection.</w:t>
      </w:r>
    </w:p>
    <w:p w:rsidR="0042114A" w:rsidRPr="00653581" w:rsidP="0042114A" w14:paraId="6FC3CDDF" w14:textId="77777777">
      <w:pPr>
        <w:ind w:left="720"/>
      </w:pPr>
      <w:r>
        <w:t xml:space="preserve">.  </w:t>
      </w:r>
    </w:p>
    <w:p w:rsidR="00B86869" w:rsidRPr="00204E62" w:rsidP="00C32AC2" w14:paraId="45BDD022" w14:textId="77777777">
      <w:pPr>
        <w:widowControl w:val="0"/>
        <w:autoSpaceDE w:val="0"/>
        <w:autoSpaceDN w:val="0"/>
        <w:adjustRightInd w:val="0"/>
        <w:spacing w:line="292" w:lineRule="atLeast"/>
        <w:ind w:hanging="450"/>
        <w:jc w:val="both"/>
      </w:pPr>
    </w:p>
    <w:sectPr w:rsidSect="00364E89">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C86E35"/>
    <w:multiLevelType w:val="hybridMultilevel"/>
    <w:tmpl w:val="F3F2315E"/>
    <w:lvl w:ilvl="0">
      <w:start w:val="1"/>
      <w:numFmt w:val="decimal"/>
      <w:lvlText w:val="%1."/>
      <w:lvlJc w:val="left"/>
      <w:pPr>
        <w:tabs>
          <w:tab w:val="num" w:pos="1170"/>
        </w:tabs>
        <w:ind w:left="1170" w:hanging="360"/>
      </w:pPr>
      <w:rPr>
        <w:b/>
        <w:bCs w:val="0"/>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40C33D13"/>
    <w:multiLevelType w:val="hybridMultilevel"/>
    <w:tmpl w:val="23780766"/>
    <w:lvl w:ilvl="0">
      <w:start w:val="1"/>
      <w:numFmt w:val="bullet"/>
      <w:lvlText w:val=""/>
      <w:lvlJc w:val="left"/>
      <w:pPr>
        <w:ind w:left="630" w:hanging="360"/>
      </w:pPr>
      <w:rPr>
        <w:rFonts w:ascii="Symbol" w:hAnsi="Symbol" w:hint="default"/>
      </w:rPr>
    </w:lvl>
    <w:lvl w:ilvl="1">
      <w:start w:val="1"/>
      <w:numFmt w:val="bullet"/>
      <w:lvlText w:val=""/>
      <w:lvlJc w:val="left"/>
      <w:pPr>
        <w:ind w:left="1350" w:hanging="360"/>
      </w:pPr>
      <w:rPr>
        <w:rFonts w:ascii="Symbol" w:hAnsi="Symbol" w:hint="default"/>
      </w:rPr>
    </w:lvl>
    <w:lvl w:ilvl="2">
      <w:start w:val="1"/>
      <w:numFmt w:val="bullet"/>
      <w:lvlText w:val="o"/>
      <w:lvlJc w:val="left"/>
      <w:pPr>
        <w:ind w:left="2070" w:hanging="360"/>
      </w:pPr>
      <w:rPr>
        <w:rFonts w:ascii="Courier New" w:hAnsi="Courier New" w:cs="Courier New"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abstractNum w:abstractNumId="2">
    <w:nsid w:val="51A576FB"/>
    <w:multiLevelType w:val="multilevel"/>
    <w:tmpl w:val="001816D4"/>
    <w:lvl w:ilvl="0">
      <w:start w:val="1"/>
      <w:numFmt w:val="decimal"/>
      <w:lvlText w:val="%1."/>
      <w:lvlJc w:val="left"/>
      <w:pPr>
        <w:tabs>
          <w:tab w:val="num" w:pos="1080"/>
        </w:tabs>
        <w:ind w:left="1080" w:hanging="360"/>
      </w:pPr>
      <w:rPr>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707452F4"/>
    <w:multiLevelType w:val="hybridMultilevel"/>
    <w:tmpl w:val="29D4FE48"/>
    <w:lvl w:ilvl="0">
      <w:start w:val="1"/>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num w:numId="1" w16cid:durableId="1214075574">
    <w:abstractNumId w:val="0"/>
  </w:num>
  <w:num w:numId="2" w16cid:durableId="151798996">
    <w:abstractNumId w:val="3"/>
  </w:num>
  <w:num w:numId="3" w16cid:durableId="1972126812">
    <w:abstractNumId w:val="2"/>
  </w:num>
  <w:num w:numId="4" w16cid:durableId="1855345384">
    <w:abstractNumId w:val="1"/>
  </w:num>
  <w:num w:numId="5" w16cid:durableId="1994605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869"/>
    <w:rsid w:val="0000440E"/>
    <w:rsid w:val="00006887"/>
    <w:rsid w:val="00013101"/>
    <w:rsid w:val="0003475C"/>
    <w:rsid w:val="000419D2"/>
    <w:rsid w:val="00043926"/>
    <w:rsid w:val="00052164"/>
    <w:rsid w:val="00057F38"/>
    <w:rsid w:val="00075D5C"/>
    <w:rsid w:val="00082DA8"/>
    <w:rsid w:val="00087467"/>
    <w:rsid w:val="00092D5E"/>
    <w:rsid w:val="00093358"/>
    <w:rsid w:val="00097A3E"/>
    <w:rsid w:val="000A5160"/>
    <w:rsid w:val="000A6386"/>
    <w:rsid w:val="000B101B"/>
    <w:rsid w:val="000B2CA9"/>
    <w:rsid w:val="000F07F1"/>
    <w:rsid w:val="000F4DDE"/>
    <w:rsid w:val="00105409"/>
    <w:rsid w:val="00110A1D"/>
    <w:rsid w:val="00113C07"/>
    <w:rsid w:val="00116821"/>
    <w:rsid w:val="00124CA2"/>
    <w:rsid w:val="00125EBB"/>
    <w:rsid w:val="00131746"/>
    <w:rsid w:val="0014378A"/>
    <w:rsid w:val="001515B7"/>
    <w:rsid w:val="00151D95"/>
    <w:rsid w:val="00160098"/>
    <w:rsid w:val="001610CA"/>
    <w:rsid w:val="001707B8"/>
    <w:rsid w:val="00173972"/>
    <w:rsid w:val="00175E29"/>
    <w:rsid w:val="00185B28"/>
    <w:rsid w:val="00187BB6"/>
    <w:rsid w:val="00191C26"/>
    <w:rsid w:val="001A3163"/>
    <w:rsid w:val="001B0084"/>
    <w:rsid w:val="001B00D0"/>
    <w:rsid w:val="001C1FE8"/>
    <w:rsid w:val="001C2A43"/>
    <w:rsid w:val="001C3D33"/>
    <w:rsid w:val="001C4822"/>
    <w:rsid w:val="001D1E95"/>
    <w:rsid w:val="001E255D"/>
    <w:rsid w:val="001E4C32"/>
    <w:rsid w:val="001F18DF"/>
    <w:rsid w:val="002019C7"/>
    <w:rsid w:val="002021D6"/>
    <w:rsid w:val="00203CAB"/>
    <w:rsid w:val="00204E62"/>
    <w:rsid w:val="00212511"/>
    <w:rsid w:val="002138EB"/>
    <w:rsid w:val="002437E7"/>
    <w:rsid w:val="002454A7"/>
    <w:rsid w:val="00246338"/>
    <w:rsid w:val="002555C5"/>
    <w:rsid w:val="00256461"/>
    <w:rsid w:val="002602EB"/>
    <w:rsid w:val="00260EFA"/>
    <w:rsid w:val="00267E7C"/>
    <w:rsid w:val="002701EA"/>
    <w:rsid w:val="002748F0"/>
    <w:rsid w:val="002757F6"/>
    <w:rsid w:val="002765E7"/>
    <w:rsid w:val="00282C67"/>
    <w:rsid w:val="002A29EE"/>
    <w:rsid w:val="002A5775"/>
    <w:rsid w:val="002B26A7"/>
    <w:rsid w:val="002C0362"/>
    <w:rsid w:val="002F2B10"/>
    <w:rsid w:val="002F5857"/>
    <w:rsid w:val="002F5CDE"/>
    <w:rsid w:val="00300D06"/>
    <w:rsid w:val="00321B1C"/>
    <w:rsid w:val="00324B2F"/>
    <w:rsid w:val="00332BE2"/>
    <w:rsid w:val="0033381F"/>
    <w:rsid w:val="00347A7F"/>
    <w:rsid w:val="00353440"/>
    <w:rsid w:val="003550E7"/>
    <w:rsid w:val="00357A89"/>
    <w:rsid w:val="0036044E"/>
    <w:rsid w:val="00360629"/>
    <w:rsid w:val="00362293"/>
    <w:rsid w:val="00363262"/>
    <w:rsid w:val="00364E89"/>
    <w:rsid w:val="003744F4"/>
    <w:rsid w:val="00375F4B"/>
    <w:rsid w:val="003A4961"/>
    <w:rsid w:val="003A54CF"/>
    <w:rsid w:val="003A66C2"/>
    <w:rsid w:val="003D2A08"/>
    <w:rsid w:val="003D3A50"/>
    <w:rsid w:val="003D5081"/>
    <w:rsid w:val="003E5BA8"/>
    <w:rsid w:val="003F103E"/>
    <w:rsid w:val="003F5E3C"/>
    <w:rsid w:val="003F6BCE"/>
    <w:rsid w:val="004018C4"/>
    <w:rsid w:val="00403F20"/>
    <w:rsid w:val="00411C9E"/>
    <w:rsid w:val="00415973"/>
    <w:rsid w:val="00417326"/>
    <w:rsid w:val="0041740E"/>
    <w:rsid w:val="0042114A"/>
    <w:rsid w:val="0042221D"/>
    <w:rsid w:val="0042244C"/>
    <w:rsid w:val="00423D6A"/>
    <w:rsid w:val="00424B49"/>
    <w:rsid w:val="00431A36"/>
    <w:rsid w:val="004361F4"/>
    <w:rsid w:val="004363C1"/>
    <w:rsid w:val="004416C8"/>
    <w:rsid w:val="00452711"/>
    <w:rsid w:val="004568D6"/>
    <w:rsid w:val="00457551"/>
    <w:rsid w:val="00463A8E"/>
    <w:rsid w:val="004736C3"/>
    <w:rsid w:val="00475A73"/>
    <w:rsid w:val="00484879"/>
    <w:rsid w:val="004917DE"/>
    <w:rsid w:val="00496557"/>
    <w:rsid w:val="004A0E66"/>
    <w:rsid w:val="004A78F2"/>
    <w:rsid w:val="004B254A"/>
    <w:rsid w:val="004B3A80"/>
    <w:rsid w:val="004B7633"/>
    <w:rsid w:val="004C2F9F"/>
    <w:rsid w:val="004D39DB"/>
    <w:rsid w:val="004E4872"/>
    <w:rsid w:val="004F471C"/>
    <w:rsid w:val="00503D6D"/>
    <w:rsid w:val="00505F13"/>
    <w:rsid w:val="00506A73"/>
    <w:rsid w:val="00514278"/>
    <w:rsid w:val="0052076C"/>
    <w:rsid w:val="00530294"/>
    <w:rsid w:val="0053089B"/>
    <w:rsid w:val="0053158C"/>
    <w:rsid w:val="00533590"/>
    <w:rsid w:val="00534240"/>
    <w:rsid w:val="00544D59"/>
    <w:rsid w:val="00564CC7"/>
    <w:rsid w:val="0056759A"/>
    <w:rsid w:val="005835BC"/>
    <w:rsid w:val="0058668A"/>
    <w:rsid w:val="00591C04"/>
    <w:rsid w:val="005943D2"/>
    <w:rsid w:val="005B3A27"/>
    <w:rsid w:val="005C0E62"/>
    <w:rsid w:val="005C2247"/>
    <w:rsid w:val="005C4F4D"/>
    <w:rsid w:val="005C56C1"/>
    <w:rsid w:val="005C6BC5"/>
    <w:rsid w:val="005D0DA8"/>
    <w:rsid w:val="005D44C3"/>
    <w:rsid w:val="005E6788"/>
    <w:rsid w:val="005F3756"/>
    <w:rsid w:val="005F484F"/>
    <w:rsid w:val="006005DE"/>
    <w:rsid w:val="0060179A"/>
    <w:rsid w:val="0060443C"/>
    <w:rsid w:val="0061077F"/>
    <w:rsid w:val="006148AF"/>
    <w:rsid w:val="00626329"/>
    <w:rsid w:val="00637665"/>
    <w:rsid w:val="00642F1C"/>
    <w:rsid w:val="00646E45"/>
    <w:rsid w:val="00647415"/>
    <w:rsid w:val="00653581"/>
    <w:rsid w:val="00665232"/>
    <w:rsid w:val="00677D32"/>
    <w:rsid w:val="00677D6A"/>
    <w:rsid w:val="006848EA"/>
    <w:rsid w:val="0068566E"/>
    <w:rsid w:val="00697E12"/>
    <w:rsid w:val="006A4ABC"/>
    <w:rsid w:val="006B4753"/>
    <w:rsid w:val="006C2A8B"/>
    <w:rsid w:val="006D3E30"/>
    <w:rsid w:val="006D4638"/>
    <w:rsid w:val="006E3325"/>
    <w:rsid w:val="006E3DDF"/>
    <w:rsid w:val="006E53FE"/>
    <w:rsid w:val="006E6D9A"/>
    <w:rsid w:val="006F1BA2"/>
    <w:rsid w:val="00707AE8"/>
    <w:rsid w:val="00716EDC"/>
    <w:rsid w:val="00720A24"/>
    <w:rsid w:val="007240FE"/>
    <w:rsid w:val="00725D90"/>
    <w:rsid w:val="00734D1A"/>
    <w:rsid w:val="00736ED4"/>
    <w:rsid w:val="00737113"/>
    <w:rsid w:val="00743C37"/>
    <w:rsid w:val="0074489B"/>
    <w:rsid w:val="007468A9"/>
    <w:rsid w:val="007540FB"/>
    <w:rsid w:val="007614CE"/>
    <w:rsid w:val="0077343E"/>
    <w:rsid w:val="00776BE7"/>
    <w:rsid w:val="00777750"/>
    <w:rsid w:val="0078004D"/>
    <w:rsid w:val="00785169"/>
    <w:rsid w:val="00786FCB"/>
    <w:rsid w:val="00790952"/>
    <w:rsid w:val="00792218"/>
    <w:rsid w:val="00797C91"/>
    <w:rsid w:val="007B2DC4"/>
    <w:rsid w:val="007C37ED"/>
    <w:rsid w:val="007C6E43"/>
    <w:rsid w:val="007D204D"/>
    <w:rsid w:val="007D4294"/>
    <w:rsid w:val="007D6887"/>
    <w:rsid w:val="007E057C"/>
    <w:rsid w:val="007E07D2"/>
    <w:rsid w:val="007F0598"/>
    <w:rsid w:val="007F1E9C"/>
    <w:rsid w:val="008041B4"/>
    <w:rsid w:val="00805829"/>
    <w:rsid w:val="00820FB5"/>
    <w:rsid w:val="0082453D"/>
    <w:rsid w:val="008408BF"/>
    <w:rsid w:val="00861B0C"/>
    <w:rsid w:val="00863F8B"/>
    <w:rsid w:val="00877508"/>
    <w:rsid w:val="008817B7"/>
    <w:rsid w:val="00892494"/>
    <w:rsid w:val="00892911"/>
    <w:rsid w:val="008A0CC0"/>
    <w:rsid w:val="008A237E"/>
    <w:rsid w:val="008A2997"/>
    <w:rsid w:val="008B16B5"/>
    <w:rsid w:val="008B1D6B"/>
    <w:rsid w:val="008B6E1A"/>
    <w:rsid w:val="008C3177"/>
    <w:rsid w:val="008D31C2"/>
    <w:rsid w:val="009039B9"/>
    <w:rsid w:val="0090470D"/>
    <w:rsid w:val="00915486"/>
    <w:rsid w:val="009164C5"/>
    <w:rsid w:val="00920200"/>
    <w:rsid w:val="0093022A"/>
    <w:rsid w:val="009412FC"/>
    <w:rsid w:val="00944427"/>
    <w:rsid w:val="00954DC7"/>
    <w:rsid w:val="00961EA4"/>
    <w:rsid w:val="00962502"/>
    <w:rsid w:val="009702E3"/>
    <w:rsid w:val="009731DE"/>
    <w:rsid w:val="00987006"/>
    <w:rsid w:val="009A0C5C"/>
    <w:rsid w:val="009B39F3"/>
    <w:rsid w:val="009C388F"/>
    <w:rsid w:val="009C5F21"/>
    <w:rsid w:val="009C6941"/>
    <w:rsid w:val="009D2CDD"/>
    <w:rsid w:val="009D4592"/>
    <w:rsid w:val="009D68BD"/>
    <w:rsid w:val="009E008B"/>
    <w:rsid w:val="009E1EEF"/>
    <w:rsid w:val="009F1C59"/>
    <w:rsid w:val="009F2849"/>
    <w:rsid w:val="00A02437"/>
    <w:rsid w:val="00A1051E"/>
    <w:rsid w:val="00A13052"/>
    <w:rsid w:val="00A13AF9"/>
    <w:rsid w:val="00A247CB"/>
    <w:rsid w:val="00A25943"/>
    <w:rsid w:val="00A32E36"/>
    <w:rsid w:val="00A41098"/>
    <w:rsid w:val="00A41185"/>
    <w:rsid w:val="00A4392A"/>
    <w:rsid w:val="00A43C0D"/>
    <w:rsid w:val="00A446A2"/>
    <w:rsid w:val="00A51B52"/>
    <w:rsid w:val="00A55FFB"/>
    <w:rsid w:val="00A6651B"/>
    <w:rsid w:val="00A72626"/>
    <w:rsid w:val="00A80244"/>
    <w:rsid w:val="00AA4A12"/>
    <w:rsid w:val="00AB0B13"/>
    <w:rsid w:val="00AB278E"/>
    <w:rsid w:val="00AB6878"/>
    <w:rsid w:val="00AC16B8"/>
    <w:rsid w:val="00AD0F74"/>
    <w:rsid w:val="00AF159D"/>
    <w:rsid w:val="00AF74E9"/>
    <w:rsid w:val="00B02DEC"/>
    <w:rsid w:val="00B05094"/>
    <w:rsid w:val="00B13ED3"/>
    <w:rsid w:val="00B32104"/>
    <w:rsid w:val="00B328EC"/>
    <w:rsid w:val="00B33CB1"/>
    <w:rsid w:val="00B41EB5"/>
    <w:rsid w:val="00B51ED8"/>
    <w:rsid w:val="00B56EA1"/>
    <w:rsid w:val="00B64CC5"/>
    <w:rsid w:val="00B77E4E"/>
    <w:rsid w:val="00B809EB"/>
    <w:rsid w:val="00B86869"/>
    <w:rsid w:val="00BA1C87"/>
    <w:rsid w:val="00BB5241"/>
    <w:rsid w:val="00BB5BD4"/>
    <w:rsid w:val="00BB6254"/>
    <w:rsid w:val="00BC1D28"/>
    <w:rsid w:val="00BC5F4B"/>
    <w:rsid w:val="00BE14B3"/>
    <w:rsid w:val="00BE7C28"/>
    <w:rsid w:val="00BF1186"/>
    <w:rsid w:val="00BF40EA"/>
    <w:rsid w:val="00BF7E61"/>
    <w:rsid w:val="00C077FC"/>
    <w:rsid w:val="00C21025"/>
    <w:rsid w:val="00C21CE9"/>
    <w:rsid w:val="00C316E0"/>
    <w:rsid w:val="00C32AC2"/>
    <w:rsid w:val="00C35F7A"/>
    <w:rsid w:val="00C377CB"/>
    <w:rsid w:val="00C42E54"/>
    <w:rsid w:val="00C43095"/>
    <w:rsid w:val="00C44646"/>
    <w:rsid w:val="00C747CA"/>
    <w:rsid w:val="00C769B9"/>
    <w:rsid w:val="00C84E8A"/>
    <w:rsid w:val="00CA7237"/>
    <w:rsid w:val="00CB22DC"/>
    <w:rsid w:val="00CB3B6B"/>
    <w:rsid w:val="00CB3E78"/>
    <w:rsid w:val="00CB5F45"/>
    <w:rsid w:val="00CB726C"/>
    <w:rsid w:val="00CC06A5"/>
    <w:rsid w:val="00CC3FBB"/>
    <w:rsid w:val="00CC42DA"/>
    <w:rsid w:val="00CC7E69"/>
    <w:rsid w:val="00CD09E6"/>
    <w:rsid w:val="00CD1DA2"/>
    <w:rsid w:val="00CD69A2"/>
    <w:rsid w:val="00CE18FB"/>
    <w:rsid w:val="00CE7D29"/>
    <w:rsid w:val="00D04221"/>
    <w:rsid w:val="00D06649"/>
    <w:rsid w:val="00D16D35"/>
    <w:rsid w:val="00D23D3A"/>
    <w:rsid w:val="00D26375"/>
    <w:rsid w:val="00D36851"/>
    <w:rsid w:val="00D41788"/>
    <w:rsid w:val="00D55F24"/>
    <w:rsid w:val="00D649E6"/>
    <w:rsid w:val="00D7235F"/>
    <w:rsid w:val="00D73697"/>
    <w:rsid w:val="00D8253B"/>
    <w:rsid w:val="00D87977"/>
    <w:rsid w:val="00D87B7A"/>
    <w:rsid w:val="00D92F25"/>
    <w:rsid w:val="00DA73FF"/>
    <w:rsid w:val="00DB1FC2"/>
    <w:rsid w:val="00DB3A49"/>
    <w:rsid w:val="00DB5B9D"/>
    <w:rsid w:val="00DC58DB"/>
    <w:rsid w:val="00DC7261"/>
    <w:rsid w:val="00DD3A58"/>
    <w:rsid w:val="00DD3BFC"/>
    <w:rsid w:val="00DE44EF"/>
    <w:rsid w:val="00DF1837"/>
    <w:rsid w:val="00E00BB8"/>
    <w:rsid w:val="00E04845"/>
    <w:rsid w:val="00E0780D"/>
    <w:rsid w:val="00E07FAF"/>
    <w:rsid w:val="00E125A7"/>
    <w:rsid w:val="00E16342"/>
    <w:rsid w:val="00E208A0"/>
    <w:rsid w:val="00E26ECD"/>
    <w:rsid w:val="00E350BA"/>
    <w:rsid w:val="00E354C7"/>
    <w:rsid w:val="00E36824"/>
    <w:rsid w:val="00E5021C"/>
    <w:rsid w:val="00E51059"/>
    <w:rsid w:val="00E66714"/>
    <w:rsid w:val="00E72AAB"/>
    <w:rsid w:val="00E812D6"/>
    <w:rsid w:val="00E82A7C"/>
    <w:rsid w:val="00E9498E"/>
    <w:rsid w:val="00E97214"/>
    <w:rsid w:val="00EA02D8"/>
    <w:rsid w:val="00EA0A9A"/>
    <w:rsid w:val="00EA0E5F"/>
    <w:rsid w:val="00EA2127"/>
    <w:rsid w:val="00EB2B99"/>
    <w:rsid w:val="00EB2F1D"/>
    <w:rsid w:val="00EB55FA"/>
    <w:rsid w:val="00ED1CA3"/>
    <w:rsid w:val="00ED253A"/>
    <w:rsid w:val="00ED3E19"/>
    <w:rsid w:val="00ED471F"/>
    <w:rsid w:val="00ED773B"/>
    <w:rsid w:val="00EE1F71"/>
    <w:rsid w:val="00EF5B92"/>
    <w:rsid w:val="00F04B0D"/>
    <w:rsid w:val="00F075CE"/>
    <w:rsid w:val="00F13859"/>
    <w:rsid w:val="00F2288A"/>
    <w:rsid w:val="00F231B3"/>
    <w:rsid w:val="00F2674B"/>
    <w:rsid w:val="00F4171F"/>
    <w:rsid w:val="00F428A9"/>
    <w:rsid w:val="00F5024C"/>
    <w:rsid w:val="00F558CF"/>
    <w:rsid w:val="00F72866"/>
    <w:rsid w:val="00F730FE"/>
    <w:rsid w:val="00F76D86"/>
    <w:rsid w:val="00F85147"/>
    <w:rsid w:val="00F93589"/>
    <w:rsid w:val="00F945FC"/>
    <w:rsid w:val="00FA5226"/>
    <w:rsid w:val="00FA695A"/>
    <w:rsid w:val="00FB0003"/>
    <w:rsid w:val="00FB5E62"/>
    <w:rsid w:val="00FB63C5"/>
    <w:rsid w:val="00FC0D6F"/>
    <w:rsid w:val="00FC236C"/>
    <w:rsid w:val="00FC5097"/>
    <w:rsid w:val="00FD6791"/>
    <w:rsid w:val="00FE2703"/>
    <w:rsid w:val="00FE4B62"/>
    <w:rsid w:val="00FE7544"/>
    <w:rsid w:val="00FF20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BE5C3B"/>
  <w15:chartTrackingRefBased/>
  <w15:docId w15:val="{47A26582-2345-4D87-B6D7-EE944A24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18FB"/>
    <w:rPr>
      <w:rFonts w:ascii="Tahoma" w:hAnsi="Tahoma" w:cs="Tahoma"/>
      <w:sz w:val="16"/>
      <w:szCs w:val="16"/>
    </w:rPr>
  </w:style>
  <w:style w:type="paragraph" w:styleId="NoSpacing">
    <w:name w:val="No Spacing"/>
    <w:qFormat/>
    <w:rsid w:val="002F2B10"/>
    <w:rPr>
      <w:rFonts w:eastAsia="Times New Roman"/>
      <w:sz w:val="24"/>
      <w:szCs w:val="24"/>
      <w:lang w:bidi="en-US"/>
    </w:rPr>
  </w:style>
  <w:style w:type="paragraph" w:styleId="ListParagraph">
    <w:name w:val="List Paragraph"/>
    <w:basedOn w:val="Normal"/>
    <w:uiPriority w:val="34"/>
    <w:qFormat/>
    <w:rsid w:val="00CE7D29"/>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51427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1CE9"/>
    <w:rPr>
      <w:color w:val="0563C1"/>
      <w:u w:val="single"/>
    </w:rPr>
  </w:style>
  <w:style w:type="paragraph" w:styleId="BodyText">
    <w:name w:val="Body Text"/>
    <w:basedOn w:val="Normal"/>
    <w:link w:val="BodyTextChar"/>
    <w:rsid w:val="00C21CE9"/>
    <w:pPr>
      <w:spacing w:after="120"/>
    </w:pPr>
  </w:style>
  <w:style w:type="character" w:customStyle="1" w:styleId="BodyTextChar">
    <w:name w:val="Body Text Char"/>
    <w:basedOn w:val="DefaultParagraphFont"/>
    <w:link w:val="BodyText"/>
    <w:rsid w:val="00C21CE9"/>
    <w:rPr>
      <w:sz w:val="24"/>
      <w:szCs w:val="24"/>
      <w:lang w:eastAsia="zh-CN"/>
    </w:rPr>
  </w:style>
  <w:style w:type="table" w:customStyle="1" w:styleId="TableGrid1">
    <w:name w:val="Table Grid1"/>
    <w:basedOn w:val="TableNormal"/>
    <w:next w:val="TableGrid"/>
    <w:rsid w:val="00C21C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72866"/>
    <w:rPr>
      <w:sz w:val="16"/>
      <w:szCs w:val="16"/>
    </w:rPr>
  </w:style>
  <w:style w:type="paragraph" w:styleId="CommentText">
    <w:name w:val="annotation text"/>
    <w:basedOn w:val="Normal"/>
    <w:link w:val="CommentTextChar"/>
    <w:rsid w:val="00F72866"/>
    <w:rPr>
      <w:sz w:val="20"/>
      <w:szCs w:val="20"/>
    </w:rPr>
  </w:style>
  <w:style w:type="character" w:customStyle="1" w:styleId="CommentTextChar">
    <w:name w:val="Comment Text Char"/>
    <w:basedOn w:val="DefaultParagraphFont"/>
    <w:link w:val="CommentText"/>
    <w:rsid w:val="00F72866"/>
    <w:rPr>
      <w:lang w:eastAsia="zh-CN"/>
    </w:rPr>
  </w:style>
  <w:style w:type="paragraph" w:styleId="CommentSubject">
    <w:name w:val="annotation subject"/>
    <w:basedOn w:val="CommentText"/>
    <w:next w:val="CommentText"/>
    <w:link w:val="CommentSubjectChar"/>
    <w:semiHidden/>
    <w:unhideWhenUsed/>
    <w:rsid w:val="00F72866"/>
    <w:rPr>
      <w:b/>
      <w:bCs/>
    </w:rPr>
  </w:style>
  <w:style w:type="character" w:customStyle="1" w:styleId="CommentSubjectChar">
    <w:name w:val="Comment Subject Char"/>
    <w:basedOn w:val="CommentTextChar"/>
    <w:link w:val="CommentSubject"/>
    <w:semiHidden/>
    <w:rsid w:val="00F72866"/>
    <w:rPr>
      <w:b/>
      <w:bCs/>
      <w:lang w:eastAsia="zh-CN"/>
    </w:rPr>
  </w:style>
  <w:style w:type="character" w:styleId="FollowedHyperlink">
    <w:name w:val="FollowedHyperlink"/>
    <w:basedOn w:val="DefaultParagraphFont"/>
    <w:rsid w:val="00FB5E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ata.bls.gov/oes/" TargetMode="External" /><Relationship Id="rId5" Type="http://schemas.openxmlformats.org/officeDocument/2006/relationships/hyperlink" Target="https://www.ssa.gov/ssa-performance"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2326</Words>
  <Characters>13263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Readiris</dc:creator>
  <cp:lastModifiedBy>Naomi Sipple</cp:lastModifiedBy>
  <cp:revision>2</cp:revision>
  <cp:lastPrinted>2013-02-21T14:48:00Z</cp:lastPrinted>
  <dcterms:created xsi:type="dcterms:W3CDTF">2026-04-27T18:21:00Z</dcterms:created>
  <dcterms:modified xsi:type="dcterms:W3CDTF">2026-04-27T18:21:00Z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y fmtid="{D5CDD505-2E9C-101B-9397-08002B2CF9AE}" pid="3" name="_AdHocReviewCycleID">
    <vt:i4>-385832181</vt:i4>
  </property>
  <property fmtid="{D5CDD505-2E9C-101B-9397-08002B2CF9AE}" pid="4" name="_AuthorEmail">
    <vt:lpwstr>Linda.Appler@ssa.gov</vt:lpwstr>
  </property>
  <property fmtid="{D5CDD505-2E9C-101B-9397-08002B2CF9AE}" pid="5" name="_AuthorEmailDisplayName">
    <vt:lpwstr>Appler, Linda</vt:lpwstr>
  </property>
  <property fmtid="{D5CDD505-2E9C-101B-9397-08002B2CF9AE}" pid="6" name="_EmailSubject">
    <vt:lpwstr> For Liz - Request for OGC to review OMB Package to renew SSA-781 (OMB No. 0960-0019)</vt:lpwstr>
  </property>
  <property fmtid="{D5CDD505-2E9C-101B-9397-08002B2CF9AE}" pid="7" name="_NewReviewCycle">
    <vt:lpwstr/>
  </property>
  <property fmtid="{D5CDD505-2E9C-101B-9397-08002B2CF9AE}" pid="8" name="_PreviousAdHocReviewCycleID">
    <vt:i4>453118077</vt:i4>
  </property>
  <property fmtid="{D5CDD505-2E9C-101B-9397-08002B2CF9AE}" pid="9" name="_ReviewingToolsShownOnce">
    <vt:lpwstr/>
  </property>
</Properties>
</file>