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5F5A" w:rsidRPr="004D4946" w:rsidP="00D65F5A" w14:paraId="2B91852D" w14:textId="77777777">
      <w:pPr>
        <w:pStyle w:val="Header"/>
        <w:jc w:val="center"/>
        <w:rPr>
          <w:b/>
          <w:szCs w:val="24"/>
        </w:rPr>
      </w:pPr>
      <w:r w:rsidRPr="004D4946">
        <w:rPr>
          <w:b/>
          <w:szCs w:val="24"/>
        </w:rPr>
        <w:t>Responses to Comments Received on the Revised CMS-10788</w:t>
      </w:r>
    </w:p>
    <w:p w:rsidR="00D65F5A" w:rsidRPr="004D4946" w:rsidP="00D65F5A" w14:paraId="08AEDE8D" w14:textId="7EF98208">
      <w:pPr>
        <w:pStyle w:val="Header"/>
        <w:jc w:val="center"/>
        <w:rPr>
          <w:b/>
          <w:szCs w:val="24"/>
        </w:rPr>
      </w:pPr>
      <w:r w:rsidRPr="004D4946">
        <w:rPr>
          <w:b/>
          <w:szCs w:val="24"/>
        </w:rPr>
        <w:t>Federal Register 60-Day Notice (</w:t>
      </w:r>
      <w:r w:rsidRPr="00280537" w:rsidR="00280537">
        <w:rPr>
          <w:b/>
          <w:szCs w:val="24"/>
        </w:rPr>
        <w:t>89 FR 6118</w:t>
      </w:r>
      <w:r w:rsidRPr="004D4946">
        <w:rPr>
          <w:b/>
          <w:szCs w:val="24"/>
        </w:rPr>
        <w:t>)</w:t>
      </w:r>
      <w:r w:rsidR="00C15B96">
        <w:rPr>
          <w:b/>
          <w:szCs w:val="24"/>
        </w:rPr>
        <w:t xml:space="preserve"> and 30-Day Notice (</w:t>
      </w:r>
      <w:r w:rsidR="00C15B96">
        <w:rPr>
          <w:b/>
          <w:szCs w:val="24"/>
        </w:rPr>
        <w:t xml:space="preserve">89 FR </w:t>
      </w:r>
      <w:r w:rsidRPr="00C15B96" w:rsidR="00C15B96">
        <w:rPr>
          <w:b/>
          <w:szCs w:val="24"/>
        </w:rPr>
        <w:t>34249</w:t>
      </w:r>
      <w:r w:rsidR="00C15B96">
        <w:rPr>
          <w:b/>
          <w:szCs w:val="24"/>
        </w:rPr>
        <w:t>)</w:t>
      </w:r>
    </w:p>
    <w:sdt>
      <w:sdtPr>
        <w:rPr>
          <w:rFonts w:ascii="Times New Roman" w:eastAsia="Times New Roman" w:hAnsi="Times New Roman" w:cs="Times New Roman"/>
          <w:b w:val="0"/>
          <w:bCs w:val="0"/>
          <w:snapToGrid w:val="0"/>
          <w:color w:val="auto"/>
          <w:sz w:val="24"/>
          <w:szCs w:val="24"/>
        </w:rPr>
        <w:id w:val="15453213"/>
        <w:docPartObj>
          <w:docPartGallery w:val="Table of Contents"/>
          <w:docPartUnique/>
        </w:docPartObj>
      </w:sdtPr>
      <w:sdtContent>
        <w:p w:rsidR="00D65F5A" w:rsidRPr="004D4946" w:rsidP="00D65F5A" w14:paraId="379C7A79" w14:textId="77777777">
          <w:pPr>
            <w:pStyle w:val="TOCHeading"/>
            <w:rPr>
              <w:rFonts w:ascii="Times New Roman" w:hAnsi="Times New Roman" w:cs="Times New Roman"/>
              <w:sz w:val="24"/>
              <w:szCs w:val="24"/>
            </w:rPr>
          </w:pPr>
          <w:r w:rsidRPr="004D4946">
            <w:rPr>
              <w:rFonts w:ascii="Times New Roman" w:hAnsi="Times New Roman" w:cs="Times New Roman"/>
              <w:sz w:val="24"/>
              <w:szCs w:val="24"/>
            </w:rPr>
            <w:t>Table of Contents</w:t>
          </w:r>
        </w:p>
        <w:p w:rsidR="00D65F5A" w:rsidRPr="004D4946" w:rsidP="00D65F5A" w14:paraId="09135717" w14:textId="77777777">
          <w:pPr>
            <w:rPr>
              <w:szCs w:val="24"/>
            </w:rPr>
          </w:pPr>
        </w:p>
        <w:p w:rsidR="00280537" w14:paraId="61A39A81" w14:textId="1672AAEC">
          <w:pPr>
            <w:pStyle w:val="TOC2"/>
            <w:rPr>
              <w:rFonts w:asciiTheme="minorHAnsi" w:eastAsiaTheme="minorEastAsia" w:hAnsiTheme="minorHAnsi" w:cstheme="minorBidi"/>
              <w:noProof/>
              <w:snapToGrid/>
              <w:kern w:val="2"/>
              <w:sz w:val="22"/>
              <w:szCs w:val="22"/>
              <w14:ligatures w14:val="standardContextual"/>
            </w:rPr>
          </w:pPr>
          <w:r w:rsidRPr="004D4946">
            <w:rPr>
              <w:szCs w:val="24"/>
            </w:rPr>
            <w:fldChar w:fldCharType="begin"/>
          </w:r>
          <w:r w:rsidRPr="004D4946">
            <w:rPr>
              <w:szCs w:val="24"/>
            </w:rPr>
            <w:instrText xml:space="preserve"> TOC \o "1-3" \h \z \u </w:instrText>
          </w:r>
          <w:r w:rsidRPr="004D4946">
            <w:rPr>
              <w:szCs w:val="24"/>
            </w:rPr>
            <w:fldChar w:fldCharType="separate"/>
          </w:r>
          <w:hyperlink w:anchor="_Toc161663796" w:history="1">
            <w:r w:rsidRPr="002D59A7">
              <w:rPr>
                <w:rStyle w:val="Hyperlink"/>
                <w:noProof/>
              </w:rPr>
              <w:t>A.</w:t>
            </w:r>
            <w:r>
              <w:rPr>
                <w:rFonts w:asciiTheme="minorHAnsi" w:eastAsiaTheme="minorEastAsia" w:hAnsiTheme="minorHAnsi" w:cstheme="minorBidi"/>
                <w:noProof/>
                <w:snapToGrid/>
                <w:kern w:val="2"/>
                <w:sz w:val="22"/>
                <w:szCs w:val="22"/>
                <w14:ligatures w14:val="standardContextual"/>
              </w:rPr>
              <w:tab/>
            </w:r>
            <w:r w:rsidRPr="002D59A7">
              <w:rPr>
                <w:rStyle w:val="Hyperlink"/>
                <w:noProof/>
              </w:rPr>
              <w:t>Introduction</w:t>
            </w:r>
            <w:r>
              <w:rPr>
                <w:noProof/>
                <w:webHidden/>
              </w:rPr>
              <w:tab/>
            </w:r>
            <w:r>
              <w:rPr>
                <w:noProof/>
                <w:webHidden/>
              </w:rPr>
              <w:fldChar w:fldCharType="begin"/>
            </w:r>
            <w:r>
              <w:rPr>
                <w:noProof/>
                <w:webHidden/>
              </w:rPr>
              <w:instrText xml:space="preserve"> PAGEREF _Toc161663796 \h </w:instrText>
            </w:r>
            <w:r>
              <w:rPr>
                <w:noProof/>
                <w:webHidden/>
              </w:rPr>
              <w:fldChar w:fldCharType="separate"/>
            </w:r>
            <w:r>
              <w:rPr>
                <w:noProof/>
                <w:webHidden/>
              </w:rPr>
              <w:t>1</w:t>
            </w:r>
            <w:r>
              <w:rPr>
                <w:noProof/>
                <w:webHidden/>
              </w:rPr>
              <w:fldChar w:fldCharType="end"/>
            </w:r>
          </w:hyperlink>
        </w:p>
        <w:p w:rsidR="00280537" w14:paraId="5C6B2499" w14:textId="625BA7C4">
          <w:pPr>
            <w:pStyle w:val="TOC2"/>
            <w:rPr>
              <w:rFonts w:asciiTheme="minorHAnsi" w:eastAsiaTheme="minorEastAsia" w:hAnsiTheme="minorHAnsi" w:cstheme="minorBidi"/>
              <w:noProof/>
              <w:snapToGrid/>
              <w:kern w:val="2"/>
              <w:sz w:val="22"/>
              <w:szCs w:val="22"/>
              <w14:ligatures w14:val="standardContextual"/>
            </w:rPr>
          </w:pPr>
          <w:hyperlink w:anchor="_Toc161663797" w:history="1">
            <w:r w:rsidRPr="002D59A7">
              <w:rPr>
                <w:rStyle w:val="Hyperlink"/>
                <w:noProof/>
              </w:rPr>
              <w:t>B.</w:t>
            </w:r>
            <w:r>
              <w:rPr>
                <w:rFonts w:asciiTheme="minorHAnsi" w:eastAsiaTheme="minorEastAsia" w:hAnsiTheme="minorHAnsi" w:cstheme="minorBidi"/>
                <w:noProof/>
                <w:snapToGrid/>
                <w:kern w:val="2"/>
                <w:sz w:val="22"/>
                <w:szCs w:val="22"/>
                <w14:ligatures w14:val="standardContextual"/>
              </w:rPr>
              <w:tab/>
            </w:r>
            <w:r w:rsidRPr="002D59A7">
              <w:rPr>
                <w:rStyle w:val="Hyperlink"/>
                <w:noProof/>
              </w:rPr>
              <w:t>Comments on the 2023 Drug Data Collection (RxDC) Reporting Instructions and Templates</w:t>
            </w:r>
            <w:r>
              <w:rPr>
                <w:noProof/>
                <w:webHidden/>
              </w:rPr>
              <w:tab/>
            </w:r>
            <w:r>
              <w:rPr>
                <w:noProof/>
                <w:webHidden/>
              </w:rPr>
              <w:fldChar w:fldCharType="begin"/>
            </w:r>
            <w:r>
              <w:rPr>
                <w:noProof/>
                <w:webHidden/>
              </w:rPr>
              <w:instrText xml:space="preserve"> PAGEREF _Toc161663797 \h </w:instrText>
            </w:r>
            <w:r>
              <w:rPr>
                <w:noProof/>
                <w:webHidden/>
              </w:rPr>
              <w:fldChar w:fldCharType="separate"/>
            </w:r>
            <w:r>
              <w:rPr>
                <w:noProof/>
                <w:webHidden/>
              </w:rPr>
              <w:t>1</w:t>
            </w:r>
            <w:r>
              <w:rPr>
                <w:noProof/>
                <w:webHidden/>
              </w:rPr>
              <w:fldChar w:fldCharType="end"/>
            </w:r>
          </w:hyperlink>
        </w:p>
        <w:p w:rsidR="00D65F5A" w:rsidRPr="004D4946" w:rsidP="00D65F5A" w14:paraId="606FF9BA" w14:textId="1567E457">
          <w:pPr>
            <w:pStyle w:val="Header"/>
            <w:jc w:val="center"/>
            <w:rPr>
              <w:szCs w:val="24"/>
            </w:rPr>
          </w:pPr>
          <w:r w:rsidRPr="004D4946">
            <w:rPr>
              <w:szCs w:val="24"/>
            </w:rPr>
            <w:fldChar w:fldCharType="end"/>
          </w:r>
        </w:p>
      </w:sdtContent>
    </w:sdt>
    <w:p w:rsidR="00D65F5A" w:rsidRPr="004D4946" w:rsidP="00D65F5A" w14:paraId="42CC3800" w14:textId="77777777">
      <w:pPr>
        <w:pStyle w:val="Heading2"/>
        <w:rPr>
          <w:rFonts w:cs="Times New Roman"/>
          <w:szCs w:val="24"/>
        </w:rPr>
      </w:pPr>
      <w:bookmarkStart w:id="0" w:name="_Toc161663796"/>
      <w:r w:rsidRPr="004D4946">
        <w:rPr>
          <w:rFonts w:cs="Times New Roman"/>
          <w:szCs w:val="24"/>
        </w:rPr>
        <w:t>Introduction</w:t>
      </w:r>
      <w:bookmarkEnd w:id="0"/>
    </w:p>
    <w:p w:rsidR="00D65F5A" w:rsidRPr="004D4946" w:rsidP="00D65F5A" w14:paraId="2F8D3344" w14:textId="0CDE1199">
      <w:pPr>
        <w:rPr>
          <w:szCs w:val="24"/>
        </w:rPr>
      </w:pPr>
      <w:r w:rsidRPr="004D4946">
        <w:rPr>
          <w:szCs w:val="24"/>
        </w:rPr>
        <w:t xml:space="preserve">We received </w:t>
      </w:r>
      <w:r w:rsidRPr="004D4946" w:rsidR="00A407CD">
        <w:rPr>
          <w:szCs w:val="24"/>
        </w:rPr>
        <w:t>four</w:t>
      </w:r>
      <w:r w:rsidRPr="004D4946" w:rsidR="006A3EBF">
        <w:rPr>
          <w:szCs w:val="24"/>
        </w:rPr>
        <w:t xml:space="preserve"> </w:t>
      </w:r>
      <w:r w:rsidRPr="004D4946">
        <w:rPr>
          <w:szCs w:val="24"/>
        </w:rPr>
        <w:t xml:space="preserve">comments on specific issues regarding the notice of the revised Prescription Drug Data Collection (RxDC) </w:t>
      </w:r>
      <w:r w:rsidR="00321827">
        <w:rPr>
          <w:szCs w:val="24"/>
        </w:rPr>
        <w:t xml:space="preserve">60-day </w:t>
      </w:r>
      <w:r w:rsidRPr="004D4946">
        <w:rPr>
          <w:szCs w:val="24"/>
        </w:rPr>
        <w:t xml:space="preserve">PRA package published in the Federal Register on </w:t>
      </w:r>
      <w:r w:rsidR="00280537">
        <w:rPr>
          <w:szCs w:val="24"/>
        </w:rPr>
        <w:t>January 31</w:t>
      </w:r>
      <w:r w:rsidRPr="004D4946">
        <w:rPr>
          <w:szCs w:val="24"/>
        </w:rPr>
        <w:t>, 202</w:t>
      </w:r>
      <w:r w:rsidR="00280537">
        <w:rPr>
          <w:szCs w:val="24"/>
        </w:rPr>
        <w:t>4</w:t>
      </w:r>
      <w:r w:rsidRPr="004D4946">
        <w:rPr>
          <w:szCs w:val="24"/>
        </w:rPr>
        <w:t xml:space="preserve"> (</w:t>
      </w:r>
      <w:r w:rsidRPr="00280537" w:rsidR="00280537">
        <w:rPr>
          <w:szCs w:val="24"/>
        </w:rPr>
        <w:t>89 FR 6118</w:t>
      </w:r>
      <w:r w:rsidRPr="004D4946">
        <w:rPr>
          <w:szCs w:val="24"/>
        </w:rPr>
        <w:t xml:space="preserve">). The 60-day comment period closed on </w:t>
      </w:r>
      <w:r w:rsidR="00280537">
        <w:rPr>
          <w:szCs w:val="24"/>
        </w:rPr>
        <w:t>April</w:t>
      </w:r>
      <w:r w:rsidRPr="004D4946">
        <w:rPr>
          <w:szCs w:val="24"/>
        </w:rPr>
        <w:t xml:space="preserve"> </w:t>
      </w:r>
      <w:r w:rsidR="00280537">
        <w:rPr>
          <w:szCs w:val="24"/>
        </w:rPr>
        <w:t>1</w:t>
      </w:r>
      <w:r w:rsidRPr="004D4946">
        <w:rPr>
          <w:szCs w:val="24"/>
        </w:rPr>
        <w:t>, 202</w:t>
      </w:r>
      <w:r w:rsidR="00280537">
        <w:rPr>
          <w:szCs w:val="24"/>
        </w:rPr>
        <w:t>4</w:t>
      </w:r>
      <w:r w:rsidRPr="004D4946">
        <w:rPr>
          <w:szCs w:val="24"/>
        </w:rPr>
        <w:t>.</w:t>
      </w:r>
      <w:r w:rsidR="00321827">
        <w:rPr>
          <w:szCs w:val="24"/>
        </w:rPr>
        <w:t xml:space="preserve"> We also received </w:t>
      </w:r>
      <w:r w:rsidR="00F07FF1">
        <w:rPr>
          <w:szCs w:val="24"/>
        </w:rPr>
        <w:t xml:space="preserve">two </w:t>
      </w:r>
      <w:r w:rsidR="00321827">
        <w:rPr>
          <w:szCs w:val="24"/>
        </w:rPr>
        <w:t>co</w:t>
      </w:r>
      <w:r w:rsidR="00321827">
        <w:rPr>
          <w:szCs w:val="24"/>
        </w:rPr>
        <w:t>mments on the 30-day PRA package published on April 30, 2024</w:t>
      </w:r>
      <w:r w:rsidR="004D7E54">
        <w:rPr>
          <w:szCs w:val="24"/>
        </w:rPr>
        <w:t xml:space="preserve"> (</w:t>
      </w:r>
      <w:r w:rsidRPr="004D7E54" w:rsidR="004D7E54">
        <w:rPr>
          <w:szCs w:val="24"/>
        </w:rPr>
        <w:t>89 FR 34249</w:t>
      </w:r>
      <w:r w:rsidR="004D7E54">
        <w:rPr>
          <w:szCs w:val="24"/>
        </w:rPr>
        <w:t>)</w:t>
      </w:r>
      <w:r w:rsidR="00321827">
        <w:rPr>
          <w:szCs w:val="24"/>
        </w:rPr>
        <w:t>.</w:t>
      </w:r>
      <w:r w:rsidR="00321827">
        <w:rPr>
          <w:szCs w:val="24"/>
        </w:rPr>
        <w:t xml:space="preserve"> The 30-day comment period closed on May 30, 2024.</w:t>
      </w:r>
    </w:p>
    <w:p w:rsidR="00D65F5A" w:rsidRPr="004D4946" w:rsidP="00D65F5A" w14:paraId="56F47452" w14:textId="77777777">
      <w:pPr>
        <w:rPr>
          <w:szCs w:val="24"/>
        </w:rPr>
      </w:pPr>
    </w:p>
    <w:p w:rsidR="00D65F5A" w:rsidRPr="004D4946" w:rsidP="00D65F5A" w14:paraId="7B1F459A" w14:textId="31CBD2D6">
      <w:pPr>
        <w:rPr>
          <w:szCs w:val="24"/>
        </w:rPr>
      </w:pPr>
      <w:r w:rsidRPr="004D4946">
        <w:rPr>
          <w:szCs w:val="24"/>
        </w:rPr>
        <w:t xml:space="preserve">The PRA package contains the RxDC Reporting Forms that issuers must file with CMS each year by June 1 and the accompanying Reporting Instructions. The PRA package modifies the RxDC Reporting Instructions </w:t>
      </w:r>
      <w:r w:rsidR="00A97A82">
        <w:rPr>
          <w:szCs w:val="24"/>
        </w:rPr>
        <w:t>that</w:t>
      </w:r>
      <w:r w:rsidRPr="004D4946">
        <w:rPr>
          <w:szCs w:val="24"/>
        </w:rPr>
        <w:t xml:space="preserve"> </w:t>
      </w:r>
      <w:r w:rsidR="00A97A82">
        <w:rPr>
          <w:szCs w:val="24"/>
        </w:rPr>
        <w:t>were</w:t>
      </w:r>
      <w:r w:rsidRPr="004D4946">
        <w:rPr>
          <w:szCs w:val="24"/>
        </w:rPr>
        <w:t xml:space="preserve"> previously approved by OMB under OMB Control Number 0938-1407. </w:t>
      </w:r>
    </w:p>
    <w:p w:rsidR="00D65F5A" w:rsidRPr="004D4946" w:rsidP="00D65F5A" w14:paraId="79BE20A6" w14:textId="77777777">
      <w:pPr>
        <w:rPr>
          <w:szCs w:val="24"/>
        </w:rPr>
      </w:pPr>
    </w:p>
    <w:p w:rsidR="00D65F5A" w:rsidP="00D65F5A" w14:paraId="0DF77C50" w14:textId="11FC0624">
      <w:pPr>
        <w:rPr>
          <w:szCs w:val="24"/>
        </w:rPr>
      </w:pPr>
      <w:r w:rsidRPr="004D4946">
        <w:rPr>
          <w:szCs w:val="24"/>
        </w:rPr>
        <w:t>The comments addressed clarification of the instructions</w:t>
      </w:r>
      <w:r w:rsidRPr="004D4946" w:rsidR="00A407CD">
        <w:rPr>
          <w:szCs w:val="24"/>
        </w:rPr>
        <w:t xml:space="preserve"> and conveyed concerns about </w:t>
      </w:r>
      <w:r w:rsidR="00252DFE">
        <w:rPr>
          <w:szCs w:val="24"/>
        </w:rPr>
        <w:t xml:space="preserve">data quality, </w:t>
      </w:r>
      <w:r w:rsidRPr="004D4946" w:rsidR="00A407CD">
        <w:rPr>
          <w:szCs w:val="24"/>
        </w:rPr>
        <w:t xml:space="preserve">reporting </w:t>
      </w:r>
      <w:r w:rsidRPr="004D4946" w:rsidR="00252DFE">
        <w:rPr>
          <w:szCs w:val="24"/>
        </w:rPr>
        <w:t>burden</w:t>
      </w:r>
      <w:r w:rsidR="00252DFE">
        <w:rPr>
          <w:szCs w:val="24"/>
        </w:rPr>
        <w:t>,</w:t>
      </w:r>
      <w:r w:rsidRPr="004D4946" w:rsidR="00A407CD">
        <w:rPr>
          <w:szCs w:val="24"/>
        </w:rPr>
        <w:t xml:space="preserve"> and the submission deadline.</w:t>
      </w:r>
      <w:r w:rsidRPr="004D4946">
        <w:rPr>
          <w:szCs w:val="24"/>
        </w:rPr>
        <w:t xml:space="preserve"> The summary below sets forth each comment and our response.</w:t>
      </w:r>
    </w:p>
    <w:p w:rsidR="00EC3181" w:rsidP="00D65F5A" w14:paraId="21D0C251" w14:textId="77777777">
      <w:pPr>
        <w:rPr>
          <w:szCs w:val="24"/>
        </w:rPr>
      </w:pPr>
    </w:p>
    <w:p w:rsidR="001C2E8E" w:rsidRPr="0008163A" w:rsidP="0008163A" w14:paraId="6BC99C77" w14:textId="0F6CFB3F">
      <w:pPr>
        <w:pStyle w:val="Heading2"/>
        <w:rPr>
          <w:rFonts w:cs="Times New Roman"/>
          <w:szCs w:val="24"/>
        </w:rPr>
      </w:pPr>
      <w:bookmarkStart w:id="1" w:name="_Toc161663797"/>
      <w:r w:rsidRPr="004D4946">
        <w:rPr>
          <w:rFonts w:cs="Times New Roman"/>
          <w:szCs w:val="24"/>
        </w:rPr>
        <w:t xml:space="preserve">Comments on the 2023 </w:t>
      </w:r>
      <w:r w:rsidR="00280537">
        <w:rPr>
          <w:rFonts w:cs="Times New Roman"/>
          <w:szCs w:val="24"/>
        </w:rPr>
        <w:t xml:space="preserve">Prescription </w:t>
      </w:r>
      <w:r w:rsidRPr="004D4946">
        <w:rPr>
          <w:rFonts w:cs="Times New Roman"/>
          <w:szCs w:val="24"/>
        </w:rPr>
        <w:t>Drug Data Collection (RxDC) Reporting Instructions and Templates</w:t>
      </w:r>
      <w:bookmarkStart w:id="2" w:name="_Hlk146288081"/>
      <w:bookmarkEnd w:id="1"/>
    </w:p>
    <w:bookmarkEnd w:id="2"/>
    <w:p w:rsidR="00D65F5A" w:rsidP="00D65F5A" w14:paraId="2D75BA5F" w14:textId="066A2456">
      <w:pPr>
        <w:pStyle w:val="ListParagraph"/>
        <w:widowControl/>
        <w:numPr>
          <w:ilvl w:val="0"/>
          <w:numId w:val="2"/>
        </w:numPr>
        <w:rPr>
          <w:szCs w:val="24"/>
        </w:rPr>
      </w:pPr>
      <w:r>
        <w:rPr>
          <w:szCs w:val="24"/>
        </w:rPr>
        <w:t>All four</w:t>
      </w:r>
      <w:r w:rsidRPr="00E77F4D">
        <w:rPr>
          <w:szCs w:val="24"/>
        </w:rPr>
        <w:t xml:space="preserve"> comments </w:t>
      </w:r>
      <w:r w:rsidR="00A370BA">
        <w:rPr>
          <w:szCs w:val="24"/>
        </w:rPr>
        <w:t xml:space="preserve">on the 60-day package and </w:t>
      </w:r>
      <w:r w:rsidR="00304F32">
        <w:rPr>
          <w:szCs w:val="24"/>
        </w:rPr>
        <w:t>two comments on the 3</w:t>
      </w:r>
      <w:r w:rsidR="00304F32">
        <w:rPr>
          <w:szCs w:val="24"/>
        </w:rPr>
        <w:t xml:space="preserve">0-day package </w:t>
      </w:r>
      <w:r w:rsidR="00E77F4D">
        <w:rPr>
          <w:szCs w:val="24"/>
        </w:rPr>
        <w:t>request</w:t>
      </w:r>
      <w:r>
        <w:rPr>
          <w:szCs w:val="24"/>
        </w:rPr>
        <w:t>ed</w:t>
      </w:r>
      <w:r w:rsidR="00E77F4D">
        <w:rPr>
          <w:szCs w:val="24"/>
        </w:rPr>
        <w:t xml:space="preserve"> that </w:t>
      </w:r>
      <w:r w:rsidRPr="00E77F4D">
        <w:rPr>
          <w:szCs w:val="24"/>
        </w:rPr>
        <w:t xml:space="preserve">the </w:t>
      </w:r>
      <w:r w:rsidR="00E77F4D">
        <w:rPr>
          <w:szCs w:val="24"/>
        </w:rPr>
        <w:t xml:space="preserve">Departments </w:t>
      </w:r>
      <w:r w:rsidR="00010776">
        <w:rPr>
          <w:szCs w:val="24"/>
        </w:rPr>
        <w:t>obtain OMB approval</w:t>
      </w:r>
      <w:r>
        <w:rPr>
          <w:szCs w:val="24"/>
        </w:rPr>
        <w:t xml:space="preserve"> and publish </w:t>
      </w:r>
      <w:r w:rsidR="00010776">
        <w:rPr>
          <w:szCs w:val="24"/>
        </w:rPr>
        <w:t xml:space="preserve">finalized </w:t>
      </w:r>
      <w:r w:rsidR="00E77F4D">
        <w:rPr>
          <w:szCs w:val="24"/>
        </w:rPr>
        <w:t xml:space="preserve">changes to the </w:t>
      </w:r>
      <w:r w:rsidRPr="00E77F4D">
        <w:rPr>
          <w:szCs w:val="24"/>
        </w:rPr>
        <w:t xml:space="preserve">reporting instructions </w:t>
      </w:r>
      <w:r>
        <w:rPr>
          <w:szCs w:val="24"/>
        </w:rPr>
        <w:t>at least six to 12 months in advance of the reporting deadline</w:t>
      </w:r>
      <w:r w:rsidR="007E36AC">
        <w:rPr>
          <w:szCs w:val="24"/>
        </w:rPr>
        <w:t>. Commenters</w:t>
      </w:r>
      <w:r>
        <w:rPr>
          <w:szCs w:val="24"/>
        </w:rPr>
        <w:t xml:space="preserve"> </w:t>
      </w:r>
      <w:r w:rsidRPr="004D4946" w:rsidR="007E36AC">
        <w:rPr>
          <w:szCs w:val="24"/>
        </w:rPr>
        <w:t xml:space="preserve">expressed concern about the ability of </w:t>
      </w:r>
      <w:r w:rsidR="007E36AC">
        <w:rPr>
          <w:szCs w:val="24"/>
        </w:rPr>
        <w:t xml:space="preserve">the </w:t>
      </w:r>
      <w:r w:rsidRPr="004D4946" w:rsidR="007E36AC">
        <w:rPr>
          <w:szCs w:val="24"/>
        </w:rPr>
        <w:t>reporting entities to accurate</w:t>
      </w:r>
      <w:r w:rsidR="007E36AC">
        <w:rPr>
          <w:szCs w:val="24"/>
        </w:rPr>
        <w:t>ly implement the changes</w:t>
      </w:r>
      <w:r w:rsidR="00122724">
        <w:rPr>
          <w:szCs w:val="24"/>
        </w:rPr>
        <w:t>,</w:t>
      </w:r>
      <w:r w:rsidRPr="004D4946" w:rsidR="007E36AC">
        <w:rPr>
          <w:szCs w:val="24"/>
        </w:rPr>
        <w:t xml:space="preserve"> </w:t>
      </w:r>
      <w:r w:rsidR="007E36AC">
        <w:rPr>
          <w:szCs w:val="24"/>
        </w:rPr>
        <w:t>given that this data collection involves</w:t>
      </w:r>
      <w:r>
        <w:rPr>
          <w:szCs w:val="24"/>
        </w:rPr>
        <w:t xml:space="preserve"> data sharing </w:t>
      </w:r>
      <w:r w:rsidR="007E36AC">
        <w:rPr>
          <w:szCs w:val="24"/>
        </w:rPr>
        <w:t xml:space="preserve">and coordination </w:t>
      </w:r>
      <w:r>
        <w:rPr>
          <w:szCs w:val="24"/>
        </w:rPr>
        <w:t xml:space="preserve">among </w:t>
      </w:r>
      <w:r w:rsidR="0013115A">
        <w:rPr>
          <w:szCs w:val="24"/>
        </w:rPr>
        <w:t>multiple enti</w:t>
      </w:r>
      <w:r>
        <w:rPr>
          <w:szCs w:val="24"/>
        </w:rPr>
        <w:t>ties</w:t>
      </w:r>
      <w:r w:rsidR="00E77F4D">
        <w:rPr>
          <w:szCs w:val="24"/>
        </w:rPr>
        <w:t xml:space="preserve">. </w:t>
      </w:r>
      <w:r w:rsidR="00544DF7">
        <w:rPr>
          <w:szCs w:val="24"/>
        </w:rPr>
        <w:t xml:space="preserve">One comment </w:t>
      </w:r>
      <w:r w:rsidR="008505B9">
        <w:rPr>
          <w:szCs w:val="24"/>
        </w:rPr>
        <w:t xml:space="preserve">requested </w:t>
      </w:r>
      <w:r w:rsidR="00544DF7">
        <w:rPr>
          <w:szCs w:val="24"/>
        </w:rPr>
        <w:t xml:space="preserve">that the Departments </w:t>
      </w:r>
      <w:r w:rsidR="008505B9">
        <w:rPr>
          <w:szCs w:val="24"/>
        </w:rPr>
        <w:t xml:space="preserve">provide more details for the </w:t>
      </w:r>
      <w:r w:rsidR="00544DF7">
        <w:rPr>
          <w:szCs w:val="24"/>
        </w:rPr>
        <w:t>changes</w:t>
      </w:r>
      <w:r w:rsidR="008505B9">
        <w:rPr>
          <w:szCs w:val="24"/>
        </w:rPr>
        <w:t xml:space="preserve"> from </w:t>
      </w:r>
      <w:r w:rsidR="008505B9">
        <w:rPr>
          <w:szCs w:val="24"/>
        </w:rPr>
        <w:t xml:space="preserve">the previous version to the updated </w:t>
      </w:r>
      <w:r w:rsidR="00E131B6">
        <w:rPr>
          <w:szCs w:val="24"/>
        </w:rPr>
        <w:t xml:space="preserve">version </w:t>
      </w:r>
      <w:r w:rsidR="008505B9">
        <w:rPr>
          <w:szCs w:val="24"/>
        </w:rPr>
        <w:t xml:space="preserve">of the instructions. </w:t>
      </w:r>
      <w:r w:rsidR="007E36AC">
        <w:rPr>
          <w:szCs w:val="24"/>
        </w:rPr>
        <w:t>On</w:t>
      </w:r>
      <w:r w:rsidRPr="004D4946" w:rsidR="007E36AC">
        <w:rPr>
          <w:szCs w:val="24"/>
        </w:rPr>
        <w:t xml:space="preserve">e comment </w:t>
      </w:r>
      <w:r w:rsidR="0008163A">
        <w:rPr>
          <w:szCs w:val="24"/>
        </w:rPr>
        <w:t>sugg</w:t>
      </w:r>
      <w:r w:rsidRPr="004D4946" w:rsidR="007E36AC">
        <w:rPr>
          <w:szCs w:val="24"/>
        </w:rPr>
        <w:t xml:space="preserve">ested that </w:t>
      </w:r>
      <w:r w:rsidR="0008163A">
        <w:rPr>
          <w:szCs w:val="24"/>
        </w:rPr>
        <w:t xml:space="preserve">in the alternative, </w:t>
      </w:r>
      <w:r w:rsidRPr="004D4946" w:rsidR="007E36AC">
        <w:rPr>
          <w:szCs w:val="24"/>
        </w:rPr>
        <w:t xml:space="preserve">the Departments </w:t>
      </w:r>
      <w:r w:rsidR="00D76CC2">
        <w:rPr>
          <w:szCs w:val="24"/>
        </w:rPr>
        <w:t xml:space="preserve">should </w:t>
      </w:r>
      <w:r w:rsidRPr="004D4946" w:rsidR="007E36AC">
        <w:rPr>
          <w:szCs w:val="24"/>
        </w:rPr>
        <w:t xml:space="preserve">grant good faith reporting relief </w:t>
      </w:r>
      <w:r w:rsidR="007E36AC">
        <w:rPr>
          <w:szCs w:val="24"/>
        </w:rPr>
        <w:t xml:space="preserve">and/or </w:t>
      </w:r>
      <w:r w:rsidRPr="004D4946" w:rsidR="007E36AC">
        <w:rPr>
          <w:szCs w:val="24"/>
        </w:rPr>
        <w:t>defer enforcement of the June 1</w:t>
      </w:r>
      <w:r w:rsidR="007E36AC">
        <w:rPr>
          <w:szCs w:val="24"/>
        </w:rPr>
        <w:t>,</w:t>
      </w:r>
      <w:r w:rsidRPr="004D4946" w:rsidR="007E36AC">
        <w:rPr>
          <w:szCs w:val="24"/>
        </w:rPr>
        <w:t xml:space="preserve"> 202</w:t>
      </w:r>
      <w:r w:rsidR="007E36AC">
        <w:rPr>
          <w:szCs w:val="24"/>
        </w:rPr>
        <w:t>4</w:t>
      </w:r>
      <w:r w:rsidRPr="004D4946" w:rsidR="007E36AC">
        <w:rPr>
          <w:szCs w:val="24"/>
        </w:rPr>
        <w:t xml:space="preserve"> deadline.</w:t>
      </w:r>
      <w:r w:rsidR="007E36AC">
        <w:rPr>
          <w:szCs w:val="24"/>
        </w:rPr>
        <w:t xml:space="preserve"> </w:t>
      </w:r>
      <w:r w:rsidR="00010776">
        <w:rPr>
          <w:szCs w:val="24"/>
        </w:rPr>
        <w:t>Two</w:t>
      </w:r>
      <w:r w:rsidRPr="004D4946" w:rsidR="00E77F4D">
        <w:rPr>
          <w:szCs w:val="24"/>
        </w:rPr>
        <w:t xml:space="preserve"> comments </w:t>
      </w:r>
      <w:r w:rsidR="00010776">
        <w:rPr>
          <w:szCs w:val="24"/>
        </w:rPr>
        <w:t>additionally re</w:t>
      </w:r>
      <w:r w:rsidR="0008163A">
        <w:rPr>
          <w:szCs w:val="24"/>
        </w:rPr>
        <w:t>commend</w:t>
      </w:r>
      <w:r w:rsidRPr="004D4946" w:rsidR="00E77F4D">
        <w:rPr>
          <w:szCs w:val="24"/>
        </w:rPr>
        <w:t xml:space="preserve">ed that the Departments </w:t>
      </w:r>
      <w:r w:rsidR="00010776">
        <w:rPr>
          <w:szCs w:val="24"/>
        </w:rPr>
        <w:t>begin holding</w:t>
      </w:r>
      <w:r w:rsidRPr="004D4946" w:rsidR="00E77F4D">
        <w:rPr>
          <w:szCs w:val="24"/>
        </w:rPr>
        <w:t xml:space="preserve"> webinars </w:t>
      </w:r>
      <w:r w:rsidR="00010776">
        <w:rPr>
          <w:szCs w:val="24"/>
        </w:rPr>
        <w:t>with stakeholders five to seven days after publishing the proposed changes to the instructions</w:t>
      </w:r>
      <w:r w:rsidRPr="004D4946" w:rsidR="00E77F4D">
        <w:rPr>
          <w:szCs w:val="24"/>
        </w:rPr>
        <w:t>.</w:t>
      </w:r>
    </w:p>
    <w:p w:rsidR="00E77F4D" w:rsidRPr="00E77F4D" w:rsidP="00E77F4D" w14:paraId="0C21795C" w14:textId="77777777">
      <w:pPr>
        <w:pStyle w:val="ListParagraph"/>
        <w:widowControl/>
        <w:ind w:left="450"/>
        <w:rPr>
          <w:szCs w:val="24"/>
        </w:rPr>
      </w:pPr>
    </w:p>
    <w:p w:rsidR="00D65F5A" w:rsidRPr="004D4946" w:rsidP="00D65F5A" w14:paraId="187B99F8" w14:textId="77777777">
      <w:pPr>
        <w:pStyle w:val="ListParagraph"/>
        <w:widowControl/>
        <w:ind w:left="450"/>
        <w:rPr>
          <w:szCs w:val="24"/>
          <w:u w:val="single"/>
        </w:rPr>
      </w:pPr>
      <w:r w:rsidRPr="004D4946">
        <w:rPr>
          <w:szCs w:val="24"/>
          <w:u w:val="single"/>
        </w:rPr>
        <w:t>Response</w:t>
      </w:r>
    </w:p>
    <w:p w:rsidR="00E77F4D" w:rsidRPr="00E77F4D" w:rsidP="00E77F4D" w14:paraId="4837975E" w14:textId="69612BCF">
      <w:pPr>
        <w:widowControl/>
        <w:ind w:left="450"/>
        <w:rPr>
          <w:szCs w:val="24"/>
        </w:rPr>
      </w:pPr>
      <w:r>
        <w:rPr>
          <w:szCs w:val="24"/>
        </w:rPr>
        <w:t xml:space="preserve">The Departments </w:t>
      </w:r>
      <w:r w:rsidRPr="007E36AC">
        <w:rPr>
          <w:szCs w:val="24"/>
        </w:rPr>
        <w:t>appreciate concern</w:t>
      </w:r>
      <w:r>
        <w:rPr>
          <w:szCs w:val="24"/>
        </w:rPr>
        <w:t>s</w:t>
      </w:r>
      <w:r w:rsidRPr="007E36AC">
        <w:rPr>
          <w:szCs w:val="24"/>
        </w:rPr>
        <w:t xml:space="preserve"> expressed by th</w:t>
      </w:r>
      <w:r>
        <w:rPr>
          <w:szCs w:val="24"/>
        </w:rPr>
        <w:t>e</w:t>
      </w:r>
      <w:r w:rsidRPr="007E36AC">
        <w:rPr>
          <w:szCs w:val="24"/>
        </w:rPr>
        <w:t xml:space="preserve"> commenter</w:t>
      </w:r>
      <w:r>
        <w:rPr>
          <w:szCs w:val="24"/>
        </w:rPr>
        <w:t xml:space="preserve">s and </w:t>
      </w:r>
      <w:r w:rsidR="00902BFA">
        <w:rPr>
          <w:szCs w:val="24"/>
        </w:rPr>
        <w:t>acknowledg</w:t>
      </w:r>
      <w:r>
        <w:rPr>
          <w:szCs w:val="24"/>
        </w:rPr>
        <w:t xml:space="preserve">e the challenges faced by the reporting entities and the potential impact </w:t>
      </w:r>
      <w:r w:rsidR="0008163A">
        <w:rPr>
          <w:szCs w:val="24"/>
        </w:rPr>
        <w:t xml:space="preserve">of the current timeline on </w:t>
      </w:r>
      <w:r w:rsidR="0008163A">
        <w:rPr>
          <w:szCs w:val="24"/>
        </w:rPr>
        <w:t>the quality of the reported data.</w:t>
      </w:r>
      <w:r w:rsidRPr="007E36AC">
        <w:rPr>
          <w:szCs w:val="24"/>
        </w:rPr>
        <w:t xml:space="preserve"> </w:t>
      </w:r>
      <w:r>
        <w:rPr>
          <w:szCs w:val="24"/>
        </w:rPr>
        <w:t>The Departments will</w:t>
      </w:r>
      <w:r w:rsidRPr="004D4946">
        <w:rPr>
          <w:szCs w:val="24"/>
        </w:rPr>
        <w:t xml:space="preserve"> </w:t>
      </w:r>
      <w:r w:rsidR="00010776">
        <w:rPr>
          <w:szCs w:val="24"/>
        </w:rPr>
        <w:t xml:space="preserve">continue to </w:t>
      </w:r>
      <w:r w:rsidRPr="004D4946">
        <w:rPr>
          <w:szCs w:val="24"/>
        </w:rPr>
        <w:t>strive to</w:t>
      </w:r>
      <w:r w:rsidR="00010776">
        <w:rPr>
          <w:szCs w:val="24"/>
        </w:rPr>
        <w:t xml:space="preserve"> finalize changes to the instructions significantly in advance of the reporting deadline</w:t>
      </w:r>
      <w:r w:rsidR="00544DF7">
        <w:rPr>
          <w:szCs w:val="24"/>
        </w:rPr>
        <w:t xml:space="preserve"> and </w:t>
      </w:r>
      <w:r w:rsidR="00544DF7">
        <w:rPr>
          <w:szCs w:val="24"/>
        </w:rPr>
        <w:t xml:space="preserve">list all </w:t>
      </w:r>
      <w:r w:rsidR="008505B9">
        <w:rPr>
          <w:szCs w:val="24"/>
        </w:rPr>
        <w:t xml:space="preserve">of the </w:t>
      </w:r>
      <w:r w:rsidR="00544DF7">
        <w:rPr>
          <w:szCs w:val="24"/>
        </w:rPr>
        <w:t>change</w:t>
      </w:r>
      <w:r w:rsidR="008505B9">
        <w:rPr>
          <w:szCs w:val="24"/>
        </w:rPr>
        <w:t>s, not just the highlights, and explore other ways to improve the vi</w:t>
      </w:r>
      <w:r w:rsidR="008505B9">
        <w:rPr>
          <w:szCs w:val="24"/>
        </w:rPr>
        <w:t>sibility of the changes</w:t>
      </w:r>
      <w:r w:rsidR="00010776">
        <w:rPr>
          <w:szCs w:val="24"/>
        </w:rPr>
        <w:t>. As the program matures, the Departments also anticipate that the need for clarifications and for substantive changes will diminish.</w:t>
      </w:r>
      <w:r w:rsidRPr="004D4946">
        <w:rPr>
          <w:szCs w:val="24"/>
        </w:rPr>
        <w:t xml:space="preserve"> </w:t>
      </w:r>
      <w:r w:rsidR="00010776">
        <w:rPr>
          <w:szCs w:val="24"/>
        </w:rPr>
        <w:t xml:space="preserve">In addition, the Departments agree with the recommendation to </w:t>
      </w:r>
      <w:r w:rsidRPr="004D4946">
        <w:rPr>
          <w:szCs w:val="24"/>
        </w:rPr>
        <w:t xml:space="preserve">host webinars </w:t>
      </w:r>
      <w:r w:rsidR="00010776">
        <w:rPr>
          <w:szCs w:val="24"/>
        </w:rPr>
        <w:t>shortly after release of the proposed changes to the instructions, and will seek to do so, subject to resource availability</w:t>
      </w:r>
      <w:r>
        <w:rPr>
          <w:szCs w:val="24"/>
        </w:rPr>
        <w:t xml:space="preserve">. </w:t>
      </w:r>
    </w:p>
    <w:p w:rsidR="00E77F4D" w:rsidRPr="004D4946" w:rsidP="00846647" w14:paraId="732F36F8" w14:textId="77777777">
      <w:pPr>
        <w:pStyle w:val="ListParagraph"/>
        <w:widowControl/>
        <w:ind w:left="450"/>
        <w:rPr>
          <w:szCs w:val="24"/>
        </w:rPr>
      </w:pPr>
    </w:p>
    <w:p w:rsidR="00D65F5A" w:rsidRPr="004D4946" w:rsidP="00D65F5A" w14:paraId="6D0FAE6D" w14:textId="44A911A8">
      <w:pPr>
        <w:pStyle w:val="ListParagraph"/>
        <w:widowControl/>
        <w:numPr>
          <w:ilvl w:val="0"/>
          <w:numId w:val="2"/>
        </w:numPr>
        <w:rPr>
          <w:szCs w:val="24"/>
        </w:rPr>
      </w:pPr>
      <w:r w:rsidRPr="004D4946">
        <w:rPr>
          <w:szCs w:val="24"/>
        </w:rPr>
        <w:t>Three comments</w:t>
      </w:r>
      <w:r w:rsidR="00153A39">
        <w:rPr>
          <w:szCs w:val="24"/>
        </w:rPr>
        <w:t xml:space="preserve"> on the 60-day package</w:t>
      </w:r>
      <w:r w:rsidRPr="004D4946">
        <w:rPr>
          <w:szCs w:val="24"/>
        </w:rPr>
        <w:t xml:space="preserve"> </w:t>
      </w:r>
      <w:r w:rsidR="0008163A">
        <w:rPr>
          <w:szCs w:val="24"/>
        </w:rPr>
        <w:t>requested that the Departments continue to suspend enforcement of the aggregation restriction for another year</w:t>
      </w:r>
      <w:r w:rsidR="00534B9A">
        <w:rPr>
          <w:szCs w:val="24"/>
        </w:rPr>
        <w:t xml:space="preserve"> (until June 2025)</w:t>
      </w:r>
      <w:r w:rsidR="00715EFE">
        <w:rPr>
          <w:szCs w:val="24"/>
        </w:rPr>
        <w:t xml:space="preserve">, as it requires extensive coordination across multiple reporting entities and their clients </w:t>
      </w:r>
      <w:r w:rsidR="00AC1ABB">
        <w:rPr>
          <w:szCs w:val="24"/>
        </w:rPr>
        <w:t xml:space="preserve">within a </w:t>
      </w:r>
      <w:r w:rsidR="001A31C9">
        <w:rPr>
          <w:szCs w:val="24"/>
        </w:rPr>
        <w:t>constrain</w:t>
      </w:r>
      <w:r w:rsidR="00AC1ABB">
        <w:rPr>
          <w:szCs w:val="24"/>
        </w:rPr>
        <w:t>ed timeframe</w:t>
      </w:r>
      <w:r w:rsidR="0008163A">
        <w:rPr>
          <w:szCs w:val="24"/>
        </w:rPr>
        <w:t>.</w:t>
      </w:r>
      <w:r w:rsidR="00AC1ABB">
        <w:rPr>
          <w:szCs w:val="24"/>
        </w:rPr>
        <w:t xml:space="preserve"> Two comments </w:t>
      </w:r>
      <w:r w:rsidR="001E6AB4">
        <w:rPr>
          <w:szCs w:val="24"/>
        </w:rPr>
        <w:t>similarly requested that the Departments defer enforcement of the requirement to report pharmacy benefit</w:t>
      </w:r>
      <w:r w:rsidR="001A31C9">
        <w:rPr>
          <w:szCs w:val="24"/>
        </w:rPr>
        <w:t>s enrollment on the D6 template</w:t>
      </w:r>
      <w:r w:rsidR="00902BFA">
        <w:rPr>
          <w:szCs w:val="24"/>
        </w:rPr>
        <w:t xml:space="preserve"> for a year</w:t>
      </w:r>
      <w:r w:rsidR="001E6AB4">
        <w:rPr>
          <w:szCs w:val="24"/>
        </w:rPr>
        <w:t xml:space="preserve">, </w:t>
      </w:r>
      <w:r w:rsidR="00AC1ABB">
        <w:rPr>
          <w:szCs w:val="24"/>
        </w:rPr>
        <w:t>express</w:t>
      </w:r>
      <w:r w:rsidR="001E6AB4">
        <w:rPr>
          <w:szCs w:val="24"/>
        </w:rPr>
        <w:t>ing</w:t>
      </w:r>
      <w:r w:rsidR="00AC1ABB">
        <w:rPr>
          <w:szCs w:val="24"/>
        </w:rPr>
        <w:t xml:space="preserve"> concerns with the ability to </w:t>
      </w:r>
      <w:r w:rsidR="00902BFA">
        <w:rPr>
          <w:szCs w:val="24"/>
        </w:rPr>
        <w:t xml:space="preserve">implement </w:t>
      </w:r>
      <w:r w:rsidR="001A31C9">
        <w:rPr>
          <w:szCs w:val="24"/>
        </w:rPr>
        <w:t xml:space="preserve">this </w:t>
      </w:r>
      <w:r w:rsidR="00902BFA">
        <w:rPr>
          <w:szCs w:val="24"/>
        </w:rPr>
        <w:t xml:space="preserve">timely, and seeking clarification regarding </w:t>
      </w:r>
      <w:r w:rsidR="001A31C9">
        <w:rPr>
          <w:szCs w:val="24"/>
        </w:rPr>
        <w:t>enrollment</w:t>
      </w:r>
      <w:r w:rsidR="00902BFA">
        <w:rPr>
          <w:szCs w:val="24"/>
        </w:rPr>
        <w:t xml:space="preserve"> methodology.</w:t>
      </w:r>
      <w:r w:rsidR="00AF3A0B">
        <w:rPr>
          <w:szCs w:val="24"/>
        </w:rPr>
        <w:t xml:space="preserve"> </w:t>
      </w:r>
    </w:p>
    <w:p w:rsidR="00D65F5A" w:rsidRPr="004D4946" w:rsidP="00D65F5A" w14:paraId="0DA36F55" w14:textId="77777777">
      <w:pPr>
        <w:ind w:left="360"/>
        <w:rPr>
          <w:szCs w:val="24"/>
        </w:rPr>
      </w:pPr>
    </w:p>
    <w:p w:rsidR="00D65F5A" w:rsidRPr="004D4946" w:rsidP="00D65F5A" w14:paraId="51F2D14A" w14:textId="77777777">
      <w:pPr>
        <w:ind w:left="450"/>
        <w:rPr>
          <w:szCs w:val="24"/>
          <w:u w:val="single"/>
        </w:rPr>
      </w:pPr>
      <w:r w:rsidRPr="004D4946">
        <w:rPr>
          <w:szCs w:val="24"/>
          <w:u w:val="single"/>
        </w:rPr>
        <w:t>Response</w:t>
      </w:r>
    </w:p>
    <w:p w:rsidR="006A3EBF" w:rsidRPr="004D4946" w:rsidP="00D65F5A" w14:paraId="42AEBB20" w14:textId="2FCB9E09">
      <w:pPr>
        <w:pStyle w:val="ListParagraph"/>
        <w:ind w:left="450"/>
        <w:rPr>
          <w:szCs w:val="24"/>
        </w:rPr>
      </w:pPr>
      <w:r>
        <w:rPr>
          <w:szCs w:val="24"/>
        </w:rPr>
        <w:t xml:space="preserve">The Departments note that the aggregation restriction is a requirement in the regulations as well as the initial reporting instructions, and its suspension was specific to the initial reporting years. </w:t>
      </w:r>
      <w:r w:rsidR="00D03ECB">
        <w:rPr>
          <w:szCs w:val="24"/>
        </w:rPr>
        <w:t>In addition, g</w:t>
      </w:r>
      <w:r>
        <w:rPr>
          <w:szCs w:val="24"/>
        </w:rPr>
        <w:t xml:space="preserve">iven the </w:t>
      </w:r>
      <w:r w:rsidR="001A31C9">
        <w:rPr>
          <w:szCs w:val="24"/>
        </w:rPr>
        <w:t>difficultie</w:t>
      </w:r>
      <w:r>
        <w:rPr>
          <w:szCs w:val="24"/>
        </w:rPr>
        <w:t xml:space="preserve">s </w:t>
      </w:r>
      <w:r w:rsidR="001A31C9">
        <w:rPr>
          <w:szCs w:val="24"/>
        </w:rPr>
        <w:t>encountered by</w:t>
      </w:r>
      <w:r>
        <w:rPr>
          <w:szCs w:val="24"/>
        </w:rPr>
        <w:t xml:space="preserve"> the Departments in </w:t>
      </w:r>
      <w:r w:rsidR="001A31C9">
        <w:rPr>
          <w:szCs w:val="24"/>
        </w:rPr>
        <w:t>analyz</w:t>
      </w:r>
      <w:r>
        <w:rPr>
          <w:szCs w:val="24"/>
        </w:rPr>
        <w:t xml:space="preserve">ing </w:t>
      </w:r>
      <w:r w:rsidR="001A31C9">
        <w:rPr>
          <w:szCs w:val="24"/>
        </w:rPr>
        <w:t>plans’ and issuers’</w:t>
      </w:r>
      <w:r>
        <w:rPr>
          <w:szCs w:val="24"/>
        </w:rPr>
        <w:t xml:space="preserve"> data </w:t>
      </w:r>
      <w:r w:rsidR="001A31C9">
        <w:rPr>
          <w:szCs w:val="24"/>
        </w:rPr>
        <w:t>spread across multiple reporting entities</w:t>
      </w:r>
      <w:r>
        <w:rPr>
          <w:szCs w:val="24"/>
        </w:rPr>
        <w:t xml:space="preserve">, </w:t>
      </w:r>
      <w:r w:rsidR="00D03ECB">
        <w:rPr>
          <w:szCs w:val="24"/>
        </w:rPr>
        <w:t xml:space="preserve">both </w:t>
      </w:r>
      <w:r>
        <w:rPr>
          <w:szCs w:val="24"/>
        </w:rPr>
        <w:t xml:space="preserve">consistent aggregation </w:t>
      </w:r>
      <w:r w:rsidR="001E165C">
        <w:rPr>
          <w:szCs w:val="24"/>
        </w:rPr>
        <w:t>(</w:t>
      </w:r>
      <w:r>
        <w:rPr>
          <w:szCs w:val="24"/>
        </w:rPr>
        <w:t>that will be achieved under the aggregation restriction</w:t>
      </w:r>
      <w:r w:rsidR="001E165C">
        <w:rPr>
          <w:szCs w:val="24"/>
        </w:rPr>
        <w:t>)</w:t>
      </w:r>
      <w:r>
        <w:rPr>
          <w:szCs w:val="24"/>
        </w:rPr>
        <w:t xml:space="preserve"> </w:t>
      </w:r>
      <w:r w:rsidR="00D03ECB">
        <w:rPr>
          <w:szCs w:val="24"/>
        </w:rPr>
        <w:t>and</w:t>
      </w:r>
      <w:r>
        <w:rPr>
          <w:szCs w:val="24"/>
        </w:rPr>
        <w:t xml:space="preserve"> the addition of Rx enrollment</w:t>
      </w:r>
      <w:r w:rsidR="001A31C9">
        <w:rPr>
          <w:szCs w:val="24"/>
        </w:rPr>
        <w:t xml:space="preserve"> to D6</w:t>
      </w:r>
      <w:r>
        <w:rPr>
          <w:szCs w:val="24"/>
        </w:rPr>
        <w:t xml:space="preserve"> are critical</w:t>
      </w:r>
      <w:r w:rsidR="001A31C9">
        <w:rPr>
          <w:szCs w:val="24"/>
        </w:rPr>
        <w:t xml:space="preserve"> to the Departments’ ability and efforts to continue to allow multiple reporting entities to submit the data of plans and issuers.</w:t>
      </w:r>
      <w:r>
        <w:rPr>
          <w:szCs w:val="24"/>
        </w:rPr>
        <w:t xml:space="preserve"> </w:t>
      </w:r>
      <w:r w:rsidR="001A31C9">
        <w:rPr>
          <w:szCs w:val="24"/>
        </w:rPr>
        <w:t>However, t</w:t>
      </w:r>
      <w:r>
        <w:rPr>
          <w:szCs w:val="24"/>
        </w:rPr>
        <w:t xml:space="preserve">he Departments recognize </w:t>
      </w:r>
      <w:r w:rsidR="001A31C9">
        <w:rPr>
          <w:szCs w:val="24"/>
        </w:rPr>
        <w:t xml:space="preserve">that implementation will present </w:t>
      </w:r>
      <w:r w:rsidR="00D03ECB">
        <w:rPr>
          <w:szCs w:val="24"/>
        </w:rPr>
        <w:t xml:space="preserve">stakeholders with </w:t>
      </w:r>
      <w:r w:rsidR="001A31C9">
        <w:rPr>
          <w:szCs w:val="24"/>
        </w:rPr>
        <w:t xml:space="preserve">logistical challenges </w:t>
      </w:r>
      <w:r w:rsidR="00D03ECB">
        <w:rPr>
          <w:szCs w:val="24"/>
        </w:rPr>
        <w:t xml:space="preserve">that may result in reporting entities being able to submit only partially accurate, complete, or consistent data with respect to these two requirements by the June 1, 2024 deadline. </w:t>
      </w:r>
      <w:r w:rsidR="006E451A">
        <w:rPr>
          <w:szCs w:val="24"/>
        </w:rPr>
        <w:t>T</w:t>
      </w:r>
      <w:r w:rsidR="00D03ECB">
        <w:rPr>
          <w:szCs w:val="24"/>
        </w:rPr>
        <w:t>he Departments</w:t>
      </w:r>
      <w:r w:rsidR="00924BDE">
        <w:rPr>
          <w:szCs w:val="24"/>
        </w:rPr>
        <w:t xml:space="preserve">' approach in implementation of this requirement will focus on assisting those </w:t>
      </w:r>
      <w:r w:rsidR="00D03ECB">
        <w:rPr>
          <w:szCs w:val="24"/>
        </w:rPr>
        <w:t>reporting entities</w:t>
      </w:r>
      <w:r w:rsidR="00924BDE">
        <w:rPr>
          <w:szCs w:val="24"/>
        </w:rPr>
        <w:t xml:space="preserve"> who are working diligently and in </w:t>
      </w:r>
      <w:r w:rsidR="00D03ECB">
        <w:rPr>
          <w:szCs w:val="24"/>
        </w:rPr>
        <w:t xml:space="preserve">good faith </w:t>
      </w:r>
      <w:r w:rsidR="00924BDE">
        <w:rPr>
          <w:szCs w:val="24"/>
        </w:rPr>
        <w:t xml:space="preserve">to comply with this requirement </w:t>
      </w:r>
      <w:r w:rsidR="006E451A">
        <w:rPr>
          <w:szCs w:val="24"/>
        </w:rPr>
        <w:t>when reporting data in 2024 and toward achieving full compliance.</w:t>
      </w:r>
      <w:r w:rsidR="00CF5C59">
        <w:rPr>
          <w:szCs w:val="24"/>
        </w:rPr>
        <w:t xml:space="preserve"> The Departments also clarified in the instructions that member months on D6 should be calculated as described in the definition for life-years.</w:t>
      </w:r>
      <w:r w:rsidR="00576F9F">
        <w:rPr>
          <w:szCs w:val="24"/>
        </w:rPr>
        <w:t xml:space="preserve"> </w:t>
      </w:r>
    </w:p>
    <w:p w:rsidR="00D65F5A" w:rsidRPr="004D4946" w:rsidP="00D65F5A" w14:paraId="0EB80DFD" w14:textId="77777777">
      <w:pPr>
        <w:pStyle w:val="ListParagraph"/>
        <w:widowControl/>
        <w:ind w:left="450"/>
        <w:rPr>
          <w:szCs w:val="24"/>
        </w:rPr>
      </w:pPr>
    </w:p>
    <w:p w:rsidR="00D65F5A" w:rsidRPr="004D4946" w:rsidP="00D65F5A" w14:paraId="07477C11" w14:textId="1B7ECB56">
      <w:pPr>
        <w:pStyle w:val="ListParagraph"/>
        <w:widowControl/>
        <w:numPr>
          <w:ilvl w:val="0"/>
          <w:numId w:val="2"/>
        </w:numPr>
        <w:rPr>
          <w:szCs w:val="24"/>
        </w:rPr>
      </w:pPr>
      <w:r w:rsidRPr="004D4946">
        <w:rPr>
          <w:szCs w:val="24"/>
        </w:rPr>
        <w:t>T</w:t>
      </w:r>
      <w:r w:rsidR="009636DC">
        <w:rPr>
          <w:szCs w:val="24"/>
        </w:rPr>
        <w:t>hree</w:t>
      </w:r>
      <w:r w:rsidRPr="004D4946">
        <w:rPr>
          <w:szCs w:val="24"/>
        </w:rPr>
        <w:t xml:space="preserve"> comment</w:t>
      </w:r>
      <w:r w:rsidRPr="004D4946" w:rsidR="0009514F">
        <w:rPr>
          <w:szCs w:val="24"/>
        </w:rPr>
        <w:t>s</w:t>
      </w:r>
      <w:r w:rsidR="00093FFC">
        <w:rPr>
          <w:szCs w:val="24"/>
        </w:rPr>
        <w:t xml:space="preserve"> </w:t>
      </w:r>
      <w:r w:rsidR="00BA4BFC">
        <w:rPr>
          <w:szCs w:val="24"/>
        </w:rPr>
        <w:t xml:space="preserve">on the 60-day </w:t>
      </w:r>
      <w:r w:rsidR="00BA4BFC">
        <w:rPr>
          <w:szCs w:val="24"/>
        </w:rPr>
        <w:t xml:space="preserve">package and one comment on the 30-day package </w:t>
      </w:r>
      <w:r w:rsidR="00093FFC">
        <w:rPr>
          <w:szCs w:val="24"/>
        </w:rPr>
        <w:t xml:space="preserve">related that </w:t>
      </w:r>
      <w:r w:rsidR="00CF5C59">
        <w:rPr>
          <w:szCs w:val="24"/>
        </w:rPr>
        <w:t xml:space="preserve">issuers continue to experience difficulty obtaining </w:t>
      </w:r>
      <w:r w:rsidR="00C710FE">
        <w:rPr>
          <w:szCs w:val="24"/>
        </w:rPr>
        <w:t xml:space="preserve">complete and </w:t>
      </w:r>
      <w:r w:rsidR="00CF5C59">
        <w:rPr>
          <w:szCs w:val="24"/>
        </w:rPr>
        <w:t>accurate employer vs. member premium and other information from group health plans.</w:t>
      </w:r>
      <w:r w:rsidRPr="004D4946">
        <w:rPr>
          <w:szCs w:val="24"/>
        </w:rPr>
        <w:t xml:space="preserve"> </w:t>
      </w:r>
      <w:r w:rsidR="009636DC">
        <w:rPr>
          <w:szCs w:val="24"/>
        </w:rPr>
        <w:t>Two</w:t>
      </w:r>
      <w:r w:rsidR="00093FFC">
        <w:rPr>
          <w:szCs w:val="24"/>
        </w:rPr>
        <w:t xml:space="preserve"> comment</w:t>
      </w:r>
      <w:r w:rsidR="009636DC">
        <w:rPr>
          <w:szCs w:val="24"/>
        </w:rPr>
        <w:t>s</w:t>
      </w:r>
      <w:r w:rsidR="00093FFC">
        <w:rPr>
          <w:szCs w:val="24"/>
        </w:rPr>
        <w:t xml:space="preserve"> </w:t>
      </w:r>
      <w:r w:rsidR="009636DC">
        <w:rPr>
          <w:szCs w:val="24"/>
        </w:rPr>
        <w:t>request</w:t>
      </w:r>
      <w:r w:rsidRPr="004D4946">
        <w:rPr>
          <w:szCs w:val="24"/>
        </w:rPr>
        <w:t xml:space="preserve">ed </w:t>
      </w:r>
      <w:r w:rsidR="009636DC">
        <w:rPr>
          <w:szCs w:val="24"/>
        </w:rPr>
        <w:t>that</w:t>
      </w:r>
      <w:r w:rsidRPr="004D4946">
        <w:rPr>
          <w:szCs w:val="24"/>
        </w:rPr>
        <w:t xml:space="preserve"> the </w:t>
      </w:r>
      <w:r w:rsidR="009636DC">
        <w:rPr>
          <w:szCs w:val="24"/>
        </w:rPr>
        <w:t>instructions clarify</w:t>
      </w:r>
      <w:r w:rsidRPr="004D4946">
        <w:rPr>
          <w:szCs w:val="24"/>
        </w:rPr>
        <w:t xml:space="preserve"> that </w:t>
      </w:r>
      <w:r w:rsidR="009636DC">
        <w:rPr>
          <w:szCs w:val="24"/>
        </w:rPr>
        <w:t>employer group health plans that fail to provide this information to their reporting entities must submit the</w:t>
      </w:r>
      <w:r w:rsidR="00C710FE">
        <w:rPr>
          <w:szCs w:val="24"/>
        </w:rPr>
        <w:t xml:space="preserve"> data directly to the Departments</w:t>
      </w:r>
      <w:r w:rsidRPr="004D4946" w:rsidR="0008163A">
        <w:rPr>
          <w:szCs w:val="24"/>
        </w:rPr>
        <w:t>.</w:t>
      </w:r>
      <w:r w:rsidR="00C710FE">
        <w:rPr>
          <w:szCs w:val="24"/>
        </w:rPr>
        <w:t xml:space="preserve"> </w:t>
      </w:r>
      <w:r w:rsidR="00BA4BFC">
        <w:rPr>
          <w:szCs w:val="24"/>
        </w:rPr>
        <w:t xml:space="preserve">Two </w:t>
      </w:r>
      <w:r w:rsidR="008E5BC6">
        <w:rPr>
          <w:szCs w:val="24"/>
        </w:rPr>
        <w:t>comment</w:t>
      </w:r>
      <w:r w:rsidR="00BA4BFC">
        <w:rPr>
          <w:szCs w:val="24"/>
        </w:rPr>
        <w:t>s</w:t>
      </w:r>
      <w:r w:rsidR="008E5BC6">
        <w:rPr>
          <w:szCs w:val="24"/>
        </w:rPr>
        <w:t xml:space="preserve"> recommended an enforcement safe harbor for reporting entities that are unable to obtain the necessary information from plan sponsors despite a good faith effort, while another comment supported the exclusion of plans that did not provide the necessary information from calculation of average monthly premium in section 6.1 of the proposed instructions. </w:t>
      </w:r>
      <w:r w:rsidR="00C710FE">
        <w:rPr>
          <w:szCs w:val="24"/>
        </w:rPr>
        <w:t xml:space="preserve">One comment noted that the simplified approach of dividing the total annual premium by 12 could lead to misleading numbers </w:t>
      </w:r>
      <w:r w:rsidR="008E5BC6">
        <w:rPr>
          <w:szCs w:val="24"/>
        </w:rPr>
        <w:t>in circumstances involving</w:t>
      </w:r>
      <w:r w:rsidR="00C710FE">
        <w:rPr>
          <w:szCs w:val="24"/>
        </w:rPr>
        <w:t xml:space="preserve"> partial-year data.</w:t>
      </w:r>
    </w:p>
    <w:p w:rsidR="00D65F5A" w:rsidRPr="004D4946" w:rsidP="00D65F5A" w14:paraId="5C6F546B" w14:textId="77777777">
      <w:pPr>
        <w:widowControl/>
        <w:rPr>
          <w:szCs w:val="24"/>
        </w:rPr>
      </w:pPr>
    </w:p>
    <w:p w:rsidR="00D65F5A" w:rsidRPr="004D4946" w:rsidP="00D65F5A" w14:paraId="36066836" w14:textId="77777777">
      <w:pPr>
        <w:ind w:left="450"/>
        <w:rPr>
          <w:szCs w:val="24"/>
          <w:u w:val="single"/>
        </w:rPr>
      </w:pPr>
      <w:r w:rsidRPr="004D4946">
        <w:rPr>
          <w:szCs w:val="24"/>
          <w:u w:val="single"/>
        </w:rPr>
        <w:t>Response</w:t>
      </w:r>
    </w:p>
    <w:p w:rsidR="00047B90" w:rsidP="00A407CD" w14:paraId="5734CD76" w14:textId="002E38F2">
      <w:pPr>
        <w:ind w:left="450"/>
        <w:rPr>
          <w:szCs w:val="24"/>
        </w:rPr>
      </w:pPr>
      <w:r>
        <w:rPr>
          <w:szCs w:val="24"/>
        </w:rPr>
        <w:t xml:space="preserve">The Departments recognize the difficulty faced by issuers in complying with statutory requirements to report data which may not be in their immediate possession and which they may not be able to access despite appropriate contractual arrangements and good faith efforts. The Departments note that section 6.1 directs issuers to exclude plans that did not provide the necessary information from </w:t>
      </w:r>
      <w:r w:rsidR="00754BF9">
        <w:rPr>
          <w:szCs w:val="24"/>
        </w:rPr>
        <w:t xml:space="preserve">the </w:t>
      </w:r>
      <w:r>
        <w:rPr>
          <w:szCs w:val="24"/>
        </w:rPr>
        <w:t xml:space="preserve">calculation of average monthly premium in the issuer’s D1. </w:t>
      </w:r>
      <w:r w:rsidRPr="004D4946" w:rsidR="00863848">
        <w:rPr>
          <w:szCs w:val="24"/>
        </w:rPr>
        <w:t xml:space="preserve">The Departments </w:t>
      </w:r>
      <w:r>
        <w:rPr>
          <w:szCs w:val="24"/>
        </w:rPr>
        <w:t xml:space="preserve">further </w:t>
      </w:r>
      <w:r w:rsidRPr="004D4946" w:rsidR="00863848">
        <w:rPr>
          <w:szCs w:val="24"/>
        </w:rPr>
        <w:t xml:space="preserve">note </w:t>
      </w:r>
      <w:r w:rsidR="00C710FE">
        <w:rPr>
          <w:szCs w:val="24"/>
        </w:rPr>
        <w:t xml:space="preserve">that section 3.8 of the </w:t>
      </w:r>
      <w:r w:rsidR="008E5BC6">
        <w:rPr>
          <w:szCs w:val="24"/>
        </w:rPr>
        <w:t xml:space="preserve">proposed </w:t>
      </w:r>
      <w:r w:rsidR="00C710FE">
        <w:rPr>
          <w:szCs w:val="24"/>
        </w:rPr>
        <w:t>instructions already stated that if an issuer or vendor does not submit P2 and D1 (or other required files) on a plan’s behalf, then the plan must submit P2 and D1 directly to CMS</w:t>
      </w:r>
      <w:r w:rsidRPr="004D4946" w:rsidR="00DB147A">
        <w:rPr>
          <w:szCs w:val="24"/>
        </w:rPr>
        <w:t>.</w:t>
      </w:r>
      <w:r w:rsidR="00C710FE">
        <w:rPr>
          <w:szCs w:val="24"/>
        </w:rPr>
        <w:t xml:space="preserve"> However, the Departments added the same clarification to the d</w:t>
      </w:r>
      <w:r w:rsidR="008E5BC6">
        <w:rPr>
          <w:szCs w:val="24"/>
        </w:rPr>
        <w:t>escript</w:t>
      </w:r>
      <w:r w:rsidR="00C710FE">
        <w:rPr>
          <w:szCs w:val="24"/>
        </w:rPr>
        <w:t>ion of average monthly premium in section 6.1 of the instructions.</w:t>
      </w:r>
      <w:r w:rsidR="008E5BC6">
        <w:rPr>
          <w:szCs w:val="24"/>
        </w:rPr>
        <w:t xml:space="preserve"> The Departments also confirm that division of total premium by 12 in section 6.1 is deliberate as it will enable the Departments to obtain accurate </w:t>
      </w:r>
      <w:r>
        <w:rPr>
          <w:szCs w:val="24"/>
        </w:rPr>
        <w:t xml:space="preserve">and consistent </w:t>
      </w:r>
      <w:r w:rsidR="008E5BC6">
        <w:rPr>
          <w:szCs w:val="24"/>
        </w:rPr>
        <w:t>annualized data in all circumstances.</w:t>
      </w:r>
    </w:p>
    <w:p w:rsidR="00D65F5A" w:rsidRPr="004D4946" w:rsidP="00D65F5A" w14:paraId="5683B136" w14:textId="77777777">
      <w:pPr>
        <w:widowControl/>
        <w:rPr>
          <w:szCs w:val="24"/>
        </w:rPr>
      </w:pPr>
    </w:p>
    <w:p w:rsidR="00D65F5A" w:rsidRPr="00D165E4" w:rsidP="00E77F4D" w14:paraId="3ED521C2" w14:textId="2A1B1C77">
      <w:pPr>
        <w:pStyle w:val="ListParagraph"/>
        <w:widowControl/>
        <w:numPr>
          <w:ilvl w:val="0"/>
          <w:numId w:val="2"/>
        </w:numPr>
        <w:rPr>
          <w:szCs w:val="24"/>
        </w:rPr>
      </w:pPr>
      <w:r>
        <w:rPr>
          <w:szCs w:val="24"/>
        </w:rPr>
        <w:t xml:space="preserve">Two comments </w:t>
      </w:r>
      <w:r w:rsidR="00F04FD2">
        <w:rPr>
          <w:szCs w:val="24"/>
        </w:rPr>
        <w:t>on the 60-day packa</w:t>
      </w:r>
      <w:r w:rsidR="00F04FD2">
        <w:rPr>
          <w:szCs w:val="24"/>
        </w:rPr>
        <w:t xml:space="preserve">ge </w:t>
      </w:r>
      <w:r w:rsidR="000B0511">
        <w:rPr>
          <w:szCs w:val="24"/>
        </w:rPr>
        <w:t>recommended making the Form 5500 Plan Number optional because it is not received or stored by third-party administrator reporting entities and issuers</w:t>
      </w:r>
      <w:r w:rsidRPr="00D165E4" w:rsidR="00EB3BF4">
        <w:rPr>
          <w:szCs w:val="24"/>
        </w:rPr>
        <w:t>.</w:t>
      </w:r>
    </w:p>
    <w:p w:rsidR="00D65F5A" w:rsidRPr="004D4946" w:rsidP="00D65F5A" w14:paraId="117CE7BF" w14:textId="7986FA84">
      <w:pPr>
        <w:pStyle w:val="ListParagraph"/>
        <w:widowControl/>
        <w:ind w:left="450"/>
        <w:rPr>
          <w:szCs w:val="24"/>
        </w:rPr>
      </w:pPr>
    </w:p>
    <w:p w:rsidR="00D65F5A" w:rsidRPr="004D4946" w:rsidP="00D65F5A" w14:paraId="7FD33CCF" w14:textId="6C79B3CB">
      <w:pPr>
        <w:ind w:left="450"/>
        <w:rPr>
          <w:szCs w:val="24"/>
          <w:u w:val="single"/>
        </w:rPr>
      </w:pPr>
      <w:r w:rsidRPr="004D4946">
        <w:rPr>
          <w:szCs w:val="24"/>
          <w:u w:val="single"/>
        </w:rPr>
        <w:t>Response</w:t>
      </w:r>
    </w:p>
    <w:p w:rsidR="00834D34" w:rsidP="00834D34" w14:paraId="0C70A0C6" w14:textId="4ED2D5C6">
      <w:pPr>
        <w:pStyle w:val="ListParagraph"/>
        <w:widowControl/>
        <w:ind w:left="450"/>
        <w:rPr>
          <w:szCs w:val="24"/>
        </w:rPr>
      </w:pPr>
      <w:r w:rsidRPr="004D4946">
        <w:rPr>
          <w:szCs w:val="24"/>
        </w:rPr>
        <w:t xml:space="preserve">The Departments </w:t>
      </w:r>
      <w:r w:rsidR="006863B2">
        <w:rPr>
          <w:szCs w:val="24"/>
        </w:rPr>
        <w:t>revis</w:t>
      </w:r>
      <w:r w:rsidR="000B0511">
        <w:rPr>
          <w:szCs w:val="24"/>
        </w:rPr>
        <w:t xml:space="preserve">ed </w:t>
      </w:r>
      <w:r w:rsidR="006863B2">
        <w:rPr>
          <w:szCs w:val="24"/>
        </w:rPr>
        <w:t xml:space="preserve">the </w:t>
      </w:r>
      <w:r w:rsidR="000B0511">
        <w:rPr>
          <w:szCs w:val="24"/>
        </w:rPr>
        <w:t xml:space="preserve">instructions to </w:t>
      </w:r>
      <w:r w:rsidR="006863B2">
        <w:rPr>
          <w:szCs w:val="24"/>
        </w:rPr>
        <w:t xml:space="preserve">clarify that </w:t>
      </w:r>
      <w:r w:rsidR="000B0511">
        <w:rPr>
          <w:szCs w:val="24"/>
        </w:rPr>
        <w:t>reporting entities that do not obtain this information</w:t>
      </w:r>
      <w:r w:rsidR="00BC5EBB">
        <w:rPr>
          <w:szCs w:val="24"/>
        </w:rPr>
        <w:t xml:space="preserve"> from the plan</w:t>
      </w:r>
      <w:r w:rsidR="000B0511">
        <w:rPr>
          <w:szCs w:val="24"/>
        </w:rPr>
        <w:t xml:space="preserve"> </w:t>
      </w:r>
      <w:r w:rsidR="006863B2">
        <w:rPr>
          <w:szCs w:val="24"/>
        </w:rPr>
        <w:t>may</w:t>
      </w:r>
      <w:r w:rsidR="000B0511">
        <w:rPr>
          <w:szCs w:val="24"/>
        </w:rPr>
        <w:t xml:space="preserve"> leave this field blank</w:t>
      </w:r>
      <w:r w:rsidRPr="004D4946">
        <w:rPr>
          <w:szCs w:val="24"/>
        </w:rPr>
        <w:t>.</w:t>
      </w:r>
    </w:p>
    <w:p w:rsidR="00E77F4D" w:rsidP="00834D34" w14:paraId="6D0B2101" w14:textId="77777777">
      <w:pPr>
        <w:pStyle w:val="ListParagraph"/>
        <w:widowControl/>
        <w:ind w:left="450"/>
        <w:rPr>
          <w:szCs w:val="24"/>
        </w:rPr>
      </w:pPr>
    </w:p>
    <w:p w:rsidR="00E77F4D" w:rsidP="00274A2D" w14:paraId="5A3BA601" w14:textId="34B7CEE1">
      <w:pPr>
        <w:pStyle w:val="ListParagraph"/>
        <w:widowControl/>
        <w:numPr>
          <w:ilvl w:val="0"/>
          <w:numId w:val="2"/>
        </w:numPr>
        <w:rPr>
          <w:szCs w:val="24"/>
        </w:rPr>
      </w:pPr>
      <w:r w:rsidRPr="004D4946">
        <w:rPr>
          <w:szCs w:val="24"/>
        </w:rPr>
        <w:t>T</w:t>
      </w:r>
      <w:r w:rsidR="000B0511">
        <w:rPr>
          <w:szCs w:val="24"/>
        </w:rPr>
        <w:t>hree</w:t>
      </w:r>
      <w:r w:rsidRPr="004D4946">
        <w:rPr>
          <w:szCs w:val="24"/>
        </w:rPr>
        <w:t xml:space="preserve"> comments </w:t>
      </w:r>
      <w:r w:rsidR="00C17A9B">
        <w:rPr>
          <w:szCs w:val="24"/>
        </w:rPr>
        <w:t xml:space="preserve">on the 60-day package and one comment on the 30-day package </w:t>
      </w:r>
      <w:r w:rsidRPr="004D4946">
        <w:rPr>
          <w:szCs w:val="24"/>
        </w:rPr>
        <w:t xml:space="preserve">requested clarification regarding </w:t>
      </w:r>
      <w:r w:rsidR="000B0511">
        <w:rPr>
          <w:szCs w:val="24"/>
        </w:rPr>
        <w:t xml:space="preserve">the </w:t>
      </w:r>
      <w:r w:rsidRPr="004D4946">
        <w:rPr>
          <w:szCs w:val="24"/>
        </w:rPr>
        <w:t>carve-out</w:t>
      </w:r>
      <w:r w:rsidR="000B0511">
        <w:rPr>
          <w:szCs w:val="24"/>
        </w:rPr>
        <w:t xml:space="preserve"> description field in </w:t>
      </w:r>
      <w:r w:rsidR="00BA4BFC">
        <w:rPr>
          <w:szCs w:val="24"/>
        </w:rPr>
        <w:t>P</w:t>
      </w:r>
      <w:r w:rsidR="000B0511">
        <w:rPr>
          <w:szCs w:val="24"/>
        </w:rPr>
        <w:t>2.</w:t>
      </w:r>
      <w:r w:rsidR="001679CE">
        <w:rPr>
          <w:szCs w:val="24"/>
        </w:rPr>
        <w:t xml:space="preserve"> Two comments questioned whe</w:t>
      </w:r>
      <w:r w:rsidR="001E165C">
        <w:rPr>
          <w:szCs w:val="24"/>
        </w:rPr>
        <w:t>th</w:t>
      </w:r>
      <w:r w:rsidR="001679CE">
        <w:rPr>
          <w:szCs w:val="24"/>
        </w:rPr>
        <w:t>e</w:t>
      </w:r>
      <w:r w:rsidR="001E165C">
        <w:rPr>
          <w:szCs w:val="24"/>
        </w:rPr>
        <w:t>r</w:t>
      </w:r>
      <w:r w:rsidR="001679CE">
        <w:rPr>
          <w:szCs w:val="24"/>
        </w:rPr>
        <w:t xml:space="preserve"> “Medical only” is an appropriate carve-out category</w:t>
      </w:r>
      <w:r w:rsidR="00274A2D">
        <w:rPr>
          <w:szCs w:val="24"/>
        </w:rPr>
        <w:t>.</w:t>
      </w:r>
      <w:r w:rsidRPr="009F6769" w:rsidR="00274A2D">
        <w:rPr>
          <w:szCs w:val="24"/>
        </w:rPr>
        <w:t xml:space="preserve"> </w:t>
      </w:r>
      <w:r w:rsidR="00C17A9B">
        <w:rPr>
          <w:szCs w:val="24"/>
        </w:rPr>
        <w:t>On</w:t>
      </w:r>
      <w:r w:rsidR="00C17A9B">
        <w:rPr>
          <w:szCs w:val="24"/>
        </w:rPr>
        <w:t xml:space="preserve">e comment </w:t>
      </w:r>
      <w:r w:rsidR="00FA53C7">
        <w:rPr>
          <w:szCs w:val="24"/>
        </w:rPr>
        <w:t xml:space="preserve">noted a typographical error in the comment response document, and </w:t>
      </w:r>
      <w:r w:rsidR="00C17A9B">
        <w:rPr>
          <w:szCs w:val="24"/>
        </w:rPr>
        <w:t xml:space="preserve">questioned if </w:t>
      </w:r>
      <w:r w:rsidR="00C17A9B">
        <w:rPr>
          <w:szCs w:val="24"/>
        </w:rPr>
        <w:t xml:space="preserve">the carve-out field is </w:t>
      </w:r>
      <w:r w:rsidR="00C17A9B">
        <w:rPr>
          <w:szCs w:val="24"/>
        </w:rPr>
        <w:t>to ident</w:t>
      </w:r>
      <w:r w:rsidR="00C17A9B">
        <w:rPr>
          <w:szCs w:val="24"/>
        </w:rPr>
        <w:t xml:space="preserve">ify </w:t>
      </w:r>
      <w:r w:rsidR="00C17A9B">
        <w:rPr>
          <w:szCs w:val="24"/>
        </w:rPr>
        <w:t>whether reporting entity is submitting a full set of data files</w:t>
      </w:r>
      <w:r w:rsidR="00C17A9B">
        <w:rPr>
          <w:szCs w:val="24"/>
        </w:rPr>
        <w:t xml:space="preserve">. </w:t>
      </w:r>
      <w:r w:rsidR="001679CE">
        <w:rPr>
          <w:szCs w:val="24"/>
        </w:rPr>
        <w:t>One comment recommended removing references to “the majority of the plan’s other benefits” to relieve reporting entities from the need to analyze services provided to a plan by other service providers.</w:t>
      </w:r>
    </w:p>
    <w:p w:rsidR="00274A2D" w:rsidRPr="004D4946" w:rsidP="00274A2D" w14:paraId="0ACCFEAF" w14:textId="77777777">
      <w:pPr>
        <w:pStyle w:val="ListParagraph"/>
        <w:widowControl/>
        <w:ind w:left="450"/>
        <w:rPr>
          <w:szCs w:val="24"/>
        </w:rPr>
      </w:pPr>
    </w:p>
    <w:p w:rsidR="00E77F4D" w:rsidRPr="004D4946" w:rsidP="00E77F4D" w14:paraId="3D5C48E2" w14:textId="77777777">
      <w:pPr>
        <w:ind w:left="450"/>
        <w:rPr>
          <w:szCs w:val="24"/>
          <w:u w:val="single"/>
        </w:rPr>
      </w:pPr>
      <w:r w:rsidRPr="004D4946">
        <w:rPr>
          <w:szCs w:val="24"/>
          <w:u w:val="single"/>
        </w:rPr>
        <w:t>Response</w:t>
      </w:r>
    </w:p>
    <w:p w:rsidR="00E77F4D" w:rsidP="00E77F4D" w14:paraId="1864DBBF" w14:textId="4C7DFFD9">
      <w:pPr>
        <w:pStyle w:val="ListParagraph"/>
        <w:widowControl/>
        <w:ind w:left="450"/>
        <w:rPr>
          <w:szCs w:val="24"/>
        </w:rPr>
      </w:pPr>
      <w:r w:rsidRPr="004D4946">
        <w:rPr>
          <w:szCs w:val="24"/>
        </w:rPr>
        <w:t xml:space="preserve">The </w:t>
      </w:r>
      <w:r w:rsidR="001679CE">
        <w:rPr>
          <w:szCs w:val="24"/>
        </w:rPr>
        <w:t>proposed instructions</w:t>
      </w:r>
      <w:r w:rsidRPr="004D4946">
        <w:rPr>
          <w:szCs w:val="24"/>
        </w:rPr>
        <w:t xml:space="preserve"> </w:t>
      </w:r>
      <w:r w:rsidR="001679CE">
        <w:rPr>
          <w:szCs w:val="24"/>
        </w:rPr>
        <w:t>ad</w:t>
      </w:r>
      <w:r w:rsidRPr="004D4946">
        <w:rPr>
          <w:szCs w:val="24"/>
        </w:rPr>
        <w:t>ded detail</w:t>
      </w:r>
      <w:r w:rsidR="001679CE">
        <w:rPr>
          <w:szCs w:val="24"/>
        </w:rPr>
        <w:t>s</w:t>
      </w:r>
      <w:r w:rsidRPr="004D4946">
        <w:rPr>
          <w:szCs w:val="24"/>
        </w:rPr>
        <w:t xml:space="preserve"> </w:t>
      </w:r>
      <w:r w:rsidR="001679CE">
        <w:rPr>
          <w:szCs w:val="24"/>
        </w:rPr>
        <w:t>to</w:t>
      </w:r>
      <w:r w:rsidRPr="004D4946">
        <w:rPr>
          <w:szCs w:val="24"/>
        </w:rPr>
        <w:t xml:space="preserve"> the de</w:t>
      </w:r>
      <w:r w:rsidR="001679CE">
        <w:rPr>
          <w:szCs w:val="24"/>
        </w:rPr>
        <w:t>scrip</w:t>
      </w:r>
      <w:r w:rsidRPr="004D4946">
        <w:rPr>
          <w:szCs w:val="24"/>
        </w:rPr>
        <w:t xml:space="preserve">tion of carved-out benefits </w:t>
      </w:r>
      <w:r w:rsidR="001679CE">
        <w:rPr>
          <w:szCs w:val="24"/>
        </w:rPr>
        <w:t>in response to questions about how to report such benefits and how to identify the relevant coverage arrangements, as well as to improve the Department’s ability to differentiate between subsets of data submitted by multiple reporting entities.</w:t>
      </w:r>
      <w:r w:rsidR="0023772A">
        <w:rPr>
          <w:szCs w:val="24"/>
        </w:rPr>
        <w:t xml:space="preserve"> The Departments revised the instructions to </w:t>
      </w:r>
      <w:r w:rsidR="006863B2">
        <w:rPr>
          <w:szCs w:val="24"/>
        </w:rPr>
        <w:t>clarify that</w:t>
      </w:r>
      <w:r w:rsidR="0023772A">
        <w:rPr>
          <w:szCs w:val="24"/>
        </w:rPr>
        <w:t xml:space="preserve"> the reporting entity </w:t>
      </w:r>
      <w:r w:rsidR="006863B2">
        <w:rPr>
          <w:szCs w:val="24"/>
        </w:rPr>
        <w:t xml:space="preserve">does not need </w:t>
      </w:r>
      <w:r w:rsidR="0023772A">
        <w:rPr>
          <w:szCs w:val="24"/>
        </w:rPr>
        <w:t>to analyze services provided to a plan by other service providers</w:t>
      </w:r>
      <w:r w:rsidR="00796865">
        <w:rPr>
          <w:szCs w:val="24"/>
        </w:rPr>
        <w:t xml:space="preserve">, and that “Medical only” </w:t>
      </w:r>
      <w:r w:rsidR="00450078">
        <w:rPr>
          <w:szCs w:val="24"/>
        </w:rPr>
        <w:t>can be</w:t>
      </w:r>
      <w:r w:rsidR="00796865">
        <w:rPr>
          <w:szCs w:val="24"/>
        </w:rPr>
        <w:t xml:space="preserve"> used to indicate that a different reporting entity </w:t>
      </w:r>
      <w:r w:rsidRPr="00796865" w:rsidR="00796865">
        <w:rPr>
          <w:szCs w:val="24"/>
        </w:rPr>
        <w:t>will submit data regarding the plan’s pharmacy benefit</w:t>
      </w:r>
      <w:r w:rsidR="0023772A">
        <w:rPr>
          <w:szCs w:val="24"/>
        </w:rPr>
        <w:t>.</w:t>
      </w:r>
      <w:r w:rsidR="00FA53C7">
        <w:rPr>
          <w:szCs w:val="24"/>
        </w:rPr>
        <w:t xml:space="preserve"> The De</w:t>
      </w:r>
      <w:r w:rsidR="00FA53C7">
        <w:rPr>
          <w:szCs w:val="24"/>
        </w:rPr>
        <w:t>partments also note that the Note to section 4.2 of the instructions explains that a reporting entity submitting a full set of data files can leave the carve-out description field blank.</w:t>
      </w:r>
    </w:p>
    <w:p w:rsidR="00D65F5A" w:rsidP="00D65F5A" w14:paraId="18657DED" w14:textId="77777777">
      <w:pPr>
        <w:pStyle w:val="ListParagraph"/>
        <w:widowControl/>
        <w:ind w:left="450"/>
        <w:rPr>
          <w:szCs w:val="24"/>
        </w:rPr>
      </w:pPr>
    </w:p>
    <w:p w:rsidR="004D4946" w:rsidRPr="004D4946" w:rsidP="004D4946" w14:paraId="513D2CAD" w14:textId="5BE02A9B">
      <w:pPr>
        <w:pStyle w:val="ListParagraph"/>
        <w:widowControl/>
        <w:numPr>
          <w:ilvl w:val="0"/>
          <w:numId w:val="2"/>
        </w:numPr>
        <w:rPr>
          <w:szCs w:val="24"/>
        </w:rPr>
      </w:pPr>
      <w:r>
        <w:rPr>
          <w:szCs w:val="24"/>
        </w:rPr>
        <w:t xml:space="preserve">Two comments </w:t>
      </w:r>
      <w:r w:rsidR="00F04FD2">
        <w:rPr>
          <w:szCs w:val="24"/>
        </w:rPr>
        <w:t xml:space="preserve">on the 60-day package </w:t>
      </w:r>
      <w:r>
        <w:rPr>
          <w:szCs w:val="24"/>
        </w:rPr>
        <w:t xml:space="preserve">recommended enabling reporting entities to use actual dates for prior plan year beginning and end dates for termed plans in P2, instead of the workaround dates </w:t>
      </w:r>
      <w:r w:rsidR="002A4BFA">
        <w:rPr>
          <w:szCs w:val="24"/>
        </w:rPr>
        <w:t xml:space="preserve">that were </w:t>
      </w:r>
      <w:r>
        <w:rPr>
          <w:szCs w:val="24"/>
        </w:rPr>
        <w:t>designated in the proposed instructions</w:t>
      </w:r>
      <w:r w:rsidR="0081131A">
        <w:rPr>
          <w:szCs w:val="24"/>
        </w:rPr>
        <w:t xml:space="preserve"> to </w:t>
      </w:r>
      <w:r w:rsidR="002A4BFA">
        <w:rPr>
          <w:szCs w:val="24"/>
        </w:rPr>
        <w:t>prevent the system</w:t>
      </w:r>
      <w:r w:rsidRPr="0081131A" w:rsidR="0081131A">
        <w:rPr>
          <w:szCs w:val="24"/>
        </w:rPr>
        <w:t xml:space="preserve"> </w:t>
      </w:r>
      <w:r w:rsidR="002A4BFA">
        <w:rPr>
          <w:szCs w:val="24"/>
        </w:rPr>
        <w:t xml:space="preserve">from </w:t>
      </w:r>
      <w:r w:rsidRPr="0081131A" w:rsidR="0081131A">
        <w:rPr>
          <w:szCs w:val="24"/>
        </w:rPr>
        <w:t>reject</w:t>
      </w:r>
      <w:r w:rsidR="002A4BFA">
        <w:rPr>
          <w:szCs w:val="24"/>
        </w:rPr>
        <w:t>ing</w:t>
      </w:r>
      <w:r w:rsidRPr="0081131A" w:rsidR="0081131A">
        <w:rPr>
          <w:szCs w:val="24"/>
        </w:rPr>
        <w:t xml:space="preserve"> submissions </w:t>
      </w:r>
      <w:r w:rsidR="002A4BFA">
        <w:rPr>
          <w:szCs w:val="24"/>
        </w:rPr>
        <w:t>containing</w:t>
      </w:r>
      <w:r w:rsidRPr="0081131A" w:rsidR="0081131A">
        <w:rPr>
          <w:szCs w:val="24"/>
        </w:rPr>
        <w:t xml:space="preserve"> plan year end date</w:t>
      </w:r>
      <w:r w:rsidR="002A4BFA">
        <w:rPr>
          <w:szCs w:val="24"/>
        </w:rPr>
        <w:t>s</w:t>
      </w:r>
      <w:r w:rsidRPr="0081131A" w:rsidR="0081131A">
        <w:rPr>
          <w:szCs w:val="24"/>
        </w:rPr>
        <w:t xml:space="preserve"> in the year prior to the reference year</w:t>
      </w:r>
      <w:r w:rsidRPr="004D4946">
        <w:rPr>
          <w:szCs w:val="24"/>
        </w:rPr>
        <w:t>.</w:t>
      </w:r>
      <w:r>
        <w:rPr>
          <w:szCs w:val="24"/>
        </w:rPr>
        <w:t xml:space="preserve"> </w:t>
      </w:r>
      <w:r w:rsidR="00F04FD2">
        <w:rPr>
          <w:szCs w:val="24"/>
        </w:rPr>
        <w:t xml:space="preserve">Both </w:t>
      </w:r>
      <w:r>
        <w:rPr>
          <w:szCs w:val="24"/>
        </w:rPr>
        <w:t xml:space="preserve">comments additionally suggested using an indicator or </w:t>
      </w:r>
      <w:r>
        <w:rPr>
          <w:szCs w:val="24"/>
        </w:rPr>
        <w:t>null values as an alternative, and expressed concern about the burden of the additional required reporting.</w:t>
      </w:r>
      <w:r w:rsidR="009422BE">
        <w:rPr>
          <w:szCs w:val="24"/>
        </w:rPr>
        <w:t xml:space="preserve"> One comment</w:t>
      </w:r>
      <w:r w:rsidR="009422BE">
        <w:rPr>
          <w:szCs w:val="24"/>
        </w:rPr>
        <w:t xml:space="preserve"> </w:t>
      </w:r>
      <w:r w:rsidR="00C81F16">
        <w:rPr>
          <w:szCs w:val="24"/>
        </w:rPr>
        <w:t>on the 30-day package</w:t>
      </w:r>
      <w:r w:rsidR="00C81F16">
        <w:rPr>
          <w:szCs w:val="24"/>
        </w:rPr>
        <w:t xml:space="preserve"> requested additional </w:t>
      </w:r>
      <w:r w:rsidR="0011330E">
        <w:rPr>
          <w:szCs w:val="24"/>
        </w:rPr>
        <w:t xml:space="preserve">clarification </w:t>
      </w:r>
      <w:r w:rsidR="00C81F16">
        <w:rPr>
          <w:szCs w:val="24"/>
        </w:rPr>
        <w:t xml:space="preserve">on </w:t>
      </w:r>
      <w:r w:rsidR="009422BE">
        <w:rPr>
          <w:szCs w:val="24"/>
        </w:rPr>
        <w:t xml:space="preserve">reporting </w:t>
      </w:r>
      <w:r w:rsidR="009422BE">
        <w:rPr>
          <w:szCs w:val="24"/>
        </w:rPr>
        <w:t xml:space="preserve">partial reporting year data. </w:t>
      </w:r>
    </w:p>
    <w:p w:rsidR="004D4946" w:rsidRPr="004D4946" w:rsidP="004D4946" w14:paraId="32E7BE91" w14:textId="77777777">
      <w:pPr>
        <w:widowControl/>
        <w:ind w:left="90"/>
        <w:rPr>
          <w:szCs w:val="24"/>
        </w:rPr>
      </w:pPr>
    </w:p>
    <w:p w:rsidR="004D4946" w:rsidRPr="004D4946" w:rsidP="004D4946" w14:paraId="7F8692B8" w14:textId="77777777">
      <w:pPr>
        <w:widowControl/>
        <w:ind w:left="90" w:firstLine="360"/>
        <w:rPr>
          <w:szCs w:val="24"/>
          <w:u w:val="single"/>
        </w:rPr>
      </w:pPr>
      <w:r w:rsidRPr="004D4946">
        <w:rPr>
          <w:szCs w:val="24"/>
          <w:u w:val="single"/>
        </w:rPr>
        <w:t>Response</w:t>
      </w:r>
    </w:p>
    <w:p w:rsidR="004D4946" w:rsidRPr="004D4946" w:rsidP="004D4946" w14:paraId="68B79913" w14:textId="41709F4C">
      <w:pPr>
        <w:ind w:left="450"/>
        <w:rPr>
          <w:szCs w:val="24"/>
        </w:rPr>
      </w:pPr>
      <w:r w:rsidRPr="004D4946">
        <w:rPr>
          <w:szCs w:val="24"/>
        </w:rPr>
        <w:t xml:space="preserve">The </w:t>
      </w:r>
      <w:r w:rsidR="00B933F3">
        <w:rPr>
          <w:szCs w:val="24"/>
        </w:rPr>
        <w:t xml:space="preserve">proposed instructions </w:t>
      </w:r>
      <w:r w:rsidR="00F15A5E">
        <w:rPr>
          <w:szCs w:val="24"/>
        </w:rPr>
        <w:t xml:space="preserve">added clarification regarding prior plan year beginning and end dates for termed plans </w:t>
      </w:r>
      <w:r w:rsidR="009422BE">
        <w:rPr>
          <w:szCs w:val="24"/>
        </w:rPr>
        <w:t xml:space="preserve">and plans with non-calendar plan years </w:t>
      </w:r>
      <w:r w:rsidR="00F15A5E">
        <w:rPr>
          <w:szCs w:val="24"/>
        </w:rPr>
        <w:t>in response to questions about the data collection system’s limitations in being able to accept such dates</w:t>
      </w:r>
      <w:r w:rsidRPr="004D4946">
        <w:rPr>
          <w:szCs w:val="24"/>
        </w:rPr>
        <w:t>.</w:t>
      </w:r>
      <w:r w:rsidR="00F15A5E">
        <w:rPr>
          <w:szCs w:val="24"/>
        </w:rPr>
        <w:t xml:space="preserve"> The Departments revised instructions to clarify that inclusion of such plans in </w:t>
      </w:r>
      <w:r w:rsidR="00063682">
        <w:rPr>
          <w:szCs w:val="24"/>
        </w:rPr>
        <w:t xml:space="preserve">P1, </w:t>
      </w:r>
      <w:r w:rsidR="00F15A5E">
        <w:rPr>
          <w:szCs w:val="24"/>
        </w:rPr>
        <w:t>P2</w:t>
      </w:r>
      <w:r w:rsidR="00063682">
        <w:rPr>
          <w:szCs w:val="24"/>
        </w:rPr>
        <w:t>, and P3</w:t>
      </w:r>
      <w:r w:rsidR="00F15A5E">
        <w:rPr>
          <w:szCs w:val="24"/>
        </w:rPr>
        <w:t xml:space="preserve"> remains optional and that null values can be used in lieu of the workaround </w:t>
      </w:r>
      <w:r w:rsidRPr="00F15A5E" w:rsidR="00F15A5E">
        <w:rPr>
          <w:szCs w:val="24"/>
        </w:rPr>
        <w:t>01/01/2023 and 01/02/2023</w:t>
      </w:r>
      <w:r w:rsidR="00F15A5E">
        <w:rPr>
          <w:szCs w:val="24"/>
        </w:rPr>
        <w:t xml:space="preserve"> dates.</w:t>
      </w:r>
    </w:p>
    <w:p w:rsidR="004D4946" w:rsidRPr="004D4946" w:rsidP="00D65F5A" w14:paraId="2EB0D737" w14:textId="77777777">
      <w:pPr>
        <w:pStyle w:val="ListParagraph"/>
        <w:widowControl/>
        <w:ind w:left="450"/>
        <w:rPr>
          <w:szCs w:val="24"/>
        </w:rPr>
      </w:pPr>
    </w:p>
    <w:p w:rsidR="00D65F5A" w:rsidRPr="004D4946" w:rsidP="00D65F5A" w14:paraId="089CB615" w14:textId="13F2D075">
      <w:pPr>
        <w:pStyle w:val="ListParagraph"/>
        <w:widowControl/>
        <w:numPr>
          <w:ilvl w:val="0"/>
          <w:numId w:val="2"/>
        </w:numPr>
        <w:rPr>
          <w:szCs w:val="24"/>
        </w:rPr>
      </w:pPr>
      <w:r w:rsidRPr="004D4946">
        <w:rPr>
          <w:szCs w:val="24"/>
        </w:rPr>
        <w:t xml:space="preserve">One comment </w:t>
      </w:r>
      <w:r w:rsidR="00F04FD2">
        <w:rPr>
          <w:szCs w:val="24"/>
        </w:rPr>
        <w:t xml:space="preserve">on the 60-day package </w:t>
      </w:r>
      <w:r w:rsidRPr="004D4946">
        <w:rPr>
          <w:szCs w:val="24"/>
        </w:rPr>
        <w:t xml:space="preserve">requested </w:t>
      </w:r>
      <w:r w:rsidR="00D8512D">
        <w:rPr>
          <w:szCs w:val="24"/>
        </w:rPr>
        <w:t xml:space="preserve">clarification regarding </w:t>
      </w:r>
      <w:r w:rsidR="00A44A3B">
        <w:rPr>
          <w:szCs w:val="24"/>
        </w:rPr>
        <w:t>whether</w:t>
      </w:r>
      <w:r w:rsidR="00D8512D">
        <w:rPr>
          <w:szCs w:val="24"/>
        </w:rPr>
        <w:t xml:space="preserve"> </w:t>
      </w:r>
      <w:r w:rsidR="00A44A3B">
        <w:rPr>
          <w:szCs w:val="24"/>
        </w:rPr>
        <w:t xml:space="preserve">inclusion of </w:t>
      </w:r>
      <w:r w:rsidR="00D8512D">
        <w:rPr>
          <w:szCs w:val="24"/>
        </w:rPr>
        <w:t>non-drug items such as medical devices</w:t>
      </w:r>
      <w:r w:rsidR="00A44A3B">
        <w:rPr>
          <w:szCs w:val="24"/>
        </w:rPr>
        <w:t xml:space="preserve"> that are not used in tandem with drugs</w:t>
      </w:r>
      <w:r w:rsidR="00D8512D">
        <w:rPr>
          <w:szCs w:val="24"/>
        </w:rPr>
        <w:t xml:space="preserve"> </w:t>
      </w:r>
      <w:r w:rsidR="00A44A3B">
        <w:rPr>
          <w:szCs w:val="24"/>
        </w:rPr>
        <w:t>is appropriate in the</w:t>
      </w:r>
      <w:r w:rsidR="00D8512D">
        <w:rPr>
          <w:szCs w:val="24"/>
        </w:rPr>
        <w:t xml:space="preserve"> medical benefit drugs</w:t>
      </w:r>
      <w:r w:rsidR="00A44A3B">
        <w:rPr>
          <w:szCs w:val="24"/>
        </w:rPr>
        <w:t xml:space="preserve"> category on D2</w:t>
      </w:r>
      <w:r w:rsidRPr="004D4946">
        <w:rPr>
          <w:szCs w:val="24"/>
        </w:rPr>
        <w:t>.</w:t>
      </w:r>
    </w:p>
    <w:p w:rsidR="00D65F5A" w:rsidRPr="004D4946" w:rsidP="00D65F5A" w14:paraId="7F01F3F4" w14:textId="77777777">
      <w:pPr>
        <w:widowControl/>
        <w:rPr>
          <w:szCs w:val="24"/>
        </w:rPr>
      </w:pPr>
    </w:p>
    <w:p w:rsidR="00D65F5A" w:rsidRPr="004D4946" w:rsidP="00A407CD" w14:paraId="08F8DDEA" w14:textId="77777777">
      <w:pPr>
        <w:keepNext/>
        <w:ind w:left="446"/>
        <w:rPr>
          <w:szCs w:val="24"/>
          <w:u w:val="single"/>
        </w:rPr>
      </w:pPr>
      <w:r w:rsidRPr="004D4946">
        <w:rPr>
          <w:szCs w:val="24"/>
          <w:u w:val="single"/>
        </w:rPr>
        <w:t>Response</w:t>
      </w:r>
    </w:p>
    <w:p w:rsidR="00D65F5A" w:rsidRPr="004D4946" w:rsidP="00D76CC2" w14:paraId="7D3327E9" w14:textId="0006A74B">
      <w:pPr>
        <w:pStyle w:val="ListParagraph"/>
        <w:widowControl/>
        <w:ind w:left="450"/>
        <w:rPr>
          <w:szCs w:val="24"/>
        </w:rPr>
      </w:pPr>
      <w:r>
        <w:rPr>
          <w:szCs w:val="24"/>
        </w:rPr>
        <w:t>N</w:t>
      </w:r>
      <w:r w:rsidRPr="004D4946">
        <w:rPr>
          <w:szCs w:val="24"/>
        </w:rPr>
        <w:t xml:space="preserve">o changes </w:t>
      </w:r>
      <w:r>
        <w:rPr>
          <w:szCs w:val="24"/>
        </w:rPr>
        <w:t xml:space="preserve">were made </w:t>
      </w:r>
      <w:r w:rsidR="00B13FB6">
        <w:rPr>
          <w:szCs w:val="24"/>
        </w:rPr>
        <w:t xml:space="preserve">to the instructions </w:t>
      </w:r>
      <w:r w:rsidRPr="004D4946">
        <w:rPr>
          <w:szCs w:val="24"/>
        </w:rPr>
        <w:t xml:space="preserve">based on this comment. </w:t>
      </w:r>
      <w:r>
        <w:rPr>
          <w:szCs w:val="24"/>
        </w:rPr>
        <w:t xml:space="preserve">The Departments note that the referenced </w:t>
      </w:r>
      <w:r w:rsidR="00715D22">
        <w:rPr>
          <w:szCs w:val="24"/>
        </w:rPr>
        <w:t xml:space="preserve">provision in section 8.1 of the </w:t>
      </w:r>
      <w:r>
        <w:rPr>
          <w:szCs w:val="24"/>
        </w:rPr>
        <w:t>proposed instructions refer</w:t>
      </w:r>
      <w:r w:rsidR="00715D22">
        <w:rPr>
          <w:szCs w:val="24"/>
        </w:rPr>
        <w:t>s</w:t>
      </w:r>
      <w:r>
        <w:rPr>
          <w:szCs w:val="24"/>
        </w:rPr>
        <w:t xml:space="preserve"> to </w:t>
      </w:r>
      <w:r w:rsidRPr="00A44A3B">
        <w:rPr>
          <w:szCs w:val="24"/>
        </w:rPr>
        <w:t xml:space="preserve">pharmaceutical supplies, medical devices, nutritional supplements, and OTCs </w:t>
      </w:r>
      <w:r w:rsidRPr="00715D22">
        <w:rPr>
          <w:i/>
          <w:iCs/>
          <w:szCs w:val="24"/>
        </w:rPr>
        <w:t>in the appropriate spending category</w:t>
      </w:r>
      <w:r w:rsidRPr="00A44A3B">
        <w:rPr>
          <w:szCs w:val="24"/>
        </w:rPr>
        <w:t xml:space="preserve"> in D2 if the products are covered under a plan’s medical benefit</w:t>
      </w:r>
      <w:r w:rsidR="00715D22">
        <w:rPr>
          <w:szCs w:val="24"/>
        </w:rPr>
        <w:t xml:space="preserve"> (</w:t>
      </w:r>
      <w:r w:rsidR="00715D22">
        <w:rPr>
          <w:i/>
          <w:iCs/>
          <w:szCs w:val="24"/>
        </w:rPr>
        <w:t>emphasis added</w:t>
      </w:r>
      <w:r w:rsidR="00715D22">
        <w:rPr>
          <w:szCs w:val="24"/>
        </w:rPr>
        <w:t>)</w:t>
      </w:r>
      <w:r w:rsidRPr="004D4946" w:rsidR="00921BBB">
        <w:rPr>
          <w:szCs w:val="24"/>
        </w:rPr>
        <w:t>.</w:t>
      </w:r>
      <w:r w:rsidR="00715D22">
        <w:rPr>
          <w:szCs w:val="24"/>
        </w:rPr>
        <w:t xml:space="preserve"> Therefore, medical devices unrelated to medical benefit drugs should not be reported in the medical benefit drug category on D2. The clarification in the proposed instructions was intended to clarify that all such items that are covered under the medical benefit should be reported in the relevant category on D2 (hospital, primary care, specialty care, or other), while some items may also need to be reported in the medical benefit drugs category as appropriate.</w:t>
      </w:r>
      <w:r w:rsidR="006863B2">
        <w:rPr>
          <w:szCs w:val="24"/>
        </w:rPr>
        <w:t xml:space="preserve"> The Departments welcome suggestions for how to further improve the clarity.</w:t>
      </w:r>
    </w:p>
    <w:p w:rsidR="008D3B15" w:rsidP="00BA53B1" w14:paraId="70FF686A" w14:textId="77777777">
      <w:pPr>
        <w:ind w:left="450"/>
        <w:rPr>
          <w:szCs w:val="24"/>
        </w:rPr>
      </w:pPr>
    </w:p>
    <w:p w:rsidR="00D65F5A" w:rsidRPr="004D4946" w:rsidP="00D65F5A" w14:paraId="175FB75D" w14:textId="4DE2802E">
      <w:pPr>
        <w:pStyle w:val="ListParagraph"/>
        <w:widowControl/>
        <w:numPr>
          <w:ilvl w:val="0"/>
          <w:numId w:val="2"/>
        </w:numPr>
        <w:rPr>
          <w:szCs w:val="24"/>
        </w:rPr>
      </w:pPr>
      <w:r>
        <w:rPr>
          <w:szCs w:val="24"/>
        </w:rPr>
        <w:t>One</w:t>
      </w:r>
      <w:r w:rsidRPr="004D4946" w:rsidR="00160BA2">
        <w:rPr>
          <w:szCs w:val="24"/>
        </w:rPr>
        <w:t xml:space="preserve"> </w:t>
      </w:r>
      <w:r w:rsidRPr="004D4946">
        <w:rPr>
          <w:szCs w:val="24"/>
        </w:rPr>
        <w:t>comment</w:t>
      </w:r>
      <w:r w:rsidR="00F04FD2">
        <w:rPr>
          <w:szCs w:val="24"/>
        </w:rPr>
        <w:t xml:space="preserve"> on the 60-day package</w:t>
      </w:r>
      <w:r w:rsidRPr="004D4946">
        <w:rPr>
          <w:szCs w:val="24"/>
        </w:rPr>
        <w:t xml:space="preserve"> </w:t>
      </w:r>
      <w:r>
        <w:rPr>
          <w:szCs w:val="24"/>
        </w:rPr>
        <w:t>inquired whether the Departments intend to update the CMS crosswalk and data validations technical documents annually or only as needed</w:t>
      </w:r>
      <w:r w:rsidRPr="004D4946">
        <w:rPr>
          <w:szCs w:val="24"/>
        </w:rPr>
        <w:t>.</w:t>
      </w:r>
    </w:p>
    <w:p w:rsidR="00D65F5A" w:rsidRPr="004D4946" w:rsidP="00D65F5A" w14:paraId="4E0A3C02" w14:textId="77777777">
      <w:pPr>
        <w:widowControl/>
        <w:rPr>
          <w:szCs w:val="24"/>
        </w:rPr>
      </w:pPr>
    </w:p>
    <w:p w:rsidR="00D65F5A" w:rsidRPr="004D4946" w:rsidP="00D65F5A" w14:paraId="79ACEEAB" w14:textId="77777777">
      <w:pPr>
        <w:ind w:left="450"/>
        <w:rPr>
          <w:szCs w:val="24"/>
          <w:u w:val="single"/>
        </w:rPr>
      </w:pPr>
      <w:r w:rsidRPr="004D4946">
        <w:rPr>
          <w:szCs w:val="24"/>
          <w:u w:val="single"/>
        </w:rPr>
        <w:t>Response</w:t>
      </w:r>
    </w:p>
    <w:p w:rsidR="00D65F5A" w:rsidP="00A44A3B" w14:paraId="3EF1619F" w14:textId="0DB3AF0E">
      <w:pPr>
        <w:ind w:left="450"/>
        <w:rPr>
          <w:szCs w:val="24"/>
        </w:rPr>
      </w:pPr>
      <w:r>
        <w:rPr>
          <w:szCs w:val="24"/>
        </w:rPr>
        <w:t>The Departments</w:t>
      </w:r>
      <w:r w:rsidRPr="004D4946" w:rsidR="00160BA2">
        <w:rPr>
          <w:szCs w:val="24"/>
        </w:rPr>
        <w:t xml:space="preserve"> </w:t>
      </w:r>
      <w:r>
        <w:rPr>
          <w:szCs w:val="24"/>
        </w:rPr>
        <w:t xml:space="preserve">anticipate that </w:t>
      </w:r>
      <w:r w:rsidRPr="004D4946" w:rsidR="00160BA2">
        <w:rPr>
          <w:szCs w:val="24"/>
        </w:rPr>
        <w:t>the CMS crosswalk</w:t>
      </w:r>
      <w:r>
        <w:rPr>
          <w:szCs w:val="24"/>
        </w:rPr>
        <w:t xml:space="preserve"> is likely to require annual updates, for example</w:t>
      </w:r>
      <w:r w:rsidR="00BD0D4A">
        <w:rPr>
          <w:szCs w:val="24"/>
        </w:rPr>
        <w:t>,</w:t>
      </w:r>
      <w:r>
        <w:rPr>
          <w:szCs w:val="24"/>
        </w:rPr>
        <w:t xml:space="preserve"> to include new drugs</w:t>
      </w:r>
      <w:r w:rsidRPr="004D4946" w:rsidR="00160BA2">
        <w:rPr>
          <w:szCs w:val="24"/>
        </w:rPr>
        <w:t>.</w:t>
      </w:r>
      <w:r>
        <w:rPr>
          <w:szCs w:val="24"/>
        </w:rPr>
        <w:t xml:space="preserve"> The Departments</w:t>
      </w:r>
      <w:r w:rsidRPr="004D4946">
        <w:rPr>
          <w:szCs w:val="24"/>
        </w:rPr>
        <w:t xml:space="preserve"> </w:t>
      </w:r>
      <w:r>
        <w:rPr>
          <w:szCs w:val="24"/>
        </w:rPr>
        <w:t>expect to update data validations only as needed, for example</w:t>
      </w:r>
      <w:r w:rsidR="00DE0B6D">
        <w:rPr>
          <w:szCs w:val="24"/>
        </w:rPr>
        <w:t>,</w:t>
      </w:r>
      <w:r>
        <w:rPr>
          <w:szCs w:val="24"/>
        </w:rPr>
        <w:t xml:space="preserve"> to reflect new or modified data elements, or if new validations are determined to be necessary for any required data elements that experience poor compliance with the instructions.</w:t>
      </w:r>
    </w:p>
    <w:p w:rsidR="000D0E97" w:rsidP="00A44A3B" w14:paraId="219B6D95" w14:textId="77777777">
      <w:pPr>
        <w:ind w:left="450"/>
        <w:rPr>
          <w:szCs w:val="24"/>
        </w:rPr>
      </w:pPr>
    </w:p>
    <w:p w:rsidR="000D0E97" w:rsidRPr="000D0E97" w:rsidP="000D0E97" w14:paraId="1E8F7391" w14:textId="3373A71C">
      <w:pPr>
        <w:pStyle w:val="ListParagraph"/>
        <w:numPr>
          <w:ilvl w:val="0"/>
          <w:numId w:val="2"/>
        </w:numPr>
        <w:rPr>
          <w:szCs w:val="24"/>
        </w:rPr>
      </w:pPr>
      <w:r w:rsidRPr="000D0E97">
        <w:rPr>
          <w:szCs w:val="24"/>
        </w:rPr>
        <w:t>One comment on the 30-day package requested that the Departments exempt certain types of entities from the reporting requirements.</w:t>
      </w:r>
    </w:p>
    <w:p w:rsidR="000D0E97" w:rsidP="000D0E97" w14:paraId="59EC72ED" w14:textId="77777777">
      <w:pPr>
        <w:ind w:left="450"/>
        <w:rPr>
          <w:szCs w:val="24"/>
        </w:rPr>
      </w:pPr>
    </w:p>
    <w:p w:rsidR="000D0E97" w:rsidRPr="00FA53C7" w:rsidP="000D0E97" w14:paraId="101C4D24" w14:textId="77777777">
      <w:pPr>
        <w:ind w:left="450"/>
        <w:rPr>
          <w:szCs w:val="24"/>
          <w:u w:val="single"/>
        </w:rPr>
      </w:pPr>
      <w:r w:rsidRPr="00FA53C7">
        <w:rPr>
          <w:szCs w:val="24"/>
          <w:u w:val="single"/>
        </w:rPr>
        <w:t>Response</w:t>
      </w:r>
    </w:p>
    <w:p w:rsidR="000D0E97" w:rsidP="000D0E97" w14:paraId="37CB5CB8" w14:textId="7595D514">
      <w:pPr>
        <w:ind w:left="450"/>
        <w:rPr>
          <w:szCs w:val="24"/>
        </w:rPr>
      </w:pPr>
      <w:r w:rsidRPr="000D0E97">
        <w:rPr>
          <w:szCs w:val="24"/>
        </w:rPr>
        <w:t>This comment was outside the scope of the PRA package, as it requested an exemption for entities that are subject to the requirements of the statute and the interim final rules that were published on Nov. 22, 2021 (86 FR 66662). The Departments and OPM will take this comment into account when considering future amendments to the interim final rules.</w:t>
      </w:r>
    </w:p>
    <w:p w:rsidR="004326D0" w:rsidP="000D0E97" w14:paraId="7D3C8CBF" w14:textId="77777777">
      <w:pPr>
        <w:ind w:left="450"/>
        <w:rPr>
          <w:szCs w:val="24"/>
        </w:rPr>
      </w:pPr>
    </w:p>
    <w:p w:rsidR="004326D0" w:rsidP="004326D0" w14:paraId="5DAEC1A7" w14:textId="77777777">
      <w:pPr>
        <w:pStyle w:val="ListParagraph"/>
        <w:numPr>
          <w:ilvl w:val="0"/>
          <w:numId w:val="2"/>
        </w:numPr>
        <w:rPr>
          <w:szCs w:val="24"/>
        </w:rPr>
      </w:pPr>
      <w:r>
        <w:rPr>
          <w:szCs w:val="24"/>
        </w:rPr>
        <w:t xml:space="preserve">One comment on the 30-day package </w:t>
      </w:r>
      <w:r>
        <w:rPr>
          <w:szCs w:val="24"/>
        </w:rPr>
        <w:t xml:space="preserve">recommended </w:t>
      </w:r>
      <w:r w:rsidRPr="004326D0">
        <w:rPr>
          <w:szCs w:val="24"/>
        </w:rPr>
        <w:t xml:space="preserve">that </w:t>
      </w:r>
      <w:r>
        <w:rPr>
          <w:szCs w:val="24"/>
        </w:rPr>
        <w:t xml:space="preserve">the Departments increase </w:t>
      </w:r>
      <w:r w:rsidRPr="004326D0">
        <w:rPr>
          <w:szCs w:val="24"/>
        </w:rPr>
        <w:t xml:space="preserve">the current size limit </w:t>
      </w:r>
      <w:r>
        <w:rPr>
          <w:szCs w:val="24"/>
        </w:rPr>
        <w:t xml:space="preserve">from 200MB to 1GB. </w:t>
      </w:r>
    </w:p>
    <w:p w:rsidR="004326D0" w:rsidP="004326D0" w14:paraId="6B40D46D" w14:textId="517B5B79">
      <w:pPr>
        <w:pStyle w:val="ListParagraph"/>
        <w:ind w:left="450"/>
        <w:rPr>
          <w:szCs w:val="24"/>
        </w:rPr>
      </w:pPr>
    </w:p>
    <w:p w:rsidR="004326D0" w:rsidRPr="00FA53C7" w:rsidP="004326D0" w14:paraId="41360A10" w14:textId="33B07493">
      <w:pPr>
        <w:pStyle w:val="ListParagraph"/>
        <w:ind w:left="450"/>
        <w:rPr>
          <w:szCs w:val="24"/>
          <w:u w:val="single"/>
        </w:rPr>
      </w:pPr>
      <w:r w:rsidRPr="00FA53C7">
        <w:rPr>
          <w:szCs w:val="24"/>
          <w:u w:val="single"/>
        </w:rPr>
        <w:t>Response</w:t>
      </w:r>
    </w:p>
    <w:p w:rsidR="004326D0" w:rsidP="004326D0" w14:paraId="6E0BCD0C" w14:textId="60E09EEE">
      <w:pPr>
        <w:pStyle w:val="ListParagraph"/>
        <w:ind w:left="450"/>
        <w:rPr>
          <w:szCs w:val="24"/>
        </w:rPr>
      </w:pPr>
      <w:r>
        <w:rPr>
          <w:szCs w:val="24"/>
        </w:rPr>
        <w:t xml:space="preserve">The Departments </w:t>
      </w:r>
      <w:r w:rsidRPr="00636788" w:rsidR="00636788">
        <w:rPr>
          <w:szCs w:val="24"/>
        </w:rPr>
        <w:t xml:space="preserve">enabled reporting entities to submit </w:t>
      </w:r>
      <w:r w:rsidR="00DE7B7C">
        <w:rPr>
          <w:szCs w:val="24"/>
        </w:rPr>
        <w:t xml:space="preserve">sets of </w:t>
      </w:r>
      <w:r w:rsidRPr="00636788" w:rsidR="00636788">
        <w:rPr>
          <w:szCs w:val="24"/>
        </w:rPr>
        <w:t>multiple files</w:t>
      </w:r>
      <w:r w:rsidR="00636788">
        <w:rPr>
          <w:szCs w:val="24"/>
        </w:rPr>
        <w:t xml:space="preserve">, and </w:t>
      </w:r>
      <w:r w:rsidR="00C81F16">
        <w:rPr>
          <w:szCs w:val="24"/>
        </w:rPr>
        <w:t>are</w:t>
      </w:r>
      <w:r w:rsidR="00E11DB5">
        <w:rPr>
          <w:szCs w:val="24"/>
        </w:rPr>
        <w:t xml:space="preserve"> working </w:t>
      </w:r>
      <w:r w:rsidR="00C81F16">
        <w:rPr>
          <w:szCs w:val="24"/>
        </w:rPr>
        <w:t xml:space="preserve">on </w:t>
      </w:r>
      <w:r w:rsidR="00C81F16">
        <w:rPr>
          <w:szCs w:val="24"/>
        </w:rPr>
        <w:t xml:space="preserve">increasing </w:t>
      </w:r>
      <w:r w:rsidR="00C81F16">
        <w:rPr>
          <w:szCs w:val="24"/>
        </w:rPr>
        <w:t xml:space="preserve">the file size </w:t>
      </w:r>
      <w:r w:rsidR="00C81F16">
        <w:rPr>
          <w:szCs w:val="24"/>
        </w:rPr>
        <w:t xml:space="preserve">limit </w:t>
      </w:r>
      <w:r w:rsidR="00C81F16">
        <w:rPr>
          <w:szCs w:val="24"/>
        </w:rPr>
        <w:t xml:space="preserve">in preparation for </w:t>
      </w:r>
      <w:r w:rsidR="00C81F16">
        <w:rPr>
          <w:szCs w:val="24"/>
        </w:rPr>
        <w:t xml:space="preserve">the next reporting </w:t>
      </w:r>
      <w:r w:rsidR="00C81F16">
        <w:rPr>
          <w:szCs w:val="24"/>
        </w:rPr>
        <w:t xml:space="preserve">cycle. </w:t>
      </w:r>
      <w:r w:rsidRPr="00636788" w:rsidR="00636788">
        <w:rPr>
          <w:szCs w:val="24"/>
        </w:rPr>
        <w:t>The Departments will continue to explore ways to improve the user experience subject to resource availability.</w:t>
      </w:r>
    </w:p>
    <w:p w:rsidR="00576F9F" w:rsidP="00576F9F" w14:paraId="3B685F6B" w14:textId="7B4D9684">
      <w:pPr>
        <w:rPr>
          <w:szCs w:val="24"/>
        </w:rPr>
      </w:pPr>
    </w:p>
    <w:p w:rsidR="00576F9F" w:rsidP="00576F9F" w14:paraId="5019BC80" w14:textId="66DF57B2">
      <w:pPr>
        <w:pStyle w:val="ListParagraph"/>
        <w:numPr>
          <w:ilvl w:val="0"/>
          <w:numId w:val="2"/>
        </w:numPr>
        <w:rPr>
          <w:szCs w:val="24"/>
        </w:rPr>
      </w:pPr>
      <w:r>
        <w:rPr>
          <w:szCs w:val="24"/>
        </w:rPr>
        <w:t xml:space="preserve">One comment on the 30-day package </w:t>
      </w:r>
      <w:r w:rsidRPr="00576F9F">
        <w:rPr>
          <w:szCs w:val="24"/>
        </w:rPr>
        <w:t>request</w:t>
      </w:r>
      <w:r>
        <w:rPr>
          <w:szCs w:val="24"/>
        </w:rPr>
        <w:t>ed</w:t>
      </w:r>
      <w:r w:rsidRPr="00576F9F">
        <w:rPr>
          <w:szCs w:val="24"/>
        </w:rPr>
        <w:t xml:space="preserve"> the Departments clarify which entity is responsible for establishing the aggregation level for all reporting entities</w:t>
      </w:r>
      <w:r>
        <w:rPr>
          <w:szCs w:val="24"/>
        </w:rPr>
        <w:t>.</w:t>
      </w:r>
    </w:p>
    <w:p w:rsidR="00576F9F" w:rsidP="00576F9F" w14:paraId="6851AEED" w14:textId="77777777">
      <w:pPr>
        <w:rPr>
          <w:szCs w:val="24"/>
        </w:rPr>
      </w:pPr>
    </w:p>
    <w:p w:rsidR="00576F9F" w:rsidRPr="00F07FF1" w:rsidP="00576F9F" w14:paraId="7CCE99B2" w14:textId="68C7A25C">
      <w:pPr>
        <w:ind w:left="450"/>
        <w:rPr>
          <w:szCs w:val="24"/>
          <w:u w:val="single"/>
        </w:rPr>
      </w:pPr>
      <w:r w:rsidRPr="00F07FF1">
        <w:rPr>
          <w:szCs w:val="24"/>
          <w:u w:val="single"/>
        </w:rPr>
        <w:t>Response</w:t>
      </w:r>
    </w:p>
    <w:p w:rsidR="00576F9F" w:rsidRPr="00576F9F" w:rsidP="00576F9F" w14:paraId="24622943" w14:textId="0B0AF53F">
      <w:pPr>
        <w:ind w:left="450"/>
        <w:rPr>
          <w:szCs w:val="24"/>
        </w:rPr>
      </w:pPr>
      <w:r>
        <w:rPr>
          <w:szCs w:val="24"/>
        </w:rPr>
        <w:t xml:space="preserve">The Departments note that section </w:t>
      </w:r>
      <w:r>
        <w:rPr>
          <w:szCs w:val="24"/>
        </w:rPr>
        <w:t>5.6 of</w:t>
      </w:r>
      <w:r>
        <w:rPr>
          <w:szCs w:val="24"/>
        </w:rPr>
        <w:t xml:space="preserve"> </w:t>
      </w:r>
      <w:r>
        <w:rPr>
          <w:szCs w:val="24"/>
        </w:rPr>
        <w:t xml:space="preserve">the instructions </w:t>
      </w:r>
      <w:r>
        <w:rPr>
          <w:szCs w:val="24"/>
        </w:rPr>
        <w:t>specif</w:t>
      </w:r>
      <w:r>
        <w:rPr>
          <w:szCs w:val="24"/>
        </w:rPr>
        <w:t>ies</w:t>
      </w:r>
      <w:r>
        <w:rPr>
          <w:szCs w:val="24"/>
        </w:rPr>
        <w:t xml:space="preserve"> </w:t>
      </w:r>
      <w:r>
        <w:rPr>
          <w:szCs w:val="24"/>
        </w:rPr>
        <w:t xml:space="preserve">that </w:t>
      </w:r>
      <w:r w:rsidR="00636788">
        <w:rPr>
          <w:szCs w:val="24"/>
        </w:rPr>
        <w:t xml:space="preserve">the aggregation level must be established based on </w:t>
      </w:r>
      <w:r>
        <w:rPr>
          <w:szCs w:val="24"/>
        </w:rPr>
        <w:t xml:space="preserve">the </w:t>
      </w:r>
      <w:r w:rsidR="00636788">
        <w:rPr>
          <w:szCs w:val="24"/>
        </w:rPr>
        <w:t xml:space="preserve">reporting </w:t>
      </w:r>
      <w:r>
        <w:rPr>
          <w:szCs w:val="24"/>
        </w:rPr>
        <w:t>entity</w:t>
      </w:r>
      <w:r>
        <w:rPr>
          <w:szCs w:val="24"/>
        </w:rPr>
        <w:t xml:space="preserve"> submitting D2 at the </w:t>
      </w:r>
      <w:r>
        <w:rPr>
          <w:szCs w:val="24"/>
        </w:rPr>
        <w:t xml:space="preserve">most granular </w:t>
      </w:r>
      <w:r>
        <w:rPr>
          <w:szCs w:val="24"/>
        </w:rPr>
        <w:t>level</w:t>
      </w:r>
      <w:r>
        <w:rPr>
          <w:szCs w:val="24"/>
        </w:rPr>
        <w:t>.</w:t>
      </w:r>
    </w:p>
    <w:sectPr w:rsidSect="00DE4C84">
      <w:footerReference w:type="default" r:id="rId7"/>
      <w:pgSz w:w="12240" w:h="15840"/>
      <w:pgMar w:top="1440" w:right="1440" w:bottom="1170" w:left="1440" w:header="360" w:footer="34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78844970"/>
      <w:docPartObj>
        <w:docPartGallery w:val="Page Numbers (Bottom of Page)"/>
        <w:docPartUnique/>
      </w:docPartObj>
    </w:sdtPr>
    <w:sdtContent>
      <w:sdt>
        <w:sdtPr>
          <w:id w:val="98381352"/>
          <w:docPartObj>
            <w:docPartGallery w:val="Page Numbers (Top of Page)"/>
            <w:docPartUnique/>
          </w:docPartObj>
        </w:sdtPr>
        <w:sdtContent>
          <w:p w:rsidR="008826AD" w:rsidP="005173E0" w14:paraId="55CB4157" w14:textId="77777777">
            <w:pPr>
              <w:pStyle w:val="Footer"/>
              <w:jc w:val="center"/>
            </w:pPr>
            <w:r>
              <w:t xml:space="preserve">Page </w:t>
            </w:r>
            <w:r>
              <w:rPr>
                <w:b/>
                <w:szCs w:val="24"/>
              </w:rPr>
              <w:fldChar w:fldCharType="begin"/>
            </w:r>
            <w:r>
              <w:rPr>
                <w:b/>
              </w:rPr>
              <w:instrText xml:space="preserve"> PAGE </w:instrText>
            </w:r>
            <w:r>
              <w:rPr>
                <w:b/>
                <w:szCs w:val="24"/>
              </w:rPr>
              <w:fldChar w:fldCharType="separate"/>
            </w:r>
            <w:r>
              <w:rPr>
                <w:b/>
                <w:noProof/>
              </w:rPr>
              <w:t>1</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Pr>
                <w:b/>
                <w:noProof/>
              </w:rPr>
              <w:t>1</w:t>
            </w:r>
            <w:r>
              <w:rPr>
                <w:b/>
                <w:szCs w:val="24"/>
              </w:rPr>
              <w:fldChar w:fldCharType="end"/>
            </w:r>
          </w:p>
        </w:sdtContent>
      </w:sdt>
    </w:sdtContent>
  </w:sdt>
  <w:p w:rsidR="008826AD" w14:paraId="71968FA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461D1"/>
    <w:multiLevelType w:val="hybridMultilevel"/>
    <w:tmpl w:val="D396B3C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
    <w:nsid w:val="0E306F32"/>
    <w:multiLevelType w:val="hybridMultilevel"/>
    <w:tmpl w:val="2076B170"/>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
    <w:nsid w:val="1B780568"/>
    <w:multiLevelType w:val="hybridMultilevel"/>
    <w:tmpl w:val="2354C3FE"/>
    <w:lvl w:ilvl="0">
      <w:start w:val="1"/>
      <w:numFmt w:val="decimal"/>
      <w:lvlText w:val="%1."/>
      <w:lvlJc w:val="left"/>
      <w:pPr>
        <w:ind w:left="45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FA001E4"/>
    <w:multiLevelType w:val="hybridMultilevel"/>
    <w:tmpl w:val="F328FED6"/>
    <w:lvl w:ilvl="0">
      <w:start w:val="1"/>
      <w:numFmt w:val="bullet"/>
      <w:lvlText w:val="-"/>
      <w:lvlJc w:val="left"/>
      <w:pPr>
        <w:ind w:left="810" w:hanging="360"/>
      </w:pPr>
      <w:rPr>
        <w:rFonts w:ascii="Courier New" w:hAnsi="Courier New" w:cs="Times New Roman"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4">
    <w:nsid w:val="31F00ADF"/>
    <w:multiLevelType w:val="hybridMultilevel"/>
    <w:tmpl w:val="88989CE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
    <w:nsid w:val="3D64720B"/>
    <w:multiLevelType w:val="hybridMultilevel"/>
    <w:tmpl w:val="C9CE5DF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
    <w:nsid w:val="405E1201"/>
    <w:multiLevelType w:val="hybridMultilevel"/>
    <w:tmpl w:val="DFC2A6C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
    <w:nsid w:val="43054C7C"/>
    <w:multiLevelType w:val="hybridMultilevel"/>
    <w:tmpl w:val="E6ACDDD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8">
    <w:nsid w:val="5BB740B0"/>
    <w:multiLevelType w:val="hybridMultilevel"/>
    <w:tmpl w:val="A47E022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9">
    <w:nsid w:val="7DEC226F"/>
    <w:multiLevelType w:val="hybridMultilevel"/>
    <w:tmpl w:val="87A08936"/>
    <w:lvl w:ilvl="0">
      <w:start w:val="1"/>
      <w:numFmt w:val="upperLetter"/>
      <w:pStyle w:val="Heading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82448626">
    <w:abstractNumId w:val="9"/>
  </w:num>
  <w:num w:numId="2" w16cid:durableId="284309475">
    <w:abstractNumId w:val="2"/>
  </w:num>
  <w:num w:numId="3" w16cid:durableId="1219122668">
    <w:abstractNumId w:val="1"/>
  </w:num>
  <w:num w:numId="4" w16cid:durableId="708260646">
    <w:abstractNumId w:val="3"/>
  </w:num>
  <w:num w:numId="5" w16cid:durableId="1715694181">
    <w:abstractNumId w:val="4"/>
  </w:num>
  <w:num w:numId="6" w16cid:durableId="1600141647">
    <w:abstractNumId w:val="6"/>
  </w:num>
  <w:num w:numId="7" w16cid:durableId="81537438">
    <w:abstractNumId w:val="8"/>
  </w:num>
  <w:num w:numId="8" w16cid:durableId="601844008">
    <w:abstractNumId w:val="5"/>
  </w:num>
  <w:num w:numId="9" w16cid:durableId="316812095">
    <w:abstractNumId w:val="7"/>
  </w:num>
  <w:num w:numId="10" w16cid:durableId="207173468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Lim, Jiyun (CMS/CCIIO)">
    <w15:presenceInfo w15:providerId="AD" w15:userId="S::jiyun.lim@cms.hhs.gov::ad071865-f77c-46c6-bc49-ec0ac3b973ad"/>
  </w15:person>
  <w15:person w15:author="Whitefield, Christina (CMS/CCIIO)">
    <w15:presenceInfo w15:providerId="AD" w15:userId="S::christina.whitefield@cms.hhs.gov::418cf82f-fde8-4703-ae03-3bfac7cb70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F5A"/>
    <w:rsid w:val="00010776"/>
    <w:rsid w:val="00024D51"/>
    <w:rsid w:val="00036E96"/>
    <w:rsid w:val="00047B90"/>
    <w:rsid w:val="00051F10"/>
    <w:rsid w:val="000575E6"/>
    <w:rsid w:val="00063682"/>
    <w:rsid w:val="0007717D"/>
    <w:rsid w:val="0008163A"/>
    <w:rsid w:val="00093933"/>
    <w:rsid w:val="00093FFC"/>
    <w:rsid w:val="0009514F"/>
    <w:rsid w:val="000B0511"/>
    <w:rsid w:val="000D0E97"/>
    <w:rsid w:val="000D77C7"/>
    <w:rsid w:val="000F7581"/>
    <w:rsid w:val="0011330E"/>
    <w:rsid w:val="00122724"/>
    <w:rsid w:val="0013115A"/>
    <w:rsid w:val="0013471C"/>
    <w:rsid w:val="00146FD5"/>
    <w:rsid w:val="00153A39"/>
    <w:rsid w:val="00157D82"/>
    <w:rsid w:val="00157DD1"/>
    <w:rsid w:val="00160BA2"/>
    <w:rsid w:val="00161405"/>
    <w:rsid w:val="001679CE"/>
    <w:rsid w:val="001714CE"/>
    <w:rsid w:val="001A31C9"/>
    <w:rsid w:val="001A7EE0"/>
    <w:rsid w:val="001B4736"/>
    <w:rsid w:val="001C1343"/>
    <w:rsid w:val="001C2E8E"/>
    <w:rsid w:val="001D418E"/>
    <w:rsid w:val="001E165C"/>
    <w:rsid w:val="001E6AB4"/>
    <w:rsid w:val="001F78DB"/>
    <w:rsid w:val="0021135A"/>
    <w:rsid w:val="00213181"/>
    <w:rsid w:val="00223504"/>
    <w:rsid w:val="0023772A"/>
    <w:rsid w:val="002523C0"/>
    <w:rsid w:val="00252DFE"/>
    <w:rsid w:val="00264C4C"/>
    <w:rsid w:val="00267DBE"/>
    <w:rsid w:val="00274A2D"/>
    <w:rsid w:val="00276D9F"/>
    <w:rsid w:val="00277A2E"/>
    <w:rsid w:val="00280537"/>
    <w:rsid w:val="00281162"/>
    <w:rsid w:val="00286C92"/>
    <w:rsid w:val="002A4BFA"/>
    <w:rsid w:val="002A4E43"/>
    <w:rsid w:val="002C492B"/>
    <w:rsid w:val="002D59A7"/>
    <w:rsid w:val="002E08AC"/>
    <w:rsid w:val="00304F32"/>
    <w:rsid w:val="00317C69"/>
    <w:rsid w:val="00321827"/>
    <w:rsid w:val="00324CD8"/>
    <w:rsid w:val="00335492"/>
    <w:rsid w:val="00354E5B"/>
    <w:rsid w:val="00375328"/>
    <w:rsid w:val="0038352D"/>
    <w:rsid w:val="00391352"/>
    <w:rsid w:val="00391C59"/>
    <w:rsid w:val="003A6474"/>
    <w:rsid w:val="003C7E9C"/>
    <w:rsid w:val="00427817"/>
    <w:rsid w:val="004323C9"/>
    <w:rsid w:val="004326D0"/>
    <w:rsid w:val="00450078"/>
    <w:rsid w:val="004A2FF5"/>
    <w:rsid w:val="004B2F48"/>
    <w:rsid w:val="004D4946"/>
    <w:rsid w:val="004D5F59"/>
    <w:rsid w:val="004D7E54"/>
    <w:rsid w:val="004E36F3"/>
    <w:rsid w:val="004F420F"/>
    <w:rsid w:val="005173E0"/>
    <w:rsid w:val="00527F54"/>
    <w:rsid w:val="00534B9A"/>
    <w:rsid w:val="00544DF7"/>
    <w:rsid w:val="0056440F"/>
    <w:rsid w:val="00576F9F"/>
    <w:rsid w:val="005B0D9C"/>
    <w:rsid w:val="005C77CB"/>
    <w:rsid w:val="005E2789"/>
    <w:rsid w:val="005E6CD7"/>
    <w:rsid w:val="00617F71"/>
    <w:rsid w:val="006347DE"/>
    <w:rsid w:val="00636788"/>
    <w:rsid w:val="00677305"/>
    <w:rsid w:val="00682862"/>
    <w:rsid w:val="006863B2"/>
    <w:rsid w:val="006A3EBF"/>
    <w:rsid w:val="006B55DE"/>
    <w:rsid w:val="006E451A"/>
    <w:rsid w:val="006F45D5"/>
    <w:rsid w:val="00715D22"/>
    <w:rsid w:val="00715EFE"/>
    <w:rsid w:val="00727F97"/>
    <w:rsid w:val="00740BC2"/>
    <w:rsid w:val="00746253"/>
    <w:rsid w:val="00754BF9"/>
    <w:rsid w:val="00796865"/>
    <w:rsid w:val="007B1CBE"/>
    <w:rsid w:val="007D4DCF"/>
    <w:rsid w:val="007E36AC"/>
    <w:rsid w:val="00801AEF"/>
    <w:rsid w:val="008101C6"/>
    <w:rsid w:val="0081131A"/>
    <w:rsid w:val="008237CE"/>
    <w:rsid w:val="00824543"/>
    <w:rsid w:val="00834D34"/>
    <w:rsid w:val="0084582E"/>
    <w:rsid w:val="00846647"/>
    <w:rsid w:val="008505B9"/>
    <w:rsid w:val="0085495C"/>
    <w:rsid w:val="00863848"/>
    <w:rsid w:val="008826AD"/>
    <w:rsid w:val="008B6451"/>
    <w:rsid w:val="008C07BD"/>
    <w:rsid w:val="008D3B15"/>
    <w:rsid w:val="008E5BC6"/>
    <w:rsid w:val="008F4D6A"/>
    <w:rsid w:val="008F6E84"/>
    <w:rsid w:val="00901755"/>
    <w:rsid w:val="00902BFA"/>
    <w:rsid w:val="00921BBB"/>
    <w:rsid w:val="00922E2A"/>
    <w:rsid w:val="00924BDE"/>
    <w:rsid w:val="00931C58"/>
    <w:rsid w:val="009422BE"/>
    <w:rsid w:val="009636DC"/>
    <w:rsid w:val="00970487"/>
    <w:rsid w:val="00971C31"/>
    <w:rsid w:val="00974751"/>
    <w:rsid w:val="00975FC5"/>
    <w:rsid w:val="009847C3"/>
    <w:rsid w:val="009F62C8"/>
    <w:rsid w:val="009F6769"/>
    <w:rsid w:val="00A060C5"/>
    <w:rsid w:val="00A13901"/>
    <w:rsid w:val="00A20A46"/>
    <w:rsid w:val="00A24DD5"/>
    <w:rsid w:val="00A370BA"/>
    <w:rsid w:val="00A407CD"/>
    <w:rsid w:val="00A44A3B"/>
    <w:rsid w:val="00A575DD"/>
    <w:rsid w:val="00A6297B"/>
    <w:rsid w:val="00A86132"/>
    <w:rsid w:val="00A97A82"/>
    <w:rsid w:val="00AA345A"/>
    <w:rsid w:val="00AA3F1C"/>
    <w:rsid w:val="00AA6C3A"/>
    <w:rsid w:val="00AB09EC"/>
    <w:rsid w:val="00AC0F0C"/>
    <w:rsid w:val="00AC19D6"/>
    <w:rsid w:val="00AC1ABB"/>
    <w:rsid w:val="00AF3A0B"/>
    <w:rsid w:val="00AF5C62"/>
    <w:rsid w:val="00B13FB6"/>
    <w:rsid w:val="00B472CD"/>
    <w:rsid w:val="00B57224"/>
    <w:rsid w:val="00B933F3"/>
    <w:rsid w:val="00BA4BFC"/>
    <w:rsid w:val="00BA53B1"/>
    <w:rsid w:val="00BC5EBB"/>
    <w:rsid w:val="00BD0D4A"/>
    <w:rsid w:val="00C052BB"/>
    <w:rsid w:val="00C12FE1"/>
    <w:rsid w:val="00C15B96"/>
    <w:rsid w:val="00C17A9B"/>
    <w:rsid w:val="00C27CA3"/>
    <w:rsid w:val="00C46DBB"/>
    <w:rsid w:val="00C50F5A"/>
    <w:rsid w:val="00C710FE"/>
    <w:rsid w:val="00C715BD"/>
    <w:rsid w:val="00C7765C"/>
    <w:rsid w:val="00C81F16"/>
    <w:rsid w:val="00CA6A4F"/>
    <w:rsid w:val="00CB6882"/>
    <w:rsid w:val="00CC3E9F"/>
    <w:rsid w:val="00CD0EA6"/>
    <w:rsid w:val="00CD0F69"/>
    <w:rsid w:val="00CE29C8"/>
    <w:rsid w:val="00CE4D97"/>
    <w:rsid w:val="00CF13C1"/>
    <w:rsid w:val="00CF20FE"/>
    <w:rsid w:val="00CF5B89"/>
    <w:rsid w:val="00CF5C59"/>
    <w:rsid w:val="00D03ECB"/>
    <w:rsid w:val="00D0739D"/>
    <w:rsid w:val="00D165E4"/>
    <w:rsid w:val="00D4100F"/>
    <w:rsid w:val="00D505CB"/>
    <w:rsid w:val="00D6035A"/>
    <w:rsid w:val="00D65F5A"/>
    <w:rsid w:val="00D74106"/>
    <w:rsid w:val="00D76CC2"/>
    <w:rsid w:val="00D8512D"/>
    <w:rsid w:val="00D86A18"/>
    <w:rsid w:val="00DA0FFC"/>
    <w:rsid w:val="00DB147A"/>
    <w:rsid w:val="00DC58A8"/>
    <w:rsid w:val="00DE0B6D"/>
    <w:rsid w:val="00DE285B"/>
    <w:rsid w:val="00DE4C84"/>
    <w:rsid w:val="00DE7B7C"/>
    <w:rsid w:val="00E10DB7"/>
    <w:rsid w:val="00E11DB5"/>
    <w:rsid w:val="00E131B6"/>
    <w:rsid w:val="00E1606A"/>
    <w:rsid w:val="00E228A4"/>
    <w:rsid w:val="00E43FFE"/>
    <w:rsid w:val="00E4707A"/>
    <w:rsid w:val="00E510CF"/>
    <w:rsid w:val="00E62927"/>
    <w:rsid w:val="00E720EE"/>
    <w:rsid w:val="00E77F4D"/>
    <w:rsid w:val="00E911AD"/>
    <w:rsid w:val="00EB206F"/>
    <w:rsid w:val="00EB3BF4"/>
    <w:rsid w:val="00EC3181"/>
    <w:rsid w:val="00EC3360"/>
    <w:rsid w:val="00ED50D5"/>
    <w:rsid w:val="00EE610A"/>
    <w:rsid w:val="00F04FD2"/>
    <w:rsid w:val="00F07FF1"/>
    <w:rsid w:val="00F13D7F"/>
    <w:rsid w:val="00F15A5E"/>
    <w:rsid w:val="00F4094B"/>
    <w:rsid w:val="00F4310A"/>
    <w:rsid w:val="00F50E90"/>
    <w:rsid w:val="00F6496F"/>
    <w:rsid w:val="00F66D33"/>
    <w:rsid w:val="00F9736C"/>
    <w:rsid w:val="00FA0AA4"/>
    <w:rsid w:val="00FA168E"/>
    <w:rsid w:val="00FA2184"/>
    <w:rsid w:val="00FA53C7"/>
    <w:rsid w:val="00FC7982"/>
    <w:rsid w:val="00FE496D"/>
    <w:rsid w:val="00FF10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4CB790"/>
  <w15:chartTrackingRefBased/>
  <w15:docId w15:val="{089529BA-A26E-403F-8B06-C66FD1A34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5F5A"/>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uiPriority w:val="9"/>
    <w:qFormat/>
    <w:rsid w:val="00D65F5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
    <w:unhideWhenUsed/>
    <w:qFormat/>
    <w:rsid w:val="00D65F5A"/>
    <w:pPr>
      <w:numPr>
        <w:numId w:val="1"/>
      </w:numPr>
      <w:spacing w:after="240" w:line="272" w:lineRule="exact"/>
      <w:ind w:right="125"/>
      <w:outlineLvl w:val="1"/>
    </w:pPr>
    <w:rPr>
      <w:rFonts w:ascii="Times New Roman" w:hAnsi="Times New Roman"/>
      <w:b/>
      <w:color w:val="000000" w:themeColor="text1"/>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5F5A"/>
    <w:rPr>
      <w:rFonts w:ascii="Times New Roman" w:hAnsi="Times New Roman" w:eastAsiaTheme="majorEastAsia" w:cstheme="majorBidi"/>
      <w:b/>
      <w:snapToGrid w:val="0"/>
      <w:color w:val="000000" w:themeColor="text1"/>
      <w:sz w:val="24"/>
      <w:szCs w:val="26"/>
      <w:u w:val="single"/>
    </w:rPr>
  </w:style>
  <w:style w:type="paragraph" w:styleId="Header">
    <w:name w:val="header"/>
    <w:basedOn w:val="Normal"/>
    <w:link w:val="HeaderChar"/>
    <w:uiPriority w:val="99"/>
    <w:unhideWhenUsed/>
    <w:rsid w:val="00D65F5A"/>
    <w:pPr>
      <w:tabs>
        <w:tab w:val="center" w:pos="4680"/>
        <w:tab w:val="right" w:pos="9360"/>
      </w:tabs>
    </w:pPr>
  </w:style>
  <w:style w:type="character" w:customStyle="1" w:styleId="HeaderChar">
    <w:name w:val="Header Char"/>
    <w:basedOn w:val="DefaultParagraphFont"/>
    <w:link w:val="Header"/>
    <w:uiPriority w:val="99"/>
    <w:rsid w:val="00D65F5A"/>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D65F5A"/>
    <w:pPr>
      <w:tabs>
        <w:tab w:val="center" w:pos="4680"/>
        <w:tab w:val="right" w:pos="9360"/>
      </w:tabs>
    </w:pPr>
  </w:style>
  <w:style w:type="character" w:customStyle="1" w:styleId="FooterChar">
    <w:name w:val="Footer Char"/>
    <w:basedOn w:val="DefaultParagraphFont"/>
    <w:link w:val="Footer"/>
    <w:uiPriority w:val="99"/>
    <w:rsid w:val="00D65F5A"/>
    <w:rPr>
      <w:rFonts w:ascii="Times New Roman" w:eastAsia="Times New Roman" w:hAnsi="Times New Roman" w:cs="Times New Roman"/>
      <w:snapToGrid w:val="0"/>
      <w:sz w:val="24"/>
      <w:szCs w:val="20"/>
    </w:rPr>
  </w:style>
  <w:style w:type="paragraph" w:styleId="ListParagraph">
    <w:name w:val="List Paragraph"/>
    <w:basedOn w:val="Normal"/>
    <w:uiPriority w:val="1"/>
    <w:qFormat/>
    <w:rsid w:val="00D65F5A"/>
    <w:pPr>
      <w:ind w:left="720"/>
      <w:contextualSpacing/>
    </w:pPr>
  </w:style>
  <w:style w:type="character" w:customStyle="1" w:styleId="Heading1Char">
    <w:name w:val="Heading 1 Char"/>
    <w:basedOn w:val="DefaultParagraphFont"/>
    <w:link w:val="Heading1"/>
    <w:uiPriority w:val="9"/>
    <w:rsid w:val="00D65F5A"/>
    <w:rPr>
      <w:rFonts w:asciiTheme="majorHAnsi" w:eastAsiaTheme="majorEastAsia" w:hAnsiTheme="majorHAnsi" w:cstheme="majorBidi"/>
      <w:snapToGrid w:val="0"/>
      <w:color w:val="2F5496" w:themeColor="accent1" w:themeShade="BF"/>
      <w:sz w:val="32"/>
      <w:szCs w:val="32"/>
    </w:rPr>
  </w:style>
  <w:style w:type="paragraph" w:styleId="TOCHeading">
    <w:name w:val="TOC Heading"/>
    <w:basedOn w:val="Heading1"/>
    <w:next w:val="Normal"/>
    <w:uiPriority w:val="39"/>
    <w:unhideWhenUsed/>
    <w:qFormat/>
    <w:rsid w:val="00D65F5A"/>
    <w:pPr>
      <w:widowControl/>
      <w:spacing w:before="480" w:line="276" w:lineRule="auto"/>
      <w:ind w:right="125"/>
      <w:outlineLvl w:val="9"/>
    </w:pPr>
    <w:rPr>
      <w:b/>
      <w:bCs/>
      <w:snapToGrid/>
      <w:sz w:val="28"/>
      <w:szCs w:val="28"/>
    </w:rPr>
  </w:style>
  <w:style w:type="paragraph" w:styleId="TOC2">
    <w:name w:val="toc 2"/>
    <w:basedOn w:val="Normal"/>
    <w:next w:val="Normal"/>
    <w:autoRedefine/>
    <w:uiPriority w:val="39"/>
    <w:unhideWhenUsed/>
    <w:rsid w:val="00D65F5A"/>
    <w:pPr>
      <w:tabs>
        <w:tab w:val="left" w:pos="880"/>
        <w:tab w:val="right" w:leader="dot" w:pos="9350"/>
      </w:tabs>
      <w:spacing w:after="100"/>
      <w:ind w:left="270" w:hanging="30"/>
    </w:pPr>
  </w:style>
  <w:style w:type="character" w:styleId="Hyperlink">
    <w:name w:val="Hyperlink"/>
    <w:basedOn w:val="DefaultParagraphFont"/>
    <w:uiPriority w:val="99"/>
    <w:unhideWhenUsed/>
    <w:rsid w:val="00D65F5A"/>
    <w:rPr>
      <w:color w:val="0563C1" w:themeColor="hyperlink"/>
      <w:u w:val="single"/>
    </w:rPr>
  </w:style>
  <w:style w:type="paragraph" w:styleId="Revision">
    <w:name w:val="Revision"/>
    <w:hidden/>
    <w:uiPriority w:val="99"/>
    <w:semiHidden/>
    <w:rsid w:val="00F66D33"/>
    <w:pPr>
      <w:spacing w:after="0" w:line="240" w:lineRule="auto"/>
    </w:pPr>
    <w:rPr>
      <w:rFonts w:ascii="Times New Roman" w:eastAsia="Times New Roman" w:hAnsi="Times New Roman" w:cs="Times New Roman"/>
      <w:snapToGrid w:val="0"/>
      <w:sz w:val="24"/>
      <w:szCs w:val="20"/>
    </w:rPr>
  </w:style>
  <w:style w:type="character" w:styleId="CommentReference">
    <w:name w:val="annotation reference"/>
    <w:basedOn w:val="DefaultParagraphFont"/>
    <w:uiPriority w:val="99"/>
    <w:semiHidden/>
    <w:unhideWhenUsed/>
    <w:rsid w:val="009F62C8"/>
    <w:rPr>
      <w:sz w:val="16"/>
      <w:szCs w:val="16"/>
    </w:rPr>
  </w:style>
  <w:style w:type="paragraph" w:styleId="CommentText">
    <w:name w:val="annotation text"/>
    <w:basedOn w:val="Normal"/>
    <w:link w:val="CommentTextChar"/>
    <w:uiPriority w:val="99"/>
    <w:unhideWhenUsed/>
    <w:rsid w:val="009F62C8"/>
    <w:rPr>
      <w:sz w:val="20"/>
    </w:rPr>
  </w:style>
  <w:style w:type="character" w:customStyle="1" w:styleId="CommentTextChar">
    <w:name w:val="Comment Text Char"/>
    <w:basedOn w:val="DefaultParagraphFont"/>
    <w:link w:val="CommentText"/>
    <w:uiPriority w:val="99"/>
    <w:rsid w:val="009F62C8"/>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9F62C8"/>
    <w:rPr>
      <w:b/>
      <w:bCs/>
    </w:rPr>
  </w:style>
  <w:style w:type="character" w:customStyle="1" w:styleId="CommentSubjectChar">
    <w:name w:val="Comment Subject Char"/>
    <w:basedOn w:val="CommentTextChar"/>
    <w:link w:val="CommentSubject"/>
    <w:uiPriority w:val="99"/>
    <w:semiHidden/>
    <w:rsid w:val="009F62C8"/>
    <w:rPr>
      <w:rFonts w:ascii="Times New Roman" w:eastAsia="Times New Roman" w:hAnsi="Times New Roman" w:cs="Times New Roman"/>
      <w:b/>
      <w:bCs/>
      <w:snapToGrid w:val="0"/>
      <w:sz w:val="20"/>
      <w:szCs w:val="20"/>
    </w:rPr>
  </w:style>
  <w:style w:type="paragraph" w:styleId="NoSpacing">
    <w:name w:val="No Spacing"/>
    <w:uiPriority w:val="1"/>
    <w:qFormat/>
    <w:rsid w:val="00427817"/>
    <w:pPr>
      <w:widowControl w:val="0"/>
      <w:spacing w:after="0" w:line="240" w:lineRule="auto"/>
    </w:pPr>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D16ECFC4841747B8826504CD5BEF87" ma:contentTypeVersion="16" ma:contentTypeDescription="Create a new document." ma:contentTypeScope="" ma:versionID="929351680e7b0bf3a845ea186451fbda">
  <xsd:schema xmlns:xsd="http://www.w3.org/2001/XMLSchema" xmlns:xs="http://www.w3.org/2001/XMLSchema" xmlns:p="http://schemas.microsoft.com/office/2006/metadata/properties" xmlns:ns3="27e8dcfc-d8ef-4df4-9cfc-b467387c11a8" xmlns:ns4="dc90ac1b-d95b-49ce-a0cb-963494c8f9d1" targetNamespace="http://schemas.microsoft.com/office/2006/metadata/properties" ma:root="true" ma:fieldsID="4dc90ad59c030abba381de8c3290349a" ns3:_="" ns4:_="">
    <xsd:import namespace="27e8dcfc-d8ef-4df4-9cfc-b467387c11a8"/>
    <xsd:import namespace="dc90ac1b-d95b-49ce-a0cb-963494c8f9d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_activity" minOccurs="0"/>
                <xsd:element ref="ns3:MediaServiceObjectDetectorVersions"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e8dcfc-d8ef-4df4-9cfc-b467387c1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90ac1b-d95b-49ce-a0cb-963494c8f9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7e8dcfc-d8ef-4df4-9cfc-b467387c11a8" xsi:nil="true"/>
  </documentManagement>
</p:properties>
</file>

<file path=customXml/itemProps1.xml><?xml version="1.0" encoding="utf-8"?>
<ds:datastoreItem xmlns:ds="http://schemas.openxmlformats.org/officeDocument/2006/customXml" ds:itemID="{B1409D54-A534-429E-A45D-6905A0A04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e8dcfc-d8ef-4df4-9cfc-b467387c11a8"/>
    <ds:schemaRef ds:uri="dc90ac1b-d95b-49ce-a0cb-963494c8f9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672125-39B1-43B8-9979-B68FB04C6CFF}">
  <ds:schemaRefs>
    <ds:schemaRef ds:uri="http://schemas.microsoft.com/sharepoint/v3/contenttype/forms"/>
  </ds:schemaRefs>
</ds:datastoreItem>
</file>

<file path=customXml/itemProps3.xml><?xml version="1.0" encoding="utf-8"?>
<ds:datastoreItem xmlns:ds="http://schemas.openxmlformats.org/officeDocument/2006/customXml" ds:itemID="{9708E4D8-9010-4B25-9643-F5FC43C1F7D3}">
  <ds:schemaRefs>
    <ds:schemaRef ds:uri="27e8dcfc-d8ef-4df4-9cfc-b467387c11a8"/>
    <ds:schemaRef ds:uri="http://schemas.microsoft.com/office/infopath/2007/PartnerControls"/>
    <ds:schemaRef ds:uri="http://schemas.microsoft.com/office/2006/documentManagement/types"/>
    <ds:schemaRef ds:uri="http://www.w3.org/XML/1998/namespace"/>
    <ds:schemaRef ds:uri="http://purl.org/dc/dcmitype/"/>
    <ds:schemaRef ds:uri="http://schemas.microsoft.com/office/2006/metadata/properties"/>
    <ds:schemaRef ds:uri="http://purl.org/dc/elements/1.1/"/>
    <ds:schemaRef ds:uri="http://schemas.openxmlformats.org/package/2006/metadata/core-properties"/>
    <ds:schemaRef ds:uri="dc90ac1b-d95b-49ce-a0cb-963494c8f9d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9838</TotalTime>
  <Pages>5</Pages>
  <Words>1942</Words>
  <Characters>11072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Comment Response Document</vt:lpstr>
    </vt:vector>
  </TitlesOfParts>
  <Company>Center For Medicaid Services</Company>
  <LinksUpToDate>false</LinksUpToDate>
  <CharactersWithSpaces>12989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 Response Document</dc:title>
  <dc:creator>CMS</dc:creator>
  <cp:keywords>Prescription Drug and Health Care Spending, Section 204, RxDC</cp:keywords>
  <cp:lastModifiedBy>Whitefield, Christina (CMS/CCIIO)</cp:lastModifiedBy>
  <cp:revision>27</cp:revision>
  <dcterms:created xsi:type="dcterms:W3CDTF">2024-04-12T19:50:00Z</dcterms:created>
  <dcterms:modified xsi:type="dcterms:W3CDTF">2024-11-16T01:01:00Z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0x0101008AD16ECFC4841747B8826504CD5BEF87</vt:lpwstr>
  </property>
</Properties>
</file>