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16E0" w:rsidRPr="00D816E0" w:rsidP="00D816E0" w14:paraId="2E8E09A9" w14:textId="73FD1B24">
      <w:pPr>
        <w:tabs>
          <w:tab w:val="center" w:pos="4752"/>
          <w:tab w:val="left" w:pos="5040"/>
          <w:tab w:val="left" w:pos="5760"/>
          <w:tab w:val="left" w:pos="6480"/>
          <w:tab w:val="left" w:pos="7200"/>
          <w:tab w:val="left" w:pos="7920"/>
          <w:tab w:val="left" w:pos="8640"/>
          <w:tab w:val="left" w:pos="9360"/>
        </w:tabs>
        <w:jc w:val="center"/>
        <w:rPr>
          <w:sz w:val="24"/>
        </w:rPr>
      </w:pPr>
      <w:r w:rsidRPr="00D816E0">
        <w:rPr>
          <w:sz w:val="24"/>
        </w:rPr>
        <w:t>Supporting Statement Part A</w:t>
      </w:r>
    </w:p>
    <w:p w:rsidR="00620BFD" w:rsidP="005A5B19" w14:paraId="2E8E09AA" w14:textId="77777777">
      <w:pPr>
        <w:tabs>
          <w:tab w:val="center" w:pos="4752"/>
          <w:tab w:val="left" w:pos="5040"/>
          <w:tab w:val="left" w:pos="5760"/>
          <w:tab w:val="left" w:pos="6480"/>
          <w:tab w:val="left" w:pos="7200"/>
          <w:tab w:val="left" w:pos="7920"/>
          <w:tab w:val="left" w:pos="8640"/>
          <w:tab w:val="left" w:pos="9360"/>
        </w:tabs>
        <w:jc w:val="center"/>
        <w:rPr>
          <w:sz w:val="24"/>
        </w:rPr>
      </w:pPr>
      <w:r w:rsidRPr="005A5B19">
        <w:rPr>
          <w:sz w:val="24"/>
        </w:rPr>
        <w:t>Medicaid Program Face-to-Face Requirements for Home Health Services</w:t>
      </w:r>
    </w:p>
    <w:p w:rsidR="00870D59" w:rsidRPr="005A5B19" w:rsidP="005A5B19" w14:paraId="2E8E09AB" w14:textId="77777777">
      <w:pPr>
        <w:tabs>
          <w:tab w:val="center" w:pos="4752"/>
          <w:tab w:val="left" w:pos="5040"/>
          <w:tab w:val="left" w:pos="5760"/>
          <w:tab w:val="left" w:pos="6480"/>
          <w:tab w:val="left" w:pos="7200"/>
          <w:tab w:val="left" w:pos="7920"/>
          <w:tab w:val="left" w:pos="8640"/>
          <w:tab w:val="left" w:pos="9360"/>
        </w:tabs>
        <w:jc w:val="center"/>
        <w:rPr>
          <w:sz w:val="24"/>
        </w:rPr>
      </w:pPr>
      <w:r w:rsidRPr="009E71D7">
        <w:rPr>
          <w:sz w:val="24"/>
        </w:rPr>
        <w:t>and Supporting Regulations under 42 CFR 440.70(f) and (g)</w:t>
      </w:r>
    </w:p>
    <w:p w:rsidR="00870D59" w:rsidRPr="005A5B19" w:rsidP="005A5B19" w14:paraId="2E8E09AC" w14:textId="77777777">
      <w:pPr>
        <w:tabs>
          <w:tab w:val="center" w:pos="4752"/>
          <w:tab w:val="left" w:pos="5040"/>
          <w:tab w:val="left" w:pos="5760"/>
          <w:tab w:val="left" w:pos="6480"/>
          <w:tab w:val="left" w:pos="7200"/>
          <w:tab w:val="left" w:pos="7920"/>
          <w:tab w:val="left" w:pos="8640"/>
          <w:tab w:val="left" w:pos="9360"/>
        </w:tabs>
        <w:jc w:val="center"/>
        <w:rPr>
          <w:sz w:val="24"/>
        </w:rPr>
      </w:pPr>
      <w:r w:rsidRPr="005A5B19">
        <w:rPr>
          <w:sz w:val="24"/>
        </w:rPr>
        <w:t>CMS-10609, OMB 0938-</w:t>
      </w:r>
      <w:r w:rsidR="00E03C42">
        <w:rPr>
          <w:sz w:val="24"/>
        </w:rPr>
        <w:t>1319</w:t>
      </w:r>
    </w:p>
    <w:p w:rsidR="00F43E88" w:rsidRPr="0083657F" w:rsidP="005A5B19" w14:paraId="2E8E09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A029B3" w:rsidRPr="008202EF" w:rsidP="0083657F" w14:paraId="101AD615" w14:textId="77423A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02EF">
        <w:rPr>
          <w:sz w:val="24"/>
        </w:rPr>
        <w:t>The contents of this Supporting Statement and the associated attachments have been reviewed to ensure that they are consistent with the Trump administration’s policies, goals, and objectives. This includes compliance with Executive Order 14168 and OMB’s SPD 15 standards.</w:t>
      </w:r>
    </w:p>
    <w:p w:rsidR="00A029B3" w:rsidRPr="0083657F" w:rsidP="005A5B19" w14:paraId="67D18D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8F1EB4" w:rsidRPr="005A5B19" w:rsidP="005A5B19" w14:paraId="2E8E09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b/>
          <w:bCs/>
          <w:sz w:val="24"/>
        </w:rPr>
        <w:t>Background</w:t>
      </w:r>
    </w:p>
    <w:p w:rsidR="008F1EB4" w:rsidRPr="005A5B19" w:rsidP="005A5B19" w14:paraId="2E8E09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4076B" w:rsidRPr="0004076B" w:rsidP="0004076B" w14:paraId="2E8E09B0" w14:textId="329F513F">
      <w:pPr>
        <w:pStyle w:val="NoSpacing"/>
        <w:rPr>
          <w:rFonts w:ascii="Times New Roman" w:hAnsi="Times New Roman"/>
          <w:sz w:val="24"/>
          <w:szCs w:val="24"/>
        </w:rPr>
      </w:pPr>
      <w:r w:rsidRPr="003979E2">
        <w:rPr>
          <w:rFonts w:ascii="Times New Roman" w:hAnsi="Times New Roman"/>
          <w:sz w:val="24"/>
          <w:szCs w:val="24"/>
        </w:rPr>
        <w:t xml:space="preserve">Section 6407(a) of the </w:t>
      </w:r>
      <w:r w:rsidRPr="003979E2" w:rsidR="000D5510">
        <w:rPr>
          <w:rFonts w:ascii="Times New Roman" w:hAnsi="Times New Roman"/>
          <w:sz w:val="24"/>
          <w:szCs w:val="24"/>
        </w:rPr>
        <w:t xml:space="preserve">Patient Protection and Affordable Care Act of 2010 (the </w:t>
      </w:r>
      <w:r w:rsidRPr="003979E2" w:rsidR="00AF4535">
        <w:rPr>
          <w:rFonts w:ascii="Times New Roman" w:hAnsi="Times New Roman"/>
          <w:sz w:val="24"/>
          <w:szCs w:val="24"/>
        </w:rPr>
        <w:t>ACA</w:t>
      </w:r>
      <w:r w:rsidRPr="003979E2" w:rsidR="000D5510">
        <w:rPr>
          <w:rFonts w:ascii="Times New Roman" w:hAnsi="Times New Roman"/>
          <w:sz w:val="24"/>
          <w:szCs w:val="24"/>
        </w:rPr>
        <w:t xml:space="preserve">) (Pub. L. 111-148), </w:t>
      </w:r>
      <w:r w:rsidRPr="00031083" w:rsidR="00031083">
        <w:rPr>
          <w:rFonts w:ascii="Times New Roman" w:hAnsi="Times New Roman"/>
          <w:sz w:val="24"/>
          <w:szCs w:val="24"/>
        </w:rPr>
        <w:t>(as amended by section 10605</w:t>
      </w:r>
      <w:r w:rsidR="00031083">
        <w:rPr>
          <w:rFonts w:ascii="Times New Roman" w:hAnsi="Times New Roman"/>
          <w:sz w:val="24"/>
          <w:szCs w:val="24"/>
        </w:rPr>
        <w:t xml:space="preserve"> of the ACA</w:t>
      </w:r>
      <w:r w:rsidRPr="00031083" w:rsidR="00031083">
        <w:rPr>
          <w:rFonts w:ascii="Times New Roman" w:hAnsi="Times New Roman"/>
          <w:sz w:val="24"/>
          <w:szCs w:val="24"/>
        </w:rPr>
        <w:t>)</w:t>
      </w:r>
      <w:r w:rsidR="00031083">
        <w:rPr>
          <w:rFonts w:ascii="Times New Roman" w:hAnsi="Times New Roman"/>
          <w:sz w:val="24"/>
          <w:szCs w:val="24"/>
        </w:rPr>
        <w:t xml:space="preserve"> </w:t>
      </w:r>
      <w:r w:rsidRPr="003979E2">
        <w:rPr>
          <w:rFonts w:ascii="Times New Roman" w:hAnsi="Times New Roman"/>
          <w:sz w:val="24"/>
          <w:szCs w:val="24"/>
        </w:rPr>
        <w:t xml:space="preserve">added new requirements to section 1814(a)(2)(C) </w:t>
      </w:r>
      <w:r w:rsidRPr="003979E2" w:rsidR="003979E2">
        <w:rPr>
          <w:rFonts w:ascii="Times New Roman" w:hAnsi="Times New Roman"/>
          <w:sz w:val="24"/>
          <w:szCs w:val="24"/>
        </w:rPr>
        <w:t xml:space="preserve">of the Social Security Act (the Act) </w:t>
      </w:r>
      <w:r w:rsidRPr="003979E2">
        <w:rPr>
          <w:rFonts w:ascii="Times New Roman" w:hAnsi="Times New Roman"/>
          <w:sz w:val="24"/>
          <w:szCs w:val="24"/>
        </w:rPr>
        <w:t xml:space="preserve">under Part A of the Medicare program, and section 1835(a)(2)(A) of the Act, under Part B of the Medicare program, that the physician, or certain allowed </w:t>
      </w:r>
      <w:r w:rsidRPr="003979E2" w:rsidR="008340C9">
        <w:rPr>
          <w:rFonts w:ascii="Times New Roman" w:hAnsi="Times New Roman"/>
          <w:sz w:val="24"/>
          <w:szCs w:val="24"/>
        </w:rPr>
        <w:t>non-physician practitioners (</w:t>
      </w:r>
      <w:r w:rsidRPr="003979E2">
        <w:rPr>
          <w:rFonts w:ascii="Times New Roman" w:hAnsi="Times New Roman"/>
          <w:sz w:val="24"/>
          <w:szCs w:val="24"/>
        </w:rPr>
        <w:t>NPPs</w:t>
      </w:r>
      <w:r w:rsidRPr="003979E2" w:rsidR="008340C9">
        <w:rPr>
          <w:rFonts w:ascii="Times New Roman" w:hAnsi="Times New Roman"/>
          <w:sz w:val="24"/>
          <w:szCs w:val="24"/>
        </w:rPr>
        <w:t>)</w:t>
      </w:r>
      <w:r w:rsidRPr="003979E2">
        <w:rPr>
          <w:rFonts w:ascii="Times New Roman" w:hAnsi="Times New Roman"/>
          <w:sz w:val="24"/>
          <w:szCs w:val="24"/>
        </w:rPr>
        <w:t>, document a face</w:t>
      </w:r>
      <w:r w:rsidRPr="003979E2">
        <w:rPr>
          <w:rFonts w:ascii="Times New Roman" w:hAnsi="Times New Roman"/>
          <w:sz w:val="24"/>
          <w:szCs w:val="24"/>
        </w:rPr>
        <w:noBreakHyphen/>
        <w:t>to-face encounter with the beneficiary (including through the use of telehealth, subject to the requirements in section 1834(m) of the Act), before making a certification that home health services are required under the Medicare home health benefit.</w:t>
      </w:r>
      <w:r w:rsidRPr="0004076B">
        <w:rPr>
          <w:rFonts w:ascii="Times New Roman" w:hAnsi="Times New Roman"/>
          <w:sz w:val="24"/>
          <w:szCs w:val="24"/>
        </w:rPr>
        <w:t xml:space="preserve">  </w:t>
      </w:r>
    </w:p>
    <w:p w:rsidR="0004076B" w:rsidRPr="0004076B" w:rsidP="0004076B" w14:paraId="2E8E09B1" w14:textId="77777777">
      <w:pPr>
        <w:rPr>
          <w:sz w:val="24"/>
        </w:rPr>
      </w:pPr>
    </w:p>
    <w:p w:rsidR="00CF1985" w:rsidP="0004076B" w14:paraId="2E8E09B2" w14:textId="4A4779C6">
      <w:pPr>
        <w:rPr>
          <w:sz w:val="24"/>
        </w:rPr>
      </w:pPr>
      <w:r w:rsidRPr="002F61D8">
        <w:rPr>
          <w:sz w:val="24"/>
        </w:rPr>
        <w:t xml:space="preserve">Section 504 of </w:t>
      </w:r>
      <w:r w:rsidRPr="002F61D8">
        <w:rPr>
          <w:iCs/>
          <w:sz w:val="24"/>
        </w:rPr>
        <w:t>the Medicare Access and CHIP Reauthorization Act of 2015 (MACRA) (Pub. L.</w:t>
      </w:r>
      <w:r w:rsidRPr="0004076B">
        <w:rPr>
          <w:iCs/>
          <w:sz w:val="24"/>
        </w:rPr>
        <w:t xml:space="preserve"> </w:t>
      </w:r>
      <w:r w:rsidRPr="002F61D8">
        <w:rPr>
          <w:iCs/>
          <w:sz w:val="24"/>
        </w:rPr>
        <w:t>114-10)</w:t>
      </w:r>
      <w:r w:rsidRPr="002F61D8">
        <w:rPr>
          <w:sz w:val="24"/>
        </w:rPr>
        <w:t xml:space="preserve"> amended the underlying Medicare requirements at </w:t>
      </w:r>
      <w:r w:rsidRPr="002F61D8">
        <w:rPr>
          <w:sz w:val="24"/>
          <w:lang w:val="en"/>
        </w:rPr>
        <w:t>section 1834(a)(11)(B)(ii) of the Act</w:t>
      </w:r>
      <w:r w:rsidRPr="0004076B">
        <w:rPr>
          <w:sz w:val="24"/>
          <w:lang w:val="en"/>
        </w:rPr>
        <w:t xml:space="preserve"> to </w:t>
      </w:r>
      <w:r w:rsidRPr="0004076B">
        <w:rPr>
          <w:sz w:val="24"/>
        </w:rPr>
        <w:t>allow certain authorized NPP</w:t>
      </w:r>
      <w:r w:rsidR="008340C9">
        <w:rPr>
          <w:sz w:val="24"/>
        </w:rPr>
        <w:t>s</w:t>
      </w:r>
      <w:r w:rsidRPr="0004076B" w:rsidR="008340C9">
        <w:rPr>
          <w:sz w:val="24"/>
        </w:rPr>
        <w:t xml:space="preserve"> </w:t>
      </w:r>
      <w:r w:rsidRPr="0004076B">
        <w:rPr>
          <w:sz w:val="24"/>
        </w:rPr>
        <w:t xml:space="preserve">to document the face-to-face encounter. </w:t>
      </w:r>
    </w:p>
    <w:p w:rsidR="00CF1985" w:rsidP="0004076B" w14:paraId="2E8E09B3" w14:textId="77777777">
      <w:pPr>
        <w:rPr>
          <w:sz w:val="24"/>
        </w:rPr>
      </w:pPr>
    </w:p>
    <w:p w:rsidR="005C36D6" w:rsidRPr="000778D5" w:rsidP="008340C9" w14:paraId="2E8E09B4" w14:textId="7773E15A">
      <w:pPr>
        <w:rPr>
          <w:sz w:val="24"/>
        </w:rPr>
      </w:pPr>
      <w:r w:rsidRPr="008F6CA4">
        <w:rPr>
          <w:sz w:val="24"/>
        </w:rPr>
        <w:t xml:space="preserve">Section </w:t>
      </w:r>
      <w:r w:rsidRPr="008F6CA4" w:rsidR="008340C9">
        <w:rPr>
          <w:sz w:val="24"/>
        </w:rPr>
        <w:t xml:space="preserve">3708 of the </w:t>
      </w:r>
      <w:r w:rsidRPr="008F6CA4" w:rsidR="00F24E3C">
        <w:rPr>
          <w:sz w:val="24"/>
        </w:rPr>
        <w:t xml:space="preserve">Coronavirus Aid, Relief, and Economic Security (CARES) Act </w:t>
      </w:r>
      <w:r w:rsidRPr="008F6CA4" w:rsidR="008340C9">
        <w:rPr>
          <w:sz w:val="24"/>
        </w:rPr>
        <w:t xml:space="preserve">expanded </w:t>
      </w:r>
      <w:r w:rsidRPr="008F6CA4">
        <w:rPr>
          <w:sz w:val="24"/>
        </w:rPr>
        <w:t xml:space="preserve">42 CFR part 409, </w:t>
      </w:r>
      <w:r w:rsidRPr="008F6CA4" w:rsidR="006C5339">
        <w:rPr>
          <w:sz w:val="24"/>
        </w:rPr>
        <w:t xml:space="preserve">§ </w:t>
      </w:r>
      <w:r w:rsidRPr="008F6CA4">
        <w:rPr>
          <w:sz w:val="24"/>
        </w:rPr>
        <w:t xml:space="preserve">424.22, </w:t>
      </w:r>
      <w:r w:rsidRPr="008F6CA4" w:rsidR="006C5339">
        <w:rPr>
          <w:sz w:val="24"/>
        </w:rPr>
        <w:t xml:space="preserve">§ </w:t>
      </w:r>
      <w:r w:rsidRPr="008F6CA4">
        <w:rPr>
          <w:sz w:val="24"/>
        </w:rPr>
        <w:t xml:space="preserve">424.507(b), </w:t>
      </w:r>
      <w:r w:rsidRPr="008F6CA4" w:rsidR="006C5339">
        <w:rPr>
          <w:sz w:val="24"/>
        </w:rPr>
        <w:t xml:space="preserve">§ </w:t>
      </w:r>
      <w:r w:rsidRPr="008F6CA4">
        <w:rPr>
          <w:sz w:val="24"/>
        </w:rPr>
        <w:t>440.70</w:t>
      </w:r>
      <w:r w:rsidRPr="008F6CA4" w:rsidR="006C5339">
        <w:rPr>
          <w:sz w:val="24"/>
        </w:rPr>
        <w:t>,</w:t>
      </w:r>
      <w:r w:rsidRPr="008F6CA4">
        <w:rPr>
          <w:sz w:val="24"/>
        </w:rPr>
        <w:t xml:space="preserve"> and part 484 to permit nurse practitioners (NPs), clinical nurse specialists (CNSs), and physician assistants (PAs) to certify the need for home health services and to order services in the Medicare and Medicaid programs.</w:t>
      </w:r>
      <w:r w:rsidRPr="008F6CA4" w:rsidR="008340C9">
        <w:rPr>
          <w:sz w:val="24"/>
        </w:rPr>
        <w:t xml:space="preserve">  As such, under CMS-5531-IFC</w:t>
      </w:r>
      <w:r>
        <w:rPr>
          <w:rStyle w:val="FootnoteReference"/>
          <w:sz w:val="24"/>
          <w:vertAlign w:val="superscript"/>
        </w:rPr>
        <w:footnoteReference w:id="2"/>
      </w:r>
      <w:r w:rsidRPr="008F6CA4" w:rsidR="008340C9">
        <w:rPr>
          <w:sz w:val="24"/>
        </w:rPr>
        <w:t xml:space="preserve">, CMS </w:t>
      </w:r>
      <w:r w:rsidRPr="008F6CA4" w:rsidR="00CF015D">
        <w:rPr>
          <w:sz w:val="24"/>
        </w:rPr>
        <w:t>amend</w:t>
      </w:r>
      <w:r w:rsidRPr="008F6CA4" w:rsidR="008340C9">
        <w:rPr>
          <w:sz w:val="24"/>
        </w:rPr>
        <w:t xml:space="preserve">ed </w:t>
      </w:r>
      <w:r w:rsidRPr="008F6CA4" w:rsidR="006C5339">
        <w:rPr>
          <w:sz w:val="24"/>
        </w:rPr>
        <w:t xml:space="preserve">§ </w:t>
      </w:r>
      <w:r w:rsidRPr="008F6CA4" w:rsidR="008340C9">
        <w:rPr>
          <w:sz w:val="24"/>
        </w:rPr>
        <w:t xml:space="preserve">440.70 </w:t>
      </w:r>
      <w:r w:rsidRPr="008F6CA4" w:rsidR="00CF015D">
        <w:rPr>
          <w:sz w:val="24"/>
        </w:rPr>
        <w:t xml:space="preserve">to remove the requirement that the NPPs </w:t>
      </w:r>
      <w:r w:rsidRPr="008F6CA4" w:rsidR="00CF015D">
        <w:rPr>
          <w:sz w:val="24"/>
        </w:rPr>
        <w:t>have to</w:t>
      </w:r>
      <w:r w:rsidRPr="008F6CA4" w:rsidR="00CF015D">
        <w:rPr>
          <w:sz w:val="24"/>
        </w:rPr>
        <w:t xml:space="preserve"> communicate the clinical finding of the face</w:t>
      </w:r>
      <w:r w:rsidRPr="008F6CA4" w:rsidR="008340C9">
        <w:rPr>
          <w:sz w:val="24"/>
        </w:rPr>
        <w:t>-</w:t>
      </w:r>
      <w:r w:rsidRPr="008F6CA4" w:rsidR="00CF015D">
        <w:rPr>
          <w:sz w:val="24"/>
        </w:rPr>
        <w:t>to-face encounter to the ordering physician. With expanding authority to order home health services, the CARES Act also provide</w:t>
      </w:r>
      <w:r w:rsidRPr="008F6CA4" w:rsidR="002054FC">
        <w:rPr>
          <w:sz w:val="24"/>
        </w:rPr>
        <w:t>d</w:t>
      </w:r>
      <w:r w:rsidRPr="008F6CA4" w:rsidR="00CF015D">
        <w:rPr>
          <w:sz w:val="24"/>
        </w:rPr>
        <w:t xml:space="preserve"> that such practitioners are now capable of independently performing the face-to-face encounter for </w:t>
      </w:r>
      <w:r w:rsidRPr="000778D5" w:rsidR="00CF015D">
        <w:rPr>
          <w:sz w:val="24"/>
        </w:rPr>
        <w:t>the patient for whom they are the ordering practitioner, in accordance with state law.</w:t>
      </w:r>
    </w:p>
    <w:p w:rsidR="0064007F" w:rsidRPr="000778D5" w:rsidP="005A5B19" w14:paraId="2E8E09B5" w14:textId="77777777">
      <w:pPr>
        <w:widowControl/>
        <w:ind w:left="432"/>
        <w:rPr>
          <w:sz w:val="24"/>
        </w:rPr>
      </w:pPr>
    </w:p>
    <w:p w:rsidR="00207619" w:rsidRPr="000778D5" w:rsidP="00F87C1D" w14:paraId="2E8E09B8" w14:textId="14461E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78D5">
        <w:rPr>
          <w:sz w:val="24"/>
        </w:rPr>
        <w:t xml:space="preserve">This </w:t>
      </w:r>
      <w:r w:rsidRPr="000778D5" w:rsidR="00F87C1D">
        <w:rPr>
          <w:sz w:val="24"/>
        </w:rPr>
        <w:t>202</w:t>
      </w:r>
      <w:r w:rsidRPr="000778D5" w:rsidR="00EA1D08">
        <w:rPr>
          <w:sz w:val="24"/>
        </w:rPr>
        <w:t xml:space="preserve">6 </w:t>
      </w:r>
      <w:r w:rsidRPr="000778D5">
        <w:rPr>
          <w:sz w:val="24"/>
        </w:rPr>
        <w:t xml:space="preserve">information collection request </w:t>
      </w:r>
      <w:r w:rsidRPr="000778D5" w:rsidR="00E91995">
        <w:rPr>
          <w:sz w:val="24"/>
        </w:rPr>
        <w:t xml:space="preserve">is an Extension that </w:t>
      </w:r>
      <w:r w:rsidRPr="000778D5">
        <w:rPr>
          <w:sz w:val="24"/>
        </w:rPr>
        <w:t>a</w:t>
      </w:r>
      <w:r w:rsidRPr="000778D5" w:rsidR="00F87C1D">
        <w:rPr>
          <w:sz w:val="24"/>
        </w:rPr>
        <w:t xml:space="preserve">djusts </w:t>
      </w:r>
      <w:r w:rsidRPr="000778D5" w:rsidR="00E91995">
        <w:rPr>
          <w:sz w:val="24"/>
        </w:rPr>
        <w:t xml:space="preserve">our active </w:t>
      </w:r>
      <w:r w:rsidRPr="000778D5">
        <w:rPr>
          <w:sz w:val="24"/>
        </w:rPr>
        <w:t xml:space="preserve">cost estimates based on current </w:t>
      </w:r>
      <w:r w:rsidRPr="000778D5" w:rsidR="00E91995">
        <w:rPr>
          <w:sz w:val="24"/>
        </w:rPr>
        <w:t xml:space="preserve">wage </w:t>
      </w:r>
      <w:r w:rsidRPr="000778D5">
        <w:rPr>
          <w:sz w:val="24"/>
        </w:rPr>
        <w:t xml:space="preserve">data. </w:t>
      </w:r>
      <w:r w:rsidRPr="000778D5" w:rsidR="006D44BE">
        <w:rPr>
          <w:sz w:val="24"/>
        </w:rPr>
        <w:t>See section 15 of this Supporting Statement for details.</w:t>
      </w:r>
      <w:r w:rsidRPr="000778D5" w:rsidR="00E91995">
        <w:rPr>
          <w:sz w:val="24"/>
        </w:rPr>
        <w:t xml:space="preserve"> Overall, our cost estimate has increased by </w:t>
      </w:r>
      <w:r w:rsidRPr="000778D5" w:rsidR="00CB097D">
        <w:rPr>
          <w:sz w:val="24"/>
        </w:rPr>
        <w:t>$6,959,290</w:t>
      </w:r>
      <w:r w:rsidRPr="000778D5" w:rsidR="00E91995">
        <w:rPr>
          <w:sz w:val="24"/>
        </w:rPr>
        <w:t>.</w:t>
      </w:r>
    </w:p>
    <w:p w:rsidR="008D4A44" w:rsidRPr="000778D5" w:rsidP="005A5B19" w14:paraId="2E8E09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D4A44" w:rsidP="005A5B19" w14:paraId="2E8E09BA" w14:textId="6B8A21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78D5">
        <w:rPr>
          <w:sz w:val="24"/>
        </w:rPr>
        <w:t xml:space="preserve">This collection of information request does not include any </w:t>
      </w:r>
      <w:r w:rsidRPr="000778D5" w:rsidR="00605FB2">
        <w:rPr>
          <w:sz w:val="24"/>
        </w:rPr>
        <w:t>reporting instruments</w:t>
      </w:r>
      <w:r w:rsidRPr="000778D5">
        <w:rPr>
          <w:sz w:val="24"/>
        </w:rPr>
        <w:t xml:space="preserve">. </w:t>
      </w:r>
      <w:r w:rsidRPr="000778D5" w:rsidR="000F42C0">
        <w:rPr>
          <w:sz w:val="24"/>
        </w:rPr>
        <w:t>I</w:t>
      </w:r>
      <w:r w:rsidRPr="000778D5">
        <w:rPr>
          <w:sz w:val="24"/>
        </w:rPr>
        <w:t xml:space="preserve">nstructions are </w:t>
      </w:r>
      <w:r w:rsidRPr="000778D5" w:rsidR="00605FB2">
        <w:rPr>
          <w:sz w:val="24"/>
        </w:rPr>
        <w:t xml:space="preserve">set out within </w:t>
      </w:r>
      <w:r w:rsidRPr="000778D5">
        <w:rPr>
          <w:sz w:val="24"/>
        </w:rPr>
        <w:t>the CFR.</w:t>
      </w:r>
    </w:p>
    <w:p w:rsidR="008D4A44" w:rsidRPr="005A5B19" w:rsidP="005A5B19" w14:paraId="2E8E09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5A5B19" w14:paraId="2E8E09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b/>
          <w:bCs/>
          <w:sz w:val="24"/>
        </w:rPr>
        <w:t>A.</w:t>
      </w:r>
      <w:r w:rsidRPr="005A5B19">
        <w:rPr>
          <w:b/>
          <w:bCs/>
          <w:sz w:val="24"/>
        </w:rPr>
        <w:tab/>
        <w:t>Justification</w:t>
      </w:r>
    </w:p>
    <w:p w:rsidR="008F1EB4" w:rsidRPr="005A5B19" w:rsidP="00904981" w14:paraId="2E8E09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1.</w:t>
      </w:r>
      <w:r w:rsidRPr="005A5B19">
        <w:rPr>
          <w:sz w:val="24"/>
        </w:rPr>
        <w:tab/>
      </w:r>
      <w:r w:rsidRPr="005A5B19">
        <w:rPr>
          <w:sz w:val="24"/>
          <w:u w:val="single"/>
        </w:rPr>
        <w:t>Need and Legal Basis</w:t>
      </w:r>
    </w:p>
    <w:p w:rsidR="008F1EB4" w:rsidRPr="005A5B19" w:rsidP="00904981" w14:paraId="2E8E09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87DC7" w:rsidRPr="005A5B19" w:rsidP="00904981" w14:paraId="2E8E09C0" w14:textId="0F53FA41">
      <w:pPr>
        <w:widowControl/>
        <w:rPr>
          <w:sz w:val="24"/>
        </w:rPr>
      </w:pPr>
      <w:r w:rsidRPr="00B54EE2">
        <w:rPr>
          <w:sz w:val="24"/>
        </w:rPr>
        <w:t xml:space="preserve">Section 6407 of the </w:t>
      </w:r>
      <w:r w:rsidRPr="00B54EE2" w:rsidR="00AF4535">
        <w:rPr>
          <w:sz w:val="24"/>
        </w:rPr>
        <w:t>ACA</w:t>
      </w:r>
      <w:r w:rsidRPr="00B54EE2">
        <w:rPr>
          <w:sz w:val="24"/>
        </w:rPr>
        <w:t xml:space="preserve"> and </w:t>
      </w:r>
      <w:r w:rsidRPr="00B54EE2" w:rsidR="00B54EE2">
        <w:rPr>
          <w:sz w:val="24"/>
        </w:rPr>
        <w:t>s</w:t>
      </w:r>
      <w:r w:rsidRPr="00B54EE2">
        <w:rPr>
          <w:sz w:val="24"/>
        </w:rPr>
        <w:t xml:space="preserve">ection 504 of </w:t>
      </w:r>
      <w:r w:rsidRPr="00B54EE2">
        <w:rPr>
          <w:iCs/>
          <w:sz w:val="24"/>
        </w:rPr>
        <w:t>MACRA</w:t>
      </w:r>
      <w:r w:rsidRPr="00B54EE2">
        <w:rPr>
          <w:sz w:val="24"/>
        </w:rPr>
        <w:t xml:space="preserve"> set forth the requirement that the</w:t>
      </w:r>
      <w:r w:rsidRPr="005A5B19">
        <w:rPr>
          <w:sz w:val="24"/>
        </w:rPr>
        <w:t xml:space="preserve"> physician, or certain allowed NPPs, document a face-to-face encounter with the individual, prior to the physician making a certification that home health services are required</w:t>
      </w:r>
      <w:r w:rsidR="00682D41">
        <w:rPr>
          <w:sz w:val="24"/>
        </w:rPr>
        <w:t>.</w:t>
      </w:r>
      <w:r w:rsidR="00682D41">
        <w:rPr>
          <w:rFonts w:ascii="TimesNewRomanPSMT" w:hAnsi="TimesNewRomanPSMT" w:cs="TimesNewRomanPSMT"/>
          <w:sz w:val="22"/>
          <w:szCs w:val="22"/>
        </w:rPr>
        <w:t xml:space="preserve"> </w:t>
      </w:r>
    </w:p>
    <w:p w:rsidR="00487DC7" w:rsidRPr="005A5B19" w:rsidP="00904981" w14:paraId="2E8E09C1" w14:textId="77777777">
      <w:pPr>
        <w:widowControl/>
        <w:rPr>
          <w:sz w:val="24"/>
        </w:rPr>
      </w:pPr>
    </w:p>
    <w:p w:rsidR="00B80F18" w:rsidP="00904981" w14:paraId="2E8E09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CMS codified these statutory requirements </w:t>
      </w:r>
      <w:r w:rsidR="00FF1913">
        <w:rPr>
          <w:sz w:val="24"/>
        </w:rPr>
        <w:t xml:space="preserve">into a </w:t>
      </w:r>
      <w:r w:rsidR="00682D41">
        <w:rPr>
          <w:sz w:val="24"/>
        </w:rPr>
        <w:t>federal regulation</w:t>
      </w:r>
      <w:r w:rsidR="00FF1913">
        <w:rPr>
          <w:sz w:val="24"/>
        </w:rPr>
        <w:t xml:space="preserve"> at </w:t>
      </w:r>
      <w:r w:rsidR="006C5339">
        <w:rPr>
          <w:sz w:val="24"/>
        </w:rPr>
        <w:t xml:space="preserve">§ </w:t>
      </w:r>
      <w:r w:rsidR="00FF1913">
        <w:rPr>
          <w:sz w:val="24"/>
        </w:rPr>
        <w:t xml:space="preserve">440.70(f) and (g).  </w:t>
      </w:r>
      <w:r w:rsidRPr="005A5B19" w:rsidR="00487DC7">
        <w:rPr>
          <w:sz w:val="24"/>
        </w:rPr>
        <w:t>The</w:t>
      </w:r>
      <w:r w:rsidR="00FF1913">
        <w:rPr>
          <w:sz w:val="24"/>
        </w:rPr>
        <w:t xml:space="preserve">se </w:t>
      </w:r>
      <w:r w:rsidRPr="005A5B19" w:rsidR="00487DC7">
        <w:rPr>
          <w:sz w:val="24"/>
        </w:rPr>
        <w:t xml:space="preserve">requirements </w:t>
      </w:r>
      <w:r w:rsidR="00444850">
        <w:rPr>
          <w:sz w:val="24"/>
        </w:rPr>
        <w:t xml:space="preserve">are </w:t>
      </w:r>
      <w:r w:rsidRPr="005A5B19">
        <w:rPr>
          <w:sz w:val="24"/>
        </w:rPr>
        <w:t>necessary to increase program integrity and to ensure that statutory requirements are being met.</w:t>
      </w:r>
    </w:p>
    <w:p w:rsidR="00682D41" w:rsidP="00904981" w14:paraId="2E8E09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82D41" w:rsidRPr="00682D41" w:rsidP="00904981" w14:paraId="2E8E09C4" w14:textId="1CE1D198">
      <w:pPr>
        <w:widowControl/>
        <w:rPr>
          <w:sz w:val="24"/>
        </w:rPr>
      </w:pPr>
      <w:r w:rsidRPr="00400967">
        <w:rPr>
          <w:sz w:val="24"/>
        </w:rPr>
        <w:t>Subsequent to</w:t>
      </w:r>
      <w:r w:rsidRPr="00400967">
        <w:rPr>
          <w:sz w:val="24"/>
        </w:rPr>
        <w:t xml:space="preserve"> the above-mentioned legislation and regulation, </w:t>
      </w:r>
      <w:r w:rsidRPr="00400967" w:rsidR="00400967">
        <w:rPr>
          <w:sz w:val="24"/>
        </w:rPr>
        <w:t>s</w:t>
      </w:r>
      <w:r w:rsidRPr="00400967">
        <w:rPr>
          <w:sz w:val="24"/>
        </w:rPr>
        <w:t>ection 3708 of the CARES Act</w:t>
      </w:r>
      <w:r w:rsidRPr="00400967" w:rsidR="00400967">
        <w:rPr>
          <w:sz w:val="24"/>
        </w:rPr>
        <w:t xml:space="preserve"> </w:t>
      </w:r>
      <w:r w:rsidRPr="00682D41">
        <w:rPr>
          <w:sz w:val="24"/>
        </w:rPr>
        <w:t>expanded the practitioners authorized to order home health services to include various NPPs and removed the requirement that these NPPs communicate the face-to-face findings with an ordering physician.</w:t>
      </w:r>
    </w:p>
    <w:p w:rsidR="00CD4A7F" w:rsidP="00904981" w14:paraId="2E8E09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2.</w:t>
      </w:r>
      <w:r w:rsidRPr="005A5B19">
        <w:rPr>
          <w:sz w:val="24"/>
        </w:rPr>
        <w:tab/>
      </w:r>
      <w:r w:rsidRPr="005A5B19">
        <w:rPr>
          <w:sz w:val="24"/>
          <w:u w:val="single"/>
        </w:rPr>
        <w:t>Information Users</w:t>
      </w:r>
    </w:p>
    <w:p w:rsidR="008F1EB4" w:rsidRPr="005A5B19" w:rsidP="00904981" w14:paraId="2E8E09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D</w:t>
      </w:r>
      <w:r w:rsidRPr="005A5B19" w:rsidR="00226EF2">
        <w:rPr>
          <w:sz w:val="24"/>
        </w:rPr>
        <w:t>ocumentation of the face-to-</w:t>
      </w:r>
      <w:r w:rsidRPr="005A5B19" w:rsidR="00F43E88">
        <w:rPr>
          <w:sz w:val="24"/>
        </w:rPr>
        <w:t>face</w:t>
      </w:r>
      <w:r w:rsidRPr="005A5B19" w:rsidR="00226EF2">
        <w:rPr>
          <w:sz w:val="24"/>
        </w:rPr>
        <w:t xml:space="preserve"> encounter will be used by the physician</w:t>
      </w:r>
      <w:r w:rsidRPr="005A5B19" w:rsidR="00F43E88">
        <w:rPr>
          <w:sz w:val="24"/>
        </w:rPr>
        <w:t>s as p</w:t>
      </w:r>
      <w:r w:rsidRPr="005A5B19" w:rsidR="00226EF2">
        <w:rPr>
          <w:sz w:val="24"/>
        </w:rPr>
        <w:t xml:space="preserve">art of the individual’s medical record as well as the home health agencies and medical equipment providers furnishing services.  </w:t>
      </w:r>
    </w:p>
    <w:p w:rsidR="00B80F18" w:rsidRPr="005A5B19" w:rsidP="00904981" w14:paraId="2E8E09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3.</w:t>
      </w:r>
      <w:r w:rsidRPr="005A5B19">
        <w:rPr>
          <w:sz w:val="24"/>
        </w:rPr>
        <w:tab/>
      </w:r>
      <w:r w:rsidRPr="005A5B19">
        <w:rPr>
          <w:sz w:val="24"/>
          <w:u w:val="single"/>
        </w:rPr>
        <w:t>Use of Information Technology</w:t>
      </w:r>
    </w:p>
    <w:p w:rsidR="008F1EB4" w:rsidRPr="005A5B19" w:rsidP="00904981" w14:paraId="2E8E09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64FC2">
        <w:rPr>
          <w:sz w:val="24"/>
        </w:rPr>
        <w:t xml:space="preserve">We have not </w:t>
      </w:r>
      <w:r w:rsidRPr="00864FC2" w:rsidR="00A73DF2">
        <w:rPr>
          <w:sz w:val="24"/>
        </w:rPr>
        <w:t xml:space="preserve">provided </w:t>
      </w:r>
      <w:r w:rsidRPr="00864FC2" w:rsidR="003E213A">
        <w:rPr>
          <w:sz w:val="24"/>
        </w:rPr>
        <w:t>any voluntary</w:t>
      </w:r>
      <w:r w:rsidRPr="00864FC2" w:rsidR="00A73DF2">
        <w:rPr>
          <w:sz w:val="24"/>
        </w:rPr>
        <w:t xml:space="preserve"> or mandatory</w:t>
      </w:r>
      <w:r w:rsidRPr="00864FC2">
        <w:rPr>
          <w:sz w:val="24"/>
        </w:rPr>
        <w:t xml:space="preserve"> forms of documentation.  From the federal perspective, our goal is to ensure that required documentation by the </w:t>
      </w:r>
      <w:r w:rsidR="00115BB0">
        <w:rPr>
          <w:sz w:val="24"/>
        </w:rPr>
        <w:t xml:space="preserve">practitioner </w:t>
      </w:r>
      <w:r w:rsidRPr="00864FC2">
        <w:rPr>
          <w:sz w:val="24"/>
        </w:rPr>
        <w:t>is sufficient to make the linkage between the individual’s health conditions, the services ordered, an appropriate face-to-face encounter, and actual service provision.  We encourage documentation requirements established by states to meet this goal, while not imposing additional actual or perceived administrative burden.</w:t>
      </w:r>
      <w:r w:rsidRPr="00AB5C79">
        <w:rPr>
          <w:sz w:val="24"/>
        </w:rPr>
        <w:t xml:space="preserve">  Electronic Health Records may be of use to support the operational requirements.  An electronic </w:t>
      </w:r>
      <w:r w:rsidRPr="00AB5C79" w:rsidR="00F43E88">
        <w:rPr>
          <w:sz w:val="24"/>
        </w:rPr>
        <w:t>signature</w:t>
      </w:r>
      <w:r w:rsidRPr="00AB5C79">
        <w:rPr>
          <w:sz w:val="24"/>
        </w:rPr>
        <w:t xml:space="preserve"> </w:t>
      </w:r>
      <w:r w:rsidRPr="00AB5C79" w:rsidR="00F43E88">
        <w:rPr>
          <w:sz w:val="24"/>
        </w:rPr>
        <w:t>of</w:t>
      </w:r>
      <w:r w:rsidRPr="00AB5C79">
        <w:rPr>
          <w:sz w:val="24"/>
        </w:rPr>
        <w:t xml:space="preserve"> the practitioner who completed the documentation is acceptable.</w:t>
      </w:r>
      <w:r w:rsidRPr="005A5B19">
        <w:rPr>
          <w:sz w:val="24"/>
        </w:rPr>
        <w:t xml:space="preserve">  </w:t>
      </w:r>
    </w:p>
    <w:p w:rsidR="008F1EB4" w:rsidRPr="005A5B19" w:rsidP="00904981" w14:paraId="2E8E09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4.</w:t>
      </w:r>
      <w:r w:rsidRPr="005A5B19">
        <w:rPr>
          <w:sz w:val="24"/>
        </w:rPr>
        <w:tab/>
      </w:r>
      <w:r w:rsidRPr="005A5B19">
        <w:rPr>
          <w:sz w:val="24"/>
          <w:u w:val="single"/>
        </w:rPr>
        <w:t>Duplication of Efforts</w:t>
      </w:r>
    </w:p>
    <w:p w:rsidR="008F1EB4" w:rsidRPr="005A5B19" w:rsidP="00904981" w14:paraId="2E8E09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We have aligned our documentation requirements</w:t>
      </w:r>
      <w:r w:rsidRPr="005A5B19" w:rsidR="00496E43">
        <w:rPr>
          <w:sz w:val="24"/>
        </w:rPr>
        <w:t xml:space="preserve">, to the greatest extent possible, with Medicare documentation requirements.  Additionally, the Medicare face-to-face encounter documentation will meet the Medicaid face-to-face requirement.  </w:t>
      </w:r>
    </w:p>
    <w:p w:rsidR="008F1EB4" w:rsidRPr="005A5B19" w:rsidP="00904981" w14:paraId="2E8E09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5.</w:t>
      </w:r>
      <w:r w:rsidRPr="005A5B19">
        <w:rPr>
          <w:sz w:val="24"/>
        </w:rPr>
        <w:tab/>
      </w:r>
      <w:r w:rsidRPr="005A5B19">
        <w:rPr>
          <w:sz w:val="24"/>
          <w:u w:val="single"/>
        </w:rPr>
        <w:t>Small Businesses</w:t>
      </w:r>
    </w:p>
    <w:p w:rsidR="008F1EB4" w:rsidRPr="005A5B19" w:rsidP="00904981" w14:paraId="2E8E09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96E43" w:rsidRPr="005A5B19" w:rsidP="00904981" w14:paraId="2E8E09D4" w14:textId="77777777">
      <w:pPr>
        <w:widowControl/>
        <w:tabs>
          <w:tab w:val="left" w:pos="-2160"/>
          <w:tab w:val="left" w:pos="-1440"/>
          <w:tab w:val="left" w:pos="-288"/>
          <w:tab w:val="left" w:pos="720"/>
        </w:tabs>
        <w:rPr>
          <w:sz w:val="24"/>
        </w:rPr>
      </w:pPr>
      <w:r w:rsidRPr="005A5B19">
        <w:rPr>
          <w:sz w:val="24"/>
        </w:rPr>
        <w:t>Th</w:t>
      </w:r>
      <w:r w:rsidRPr="005A5B19" w:rsidR="000E6787">
        <w:rPr>
          <w:sz w:val="24"/>
        </w:rPr>
        <w:t xml:space="preserve">e documentation provision </w:t>
      </w:r>
      <w:r w:rsidRPr="005A5B19">
        <w:rPr>
          <w:sz w:val="24"/>
        </w:rPr>
        <w:t xml:space="preserve">will not have a significant economic impact on small entities. Entities affected by </w:t>
      </w:r>
      <w:r w:rsidR="00235E4C">
        <w:rPr>
          <w:sz w:val="24"/>
        </w:rPr>
        <w:t xml:space="preserve">the face-to-face documentation </w:t>
      </w:r>
      <w:r w:rsidR="003E213A">
        <w:rPr>
          <w:sz w:val="24"/>
        </w:rPr>
        <w:t xml:space="preserve">requirements </w:t>
      </w:r>
      <w:r w:rsidRPr="005A5B19" w:rsidR="003E213A">
        <w:rPr>
          <w:sz w:val="24"/>
        </w:rPr>
        <w:t>should</w:t>
      </w:r>
      <w:r w:rsidRPr="005A5B19">
        <w:rPr>
          <w:sz w:val="24"/>
        </w:rPr>
        <w:t xml:space="preserve"> already be administering these changes for Medicare purposes as the statutory change was effective in 2010.  Entities should already have systems in place to accommodate this change for the Medicaid population.</w:t>
      </w:r>
    </w:p>
    <w:p w:rsidR="008F1EB4" w:rsidRPr="005A5B19" w:rsidP="00904981" w14:paraId="2E8E09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6.</w:t>
      </w:r>
      <w:r w:rsidRPr="005A5B19">
        <w:rPr>
          <w:sz w:val="24"/>
        </w:rPr>
        <w:tab/>
      </w:r>
      <w:r w:rsidRPr="005A5B19">
        <w:rPr>
          <w:sz w:val="24"/>
          <w:u w:val="single"/>
        </w:rPr>
        <w:t>Less Frequent Collection</w:t>
      </w:r>
    </w:p>
    <w:p w:rsidR="008F1EB4" w:rsidRPr="005A5B19" w:rsidP="00904981" w14:paraId="2E8E09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238FB" w:rsidRPr="005A5B19" w:rsidP="00904981" w14:paraId="2E8E09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This collection is a statu</w:t>
      </w:r>
      <w:r w:rsidRPr="005A5B19" w:rsidR="00F43E88">
        <w:rPr>
          <w:sz w:val="24"/>
        </w:rPr>
        <w:t>to</w:t>
      </w:r>
      <w:r w:rsidRPr="005A5B19">
        <w:rPr>
          <w:sz w:val="24"/>
        </w:rPr>
        <w:t xml:space="preserve">ry requirement.  If </w:t>
      </w:r>
      <w:r w:rsidR="007003AC">
        <w:rPr>
          <w:sz w:val="24"/>
        </w:rPr>
        <w:t xml:space="preserve">the </w:t>
      </w:r>
      <w:r w:rsidRPr="005A5B19">
        <w:rPr>
          <w:sz w:val="24"/>
        </w:rPr>
        <w:t xml:space="preserve">collection is not conducted as required by </w:t>
      </w:r>
      <w:r w:rsidRPr="005A5B19">
        <w:rPr>
          <w:sz w:val="24"/>
        </w:rPr>
        <w:t xml:space="preserve">statute, </w:t>
      </w:r>
      <w:r w:rsidRPr="005A5B19" w:rsidR="00800C89">
        <w:rPr>
          <w:sz w:val="24"/>
        </w:rPr>
        <w:t xml:space="preserve">there is a risk of increased fraud, waste and abuse.  </w:t>
      </w:r>
    </w:p>
    <w:p w:rsidR="008F1EB4" w:rsidRPr="005A5B19" w:rsidP="00904981" w14:paraId="2E8E09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7.</w:t>
      </w:r>
      <w:r w:rsidRPr="005A5B19">
        <w:rPr>
          <w:sz w:val="24"/>
        </w:rPr>
        <w:tab/>
      </w:r>
      <w:r w:rsidRPr="005A5B19">
        <w:rPr>
          <w:sz w:val="24"/>
          <w:u w:val="single"/>
        </w:rPr>
        <w:t>Special Circumstances</w:t>
      </w:r>
    </w:p>
    <w:p w:rsidR="008F1EB4" w:rsidRPr="005A5B19" w:rsidP="00904981" w14:paraId="2E8E09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97410" w:rsidP="00904981" w14:paraId="2E8E09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Outside of the need for </w:t>
      </w:r>
      <w:r w:rsidRPr="006C510B">
        <w:rPr>
          <w:sz w:val="24"/>
        </w:rPr>
        <w:t>the physician</w:t>
      </w:r>
      <w:r>
        <w:rPr>
          <w:sz w:val="24"/>
        </w:rPr>
        <w:t xml:space="preserve"> </w:t>
      </w:r>
      <w:r w:rsidR="00CB7BA3">
        <w:rPr>
          <w:sz w:val="24"/>
        </w:rPr>
        <w:t>and</w:t>
      </w:r>
      <w:r w:rsidRPr="006C510B" w:rsidR="00CB7BA3">
        <w:rPr>
          <w:sz w:val="24"/>
        </w:rPr>
        <w:t xml:space="preserve"> </w:t>
      </w:r>
      <w:r w:rsidRPr="006C510B">
        <w:rPr>
          <w:sz w:val="24"/>
        </w:rPr>
        <w:t>certain NPPs</w:t>
      </w:r>
      <w:r>
        <w:rPr>
          <w:sz w:val="24"/>
        </w:rPr>
        <w:t xml:space="preserve"> to </w:t>
      </w:r>
      <w:r w:rsidRPr="006C510B">
        <w:rPr>
          <w:sz w:val="24"/>
        </w:rPr>
        <w:t>document a face-to-face encounter with the individual</w:t>
      </w:r>
      <w:r>
        <w:rPr>
          <w:sz w:val="24"/>
        </w:rPr>
        <w:t>, t</w:t>
      </w:r>
      <w:r w:rsidRPr="00DA4946">
        <w:rPr>
          <w:sz w:val="24"/>
        </w:rPr>
        <w:t xml:space="preserve">here are no </w:t>
      </w:r>
      <w:r>
        <w:rPr>
          <w:sz w:val="24"/>
        </w:rPr>
        <w:t xml:space="preserve">other </w:t>
      </w:r>
      <w:r w:rsidRPr="00DA4946">
        <w:rPr>
          <w:sz w:val="24"/>
        </w:rPr>
        <w:t>special circumstances that would require an information collection to be conducted in a manner that requires respondents to:</w:t>
      </w:r>
    </w:p>
    <w:p w:rsidR="00197410" w:rsidRPr="00DA4946" w:rsidP="00197410" w14:paraId="2E8E09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97410" w:rsidRPr="00DA4946" w:rsidP="00197410" w14:paraId="2E8E09DE"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0"/>
        <w:rPr>
          <w:sz w:val="24"/>
        </w:rPr>
      </w:pPr>
      <w:r w:rsidRPr="00DA4946">
        <w:rPr>
          <w:sz w:val="24"/>
        </w:rPr>
        <w:t>Report information to the agency more often than quarterly;</w:t>
      </w:r>
    </w:p>
    <w:p w:rsidR="00197410" w:rsidRPr="00DA4946" w:rsidP="00197410" w14:paraId="2E8E09DF"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0"/>
        <w:rPr>
          <w:sz w:val="24"/>
        </w:rPr>
      </w:pPr>
      <w:r w:rsidRPr="00DA4946">
        <w:rPr>
          <w:sz w:val="24"/>
        </w:rPr>
        <w:t xml:space="preserve">Prepare a written response to a collection of information in fewer than 30 days after receipt of it; </w:t>
      </w:r>
    </w:p>
    <w:p w:rsidR="00197410" w:rsidRPr="00DA4946" w:rsidP="00197410" w14:paraId="2E8E09E0"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0"/>
        <w:rPr>
          <w:sz w:val="24"/>
        </w:rPr>
      </w:pPr>
      <w:r w:rsidRPr="00DA4946">
        <w:rPr>
          <w:sz w:val="24"/>
        </w:rPr>
        <w:t>Submit more than an original and two copies of any document;</w:t>
      </w:r>
    </w:p>
    <w:p w:rsidR="00197410" w:rsidRPr="00DA4946" w:rsidP="00197410" w14:paraId="2E8E09E1"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0"/>
        <w:rPr>
          <w:sz w:val="24"/>
        </w:rPr>
      </w:pPr>
      <w:r w:rsidRPr="00DA4946">
        <w:rPr>
          <w:sz w:val="24"/>
        </w:rPr>
        <w:t>Retain records, other than health, medical, government contract, grant-in-aid, or tax records for more than three years;</w:t>
      </w:r>
    </w:p>
    <w:p w:rsidR="00197410" w:rsidRPr="00DA4946" w:rsidP="00197410" w14:paraId="2E8E09E2"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0"/>
        <w:rPr>
          <w:sz w:val="24"/>
        </w:rPr>
      </w:pPr>
      <w:r w:rsidRPr="00DA4946">
        <w:rPr>
          <w:sz w:val="24"/>
        </w:rPr>
        <w:t>Collect data in connection with a statistical survey that is not designed to produce valid and reliable results that can be generalized to the universe of study,</w:t>
      </w:r>
    </w:p>
    <w:p w:rsidR="00197410" w:rsidRPr="00DA4946" w:rsidP="00197410" w14:paraId="2E8E09E3"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0"/>
        <w:rPr>
          <w:sz w:val="24"/>
        </w:rPr>
      </w:pPr>
      <w:r w:rsidRPr="00DA4946">
        <w:rPr>
          <w:sz w:val="24"/>
        </w:rPr>
        <w:t>Use a statistical data classification that has not been reviewed and approved by OMB;</w:t>
      </w:r>
    </w:p>
    <w:p w:rsidR="00197410" w:rsidRPr="00DA4946" w:rsidP="00197410" w14:paraId="2E8E09E4"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0"/>
        <w:rPr>
          <w:sz w:val="24"/>
        </w:rPr>
      </w:pPr>
      <w:r w:rsidRPr="00DA4946">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97410" w:rsidRPr="00520F93" w:rsidP="00197410" w14:paraId="2E8E09E5"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0"/>
        <w:rPr>
          <w:sz w:val="24"/>
        </w:rPr>
      </w:pPr>
      <w:r w:rsidRPr="00DA4946">
        <w:rPr>
          <w:sz w:val="24"/>
        </w:rPr>
        <w:t xml:space="preserve">Submit proprietary trade secret, or other confidential information unless the agency can demonstrate that it has instituted procedures to protect the information's confidentiality to </w:t>
      </w:r>
      <w:r w:rsidRPr="00520F93">
        <w:rPr>
          <w:sz w:val="24"/>
        </w:rPr>
        <w:t>the extent permitted by law.</w:t>
      </w:r>
    </w:p>
    <w:p w:rsidR="008F1EB4" w:rsidRPr="00520F93" w:rsidP="00904981" w14:paraId="2E8E09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20F93" w:rsidP="00904981" w14:paraId="2E8E09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20F93">
        <w:rPr>
          <w:sz w:val="24"/>
        </w:rPr>
        <w:t>8.</w:t>
      </w:r>
      <w:r w:rsidRPr="00520F93">
        <w:rPr>
          <w:sz w:val="24"/>
        </w:rPr>
        <w:tab/>
      </w:r>
      <w:r w:rsidRPr="00520F93">
        <w:rPr>
          <w:sz w:val="24"/>
          <w:u w:val="single"/>
        </w:rPr>
        <w:t>Federal Register/Outside Consultation</w:t>
      </w:r>
    </w:p>
    <w:p w:rsidR="005A0E78" w:rsidRPr="00520F93" w:rsidP="00904981" w14:paraId="2E8E09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4074A" w:rsidRPr="00520F93" w:rsidP="0074074A" w14:paraId="681996C1" w14:textId="5AB96FCC">
      <w:pPr>
        <w:ind w:right="-20"/>
        <w:rPr>
          <w:sz w:val="24"/>
        </w:rPr>
      </w:pPr>
      <w:r w:rsidRPr="00520F93">
        <w:rPr>
          <w:sz w:val="24"/>
        </w:rPr>
        <w:t xml:space="preserve">Our 60-day notice published in the Federal Register on December 8, 2025 (90 FR 56764). </w:t>
      </w:r>
      <w:r w:rsidRPr="00520F93" w:rsidR="00520F93">
        <w:rPr>
          <w:sz w:val="24"/>
        </w:rPr>
        <w:t>One c</w:t>
      </w:r>
      <w:r w:rsidRPr="00520F93">
        <w:rPr>
          <w:sz w:val="24"/>
        </w:rPr>
        <w:t>omment</w:t>
      </w:r>
      <w:r w:rsidRPr="00520F93" w:rsidR="00520F93">
        <w:rPr>
          <w:sz w:val="24"/>
        </w:rPr>
        <w:t xml:space="preserve"> was received but is out of scope.</w:t>
      </w:r>
    </w:p>
    <w:p w:rsidR="0074074A" w:rsidRPr="00520F93" w:rsidP="00904981" w14:paraId="76A662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F45B6" w:rsidP="00520F93" w14:paraId="623A438F" w14:textId="22848029">
      <w:pPr>
        <w:ind w:right="-20"/>
        <w:rPr>
          <w:sz w:val="24"/>
        </w:rPr>
      </w:pPr>
      <w:r w:rsidRPr="00520F93">
        <w:rPr>
          <w:sz w:val="24"/>
        </w:rPr>
        <w:t xml:space="preserve">Our </w:t>
      </w:r>
      <w:r w:rsidRPr="00520F93">
        <w:rPr>
          <w:sz w:val="24"/>
        </w:rPr>
        <w:t>3</w:t>
      </w:r>
      <w:r w:rsidRPr="00520F93">
        <w:rPr>
          <w:sz w:val="24"/>
        </w:rPr>
        <w:t xml:space="preserve">0-day notice published in the Federal Register on </w:t>
      </w:r>
      <w:r w:rsidRPr="00520F93">
        <w:rPr>
          <w:sz w:val="24"/>
        </w:rPr>
        <w:t>March 17</w:t>
      </w:r>
      <w:r w:rsidRPr="00520F93">
        <w:rPr>
          <w:sz w:val="24"/>
        </w:rPr>
        <w:t>, 202</w:t>
      </w:r>
      <w:r w:rsidRPr="00520F93">
        <w:rPr>
          <w:sz w:val="24"/>
        </w:rPr>
        <w:t>6</w:t>
      </w:r>
      <w:r w:rsidRPr="00520F93">
        <w:rPr>
          <w:sz w:val="24"/>
        </w:rPr>
        <w:t xml:space="preserve"> (9</w:t>
      </w:r>
      <w:r w:rsidRPr="00520F93">
        <w:rPr>
          <w:sz w:val="24"/>
        </w:rPr>
        <w:t>1</w:t>
      </w:r>
      <w:r w:rsidRPr="00520F93">
        <w:rPr>
          <w:sz w:val="24"/>
        </w:rPr>
        <w:t xml:space="preserve"> FR 12810). </w:t>
      </w:r>
    </w:p>
    <w:p w:rsidR="005F45B6" w:rsidRPr="00F02847" w:rsidP="00904981" w14:paraId="2EF3CA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651A9" w:rsidP="00904981" w14:paraId="2E8E09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651A9">
        <w:rPr>
          <w:sz w:val="24"/>
        </w:rPr>
        <w:t>9.</w:t>
      </w:r>
      <w:r w:rsidRPr="008651A9">
        <w:rPr>
          <w:sz w:val="24"/>
        </w:rPr>
        <w:tab/>
      </w:r>
      <w:r w:rsidRPr="008651A9">
        <w:rPr>
          <w:sz w:val="24"/>
          <w:u w:val="single"/>
        </w:rPr>
        <w:t>Payments/Gifts to Respondents</w:t>
      </w:r>
    </w:p>
    <w:p w:rsidR="008F1EB4" w:rsidRPr="008651A9" w:rsidP="00904981" w14:paraId="2E8E09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651A9">
        <w:rPr>
          <w:sz w:val="24"/>
        </w:rPr>
        <w:t>N/A</w:t>
      </w:r>
    </w:p>
    <w:p w:rsidR="008F1EB4" w:rsidRPr="005A5B19" w:rsidP="00904981" w14:paraId="2E8E09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10.</w:t>
      </w:r>
      <w:r w:rsidRPr="005A5B19">
        <w:rPr>
          <w:sz w:val="24"/>
        </w:rPr>
        <w:tab/>
      </w:r>
      <w:r w:rsidRPr="005A5B19">
        <w:rPr>
          <w:sz w:val="24"/>
          <w:u w:val="single"/>
        </w:rPr>
        <w:t>Confidentiality</w:t>
      </w:r>
    </w:p>
    <w:p w:rsidR="000F3AF4" w:rsidRPr="005A5B19" w:rsidP="00904981" w14:paraId="2E8E09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applies to the extent that HIPPAA requires confidentiality of medical records.  </w:t>
      </w:r>
    </w:p>
    <w:p w:rsidR="008F1EB4" w:rsidRPr="005A5B19" w:rsidP="00904981" w14:paraId="2E8E09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9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11.</w:t>
      </w:r>
      <w:r w:rsidRPr="005A5B19">
        <w:rPr>
          <w:sz w:val="24"/>
        </w:rPr>
        <w:tab/>
      </w:r>
      <w:r w:rsidRPr="005A5B19">
        <w:rPr>
          <w:sz w:val="24"/>
          <w:u w:val="single"/>
        </w:rPr>
        <w:t>Sensitive Questions</w:t>
      </w:r>
    </w:p>
    <w:p w:rsidR="008F1EB4" w:rsidRPr="005A5B19" w:rsidP="00904981" w14:paraId="2E8E09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533B1" w:rsidP="00904981" w14:paraId="2E8E09F7" w14:textId="77777777">
      <w:pPr>
        <w:pStyle w:val="Body2"/>
      </w:pPr>
      <w:r w:rsidRPr="003533B1">
        <w:t>There are no sensitive questions associated with this collection. Specifically, the collection does not solicit questions of a sensitive nature, such as sexual behavior and attitudes, religious beliefs, and other matters that are commonly considered private.</w:t>
      </w:r>
    </w:p>
    <w:p w:rsidR="003533B1" w:rsidP="00904981" w14:paraId="2E8E09F8" w14:textId="77777777">
      <w:pPr>
        <w:pStyle w:val="Body2"/>
      </w:pPr>
    </w:p>
    <w:p w:rsidR="008F1EB4" w:rsidRPr="00C62518" w:rsidP="00904981" w14:paraId="2E8E09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62518">
        <w:rPr>
          <w:sz w:val="24"/>
        </w:rPr>
        <w:t>12.</w:t>
      </w:r>
      <w:r w:rsidRPr="00C62518">
        <w:rPr>
          <w:sz w:val="24"/>
        </w:rPr>
        <w:tab/>
      </w:r>
      <w:r w:rsidRPr="00C62518" w:rsidR="00B20D4F">
        <w:rPr>
          <w:sz w:val="24"/>
        </w:rPr>
        <w:t xml:space="preserve">Collection of Information Requirements and </w:t>
      </w:r>
      <w:r w:rsidRPr="00C62518">
        <w:rPr>
          <w:sz w:val="24"/>
        </w:rPr>
        <w:t>Burden Estimates</w:t>
      </w:r>
    </w:p>
    <w:p w:rsidR="008F1EB4" w:rsidRPr="005A5B19" w:rsidP="00904981" w14:paraId="2E8E09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C3A13" w:rsidRPr="00A57741" w:rsidP="00904981" w14:paraId="2E8E09F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sidRPr="00A57741">
        <w:rPr>
          <w:i/>
          <w:sz w:val="24"/>
        </w:rPr>
        <w:t>Wage Estimates</w:t>
      </w:r>
    </w:p>
    <w:p w:rsidR="003C3A13" w:rsidRPr="00A57741" w:rsidP="00904981" w14:paraId="2E8E09FC" w14:textId="77777777">
      <w:pPr>
        <w:rPr>
          <w:sz w:val="24"/>
        </w:rPr>
      </w:pPr>
    </w:p>
    <w:p w:rsidR="003C3A13" w:rsidRPr="005A5B19" w:rsidP="00904981" w14:paraId="2E8E09FD" w14:textId="4E6B08C9">
      <w:pPr>
        <w:rPr>
          <w:sz w:val="24"/>
        </w:rPr>
      </w:pPr>
      <w:r w:rsidRPr="00A57741">
        <w:rPr>
          <w:sz w:val="24"/>
        </w:rPr>
        <w:t xml:space="preserve">To derive average costs, we used data from the U.S. Bureau of Labor Statistics’ May </w:t>
      </w:r>
      <w:r w:rsidRPr="00A57741" w:rsidR="00F87C1D">
        <w:rPr>
          <w:sz w:val="24"/>
        </w:rPr>
        <w:t>2024</w:t>
      </w:r>
      <w:r w:rsidRPr="00A57741" w:rsidR="00306E35">
        <w:rPr>
          <w:sz w:val="24"/>
        </w:rPr>
        <w:t xml:space="preserve"> </w:t>
      </w:r>
      <w:r w:rsidRPr="00A57741">
        <w:rPr>
          <w:sz w:val="24"/>
        </w:rPr>
        <w:t>National Occupational Employment and Wage Estimates for all salary estimates (</w:t>
      </w:r>
      <w:hyperlink r:id="rId9" w:history="1">
        <w:r w:rsidRPr="00A57741">
          <w:rPr>
            <w:rStyle w:val="Hyperlink"/>
            <w:sz w:val="24"/>
          </w:rPr>
          <w:t>www.bls.gov/oes/current/oes_nat.htm</w:t>
        </w:r>
      </w:hyperlink>
      <w:r w:rsidRPr="00A57741">
        <w:rPr>
          <w:sz w:val="24"/>
        </w:rPr>
        <w:t xml:space="preserve">).  In this regard, the following table presents </w:t>
      </w:r>
      <w:r w:rsidRPr="00A57741" w:rsidR="00836057">
        <w:rPr>
          <w:sz w:val="24"/>
        </w:rPr>
        <w:t>BLS’</w:t>
      </w:r>
      <w:r w:rsidRPr="00A57741">
        <w:rPr>
          <w:sz w:val="24"/>
        </w:rPr>
        <w:t xml:space="preserve"> mean hourly wage, </w:t>
      </w:r>
      <w:r w:rsidRPr="00A57741" w:rsidR="00836057">
        <w:rPr>
          <w:sz w:val="24"/>
        </w:rPr>
        <w:t xml:space="preserve">our estimated </w:t>
      </w:r>
      <w:r w:rsidRPr="00A57741">
        <w:rPr>
          <w:sz w:val="24"/>
        </w:rPr>
        <w:t xml:space="preserve">cost of fringe benefits </w:t>
      </w:r>
      <w:r w:rsidRPr="00A57741" w:rsidR="001D7197">
        <w:rPr>
          <w:sz w:val="24"/>
        </w:rPr>
        <w:t>and o</w:t>
      </w:r>
      <w:r w:rsidRPr="00A57741" w:rsidR="00044E41">
        <w:rPr>
          <w:sz w:val="24"/>
        </w:rPr>
        <w:t>ther indirect costs</w:t>
      </w:r>
      <w:r w:rsidRPr="00A57741" w:rsidR="001D7197">
        <w:rPr>
          <w:sz w:val="24"/>
        </w:rPr>
        <w:t xml:space="preserve"> </w:t>
      </w:r>
      <w:r w:rsidRPr="00A57741">
        <w:rPr>
          <w:sz w:val="24"/>
        </w:rPr>
        <w:t xml:space="preserve">(calculated at 100 percent), and </w:t>
      </w:r>
      <w:r w:rsidRPr="00A57741" w:rsidR="00836057">
        <w:rPr>
          <w:sz w:val="24"/>
        </w:rPr>
        <w:t>our</w:t>
      </w:r>
      <w:r w:rsidRPr="00A57741">
        <w:rPr>
          <w:sz w:val="24"/>
        </w:rPr>
        <w:t xml:space="preserve"> adjusted hourly wage.</w:t>
      </w:r>
    </w:p>
    <w:p w:rsidR="003C3A13" w:rsidRPr="005A5B19" w:rsidP="005A5B19" w14:paraId="2E8E09FE" w14:textId="77777777">
      <w:pPr>
        <w:ind w:firstLine="720"/>
        <w:rPr>
          <w:sz w:val="24"/>
        </w:rPr>
      </w:pPr>
    </w:p>
    <w:p w:rsidR="003C3A13" w:rsidRPr="002F47B8" w:rsidP="005A5B19" w14:paraId="2E8E09FF" w14:textId="77777777">
      <w:pPr>
        <w:ind w:firstLine="720"/>
        <w:jc w:val="center"/>
        <w:rPr>
          <w:sz w:val="22"/>
          <w:szCs w:val="22"/>
        </w:rPr>
      </w:pPr>
      <w:r w:rsidRPr="002F47B8">
        <w:rPr>
          <w:sz w:val="22"/>
          <w:szCs w:val="22"/>
        </w:rPr>
        <w:t>Wage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2E8E0A05" w14:textId="77777777" w:rsidTr="0052681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809" w:type="dxa"/>
          </w:tcPr>
          <w:p w:rsidR="003C3A13" w:rsidRPr="00B41EDA" w:rsidP="005A5B19" w14:paraId="2E8E0A00" w14:textId="77777777">
            <w:pPr>
              <w:rPr>
                <w:szCs w:val="20"/>
              </w:rPr>
            </w:pPr>
            <w:r w:rsidRPr="00B41EDA">
              <w:rPr>
                <w:szCs w:val="20"/>
              </w:rPr>
              <w:t>Occupation Title</w:t>
            </w:r>
          </w:p>
        </w:tc>
        <w:tc>
          <w:tcPr>
            <w:tcW w:w="1809" w:type="dxa"/>
          </w:tcPr>
          <w:p w:rsidR="003C3A13" w:rsidRPr="00B41EDA" w:rsidP="005A5B19" w14:paraId="2E8E0A01" w14:textId="77777777">
            <w:pPr>
              <w:rPr>
                <w:szCs w:val="20"/>
              </w:rPr>
            </w:pPr>
            <w:r w:rsidRPr="00B41EDA">
              <w:rPr>
                <w:szCs w:val="20"/>
              </w:rPr>
              <w:t>Occupation Code</w:t>
            </w:r>
          </w:p>
        </w:tc>
        <w:tc>
          <w:tcPr>
            <w:tcW w:w="1733" w:type="dxa"/>
          </w:tcPr>
          <w:p w:rsidR="003C3A13" w:rsidRPr="00B41EDA" w:rsidP="003B3046" w14:paraId="2E8E0A02" w14:textId="77777777">
            <w:pPr>
              <w:jc w:val="center"/>
              <w:rPr>
                <w:szCs w:val="20"/>
              </w:rPr>
            </w:pPr>
            <w:r w:rsidRPr="00B41EDA">
              <w:rPr>
                <w:szCs w:val="20"/>
              </w:rPr>
              <w:t>Mean Hourly Wage ($/hr)</w:t>
            </w:r>
          </w:p>
        </w:tc>
        <w:tc>
          <w:tcPr>
            <w:tcW w:w="1738" w:type="dxa"/>
          </w:tcPr>
          <w:p w:rsidR="003C3A13" w:rsidRPr="00B41EDA" w:rsidP="003B3046" w14:paraId="2E8E0A03" w14:textId="7B3CD491">
            <w:pPr>
              <w:jc w:val="center"/>
              <w:rPr>
                <w:szCs w:val="20"/>
              </w:rPr>
            </w:pPr>
            <w:r w:rsidRPr="00B41EDA">
              <w:rPr>
                <w:szCs w:val="20"/>
              </w:rPr>
              <w:t>Fringe Benefit</w:t>
            </w:r>
            <w:r w:rsidR="001D7197">
              <w:rPr>
                <w:szCs w:val="20"/>
              </w:rPr>
              <w:t>s and O</w:t>
            </w:r>
            <w:r w:rsidRPr="00044E41" w:rsidR="00044E41">
              <w:rPr>
                <w:szCs w:val="20"/>
              </w:rPr>
              <w:t xml:space="preserve">ther </w:t>
            </w:r>
            <w:r w:rsidR="00044E41">
              <w:rPr>
                <w:szCs w:val="20"/>
              </w:rPr>
              <w:t>I</w:t>
            </w:r>
            <w:r w:rsidRPr="00044E41" w:rsidR="00044E41">
              <w:rPr>
                <w:szCs w:val="20"/>
              </w:rPr>
              <w:t xml:space="preserve">ndirect </w:t>
            </w:r>
            <w:r w:rsidR="00044E41">
              <w:rPr>
                <w:szCs w:val="20"/>
              </w:rPr>
              <w:t>C</w:t>
            </w:r>
            <w:r w:rsidRPr="00044E41" w:rsidR="00044E41">
              <w:rPr>
                <w:szCs w:val="20"/>
              </w:rPr>
              <w:t>osts</w:t>
            </w:r>
            <w:r w:rsidRPr="00B41EDA">
              <w:rPr>
                <w:szCs w:val="20"/>
              </w:rPr>
              <w:t xml:space="preserve"> ($/hr)</w:t>
            </w:r>
          </w:p>
        </w:tc>
        <w:tc>
          <w:tcPr>
            <w:tcW w:w="1767" w:type="dxa"/>
          </w:tcPr>
          <w:p w:rsidR="003C3A13" w:rsidRPr="00B41EDA" w:rsidP="003B3046" w14:paraId="2E8E0A04" w14:textId="77777777">
            <w:pPr>
              <w:jc w:val="center"/>
              <w:rPr>
                <w:szCs w:val="20"/>
              </w:rPr>
            </w:pPr>
            <w:r w:rsidRPr="00B41EDA">
              <w:rPr>
                <w:szCs w:val="20"/>
              </w:rPr>
              <w:t>Adjusted Hourly Wage ($/hr)</w:t>
            </w:r>
          </w:p>
        </w:tc>
      </w:tr>
      <w:tr w14:paraId="2E8E0A0B" w14:textId="77777777" w:rsidTr="00526812">
        <w:tblPrEx>
          <w:tblW w:w="0" w:type="auto"/>
          <w:jc w:val="center"/>
          <w:tblLook w:val="04A0"/>
        </w:tblPrEx>
        <w:trPr>
          <w:jc w:val="center"/>
        </w:trPr>
        <w:tc>
          <w:tcPr>
            <w:tcW w:w="1809" w:type="dxa"/>
          </w:tcPr>
          <w:p w:rsidR="003C3A13" w:rsidRPr="0037462A" w:rsidP="005A5B19" w14:paraId="2E8E0A06" w14:textId="77777777">
            <w:pPr>
              <w:rPr>
                <w:i/>
                <w:iCs/>
                <w:szCs w:val="20"/>
              </w:rPr>
            </w:pPr>
            <w:r w:rsidRPr="0037462A">
              <w:rPr>
                <w:i/>
                <w:iCs/>
                <w:szCs w:val="20"/>
              </w:rPr>
              <w:t>Family Medicine Physicians</w:t>
            </w:r>
          </w:p>
        </w:tc>
        <w:tc>
          <w:tcPr>
            <w:tcW w:w="1809" w:type="dxa"/>
          </w:tcPr>
          <w:p w:rsidR="003C3A13" w:rsidRPr="0037462A" w:rsidP="005A5B19" w14:paraId="2E8E0A07" w14:textId="77777777">
            <w:pPr>
              <w:rPr>
                <w:i/>
                <w:iCs/>
                <w:szCs w:val="20"/>
              </w:rPr>
            </w:pPr>
            <w:r w:rsidRPr="0037462A">
              <w:rPr>
                <w:i/>
                <w:iCs/>
                <w:szCs w:val="20"/>
              </w:rPr>
              <w:t>29-1215</w:t>
            </w:r>
          </w:p>
        </w:tc>
        <w:tc>
          <w:tcPr>
            <w:tcW w:w="1733" w:type="dxa"/>
          </w:tcPr>
          <w:p w:rsidR="003C3A13" w:rsidRPr="0037462A" w:rsidP="003B3046" w14:paraId="2E8E0A08" w14:textId="6E469785">
            <w:pPr>
              <w:jc w:val="center"/>
              <w:rPr>
                <w:i/>
                <w:iCs/>
                <w:szCs w:val="20"/>
              </w:rPr>
            </w:pPr>
            <w:r w:rsidRPr="0037462A">
              <w:rPr>
                <w:i/>
                <w:iCs/>
                <w:szCs w:val="20"/>
              </w:rPr>
              <w:t>123.47</w:t>
            </w:r>
          </w:p>
        </w:tc>
        <w:tc>
          <w:tcPr>
            <w:tcW w:w="1738" w:type="dxa"/>
          </w:tcPr>
          <w:p w:rsidR="003C3A13" w:rsidRPr="0037462A" w:rsidP="003B3046" w14:paraId="2E8E0A09" w14:textId="0932CA2B">
            <w:pPr>
              <w:jc w:val="center"/>
              <w:rPr>
                <w:i/>
                <w:iCs/>
                <w:szCs w:val="20"/>
              </w:rPr>
            </w:pPr>
            <w:r w:rsidRPr="0037462A">
              <w:rPr>
                <w:i/>
                <w:iCs/>
                <w:szCs w:val="20"/>
              </w:rPr>
              <w:t>123.47</w:t>
            </w:r>
          </w:p>
        </w:tc>
        <w:tc>
          <w:tcPr>
            <w:tcW w:w="1767" w:type="dxa"/>
          </w:tcPr>
          <w:p w:rsidR="003C3A13" w:rsidRPr="0037462A" w:rsidP="003B3046" w14:paraId="2E8E0A0A" w14:textId="0B062A87">
            <w:pPr>
              <w:jc w:val="center"/>
              <w:rPr>
                <w:i/>
                <w:iCs/>
                <w:szCs w:val="20"/>
              </w:rPr>
            </w:pPr>
            <w:r w:rsidRPr="0037462A">
              <w:rPr>
                <w:i/>
                <w:iCs/>
                <w:szCs w:val="20"/>
              </w:rPr>
              <w:t>246.94</w:t>
            </w:r>
          </w:p>
        </w:tc>
      </w:tr>
      <w:tr w14:paraId="2E8E0A11" w14:textId="77777777" w:rsidTr="00526812">
        <w:tblPrEx>
          <w:tblW w:w="0" w:type="auto"/>
          <w:jc w:val="center"/>
          <w:tblLook w:val="04A0"/>
        </w:tblPrEx>
        <w:trPr>
          <w:jc w:val="center"/>
        </w:trPr>
        <w:tc>
          <w:tcPr>
            <w:tcW w:w="1809" w:type="dxa"/>
          </w:tcPr>
          <w:p w:rsidR="00D334E8" w:rsidRPr="0037462A" w:rsidP="005A5B19" w14:paraId="2E8E0A0C" w14:textId="77777777">
            <w:pPr>
              <w:rPr>
                <w:i/>
                <w:iCs/>
                <w:szCs w:val="20"/>
              </w:rPr>
            </w:pPr>
            <w:r w:rsidRPr="0037462A">
              <w:rPr>
                <w:i/>
                <w:iCs/>
                <w:szCs w:val="20"/>
              </w:rPr>
              <w:t>General Internal Medicine Physicians</w:t>
            </w:r>
          </w:p>
        </w:tc>
        <w:tc>
          <w:tcPr>
            <w:tcW w:w="1809" w:type="dxa"/>
          </w:tcPr>
          <w:p w:rsidR="00D334E8" w:rsidRPr="0037462A" w:rsidP="005A5B19" w14:paraId="2E8E0A0D" w14:textId="77777777">
            <w:pPr>
              <w:rPr>
                <w:i/>
                <w:iCs/>
                <w:szCs w:val="20"/>
              </w:rPr>
            </w:pPr>
            <w:r w:rsidRPr="0037462A">
              <w:rPr>
                <w:i/>
                <w:iCs/>
                <w:szCs w:val="20"/>
              </w:rPr>
              <w:t>29-1216</w:t>
            </w:r>
          </w:p>
        </w:tc>
        <w:tc>
          <w:tcPr>
            <w:tcW w:w="1733" w:type="dxa"/>
          </w:tcPr>
          <w:p w:rsidR="00D334E8" w:rsidRPr="0037462A" w:rsidP="003B3046" w14:paraId="2E8E0A0E" w14:textId="42C29CF0">
            <w:pPr>
              <w:jc w:val="center"/>
              <w:rPr>
                <w:i/>
                <w:iCs/>
                <w:szCs w:val="20"/>
              </w:rPr>
            </w:pPr>
            <w:r w:rsidRPr="0037462A">
              <w:rPr>
                <w:i/>
                <w:iCs/>
                <w:szCs w:val="20"/>
              </w:rPr>
              <w:t>126.31</w:t>
            </w:r>
          </w:p>
        </w:tc>
        <w:tc>
          <w:tcPr>
            <w:tcW w:w="1738" w:type="dxa"/>
          </w:tcPr>
          <w:p w:rsidR="00D334E8" w:rsidRPr="0037462A" w:rsidP="003B3046" w14:paraId="2E8E0A0F" w14:textId="525E9B41">
            <w:pPr>
              <w:jc w:val="center"/>
              <w:rPr>
                <w:i/>
                <w:iCs/>
                <w:szCs w:val="20"/>
              </w:rPr>
            </w:pPr>
            <w:r w:rsidRPr="0037462A">
              <w:rPr>
                <w:i/>
                <w:iCs/>
                <w:szCs w:val="20"/>
              </w:rPr>
              <w:t>126.31</w:t>
            </w:r>
          </w:p>
        </w:tc>
        <w:tc>
          <w:tcPr>
            <w:tcW w:w="1767" w:type="dxa"/>
          </w:tcPr>
          <w:p w:rsidR="00D334E8" w:rsidRPr="0037462A" w:rsidP="003B3046" w14:paraId="2E8E0A10" w14:textId="36D49B6F">
            <w:pPr>
              <w:jc w:val="center"/>
              <w:rPr>
                <w:i/>
                <w:iCs/>
                <w:szCs w:val="20"/>
              </w:rPr>
            </w:pPr>
            <w:r w:rsidRPr="0037462A">
              <w:rPr>
                <w:i/>
                <w:iCs/>
                <w:szCs w:val="20"/>
              </w:rPr>
              <w:t>252.62</w:t>
            </w:r>
          </w:p>
        </w:tc>
      </w:tr>
      <w:tr w14:paraId="2E8E0A14" w14:textId="77777777" w:rsidTr="008313E7">
        <w:tblPrEx>
          <w:tblW w:w="0" w:type="auto"/>
          <w:jc w:val="center"/>
          <w:tblLook w:val="04A0"/>
        </w:tblPrEx>
        <w:trPr>
          <w:jc w:val="center"/>
        </w:trPr>
        <w:tc>
          <w:tcPr>
            <w:tcW w:w="7089" w:type="dxa"/>
            <w:gridSpan w:val="4"/>
          </w:tcPr>
          <w:p w:rsidR="009D77E5" w:rsidRPr="00B5346B" w:rsidP="003B3046" w14:paraId="2E8E0A12" w14:textId="007D342C">
            <w:pPr>
              <w:rPr>
                <w:szCs w:val="20"/>
              </w:rPr>
            </w:pPr>
            <w:r w:rsidRPr="00B5346B">
              <w:rPr>
                <w:szCs w:val="20"/>
              </w:rPr>
              <w:t xml:space="preserve">Average </w:t>
            </w:r>
            <w:r w:rsidRPr="00B5346B" w:rsidR="005D1728">
              <w:rPr>
                <w:szCs w:val="20"/>
              </w:rPr>
              <w:t xml:space="preserve">Family and General Physicians </w:t>
            </w:r>
            <w:r w:rsidR="0085349C">
              <w:rPr>
                <w:szCs w:val="20"/>
              </w:rPr>
              <w:t>(</w:t>
            </w:r>
            <w:r w:rsidRPr="0085349C" w:rsidR="0085349C">
              <w:rPr>
                <w:szCs w:val="20"/>
              </w:rPr>
              <w:t xml:space="preserve">249.78 </w:t>
            </w:r>
            <w:r w:rsidR="0085349C">
              <w:rPr>
                <w:szCs w:val="20"/>
              </w:rPr>
              <w:t>= [</w:t>
            </w:r>
            <w:r w:rsidRPr="00B5346B" w:rsidR="005D1728">
              <w:rPr>
                <w:szCs w:val="20"/>
              </w:rPr>
              <w:t>(</w:t>
            </w:r>
            <w:r w:rsidRPr="00B5346B">
              <w:rPr>
                <w:szCs w:val="20"/>
              </w:rPr>
              <w:t>246.94 + 252.62)/2</w:t>
            </w:r>
            <w:r w:rsidR="0085349C">
              <w:rPr>
                <w:szCs w:val="20"/>
              </w:rPr>
              <w:t>]</w:t>
            </w:r>
          </w:p>
        </w:tc>
        <w:tc>
          <w:tcPr>
            <w:tcW w:w="1767" w:type="dxa"/>
          </w:tcPr>
          <w:p w:rsidR="009D77E5" w:rsidP="003B3046" w14:paraId="2E8E0A13" w14:textId="7B7CCF32">
            <w:pPr>
              <w:jc w:val="center"/>
              <w:rPr>
                <w:szCs w:val="20"/>
              </w:rPr>
            </w:pPr>
            <w:r w:rsidRPr="00B5346B">
              <w:rPr>
                <w:szCs w:val="20"/>
              </w:rPr>
              <w:t>249.78</w:t>
            </w:r>
          </w:p>
        </w:tc>
      </w:tr>
      <w:tr w14:paraId="2E8E0A1A" w14:textId="77777777" w:rsidTr="00526812">
        <w:tblPrEx>
          <w:tblW w:w="0" w:type="auto"/>
          <w:jc w:val="center"/>
          <w:tblLook w:val="04A0"/>
        </w:tblPrEx>
        <w:trPr>
          <w:jc w:val="center"/>
        </w:trPr>
        <w:tc>
          <w:tcPr>
            <w:tcW w:w="1809" w:type="dxa"/>
          </w:tcPr>
          <w:p w:rsidR="003C3A13" w:rsidRPr="00B41EDA" w:rsidP="005A5B19" w14:paraId="2E8E0A15" w14:textId="77777777">
            <w:pPr>
              <w:rPr>
                <w:szCs w:val="20"/>
              </w:rPr>
            </w:pPr>
            <w:r w:rsidRPr="00B41EDA">
              <w:rPr>
                <w:szCs w:val="20"/>
              </w:rPr>
              <w:t>Nurse Practitioners</w:t>
            </w:r>
          </w:p>
        </w:tc>
        <w:tc>
          <w:tcPr>
            <w:tcW w:w="1809" w:type="dxa"/>
          </w:tcPr>
          <w:p w:rsidR="003C3A13" w:rsidRPr="00B41EDA" w:rsidP="005A5B19" w14:paraId="2E8E0A16" w14:textId="77777777">
            <w:pPr>
              <w:rPr>
                <w:szCs w:val="20"/>
              </w:rPr>
            </w:pPr>
            <w:r w:rsidRPr="00B41EDA">
              <w:rPr>
                <w:szCs w:val="20"/>
              </w:rPr>
              <w:t>29-1171</w:t>
            </w:r>
          </w:p>
        </w:tc>
        <w:tc>
          <w:tcPr>
            <w:tcW w:w="1733" w:type="dxa"/>
          </w:tcPr>
          <w:p w:rsidR="003C3A13" w:rsidRPr="00B41EDA" w:rsidP="003B3046" w14:paraId="2E8E0A17" w14:textId="4B08E349">
            <w:pPr>
              <w:jc w:val="center"/>
              <w:rPr>
                <w:szCs w:val="20"/>
              </w:rPr>
            </w:pPr>
            <w:r>
              <w:rPr>
                <w:szCs w:val="20"/>
              </w:rPr>
              <w:t>63.46</w:t>
            </w:r>
          </w:p>
        </w:tc>
        <w:tc>
          <w:tcPr>
            <w:tcW w:w="1738" w:type="dxa"/>
          </w:tcPr>
          <w:p w:rsidR="003C3A13" w:rsidRPr="00B41EDA" w:rsidP="003B3046" w14:paraId="2E8E0A18" w14:textId="0A52B3A2">
            <w:pPr>
              <w:jc w:val="center"/>
              <w:rPr>
                <w:szCs w:val="20"/>
              </w:rPr>
            </w:pPr>
            <w:r>
              <w:rPr>
                <w:szCs w:val="20"/>
              </w:rPr>
              <w:t>63.46</w:t>
            </w:r>
          </w:p>
        </w:tc>
        <w:tc>
          <w:tcPr>
            <w:tcW w:w="1767" w:type="dxa"/>
          </w:tcPr>
          <w:p w:rsidR="003C3A13" w:rsidRPr="00B41EDA" w:rsidP="003B3046" w14:paraId="2E8E0A19" w14:textId="6357FA1B">
            <w:pPr>
              <w:jc w:val="center"/>
              <w:rPr>
                <w:szCs w:val="20"/>
              </w:rPr>
            </w:pPr>
            <w:r>
              <w:rPr>
                <w:szCs w:val="20"/>
              </w:rPr>
              <w:t>126.92</w:t>
            </w:r>
          </w:p>
        </w:tc>
      </w:tr>
      <w:tr w14:paraId="2E8E0A20" w14:textId="77777777" w:rsidTr="00526812">
        <w:tblPrEx>
          <w:tblW w:w="0" w:type="auto"/>
          <w:jc w:val="center"/>
          <w:tblLook w:val="04A0"/>
        </w:tblPrEx>
        <w:trPr>
          <w:jc w:val="center"/>
        </w:trPr>
        <w:tc>
          <w:tcPr>
            <w:tcW w:w="1809" w:type="dxa"/>
          </w:tcPr>
          <w:p w:rsidR="003C3A13" w:rsidRPr="00B41EDA" w:rsidP="005A5B19" w14:paraId="2E8E0A1B" w14:textId="77777777">
            <w:pPr>
              <w:rPr>
                <w:szCs w:val="20"/>
              </w:rPr>
            </w:pPr>
            <w:r w:rsidRPr="00B41EDA">
              <w:rPr>
                <w:szCs w:val="20"/>
              </w:rPr>
              <w:t>Physician Assistants</w:t>
            </w:r>
          </w:p>
        </w:tc>
        <w:tc>
          <w:tcPr>
            <w:tcW w:w="1809" w:type="dxa"/>
          </w:tcPr>
          <w:p w:rsidR="003C3A13" w:rsidRPr="00B41EDA" w:rsidP="005A5B19" w14:paraId="2E8E0A1C" w14:textId="77777777">
            <w:pPr>
              <w:rPr>
                <w:szCs w:val="20"/>
              </w:rPr>
            </w:pPr>
            <w:r w:rsidRPr="00B41EDA">
              <w:rPr>
                <w:szCs w:val="20"/>
              </w:rPr>
              <w:t>29-1071</w:t>
            </w:r>
          </w:p>
        </w:tc>
        <w:tc>
          <w:tcPr>
            <w:tcW w:w="1733" w:type="dxa"/>
          </w:tcPr>
          <w:p w:rsidR="003C3A13" w:rsidRPr="00B41EDA" w:rsidP="003B3046" w14:paraId="2E8E0A1D" w14:textId="0034EF78">
            <w:pPr>
              <w:jc w:val="center"/>
              <w:rPr>
                <w:szCs w:val="20"/>
              </w:rPr>
            </w:pPr>
            <w:r>
              <w:rPr>
                <w:szCs w:val="20"/>
              </w:rPr>
              <w:t>65.82</w:t>
            </w:r>
          </w:p>
        </w:tc>
        <w:tc>
          <w:tcPr>
            <w:tcW w:w="1738" w:type="dxa"/>
          </w:tcPr>
          <w:p w:rsidR="003C3A13" w:rsidRPr="00B41EDA" w:rsidP="003B3046" w14:paraId="2E8E0A1E" w14:textId="7050072C">
            <w:pPr>
              <w:jc w:val="center"/>
              <w:rPr>
                <w:szCs w:val="20"/>
              </w:rPr>
            </w:pPr>
            <w:r>
              <w:rPr>
                <w:szCs w:val="20"/>
              </w:rPr>
              <w:t>65.82</w:t>
            </w:r>
          </w:p>
        </w:tc>
        <w:tc>
          <w:tcPr>
            <w:tcW w:w="1767" w:type="dxa"/>
          </w:tcPr>
          <w:p w:rsidR="003C3A13" w:rsidRPr="00B41EDA" w:rsidP="003B3046" w14:paraId="2E8E0A1F" w14:textId="2A3C8FF5">
            <w:pPr>
              <w:jc w:val="center"/>
              <w:rPr>
                <w:szCs w:val="20"/>
              </w:rPr>
            </w:pPr>
            <w:r>
              <w:rPr>
                <w:szCs w:val="20"/>
              </w:rPr>
              <w:t>131.64</w:t>
            </w:r>
          </w:p>
        </w:tc>
      </w:tr>
    </w:tbl>
    <w:p w:rsidR="00AC55AF" w:rsidRPr="005A5B19" w:rsidP="00313251" w14:paraId="2E8E0A2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3C3A13" w:rsidRPr="005A5B19" w:rsidP="00904981" w14:paraId="2E8E0A22" w14:textId="5E4726E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5A5B19">
        <w:rPr>
          <w:sz w:val="24"/>
        </w:rPr>
        <w:t>As indicated, we are adjusting our employee hourly wage estimates by a factor of 100 percent. This is necessarily a rough adjustment, both because fringe benefits and o</w:t>
      </w:r>
      <w:r w:rsidR="00044E41">
        <w:rPr>
          <w:sz w:val="24"/>
        </w:rPr>
        <w:t>ther indirect costs</w:t>
      </w:r>
      <w:r w:rsidRPr="005A5B19">
        <w:rPr>
          <w:sz w:val="24"/>
        </w:rPr>
        <w:t xml:space="preserve"> vary significantly from employer to employer, and because methods of estimating these costs vary widely from study to study. Nonetheless</w:t>
      </w:r>
      <w:r w:rsidRPr="005A5B19" w:rsidR="003E213A">
        <w:rPr>
          <w:sz w:val="24"/>
        </w:rPr>
        <w:t>, we</w:t>
      </w:r>
      <w:r w:rsidRPr="005A5B19">
        <w:rPr>
          <w:sz w:val="24"/>
        </w:rPr>
        <w:t xml:space="preserve"> believe that doubling the hourly wage to estimate total cost is a reasonably accurate estimation method.</w:t>
      </w:r>
    </w:p>
    <w:p w:rsidR="001C2619" w:rsidRPr="005A5B19" w:rsidP="00904981" w14:paraId="2E8E0A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2619" w:rsidRPr="000109D6" w:rsidP="00904981" w14:paraId="2E8E0A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109D6">
        <w:rPr>
          <w:i/>
          <w:sz w:val="24"/>
        </w:rPr>
        <w:t xml:space="preserve">Collection of Information Requirements and Associated </w:t>
      </w:r>
      <w:r w:rsidRPr="000109D6" w:rsidR="003C3A13">
        <w:rPr>
          <w:i/>
          <w:sz w:val="24"/>
        </w:rPr>
        <w:t>Burden Estimates</w:t>
      </w:r>
    </w:p>
    <w:p w:rsidR="001C2619" w:rsidRPr="000109D6" w:rsidP="00904981" w14:paraId="2E8E0A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F3D55" w:rsidRPr="000109D6" w:rsidP="00904981" w14:paraId="2E8E0A26" w14:textId="08E405D1">
      <w:pPr>
        <w:rPr>
          <w:sz w:val="24"/>
        </w:rPr>
      </w:pPr>
      <w:r w:rsidRPr="000109D6">
        <w:rPr>
          <w:sz w:val="24"/>
        </w:rPr>
        <w:t xml:space="preserve">Section 440.70(f) and (g) requires that physicians </w:t>
      </w:r>
      <w:r w:rsidRPr="000109D6" w:rsidR="00EC19BC">
        <w:rPr>
          <w:sz w:val="24"/>
        </w:rPr>
        <w:t xml:space="preserve">and </w:t>
      </w:r>
      <w:r w:rsidRPr="000109D6">
        <w:rPr>
          <w:sz w:val="24"/>
        </w:rPr>
        <w:t xml:space="preserve">authorized NPPs including nurse practitioners, clinical nurse specialists and physician assistants document that there was a face-to-face encounter with the Medicaid beneficiary.  The burden associated with this requirement is the time and effort to complete this documentation.  The burden also includes writing, typing, or dictating the face-to-face documentation and signing/dating the documentation. In this regard, we estimate </w:t>
      </w:r>
      <w:r w:rsidRPr="000109D6" w:rsidR="00CE05F7">
        <w:rPr>
          <w:sz w:val="24"/>
        </w:rPr>
        <w:t xml:space="preserve">that it will take </w:t>
      </w:r>
      <w:r w:rsidRPr="000109D6">
        <w:rPr>
          <w:sz w:val="24"/>
        </w:rPr>
        <w:t xml:space="preserve">10 minutes </w:t>
      </w:r>
      <w:r w:rsidRPr="000109D6" w:rsidR="00204C69">
        <w:rPr>
          <w:sz w:val="24"/>
        </w:rPr>
        <w:t xml:space="preserve">(0.167 hr) </w:t>
      </w:r>
      <w:r w:rsidRPr="000109D6">
        <w:rPr>
          <w:sz w:val="24"/>
        </w:rPr>
        <w:t xml:space="preserve">for each encounter.  We also estimate that there are approximately </w:t>
      </w:r>
      <w:r w:rsidRPr="000109D6" w:rsidR="00A431F7">
        <w:rPr>
          <w:sz w:val="24"/>
        </w:rPr>
        <w:t>2,495,355</w:t>
      </w:r>
      <w:r w:rsidRPr="000109D6" w:rsidR="00A431F7">
        <w:t xml:space="preserve"> </w:t>
      </w:r>
      <w:r w:rsidRPr="000109D6">
        <w:rPr>
          <w:sz w:val="24"/>
        </w:rPr>
        <w:t xml:space="preserve">initial home health episodes </w:t>
      </w:r>
      <w:r w:rsidRPr="000109D6">
        <w:rPr>
          <w:sz w:val="24"/>
        </w:rPr>
        <w:t>in a given year</w:t>
      </w:r>
      <w:r w:rsidRPr="000109D6">
        <w:rPr>
          <w:sz w:val="24"/>
        </w:rPr>
        <w:t xml:space="preserve"> (this estimate is based on our </w:t>
      </w:r>
      <w:r w:rsidRPr="000109D6" w:rsidR="00407ADA">
        <w:rPr>
          <w:sz w:val="24"/>
        </w:rPr>
        <w:t xml:space="preserve">2019 </w:t>
      </w:r>
      <w:r w:rsidRPr="000109D6">
        <w:rPr>
          <w:sz w:val="24"/>
        </w:rPr>
        <w:t xml:space="preserve">claims data which is also our most recent data).  Due to the lack of data for each provider type, we are dividing our </w:t>
      </w:r>
      <w:r w:rsidRPr="000109D6" w:rsidR="00407ADA">
        <w:rPr>
          <w:sz w:val="24"/>
        </w:rPr>
        <w:t>2,495,355</w:t>
      </w:r>
      <w:r w:rsidRPr="000109D6" w:rsidR="00407ADA">
        <w:t xml:space="preserve"> </w:t>
      </w:r>
      <w:r w:rsidRPr="000109D6">
        <w:rPr>
          <w:sz w:val="24"/>
        </w:rPr>
        <w:t xml:space="preserve">episode estimate into 3 equal parts of </w:t>
      </w:r>
      <w:r w:rsidRPr="000109D6" w:rsidR="00407ADA">
        <w:rPr>
          <w:sz w:val="24"/>
        </w:rPr>
        <w:t>831,785</w:t>
      </w:r>
      <w:r w:rsidRPr="000109D6" w:rsidR="00623D8F">
        <w:rPr>
          <w:sz w:val="24"/>
        </w:rPr>
        <w:t xml:space="preserve"> </w:t>
      </w:r>
      <w:r w:rsidRPr="000109D6">
        <w:rPr>
          <w:sz w:val="24"/>
        </w:rPr>
        <w:t xml:space="preserve">for each of the three respondent types (family and general practitioners, nurse practitioners, and physician assistants). </w:t>
      </w:r>
    </w:p>
    <w:p w:rsidR="00AF3D55" w:rsidRPr="000109D6" w:rsidP="00904981" w14:paraId="2E8E0A27" w14:textId="77777777">
      <w:pPr>
        <w:rPr>
          <w:sz w:val="24"/>
        </w:rPr>
      </w:pPr>
    </w:p>
    <w:p w:rsidR="00AF3D55" w:rsidRPr="000109D6" w:rsidP="00904981" w14:paraId="2E8E0A28" w14:textId="2F048591">
      <w:pPr>
        <w:rPr>
          <w:sz w:val="24"/>
        </w:rPr>
      </w:pPr>
      <w:r w:rsidRPr="000109D6">
        <w:rPr>
          <w:sz w:val="24"/>
        </w:rPr>
        <w:t>For documenting, signing, and dating the beneficiary’s face-to-face encounter, we estimate an annual burden of 416,724 hours (2,495,355</w:t>
      </w:r>
      <w:r w:rsidRPr="000109D6">
        <w:t xml:space="preserve"> </w:t>
      </w:r>
      <w:r w:rsidRPr="000109D6">
        <w:rPr>
          <w:sz w:val="24"/>
        </w:rPr>
        <w:t>episodes x 0.167 hr/episode) at a cost of $</w:t>
      </w:r>
      <w:r w:rsidRPr="000109D6" w:rsidR="00765E25">
        <w:rPr>
          <w:sz w:val="24"/>
        </w:rPr>
        <w:t>70,612,492</w:t>
      </w:r>
      <w:r w:rsidRPr="000109D6">
        <w:rPr>
          <w:sz w:val="24"/>
        </w:rPr>
        <w:t xml:space="preserve"> [(831,785 x 0.167 hr x $</w:t>
      </w:r>
      <w:r w:rsidRPr="000109D6" w:rsidR="00765E25">
        <w:rPr>
          <w:sz w:val="24"/>
        </w:rPr>
        <w:t>249.78</w:t>
      </w:r>
      <w:r w:rsidRPr="000109D6">
        <w:rPr>
          <w:sz w:val="24"/>
        </w:rPr>
        <w:t>/hr for a family and general practitioner) + (831,785 x 0.167 hr x $</w:t>
      </w:r>
      <w:r w:rsidRPr="000109D6" w:rsidR="00765E25">
        <w:rPr>
          <w:sz w:val="24"/>
        </w:rPr>
        <w:t>126.92</w:t>
      </w:r>
      <w:r w:rsidRPr="000109D6">
        <w:rPr>
          <w:sz w:val="24"/>
        </w:rPr>
        <w:t>/hr for a nurse practitioner) + (831,785 x 0.167 hr x $</w:t>
      </w:r>
      <w:r w:rsidRPr="000109D6" w:rsidR="00765E25">
        <w:rPr>
          <w:sz w:val="24"/>
        </w:rPr>
        <w:t>131.64</w:t>
      </w:r>
      <w:r w:rsidRPr="000109D6">
        <w:rPr>
          <w:sz w:val="24"/>
        </w:rPr>
        <w:t xml:space="preserve">/hr for a physician </w:t>
      </w:r>
      <w:r w:rsidRPr="000109D6">
        <w:rPr>
          <w:sz w:val="24"/>
        </w:rPr>
        <w:t>assistant)].</w:t>
      </w:r>
    </w:p>
    <w:p w:rsidR="00AF3D55" w:rsidRPr="000109D6" w:rsidP="00904981" w14:paraId="2E8E0A29" w14:textId="77777777">
      <w:pPr>
        <w:rPr>
          <w:sz w:val="24"/>
        </w:rPr>
      </w:pPr>
    </w:p>
    <w:p w:rsidR="00A11C1B" w:rsidRPr="000109D6" w:rsidP="00904981" w14:paraId="2E8E0A2A" w14:textId="77777777">
      <w:pPr>
        <w:rPr>
          <w:i/>
          <w:sz w:val="24"/>
          <w:lang w:val="x-none" w:eastAsia="x-none"/>
        </w:rPr>
      </w:pPr>
      <w:r w:rsidRPr="000109D6">
        <w:rPr>
          <w:i/>
          <w:sz w:val="24"/>
          <w:lang w:val="x-none" w:eastAsia="x-none"/>
        </w:rPr>
        <w:t>Summary of Annual Burden Estimates</w:t>
      </w:r>
    </w:p>
    <w:p w:rsidR="009A776E" w:rsidRPr="000109D6" w:rsidP="005A5B19" w14:paraId="2E8E0A2B" w14:textId="77777777">
      <w:pPr>
        <w:rPr>
          <w:i/>
          <w:sz w:val="24"/>
          <w:lang w:val="x-none" w:eastAsia="x-none"/>
        </w:rPr>
      </w:pPr>
    </w:p>
    <w:p w:rsidR="00A11C1B" w:rsidRPr="002F47B8" w:rsidP="005A5B19" w14:paraId="2E8E0A2C" w14:textId="77777777">
      <w:pPr>
        <w:jc w:val="center"/>
        <w:rPr>
          <w:sz w:val="22"/>
          <w:szCs w:val="22"/>
        </w:rPr>
      </w:pPr>
      <w:r w:rsidRPr="002F47B8">
        <w:rPr>
          <w:sz w:val="22"/>
          <w:szCs w:val="22"/>
        </w:rPr>
        <w:t>Annual Recordkeeping and Reporting Requirements</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4"/>
        <w:gridCol w:w="1239"/>
        <w:gridCol w:w="1112"/>
        <w:gridCol w:w="983"/>
        <w:gridCol w:w="944"/>
        <w:gridCol w:w="833"/>
        <w:gridCol w:w="1182"/>
        <w:gridCol w:w="1184"/>
      </w:tblGrid>
      <w:tr w14:paraId="2E8E0A38" w14:textId="77777777" w:rsidTr="000A0EE7">
        <w:tblPrEx>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094" w:type="dxa"/>
            <w:vAlign w:val="center"/>
          </w:tcPr>
          <w:p w:rsidR="00A11C1B" w:rsidRPr="002F47B8" w:rsidP="003D6560" w14:paraId="2E8E0A2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F47B8">
              <w:rPr>
                <w:color w:val="000000"/>
                <w:szCs w:val="20"/>
              </w:rPr>
              <w:t>Regulation Section(s) in Title 42 of the CFR</w:t>
            </w:r>
          </w:p>
        </w:tc>
        <w:tc>
          <w:tcPr>
            <w:tcW w:w="1239" w:type="dxa"/>
            <w:vAlign w:val="center"/>
          </w:tcPr>
          <w:p w:rsidR="00A11C1B" w:rsidRPr="002F47B8" w:rsidP="003D6560" w14:paraId="2E8E0A2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F47B8">
              <w:rPr>
                <w:color w:val="000000"/>
                <w:szCs w:val="20"/>
              </w:rPr>
              <w:t>Respondents</w:t>
            </w:r>
          </w:p>
        </w:tc>
        <w:tc>
          <w:tcPr>
            <w:tcW w:w="1112" w:type="dxa"/>
            <w:vAlign w:val="center"/>
          </w:tcPr>
          <w:p w:rsidR="00A11C1B" w:rsidRPr="002F47B8" w:rsidP="003D6560" w14:paraId="2E8E0A2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F47B8">
              <w:rPr>
                <w:color w:val="000000"/>
                <w:szCs w:val="20"/>
              </w:rPr>
              <w:t>Total Responses</w:t>
            </w:r>
          </w:p>
        </w:tc>
        <w:tc>
          <w:tcPr>
            <w:tcW w:w="983" w:type="dxa"/>
            <w:vAlign w:val="center"/>
          </w:tcPr>
          <w:p w:rsidR="00A11C1B" w:rsidRPr="002F47B8" w:rsidP="003D6560" w14:paraId="2E8E0A30" w14:textId="0B494B1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F47B8">
              <w:rPr>
                <w:color w:val="000000"/>
                <w:szCs w:val="20"/>
              </w:rPr>
              <w:t>Time per Response</w:t>
            </w:r>
            <w:r w:rsidRPr="002F47B8" w:rsidR="007D4A4D">
              <w:rPr>
                <w:color w:val="000000"/>
                <w:szCs w:val="20"/>
              </w:rPr>
              <w:t xml:space="preserve"> (hr)</w:t>
            </w:r>
          </w:p>
        </w:tc>
        <w:tc>
          <w:tcPr>
            <w:tcW w:w="944" w:type="dxa"/>
            <w:vAlign w:val="center"/>
          </w:tcPr>
          <w:p w:rsidR="00A11C1B" w:rsidRPr="002F47B8" w:rsidP="003D6560" w14:paraId="2E8E0A31" w14:textId="2EBFE16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F47B8">
              <w:rPr>
                <w:color w:val="000000"/>
                <w:szCs w:val="20"/>
              </w:rPr>
              <w:t xml:space="preserve">Total </w:t>
            </w:r>
            <w:r w:rsidRPr="002F47B8" w:rsidR="003C4CF1">
              <w:rPr>
                <w:color w:val="000000"/>
                <w:szCs w:val="20"/>
              </w:rPr>
              <w:t>Time</w:t>
            </w:r>
            <w:r w:rsidRPr="002F47B8">
              <w:rPr>
                <w:color w:val="000000"/>
                <w:szCs w:val="20"/>
              </w:rPr>
              <w:t xml:space="preserve"> (hr)</w:t>
            </w:r>
          </w:p>
        </w:tc>
        <w:tc>
          <w:tcPr>
            <w:tcW w:w="833" w:type="dxa"/>
            <w:vAlign w:val="center"/>
          </w:tcPr>
          <w:p w:rsidR="00A11C1B" w:rsidRPr="002F47B8" w:rsidP="003D6560" w14:paraId="2E8E0A32" w14:textId="77777777">
            <w:pPr>
              <w:jc w:val="center"/>
              <w:rPr>
                <w:szCs w:val="20"/>
              </w:rPr>
            </w:pPr>
            <w:r w:rsidRPr="002F47B8">
              <w:rPr>
                <w:color w:val="000000"/>
                <w:szCs w:val="20"/>
              </w:rPr>
              <w:t>Labor Rate ($/hr)</w:t>
            </w:r>
          </w:p>
        </w:tc>
        <w:tc>
          <w:tcPr>
            <w:tcW w:w="1182" w:type="dxa"/>
            <w:vAlign w:val="center"/>
          </w:tcPr>
          <w:p w:rsidR="00A11C1B" w:rsidRPr="002F47B8" w:rsidP="009A3D9E" w14:paraId="2E8E0A3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F47B8">
              <w:rPr>
                <w:szCs w:val="20"/>
              </w:rPr>
              <w:t>Capital/</w:t>
            </w:r>
          </w:p>
          <w:p w:rsidR="00A11C1B" w:rsidRPr="002F47B8" w:rsidP="009A3D9E" w14:paraId="2E8E0A35" w14:textId="7805BCA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F47B8">
              <w:rPr>
                <w:szCs w:val="20"/>
              </w:rPr>
              <w:t>Maintenance Cost ($)</w:t>
            </w:r>
          </w:p>
        </w:tc>
        <w:tc>
          <w:tcPr>
            <w:tcW w:w="1184" w:type="dxa"/>
            <w:vAlign w:val="center"/>
          </w:tcPr>
          <w:p w:rsidR="00A11C1B" w:rsidRPr="002F47B8" w:rsidP="003D6560" w14:paraId="2E8E0A3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F47B8">
              <w:rPr>
                <w:szCs w:val="20"/>
              </w:rPr>
              <w:t>Total Cost</w:t>
            </w:r>
          </w:p>
          <w:p w:rsidR="00A11C1B" w:rsidRPr="002F47B8" w:rsidP="003D6560" w14:paraId="2E8E0A3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F47B8">
              <w:rPr>
                <w:szCs w:val="20"/>
              </w:rPr>
              <w:t>($)</w:t>
            </w:r>
          </w:p>
        </w:tc>
      </w:tr>
      <w:tr w14:paraId="2E8E0A41" w14:textId="77777777" w:rsidTr="000A0EE7">
        <w:tblPrEx>
          <w:tblW w:w="8571" w:type="dxa"/>
          <w:tblLayout w:type="fixed"/>
          <w:tblLook w:val="00A0"/>
        </w:tblPrEx>
        <w:tc>
          <w:tcPr>
            <w:tcW w:w="1094" w:type="dxa"/>
            <w:vMerge w:val="restart"/>
            <w:vAlign w:val="center"/>
          </w:tcPr>
          <w:p w:rsidR="00A11C1B" w:rsidRPr="002F47B8" w:rsidP="005A5B19" w14:paraId="2E8E0A3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440.70(f) and (g)</w:t>
            </w:r>
          </w:p>
        </w:tc>
        <w:tc>
          <w:tcPr>
            <w:tcW w:w="1239" w:type="dxa"/>
            <w:vAlign w:val="center"/>
          </w:tcPr>
          <w:p w:rsidR="00A11C1B" w:rsidRPr="002F47B8" w:rsidP="005A5B19" w14:paraId="2E8E0A3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831,785</w:t>
            </w:r>
          </w:p>
        </w:tc>
        <w:tc>
          <w:tcPr>
            <w:tcW w:w="1112" w:type="dxa"/>
            <w:vAlign w:val="center"/>
          </w:tcPr>
          <w:p w:rsidR="00A11C1B" w:rsidRPr="002F47B8" w:rsidP="005A5B19" w14:paraId="2E8E0A3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831,785</w:t>
            </w:r>
          </w:p>
        </w:tc>
        <w:tc>
          <w:tcPr>
            <w:tcW w:w="983" w:type="dxa"/>
          </w:tcPr>
          <w:p w:rsidR="00A11C1B" w:rsidRPr="002F47B8" w:rsidP="005A5B19" w14:paraId="2E8E0A3C" w14:textId="70F1751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sidRPr="002F47B8">
              <w:rPr>
                <w:szCs w:val="20"/>
              </w:rPr>
              <w:t>0.167</w:t>
            </w:r>
          </w:p>
        </w:tc>
        <w:tc>
          <w:tcPr>
            <w:tcW w:w="944" w:type="dxa"/>
            <w:vAlign w:val="center"/>
          </w:tcPr>
          <w:p w:rsidR="00A11C1B" w:rsidRPr="002F47B8" w:rsidP="005A5B19" w14:paraId="2E8E0A3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138,908</w:t>
            </w:r>
          </w:p>
        </w:tc>
        <w:tc>
          <w:tcPr>
            <w:tcW w:w="833" w:type="dxa"/>
            <w:vAlign w:val="center"/>
          </w:tcPr>
          <w:p w:rsidR="00A11C1B" w:rsidRPr="002F47B8" w:rsidP="005A5B19" w14:paraId="2E8E0A3E" w14:textId="3CD20D9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sidRPr="002F47B8">
              <w:rPr>
                <w:szCs w:val="20"/>
              </w:rPr>
              <w:t>249.78</w:t>
            </w:r>
          </w:p>
        </w:tc>
        <w:tc>
          <w:tcPr>
            <w:tcW w:w="1182" w:type="dxa"/>
            <w:vAlign w:val="center"/>
          </w:tcPr>
          <w:p w:rsidR="00A11C1B" w:rsidRPr="002F47B8" w:rsidP="009A3D9E" w14:paraId="2E8E0A3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F47B8">
              <w:rPr>
                <w:szCs w:val="20"/>
              </w:rPr>
              <w:t>0</w:t>
            </w:r>
          </w:p>
        </w:tc>
        <w:tc>
          <w:tcPr>
            <w:tcW w:w="1184" w:type="dxa"/>
            <w:vAlign w:val="center"/>
          </w:tcPr>
          <w:p w:rsidR="00A11C1B" w:rsidRPr="002F47B8" w:rsidP="005A5B19" w14:paraId="2E8E0A40" w14:textId="1EE85E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sidRPr="002F47B8">
              <w:rPr>
                <w:szCs w:val="20"/>
              </w:rPr>
              <w:t>34,696,440</w:t>
            </w:r>
          </w:p>
        </w:tc>
      </w:tr>
      <w:tr w14:paraId="2E8E0A4A" w14:textId="77777777" w:rsidTr="000A0EE7">
        <w:tblPrEx>
          <w:tblW w:w="8571" w:type="dxa"/>
          <w:tblLayout w:type="fixed"/>
          <w:tblLook w:val="00A0"/>
        </w:tblPrEx>
        <w:tc>
          <w:tcPr>
            <w:tcW w:w="1094" w:type="dxa"/>
            <w:vMerge/>
            <w:vAlign w:val="center"/>
          </w:tcPr>
          <w:p w:rsidR="00A11C1B" w:rsidRPr="002F47B8" w:rsidP="005A5B19" w14:paraId="2E8E0A4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tc>
        <w:tc>
          <w:tcPr>
            <w:tcW w:w="1239" w:type="dxa"/>
            <w:vAlign w:val="center"/>
          </w:tcPr>
          <w:p w:rsidR="00A11C1B" w:rsidRPr="002F47B8" w:rsidP="005A5B19" w14:paraId="2E8E0A4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831,785</w:t>
            </w:r>
          </w:p>
        </w:tc>
        <w:tc>
          <w:tcPr>
            <w:tcW w:w="1112" w:type="dxa"/>
            <w:vAlign w:val="center"/>
          </w:tcPr>
          <w:p w:rsidR="00A11C1B" w:rsidRPr="002F47B8" w:rsidP="005A5B19" w14:paraId="2E8E0A4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831,785</w:t>
            </w:r>
          </w:p>
        </w:tc>
        <w:tc>
          <w:tcPr>
            <w:tcW w:w="983" w:type="dxa"/>
          </w:tcPr>
          <w:p w:rsidR="00A11C1B" w:rsidRPr="002F47B8" w:rsidP="005A5B19" w14:paraId="2E8E0A45" w14:textId="2D7669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sidRPr="002F47B8">
              <w:rPr>
                <w:szCs w:val="20"/>
              </w:rPr>
              <w:t>0.167</w:t>
            </w:r>
          </w:p>
        </w:tc>
        <w:tc>
          <w:tcPr>
            <w:tcW w:w="944" w:type="dxa"/>
            <w:vAlign w:val="center"/>
          </w:tcPr>
          <w:p w:rsidR="00A11C1B" w:rsidRPr="002F47B8" w:rsidP="005A5B19" w14:paraId="2E8E0A4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138,908</w:t>
            </w:r>
          </w:p>
        </w:tc>
        <w:tc>
          <w:tcPr>
            <w:tcW w:w="833" w:type="dxa"/>
            <w:vAlign w:val="center"/>
          </w:tcPr>
          <w:p w:rsidR="00A11C1B" w:rsidRPr="002F47B8" w:rsidP="005A5B19" w14:paraId="2E8E0A47" w14:textId="62BCA98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sidRPr="002F47B8">
              <w:rPr>
                <w:szCs w:val="20"/>
              </w:rPr>
              <w:t>126.92</w:t>
            </w:r>
          </w:p>
        </w:tc>
        <w:tc>
          <w:tcPr>
            <w:tcW w:w="1182" w:type="dxa"/>
            <w:vAlign w:val="center"/>
          </w:tcPr>
          <w:p w:rsidR="00A11C1B" w:rsidRPr="002F47B8" w:rsidP="009A3D9E" w14:paraId="2E8E0A4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F47B8">
              <w:rPr>
                <w:szCs w:val="20"/>
              </w:rPr>
              <w:t>0</w:t>
            </w:r>
          </w:p>
        </w:tc>
        <w:tc>
          <w:tcPr>
            <w:tcW w:w="1184" w:type="dxa"/>
            <w:vAlign w:val="center"/>
          </w:tcPr>
          <w:p w:rsidR="00A11C1B" w:rsidRPr="002F47B8" w:rsidP="005A5B19" w14:paraId="2E8E0A49" w14:textId="3E53FA0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sidRPr="002F47B8">
              <w:rPr>
                <w:szCs w:val="20"/>
              </w:rPr>
              <w:t>17,630,203</w:t>
            </w:r>
          </w:p>
        </w:tc>
      </w:tr>
      <w:tr w14:paraId="2E8E0A53" w14:textId="77777777" w:rsidTr="000A0EE7">
        <w:tblPrEx>
          <w:tblW w:w="8571" w:type="dxa"/>
          <w:tblLayout w:type="fixed"/>
          <w:tblLook w:val="00A0"/>
        </w:tblPrEx>
        <w:tc>
          <w:tcPr>
            <w:tcW w:w="1094" w:type="dxa"/>
            <w:vMerge/>
            <w:vAlign w:val="center"/>
          </w:tcPr>
          <w:p w:rsidR="00A11C1B" w:rsidRPr="002F47B8" w:rsidP="005A5B19" w14:paraId="2E8E0A4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tc>
        <w:tc>
          <w:tcPr>
            <w:tcW w:w="1239" w:type="dxa"/>
            <w:vAlign w:val="center"/>
          </w:tcPr>
          <w:p w:rsidR="00A11C1B" w:rsidRPr="002F47B8" w:rsidP="005A5B19" w14:paraId="2E8E0A4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831,785</w:t>
            </w:r>
          </w:p>
        </w:tc>
        <w:tc>
          <w:tcPr>
            <w:tcW w:w="1112" w:type="dxa"/>
            <w:vAlign w:val="center"/>
          </w:tcPr>
          <w:p w:rsidR="00A11C1B" w:rsidRPr="002F47B8" w:rsidP="005A5B19" w14:paraId="2E8E0A4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831,785</w:t>
            </w:r>
          </w:p>
        </w:tc>
        <w:tc>
          <w:tcPr>
            <w:tcW w:w="983" w:type="dxa"/>
            <w:vAlign w:val="center"/>
          </w:tcPr>
          <w:p w:rsidR="00A11C1B" w:rsidRPr="002F47B8" w:rsidP="005A5B19" w14:paraId="2E8E0A4E" w14:textId="14EF02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sidRPr="002F47B8">
              <w:rPr>
                <w:szCs w:val="20"/>
              </w:rPr>
              <w:t>0.167</w:t>
            </w:r>
          </w:p>
        </w:tc>
        <w:tc>
          <w:tcPr>
            <w:tcW w:w="944" w:type="dxa"/>
            <w:vAlign w:val="center"/>
          </w:tcPr>
          <w:p w:rsidR="00A11C1B" w:rsidRPr="002F47B8" w:rsidP="005A5B19" w14:paraId="2E8E0A4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138,908</w:t>
            </w:r>
          </w:p>
        </w:tc>
        <w:tc>
          <w:tcPr>
            <w:tcW w:w="833" w:type="dxa"/>
            <w:vAlign w:val="center"/>
          </w:tcPr>
          <w:p w:rsidR="00A11C1B" w:rsidRPr="002F47B8" w:rsidP="005A5B19" w14:paraId="2E8E0A50" w14:textId="362E8A5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sidRPr="002F47B8">
              <w:rPr>
                <w:szCs w:val="20"/>
              </w:rPr>
              <w:t>131.64</w:t>
            </w:r>
          </w:p>
        </w:tc>
        <w:tc>
          <w:tcPr>
            <w:tcW w:w="1182" w:type="dxa"/>
            <w:vAlign w:val="center"/>
          </w:tcPr>
          <w:p w:rsidR="00A11C1B" w:rsidRPr="002F47B8" w:rsidP="009A3D9E" w14:paraId="2E8E0A5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F47B8">
              <w:rPr>
                <w:szCs w:val="20"/>
              </w:rPr>
              <w:t>0</w:t>
            </w:r>
          </w:p>
        </w:tc>
        <w:tc>
          <w:tcPr>
            <w:tcW w:w="1184" w:type="dxa"/>
            <w:vAlign w:val="center"/>
          </w:tcPr>
          <w:p w:rsidR="00A11C1B" w:rsidRPr="002F47B8" w:rsidP="005A5B19" w14:paraId="2E8E0A52" w14:textId="690B008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sidRPr="002F47B8">
              <w:rPr>
                <w:szCs w:val="20"/>
              </w:rPr>
              <w:t>18,285,849</w:t>
            </w:r>
          </w:p>
        </w:tc>
      </w:tr>
      <w:tr w14:paraId="2E8E0A5C" w14:textId="77777777" w:rsidTr="000A0EE7">
        <w:tblPrEx>
          <w:tblW w:w="8571" w:type="dxa"/>
          <w:tblLayout w:type="fixed"/>
          <w:tblLook w:val="00A0"/>
        </w:tblPrEx>
        <w:tc>
          <w:tcPr>
            <w:tcW w:w="1094" w:type="dxa"/>
            <w:vAlign w:val="center"/>
          </w:tcPr>
          <w:p w:rsidR="00A11C1B" w:rsidRPr="002F47B8" w:rsidP="005A5B19" w14:paraId="2E8E0A5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Total</w:t>
            </w:r>
          </w:p>
        </w:tc>
        <w:tc>
          <w:tcPr>
            <w:tcW w:w="1239" w:type="dxa"/>
            <w:vAlign w:val="center"/>
          </w:tcPr>
          <w:p w:rsidR="00A11C1B" w:rsidRPr="002F47B8" w:rsidP="005A5B19" w14:paraId="2E8E0A55" w14:textId="303FE40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831,785</w:t>
            </w:r>
          </w:p>
        </w:tc>
        <w:tc>
          <w:tcPr>
            <w:tcW w:w="1112" w:type="dxa"/>
            <w:vAlign w:val="center"/>
          </w:tcPr>
          <w:p w:rsidR="00A11C1B" w:rsidRPr="002F47B8" w:rsidP="005A5B19" w14:paraId="2E8E0A5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2,495,355</w:t>
            </w:r>
          </w:p>
        </w:tc>
        <w:tc>
          <w:tcPr>
            <w:tcW w:w="983" w:type="dxa"/>
            <w:vAlign w:val="center"/>
          </w:tcPr>
          <w:p w:rsidR="00A11C1B" w:rsidRPr="002F47B8" w:rsidP="005A5B19" w14:paraId="2E8E0A57" w14:textId="540D80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sidRPr="002F47B8">
              <w:rPr>
                <w:szCs w:val="20"/>
              </w:rPr>
              <w:t>0.167</w:t>
            </w:r>
          </w:p>
        </w:tc>
        <w:tc>
          <w:tcPr>
            <w:tcW w:w="944" w:type="dxa"/>
            <w:vAlign w:val="center"/>
          </w:tcPr>
          <w:p w:rsidR="00A11C1B" w:rsidRPr="002F47B8" w:rsidP="005A5B19" w14:paraId="2E8E0A5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F47B8">
              <w:rPr>
                <w:szCs w:val="20"/>
              </w:rPr>
              <w:t>416,724</w:t>
            </w:r>
            <w:r w:rsidRPr="002F47B8">
              <w:rPr>
                <w:szCs w:val="20"/>
              </w:rPr>
              <w:t>‬</w:t>
            </w:r>
          </w:p>
        </w:tc>
        <w:tc>
          <w:tcPr>
            <w:tcW w:w="833" w:type="dxa"/>
            <w:vAlign w:val="center"/>
          </w:tcPr>
          <w:p w:rsidR="00A11C1B" w:rsidRPr="002F47B8" w:rsidP="005A5B19" w14:paraId="2E8E0A5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sidRPr="002F47B8">
              <w:rPr>
                <w:szCs w:val="20"/>
              </w:rPr>
              <w:t>Varies</w:t>
            </w:r>
          </w:p>
        </w:tc>
        <w:tc>
          <w:tcPr>
            <w:tcW w:w="1182" w:type="dxa"/>
            <w:vAlign w:val="center"/>
          </w:tcPr>
          <w:p w:rsidR="00A11C1B" w:rsidRPr="002F47B8" w:rsidP="009A3D9E" w14:paraId="2E8E0A5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F47B8">
              <w:rPr>
                <w:szCs w:val="20"/>
              </w:rPr>
              <w:t>0</w:t>
            </w:r>
          </w:p>
        </w:tc>
        <w:tc>
          <w:tcPr>
            <w:tcW w:w="1184" w:type="dxa"/>
            <w:vAlign w:val="center"/>
          </w:tcPr>
          <w:p w:rsidR="00A11C1B" w:rsidRPr="002F47B8" w:rsidP="005A5B19" w14:paraId="2E8E0A5B" w14:textId="0316AD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sidRPr="002F47B8">
              <w:rPr>
                <w:szCs w:val="20"/>
              </w:rPr>
              <w:t>70,612,492</w:t>
            </w:r>
          </w:p>
        </w:tc>
      </w:tr>
    </w:tbl>
    <w:p w:rsidR="00A11C1B" w:rsidRPr="002F47B8" w:rsidP="005A5B19" w14:paraId="2E8E0A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9A776E" w:rsidRPr="002F47B8" w:rsidP="00904981" w14:paraId="2E8E0A5E" w14:textId="77777777">
      <w:pPr>
        <w:rPr>
          <w:i/>
          <w:sz w:val="24"/>
          <w:lang w:val="x-none" w:eastAsia="x-none"/>
        </w:rPr>
      </w:pPr>
      <w:r w:rsidRPr="002F47B8">
        <w:rPr>
          <w:i/>
          <w:sz w:val="24"/>
          <w:lang w:eastAsia="x-none"/>
        </w:rPr>
        <w:t>Information Collection Instruments/Guidance Documents</w:t>
      </w:r>
    </w:p>
    <w:p w:rsidR="009A776E" w:rsidRPr="002F47B8" w:rsidP="00904981" w14:paraId="2E8E0A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B5C79" w:rsidRPr="008651A9" w:rsidP="00904981" w14:paraId="2E8E0A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F47B8">
        <w:rPr>
          <w:sz w:val="24"/>
        </w:rPr>
        <w:t xml:space="preserve">Not applicable. We have not </w:t>
      </w:r>
      <w:r w:rsidRPr="002F47B8" w:rsidR="00A73DF2">
        <w:rPr>
          <w:sz w:val="24"/>
        </w:rPr>
        <w:t>provided</w:t>
      </w:r>
      <w:r w:rsidRPr="002F47B8">
        <w:rPr>
          <w:sz w:val="24"/>
        </w:rPr>
        <w:t xml:space="preserve"> any </w:t>
      </w:r>
      <w:r w:rsidRPr="002F47B8" w:rsidR="00A73DF2">
        <w:rPr>
          <w:sz w:val="24"/>
        </w:rPr>
        <w:t xml:space="preserve">voluntary or mandatory </w:t>
      </w:r>
      <w:r w:rsidRPr="002F47B8">
        <w:rPr>
          <w:sz w:val="24"/>
        </w:rPr>
        <w:t xml:space="preserve">forms of documentation.  From the federal perspective, our goal is to ensure that required documentation by the </w:t>
      </w:r>
      <w:r w:rsidRPr="002F47B8" w:rsidR="00DE2A95">
        <w:rPr>
          <w:sz w:val="24"/>
        </w:rPr>
        <w:t xml:space="preserve">practitioner </w:t>
      </w:r>
      <w:r w:rsidRPr="002F47B8">
        <w:rPr>
          <w:sz w:val="24"/>
        </w:rPr>
        <w:t>is sufficient to make the linkage between the individual’s health conditions, the services ordered, an appropriate face-to-face encounter, and actual service provision.  We encourage documentation requirements established by states to meet this goal, while not imposing additional actual or perceived administrative burden.  Electronic Health Records may be of use to support the operational requirements.  An electronic signature of the practitioner who completed the documentation is acceptable.</w:t>
      </w:r>
      <w:r w:rsidRPr="008651A9">
        <w:rPr>
          <w:sz w:val="24"/>
        </w:rPr>
        <w:t xml:space="preserve">  </w:t>
      </w:r>
    </w:p>
    <w:p w:rsidR="009A776E" w:rsidRPr="008651A9" w:rsidP="00904981" w14:paraId="2E8E0A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A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651A9">
        <w:rPr>
          <w:sz w:val="24"/>
        </w:rPr>
        <w:t>13.</w:t>
      </w:r>
      <w:r w:rsidRPr="008651A9">
        <w:rPr>
          <w:sz w:val="24"/>
        </w:rPr>
        <w:tab/>
      </w:r>
      <w:r w:rsidRPr="008651A9">
        <w:rPr>
          <w:sz w:val="24"/>
          <w:u w:val="single"/>
        </w:rPr>
        <w:t>Capital Costs</w:t>
      </w:r>
    </w:p>
    <w:p w:rsidR="008F1EB4" w:rsidRPr="005A5B19" w:rsidP="00904981" w14:paraId="2E8E0A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651A9" w:rsidP="00904981" w14:paraId="2E8E0A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651A9">
        <w:rPr>
          <w:sz w:val="24"/>
        </w:rPr>
        <w:t>There are no capital costs associated with th</w:t>
      </w:r>
      <w:r w:rsidRPr="008651A9" w:rsidR="001B7058">
        <w:rPr>
          <w:sz w:val="24"/>
        </w:rPr>
        <w:t>e requirements set out above under section 12.</w:t>
      </w:r>
    </w:p>
    <w:p w:rsidR="008F1EB4" w:rsidRPr="008651A9" w:rsidP="00904981" w14:paraId="2E8E0A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2477B" w:rsidP="00904981" w14:paraId="2E8E0A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2477B">
        <w:rPr>
          <w:sz w:val="24"/>
        </w:rPr>
        <w:t>14.</w:t>
      </w:r>
      <w:r w:rsidRPr="00B2477B">
        <w:rPr>
          <w:sz w:val="24"/>
        </w:rPr>
        <w:tab/>
      </w:r>
      <w:r w:rsidRPr="00B2477B">
        <w:rPr>
          <w:sz w:val="24"/>
          <w:u w:val="single"/>
        </w:rPr>
        <w:t>Cost to Federal Government</w:t>
      </w:r>
    </w:p>
    <w:p w:rsidR="008F1EB4" w:rsidRPr="00B2477B" w:rsidP="00904981" w14:paraId="2E8E0A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2477B" w:rsidP="00904981" w14:paraId="2E8E0A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2477B">
        <w:rPr>
          <w:sz w:val="24"/>
        </w:rPr>
        <w:t xml:space="preserve">There are no costs to the Federal government.  There is no </w:t>
      </w:r>
      <w:r w:rsidRPr="00B2477B" w:rsidR="003E213A">
        <w:rPr>
          <w:sz w:val="24"/>
        </w:rPr>
        <w:t>information being</w:t>
      </w:r>
      <w:r w:rsidRPr="00B2477B">
        <w:rPr>
          <w:sz w:val="24"/>
        </w:rPr>
        <w:t xml:space="preserve"> provided to the Federal government.  </w:t>
      </w:r>
    </w:p>
    <w:p w:rsidR="00200489" w:rsidRPr="00B2477B" w:rsidP="00904981" w14:paraId="2E8E0A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2477B" w:rsidP="00904981" w14:paraId="2E8E0A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2477B">
        <w:rPr>
          <w:sz w:val="24"/>
        </w:rPr>
        <w:t>15.</w:t>
      </w:r>
      <w:r w:rsidRPr="00B2477B">
        <w:rPr>
          <w:sz w:val="24"/>
        </w:rPr>
        <w:tab/>
      </w:r>
      <w:r w:rsidRPr="00B2477B">
        <w:rPr>
          <w:sz w:val="24"/>
          <w:u w:val="single"/>
        </w:rPr>
        <w:t xml:space="preserve">Changes to </w:t>
      </w:r>
      <w:r w:rsidRPr="00B2477B" w:rsidR="00995CA2">
        <w:rPr>
          <w:sz w:val="24"/>
          <w:u w:val="single"/>
        </w:rPr>
        <w:t xml:space="preserve">Requirements and </w:t>
      </w:r>
      <w:r w:rsidRPr="00B2477B">
        <w:rPr>
          <w:sz w:val="24"/>
          <w:u w:val="single"/>
        </w:rPr>
        <w:t>Burden</w:t>
      </w:r>
      <w:r w:rsidRPr="00B2477B" w:rsidR="00995CA2">
        <w:rPr>
          <w:sz w:val="24"/>
          <w:u w:val="single"/>
        </w:rPr>
        <w:t xml:space="preserve"> Estimates</w:t>
      </w:r>
    </w:p>
    <w:p w:rsidR="008F1EB4" w:rsidRPr="00B2477B" w:rsidP="00904981" w14:paraId="2E8E0A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C7159" w:rsidRPr="00B2477B" w:rsidP="00352F2D" w14:paraId="2E8E0A70" w14:textId="05E930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2477B">
        <w:rPr>
          <w:sz w:val="24"/>
        </w:rPr>
        <w:t>Th</w:t>
      </w:r>
      <w:r w:rsidRPr="00B2477B">
        <w:rPr>
          <w:sz w:val="24"/>
        </w:rPr>
        <w:t xml:space="preserve">is </w:t>
      </w:r>
      <w:r w:rsidRPr="00B2477B" w:rsidR="009B494D">
        <w:rPr>
          <w:sz w:val="24"/>
        </w:rPr>
        <w:t>202</w:t>
      </w:r>
      <w:r w:rsidRPr="00B2477B" w:rsidR="00EA1D08">
        <w:rPr>
          <w:sz w:val="24"/>
        </w:rPr>
        <w:t xml:space="preserve">6 </w:t>
      </w:r>
      <w:r w:rsidRPr="00B2477B">
        <w:rPr>
          <w:sz w:val="24"/>
        </w:rPr>
        <w:t xml:space="preserve">information collection request </w:t>
      </w:r>
      <w:r w:rsidRPr="00B2477B" w:rsidR="009B494D">
        <w:rPr>
          <w:sz w:val="24"/>
        </w:rPr>
        <w:t xml:space="preserve">adjusts </w:t>
      </w:r>
      <w:r w:rsidRPr="00B2477B">
        <w:rPr>
          <w:sz w:val="24"/>
        </w:rPr>
        <w:t>our cost estimates b</w:t>
      </w:r>
      <w:r w:rsidRPr="00B2477B" w:rsidR="00CB67CF">
        <w:rPr>
          <w:sz w:val="24"/>
        </w:rPr>
        <w:t>y using the most</w:t>
      </w:r>
      <w:r w:rsidRPr="00B2477B">
        <w:rPr>
          <w:sz w:val="24"/>
        </w:rPr>
        <w:t xml:space="preserve"> recent BLS wage data</w:t>
      </w:r>
      <w:r w:rsidRPr="00B2477B" w:rsidR="00562264">
        <w:rPr>
          <w:sz w:val="24"/>
        </w:rPr>
        <w:t xml:space="preserve"> (</w:t>
      </w:r>
      <w:r w:rsidRPr="00B2477B" w:rsidR="00CB67CF">
        <w:rPr>
          <w:sz w:val="24"/>
        </w:rPr>
        <w:t>May 2024</w:t>
      </w:r>
      <w:r w:rsidRPr="00B2477B" w:rsidR="00562264">
        <w:rPr>
          <w:sz w:val="24"/>
        </w:rPr>
        <w:t>)</w:t>
      </w:r>
      <w:r w:rsidRPr="00B2477B">
        <w:rPr>
          <w:sz w:val="24"/>
        </w:rPr>
        <w:t xml:space="preserve">. Our currently approved package used </w:t>
      </w:r>
      <w:r w:rsidRPr="00B2477B" w:rsidR="009B494D">
        <w:rPr>
          <w:sz w:val="24"/>
        </w:rPr>
        <w:t>20</w:t>
      </w:r>
      <w:r w:rsidRPr="00B2477B" w:rsidR="00CB67CF">
        <w:rPr>
          <w:sz w:val="24"/>
        </w:rPr>
        <w:t>21</w:t>
      </w:r>
      <w:r w:rsidRPr="00B2477B" w:rsidR="009B494D">
        <w:rPr>
          <w:sz w:val="24"/>
        </w:rPr>
        <w:t xml:space="preserve"> </w:t>
      </w:r>
      <w:r w:rsidRPr="00B2477B">
        <w:rPr>
          <w:sz w:val="24"/>
        </w:rPr>
        <w:t xml:space="preserve">BLS wage estimates while this </w:t>
      </w:r>
      <w:r w:rsidRPr="00B2477B" w:rsidR="009B494D">
        <w:rPr>
          <w:sz w:val="24"/>
        </w:rPr>
        <w:t>202</w:t>
      </w:r>
      <w:r w:rsidRPr="00B2477B" w:rsidR="00A505FD">
        <w:rPr>
          <w:sz w:val="24"/>
        </w:rPr>
        <w:t>6</w:t>
      </w:r>
      <w:r w:rsidRPr="00B2477B" w:rsidR="009B494D">
        <w:rPr>
          <w:sz w:val="24"/>
        </w:rPr>
        <w:t xml:space="preserve"> </w:t>
      </w:r>
      <w:r w:rsidRPr="00B2477B">
        <w:rPr>
          <w:sz w:val="24"/>
        </w:rPr>
        <w:t xml:space="preserve">information collection request uses </w:t>
      </w:r>
      <w:r w:rsidRPr="00B2477B" w:rsidR="009B494D">
        <w:rPr>
          <w:sz w:val="24"/>
        </w:rPr>
        <w:t xml:space="preserve">2024 </w:t>
      </w:r>
      <w:r w:rsidRPr="00B2477B" w:rsidR="002F47B8">
        <w:rPr>
          <w:sz w:val="24"/>
        </w:rPr>
        <w:t xml:space="preserve">BLS </w:t>
      </w:r>
      <w:r w:rsidRPr="00B2477B">
        <w:rPr>
          <w:sz w:val="24"/>
        </w:rPr>
        <w:t>wage data.</w:t>
      </w:r>
    </w:p>
    <w:p w:rsidR="000C7159" w:rsidRPr="00B2477B" w:rsidP="005A5B19" w14:paraId="2E8E0A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7E06" w:rsidRPr="00B2477B" w:rsidP="00313251" w14:paraId="2E8E0A72" w14:textId="1AFE4F1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2477B">
        <w:rPr>
          <w:bCs/>
          <w:color w:val="000000"/>
          <w:sz w:val="22"/>
          <w:szCs w:val="22"/>
        </w:rPr>
        <w:t>Wage</w:t>
      </w:r>
      <w:r w:rsidRPr="00B2477B" w:rsidR="00352F2D">
        <w:rPr>
          <w:bCs/>
          <w:color w:val="000000"/>
          <w:sz w:val="22"/>
          <w:szCs w:val="22"/>
        </w:rPr>
        <w:t>/Cost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7"/>
        <w:gridCol w:w="1872"/>
        <w:gridCol w:w="1861"/>
        <w:gridCol w:w="1861"/>
        <w:gridCol w:w="1869"/>
      </w:tblGrid>
      <w:tr w14:paraId="2E8E0A78" w14:textId="77777777" w:rsidTr="00E770A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887" w:type="dxa"/>
          </w:tcPr>
          <w:p w:rsidR="005E7E06" w:rsidRPr="00B2477B" w:rsidP="00B86F4D" w14:paraId="2E8E0A73" w14:textId="77777777">
            <w:r w:rsidRPr="00B2477B">
              <w:t>Occupation Title</w:t>
            </w:r>
          </w:p>
        </w:tc>
        <w:tc>
          <w:tcPr>
            <w:tcW w:w="1872" w:type="dxa"/>
          </w:tcPr>
          <w:p w:rsidR="005E7E06" w:rsidRPr="00B2477B" w:rsidP="00B86F4D" w14:paraId="2E8E0A74" w14:textId="77777777">
            <w:r w:rsidRPr="00B2477B">
              <w:t>Occupation Code</w:t>
            </w:r>
          </w:p>
        </w:tc>
        <w:tc>
          <w:tcPr>
            <w:tcW w:w="1861" w:type="dxa"/>
          </w:tcPr>
          <w:p w:rsidR="005E7E06" w:rsidRPr="00B2477B" w:rsidP="007E6F51" w14:paraId="2E8E0A75" w14:textId="56027446">
            <w:pPr>
              <w:jc w:val="center"/>
            </w:pPr>
            <w:r w:rsidRPr="00B2477B">
              <w:t xml:space="preserve">2021 </w:t>
            </w:r>
            <w:r w:rsidRPr="00B2477B" w:rsidR="005D1728">
              <w:t>Adjusted Hourly Wage ($/hr)</w:t>
            </w:r>
          </w:p>
        </w:tc>
        <w:tc>
          <w:tcPr>
            <w:tcW w:w="1861" w:type="dxa"/>
          </w:tcPr>
          <w:p w:rsidR="005E7E06" w:rsidRPr="00B2477B" w:rsidP="007E6F51" w14:paraId="2E8E0A76" w14:textId="51C39821">
            <w:pPr>
              <w:jc w:val="center"/>
            </w:pPr>
            <w:r w:rsidRPr="00B2477B">
              <w:t xml:space="preserve">2024 </w:t>
            </w:r>
            <w:r w:rsidRPr="00B2477B" w:rsidR="005D1728">
              <w:t>Adjusted Hourly Wage ($/hr)</w:t>
            </w:r>
          </w:p>
        </w:tc>
        <w:tc>
          <w:tcPr>
            <w:tcW w:w="1869" w:type="dxa"/>
          </w:tcPr>
          <w:p w:rsidR="005E7E06" w:rsidRPr="00B2477B" w:rsidP="007E6F51" w14:paraId="2E8E0A77" w14:textId="77777777">
            <w:pPr>
              <w:jc w:val="center"/>
            </w:pPr>
            <w:r w:rsidRPr="00B2477B">
              <w:t>Difference ($/hr)</w:t>
            </w:r>
          </w:p>
        </w:tc>
      </w:tr>
      <w:tr w14:paraId="2E8E0A7E" w14:textId="77777777" w:rsidTr="00E770A6">
        <w:tblPrEx>
          <w:tblW w:w="0" w:type="auto"/>
          <w:tblLook w:val="04A0"/>
        </w:tblPrEx>
        <w:tc>
          <w:tcPr>
            <w:tcW w:w="1887" w:type="dxa"/>
          </w:tcPr>
          <w:p w:rsidR="00844FFB" w:rsidRPr="00B2477B" w:rsidP="00B86F4D" w14:paraId="2E8E0A79" w14:textId="3FF05FB2">
            <w:pPr>
              <w:rPr>
                <w:szCs w:val="20"/>
              </w:rPr>
            </w:pPr>
            <w:r w:rsidRPr="00B2477B">
              <w:rPr>
                <w:szCs w:val="20"/>
              </w:rPr>
              <w:t xml:space="preserve">Average </w:t>
            </w:r>
            <w:r w:rsidRPr="00B2477B" w:rsidR="005D1728">
              <w:rPr>
                <w:szCs w:val="20"/>
              </w:rPr>
              <w:t>Family and General Physicians</w:t>
            </w:r>
          </w:p>
        </w:tc>
        <w:tc>
          <w:tcPr>
            <w:tcW w:w="1872" w:type="dxa"/>
          </w:tcPr>
          <w:p w:rsidR="00844FFB" w:rsidRPr="00B2477B" w:rsidP="00B86F4D" w14:paraId="2E8E0A7A" w14:textId="77777777">
            <w:pPr>
              <w:rPr>
                <w:szCs w:val="20"/>
              </w:rPr>
            </w:pPr>
            <w:r w:rsidRPr="00B2477B">
              <w:rPr>
                <w:szCs w:val="20"/>
              </w:rPr>
              <w:t>Combined in 2021 (29-1215 and 29-1216) and Averaged</w:t>
            </w:r>
          </w:p>
        </w:tc>
        <w:tc>
          <w:tcPr>
            <w:tcW w:w="1861" w:type="dxa"/>
          </w:tcPr>
          <w:p w:rsidR="00844FFB" w:rsidRPr="00B2477B" w:rsidP="007E6F51" w14:paraId="2E8E0A7B" w14:textId="47AD6578">
            <w:pPr>
              <w:jc w:val="center"/>
              <w:rPr>
                <w:szCs w:val="20"/>
              </w:rPr>
            </w:pPr>
            <w:r w:rsidRPr="00B2477B">
              <w:rPr>
                <w:szCs w:val="20"/>
              </w:rPr>
              <w:t>229.88</w:t>
            </w:r>
          </w:p>
        </w:tc>
        <w:tc>
          <w:tcPr>
            <w:tcW w:w="1861" w:type="dxa"/>
          </w:tcPr>
          <w:p w:rsidR="00844FFB" w:rsidRPr="00B2477B" w:rsidP="007E6F51" w14:paraId="2E8E0A7C" w14:textId="03940CF4">
            <w:pPr>
              <w:jc w:val="center"/>
              <w:rPr>
                <w:szCs w:val="20"/>
              </w:rPr>
            </w:pPr>
            <w:r w:rsidRPr="00B2477B">
              <w:rPr>
                <w:szCs w:val="20"/>
              </w:rPr>
              <w:t>249.78</w:t>
            </w:r>
          </w:p>
        </w:tc>
        <w:tc>
          <w:tcPr>
            <w:tcW w:w="1869" w:type="dxa"/>
          </w:tcPr>
          <w:p w:rsidR="00844FFB" w:rsidRPr="00B2477B" w:rsidP="007E6F51" w14:paraId="2E8E0A7D" w14:textId="58EE7765">
            <w:pPr>
              <w:jc w:val="center"/>
            </w:pPr>
            <w:r w:rsidRPr="00B2477B">
              <w:t>+19.90</w:t>
            </w:r>
          </w:p>
        </w:tc>
      </w:tr>
      <w:tr w14:paraId="2E8E0A84" w14:textId="77777777" w:rsidTr="00E770A6">
        <w:tblPrEx>
          <w:tblW w:w="0" w:type="auto"/>
          <w:tblLook w:val="04A0"/>
        </w:tblPrEx>
        <w:tc>
          <w:tcPr>
            <w:tcW w:w="1887" w:type="dxa"/>
          </w:tcPr>
          <w:p w:rsidR="00844FFB" w:rsidRPr="00B2477B" w:rsidP="00B86F4D" w14:paraId="2E8E0A7F" w14:textId="77777777">
            <w:pPr>
              <w:rPr>
                <w:szCs w:val="20"/>
              </w:rPr>
            </w:pPr>
            <w:r w:rsidRPr="00B2477B">
              <w:rPr>
                <w:szCs w:val="20"/>
              </w:rPr>
              <w:t>Nurse Practitioners</w:t>
            </w:r>
          </w:p>
        </w:tc>
        <w:tc>
          <w:tcPr>
            <w:tcW w:w="1872" w:type="dxa"/>
          </w:tcPr>
          <w:p w:rsidR="00844FFB" w:rsidRPr="00B2477B" w:rsidP="00B86F4D" w14:paraId="2E8E0A80" w14:textId="77777777">
            <w:pPr>
              <w:rPr>
                <w:szCs w:val="20"/>
              </w:rPr>
            </w:pPr>
            <w:r w:rsidRPr="00B2477B">
              <w:rPr>
                <w:szCs w:val="20"/>
              </w:rPr>
              <w:t>29-1171</w:t>
            </w:r>
          </w:p>
        </w:tc>
        <w:tc>
          <w:tcPr>
            <w:tcW w:w="1861" w:type="dxa"/>
          </w:tcPr>
          <w:p w:rsidR="00844FFB" w:rsidRPr="00B2477B" w:rsidP="007E6F51" w14:paraId="2E8E0A81" w14:textId="3ACA4D36">
            <w:pPr>
              <w:jc w:val="center"/>
              <w:rPr>
                <w:szCs w:val="20"/>
              </w:rPr>
            </w:pPr>
            <w:r w:rsidRPr="00B2477B">
              <w:rPr>
                <w:szCs w:val="20"/>
              </w:rPr>
              <w:t>113.50</w:t>
            </w:r>
          </w:p>
        </w:tc>
        <w:tc>
          <w:tcPr>
            <w:tcW w:w="1861" w:type="dxa"/>
          </w:tcPr>
          <w:p w:rsidR="00844FFB" w:rsidRPr="00B2477B" w:rsidP="007E6F51" w14:paraId="2E8E0A82" w14:textId="1F7BF283">
            <w:pPr>
              <w:jc w:val="center"/>
              <w:rPr>
                <w:szCs w:val="20"/>
              </w:rPr>
            </w:pPr>
            <w:r w:rsidRPr="00B2477B">
              <w:rPr>
                <w:szCs w:val="20"/>
              </w:rPr>
              <w:t>126.92</w:t>
            </w:r>
          </w:p>
        </w:tc>
        <w:tc>
          <w:tcPr>
            <w:tcW w:w="1869" w:type="dxa"/>
          </w:tcPr>
          <w:p w:rsidR="00844FFB" w:rsidRPr="00B2477B" w:rsidP="007E6F51" w14:paraId="2E8E0A83" w14:textId="6A6603D1">
            <w:pPr>
              <w:jc w:val="center"/>
            </w:pPr>
            <w:r w:rsidRPr="00B2477B">
              <w:t>+13.42</w:t>
            </w:r>
          </w:p>
        </w:tc>
      </w:tr>
      <w:tr w14:paraId="2E8E0A8A" w14:textId="77777777" w:rsidTr="00E770A6">
        <w:tblPrEx>
          <w:tblW w:w="0" w:type="auto"/>
          <w:tblLook w:val="04A0"/>
        </w:tblPrEx>
        <w:tc>
          <w:tcPr>
            <w:tcW w:w="1887" w:type="dxa"/>
          </w:tcPr>
          <w:p w:rsidR="00844FFB" w:rsidRPr="00B2477B" w:rsidP="00B86F4D" w14:paraId="2E8E0A85" w14:textId="77777777">
            <w:pPr>
              <w:rPr>
                <w:szCs w:val="20"/>
              </w:rPr>
            </w:pPr>
            <w:r w:rsidRPr="00B2477B">
              <w:rPr>
                <w:szCs w:val="20"/>
              </w:rPr>
              <w:t>Physician Assistants</w:t>
            </w:r>
          </w:p>
        </w:tc>
        <w:tc>
          <w:tcPr>
            <w:tcW w:w="1872" w:type="dxa"/>
          </w:tcPr>
          <w:p w:rsidR="00844FFB" w:rsidRPr="00B2477B" w:rsidP="00B86F4D" w14:paraId="2E8E0A86" w14:textId="77777777">
            <w:pPr>
              <w:rPr>
                <w:szCs w:val="20"/>
              </w:rPr>
            </w:pPr>
            <w:r w:rsidRPr="00B2477B">
              <w:rPr>
                <w:szCs w:val="20"/>
              </w:rPr>
              <w:t>29-1071</w:t>
            </w:r>
          </w:p>
        </w:tc>
        <w:tc>
          <w:tcPr>
            <w:tcW w:w="1861" w:type="dxa"/>
          </w:tcPr>
          <w:p w:rsidR="00844FFB" w:rsidRPr="00B2477B" w:rsidP="007E6F51" w14:paraId="2E8E0A87" w14:textId="299F6D44">
            <w:pPr>
              <w:jc w:val="center"/>
              <w:rPr>
                <w:szCs w:val="20"/>
              </w:rPr>
            </w:pPr>
            <w:r w:rsidRPr="00B2477B">
              <w:rPr>
                <w:szCs w:val="20"/>
              </w:rPr>
              <w:t>114.86</w:t>
            </w:r>
          </w:p>
        </w:tc>
        <w:tc>
          <w:tcPr>
            <w:tcW w:w="1861" w:type="dxa"/>
          </w:tcPr>
          <w:p w:rsidR="00844FFB" w:rsidRPr="00B2477B" w:rsidP="007E6F51" w14:paraId="2E8E0A88" w14:textId="415317CC">
            <w:pPr>
              <w:jc w:val="center"/>
              <w:rPr>
                <w:szCs w:val="20"/>
              </w:rPr>
            </w:pPr>
            <w:r w:rsidRPr="00B2477B">
              <w:rPr>
                <w:szCs w:val="20"/>
              </w:rPr>
              <w:t>131.64</w:t>
            </w:r>
          </w:p>
        </w:tc>
        <w:tc>
          <w:tcPr>
            <w:tcW w:w="1869" w:type="dxa"/>
          </w:tcPr>
          <w:p w:rsidR="00844FFB" w:rsidRPr="00B2477B" w:rsidP="007E6F51" w14:paraId="2E8E0A89" w14:textId="59E81BB4">
            <w:pPr>
              <w:jc w:val="center"/>
            </w:pPr>
            <w:r w:rsidRPr="00B2477B">
              <w:t>+16.78</w:t>
            </w:r>
          </w:p>
        </w:tc>
      </w:tr>
    </w:tbl>
    <w:p w:rsidR="00094594" w:rsidRPr="00B2477B" w:rsidP="00904981" w14:paraId="2E8E0A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F47B8" w:rsidRPr="00B2477B" w:rsidP="00904981" w14:paraId="1FB3F7D4" w14:textId="5EFDC8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2477B">
        <w:rPr>
          <w:sz w:val="24"/>
        </w:rPr>
        <w:t xml:space="preserve">Overall, our cost estimate has increased by </w:t>
      </w:r>
      <w:r w:rsidRPr="00B2477B" w:rsidR="00CB097D">
        <w:rPr>
          <w:sz w:val="24"/>
        </w:rPr>
        <w:t>$6,959,290</w:t>
      </w:r>
      <w:r w:rsidRPr="00B2477B">
        <w:rPr>
          <w:sz w:val="24"/>
        </w:rPr>
        <w:t xml:space="preserve"> (from </w:t>
      </w:r>
      <w:r w:rsidRPr="00B2477B" w:rsidR="00CB097D">
        <w:rPr>
          <w:sz w:val="24"/>
        </w:rPr>
        <w:t>$63,653,202</w:t>
      </w:r>
      <w:r w:rsidRPr="00B2477B">
        <w:rPr>
          <w:sz w:val="24"/>
        </w:rPr>
        <w:t xml:space="preserve"> to $70,612,492).</w:t>
      </w:r>
    </w:p>
    <w:p w:rsidR="002F47B8" w:rsidRPr="00B2477B" w:rsidP="00904981" w14:paraId="21853A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A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2477B">
        <w:rPr>
          <w:sz w:val="24"/>
        </w:rPr>
        <w:t>16.</w:t>
      </w:r>
      <w:r w:rsidRPr="00B2477B">
        <w:rPr>
          <w:sz w:val="24"/>
        </w:rPr>
        <w:tab/>
      </w:r>
      <w:r w:rsidRPr="00B2477B">
        <w:rPr>
          <w:sz w:val="24"/>
          <w:u w:val="single"/>
        </w:rPr>
        <w:t>Publication/Tabulation Dates</w:t>
      </w:r>
    </w:p>
    <w:p w:rsidR="008F1EB4" w:rsidRPr="005A5B19" w:rsidP="00904981" w14:paraId="2E8E0A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A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 xml:space="preserve">There are no collections of information whose results will be published.  </w:t>
      </w:r>
    </w:p>
    <w:p w:rsidR="00200489" w:rsidP="00904981" w14:paraId="2E8E0A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A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17.</w:t>
      </w:r>
      <w:r w:rsidRPr="005A5B19">
        <w:rPr>
          <w:sz w:val="24"/>
        </w:rPr>
        <w:tab/>
      </w:r>
      <w:r w:rsidRPr="005A5B19">
        <w:rPr>
          <w:sz w:val="24"/>
          <w:u w:val="single"/>
        </w:rPr>
        <w:t>Expiration Date</w:t>
      </w:r>
    </w:p>
    <w:p w:rsidR="000F3AF4" w:rsidRPr="005A5B19" w:rsidP="00904981" w14:paraId="2E8E0A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A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Th</w:t>
      </w:r>
      <w:r w:rsidR="00003FB8">
        <w:rPr>
          <w:sz w:val="24"/>
        </w:rPr>
        <w:t>e expiration date will be displayed.</w:t>
      </w:r>
    </w:p>
    <w:p w:rsidR="00200489" w:rsidP="00904981" w14:paraId="2E8E0A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A5B19" w:rsidP="00904981" w14:paraId="2E8E0A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18.</w:t>
      </w:r>
      <w:r w:rsidRPr="005A5B19">
        <w:rPr>
          <w:sz w:val="24"/>
        </w:rPr>
        <w:tab/>
      </w:r>
      <w:r w:rsidRPr="005A5B19">
        <w:rPr>
          <w:sz w:val="24"/>
          <w:u w:val="single"/>
        </w:rPr>
        <w:t>Certification Statement</w:t>
      </w:r>
    </w:p>
    <w:p w:rsidR="008F1EB4" w:rsidRPr="005A5B19" w:rsidP="00904981" w14:paraId="2E8E0A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43E88" w:rsidRPr="005A5B19" w:rsidP="00904981" w14:paraId="2E8E0A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19">
        <w:rPr>
          <w:sz w:val="24"/>
        </w:rPr>
        <w:t>We are not requesting any exception to the certification statement identified in Item 19, “Certification for Paperwork Reduction Act Submissions,” of OMB Form 83-1.</w:t>
      </w:r>
    </w:p>
    <w:p w:rsidR="000F3AF4" w:rsidRPr="005A5B19" w:rsidP="00904981" w14:paraId="2E8E0A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EB047D" w:rsidRPr="000A56E2" w:rsidP="00904981" w14:paraId="2E8E0A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A56E2">
        <w:rPr>
          <w:b/>
          <w:bCs/>
          <w:sz w:val="24"/>
        </w:rPr>
        <w:t>B.</w:t>
      </w:r>
      <w:r w:rsidRPr="000A56E2">
        <w:rPr>
          <w:b/>
          <w:bCs/>
          <w:sz w:val="24"/>
        </w:rPr>
        <w:tab/>
        <w:t xml:space="preserve">Collection of Information Employing Statistical Methods </w:t>
      </w:r>
    </w:p>
    <w:p w:rsidR="00EB047D" w:rsidRPr="00200489" w:rsidP="00904981" w14:paraId="2E8E0A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B80F18" w:rsidP="00904981" w14:paraId="2E8E0A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200489">
        <w:rPr>
          <w:bCs/>
          <w:sz w:val="24"/>
        </w:rPr>
        <w:t>There are no statistical methods associated with this collection.</w:t>
      </w:r>
    </w:p>
    <w:p w:rsidR="000B1D0B" w:rsidRPr="005A5B19" w:rsidP="00904981" w14:paraId="2E8E0A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sectPr w:rsidSect="00305B19">
      <w:footerReference w:type="default" r:id="rId10"/>
      <w:endnotePr>
        <w:numFmt w:val="decimal"/>
      </w:endnotePr>
      <w:type w:val="continuous"/>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8063188"/>
      <w:docPartObj>
        <w:docPartGallery w:val="Page Numbers (Bottom of Page)"/>
        <w:docPartUnique/>
      </w:docPartObj>
    </w:sdtPr>
    <w:sdtEndPr>
      <w:rPr>
        <w:noProof/>
      </w:rPr>
    </w:sdtEndPr>
    <w:sdtContent>
      <w:p w:rsidR="00860DAA" w:rsidP="00860DAA" w14:paraId="2E8EDDA2" w14:textId="2A65EF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556C" w14:paraId="632D75DB" w14:textId="77777777">
      <w:r>
        <w:separator/>
      </w:r>
    </w:p>
  </w:footnote>
  <w:footnote w:type="continuationSeparator" w:id="1">
    <w:p w:rsidR="0074556C" w14:paraId="7F2388D0" w14:textId="77777777">
      <w:r>
        <w:continuationSeparator/>
      </w:r>
    </w:p>
  </w:footnote>
  <w:footnote w:id="2">
    <w:p w:rsidR="00965297" w14:paraId="339941C4" w14:textId="7FD49A7E">
      <w:pPr>
        <w:pStyle w:val="FootnoteText"/>
      </w:pPr>
      <w:r w:rsidRPr="00965297">
        <w:rPr>
          <w:rStyle w:val="FootnoteReference"/>
          <w:vertAlign w:val="superscript"/>
        </w:rPr>
        <w:footnoteRef/>
      </w:r>
      <w:r w:rsidRPr="00965297">
        <w:t xml:space="preserve">May 8, 2020 </w:t>
      </w:r>
      <w:r>
        <w:t xml:space="preserve">(85 FR </w:t>
      </w:r>
      <w:r w:rsidRPr="00965297">
        <w:t>27550</w:t>
      </w:r>
      <w:r>
        <w:t>) i</w:t>
      </w:r>
      <w:r w:rsidRPr="00965297">
        <w:t>nterim final rule with comment period</w:t>
      </w:r>
      <w:r w:rsidR="0067722F">
        <w:t xml:space="preserve"> (</w:t>
      </w:r>
      <w:r w:rsidRPr="0067722F" w:rsidR="0067722F">
        <w:t>RIN 0938–AU32</w:t>
      </w:r>
      <w:r w:rsidR="0067722F">
        <w:t>)</w:t>
      </w:r>
      <w:r w:rsidRPr="00965297">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CD2C1A"/>
    <w:multiLevelType w:val="hybridMultilevel"/>
    <w:tmpl w:val="57AE2D7C"/>
    <w:lvl w:ilvl="0">
      <w:start w:val="1"/>
      <w:numFmt w:val="bullet"/>
      <w:lvlText w:val=""/>
      <w:lvlJc w:val="left"/>
      <w:pPr>
        <w:ind w:left="-1368" w:hanging="360"/>
      </w:pPr>
      <w:rPr>
        <w:rFonts w:ascii="Symbol" w:hAnsi="Symbol" w:hint="default"/>
      </w:rPr>
    </w:lvl>
    <w:lvl w:ilvl="1" w:tentative="1">
      <w:start w:val="1"/>
      <w:numFmt w:val="bullet"/>
      <w:lvlText w:val="o"/>
      <w:lvlJc w:val="left"/>
      <w:pPr>
        <w:ind w:left="-216" w:hanging="360"/>
      </w:pPr>
      <w:rPr>
        <w:rFonts w:ascii="Courier New" w:hAnsi="Courier New" w:hint="default"/>
      </w:rPr>
    </w:lvl>
    <w:lvl w:ilvl="2" w:tentative="1">
      <w:start w:val="1"/>
      <w:numFmt w:val="bullet"/>
      <w:lvlText w:val=""/>
      <w:lvlJc w:val="left"/>
      <w:pPr>
        <w:ind w:left="504" w:hanging="360"/>
      </w:pPr>
      <w:rPr>
        <w:rFonts w:ascii="Wingdings" w:hAnsi="Wingdings" w:hint="default"/>
      </w:rPr>
    </w:lvl>
    <w:lvl w:ilvl="3" w:tentative="1">
      <w:start w:val="1"/>
      <w:numFmt w:val="bullet"/>
      <w:lvlText w:val=""/>
      <w:lvlJc w:val="left"/>
      <w:pPr>
        <w:ind w:left="1224" w:hanging="360"/>
      </w:pPr>
      <w:rPr>
        <w:rFonts w:ascii="Symbol" w:hAnsi="Symbol" w:hint="default"/>
      </w:rPr>
    </w:lvl>
    <w:lvl w:ilvl="4" w:tentative="1">
      <w:start w:val="1"/>
      <w:numFmt w:val="bullet"/>
      <w:lvlText w:val="o"/>
      <w:lvlJc w:val="left"/>
      <w:pPr>
        <w:ind w:left="1944" w:hanging="360"/>
      </w:pPr>
      <w:rPr>
        <w:rFonts w:ascii="Courier New" w:hAnsi="Courier New" w:hint="default"/>
      </w:rPr>
    </w:lvl>
    <w:lvl w:ilvl="5" w:tentative="1">
      <w:start w:val="1"/>
      <w:numFmt w:val="bullet"/>
      <w:lvlText w:val=""/>
      <w:lvlJc w:val="left"/>
      <w:pPr>
        <w:ind w:left="2664" w:hanging="360"/>
      </w:pPr>
      <w:rPr>
        <w:rFonts w:ascii="Wingdings" w:hAnsi="Wingdings" w:hint="default"/>
      </w:rPr>
    </w:lvl>
    <w:lvl w:ilvl="6" w:tentative="1">
      <w:start w:val="1"/>
      <w:numFmt w:val="bullet"/>
      <w:lvlText w:val=""/>
      <w:lvlJc w:val="left"/>
      <w:pPr>
        <w:ind w:left="3384" w:hanging="360"/>
      </w:pPr>
      <w:rPr>
        <w:rFonts w:ascii="Symbol" w:hAnsi="Symbol" w:hint="default"/>
      </w:rPr>
    </w:lvl>
    <w:lvl w:ilvl="7" w:tentative="1">
      <w:start w:val="1"/>
      <w:numFmt w:val="bullet"/>
      <w:lvlText w:val="o"/>
      <w:lvlJc w:val="left"/>
      <w:pPr>
        <w:ind w:left="4104" w:hanging="360"/>
      </w:pPr>
      <w:rPr>
        <w:rFonts w:ascii="Courier New" w:hAnsi="Courier New" w:hint="default"/>
      </w:rPr>
    </w:lvl>
    <w:lvl w:ilvl="8" w:tentative="1">
      <w:start w:val="1"/>
      <w:numFmt w:val="bullet"/>
      <w:lvlText w:val=""/>
      <w:lvlJc w:val="left"/>
      <w:pPr>
        <w:ind w:left="4824" w:hanging="360"/>
      </w:pPr>
      <w:rPr>
        <w:rFonts w:ascii="Wingdings" w:hAnsi="Wingdings" w:hint="default"/>
      </w:rPr>
    </w:lvl>
  </w:abstractNum>
  <w:num w:numId="1" w16cid:durableId="109007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03149"/>
    <w:rsid w:val="00003FB8"/>
    <w:rsid w:val="00007E5E"/>
    <w:rsid w:val="000109D6"/>
    <w:rsid w:val="00012DA5"/>
    <w:rsid w:val="00030EB6"/>
    <w:rsid w:val="00031083"/>
    <w:rsid w:val="000327EB"/>
    <w:rsid w:val="0004076B"/>
    <w:rsid w:val="00044E41"/>
    <w:rsid w:val="000525E9"/>
    <w:rsid w:val="00056D4D"/>
    <w:rsid w:val="0006287C"/>
    <w:rsid w:val="000778D5"/>
    <w:rsid w:val="00081A5A"/>
    <w:rsid w:val="00087E99"/>
    <w:rsid w:val="00093AFE"/>
    <w:rsid w:val="00094594"/>
    <w:rsid w:val="000A0EE7"/>
    <w:rsid w:val="000A32A7"/>
    <w:rsid w:val="000A4EB5"/>
    <w:rsid w:val="000A56E2"/>
    <w:rsid w:val="000A5765"/>
    <w:rsid w:val="000B1D0B"/>
    <w:rsid w:val="000B377D"/>
    <w:rsid w:val="000C7159"/>
    <w:rsid w:val="000D2890"/>
    <w:rsid w:val="000D4339"/>
    <w:rsid w:val="000D5510"/>
    <w:rsid w:val="000E6787"/>
    <w:rsid w:val="000E6F31"/>
    <w:rsid w:val="000F0687"/>
    <w:rsid w:val="000F3AF4"/>
    <w:rsid w:val="000F42C0"/>
    <w:rsid w:val="00102671"/>
    <w:rsid w:val="00104105"/>
    <w:rsid w:val="001055FB"/>
    <w:rsid w:val="0011129A"/>
    <w:rsid w:val="001131B2"/>
    <w:rsid w:val="00113A9A"/>
    <w:rsid w:val="00115BB0"/>
    <w:rsid w:val="00116D76"/>
    <w:rsid w:val="00130D42"/>
    <w:rsid w:val="00155B6E"/>
    <w:rsid w:val="00165B8F"/>
    <w:rsid w:val="00175261"/>
    <w:rsid w:val="00175AC5"/>
    <w:rsid w:val="00196EF0"/>
    <w:rsid w:val="00197410"/>
    <w:rsid w:val="001A7AEF"/>
    <w:rsid w:val="001B1F2D"/>
    <w:rsid w:val="001B3189"/>
    <w:rsid w:val="001B5887"/>
    <w:rsid w:val="001B6332"/>
    <w:rsid w:val="001B7058"/>
    <w:rsid w:val="001C2619"/>
    <w:rsid w:val="001C7EF3"/>
    <w:rsid w:val="001D7197"/>
    <w:rsid w:val="001E11F8"/>
    <w:rsid w:val="001F43A2"/>
    <w:rsid w:val="00200489"/>
    <w:rsid w:val="00204C69"/>
    <w:rsid w:val="002054FC"/>
    <w:rsid w:val="00207619"/>
    <w:rsid w:val="002208F0"/>
    <w:rsid w:val="00226EF2"/>
    <w:rsid w:val="00235E4C"/>
    <w:rsid w:val="002504CA"/>
    <w:rsid w:val="002518FF"/>
    <w:rsid w:val="002561BD"/>
    <w:rsid w:val="00260216"/>
    <w:rsid w:val="00261E36"/>
    <w:rsid w:val="00263DCE"/>
    <w:rsid w:val="00270C4C"/>
    <w:rsid w:val="00287511"/>
    <w:rsid w:val="002A1BC3"/>
    <w:rsid w:val="002A7072"/>
    <w:rsid w:val="002C63A4"/>
    <w:rsid w:val="002D4E8A"/>
    <w:rsid w:val="002F47B8"/>
    <w:rsid w:val="002F61D8"/>
    <w:rsid w:val="00303026"/>
    <w:rsid w:val="00305B19"/>
    <w:rsid w:val="00306472"/>
    <w:rsid w:val="00306E35"/>
    <w:rsid w:val="00313251"/>
    <w:rsid w:val="00320782"/>
    <w:rsid w:val="003341F4"/>
    <w:rsid w:val="00334DF5"/>
    <w:rsid w:val="00352F2D"/>
    <w:rsid w:val="003533B1"/>
    <w:rsid w:val="00357662"/>
    <w:rsid w:val="00370A6A"/>
    <w:rsid w:val="0037462A"/>
    <w:rsid w:val="00375193"/>
    <w:rsid w:val="003775DD"/>
    <w:rsid w:val="00381CA0"/>
    <w:rsid w:val="003979E2"/>
    <w:rsid w:val="003A0465"/>
    <w:rsid w:val="003A4B41"/>
    <w:rsid w:val="003B1769"/>
    <w:rsid w:val="003B3046"/>
    <w:rsid w:val="003B7DB7"/>
    <w:rsid w:val="003C3A13"/>
    <w:rsid w:val="003C4CF1"/>
    <w:rsid w:val="003D6047"/>
    <w:rsid w:val="003D6560"/>
    <w:rsid w:val="003E0039"/>
    <w:rsid w:val="003E213A"/>
    <w:rsid w:val="003E66C4"/>
    <w:rsid w:val="00400967"/>
    <w:rsid w:val="00406A2A"/>
    <w:rsid w:val="00407ADA"/>
    <w:rsid w:val="004100D8"/>
    <w:rsid w:val="00415262"/>
    <w:rsid w:val="00415B53"/>
    <w:rsid w:val="004317D3"/>
    <w:rsid w:val="00444850"/>
    <w:rsid w:val="00472055"/>
    <w:rsid w:val="00476AD6"/>
    <w:rsid w:val="004860D0"/>
    <w:rsid w:val="00487DC7"/>
    <w:rsid w:val="00496E43"/>
    <w:rsid w:val="004A4159"/>
    <w:rsid w:val="004C1913"/>
    <w:rsid w:val="004D746F"/>
    <w:rsid w:val="004E35F4"/>
    <w:rsid w:val="004E5FAE"/>
    <w:rsid w:val="004F58F7"/>
    <w:rsid w:val="00506A44"/>
    <w:rsid w:val="0051583F"/>
    <w:rsid w:val="00516934"/>
    <w:rsid w:val="00520F93"/>
    <w:rsid w:val="00526812"/>
    <w:rsid w:val="005434FC"/>
    <w:rsid w:val="005515FC"/>
    <w:rsid w:val="0055379D"/>
    <w:rsid w:val="00562264"/>
    <w:rsid w:val="005704DF"/>
    <w:rsid w:val="005807D0"/>
    <w:rsid w:val="00580830"/>
    <w:rsid w:val="00590CC2"/>
    <w:rsid w:val="005924CC"/>
    <w:rsid w:val="00594536"/>
    <w:rsid w:val="0059739C"/>
    <w:rsid w:val="005A0BC7"/>
    <w:rsid w:val="005A0E78"/>
    <w:rsid w:val="005A5371"/>
    <w:rsid w:val="005A5B19"/>
    <w:rsid w:val="005B0BED"/>
    <w:rsid w:val="005C36D6"/>
    <w:rsid w:val="005D1728"/>
    <w:rsid w:val="005D7961"/>
    <w:rsid w:val="005E750C"/>
    <w:rsid w:val="005E7E06"/>
    <w:rsid w:val="005F45B6"/>
    <w:rsid w:val="005F48BB"/>
    <w:rsid w:val="005F7105"/>
    <w:rsid w:val="00605FB2"/>
    <w:rsid w:val="00620BFD"/>
    <w:rsid w:val="00623D8F"/>
    <w:rsid w:val="0063045A"/>
    <w:rsid w:val="006348AF"/>
    <w:rsid w:val="0064007F"/>
    <w:rsid w:val="00640425"/>
    <w:rsid w:val="00640E33"/>
    <w:rsid w:val="00645E09"/>
    <w:rsid w:val="006620D7"/>
    <w:rsid w:val="0067722F"/>
    <w:rsid w:val="00680106"/>
    <w:rsid w:val="00682D41"/>
    <w:rsid w:val="006857A6"/>
    <w:rsid w:val="0069203A"/>
    <w:rsid w:val="00697644"/>
    <w:rsid w:val="006A0C83"/>
    <w:rsid w:val="006A765A"/>
    <w:rsid w:val="006B066B"/>
    <w:rsid w:val="006B4A8B"/>
    <w:rsid w:val="006C3789"/>
    <w:rsid w:val="006C510B"/>
    <w:rsid w:val="006C5339"/>
    <w:rsid w:val="006D44BE"/>
    <w:rsid w:val="006D57FD"/>
    <w:rsid w:val="006F42A7"/>
    <w:rsid w:val="006F5925"/>
    <w:rsid w:val="007003AC"/>
    <w:rsid w:val="00712C44"/>
    <w:rsid w:val="00721A1A"/>
    <w:rsid w:val="00723212"/>
    <w:rsid w:val="0072586B"/>
    <w:rsid w:val="007328D8"/>
    <w:rsid w:val="0073295C"/>
    <w:rsid w:val="0074074A"/>
    <w:rsid w:val="0074556C"/>
    <w:rsid w:val="0074632E"/>
    <w:rsid w:val="0076056B"/>
    <w:rsid w:val="00765E25"/>
    <w:rsid w:val="00766133"/>
    <w:rsid w:val="00770448"/>
    <w:rsid w:val="00770784"/>
    <w:rsid w:val="007728D4"/>
    <w:rsid w:val="0079115F"/>
    <w:rsid w:val="007932CA"/>
    <w:rsid w:val="00796588"/>
    <w:rsid w:val="00796816"/>
    <w:rsid w:val="007D4A4D"/>
    <w:rsid w:val="007D68CF"/>
    <w:rsid w:val="007E6F51"/>
    <w:rsid w:val="007E72B9"/>
    <w:rsid w:val="007F3509"/>
    <w:rsid w:val="007F3A21"/>
    <w:rsid w:val="00800C89"/>
    <w:rsid w:val="00801C3A"/>
    <w:rsid w:val="00811831"/>
    <w:rsid w:val="00811F48"/>
    <w:rsid w:val="008132C9"/>
    <w:rsid w:val="008202EF"/>
    <w:rsid w:val="008238FB"/>
    <w:rsid w:val="008313E7"/>
    <w:rsid w:val="008340C9"/>
    <w:rsid w:val="00836057"/>
    <w:rsid w:val="0083657F"/>
    <w:rsid w:val="00844FFB"/>
    <w:rsid w:val="0085349C"/>
    <w:rsid w:val="008536E7"/>
    <w:rsid w:val="00860DAA"/>
    <w:rsid w:val="00864FC2"/>
    <w:rsid w:val="008651A9"/>
    <w:rsid w:val="00870D59"/>
    <w:rsid w:val="0087167B"/>
    <w:rsid w:val="0087571D"/>
    <w:rsid w:val="00884988"/>
    <w:rsid w:val="00893F0D"/>
    <w:rsid w:val="00894DF3"/>
    <w:rsid w:val="008B19D2"/>
    <w:rsid w:val="008B42F7"/>
    <w:rsid w:val="008C7EAD"/>
    <w:rsid w:val="008D4A44"/>
    <w:rsid w:val="008E3AF3"/>
    <w:rsid w:val="008F1EB4"/>
    <w:rsid w:val="008F6CA4"/>
    <w:rsid w:val="00904981"/>
    <w:rsid w:val="00907353"/>
    <w:rsid w:val="00914A3F"/>
    <w:rsid w:val="00920027"/>
    <w:rsid w:val="0092127F"/>
    <w:rsid w:val="009229E7"/>
    <w:rsid w:val="0093103B"/>
    <w:rsid w:val="00933779"/>
    <w:rsid w:val="009418CE"/>
    <w:rsid w:val="009527C3"/>
    <w:rsid w:val="0095410E"/>
    <w:rsid w:val="00965297"/>
    <w:rsid w:val="009672BE"/>
    <w:rsid w:val="00982D99"/>
    <w:rsid w:val="00995CA2"/>
    <w:rsid w:val="009A3782"/>
    <w:rsid w:val="009A3D9E"/>
    <w:rsid w:val="009A776E"/>
    <w:rsid w:val="009B170B"/>
    <w:rsid w:val="009B494D"/>
    <w:rsid w:val="009C3868"/>
    <w:rsid w:val="009D77E5"/>
    <w:rsid w:val="009E71D7"/>
    <w:rsid w:val="009F5D32"/>
    <w:rsid w:val="00A029B3"/>
    <w:rsid w:val="00A03573"/>
    <w:rsid w:val="00A11C1B"/>
    <w:rsid w:val="00A31EFB"/>
    <w:rsid w:val="00A431F7"/>
    <w:rsid w:val="00A505FD"/>
    <w:rsid w:val="00A520AD"/>
    <w:rsid w:val="00A57741"/>
    <w:rsid w:val="00A73DF2"/>
    <w:rsid w:val="00A7716A"/>
    <w:rsid w:val="00AB5C79"/>
    <w:rsid w:val="00AC12F6"/>
    <w:rsid w:val="00AC2B78"/>
    <w:rsid w:val="00AC4F1B"/>
    <w:rsid w:val="00AC55AF"/>
    <w:rsid w:val="00AD06FB"/>
    <w:rsid w:val="00AD49AE"/>
    <w:rsid w:val="00AE58CD"/>
    <w:rsid w:val="00AF3D55"/>
    <w:rsid w:val="00AF4535"/>
    <w:rsid w:val="00B02EA4"/>
    <w:rsid w:val="00B04418"/>
    <w:rsid w:val="00B0535C"/>
    <w:rsid w:val="00B20D4F"/>
    <w:rsid w:val="00B224C9"/>
    <w:rsid w:val="00B2477B"/>
    <w:rsid w:val="00B26C91"/>
    <w:rsid w:val="00B357FA"/>
    <w:rsid w:val="00B41EDA"/>
    <w:rsid w:val="00B45EA0"/>
    <w:rsid w:val="00B5346B"/>
    <w:rsid w:val="00B54EE2"/>
    <w:rsid w:val="00B62686"/>
    <w:rsid w:val="00B71B99"/>
    <w:rsid w:val="00B80F18"/>
    <w:rsid w:val="00B86F4D"/>
    <w:rsid w:val="00BA22BB"/>
    <w:rsid w:val="00BB5E33"/>
    <w:rsid w:val="00BB68EC"/>
    <w:rsid w:val="00BC1DEF"/>
    <w:rsid w:val="00BC4AC2"/>
    <w:rsid w:val="00BC7341"/>
    <w:rsid w:val="00BD47B4"/>
    <w:rsid w:val="00BD6386"/>
    <w:rsid w:val="00BD75FB"/>
    <w:rsid w:val="00BE4A0A"/>
    <w:rsid w:val="00BF5FF0"/>
    <w:rsid w:val="00C03200"/>
    <w:rsid w:val="00C22C4E"/>
    <w:rsid w:val="00C319AA"/>
    <w:rsid w:val="00C37B22"/>
    <w:rsid w:val="00C44F7E"/>
    <w:rsid w:val="00C469DC"/>
    <w:rsid w:val="00C62518"/>
    <w:rsid w:val="00C70C63"/>
    <w:rsid w:val="00C73831"/>
    <w:rsid w:val="00C82055"/>
    <w:rsid w:val="00C84C7F"/>
    <w:rsid w:val="00C85BBB"/>
    <w:rsid w:val="00CA4032"/>
    <w:rsid w:val="00CB097D"/>
    <w:rsid w:val="00CB67CF"/>
    <w:rsid w:val="00CB7BA3"/>
    <w:rsid w:val="00CC669D"/>
    <w:rsid w:val="00CC6EED"/>
    <w:rsid w:val="00CD4A7F"/>
    <w:rsid w:val="00CD630B"/>
    <w:rsid w:val="00CE05F7"/>
    <w:rsid w:val="00CF015D"/>
    <w:rsid w:val="00CF0C41"/>
    <w:rsid w:val="00CF1985"/>
    <w:rsid w:val="00CF2777"/>
    <w:rsid w:val="00D1140E"/>
    <w:rsid w:val="00D133DF"/>
    <w:rsid w:val="00D16132"/>
    <w:rsid w:val="00D20AD5"/>
    <w:rsid w:val="00D334E8"/>
    <w:rsid w:val="00D6162C"/>
    <w:rsid w:val="00D67231"/>
    <w:rsid w:val="00D704A0"/>
    <w:rsid w:val="00D70650"/>
    <w:rsid w:val="00D72FF6"/>
    <w:rsid w:val="00D75C02"/>
    <w:rsid w:val="00D77157"/>
    <w:rsid w:val="00D816E0"/>
    <w:rsid w:val="00D84C7F"/>
    <w:rsid w:val="00DA4946"/>
    <w:rsid w:val="00DB1ABE"/>
    <w:rsid w:val="00DC12EF"/>
    <w:rsid w:val="00DC7AE9"/>
    <w:rsid w:val="00DD1C8F"/>
    <w:rsid w:val="00DE2A95"/>
    <w:rsid w:val="00DF3C55"/>
    <w:rsid w:val="00DF4080"/>
    <w:rsid w:val="00E03C42"/>
    <w:rsid w:val="00E053AC"/>
    <w:rsid w:val="00E060C8"/>
    <w:rsid w:val="00E246D4"/>
    <w:rsid w:val="00E53AB0"/>
    <w:rsid w:val="00E57529"/>
    <w:rsid w:val="00E63A49"/>
    <w:rsid w:val="00E71CE8"/>
    <w:rsid w:val="00E770A6"/>
    <w:rsid w:val="00E83206"/>
    <w:rsid w:val="00E84648"/>
    <w:rsid w:val="00E85FE2"/>
    <w:rsid w:val="00E87C34"/>
    <w:rsid w:val="00E87E33"/>
    <w:rsid w:val="00E91995"/>
    <w:rsid w:val="00EA0B92"/>
    <w:rsid w:val="00EA1D08"/>
    <w:rsid w:val="00EA6550"/>
    <w:rsid w:val="00EB047D"/>
    <w:rsid w:val="00EC19BC"/>
    <w:rsid w:val="00ED06B7"/>
    <w:rsid w:val="00EE2DC8"/>
    <w:rsid w:val="00EE42CA"/>
    <w:rsid w:val="00EE5110"/>
    <w:rsid w:val="00EE7964"/>
    <w:rsid w:val="00EF60C9"/>
    <w:rsid w:val="00F02847"/>
    <w:rsid w:val="00F170DD"/>
    <w:rsid w:val="00F24E3C"/>
    <w:rsid w:val="00F31500"/>
    <w:rsid w:val="00F342A3"/>
    <w:rsid w:val="00F40A79"/>
    <w:rsid w:val="00F43E88"/>
    <w:rsid w:val="00F663B9"/>
    <w:rsid w:val="00F67654"/>
    <w:rsid w:val="00F74D68"/>
    <w:rsid w:val="00F76075"/>
    <w:rsid w:val="00F7697D"/>
    <w:rsid w:val="00F82C86"/>
    <w:rsid w:val="00F87C1D"/>
    <w:rsid w:val="00F923BE"/>
    <w:rsid w:val="00F93522"/>
    <w:rsid w:val="00F937EC"/>
    <w:rsid w:val="00F96A25"/>
    <w:rsid w:val="00FA2AF8"/>
    <w:rsid w:val="00FA4BBA"/>
    <w:rsid w:val="00FA507F"/>
    <w:rsid w:val="00FA532D"/>
    <w:rsid w:val="00FB264B"/>
    <w:rsid w:val="00FB5BB4"/>
    <w:rsid w:val="00FB7C1F"/>
    <w:rsid w:val="00FD1135"/>
    <w:rsid w:val="00FD5D33"/>
    <w:rsid w:val="00FF1913"/>
    <w:rsid w:val="00FF78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8E09A9"/>
  <w15:chartTrackingRefBased/>
  <w15:docId w15:val="{42A1B382-1E1D-4530-A119-1A0270ED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FD5D33"/>
    <w:rPr>
      <w:rFonts w:ascii="Segoe UI" w:hAnsi="Segoe UI" w:cs="Segoe UI"/>
      <w:sz w:val="18"/>
      <w:szCs w:val="18"/>
    </w:rPr>
  </w:style>
  <w:style w:type="character" w:customStyle="1" w:styleId="BalloonTextChar">
    <w:name w:val="Balloon Text Char"/>
    <w:link w:val="BalloonText"/>
    <w:rsid w:val="00FD5D33"/>
    <w:rPr>
      <w:rFonts w:ascii="Segoe UI" w:hAnsi="Segoe UI" w:cs="Segoe UI"/>
      <w:sz w:val="18"/>
      <w:szCs w:val="18"/>
    </w:rPr>
  </w:style>
  <w:style w:type="paragraph" w:styleId="NoSpacing">
    <w:name w:val="No Spacing"/>
    <w:uiPriority w:val="1"/>
    <w:qFormat/>
    <w:rsid w:val="006620D7"/>
    <w:rPr>
      <w:rFonts w:ascii="Calibri" w:eastAsia="Calibri" w:hAnsi="Calibri"/>
      <w:sz w:val="22"/>
      <w:szCs w:val="22"/>
    </w:rPr>
  </w:style>
  <w:style w:type="character" w:styleId="CommentReference">
    <w:name w:val="annotation reference"/>
    <w:uiPriority w:val="99"/>
    <w:rsid w:val="00320782"/>
    <w:rPr>
      <w:sz w:val="16"/>
      <w:szCs w:val="16"/>
    </w:rPr>
  </w:style>
  <w:style w:type="paragraph" w:styleId="CommentText">
    <w:name w:val="annotation text"/>
    <w:basedOn w:val="Normal"/>
    <w:link w:val="CommentTextChar"/>
    <w:uiPriority w:val="99"/>
    <w:rsid w:val="00320782"/>
    <w:rPr>
      <w:szCs w:val="20"/>
    </w:rPr>
  </w:style>
  <w:style w:type="character" w:customStyle="1" w:styleId="CommentTextChar">
    <w:name w:val="Comment Text Char"/>
    <w:basedOn w:val="DefaultParagraphFont"/>
    <w:link w:val="CommentText"/>
    <w:uiPriority w:val="99"/>
    <w:rsid w:val="00320782"/>
  </w:style>
  <w:style w:type="paragraph" w:styleId="CommentSubject">
    <w:name w:val="annotation subject"/>
    <w:basedOn w:val="CommentText"/>
    <w:next w:val="CommentText"/>
    <w:link w:val="CommentSubjectChar"/>
    <w:rsid w:val="00320782"/>
    <w:rPr>
      <w:b/>
      <w:bCs/>
    </w:rPr>
  </w:style>
  <w:style w:type="character" w:customStyle="1" w:styleId="CommentSubjectChar">
    <w:name w:val="Comment Subject Char"/>
    <w:link w:val="CommentSubject"/>
    <w:rsid w:val="00320782"/>
    <w:rPr>
      <w:b/>
      <w:bCs/>
    </w:rPr>
  </w:style>
  <w:style w:type="paragraph" w:styleId="Revision">
    <w:name w:val="Revision"/>
    <w:hidden/>
    <w:uiPriority w:val="99"/>
    <w:semiHidden/>
    <w:rsid w:val="00320782"/>
    <w:rPr>
      <w:szCs w:val="24"/>
    </w:rPr>
  </w:style>
  <w:style w:type="paragraph" w:customStyle="1" w:styleId="Body2">
    <w:name w:val="Body2"/>
    <w:basedOn w:val="Normal"/>
    <w:qFormat/>
    <w:rsid w:val="00723212"/>
    <w:pPr>
      <w:widowControl/>
      <w:autoSpaceDE/>
      <w:autoSpaceDN/>
      <w:adjustRightInd/>
    </w:pPr>
    <w:rPr>
      <w:sz w:val="24"/>
    </w:rPr>
  </w:style>
  <w:style w:type="character" w:styleId="Hyperlink">
    <w:name w:val="Hyperlink"/>
    <w:rsid w:val="003C3A13"/>
    <w:rPr>
      <w:color w:val="0000FF"/>
      <w:u w:val="single"/>
    </w:rPr>
  </w:style>
  <w:style w:type="character" w:styleId="FollowedHyperlink">
    <w:name w:val="FollowedHyperlink"/>
    <w:rsid w:val="00F96A25"/>
    <w:rPr>
      <w:color w:val="954F72"/>
      <w:u w:val="single"/>
    </w:rPr>
  </w:style>
  <w:style w:type="character" w:customStyle="1" w:styleId="bodytextChar">
    <w:name w:val="body text Char"/>
    <w:link w:val="BodyText1"/>
    <w:locked/>
    <w:rsid w:val="006A0C83"/>
    <w:rPr>
      <w:sz w:val="24"/>
    </w:rPr>
  </w:style>
  <w:style w:type="paragraph" w:customStyle="1" w:styleId="BodyText1">
    <w:name w:val="Body Text1"/>
    <w:basedOn w:val="Normal"/>
    <w:link w:val="bodytextChar"/>
    <w:rsid w:val="006A0C83"/>
    <w:pPr>
      <w:widowControl/>
      <w:autoSpaceDE/>
      <w:autoSpaceDN/>
      <w:adjustRightInd/>
      <w:spacing w:after="240"/>
      <w:ind w:firstLine="720"/>
    </w:pPr>
    <w:rPr>
      <w:sz w:val="24"/>
      <w:szCs w:val="20"/>
    </w:rPr>
  </w:style>
  <w:style w:type="table" w:styleId="TableGrid">
    <w:name w:val="Table Grid"/>
    <w:basedOn w:val="TableNormal"/>
    <w:rsid w:val="005E7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05B19"/>
    <w:pPr>
      <w:tabs>
        <w:tab w:val="center" w:pos="4680"/>
        <w:tab w:val="right" w:pos="9360"/>
      </w:tabs>
    </w:pPr>
  </w:style>
  <w:style w:type="character" w:customStyle="1" w:styleId="HeaderChar">
    <w:name w:val="Header Char"/>
    <w:basedOn w:val="DefaultParagraphFont"/>
    <w:link w:val="Header"/>
    <w:rsid w:val="00305B19"/>
    <w:rPr>
      <w:szCs w:val="24"/>
    </w:rPr>
  </w:style>
  <w:style w:type="paragraph" w:styleId="Footer">
    <w:name w:val="footer"/>
    <w:basedOn w:val="Normal"/>
    <w:link w:val="FooterChar"/>
    <w:uiPriority w:val="99"/>
    <w:rsid w:val="00305B19"/>
    <w:pPr>
      <w:tabs>
        <w:tab w:val="center" w:pos="4680"/>
        <w:tab w:val="right" w:pos="9360"/>
      </w:tabs>
    </w:pPr>
  </w:style>
  <w:style w:type="character" w:customStyle="1" w:styleId="FooterChar">
    <w:name w:val="Footer Char"/>
    <w:basedOn w:val="DefaultParagraphFont"/>
    <w:link w:val="Footer"/>
    <w:uiPriority w:val="99"/>
    <w:rsid w:val="00305B19"/>
    <w:rPr>
      <w:szCs w:val="24"/>
    </w:rPr>
  </w:style>
  <w:style w:type="paragraph" w:styleId="FootnoteText">
    <w:name w:val="footnote text"/>
    <w:basedOn w:val="Normal"/>
    <w:link w:val="FootnoteTextChar"/>
    <w:rsid w:val="00965297"/>
    <w:rPr>
      <w:szCs w:val="20"/>
    </w:rPr>
  </w:style>
  <w:style w:type="character" w:customStyle="1" w:styleId="FootnoteTextChar">
    <w:name w:val="Footnote Text Char"/>
    <w:basedOn w:val="DefaultParagraphFont"/>
    <w:link w:val="FootnoteText"/>
    <w:rsid w:val="00965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2A7E7-DF39-410B-B940-FE67A0E96CAF}">
  <ds:schemaRefs>
    <ds:schemaRef ds:uri="http://schemas.microsoft.com/sharepoint/v3/contenttype/forms"/>
  </ds:schemaRefs>
</ds:datastoreItem>
</file>

<file path=customXml/itemProps2.xml><?xml version="1.0" encoding="utf-8"?>
<ds:datastoreItem xmlns:ds="http://schemas.openxmlformats.org/officeDocument/2006/customXml" ds:itemID="{A195A7C0-C992-4879-84F2-E07A53852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d09cf-27c3-4245-be0b-7402f3748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89E53-07A8-4826-AA9B-FCFC3123E5C1}">
  <ds:schemaRefs>
    <ds:schemaRef ds:uri="http://schemas.openxmlformats.org/officeDocument/2006/bibliography"/>
  </ds:schemaRefs>
</ds:datastoreItem>
</file>

<file path=customXml/itemProps4.xml><?xml version="1.0" encoding="utf-8"?>
<ds:datastoreItem xmlns:ds="http://schemas.openxmlformats.org/officeDocument/2006/customXml" ds:itemID="{9A669226-A6FC-4CAE-B819-74FA40BCD9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1882</Words>
  <Characters>11016</Characters>
  <Application>Microsoft Office Word</Application>
  <DocSecurity>0</DocSecurity>
  <Lines>355</Lines>
  <Paragraphs>189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2</cp:revision>
  <cp:lastPrinted>2016-03-01T13:42:00Z</cp:lastPrinted>
  <dcterms:created xsi:type="dcterms:W3CDTF">2026-03-20T12:17:00Z</dcterms:created>
  <dcterms:modified xsi:type="dcterms:W3CDTF">2026-03-20T12:17:00Z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_NewReviewCycle">
    <vt:lpwstr/>
  </property>
</Properties>
</file>