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34B66" w:rsidRPr="00525077" w:rsidP="00057BD6" w14:paraId="6A06A3F7" w14:textId="64D1D99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40C14">
        <w:rPr>
          <w:rFonts w:ascii="Times New Roman" w:hAnsi="Times New Roman" w:cs="Times New Roman"/>
          <w:bCs/>
        </w:rPr>
        <w:t xml:space="preserve">Justification for </w:t>
      </w:r>
      <w:r w:rsidR="00F64D22">
        <w:rPr>
          <w:rFonts w:ascii="Times New Roman" w:hAnsi="Times New Roman" w:cs="Times New Roman"/>
          <w:bCs/>
        </w:rPr>
        <w:t>n</w:t>
      </w:r>
      <w:r w:rsidRPr="00C40C14">
        <w:rPr>
          <w:rFonts w:ascii="Times New Roman" w:hAnsi="Times New Roman" w:cs="Times New Roman"/>
          <w:bCs/>
        </w:rPr>
        <w:t>on-</w:t>
      </w:r>
      <w:r w:rsidR="00F64D22">
        <w:rPr>
          <w:rFonts w:ascii="Times New Roman" w:hAnsi="Times New Roman" w:cs="Times New Roman"/>
          <w:bCs/>
        </w:rPr>
        <w:t>S</w:t>
      </w:r>
      <w:r w:rsidRPr="00C40C14">
        <w:rPr>
          <w:rFonts w:ascii="Times New Roman" w:hAnsi="Times New Roman" w:cs="Times New Roman"/>
          <w:bCs/>
        </w:rPr>
        <w:t xml:space="preserve">ubstantive </w:t>
      </w:r>
      <w:r w:rsidRPr="00525077">
        <w:rPr>
          <w:rFonts w:ascii="Times New Roman" w:hAnsi="Times New Roman" w:cs="Times New Roman"/>
          <w:bCs/>
        </w:rPr>
        <w:t>C</w:t>
      </w:r>
      <w:r w:rsidRPr="00C40C14">
        <w:rPr>
          <w:rFonts w:ascii="Times New Roman" w:hAnsi="Times New Roman" w:cs="Times New Roman"/>
          <w:bCs/>
        </w:rPr>
        <w:t>hange</w:t>
      </w:r>
    </w:p>
    <w:p w:rsidR="005E2152" w:rsidRPr="00525077" w:rsidP="00057BD6" w14:paraId="3FD8E2FF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5077">
        <w:rPr>
          <w:rFonts w:ascii="Times New Roman" w:hAnsi="Times New Roman" w:cs="Times New Roman"/>
        </w:rPr>
        <w:t>Manufacturer Submission of Average Sales Price (ASP)</w:t>
      </w:r>
    </w:p>
    <w:p w:rsidR="005E2152" w:rsidRPr="00525077" w:rsidP="00057BD6" w14:paraId="7E891B69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5077">
        <w:rPr>
          <w:rFonts w:ascii="Times New Roman" w:hAnsi="Times New Roman" w:cs="Times New Roman"/>
        </w:rPr>
        <w:t>Data for Medicare Part B Drugs and Biologicals and Supporting</w:t>
      </w:r>
    </w:p>
    <w:p w:rsidR="005E2152" w:rsidRPr="00525077" w:rsidP="00057BD6" w14:paraId="6CED95FC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5077">
        <w:rPr>
          <w:rFonts w:ascii="Times New Roman" w:hAnsi="Times New Roman" w:cs="Times New Roman"/>
        </w:rPr>
        <w:t>Regulations in 42 CFR 414.800-806</w:t>
      </w:r>
    </w:p>
    <w:p w:rsidR="00134B66" w:rsidRPr="00525077" w:rsidP="00057BD6" w14:paraId="549E0959" w14:textId="719FD4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5077">
        <w:rPr>
          <w:rFonts w:ascii="Times New Roman" w:hAnsi="Times New Roman" w:cs="Times New Roman"/>
        </w:rPr>
        <w:t>(CMS-10110, OMB 0938-0921)</w:t>
      </w:r>
    </w:p>
    <w:p w:rsidR="005E2152" w:rsidRPr="00525077" w:rsidP="00057BD6" w14:paraId="23EE002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B76112" w:rsidRPr="00525077" w:rsidP="00057BD6" w14:paraId="3E5CDBC7" w14:textId="07933B9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798C">
        <w:rPr>
          <w:rFonts w:ascii="Times New Roman" w:hAnsi="Times New Roman" w:cs="Times New Roman"/>
          <w:b/>
          <w:bCs/>
        </w:rPr>
        <w:t>Background</w:t>
      </w:r>
    </w:p>
    <w:p w:rsidR="00C40C14" w:rsidRPr="00525077" w:rsidP="00057BD6" w14:paraId="3FADA6C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680EFF" w:rsidRPr="00525077" w:rsidP="00680EFF" w14:paraId="4F794670" w14:textId="1BEA15F1">
      <w:pPr>
        <w:spacing w:after="0" w:line="240" w:lineRule="auto"/>
        <w:rPr>
          <w:rFonts w:ascii="Times New Roman" w:hAnsi="Times New Roman" w:cs="Times New Roman"/>
        </w:rPr>
      </w:pPr>
      <w:r w:rsidRPr="00525077">
        <w:rPr>
          <w:rFonts w:ascii="Times New Roman" w:hAnsi="Times New Roman" w:cs="Times New Roman"/>
        </w:rPr>
        <w:t xml:space="preserve">This request is associated with our </w:t>
      </w:r>
      <w:r w:rsidRPr="00525077">
        <w:rPr>
          <w:rFonts w:ascii="Times New Roman" w:hAnsi="Times New Roman" w:cs="Times New Roman"/>
        </w:rPr>
        <w:t>CY 2026 physician fee payment rule (CMS-1832-F</w:t>
      </w:r>
      <w:r w:rsidR="008E2F01">
        <w:rPr>
          <w:rFonts w:ascii="Times New Roman" w:hAnsi="Times New Roman" w:cs="Times New Roman"/>
        </w:rPr>
        <w:t>;</w:t>
      </w:r>
      <w:r w:rsidRPr="00525077">
        <w:rPr>
          <w:rFonts w:ascii="Times New Roman" w:hAnsi="Times New Roman" w:cs="Times New Roman"/>
        </w:rPr>
        <w:t xml:space="preserve"> OMB 0938-AV50)</w:t>
      </w:r>
      <w:r w:rsidRPr="00525077" w:rsidR="007E187E">
        <w:rPr>
          <w:rFonts w:ascii="Times New Roman" w:hAnsi="Times New Roman" w:cs="Times New Roman"/>
        </w:rPr>
        <w:t xml:space="preserve"> and a </w:t>
      </w:r>
      <w:r w:rsidRPr="00525077" w:rsidR="00A8411A">
        <w:rPr>
          <w:rFonts w:ascii="Times New Roman" w:hAnsi="Times New Roman" w:cs="Times New Roman"/>
        </w:rPr>
        <w:t>stand-alone</w:t>
      </w:r>
      <w:r w:rsidRPr="00525077" w:rsidR="007E187E">
        <w:rPr>
          <w:rFonts w:ascii="Times New Roman" w:hAnsi="Times New Roman" w:cs="Times New Roman"/>
        </w:rPr>
        <w:t xml:space="preserve"> non-rule </w:t>
      </w:r>
      <w:r w:rsidR="00815EE2">
        <w:rPr>
          <w:rFonts w:ascii="Times New Roman" w:hAnsi="Times New Roman" w:cs="Times New Roman"/>
        </w:rPr>
        <w:t xml:space="preserve">60-day </w:t>
      </w:r>
      <w:r w:rsidRPr="00525077" w:rsidR="007E187E">
        <w:rPr>
          <w:rFonts w:ascii="Times New Roman" w:hAnsi="Times New Roman" w:cs="Times New Roman"/>
        </w:rPr>
        <w:t>Federal Register notice</w:t>
      </w:r>
      <w:r w:rsidRPr="00525077">
        <w:rPr>
          <w:rFonts w:ascii="Times New Roman" w:hAnsi="Times New Roman" w:cs="Times New Roman"/>
        </w:rPr>
        <w:t>.</w:t>
      </w:r>
    </w:p>
    <w:p w:rsidR="002C0D43" w:rsidRPr="00525077" w:rsidP="00057BD6" w14:paraId="2970075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B40692" w:rsidRPr="00525077" w:rsidP="00B40692" w14:paraId="5F83AB7B" w14:textId="57DB9EEE">
      <w:pPr>
        <w:spacing w:after="0" w:line="240" w:lineRule="auto"/>
        <w:rPr>
          <w:rFonts w:ascii="Times New Roman" w:hAnsi="Times New Roman" w:cs="Times New Roman"/>
        </w:rPr>
      </w:pPr>
      <w:r w:rsidRPr="00525077">
        <w:rPr>
          <w:rFonts w:ascii="Times New Roman" w:hAnsi="Times New Roman" w:cs="Times New Roman"/>
        </w:rPr>
        <w:t xml:space="preserve">While our July 16, 2025 (90 FR 32352) NPRM did not receive public comments on the </w:t>
      </w:r>
      <w:r w:rsidR="007C50E2">
        <w:rPr>
          <w:rFonts w:ascii="Times New Roman" w:hAnsi="Times New Roman" w:cs="Times New Roman"/>
        </w:rPr>
        <w:t xml:space="preserve">ASP-related collection of information </w:t>
      </w:r>
      <w:r w:rsidRPr="00525077">
        <w:rPr>
          <w:rFonts w:ascii="Times New Roman" w:hAnsi="Times New Roman" w:cs="Times New Roman"/>
        </w:rPr>
        <w:t xml:space="preserve">requirements or burden estimates, following </w:t>
      </w:r>
      <w:r w:rsidRPr="00525077" w:rsidR="007E187E">
        <w:rPr>
          <w:rFonts w:ascii="Times New Roman" w:hAnsi="Times New Roman" w:cs="Times New Roman"/>
        </w:rPr>
        <w:t xml:space="preserve">our </w:t>
      </w:r>
      <w:r w:rsidRPr="00525077">
        <w:rPr>
          <w:rFonts w:ascii="Times New Roman" w:hAnsi="Times New Roman" w:cs="Times New Roman"/>
        </w:rPr>
        <w:t xml:space="preserve">publication of the rule we identified that we should </w:t>
      </w:r>
      <w:r w:rsidR="00C16D7F">
        <w:rPr>
          <w:rFonts w:ascii="Times New Roman" w:hAnsi="Times New Roman" w:cs="Times New Roman"/>
        </w:rPr>
        <w:t xml:space="preserve">have </w:t>
      </w:r>
      <w:r w:rsidRPr="00525077">
        <w:rPr>
          <w:rFonts w:ascii="Times New Roman" w:hAnsi="Times New Roman" w:cs="Times New Roman"/>
        </w:rPr>
        <w:t>account</w:t>
      </w:r>
      <w:r w:rsidR="00C16D7F">
        <w:rPr>
          <w:rFonts w:ascii="Times New Roman" w:hAnsi="Times New Roman" w:cs="Times New Roman"/>
        </w:rPr>
        <w:t>ed</w:t>
      </w:r>
      <w:r w:rsidRPr="00525077">
        <w:rPr>
          <w:rFonts w:ascii="Times New Roman" w:hAnsi="Times New Roman" w:cs="Times New Roman"/>
        </w:rPr>
        <w:t xml:space="preserve"> for burden for a chief executive to certify the data. </w:t>
      </w:r>
    </w:p>
    <w:p w:rsidR="00B40692" w:rsidRPr="00525077" w:rsidP="00057BD6" w14:paraId="6E03FFDC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E2152" w:rsidRPr="00525077" w:rsidP="00057BD6" w14:paraId="61941C45" w14:textId="5C2903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</w:t>
      </w:r>
      <w:r w:rsidRPr="00525077">
        <w:rPr>
          <w:rFonts w:ascii="Times New Roman" w:hAnsi="Times New Roman" w:cs="Times New Roman"/>
        </w:rPr>
        <w:t>November 5, 2025 (90 FR 49266)</w:t>
      </w:r>
      <w:r>
        <w:rPr>
          <w:rFonts w:ascii="Times New Roman" w:hAnsi="Times New Roman" w:cs="Times New Roman"/>
        </w:rPr>
        <w:t xml:space="preserve"> </w:t>
      </w:r>
      <w:r w:rsidRPr="00525077">
        <w:rPr>
          <w:rFonts w:ascii="Times New Roman" w:hAnsi="Times New Roman" w:cs="Times New Roman"/>
        </w:rPr>
        <w:t xml:space="preserve">final rule </w:t>
      </w:r>
      <w:r>
        <w:rPr>
          <w:rFonts w:ascii="Times New Roman" w:hAnsi="Times New Roman" w:cs="Times New Roman"/>
        </w:rPr>
        <w:t xml:space="preserve">included the </w:t>
      </w:r>
      <w:r w:rsidRPr="00A37C41">
        <w:rPr>
          <w:rFonts w:ascii="Times New Roman" w:hAnsi="Times New Roman" w:cs="Times New Roman"/>
        </w:rPr>
        <w:t>ASP provisions</w:t>
      </w:r>
      <w:r>
        <w:rPr>
          <w:rFonts w:ascii="Times New Roman" w:hAnsi="Times New Roman" w:cs="Times New Roman"/>
        </w:rPr>
        <w:t xml:space="preserve"> that were missing from our NPRM.</w:t>
      </w:r>
      <w:r w:rsidRPr="00A37C41">
        <w:rPr>
          <w:rFonts w:ascii="Times New Roman" w:hAnsi="Times New Roman" w:cs="Times New Roman"/>
        </w:rPr>
        <w:t xml:space="preserve"> </w:t>
      </w:r>
      <w:r w:rsidRPr="00525077">
        <w:rPr>
          <w:rFonts w:ascii="Times New Roman" w:hAnsi="Times New Roman" w:cs="Times New Roman"/>
        </w:rPr>
        <w:t xml:space="preserve">We published a </w:t>
      </w:r>
      <w:r w:rsidRPr="00525077" w:rsidR="00273DB7">
        <w:rPr>
          <w:rFonts w:ascii="Times New Roman" w:hAnsi="Times New Roman" w:cs="Times New Roman"/>
        </w:rPr>
        <w:t xml:space="preserve">stand-alone non-rule </w:t>
      </w:r>
      <w:r w:rsidR="00273DB7">
        <w:rPr>
          <w:rFonts w:ascii="Times New Roman" w:hAnsi="Times New Roman" w:cs="Times New Roman"/>
        </w:rPr>
        <w:t xml:space="preserve">60-day </w:t>
      </w:r>
      <w:r w:rsidRPr="00525077">
        <w:rPr>
          <w:rFonts w:ascii="Times New Roman" w:hAnsi="Times New Roman" w:cs="Times New Roman"/>
        </w:rPr>
        <w:t xml:space="preserve">collection of information notice on December 30, 2025 (90 FR 61154) to provide the public with an additional 60-day comment period for the ASP provisions. </w:t>
      </w:r>
    </w:p>
    <w:p w:rsidR="007E187E" w:rsidRPr="00525077" w:rsidP="00057BD6" w14:paraId="0B93968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E2152" w:rsidRPr="00525077" w:rsidP="00057BD6" w14:paraId="0A0D6214" w14:textId="1C24EC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60-day notice </w:t>
      </w:r>
      <w:r w:rsidRPr="00525077">
        <w:rPr>
          <w:rFonts w:ascii="Times New Roman" w:hAnsi="Times New Roman" w:cs="Times New Roman"/>
        </w:rPr>
        <w:t xml:space="preserve">received public comments </w:t>
      </w:r>
      <w:r>
        <w:rPr>
          <w:rFonts w:ascii="Times New Roman" w:hAnsi="Times New Roman" w:cs="Times New Roman"/>
        </w:rPr>
        <w:t xml:space="preserve">(attached) </w:t>
      </w:r>
      <w:r w:rsidRPr="00525077" w:rsidR="007E187E">
        <w:rPr>
          <w:rFonts w:ascii="Times New Roman" w:hAnsi="Times New Roman" w:cs="Times New Roman"/>
        </w:rPr>
        <w:t xml:space="preserve">and </w:t>
      </w:r>
      <w:r w:rsidRPr="00525077">
        <w:rPr>
          <w:rFonts w:ascii="Times New Roman" w:hAnsi="Times New Roman" w:cs="Times New Roman"/>
        </w:rPr>
        <w:t xml:space="preserve">identified that we should account for additional burden for a secretary/administrative assistant to </w:t>
      </w:r>
      <w:r w:rsidRPr="00525077" w:rsidR="00A8411A">
        <w:rPr>
          <w:rFonts w:ascii="Times New Roman" w:hAnsi="Times New Roman" w:cs="Times New Roman"/>
        </w:rPr>
        <w:t>follow up</w:t>
      </w:r>
      <w:r w:rsidRPr="00525077">
        <w:rPr>
          <w:rFonts w:ascii="Times New Roman" w:hAnsi="Times New Roman" w:cs="Times New Roman"/>
        </w:rPr>
        <w:t xml:space="preserve"> with fee recipients and monitor certification amendments. We also identified that we should account for new burden and include legal/compliance review.</w:t>
      </w:r>
    </w:p>
    <w:p w:rsidR="007E187E" w:rsidP="00057BD6" w14:paraId="46340F5B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52AEB" w:rsidP="00057BD6" w14:paraId="0DB38ED6" w14:textId="7C94F1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details see below</w:t>
      </w:r>
      <w:r w:rsidR="00130234">
        <w:rPr>
          <w:rFonts w:ascii="Times New Roman" w:hAnsi="Times New Roman" w:cs="Times New Roman"/>
        </w:rPr>
        <w:t xml:space="preserve"> along with our attached Supporting Statement and Response to Public Comments</w:t>
      </w:r>
      <w:r>
        <w:rPr>
          <w:rFonts w:ascii="Times New Roman" w:hAnsi="Times New Roman" w:cs="Times New Roman"/>
        </w:rPr>
        <w:t>.</w:t>
      </w:r>
    </w:p>
    <w:p w:rsidR="00552AEB" w:rsidRPr="00525077" w:rsidP="00057BD6" w14:paraId="669A802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C0D43" w:rsidRPr="00C40C14" w:rsidP="002C0D43" w14:paraId="37884B11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C40C14">
        <w:rPr>
          <w:rFonts w:ascii="Times New Roman" w:hAnsi="Times New Roman" w:cs="Times New Roman"/>
          <w:b/>
        </w:rPr>
        <w:t>Justification</w:t>
      </w:r>
    </w:p>
    <w:p w:rsidR="002C0D43" w:rsidRPr="00525077" w:rsidP="002C0D43" w14:paraId="02B4994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A3082A" w:rsidRPr="00525077" w:rsidP="002C0D43" w14:paraId="681E7C4A" w14:textId="44532173">
      <w:pPr>
        <w:spacing w:after="0" w:line="240" w:lineRule="auto"/>
        <w:rPr>
          <w:rFonts w:ascii="Times New Roman" w:hAnsi="Times New Roman" w:cs="Times New Roman"/>
        </w:rPr>
      </w:pPr>
      <w:r w:rsidRPr="00525077">
        <w:rPr>
          <w:rFonts w:ascii="Times New Roman" w:hAnsi="Times New Roman" w:cs="Times New Roman"/>
        </w:rPr>
        <w:t xml:space="preserve">Although we submitted the final rule’s collection of information request to OMB on </w:t>
      </w:r>
      <w:r w:rsidRPr="00525077" w:rsidR="00E6622F">
        <w:rPr>
          <w:rFonts w:ascii="Times New Roman" w:hAnsi="Times New Roman" w:cs="Times New Roman"/>
        </w:rPr>
        <w:t xml:space="preserve">January 8, 2026, </w:t>
      </w:r>
      <w:r w:rsidRPr="00525077">
        <w:rPr>
          <w:rFonts w:ascii="Times New Roman" w:hAnsi="Times New Roman" w:cs="Times New Roman"/>
        </w:rPr>
        <w:t xml:space="preserve">we inadvertently neglected to highlight </w:t>
      </w:r>
      <w:r w:rsidRPr="00525077" w:rsidR="00A8411A">
        <w:rPr>
          <w:rFonts w:ascii="Times New Roman" w:hAnsi="Times New Roman" w:cs="Times New Roman"/>
        </w:rPr>
        <w:t>that we</w:t>
      </w:r>
      <w:r w:rsidRPr="00525077">
        <w:rPr>
          <w:rFonts w:ascii="Times New Roman" w:hAnsi="Times New Roman" w:cs="Times New Roman"/>
        </w:rPr>
        <w:t xml:space="preserve"> were providing the public with an additional 60-day comment period. </w:t>
      </w:r>
      <w:r w:rsidR="0040437C">
        <w:rPr>
          <w:rFonts w:ascii="Times New Roman" w:hAnsi="Times New Roman" w:cs="Times New Roman"/>
        </w:rPr>
        <w:t>While t</w:t>
      </w:r>
      <w:r w:rsidRPr="00525077">
        <w:rPr>
          <w:rFonts w:ascii="Times New Roman" w:hAnsi="Times New Roman" w:cs="Times New Roman"/>
        </w:rPr>
        <w:t xml:space="preserve">hat information was </w:t>
      </w:r>
      <w:r w:rsidRPr="00525077" w:rsidR="00851229">
        <w:rPr>
          <w:rFonts w:ascii="Times New Roman" w:hAnsi="Times New Roman" w:cs="Times New Roman"/>
        </w:rPr>
        <w:t xml:space="preserve">noted </w:t>
      </w:r>
      <w:r w:rsidRPr="00525077">
        <w:rPr>
          <w:rFonts w:ascii="Times New Roman" w:hAnsi="Times New Roman" w:cs="Times New Roman"/>
        </w:rPr>
        <w:t xml:space="preserve">in the final rule’s Supporting Statement, in retrospect, we should have </w:t>
      </w:r>
      <w:r w:rsidR="001058BA">
        <w:rPr>
          <w:rFonts w:ascii="Times New Roman" w:hAnsi="Times New Roman" w:cs="Times New Roman"/>
        </w:rPr>
        <w:t>included the comment due date and notified</w:t>
      </w:r>
      <w:r w:rsidRPr="00525077">
        <w:rPr>
          <w:rFonts w:ascii="Times New Roman" w:hAnsi="Times New Roman" w:cs="Times New Roman"/>
        </w:rPr>
        <w:t xml:space="preserve"> OMB by phone or e-mail.</w:t>
      </w:r>
    </w:p>
    <w:p w:rsidR="00A3082A" w:rsidRPr="00525077" w:rsidP="002C0D43" w14:paraId="468E700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95878" w:rsidP="002C0D43" w14:paraId="421CF8D0" w14:textId="5C94A205">
      <w:pPr>
        <w:spacing w:after="0" w:line="240" w:lineRule="auto"/>
        <w:rPr>
          <w:rFonts w:ascii="Times New Roman" w:hAnsi="Times New Roman" w:cs="Times New Roman"/>
        </w:rPr>
      </w:pPr>
      <w:r w:rsidRPr="00525077">
        <w:rPr>
          <w:rFonts w:ascii="Times New Roman" w:hAnsi="Times New Roman" w:cs="Times New Roman"/>
        </w:rPr>
        <w:t xml:space="preserve">With this in mind, </w:t>
      </w:r>
      <w:r w:rsidRPr="00525077" w:rsidR="00A1375B">
        <w:rPr>
          <w:rFonts w:ascii="Times New Roman" w:hAnsi="Times New Roman" w:cs="Times New Roman"/>
        </w:rPr>
        <w:t xml:space="preserve">we request OMB’s approval of the following </w:t>
      </w:r>
      <w:r w:rsidR="00B55208">
        <w:rPr>
          <w:rFonts w:ascii="Times New Roman" w:hAnsi="Times New Roman" w:cs="Times New Roman"/>
        </w:rPr>
        <w:t xml:space="preserve">changes </w:t>
      </w:r>
      <w:r w:rsidRPr="00525077" w:rsidR="00A1375B">
        <w:rPr>
          <w:rFonts w:ascii="Times New Roman" w:hAnsi="Times New Roman" w:cs="Times New Roman"/>
        </w:rPr>
        <w:t xml:space="preserve">that were made after </w:t>
      </w:r>
      <w:r>
        <w:rPr>
          <w:rFonts w:ascii="Times New Roman" w:hAnsi="Times New Roman" w:cs="Times New Roman"/>
        </w:rPr>
        <w:t xml:space="preserve">our </w:t>
      </w:r>
      <w:r w:rsidRPr="00525077" w:rsidR="00A1375B">
        <w:rPr>
          <w:rFonts w:ascii="Times New Roman" w:hAnsi="Times New Roman" w:cs="Times New Roman"/>
        </w:rPr>
        <w:t xml:space="preserve">final rule’s collection of information request was approved on </w:t>
      </w:r>
      <w:r w:rsidRPr="00525077" w:rsidR="00BC5BC6">
        <w:rPr>
          <w:rFonts w:ascii="Times New Roman" w:hAnsi="Times New Roman" w:cs="Times New Roman"/>
        </w:rPr>
        <w:t>February 11, 2026</w:t>
      </w:r>
      <w:r>
        <w:rPr>
          <w:rFonts w:ascii="Times New Roman" w:hAnsi="Times New Roman" w:cs="Times New Roman"/>
        </w:rPr>
        <w:t xml:space="preserve">. Such changes were made in response to </w:t>
      </w:r>
      <w:r w:rsidRPr="00525077">
        <w:rPr>
          <w:rFonts w:ascii="Times New Roman" w:hAnsi="Times New Roman" w:cs="Times New Roman"/>
        </w:rPr>
        <w:t xml:space="preserve">our December 30, 2025, </w:t>
      </w:r>
      <w:r>
        <w:rPr>
          <w:rFonts w:ascii="Times New Roman" w:hAnsi="Times New Roman" w:cs="Times New Roman"/>
        </w:rPr>
        <w:t>60-day notice whose c</w:t>
      </w:r>
      <w:r w:rsidRPr="00525077">
        <w:rPr>
          <w:rFonts w:ascii="Times New Roman" w:hAnsi="Times New Roman" w:cs="Times New Roman"/>
        </w:rPr>
        <w:t xml:space="preserve">omments </w:t>
      </w:r>
      <w:r>
        <w:rPr>
          <w:rFonts w:ascii="Times New Roman" w:hAnsi="Times New Roman" w:cs="Times New Roman"/>
        </w:rPr>
        <w:t>were due on/</w:t>
      </w:r>
      <w:r w:rsidRPr="00525077">
        <w:rPr>
          <w:rFonts w:ascii="Times New Roman" w:hAnsi="Times New Roman" w:cs="Times New Roman"/>
        </w:rPr>
        <w:t>by March 2, 2026</w:t>
      </w:r>
      <w:r>
        <w:rPr>
          <w:rFonts w:ascii="Times New Roman" w:hAnsi="Times New Roman" w:cs="Times New Roman"/>
        </w:rPr>
        <w:t xml:space="preserve"> </w:t>
      </w:r>
      <w:r w:rsidRPr="00525077">
        <w:rPr>
          <w:rFonts w:ascii="Times New Roman" w:hAnsi="Times New Roman" w:cs="Times New Roman"/>
        </w:rPr>
        <w:t xml:space="preserve">(19 days </w:t>
      </w:r>
      <w:r>
        <w:rPr>
          <w:rFonts w:ascii="Times New Roman" w:hAnsi="Times New Roman" w:cs="Times New Roman"/>
        </w:rPr>
        <w:t xml:space="preserve">after OMB’s </w:t>
      </w:r>
      <w:r w:rsidRPr="00525077">
        <w:rPr>
          <w:rFonts w:ascii="Times New Roman" w:hAnsi="Times New Roman" w:cs="Times New Roman"/>
        </w:rPr>
        <w:t>February 11, 2026</w:t>
      </w:r>
      <w:r>
        <w:rPr>
          <w:rFonts w:ascii="Times New Roman" w:hAnsi="Times New Roman" w:cs="Times New Roman"/>
        </w:rPr>
        <w:t>, approval).</w:t>
      </w:r>
    </w:p>
    <w:p w:rsidR="00295878" w:rsidP="002C0D43" w14:paraId="56304FC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D6994" w:rsidP="002C0D43" w14:paraId="2434B9B6" w14:textId="2D1586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D54321">
        <w:rPr>
          <w:rFonts w:ascii="Times New Roman" w:hAnsi="Times New Roman" w:cs="Times New Roman"/>
        </w:rPr>
        <w:t xml:space="preserve">n response to </w:t>
      </w:r>
      <w:r w:rsidR="0046241A">
        <w:rPr>
          <w:rFonts w:ascii="Times New Roman" w:hAnsi="Times New Roman" w:cs="Times New Roman"/>
        </w:rPr>
        <w:t xml:space="preserve">the </w:t>
      </w:r>
      <w:r w:rsidRPr="00D54321">
        <w:rPr>
          <w:rFonts w:ascii="Times New Roman" w:hAnsi="Times New Roman" w:cs="Times New Roman"/>
        </w:rPr>
        <w:t>public comments</w:t>
      </w:r>
      <w:r>
        <w:rPr>
          <w:rFonts w:ascii="Times New Roman" w:hAnsi="Times New Roman" w:cs="Times New Roman"/>
        </w:rPr>
        <w:t xml:space="preserve">, our non-substantive changes </w:t>
      </w:r>
      <w:r w:rsidRPr="00D54321" w:rsidR="00F5145B">
        <w:rPr>
          <w:rFonts w:ascii="Times New Roman" w:hAnsi="Times New Roman" w:cs="Times New Roman"/>
        </w:rPr>
        <w:t xml:space="preserve">add </w:t>
      </w:r>
      <w:r w:rsidRPr="00D54321" w:rsidR="00EF51ED">
        <w:rPr>
          <w:rFonts w:ascii="Times New Roman" w:hAnsi="Times New Roman" w:cs="Times New Roman"/>
        </w:rPr>
        <w:t>1,500</w:t>
      </w:r>
      <w:r w:rsidRPr="00D54321" w:rsidR="00F5145B">
        <w:rPr>
          <w:rFonts w:ascii="Times New Roman" w:hAnsi="Times New Roman" w:cs="Times New Roman"/>
        </w:rPr>
        <w:t xml:space="preserve"> responses</w:t>
      </w:r>
      <w:r>
        <w:rPr>
          <w:rFonts w:ascii="Times New Roman" w:hAnsi="Times New Roman" w:cs="Times New Roman"/>
        </w:rPr>
        <w:t xml:space="preserve"> and </w:t>
      </w:r>
      <w:r w:rsidRPr="00D54321" w:rsidR="00EF51ED">
        <w:rPr>
          <w:rFonts w:ascii="Times New Roman" w:hAnsi="Times New Roman" w:cs="Times New Roman"/>
        </w:rPr>
        <w:t>33,000</w:t>
      </w:r>
      <w:r w:rsidRPr="00D54321" w:rsidR="00F5145B">
        <w:rPr>
          <w:rFonts w:ascii="Times New Roman" w:hAnsi="Times New Roman" w:cs="Times New Roman"/>
        </w:rPr>
        <w:t xml:space="preserve"> hours</w:t>
      </w:r>
      <w:r w:rsidR="0046241A">
        <w:rPr>
          <w:rFonts w:ascii="Times New Roman" w:hAnsi="Times New Roman" w:cs="Times New Roman"/>
        </w:rPr>
        <w:t xml:space="preserve"> of burden</w:t>
      </w:r>
      <w:r w:rsidRPr="00D54321" w:rsidR="00F5145B">
        <w:rPr>
          <w:rFonts w:ascii="Times New Roman" w:hAnsi="Times New Roman" w:cs="Times New Roman"/>
        </w:rPr>
        <w:t xml:space="preserve">. </w:t>
      </w:r>
      <w:r w:rsidRPr="00D54321" w:rsidR="00AD173E">
        <w:rPr>
          <w:rFonts w:ascii="Times New Roman" w:hAnsi="Times New Roman" w:cs="Times New Roman"/>
        </w:rPr>
        <w:t>We have also revised our Bona Fide Service Fee Certification form</w:t>
      </w:r>
      <w:r>
        <w:rPr>
          <w:rFonts w:ascii="Times New Roman" w:hAnsi="Times New Roman" w:cs="Times New Roman"/>
        </w:rPr>
        <w:t xml:space="preserve"> and corrected a number of active burden estimates</w:t>
      </w:r>
      <w:r w:rsidR="00E14FBB">
        <w:rPr>
          <w:rFonts w:ascii="Times New Roman" w:hAnsi="Times New Roman" w:cs="Times New Roman"/>
        </w:rPr>
        <w:t xml:space="preserve"> related to the </w:t>
      </w:r>
      <w:r w:rsidRPr="00E14FBB" w:rsidR="00E14FBB">
        <w:rPr>
          <w:rFonts w:ascii="Times New Roman" w:hAnsi="Times New Roman" w:cs="Times New Roman"/>
        </w:rPr>
        <w:t>Warranty or Certification Letter</w:t>
      </w:r>
      <w:r w:rsidR="00E14FBB">
        <w:rPr>
          <w:rFonts w:ascii="Times New Roman" w:hAnsi="Times New Roman" w:cs="Times New Roman"/>
        </w:rPr>
        <w:t xml:space="preserve"> requirements</w:t>
      </w:r>
      <w:r w:rsidRPr="00D54321" w:rsidR="00AD173E">
        <w:rPr>
          <w:rFonts w:ascii="Times New Roman" w:hAnsi="Times New Roman" w:cs="Times New Roman"/>
        </w:rPr>
        <w:t>.</w:t>
      </w:r>
    </w:p>
    <w:p w:rsidR="00906444" w:rsidP="002C0D43" w14:paraId="628F3975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B0B75" w:rsidRPr="00525077" w:rsidP="007B0B75" w14:paraId="7F79FD89" w14:textId="6880988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798C">
        <w:rPr>
          <w:rFonts w:ascii="Times New Roman" w:hAnsi="Times New Roman" w:cs="Times New Roman"/>
          <w:b/>
          <w:bCs/>
        </w:rPr>
        <w:t>Requirement/Burden Changes</w:t>
      </w:r>
    </w:p>
    <w:p w:rsidR="00F90820" w:rsidRPr="00525077" w:rsidP="00057BD6" w14:paraId="132E709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07B47" w:rsidRPr="00525077" w:rsidP="00E07B47" w14:paraId="0CBAE0F4" w14:textId="7777777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25077">
        <w:rPr>
          <w:rFonts w:ascii="Times New Roman" w:hAnsi="Times New Roman" w:cs="Times New Roman"/>
          <w:u w:val="single"/>
        </w:rPr>
        <w:t>Reporting of Drug Pricing Information for Part B (§§ 414.802 and 414.902)</w:t>
      </w:r>
    </w:p>
    <w:p w:rsidR="00E07B47" w:rsidRPr="00525077" w:rsidP="00E07B47" w14:paraId="7854ADE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07B47" w:rsidRPr="00525077" w:rsidP="00E07B47" w14:paraId="63A173A0" w14:textId="77777777">
      <w:pPr>
        <w:spacing w:after="0" w:line="240" w:lineRule="auto"/>
        <w:rPr>
          <w:rFonts w:ascii="Times New Roman" w:hAnsi="Times New Roman" w:cs="Times New Roman"/>
        </w:rPr>
      </w:pPr>
      <w:r w:rsidRPr="00DB63BC">
        <w:rPr>
          <w:rFonts w:ascii="Times New Roman" w:hAnsi="Times New Roman" w:cs="Times New Roman"/>
        </w:rPr>
        <w:t>No Changes.</w:t>
      </w:r>
    </w:p>
    <w:p w:rsidR="00E07B47" w:rsidRPr="00525077" w:rsidP="00E07B47" w14:paraId="529DD9D7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E07B47" w:rsidRPr="00525077" w:rsidP="00E07B47" w14:paraId="006FFBC3" w14:textId="56854B12">
      <w:pPr>
        <w:widowControl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25077">
        <w:rPr>
          <w:rFonts w:ascii="Times New Roman" w:hAnsi="Times New Roman" w:cs="Times New Roman"/>
          <w:u w:val="single"/>
        </w:rPr>
        <w:t>Average Sales Price: Price Concessions and Bona Fide Service Fees (§</w:t>
      </w:r>
      <w:r w:rsidRPr="00525077">
        <w:rPr>
          <w:rFonts w:ascii="Times New Roman" w:eastAsia="Calibri" w:hAnsi="Times New Roman" w:cs="Times New Roman"/>
          <w:u w:val="single"/>
        </w:rPr>
        <w:t>§ 414.802 and 414.804)</w:t>
      </w:r>
    </w:p>
    <w:p w:rsidR="00F90820" w:rsidP="00057BD6" w14:paraId="10447B8C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90820" w:rsidRPr="00525077" w:rsidP="00057BD6" w14:paraId="1024F943" w14:textId="72926DD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25077">
        <w:rPr>
          <w:rFonts w:ascii="Times New Roman" w:hAnsi="Times New Roman" w:cs="Times New Roman"/>
          <w:i/>
          <w:iCs/>
        </w:rPr>
        <w:t>Reasonable Assumptions</w:t>
      </w:r>
    </w:p>
    <w:p w:rsidR="00F90820" w:rsidRPr="00B06BAC" w:rsidP="00057BD6" w14:paraId="130B8595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07B47" w:rsidRPr="00B06BAC" w:rsidP="00057BD6" w14:paraId="574A5384" w14:textId="70A59251">
      <w:pPr>
        <w:spacing w:after="0" w:line="240" w:lineRule="auto"/>
        <w:rPr>
          <w:rFonts w:ascii="Times New Roman" w:hAnsi="Times New Roman" w:cs="Times New Roman"/>
        </w:rPr>
      </w:pPr>
      <w:r w:rsidRPr="00B06BAC">
        <w:rPr>
          <w:rFonts w:ascii="Times New Roman" w:hAnsi="Times New Roman" w:cs="Times New Roman"/>
        </w:rPr>
        <w:t>-Remov</w:t>
      </w:r>
      <w:r w:rsidRPr="00B06BAC" w:rsidR="00080119">
        <w:rPr>
          <w:rFonts w:ascii="Times New Roman" w:hAnsi="Times New Roman" w:cs="Times New Roman"/>
        </w:rPr>
        <w:t>es</w:t>
      </w:r>
      <w:r w:rsidRPr="00B06BAC">
        <w:rPr>
          <w:rFonts w:ascii="Times New Roman" w:hAnsi="Times New Roman" w:cs="Times New Roman"/>
        </w:rPr>
        <w:t xml:space="preserve"> signature requirement</w:t>
      </w:r>
    </w:p>
    <w:p w:rsidR="00C40C14" w:rsidRPr="00B06BAC" w:rsidP="00057BD6" w14:paraId="1842F26E" w14:textId="77C77CA1">
      <w:pPr>
        <w:spacing w:after="0" w:line="240" w:lineRule="auto"/>
        <w:rPr>
          <w:rFonts w:ascii="Times New Roman" w:hAnsi="Times New Roman" w:cs="Times New Roman"/>
        </w:rPr>
      </w:pPr>
      <w:r w:rsidRPr="00B06BAC">
        <w:rPr>
          <w:rFonts w:ascii="Times New Roman" w:hAnsi="Times New Roman" w:cs="Times New Roman"/>
        </w:rPr>
        <w:t>-Add</w:t>
      </w:r>
      <w:r w:rsidRPr="00B06BAC" w:rsidR="00080119">
        <w:rPr>
          <w:rFonts w:ascii="Times New Roman" w:hAnsi="Times New Roman" w:cs="Times New Roman"/>
        </w:rPr>
        <w:t>s</w:t>
      </w:r>
      <w:r w:rsidRPr="00B06BAC">
        <w:rPr>
          <w:rFonts w:ascii="Times New Roman" w:hAnsi="Times New Roman" w:cs="Times New Roman"/>
        </w:rPr>
        <w:t xml:space="preserve"> </w:t>
      </w:r>
      <w:r w:rsidR="00542DA2">
        <w:rPr>
          <w:rFonts w:ascii="Times New Roman" w:hAnsi="Times New Roman" w:cs="Times New Roman"/>
        </w:rPr>
        <w:t>4</w:t>
      </w:r>
      <w:r w:rsidRPr="00B06BAC">
        <w:rPr>
          <w:rFonts w:ascii="Times New Roman" w:hAnsi="Times New Roman" w:cs="Times New Roman"/>
        </w:rPr>
        <w:t xml:space="preserve"> hours for a lawyer </w:t>
      </w:r>
      <w:r w:rsidR="005C666C">
        <w:rPr>
          <w:rFonts w:ascii="Times New Roman" w:hAnsi="Times New Roman" w:cs="Times New Roman"/>
        </w:rPr>
        <w:t>at $</w:t>
      </w:r>
      <w:r w:rsidRPr="005C666C" w:rsidR="005C666C">
        <w:rPr>
          <w:rFonts w:ascii="Times New Roman" w:hAnsi="Times New Roman" w:cs="Times New Roman"/>
        </w:rPr>
        <w:t>175.72</w:t>
      </w:r>
      <w:r w:rsidR="005C666C">
        <w:rPr>
          <w:rFonts w:ascii="Times New Roman" w:hAnsi="Times New Roman" w:cs="Times New Roman"/>
        </w:rPr>
        <w:t>/</w:t>
      </w:r>
      <w:r w:rsidR="005C666C">
        <w:rPr>
          <w:rFonts w:ascii="Times New Roman" w:hAnsi="Times New Roman" w:cs="Times New Roman"/>
        </w:rPr>
        <w:t>hr</w:t>
      </w:r>
      <w:r w:rsidR="005C666C">
        <w:rPr>
          <w:rFonts w:ascii="Times New Roman" w:hAnsi="Times New Roman" w:cs="Times New Roman"/>
        </w:rPr>
        <w:t xml:space="preserve"> </w:t>
      </w:r>
      <w:r w:rsidR="00542DA2">
        <w:rPr>
          <w:rFonts w:ascii="Times New Roman" w:hAnsi="Times New Roman" w:cs="Times New Roman"/>
        </w:rPr>
        <w:t>a</w:t>
      </w:r>
      <w:r w:rsidRPr="00B06BAC">
        <w:rPr>
          <w:rFonts w:ascii="Times New Roman" w:hAnsi="Times New Roman" w:cs="Times New Roman"/>
        </w:rPr>
        <w:t xml:space="preserve">nd </w:t>
      </w:r>
      <w:r w:rsidR="00542DA2">
        <w:rPr>
          <w:rFonts w:ascii="Times New Roman" w:hAnsi="Times New Roman" w:cs="Times New Roman"/>
        </w:rPr>
        <w:t>4</w:t>
      </w:r>
      <w:r w:rsidRPr="00B06BAC">
        <w:rPr>
          <w:rFonts w:ascii="Times New Roman" w:hAnsi="Times New Roman" w:cs="Times New Roman"/>
        </w:rPr>
        <w:t xml:space="preserve"> hours for a CEO/COO </w:t>
      </w:r>
      <w:r w:rsidR="005C666C">
        <w:rPr>
          <w:rFonts w:ascii="Times New Roman" w:hAnsi="Times New Roman" w:cs="Times New Roman"/>
        </w:rPr>
        <w:t>at $</w:t>
      </w:r>
      <w:r w:rsidRPr="005C666C" w:rsidR="005C666C">
        <w:rPr>
          <w:rFonts w:ascii="Times New Roman" w:hAnsi="Times New Roman" w:cs="Times New Roman"/>
        </w:rPr>
        <w:t>252.82</w:t>
      </w:r>
      <w:r w:rsidR="005C666C">
        <w:rPr>
          <w:rFonts w:ascii="Times New Roman" w:hAnsi="Times New Roman" w:cs="Times New Roman"/>
        </w:rPr>
        <w:t>/</w:t>
      </w:r>
      <w:r w:rsidR="005C666C">
        <w:rPr>
          <w:rFonts w:ascii="Times New Roman" w:hAnsi="Times New Roman" w:cs="Times New Roman"/>
        </w:rPr>
        <w:t>hr</w:t>
      </w:r>
      <w:r w:rsidR="005C666C">
        <w:rPr>
          <w:rFonts w:ascii="Times New Roman" w:hAnsi="Times New Roman" w:cs="Times New Roman"/>
        </w:rPr>
        <w:t xml:space="preserve"> </w:t>
      </w:r>
      <w:r w:rsidRPr="00B06BAC">
        <w:rPr>
          <w:rFonts w:ascii="Times New Roman" w:hAnsi="Times New Roman" w:cs="Times New Roman"/>
        </w:rPr>
        <w:t xml:space="preserve">to review the reasonable assumptions. </w:t>
      </w:r>
    </w:p>
    <w:p w:rsidR="00E07B47" w:rsidRPr="0042522E" w:rsidP="00057BD6" w14:paraId="58257BFC" w14:textId="3EE6773A">
      <w:pPr>
        <w:spacing w:after="0" w:line="240" w:lineRule="auto"/>
        <w:rPr>
          <w:rFonts w:ascii="Times New Roman" w:hAnsi="Times New Roman" w:cs="Times New Roman"/>
        </w:rPr>
      </w:pPr>
      <w:r w:rsidRPr="00DB63BC">
        <w:rPr>
          <w:rFonts w:ascii="Times New Roman" w:hAnsi="Times New Roman" w:cs="Times New Roman"/>
        </w:rPr>
        <w:t>-</w:t>
      </w:r>
      <w:r w:rsidRPr="00DB63BC">
        <w:rPr>
          <w:rFonts w:ascii="Times New Roman" w:hAnsi="Times New Roman" w:cs="Times New Roman"/>
        </w:rPr>
        <w:t xml:space="preserve">With 500 respondents, this </w:t>
      </w:r>
      <w:r w:rsidRPr="00DB63BC" w:rsidR="00F84144">
        <w:rPr>
          <w:rFonts w:ascii="Times New Roman" w:hAnsi="Times New Roman" w:cs="Times New Roman"/>
        </w:rPr>
        <w:t xml:space="preserve">change </w:t>
      </w:r>
      <w:r w:rsidRPr="00DB63BC">
        <w:rPr>
          <w:rFonts w:ascii="Times New Roman" w:hAnsi="Times New Roman" w:cs="Times New Roman"/>
          <w:u w:val="single"/>
        </w:rPr>
        <w:t xml:space="preserve">adds </w:t>
      </w:r>
      <w:r w:rsidRPr="00DB63BC" w:rsidR="009C15E4">
        <w:rPr>
          <w:rFonts w:ascii="Times New Roman" w:hAnsi="Times New Roman" w:cs="Times New Roman"/>
          <w:u w:val="single"/>
        </w:rPr>
        <w:t>4</w:t>
      </w:r>
      <w:r w:rsidRPr="00DB63BC">
        <w:rPr>
          <w:rFonts w:ascii="Times New Roman" w:hAnsi="Times New Roman" w:cs="Times New Roman"/>
          <w:u w:val="single"/>
        </w:rPr>
        <w:t>,000 hours</w:t>
      </w:r>
      <w:r w:rsidRPr="00DB63BC" w:rsidR="00365609">
        <w:rPr>
          <w:rFonts w:ascii="Times New Roman" w:hAnsi="Times New Roman" w:cs="Times New Roman"/>
          <w:u w:val="single"/>
        </w:rPr>
        <w:t xml:space="preserve"> (from 9,500 [Active] to 13,500 </w:t>
      </w:r>
      <w:r w:rsidRPr="00DB63BC" w:rsidR="00365609">
        <w:rPr>
          <w:rFonts w:ascii="Times New Roman" w:hAnsi="Times New Roman" w:cs="Times New Roman"/>
          <w:u w:val="single"/>
        </w:rPr>
        <w:t>hr</w:t>
      </w:r>
      <w:r w:rsidR="00365609">
        <w:rPr>
          <w:rFonts w:ascii="Times New Roman" w:hAnsi="Times New Roman" w:cs="Times New Roman"/>
          <w:u w:val="single"/>
        </w:rPr>
        <w:t xml:space="preserve"> [Revised])</w:t>
      </w:r>
      <w:r w:rsidRPr="007B4EA6" w:rsidR="00080119">
        <w:rPr>
          <w:rFonts w:ascii="Times New Roman" w:hAnsi="Times New Roman" w:cs="Times New Roman"/>
        </w:rPr>
        <w:t>.</w:t>
      </w:r>
    </w:p>
    <w:p w:rsidR="002505CC" w:rsidRPr="00525077" w:rsidP="00057BD6" w14:paraId="4E8D1554" w14:textId="7777777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1"/>
        <w:gridCol w:w="1401"/>
        <w:gridCol w:w="1394"/>
        <w:gridCol w:w="1073"/>
        <w:gridCol w:w="938"/>
        <w:gridCol w:w="808"/>
        <w:gridCol w:w="1175"/>
      </w:tblGrid>
      <w:tr w14:paraId="6214E3F8" w14:textId="77777777" w:rsidTr="00E07B4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  <w:jc w:val="center"/>
        </w:trPr>
        <w:tc>
          <w:tcPr>
            <w:tcW w:w="2561" w:type="dxa"/>
            <w:vAlign w:val="center"/>
          </w:tcPr>
          <w:p w:rsidR="00B92B98" w:rsidRPr="009D00A0" w:rsidP="00E11951" w14:paraId="5931B847" w14:textId="7777777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Reporting of Reasonable Assumptions</w:t>
            </w:r>
          </w:p>
        </w:tc>
        <w:tc>
          <w:tcPr>
            <w:tcW w:w="1401" w:type="dxa"/>
            <w:vAlign w:val="center"/>
          </w:tcPr>
          <w:p w:rsidR="00B92B98" w:rsidRPr="009D00A0" w:rsidP="00E11951" w14:paraId="637762E4" w14:textId="7777777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No. Respondents </w:t>
            </w:r>
          </w:p>
        </w:tc>
        <w:tc>
          <w:tcPr>
            <w:tcW w:w="1394" w:type="dxa"/>
            <w:vAlign w:val="center"/>
          </w:tcPr>
          <w:p w:rsidR="00B92B98" w:rsidRPr="009D00A0" w:rsidP="00E11951" w14:paraId="7619C2A1" w14:textId="7777777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Total Annual </w:t>
            </w: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Responses </w:t>
            </w:r>
          </w:p>
        </w:tc>
        <w:tc>
          <w:tcPr>
            <w:tcW w:w="1073" w:type="dxa"/>
            <w:vAlign w:val="center"/>
          </w:tcPr>
          <w:p w:rsidR="00B92B98" w:rsidRPr="009D00A0" w:rsidP="00E11951" w14:paraId="554C99B7" w14:textId="7777777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Time per Response (hours)</w:t>
            </w: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8" w:type="dxa"/>
            <w:vAlign w:val="center"/>
          </w:tcPr>
          <w:p w:rsidR="00B92B98" w:rsidRPr="009D00A0" w:rsidP="00E11951" w14:paraId="76B1EBCD" w14:textId="7777777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Total Annual Time (hours)</w:t>
            </w: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8" w:type="dxa"/>
            <w:vAlign w:val="center"/>
          </w:tcPr>
          <w:p w:rsidR="00B92B98" w:rsidRPr="009D00A0" w:rsidP="00E11951" w14:paraId="22B00E03" w14:textId="7777777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Labor </w:t>
            </w:r>
          </w:p>
          <w:p w:rsidR="00B92B98" w:rsidRPr="009D00A0" w:rsidP="00E11951" w14:paraId="57164A5A" w14:textId="7777777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Cost </w:t>
            </w:r>
          </w:p>
          <w:p w:rsidR="00B92B98" w:rsidRPr="009D00A0" w:rsidP="00E11951" w14:paraId="0D2F408E" w14:textId="7777777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($/</w:t>
            </w: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hr</w:t>
            </w: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5" w:type="dxa"/>
            <w:vAlign w:val="center"/>
          </w:tcPr>
          <w:p w:rsidR="00B92B98" w:rsidRPr="009D00A0" w:rsidP="00E11951" w14:paraId="68CC439A" w14:textId="7777777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Total </w:t>
            </w: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Cost </w:t>
            </w:r>
          </w:p>
          <w:p w:rsidR="00B92B98" w:rsidRPr="009D00A0" w:rsidP="00E11951" w14:paraId="7F4A57BD" w14:textId="7777777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($) </w:t>
            </w:r>
          </w:p>
        </w:tc>
      </w:tr>
      <w:tr w14:paraId="04ACBD76" w14:textId="77777777" w:rsidTr="00E07B47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61" w:type="dxa"/>
            <w:vAlign w:val="center"/>
          </w:tcPr>
          <w:p w:rsidR="00B92B98" w:rsidRPr="009D00A0" w:rsidP="00E11951" w14:paraId="6DD828A1" w14:textId="0F06382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Lawyer</w:t>
            </w:r>
            <w:r w:rsidRPr="009D00A0" w:rsidR="00E92C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(New)</w:t>
            </w:r>
          </w:p>
        </w:tc>
        <w:tc>
          <w:tcPr>
            <w:tcW w:w="1401" w:type="dxa"/>
            <w:vAlign w:val="center"/>
          </w:tcPr>
          <w:p w:rsidR="00B92B98" w:rsidRPr="009D00A0" w:rsidP="00E11951" w14:paraId="189B893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94" w:type="dxa"/>
            <w:vAlign w:val="center"/>
          </w:tcPr>
          <w:p w:rsidR="00B92B98" w:rsidRPr="009D00A0" w:rsidP="00E11951" w14:paraId="21EC165E" w14:textId="5FC8E1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500 (500 x 1 responses/yr)</w:t>
            </w:r>
          </w:p>
        </w:tc>
        <w:tc>
          <w:tcPr>
            <w:tcW w:w="1073" w:type="dxa"/>
            <w:vAlign w:val="center"/>
          </w:tcPr>
          <w:p w:rsidR="00B92B98" w:rsidRPr="009D00A0" w:rsidP="00E11951" w14:paraId="7922D2A3" w14:textId="07AB2E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8" w:type="dxa"/>
            <w:vAlign w:val="center"/>
          </w:tcPr>
          <w:p w:rsidR="00B92B98" w:rsidRPr="009D00A0" w:rsidP="00E11951" w14:paraId="47F7A3C9" w14:textId="1B5D58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808" w:type="dxa"/>
            <w:vAlign w:val="center"/>
          </w:tcPr>
          <w:p w:rsidR="00B92B98" w:rsidRPr="009D00A0" w:rsidP="00E11951" w14:paraId="0253378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175.72</w:t>
            </w:r>
          </w:p>
        </w:tc>
        <w:tc>
          <w:tcPr>
            <w:tcW w:w="1175" w:type="dxa"/>
            <w:vAlign w:val="center"/>
          </w:tcPr>
          <w:p w:rsidR="00B92B98" w:rsidRPr="009D00A0" w:rsidP="00E11951" w14:paraId="4D850F67" w14:textId="67D82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5E4">
              <w:rPr>
                <w:rFonts w:ascii="Times New Roman" w:eastAsia="Calibri" w:hAnsi="Times New Roman" w:cs="Times New Roman"/>
                <w:sz w:val="20"/>
                <w:szCs w:val="20"/>
              </w:rPr>
              <w:t>351</w:t>
            </w:r>
            <w:r w:rsidR="00CF239B">
              <w:rPr>
                <w:rFonts w:ascii="Times New Roman" w:eastAsia="Calibri" w:hAnsi="Times New Roman" w:cs="Times New Roman"/>
                <w:sz w:val="20"/>
                <w:szCs w:val="20"/>
              </w:rPr>
              <w:t>,440</w:t>
            </w:r>
          </w:p>
        </w:tc>
      </w:tr>
      <w:tr w14:paraId="18119618" w14:textId="77777777" w:rsidTr="00E07B47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61" w:type="dxa"/>
            <w:vAlign w:val="center"/>
          </w:tcPr>
          <w:p w:rsidR="00B92B98" w:rsidRPr="009D00A0" w:rsidP="00E11951" w14:paraId="71ED1694" w14:textId="195F67BD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Chief Executive</w:t>
            </w:r>
            <w:r w:rsidRPr="009D00A0" w:rsidR="00E92C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(New)</w:t>
            </w:r>
          </w:p>
        </w:tc>
        <w:tc>
          <w:tcPr>
            <w:tcW w:w="1401" w:type="dxa"/>
            <w:vAlign w:val="center"/>
          </w:tcPr>
          <w:p w:rsidR="00B92B98" w:rsidRPr="009D00A0" w:rsidP="00E11951" w14:paraId="2F882D3E" w14:textId="7777777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94" w:type="dxa"/>
            <w:vAlign w:val="center"/>
          </w:tcPr>
          <w:p w:rsidR="00B92B98" w:rsidRPr="009D00A0" w:rsidP="00E11951" w14:paraId="163C7892" w14:textId="37738B0F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500 (500 x 1 responses/yr)</w:t>
            </w:r>
          </w:p>
        </w:tc>
        <w:tc>
          <w:tcPr>
            <w:tcW w:w="1073" w:type="dxa"/>
            <w:vAlign w:val="center"/>
          </w:tcPr>
          <w:p w:rsidR="00B92B98" w:rsidRPr="009D00A0" w:rsidP="00E11951" w14:paraId="28EA32BC" w14:textId="663A8E24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8" w:type="dxa"/>
            <w:vAlign w:val="center"/>
          </w:tcPr>
          <w:p w:rsidR="00B92B98" w:rsidRPr="009D00A0" w:rsidP="00E11951" w14:paraId="3BA92AE4" w14:textId="77C54DD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D00A0">
              <w:rPr>
                <w:rFonts w:ascii="Times New Roman" w:eastAsia="Calibri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808" w:type="dxa"/>
            <w:vAlign w:val="center"/>
          </w:tcPr>
          <w:p w:rsidR="00B92B98" w:rsidRPr="009D00A0" w:rsidP="00E11951" w14:paraId="63DF4970" w14:textId="7777777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A0">
              <w:rPr>
                <w:rFonts w:ascii="Times New Roman" w:hAnsi="Times New Roman" w:cs="Times New Roman"/>
                <w:sz w:val="20"/>
                <w:szCs w:val="20"/>
              </w:rPr>
              <w:t>252.82</w:t>
            </w:r>
          </w:p>
        </w:tc>
        <w:tc>
          <w:tcPr>
            <w:tcW w:w="1175" w:type="dxa"/>
            <w:vAlign w:val="center"/>
          </w:tcPr>
          <w:p w:rsidR="00B92B98" w:rsidRPr="009D00A0" w:rsidP="00E11951" w14:paraId="08113B03" w14:textId="6EF995B4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5E4">
              <w:rPr>
                <w:rFonts w:ascii="Times New Roman" w:eastAsia="Calibri" w:hAnsi="Times New Roman" w:cs="Times New Roman"/>
                <w:sz w:val="20"/>
                <w:szCs w:val="20"/>
              </w:rPr>
              <w:t>505,640</w:t>
            </w:r>
          </w:p>
        </w:tc>
      </w:tr>
      <w:tr w14:paraId="203F7547" w14:textId="77777777" w:rsidTr="00E07B47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61" w:type="dxa"/>
            <w:shd w:val="clear" w:color="auto" w:fill="F2F2F2" w:themeFill="background1" w:themeFillShade="F2"/>
          </w:tcPr>
          <w:p w:rsidR="00B92B98" w:rsidRPr="00DB63BC" w:rsidP="00E11951" w14:paraId="75B7CC70" w14:textId="77777777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:rsidR="00B92B98" w:rsidRPr="00DB63BC" w:rsidP="00E11951" w14:paraId="272AEDF5" w14:textId="2F2F614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  <w:r w:rsidRPr="00DB63BC" w:rsidR="00116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(no change)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:rsidR="00B92B98" w:rsidRPr="00DB63BC" w:rsidP="00E11951" w14:paraId="34F7A0DA" w14:textId="2BF832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 (no change)</w:t>
            </w:r>
          </w:p>
        </w:tc>
        <w:tc>
          <w:tcPr>
            <w:tcW w:w="1073" w:type="dxa"/>
            <w:shd w:val="clear" w:color="auto" w:fill="F2F2F2" w:themeFill="background1" w:themeFillShade="F2"/>
          </w:tcPr>
          <w:p w:rsidR="00B92B98" w:rsidRPr="00DB63BC" w:rsidP="00E11951" w14:paraId="1AE2A4AA" w14:textId="50CCFE5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Pr="00DB63BC" w:rsidR="00542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38" w:type="dxa"/>
            <w:shd w:val="clear" w:color="auto" w:fill="F2F2F2" w:themeFill="background1" w:themeFillShade="F2"/>
          </w:tcPr>
          <w:p w:rsidR="00B92B98" w:rsidRPr="00DB63BC" w:rsidP="00E11951" w14:paraId="03D3BC98" w14:textId="5F40DD3F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+</w:t>
            </w:r>
            <w:r w:rsidRPr="00DB63BC" w:rsidR="00542D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Pr="00DB63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</w:t>
            </w:r>
            <w:r w:rsidRPr="00DB63BC" w:rsidR="00E07B4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  <w:r w:rsidRPr="00DB63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08" w:type="dxa"/>
            <w:shd w:val="clear" w:color="auto" w:fill="F2F2F2" w:themeFill="background1" w:themeFillShade="F2"/>
          </w:tcPr>
          <w:p w:rsidR="00B92B98" w:rsidRPr="00DB63BC" w:rsidP="00E11951" w14:paraId="6CF6B47C" w14:textId="7777777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varies</w:t>
            </w:r>
          </w:p>
        </w:tc>
        <w:tc>
          <w:tcPr>
            <w:tcW w:w="1175" w:type="dxa"/>
            <w:shd w:val="clear" w:color="auto" w:fill="F2F2F2" w:themeFill="background1" w:themeFillShade="F2"/>
          </w:tcPr>
          <w:p w:rsidR="00B92B98" w:rsidRPr="009C15E4" w:rsidP="00E11951" w14:paraId="4F76EBC3" w14:textId="45FD4DB5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+</w:t>
            </w:r>
            <w:r w:rsidR="00CF23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857,080</w:t>
            </w:r>
          </w:p>
        </w:tc>
      </w:tr>
    </w:tbl>
    <w:p w:rsidR="00B92B98" w:rsidRPr="00525077" w:rsidP="00057BD6" w14:paraId="065F464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D5DC6" w:rsidRPr="00525077" w:rsidP="00057BD6" w14:paraId="1682EFFD" w14:textId="5BF93D0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25077">
        <w:rPr>
          <w:rFonts w:ascii="Times New Roman" w:hAnsi="Times New Roman" w:cs="Times New Roman"/>
          <w:i/>
          <w:iCs/>
        </w:rPr>
        <w:t>Warranty or Certification Lette</w:t>
      </w:r>
      <w:r w:rsidRPr="00525077" w:rsidR="00080119">
        <w:rPr>
          <w:rFonts w:ascii="Times New Roman" w:hAnsi="Times New Roman" w:cs="Times New Roman"/>
          <w:i/>
          <w:iCs/>
        </w:rPr>
        <w:t>r</w:t>
      </w:r>
    </w:p>
    <w:p w:rsidR="00CD5DC6" w:rsidRPr="00525077" w:rsidP="00057BD6" w14:paraId="29C243FB" w14:textId="77777777">
      <w:pPr>
        <w:spacing w:after="0" w:line="240" w:lineRule="auto"/>
        <w:rPr>
          <w:rFonts w:ascii="Times New Roman" w:hAnsi="Times New Roman" w:cs="Times New Roman"/>
          <w:highlight w:val="cyan"/>
        </w:rPr>
      </w:pPr>
    </w:p>
    <w:p w:rsidR="00F84144" w:rsidRPr="00DB63BC" w:rsidP="00F84144" w14:paraId="16701953" w14:textId="6C35FA51">
      <w:pPr>
        <w:spacing w:after="0" w:line="240" w:lineRule="auto"/>
        <w:rPr>
          <w:rFonts w:ascii="Times New Roman" w:hAnsi="Times New Roman" w:cs="Times New Roman"/>
        </w:rPr>
      </w:pPr>
      <w:r w:rsidRPr="00DB63BC">
        <w:rPr>
          <w:rFonts w:ascii="Times New Roman" w:hAnsi="Times New Roman" w:cs="Times New Roman"/>
        </w:rPr>
        <w:t>-Re</w:t>
      </w:r>
      <w:r w:rsidRPr="00DB63BC" w:rsidR="003E1964">
        <w:rPr>
          <w:rFonts w:ascii="Times New Roman" w:hAnsi="Times New Roman" w:cs="Times New Roman"/>
        </w:rPr>
        <w:t xml:space="preserve">places </w:t>
      </w:r>
      <w:r w:rsidRPr="00DB63BC" w:rsidR="00C457DC">
        <w:rPr>
          <w:rFonts w:ascii="Times New Roman" w:hAnsi="Times New Roman" w:cs="Times New Roman"/>
        </w:rPr>
        <w:t xml:space="preserve">ASP Price Concessions and Bona Fide Service Fees </w:t>
      </w:r>
      <w:r w:rsidRPr="00DB63BC" w:rsidR="003E1964">
        <w:rPr>
          <w:rFonts w:ascii="Times New Roman" w:hAnsi="Times New Roman" w:cs="Times New Roman"/>
        </w:rPr>
        <w:t>with Reporting of Warranty/Certification Letter</w:t>
      </w:r>
    </w:p>
    <w:p w:rsidR="005B4CFC" w:rsidRPr="00DB63BC" w:rsidP="00F84144" w14:paraId="359590DE" w14:textId="0353C6BB">
      <w:pPr>
        <w:spacing w:after="0" w:line="240" w:lineRule="auto"/>
        <w:rPr>
          <w:rFonts w:ascii="Times New Roman" w:hAnsi="Times New Roman" w:cs="Times New Roman"/>
        </w:rPr>
      </w:pPr>
      <w:r w:rsidRPr="00DB63BC">
        <w:rPr>
          <w:rFonts w:ascii="Times New Roman" w:hAnsi="Times New Roman" w:cs="Times New Roman"/>
        </w:rPr>
        <w:t>-</w:t>
      </w:r>
      <w:r w:rsidRPr="00DB63BC" w:rsidR="002807D8">
        <w:rPr>
          <w:rFonts w:ascii="Times New Roman" w:hAnsi="Times New Roman" w:cs="Times New Roman"/>
        </w:rPr>
        <w:t xml:space="preserve">Adds </w:t>
      </w:r>
      <w:r w:rsidRPr="00DB63BC">
        <w:rPr>
          <w:rFonts w:ascii="Times New Roman" w:hAnsi="Times New Roman" w:cs="Times New Roman"/>
        </w:rPr>
        <w:t xml:space="preserve">time </w:t>
      </w:r>
      <w:r w:rsidRPr="00DB63BC" w:rsidR="002807D8">
        <w:rPr>
          <w:rFonts w:ascii="Times New Roman" w:hAnsi="Times New Roman" w:cs="Times New Roman"/>
        </w:rPr>
        <w:t xml:space="preserve">for a </w:t>
      </w:r>
      <w:r w:rsidRPr="00DB63BC">
        <w:rPr>
          <w:rFonts w:ascii="Times New Roman" w:hAnsi="Times New Roman" w:cs="Times New Roman"/>
        </w:rPr>
        <w:t xml:space="preserve">Secretary/Administrative Assistant by </w:t>
      </w:r>
      <w:r w:rsidRPr="00DB63BC" w:rsidR="002807D8">
        <w:rPr>
          <w:rFonts w:ascii="Times New Roman" w:hAnsi="Times New Roman" w:cs="Times New Roman"/>
          <w:u w:val="single"/>
        </w:rPr>
        <w:t xml:space="preserve">plus </w:t>
      </w:r>
      <w:r w:rsidRPr="00DB63BC" w:rsidR="00E25CDC">
        <w:rPr>
          <w:rFonts w:ascii="Times New Roman" w:hAnsi="Times New Roman" w:cs="Times New Roman"/>
          <w:u w:val="single"/>
        </w:rPr>
        <w:t>1</w:t>
      </w:r>
      <w:r w:rsidRPr="00DB63BC" w:rsidR="005C666C">
        <w:rPr>
          <w:rFonts w:ascii="Times New Roman" w:hAnsi="Times New Roman" w:cs="Times New Roman"/>
          <w:u w:val="single"/>
        </w:rPr>
        <w:t>,000</w:t>
      </w:r>
      <w:r w:rsidRPr="00DB63BC">
        <w:rPr>
          <w:rFonts w:ascii="Times New Roman" w:hAnsi="Times New Roman" w:cs="Times New Roman"/>
          <w:u w:val="single"/>
        </w:rPr>
        <w:t xml:space="preserve"> hours</w:t>
      </w:r>
      <w:r w:rsidRPr="00DB63BC">
        <w:rPr>
          <w:rFonts w:ascii="Times New Roman" w:hAnsi="Times New Roman" w:cs="Times New Roman"/>
        </w:rPr>
        <w:t xml:space="preserve"> (</w:t>
      </w:r>
      <w:r w:rsidRPr="00DB63BC" w:rsidR="000778E6">
        <w:rPr>
          <w:rFonts w:ascii="Times New Roman" w:hAnsi="Times New Roman" w:cs="Times New Roman"/>
        </w:rPr>
        <w:t>[</w:t>
      </w:r>
      <w:r w:rsidRPr="00DB63BC">
        <w:rPr>
          <w:rFonts w:ascii="Times New Roman" w:hAnsi="Times New Roman" w:cs="Times New Roman"/>
        </w:rPr>
        <w:t>Active</w:t>
      </w:r>
      <w:r w:rsidRPr="00DB63BC" w:rsidR="000778E6">
        <w:rPr>
          <w:rFonts w:ascii="Times New Roman" w:hAnsi="Times New Roman" w:cs="Times New Roman"/>
        </w:rPr>
        <w:t>]</w:t>
      </w:r>
      <w:r w:rsidRPr="00DB63BC">
        <w:rPr>
          <w:rFonts w:ascii="Times New Roman" w:hAnsi="Times New Roman" w:cs="Times New Roman"/>
        </w:rPr>
        <w:t xml:space="preserve"> </w:t>
      </w:r>
      <w:r w:rsidRPr="00DB63BC" w:rsidR="005C666C">
        <w:rPr>
          <w:rFonts w:ascii="Times New Roman" w:hAnsi="Times New Roman" w:cs="Times New Roman"/>
        </w:rPr>
        <w:t xml:space="preserve">3,000 </w:t>
      </w:r>
      <w:r w:rsidRPr="00DB63BC" w:rsidR="005C666C">
        <w:rPr>
          <w:rFonts w:ascii="Times New Roman" w:hAnsi="Times New Roman" w:cs="Times New Roman"/>
        </w:rPr>
        <w:t>hr</w:t>
      </w:r>
      <w:r w:rsidRPr="00DB63BC" w:rsidR="005C666C">
        <w:rPr>
          <w:rFonts w:ascii="Times New Roman" w:hAnsi="Times New Roman" w:cs="Times New Roman"/>
        </w:rPr>
        <w:t xml:space="preserve"> = </w:t>
      </w:r>
      <w:r w:rsidRPr="00DB63BC">
        <w:rPr>
          <w:rFonts w:ascii="Times New Roman" w:hAnsi="Times New Roman" w:cs="Times New Roman"/>
        </w:rPr>
        <w:t xml:space="preserve">6 </w:t>
      </w:r>
      <w:r w:rsidRPr="00DB63BC">
        <w:rPr>
          <w:rFonts w:ascii="Times New Roman" w:hAnsi="Times New Roman" w:cs="Times New Roman"/>
        </w:rPr>
        <w:t>hr</w:t>
      </w:r>
      <w:r w:rsidRPr="00DB63BC">
        <w:rPr>
          <w:rFonts w:ascii="Times New Roman" w:hAnsi="Times New Roman" w:cs="Times New Roman"/>
        </w:rPr>
        <w:t xml:space="preserve">/response x 500 responses </w:t>
      </w:r>
      <w:r w:rsidRPr="00DB63BC" w:rsidR="002126AB">
        <w:rPr>
          <w:rFonts w:ascii="Times New Roman" w:hAnsi="Times New Roman" w:cs="Times New Roman"/>
        </w:rPr>
        <w:t xml:space="preserve">x </w:t>
      </w:r>
      <w:r w:rsidRPr="00DB63BC" w:rsidR="00EE1961">
        <w:rPr>
          <w:rFonts w:ascii="Times New Roman" w:hAnsi="Times New Roman" w:cs="Times New Roman"/>
        </w:rPr>
        <w:t>1</w:t>
      </w:r>
      <w:r w:rsidRPr="00DB63BC" w:rsidR="002126AB">
        <w:rPr>
          <w:rFonts w:ascii="Times New Roman" w:hAnsi="Times New Roman" w:cs="Times New Roman"/>
        </w:rPr>
        <w:t xml:space="preserve"> response/year </w:t>
      </w:r>
      <w:r w:rsidRPr="00DB63BC">
        <w:rPr>
          <w:rFonts w:ascii="Times New Roman" w:hAnsi="Times New Roman" w:cs="Times New Roman"/>
        </w:rPr>
        <w:t xml:space="preserve">to </w:t>
      </w:r>
      <w:r w:rsidRPr="00DB63BC" w:rsidR="000778E6">
        <w:rPr>
          <w:rFonts w:ascii="Times New Roman" w:hAnsi="Times New Roman" w:cs="Times New Roman"/>
        </w:rPr>
        <w:t>[</w:t>
      </w:r>
      <w:r w:rsidRPr="00DB63BC">
        <w:rPr>
          <w:rFonts w:ascii="Times New Roman" w:hAnsi="Times New Roman" w:cs="Times New Roman"/>
        </w:rPr>
        <w:t>Revised</w:t>
      </w:r>
      <w:r w:rsidRPr="00DB63BC" w:rsidR="000778E6">
        <w:rPr>
          <w:rFonts w:ascii="Times New Roman" w:hAnsi="Times New Roman" w:cs="Times New Roman"/>
        </w:rPr>
        <w:t>]</w:t>
      </w:r>
      <w:r w:rsidRPr="00DB63BC">
        <w:rPr>
          <w:rFonts w:ascii="Times New Roman" w:hAnsi="Times New Roman" w:cs="Times New Roman"/>
        </w:rPr>
        <w:t xml:space="preserve"> </w:t>
      </w:r>
      <w:r w:rsidR="00CF239B">
        <w:rPr>
          <w:rFonts w:ascii="Times New Roman" w:hAnsi="Times New Roman" w:cs="Times New Roman"/>
        </w:rPr>
        <w:t>4</w:t>
      </w:r>
      <w:r w:rsidRPr="00DB63BC" w:rsidR="005C666C">
        <w:rPr>
          <w:rFonts w:ascii="Times New Roman" w:hAnsi="Times New Roman" w:cs="Times New Roman"/>
        </w:rPr>
        <w:t xml:space="preserve">,000 </w:t>
      </w:r>
      <w:r w:rsidRPr="00DB63BC" w:rsidR="005C666C">
        <w:rPr>
          <w:rFonts w:ascii="Times New Roman" w:hAnsi="Times New Roman" w:cs="Times New Roman"/>
        </w:rPr>
        <w:t>hr</w:t>
      </w:r>
      <w:r w:rsidRPr="00DB63BC" w:rsidR="005C666C">
        <w:rPr>
          <w:rFonts w:ascii="Times New Roman" w:hAnsi="Times New Roman" w:cs="Times New Roman"/>
        </w:rPr>
        <w:t xml:space="preserve"> = </w:t>
      </w:r>
      <w:r w:rsidR="00CF239B">
        <w:rPr>
          <w:rFonts w:ascii="Times New Roman" w:hAnsi="Times New Roman" w:cs="Times New Roman"/>
        </w:rPr>
        <w:t>2</w:t>
      </w:r>
      <w:r w:rsidRPr="00DB63BC">
        <w:rPr>
          <w:rFonts w:ascii="Times New Roman" w:hAnsi="Times New Roman" w:cs="Times New Roman"/>
        </w:rPr>
        <w:t xml:space="preserve"> </w:t>
      </w:r>
      <w:r w:rsidRPr="00DB63BC">
        <w:rPr>
          <w:rFonts w:ascii="Times New Roman" w:hAnsi="Times New Roman" w:cs="Times New Roman"/>
        </w:rPr>
        <w:t>hr</w:t>
      </w:r>
      <w:r w:rsidRPr="00DB63BC">
        <w:rPr>
          <w:rFonts w:ascii="Times New Roman" w:hAnsi="Times New Roman" w:cs="Times New Roman"/>
        </w:rPr>
        <w:t xml:space="preserve">/response x </w:t>
      </w:r>
      <w:r w:rsidRPr="00DB63BC" w:rsidR="002126AB">
        <w:rPr>
          <w:rFonts w:ascii="Times New Roman" w:hAnsi="Times New Roman" w:cs="Times New Roman"/>
        </w:rPr>
        <w:t>5</w:t>
      </w:r>
      <w:r w:rsidRPr="00DB63BC" w:rsidR="002807D8">
        <w:rPr>
          <w:rFonts w:ascii="Times New Roman" w:hAnsi="Times New Roman" w:cs="Times New Roman"/>
        </w:rPr>
        <w:t>00</w:t>
      </w:r>
      <w:r w:rsidRPr="00DB63BC">
        <w:rPr>
          <w:rFonts w:ascii="Times New Roman" w:hAnsi="Times New Roman" w:cs="Times New Roman"/>
        </w:rPr>
        <w:t xml:space="preserve"> responses</w:t>
      </w:r>
      <w:r w:rsidRPr="00DB63BC" w:rsidR="002126AB">
        <w:rPr>
          <w:rFonts w:ascii="Times New Roman" w:hAnsi="Times New Roman" w:cs="Times New Roman"/>
        </w:rPr>
        <w:t xml:space="preserve"> x 4 responses/year</w:t>
      </w:r>
      <w:r w:rsidRPr="00DB63BC">
        <w:rPr>
          <w:rFonts w:ascii="Times New Roman" w:hAnsi="Times New Roman" w:cs="Times New Roman"/>
        </w:rPr>
        <w:t>)</w:t>
      </w:r>
      <w:r w:rsidRPr="00DB63BC" w:rsidR="005C666C">
        <w:rPr>
          <w:rFonts w:ascii="Times New Roman" w:hAnsi="Times New Roman" w:cs="Times New Roman"/>
        </w:rPr>
        <w:t>.</w:t>
      </w:r>
    </w:p>
    <w:p w:rsidR="00FB436A" w:rsidP="00FB436A" w14:paraId="6A083E49" w14:textId="33FEDC92">
      <w:pPr>
        <w:spacing w:after="0" w:line="240" w:lineRule="auto"/>
        <w:rPr>
          <w:rFonts w:ascii="Times New Roman" w:hAnsi="Times New Roman" w:cs="Times New Roman"/>
        </w:rPr>
      </w:pPr>
      <w:r w:rsidRPr="00DB63BC">
        <w:rPr>
          <w:rFonts w:ascii="Times New Roman" w:hAnsi="Times New Roman" w:cs="Times New Roman"/>
        </w:rPr>
        <w:t xml:space="preserve">-Adds time for a lawyer by </w:t>
      </w:r>
      <w:r w:rsidRPr="00DB63BC">
        <w:rPr>
          <w:rFonts w:ascii="Times New Roman" w:hAnsi="Times New Roman" w:cs="Times New Roman"/>
          <w:u w:val="single"/>
        </w:rPr>
        <w:t xml:space="preserve">plus </w:t>
      </w:r>
      <w:r w:rsidR="00CF239B">
        <w:rPr>
          <w:rFonts w:ascii="Times New Roman" w:hAnsi="Times New Roman" w:cs="Times New Roman"/>
          <w:u w:val="single"/>
        </w:rPr>
        <w:t>4</w:t>
      </w:r>
      <w:r w:rsidRPr="00DB63BC">
        <w:rPr>
          <w:rFonts w:ascii="Times New Roman" w:hAnsi="Times New Roman" w:cs="Times New Roman"/>
          <w:u w:val="single"/>
        </w:rPr>
        <w:t>,000 hours</w:t>
      </w:r>
      <w:r w:rsidRPr="00DB63BC">
        <w:rPr>
          <w:rFonts w:ascii="Times New Roman" w:hAnsi="Times New Roman" w:cs="Times New Roman"/>
        </w:rPr>
        <w:t xml:space="preserve"> (</w:t>
      </w:r>
      <w:r w:rsidR="00CF239B">
        <w:rPr>
          <w:rFonts w:ascii="Times New Roman" w:hAnsi="Times New Roman" w:cs="Times New Roman"/>
        </w:rPr>
        <w:t>2</w:t>
      </w:r>
      <w:r w:rsidRPr="00DB63BC" w:rsidR="00A91D4B">
        <w:rPr>
          <w:rFonts w:ascii="Times New Roman" w:hAnsi="Times New Roman" w:cs="Times New Roman"/>
        </w:rPr>
        <w:t xml:space="preserve"> </w:t>
      </w:r>
      <w:r w:rsidRPr="00DB63BC" w:rsidR="00A91D4B">
        <w:rPr>
          <w:rFonts w:ascii="Times New Roman" w:hAnsi="Times New Roman" w:cs="Times New Roman"/>
        </w:rPr>
        <w:t>hr</w:t>
      </w:r>
      <w:r w:rsidRPr="00DB63BC" w:rsidR="00A91D4B">
        <w:rPr>
          <w:rFonts w:ascii="Times New Roman" w:hAnsi="Times New Roman" w:cs="Times New Roman"/>
        </w:rPr>
        <w:t xml:space="preserve">/response x </w:t>
      </w:r>
      <w:r w:rsidRPr="00DB63BC">
        <w:rPr>
          <w:rFonts w:ascii="Times New Roman" w:hAnsi="Times New Roman" w:cs="Times New Roman"/>
        </w:rPr>
        <w:t>500 responses x 4 responses/year).</w:t>
      </w:r>
    </w:p>
    <w:p w:rsidR="00CF239B" w:rsidP="00FB436A" w14:paraId="2D0516D6" w14:textId="218A09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-Adds time for a CEO/COO by plus </w:t>
      </w:r>
      <w:r w:rsidR="00E24703">
        <w:rPr>
          <w:rFonts w:ascii="Times New Roman" w:hAnsi="Times New Roman" w:cs="Times New Roman"/>
        </w:rPr>
        <w:t xml:space="preserve">2,000 hours (1 </w:t>
      </w:r>
      <w:r w:rsidR="00E24703">
        <w:rPr>
          <w:rFonts w:ascii="Times New Roman" w:hAnsi="Times New Roman" w:cs="Times New Roman"/>
        </w:rPr>
        <w:t>hr</w:t>
      </w:r>
      <w:r w:rsidR="00E24703">
        <w:rPr>
          <w:rFonts w:ascii="Times New Roman" w:hAnsi="Times New Roman" w:cs="Times New Roman"/>
        </w:rPr>
        <w:t>/response x 500 responses x 4 responses per year).</w:t>
      </w:r>
    </w:p>
    <w:p w:rsidR="00E24703" w:rsidRPr="00DB63BC" w:rsidP="00FB436A" w14:paraId="6663735F" w14:textId="61C22B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-This change adds 7,000 hours (from 3,000 [Active] to 10,000 </w:t>
      </w:r>
      <w:r>
        <w:rPr>
          <w:rFonts w:ascii="Times New Roman" w:hAnsi="Times New Roman" w:cs="Times New Roman"/>
        </w:rPr>
        <w:t>hr</w:t>
      </w:r>
      <w:r>
        <w:rPr>
          <w:rFonts w:ascii="Times New Roman" w:hAnsi="Times New Roman" w:cs="Times New Roman"/>
        </w:rPr>
        <w:t xml:space="preserve"> [Revised]).</w:t>
      </w:r>
    </w:p>
    <w:p w:rsidR="004200B2" w:rsidP="006E49B0" w14:paraId="3E8168DB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A2FFE" w:rsidRPr="00525077" w:rsidP="002A2FFE" w14:paraId="511B80E4" w14:textId="7777777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25077">
        <w:rPr>
          <w:rFonts w:ascii="Times New Roman" w:hAnsi="Times New Roman" w:cs="Times New Roman"/>
          <w:i/>
          <w:iCs/>
        </w:rPr>
        <w:t>Burden Summary</w:t>
      </w:r>
    </w:p>
    <w:p w:rsidR="002A2FFE" w:rsidRPr="00525077" w:rsidP="002A2FFE" w14:paraId="272C9E25" w14:textId="77777777">
      <w:pPr>
        <w:spacing w:after="0" w:line="240" w:lineRule="auto"/>
        <w:ind w:left="29"/>
        <w:rPr>
          <w:rFonts w:ascii="Times New Roman" w:hAnsi="Times New Roman" w:cs="Times New Roman"/>
        </w:rPr>
      </w:pPr>
    </w:p>
    <w:tbl>
      <w:tblPr>
        <w:tblW w:w="7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75"/>
        <w:gridCol w:w="1260"/>
        <w:gridCol w:w="1080"/>
        <w:gridCol w:w="1080"/>
        <w:gridCol w:w="1114"/>
      </w:tblGrid>
      <w:tr w14:paraId="773C0DAA" w14:textId="77777777" w:rsidTr="000266C4">
        <w:tblPrEx>
          <w:tblW w:w="780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  <w:vAlign w:val="center"/>
            <w:hideMark/>
          </w:tcPr>
          <w:p w:rsidR="000266C4" w:rsidRPr="000266C4" w:rsidP="00391617" w14:paraId="75BBB9D2" w14:textId="0FFD4953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0266C4" w:rsidRPr="00DB63BC" w:rsidP="00391617" w14:paraId="3DD498F6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Cs/>
                <w:sz w:val="20"/>
                <w:szCs w:val="20"/>
              </w:rPr>
              <w:t>No. Respondents </w:t>
            </w:r>
          </w:p>
        </w:tc>
        <w:tc>
          <w:tcPr>
            <w:tcW w:w="1080" w:type="dxa"/>
            <w:vAlign w:val="center"/>
            <w:hideMark/>
          </w:tcPr>
          <w:p w:rsidR="000266C4" w:rsidRPr="00DB63BC" w:rsidP="00391617" w14:paraId="1FFCEFF5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B63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Total Annual </w:t>
            </w:r>
            <w:r w:rsidRPr="00DB63BC">
              <w:rPr>
                <w:rFonts w:ascii="Times New Roman" w:hAnsi="Times New Roman" w:cs="Times New Roman"/>
                <w:bCs/>
                <w:sz w:val="20"/>
                <w:szCs w:val="20"/>
              </w:rPr>
              <w:t>Responses </w:t>
            </w:r>
          </w:p>
        </w:tc>
        <w:tc>
          <w:tcPr>
            <w:tcW w:w="1080" w:type="dxa"/>
            <w:vAlign w:val="center"/>
            <w:hideMark/>
          </w:tcPr>
          <w:p w:rsidR="000266C4" w:rsidRPr="00DB63BC" w:rsidP="00391617" w14:paraId="458E54A2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B63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Time per Response (hours)</w:t>
            </w:r>
            <w:r w:rsidRPr="00DB63BC">
              <w:rPr>
                <w:rFonts w:ascii="Times New Roman" w:hAnsi="Times New Roman" w:cs="Times New Roman"/>
                <w:bCs/>
                <w:sz w:val="20"/>
                <w:szCs w:val="20"/>
              </w:rPr>
              <w:t> </w:t>
            </w:r>
          </w:p>
        </w:tc>
        <w:tc>
          <w:tcPr>
            <w:tcW w:w="1114" w:type="dxa"/>
            <w:vAlign w:val="center"/>
            <w:hideMark/>
          </w:tcPr>
          <w:p w:rsidR="000266C4" w:rsidRPr="00DB63BC" w:rsidP="00391617" w14:paraId="0051A166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B63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Total Annual Time (hours)</w:t>
            </w:r>
            <w:r w:rsidRPr="00DB63BC">
              <w:rPr>
                <w:rFonts w:ascii="Times New Roman" w:hAnsi="Times New Roman" w:cs="Times New Roman"/>
                <w:bCs/>
                <w:sz w:val="20"/>
                <w:szCs w:val="20"/>
              </w:rPr>
              <w:t> </w:t>
            </w:r>
          </w:p>
        </w:tc>
      </w:tr>
      <w:tr w14:paraId="0F20FB2A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7809" w:type="dxa"/>
            <w:gridSpan w:val="5"/>
            <w:vAlign w:val="center"/>
          </w:tcPr>
          <w:p w:rsidR="000266C4" w:rsidRPr="00DB63BC" w:rsidP="00391617" w14:paraId="510A31B0" w14:textId="4C3E392A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63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Reporting of Drug Pricing Information for Part B</w:t>
            </w:r>
          </w:p>
        </w:tc>
      </w:tr>
      <w:tr w14:paraId="16E30D2A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  <w:shd w:val="clear" w:color="auto" w:fill="F2F2F2" w:themeFill="background1" w:themeFillShade="F2"/>
            <w:vAlign w:val="center"/>
          </w:tcPr>
          <w:p w:rsidR="000266C4" w:rsidRPr="00DB63BC" w:rsidP="002A2FFE" w14:paraId="68A85915" w14:textId="21168931">
            <w:pPr>
              <w:keepNext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0266C4" w:rsidRPr="00DB63BC" w:rsidP="00391617" w14:paraId="1D6E760A" w14:textId="3C59F53D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0266C4" w:rsidRPr="00DB63BC" w:rsidP="00391617" w14:paraId="31B31754" w14:textId="2B0F2DC4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0266C4" w:rsidRPr="00DB63BC" w:rsidP="00391617" w14:paraId="3E92C61C" w14:textId="005B86CF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center"/>
          </w:tcPr>
          <w:p w:rsidR="000266C4" w:rsidRPr="00DB63BC" w:rsidP="00391617" w14:paraId="1FC6FCC9" w14:textId="524F5511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No Change</w:t>
            </w:r>
          </w:p>
        </w:tc>
      </w:tr>
      <w:tr w14:paraId="42930021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7809" w:type="dxa"/>
            <w:gridSpan w:val="5"/>
            <w:vAlign w:val="center"/>
          </w:tcPr>
          <w:p w:rsidR="000266C4" w:rsidRPr="00DB63BC" w:rsidP="00391617" w14:paraId="0B186979" w14:textId="10B52103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 Sales Price: Price Concessions and Bona Fide Service Fees</w:t>
            </w:r>
          </w:p>
        </w:tc>
      </w:tr>
      <w:tr w14:paraId="31F2052B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</w:tcPr>
          <w:p w:rsidR="000266C4" w:rsidRPr="00DB63BC" w:rsidP="00391617" w14:paraId="55E51D28" w14:textId="77777777">
            <w:pPr>
              <w:keepNext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Reasonable Assumptions</w:t>
            </w:r>
          </w:p>
        </w:tc>
        <w:tc>
          <w:tcPr>
            <w:tcW w:w="1260" w:type="dxa"/>
          </w:tcPr>
          <w:p w:rsidR="000266C4" w:rsidRPr="00DB63BC" w:rsidP="00391617" w14:paraId="519C5EAC" w14:textId="77B31B66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6C4" w:rsidRPr="00DB63BC" w:rsidP="00391617" w14:paraId="76E8CFD6" w14:textId="17F6F21E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6C4" w:rsidRPr="00DB63BC" w:rsidP="00391617" w14:paraId="5C7A3F66" w14:textId="5A3E029C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</w:tcPr>
          <w:p w:rsidR="000266C4" w:rsidRPr="00DB63BC" w:rsidP="00391617" w14:paraId="58DF133B" w14:textId="32008D6B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2018EE40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</w:tcPr>
          <w:p w:rsidR="004B0DAE" w:rsidRPr="00DB63BC" w:rsidP="00AC3E8C" w14:paraId="7FA21984" w14:textId="7E09E1CF">
            <w:pPr>
              <w:keepNext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Secretary/Administrative Assistant</w:t>
            </w:r>
          </w:p>
        </w:tc>
        <w:tc>
          <w:tcPr>
            <w:tcW w:w="1260" w:type="dxa"/>
          </w:tcPr>
          <w:p w:rsidR="004B0DAE" w:rsidP="00AC3E8C" w14:paraId="1B30A702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  <w:p w:rsidR="00717676" w:rsidRPr="00DB63BC" w:rsidP="00AC3E8C" w14:paraId="08B9DEE2" w14:textId="57BA72CC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</w:t>
            </w:r>
          </w:p>
        </w:tc>
        <w:tc>
          <w:tcPr>
            <w:tcW w:w="1080" w:type="dxa"/>
          </w:tcPr>
          <w:p w:rsidR="004B0DAE" w:rsidRPr="00DB63BC" w:rsidP="00AC3E8C" w14:paraId="5DA83661" w14:textId="7F44B22C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Change</w:t>
            </w:r>
          </w:p>
        </w:tc>
        <w:tc>
          <w:tcPr>
            <w:tcW w:w="1080" w:type="dxa"/>
          </w:tcPr>
          <w:p w:rsidR="004B0DAE" w:rsidRPr="00DB63BC" w:rsidP="00AC3E8C" w14:paraId="193AFC82" w14:textId="41439B6B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Change</w:t>
            </w:r>
          </w:p>
        </w:tc>
        <w:tc>
          <w:tcPr>
            <w:tcW w:w="1114" w:type="dxa"/>
          </w:tcPr>
          <w:p w:rsidR="004B0DAE" w:rsidRPr="00DB63BC" w:rsidP="00AC3E8C" w14:paraId="06F5D5D5" w14:textId="025FA1DA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Change</w:t>
            </w:r>
          </w:p>
        </w:tc>
      </w:tr>
      <w:tr w14:paraId="1733C8EF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</w:tcPr>
          <w:p w:rsidR="000266C4" w:rsidRPr="00DB63BC" w:rsidP="00AC3E8C" w14:paraId="29A1C73F" w14:textId="435FDF00">
            <w:pPr>
              <w:keepNext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 xml:space="preserve">  Lawyer</w:t>
            </w:r>
          </w:p>
        </w:tc>
        <w:tc>
          <w:tcPr>
            <w:tcW w:w="1260" w:type="dxa"/>
          </w:tcPr>
          <w:p w:rsidR="000266C4" w:rsidRPr="00DB63BC" w:rsidP="00AC3E8C" w14:paraId="3E657761" w14:textId="52727A5E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No Change</w:t>
            </w:r>
          </w:p>
        </w:tc>
        <w:tc>
          <w:tcPr>
            <w:tcW w:w="1080" w:type="dxa"/>
          </w:tcPr>
          <w:p w:rsidR="000266C4" w:rsidRPr="00DB63BC" w:rsidP="00AC3E8C" w14:paraId="55A1A69E" w14:textId="027E773E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No Change</w:t>
            </w:r>
          </w:p>
        </w:tc>
        <w:tc>
          <w:tcPr>
            <w:tcW w:w="1080" w:type="dxa"/>
          </w:tcPr>
          <w:p w:rsidR="000266C4" w:rsidRPr="00DB63BC" w:rsidP="00AC3E8C" w14:paraId="3581E832" w14:textId="3B54E278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14" w:type="dxa"/>
          </w:tcPr>
          <w:p w:rsidR="000266C4" w:rsidRPr="00DB63BC" w:rsidP="00AC3E8C" w14:paraId="53B5961D" w14:textId="4280E0D2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+2,000</w:t>
            </w:r>
          </w:p>
        </w:tc>
      </w:tr>
      <w:tr w14:paraId="7E04CFEA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</w:tcPr>
          <w:p w:rsidR="000266C4" w:rsidRPr="00DB63BC" w:rsidP="00AC3E8C" w14:paraId="7E633201" w14:textId="68021E3D">
            <w:pPr>
              <w:keepNext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 xml:space="preserve">  CEO/COO</w:t>
            </w:r>
          </w:p>
        </w:tc>
        <w:tc>
          <w:tcPr>
            <w:tcW w:w="1260" w:type="dxa"/>
          </w:tcPr>
          <w:p w:rsidR="000266C4" w:rsidRPr="00DB63BC" w:rsidP="00AC3E8C" w14:paraId="3E823C7C" w14:textId="0C919304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No Change</w:t>
            </w:r>
          </w:p>
        </w:tc>
        <w:tc>
          <w:tcPr>
            <w:tcW w:w="1080" w:type="dxa"/>
          </w:tcPr>
          <w:p w:rsidR="000266C4" w:rsidRPr="00DB63BC" w:rsidP="00AC3E8C" w14:paraId="25573F15" w14:textId="6EADB08B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No Change</w:t>
            </w:r>
          </w:p>
        </w:tc>
        <w:tc>
          <w:tcPr>
            <w:tcW w:w="1080" w:type="dxa"/>
          </w:tcPr>
          <w:p w:rsidR="000266C4" w:rsidRPr="00DB63BC" w:rsidP="00AC3E8C" w14:paraId="1F1BE0E6" w14:textId="671C893A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14" w:type="dxa"/>
          </w:tcPr>
          <w:p w:rsidR="000266C4" w:rsidRPr="00DB63BC" w:rsidP="00AC3E8C" w14:paraId="0B8F89FC" w14:textId="6FA433CC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+2000</w:t>
            </w:r>
          </w:p>
        </w:tc>
      </w:tr>
      <w:tr w14:paraId="20C3EAFD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  <w:shd w:val="clear" w:color="auto" w:fill="F2F2F2" w:themeFill="background1" w:themeFillShade="F2"/>
          </w:tcPr>
          <w:p w:rsidR="000266C4" w:rsidRPr="00DB63BC" w:rsidP="00AC3E8C" w14:paraId="49E08FE3" w14:textId="08C2606B">
            <w:pPr>
              <w:keepNext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0266C4" w:rsidRPr="00DB63BC" w:rsidP="00AC3E8C" w14:paraId="46FCDA38" w14:textId="47C1C77C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0266C4" w:rsidRPr="00DB63BC" w:rsidP="00AC3E8C" w14:paraId="6D4C7F9E" w14:textId="185AA78E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0266C4" w:rsidRPr="00DB63BC" w:rsidP="00AC3E8C" w14:paraId="2AC8B21B" w14:textId="17540AAE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+8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0266C4" w:rsidRPr="00DB63BC" w:rsidP="00AC3E8C" w14:paraId="70658A40" w14:textId="78D5652B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+4,000</w:t>
            </w:r>
          </w:p>
        </w:tc>
      </w:tr>
      <w:tr w14:paraId="3A6FC028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  <w:tblHeader/>
          <w:jc w:val="center"/>
        </w:trPr>
        <w:tc>
          <w:tcPr>
            <w:tcW w:w="3275" w:type="dxa"/>
          </w:tcPr>
          <w:p w:rsidR="000266C4" w:rsidRPr="00DB63BC" w:rsidP="00AC3E8C" w14:paraId="2CBD0CCD" w14:textId="777777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Warranty/Certification Letter</w:t>
            </w:r>
          </w:p>
        </w:tc>
        <w:tc>
          <w:tcPr>
            <w:tcW w:w="1260" w:type="dxa"/>
          </w:tcPr>
          <w:p w:rsidR="000266C4" w:rsidRPr="00DB63BC" w:rsidP="00AC3E8C" w14:paraId="6BA0E791" w14:textId="7FE7B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6C4" w:rsidRPr="00DB63BC" w:rsidP="00AC3E8C" w14:paraId="16E09060" w14:textId="32D422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6C4" w:rsidRPr="00DB63BC" w:rsidP="00AC3E8C" w14:paraId="400F7F87" w14:textId="178E1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</w:tcPr>
          <w:p w:rsidR="000266C4" w:rsidRPr="00DB63BC" w:rsidP="00AC3E8C" w14:paraId="2D9C30EA" w14:textId="50BA6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0FD99D75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  <w:tblHeader/>
          <w:jc w:val="center"/>
        </w:trPr>
        <w:tc>
          <w:tcPr>
            <w:tcW w:w="3275" w:type="dxa"/>
          </w:tcPr>
          <w:p w:rsidR="000266C4" w:rsidRPr="00DB63BC" w:rsidP="00AC3E8C" w14:paraId="13D84678" w14:textId="54118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 xml:space="preserve">  Secretary/Administrative Assistant</w:t>
            </w:r>
          </w:p>
        </w:tc>
        <w:tc>
          <w:tcPr>
            <w:tcW w:w="1260" w:type="dxa"/>
          </w:tcPr>
          <w:p w:rsidR="000266C4" w:rsidRPr="00DB63BC" w:rsidP="00AC3E8C" w14:paraId="6B142C5A" w14:textId="7803AC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No Change</w:t>
            </w:r>
          </w:p>
        </w:tc>
        <w:tc>
          <w:tcPr>
            <w:tcW w:w="1080" w:type="dxa"/>
          </w:tcPr>
          <w:p w:rsidR="000266C4" w:rsidRPr="00DB63BC" w:rsidP="00AC3E8C" w14:paraId="7FF672D3" w14:textId="46E4FE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+1,500</w:t>
            </w:r>
          </w:p>
        </w:tc>
        <w:tc>
          <w:tcPr>
            <w:tcW w:w="1080" w:type="dxa"/>
          </w:tcPr>
          <w:p w:rsidR="000266C4" w:rsidRPr="00DB63BC" w:rsidP="00AC3E8C" w14:paraId="2CA00BDA" w14:textId="53609B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176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4" w:type="dxa"/>
          </w:tcPr>
          <w:p w:rsidR="000266C4" w:rsidRPr="00DB63BC" w:rsidP="00AC3E8C" w14:paraId="12F38623" w14:textId="1B93A72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+1000</w:t>
            </w:r>
          </w:p>
        </w:tc>
      </w:tr>
      <w:tr w14:paraId="7DD1205D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  <w:tblHeader/>
          <w:jc w:val="center"/>
        </w:trPr>
        <w:tc>
          <w:tcPr>
            <w:tcW w:w="3275" w:type="dxa"/>
          </w:tcPr>
          <w:p w:rsidR="000266C4" w:rsidRPr="00DB63BC" w:rsidP="00AC3E8C" w14:paraId="23BCA847" w14:textId="4C9DDD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 xml:space="preserve">  Lawyer</w:t>
            </w:r>
          </w:p>
        </w:tc>
        <w:tc>
          <w:tcPr>
            <w:tcW w:w="1260" w:type="dxa"/>
          </w:tcPr>
          <w:p w:rsidR="000266C4" w:rsidRPr="00DB63BC" w:rsidP="00AC3E8C" w14:paraId="17907B98" w14:textId="400B1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No Change</w:t>
            </w:r>
          </w:p>
        </w:tc>
        <w:tc>
          <w:tcPr>
            <w:tcW w:w="1080" w:type="dxa"/>
          </w:tcPr>
          <w:p w:rsidR="000266C4" w:rsidRPr="00DB63BC" w:rsidP="00AC3E8C" w14:paraId="1CE23ADB" w14:textId="0A8133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4B0DAE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1080" w:type="dxa"/>
          </w:tcPr>
          <w:p w:rsidR="000266C4" w:rsidRPr="00DB63BC" w:rsidP="00AC3E8C" w14:paraId="2DF8A5B9" w14:textId="1E5EC1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114" w:type="dxa"/>
          </w:tcPr>
          <w:p w:rsidR="000266C4" w:rsidRPr="00DB63BC" w:rsidP="00AC3E8C" w14:paraId="36FA6C98" w14:textId="1999F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CF23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14:paraId="71E0CE48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  <w:tblHeader/>
          <w:jc w:val="center"/>
        </w:trPr>
        <w:tc>
          <w:tcPr>
            <w:tcW w:w="3275" w:type="dxa"/>
          </w:tcPr>
          <w:p w:rsidR="004B0DAE" w:rsidRPr="00DB63BC" w:rsidP="00AC3E8C" w14:paraId="1DDF22F2" w14:textId="7759B5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sz w:val="20"/>
                <w:szCs w:val="20"/>
              </w:rPr>
              <w:t>CEO/COO</w:t>
            </w:r>
          </w:p>
        </w:tc>
        <w:tc>
          <w:tcPr>
            <w:tcW w:w="1260" w:type="dxa"/>
          </w:tcPr>
          <w:p w:rsidR="004B0DAE" w:rsidRPr="00DB63BC" w:rsidP="00AC3E8C" w14:paraId="144C70A3" w14:textId="1167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Change</w:t>
            </w:r>
          </w:p>
        </w:tc>
        <w:tc>
          <w:tcPr>
            <w:tcW w:w="1080" w:type="dxa"/>
          </w:tcPr>
          <w:p w:rsidR="004B0DAE" w:rsidRPr="00DB63BC" w:rsidP="00AC3E8C" w14:paraId="5389E512" w14:textId="6A42F1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+1,500</w:t>
            </w:r>
          </w:p>
        </w:tc>
        <w:tc>
          <w:tcPr>
            <w:tcW w:w="1080" w:type="dxa"/>
          </w:tcPr>
          <w:p w:rsidR="004B0DAE" w:rsidRPr="00DB63BC" w:rsidP="00AC3E8C" w14:paraId="6C25C4CB" w14:textId="4D680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1114" w:type="dxa"/>
          </w:tcPr>
          <w:p w:rsidR="004B0DAE" w:rsidRPr="00DB63BC" w:rsidP="00AC3E8C" w14:paraId="7FFB971A" w14:textId="64678C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E247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14:paraId="758468E5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  <w:tblHeader/>
          <w:jc w:val="center"/>
        </w:trPr>
        <w:tc>
          <w:tcPr>
            <w:tcW w:w="3275" w:type="dxa"/>
            <w:shd w:val="clear" w:color="auto" w:fill="F2F2F2" w:themeFill="background1" w:themeFillShade="F2"/>
          </w:tcPr>
          <w:p w:rsidR="000266C4" w:rsidRPr="00DB63BC" w:rsidP="00AC3E8C" w14:paraId="78144D83" w14:textId="08DC89C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0266C4" w:rsidRPr="00DB63BC" w:rsidP="00AC3E8C" w14:paraId="3DEEA499" w14:textId="1D268CE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0266C4" w:rsidRPr="00DB63BC" w:rsidP="00AC3E8C" w14:paraId="072D629E" w14:textId="30F37B4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+1,500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0266C4" w:rsidRPr="00DB63BC" w:rsidP="00AC3E8C" w14:paraId="732D037D" w14:textId="33A9E32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varies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0266C4" w:rsidRPr="00DB63BC" w:rsidP="00AC3E8C" w14:paraId="20EBC62D" w14:textId="73CD570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+</w:t>
            </w:r>
            <w:r w:rsidR="00E2470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7,000</w:t>
            </w:r>
          </w:p>
        </w:tc>
      </w:tr>
      <w:tr w14:paraId="5EC3056A" w14:textId="77777777" w:rsidTr="000266C4">
        <w:tblPrEx>
          <w:tblW w:w="7809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  <w:shd w:val="clear" w:color="auto" w:fill="F2F2F2" w:themeFill="background1" w:themeFillShade="F2"/>
          </w:tcPr>
          <w:p w:rsidR="000266C4" w:rsidRPr="00DB63BC" w:rsidP="00AC3E8C" w14:paraId="6C2B9EE3" w14:textId="77777777">
            <w:pPr>
              <w:keepNext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0266C4" w:rsidRPr="00DB63BC" w:rsidP="00AC3E8C" w14:paraId="607B5AEE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Change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0266C4" w:rsidRPr="00DB63BC" w:rsidP="00AC3E8C" w14:paraId="775C4F06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+1,500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0266C4" w:rsidRPr="00DB63BC" w:rsidP="00AC3E8C" w14:paraId="2B508EF8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varies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0266C4" w:rsidRPr="00DB63BC" w:rsidP="00AC3E8C" w14:paraId="4C898840" w14:textId="2791B68A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="00E247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DB63BC" w:rsidR="00B77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B6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</w:tbl>
    <w:p w:rsidR="00822E39" w:rsidP="006E49B0" w14:paraId="70FEFF4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76093" w:rsidP="00976093" w14:paraId="42D90EFC" w14:textId="7637D262">
      <w:pPr>
        <w:spacing w:after="0" w:line="240" w:lineRule="auto"/>
        <w:rPr>
          <w:rFonts w:ascii="Times New Roman" w:hAnsi="Times New Roman" w:cs="Times New Roman"/>
        </w:rPr>
      </w:pPr>
      <w:r w:rsidRPr="00161B34">
        <w:rPr>
          <w:rFonts w:ascii="Times New Roman" w:hAnsi="Times New Roman" w:cs="Times New Roman"/>
        </w:rPr>
        <w:t xml:space="preserve">Section 12 of our active collection, under Disclosure and Submission of the Certification Letter, sets out a time of 3,000 hours. </w:t>
      </w:r>
      <w:r>
        <w:rPr>
          <w:rFonts w:ascii="Times New Roman" w:hAnsi="Times New Roman" w:cs="Times New Roman"/>
        </w:rPr>
        <w:t>T</w:t>
      </w:r>
      <w:r w:rsidRPr="00161B34">
        <w:rPr>
          <w:rFonts w:ascii="Times New Roman" w:hAnsi="Times New Roman" w:cs="Times New Roman"/>
        </w:rPr>
        <w:t>he product should have been 1</w:t>
      </w:r>
      <w:r w:rsidR="000B63F2">
        <w:rPr>
          <w:rFonts w:ascii="Times New Roman" w:hAnsi="Times New Roman" w:cs="Times New Roman"/>
        </w:rPr>
        <w:t>0</w:t>
      </w:r>
      <w:r w:rsidRPr="00161B34">
        <w:rPr>
          <w:rFonts w:ascii="Times New Roman" w:hAnsi="Times New Roman" w:cs="Times New Roman"/>
        </w:rPr>
        <w:t>,000 hours</w:t>
      </w:r>
      <w:r w:rsidR="006B2E1A">
        <w:rPr>
          <w:rFonts w:ascii="Times New Roman" w:hAnsi="Times New Roman" w:cs="Times New Roman"/>
        </w:rPr>
        <w:t xml:space="preserve"> </w:t>
      </w:r>
      <w:r w:rsidRPr="00161B34" w:rsidR="006B2E1A">
        <w:rPr>
          <w:rFonts w:ascii="Times New Roman" w:hAnsi="Times New Roman" w:cs="Times New Roman"/>
        </w:rPr>
        <w:t xml:space="preserve">(500 </w:t>
      </w:r>
      <w:r w:rsidRPr="00EF095B" w:rsidR="006B2E1A">
        <w:rPr>
          <w:rFonts w:ascii="Times New Roman" w:hAnsi="Times New Roman" w:cs="Times New Roman"/>
        </w:rPr>
        <w:t xml:space="preserve">responses x 4 responses/year x </w:t>
      </w:r>
      <w:r w:rsidR="000B63F2">
        <w:rPr>
          <w:rFonts w:ascii="Times New Roman" w:hAnsi="Times New Roman" w:cs="Times New Roman"/>
        </w:rPr>
        <w:t>5</w:t>
      </w:r>
      <w:r w:rsidRPr="00EF095B" w:rsidR="006B2E1A">
        <w:rPr>
          <w:rFonts w:ascii="Times New Roman" w:hAnsi="Times New Roman" w:cs="Times New Roman"/>
        </w:rPr>
        <w:t xml:space="preserve"> </w:t>
      </w:r>
      <w:r w:rsidRPr="00EF095B" w:rsidR="006B2E1A">
        <w:rPr>
          <w:rFonts w:ascii="Times New Roman" w:hAnsi="Times New Roman" w:cs="Times New Roman"/>
        </w:rPr>
        <w:t>hr</w:t>
      </w:r>
      <w:r w:rsidRPr="00EF095B" w:rsidR="006B2E1A">
        <w:rPr>
          <w:rFonts w:ascii="Times New Roman" w:hAnsi="Times New Roman" w:cs="Times New Roman"/>
        </w:rPr>
        <w:t>/response)</w:t>
      </w:r>
      <w:r w:rsidRPr="00EF095B">
        <w:rPr>
          <w:rFonts w:ascii="Times New Roman" w:hAnsi="Times New Roman" w:cs="Times New Roman"/>
        </w:rPr>
        <w:t xml:space="preserve">, a difference of </w:t>
      </w:r>
      <w:r w:rsidRPr="00EF095B">
        <w:rPr>
          <w:rFonts w:ascii="Times New Roman" w:hAnsi="Times New Roman" w:cs="Times New Roman"/>
          <w:u w:val="single"/>
        </w:rPr>
        <w:t xml:space="preserve">plus </w:t>
      </w:r>
      <w:r w:rsidR="000B63F2">
        <w:rPr>
          <w:rFonts w:ascii="Times New Roman" w:hAnsi="Times New Roman" w:cs="Times New Roman"/>
          <w:u w:val="single"/>
        </w:rPr>
        <w:t>7</w:t>
      </w:r>
      <w:r w:rsidRPr="00EF095B">
        <w:rPr>
          <w:rFonts w:ascii="Times New Roman" w:hAnsi="Times New Roman" w:cs="Times New Roman"/>
          <w:u w:val="single"/>
        </w:rPr>
        <w:t>,000 hours</w:t>
      </w:r>
      <w:r w:rsidRPr="00EF095B">
        <w:rPr>
          <w:rFonts w:ascii="Times New Roman" w:hAnsi="Times New Roman" w:cs="Times New Roman"/>
        </w:rPr>
        <w:t xml:space="preserve"> (1</w:t>
      </w:r>
      <w:r w:rsidR="000B63F2">
        <w:rPr>
          <w:rFonts w:ascii="Times New Roman" w:hAnsi="Times New Roman" w:cs="Times New Roman"/>
        </w:rPr>
        <w:t>0</w:t>
      </w:r>
      <w:r w:rsidRPr="00EF095B">
        <w:rPr>
          <w:rFonts w:ascii="Times New Roman" w:hAnsi="Times New Roman" w:cs="Times New Roman"/>
        </w:rPr>
        <w:t xml:space="preserve">,000 </w:t>
      </w:r>
      <w:r w:rsidRPr="00EF095B">
        <w:rPr>
          <w:rFonts w:ascii="Times New Roman" w:hAnsi="Times New Roman" w:cs="Times New Roman"/>
        </w:rPr>
        <w:t>hr</w:t>
      </w:r>
      <w:r w:rsidRPr="00EF095B">
        <w:rPr>
          <w:rFonts w:ascii="Times New Roman" w:hAnsi="Times New Roman" w:cs="Times New Roman"/>
        </w:rPr>
        <w:t xml:space="preserve"> -</w:t>
      </w:r>
      <w:r w:rsidRPr="00161B34">
        <w:rPr>
          <w:rFonts w:ascii="Times New Roman" w:hAnsi="Times New Roman" w:cs="Times New Roman"/>
        </w:rPr>
        <w:t xml:space="preserve"> 3,000 </w:t>
      </w:r>
      <w:r w:rsidRPr="00161B34">
        <w:rPr>
          <w:rFonts w:ascii="Times New Roman" w:hAnsi="Times New Roman" w:cs="Times New Roman"/>
        </w:rPr>
        <w:t>hr</w:t>
      </w:r>
      <w:r w:rsidRPr="00161B34">
        <w:rPr>
          <w:rFonts w:ascii="Times New Roman" w:hAnsi="Times New Roman" w:cs="Times New Roman"/>
        </w:rPr>
        <w:t>).</w:t>
      </w:r>
    </w:p>
    <w:p w:rsidR="00DE3D4A" w:rsidP="00976093" w14:paraId="198FFE8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DE3D4A" w:rsidP="00DE3D4A" w14:paraId="40FAEC40" w14:textId="42D08B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add time for a lawyer by plus 8,000 hours (2 </w:t>
      </w:r>
      <w:r>
        <w:rPr>
          <w:rFonts w:ascii="Times New Roman" w:hAnsi="Times New Roman" w:cs="Times New Roman"/>
        </w:rPr>
        <w:t>hr</w:t>
      </w:r>
      <w:r>
        <w:rPr>
          <w:rFonts w:ascii="Times New Roman" w:hAnsi="Times New Roman" w:cs="Times New Roman"/>
        </w:rPr>
        <w:t xml:space="preserve">/response x 500 responses x 4 responses per year).  </w:t>
      </w:r>
      <w:r>
        <w:rPr>
          <w:rFonts w:ascii="Times New Roman" w:hAnsi="Times New Roman" w:cs="Times New Roman"/>
        </w:rPr>
        <w:t>We also a</w:t>
      </w:r>
      <w:r w:rsidRPr="00DB63BC">
        <w:rPr>
          <w:rFonts w:ascii="Times New Roman" w:hAnsi="Times New Roman" w:cs="Times New Roman"/>
        </w:rPr>
        <w:t xml:space="preserve">dd time for a CEO/COO by </w:t>
      </w:r>
      <w:r w:rsidRPr="00DB63BC">
        <w:rPr>
          <w:rFonts w:ascii="Times New Roman" w:hAnsi="Times New Roman" w:cs="Times New Roman"/>
          <w:u w:val="single"/>
        </w:rPr>
        <w:t>plus</w:t>
      </w:r>
      <w:r w:rsidRPr="00CB1EA7">
        <w:rPr>
          <w:rFonts w:ascii="Times New Roman" w:hAnsi="Times New Roman" w:cs="Times New Roman"/>
          <w:u w:val="single"/>
        </w:rPr>
        <w:t xml:space="preserve"> </w:t>
      </w:r>
      <w:r w:rsidR="004B0DAE">
        <w:rPr>
          <w:rFonts w:ascii="Times New Roman" w:hAnsi="Times New Roman" w:cs="Times New Roman"/>
          <w:u w:val="single"/>
        </w:rPr>
        <w:t>4</w:t>
      </w:r>
      <w:r w:rsidRPr="00CB1EA7">
        <w:rPr>
          <w:rFonts w:ascii="Times New Roman" w:hAnsi="Times New Roman" w:cs="Times New Roman"/>
          <w:u w:val="single"/>
        </w:rPr>
        <w:t>,000 hours</w:t>
      </w:r>
      <w:r w:rsidRPr="00DB63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4B0DAE">
        <w:rPr>
          <w:rFonts w:ascii="Times New Roman" w:hAnsi="Times New Roman" w:cs="Times New Roman"/>
        </w:rPr>
        <w:t>1</w:t>
      </w:r>
      <w:r w:rsidRPr="00DB63BC">
        <w:rPr>
          <w:rFonts w:ascii="Times New Roman" w:hAnsi="Times New Roman" w:cs="Times New Roman"/>
        </w:rPr>
        <w:t xml:space="preserve"> </w:t>
      </w:r>
      <w:r w:rsidRPr="00DB63BC">
        <w:rPr>
          <w:rFonts w:ascii="Times New Roman" w:hAnsi="Times New Roman" w:cs="Times New Roman"/>
        </w:rPr>
        <w:t>hr</w:t>
      </w:r>
      <w:r w:rsidRPr="00DB63BC">
        <w:rPr>
          <w:rFonts w:ascii="Times New Roman" w:hAnsi="Times New Roman" w:cs="Times New Roman"/>
        </w:rPr>
        <w:t>/response x 500 responses x 4 responses/year).</w:t>
      </w:r>
      <w:r>
        <w:rPr>
          <w:rFonts w:ascii="Times New Roman" w:hAnsi="Times New Roman" w:cs="Times New Roman"/>
        </w:rPr>
        <w:t xml:space="preserve"> (Note: The narrative in our active collection accounts for 4 hours annually, but the estimate was missing from our burden table.)</w:t>
      </w:r>
    </w:p>
    <w:p w:rsidR="00DE3D4A" w:rsidP="00976093" w14:paraId="3FE7F6FC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76093" w:rsidP="006E49B0" w14:paraId="79DC9DED" w14:textId="777777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75"/>
        <w:gridCol w:w="1260"/>
        <w:gridCol w:w="1198"/>
        <w:gridCol w:w="1170"/>
        <w:gridCol w:w="1142"/>
      </w:tblGrid>
      <w:tr w14:paraId="0A2B79CD" w14:textId="77777777" w:rsidTr="00D17E89">
        <w:tblPrEx>
          <w:tblW w:w="80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  <w:vAlign w:val="center"/>
            <w:hideMark/>
          </w:tcPr>
          <w:p w:rsidR="00791C1A" w:rsidRPr="00F25CA8" w:rsidP="00391617" w14:paraId="66969DF8" w14:textId="12046B25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5C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Burden Reconciliation</w:t>
            </w:r>
          </w:p>
        </w:tc>
        <w:tc>
          <w:tcPr>
            <w:tcW w:w="1260" w:type="dxa"/>
            <w:vAlign w:val="center"/>
            <w:hideMark/>
          </w:tcPr>
          <w:p w:rsidR="00791C1A" w:rsidRPr="00F25CA8" w:rsidP="00391617" w14:paraId="3B372270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5CA8">
              <w:rPr>
                <w:rFonts w:ascii="Times New Roman" w:hAnsi="Times New Roman" w:cs="Times New Roman"/>
                <w:bCs/>
                <w:sz w:val="20"/>
                <w:szCs w:val="20"/>
              </w:rPr>
              <w:t>No. Respondents </w:t>
            </w:r>
          </w:p>
        </w:tc>
        <w:tc>
          <w:tcPr>
            <w:tcW w:w="1198" w:type="dxa"/>
            <w:vAlign w:val="center"/>
            <w:hideMark/>
          </w:tcPr>
          <w:p w:rsidR="00791C1A" w:rsidRPr="00F25CA8" w:rsidP="00391617" w14:paraId="4D30F961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5C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Total Annual </w:t>
            </w:r>
            <w:r w:rsidRPr="00F25CA8">
              <w:rPr>
                <w:rFonts w:ascii="Times New Roman" w:hAnsi="Times New Roman" w:cs="Times New Roman"/>
                <w:bCs/>
                <w:sz w:val="20"/>
                <w:szCs w:val="20"/>
              </w:rPr>
              <w:t>Responses </w:t>
            </w:r>
          </w:p>
        </w:tc>
        <w:tc>
          <w:tcPr>
            <w:tcW w:w="1170" w:type="dxa"/>
            <w:vAlign w:val="center"/>
            <w:hideMark/>
          </w:tcPr>
          <w:p w:rsidR="00791C1A" w:rsidRPr="00F25CA8" w:rsidP="00391617" w14:paraId="6ADBDE25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5C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Time per Response (hours)</w:t>
            </w:r>
            <w:r w:rsidRPr="00F25CA8">
              <w:rPr>
                <w:rFonts w:ascii="Times New Roman" w:hAnsi="Times New Roman" w:cs="Times New Roman"/>
                <w:bCs/>
                <w:sz w:val="20"/>
                <w:szCs w:val="20"/>
              </w:rPr>
              <w:t> </w:t>
            </w:r>
          </w:p>
        </w:tc>
        <w:tc>
          <w:tcPr>
            <w:tcW w:w="1142" w:type="dxa"/>
            <w:vAlign w:val="center"/>
            <w:hideMark/>
          </w:tcPr>
          <w:p w:rsidR="00791C1A" w:rsidRPr="00F25CA8" w:rsidP="00391617" w14:paraId="0FE61E77" w14:textId="7777777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5C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Total Annual Time (hours)</w:t>
            </w:r>
            <w:r w:rsidRPr="00F25CA8">
              <w:rPr>
                <w:rFonts w:ascii="Times New Roman" w:hAnsi="Times New Roman" w:cs="Times New Roman"/>
                <w:bCs/>
                <w:sz w:val="20"/>
                <w:szCs w:val="20"/>
              </w:rPr>
              <w:t> </w:t>
            </w:r>
          </w:p>
        </w:tc>
      </w:tr>
      <w:tr w14:paraId="7665F655" w14:textId="77777777" w:rsidTr="00D17E89">
        <w:tblPrEx>
          <w:tblW w:w="8045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  <w:vAlign w:val="center"/>
          </w:tcPr>
          <w:p w:rsidR="00F25CA8" w:rsidRPr="00F25CA8" w:rsidP="00F25CA8" w14:paraId="1AD12B26" w14:textId="0D1B2077">
            <w:pPr>
              <w:keepNext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5C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Active</w:t>
            </w:r>
          </w:p>
        </w:tc>
        <w:tc>
          <w:tcPr>
            <w:tcW w:w="1260" w:type="dxa"/>
          </w:tcPr>
          <w:p w:rsidR="00F25CA8" w:rsidRPr="00F25CA8" w:rsidP="00F25CA8" w14:paraId="65710614" w14:textId="282EC31D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5CA8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198" w:type="dxa"/>
          </w:tcPr>
          <w:p w:rsidR="00F25CA8" w:rsidRPr="00F25CA8" w:rsidP="00F25CA8" w14:paraId="3C030CBA" w14:textId="24FFFCA3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5CA8">
              <w:rPr>
                <w:rFonts w:ascii="Times New Roman" w:hAnsi="Times New Roman" w:cs="Times New Roman"/>
                <w:bCs/>
                <w:sz w:val="20"/>
                <w:szCs w:val="20"/>
              </w:rPr>
              <w:t>3,000</w:t>
            </w:r>
          </w:p>
        </w:tc>
        <w:tc>
          <w:tcPr>
            <w:tcW w:w="1170" w:type="dxa"/>
          </w:tcPr>
          <w:p w:rsidR="00F25CA8" w:rsidRPr="00F25CA8" w:rsidP="00F25CA8" w14:paraId="5C0BFEC8" w14:textId="0B8BCF89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5CA8">
              <w:rPr>
                <w:rFonts w:ascii="Times New Roman" w:hAnsi="Times New Roman" w:cs="Times New Roman"/>
                <w:bCs/>
                <w:sz w:val="20"/>
                <w:szCs w:val="20"/>
              </w:rPr>
              <w:t>varies</w:t>
            </w:r>
          </w:p>
        </w:tc>
        <w:tc>
          <w:tcPr>
            <w:tcW w:w="1142" w:type="dxa"/>
          </w:tcPr>
          <w:p w:rsidR="00F25CA8" w:rsidRPr="00F25CA8" w:rsidP="00F25CA8" w14:paraId="533A15DF" w14:textId="0DA577D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5CA8">
              <w:rPr>
                <w:rFonts w:ascii="Times New Roman" w:hAnsi="Times New Roman" w:cs="Times New Roman"/>
                <w:bCs/>
                <w:sz w:val="20"/>
                <w:szCs w:val="20"/>
              </w:rPr>
              <w:t>38,500</w:t>
            </w:r>
          </w:p>
        </w:tc>
      </w:tr>
      <w:tr w14:paraId="1F264839" w14:textId="77777777" w:rsidTr="00D17E89">
        <w:tblPrEx>
          <w:tblW w:w="8045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  <w:vAlign w:val="center"/>
          </w:tcPr>
          <w:p w:rsidR="00F25CA8" w:rsidRPr="00F25CA8" w:rsidP="00F25CA8" w14:paraId="4F8AB62F" w14:textId="78D42E6F">
            <w:pPr>
              <w:keepNext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Revisions</w:t>
            </w:r>
          </w:p>
        </w:tc>
        <w:tc>
          <w:tcPr>
            <w:tcW w:w="1260" w:type="dxa"/>
            <w:vAlign w:val="center"/>
          </w:tcPr>
          <w:p w:rsidR="00F25CA8" w:rsidRPr="00F25CA8" w:rsidP="00F25CA8" w14:paraId="177C0EFB" w14:textId="5A47AEB2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198" w:type="dxa"/>
            <w:vAlign w:val="center"/>
          </w:tcPr>
          <w:p w:rsidR="00F25CA8" w:rsidRPr="00F25CA8" w:rsidP="00F25CA8" w14:paraId="0D5767DD" w14:textId="6E8EF1F4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+1,500</w:t>
            </w:r>
          </w:p>
        </w:tc>
        <w:tc>
          <w:tcPr>
            <w:tcW w:w="1170" w:type="dxa"/>
            <w:vAlign w:val="center"/>
          </w:tcPr>
          <w:p w:rsidR="00F25CA8" w:rsidRPr="00F25CA8" w:rsidP="00F25CA8" w14:paraId="6D3830FF" w14:textId="6F977BC0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varies</w:t>
            </w:r>
          </w:p>
        </w:tc>
        <w:tc>
          <w:tcPr>
            <w:tcW w:w="1142" w:type="dxa"/>
            <w:vAlign w:val="center"/>
          </w:tcPr>
          <w:p w:rsidR="00F25CA8" w:rsidRPr="00F25CA8" w:rsidP="00F25CA8" w14:paraId="1FBC8AD1" w14:textId="5574B132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 w:rsidR="00E2470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2327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</w:tr>
      <w:tr w14:paraId="3FCE6F24" w14:textId="77777777" w:rsidTr="00D17E89">
        <w:tblPrEx>
          <w:tblW w:w="8045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  <w:vAlign w:val="center"/>
          </w:tcPr>
          <w:p w:rsidR="00F25CA8" w:rsidRPr="00F25CA8" w:rsidP="00F25CA8" w14:paraId="01866A21" w14:textId="58152E5E">
            <w:pPr>
              <w:keepNext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Correction</w:t>
            </w:r>
            <w:r w:rsidR="00C549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</w:t>
            </w:r>
          </w:p>
        </w:tc>
        <w:tc>
          <w:tcPr>
            <w:tcW w:w="1260" w:type="dxa"/>
            <w:vAlign w:val="center"/>
          </w:tcPr>
          <w:p w:rsidR="00F25CA8" w:rsidRPr="00F25CA8" w:rsidP="00F25CA8" w14:paraId="1CA21363" w14:textId="059765D9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198" w:type="dxa"/>
            <w:vAlign w:val="center"/>
          </w:tcPr>
          <w:p w:rsidR="00F25CA8" w:rsidRPr="00F25CA8" w:rsidP="00F25CA8" w14:paraId="10CE7491" w14:textId="3ABA701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 Change</w:t>
            </w:r>
          </w:p>
        </w:tc>
        <w:tc>
          <w:tcPr>
            <w:tcW w:w="1170" w:type="dxa"/>
            <w:vAlign w:val="center"/>
          </w:tcPr>
          <w:p w:rsidR="00F25CA8" w:rsidRPr="00F25CA8" w:rsidP="00F25CA8" w14:paraId="5B5A951C" w14:textId="367091D7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Varies</w:t>
            </w:r>
          </w:p>
        </w:tc>
        <w:tc>
          <w:tcPr>
            <w:tcW w:w="1142" w:type="dxa"/>
            <w:vAlign w:val="center"/>
          </w:tcPr>
          <w:p w:rsidR="00F25CA8" w:rsidRPr="00F25CA8" w:rsidP="00F25CA8" w14:paraId="3D173EBB" w14:textId="78BE9BB5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 w:rsidR="00E2470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976093">
              <w:rPr>
                <w:rFonts w:ascii="Times New Roman" w:hAnsi="Times New Roman" w:cs="Times New Roman"/>
                <w:bCs/>
                <w:sz w:val="20"/>
                <w:szCs w:val="20"/>
              </w:rPr>
              <w:t>,000</w:t>
            </w:r>
          </w:p>
        </w:tc>
      </w:tr>
      <w:tr w14:paraId="40B1891B" w14:textId="77777777" w:rsidTr="00D17E89">
        <w:tblPrEx>
          <w:tblW w:w="8045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3275" w:type="dxa"/>
            <w:shd w:val="clear" w:color="auto" w:fill="D9D9D9" w:themeFill="background1" w:themeFillShade="D9"/>
            <w:vAlign w:val="center"/>
          </w:tcPr>
          <w:p w:rsidR="00F25CA8" w:rsidRPr="000629CF" w:rsidP="00F25CA8" w14:paraId="20B0DF1B" w14:textId="77834E0A">
            <w:pPr>
              <w:keepNext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9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  <w:r w:rsidR="00C549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(see Section 12 of the attached Supporting Statement)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25CA8" w:rsidRPr="000629CF" w:rsidP="00F25CA8" w14:paraId="3C6BD2B2" w14:textId="2C5D65E3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9CF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F25CA8" w:rsidRPr="000629CF" w:rsidP="00F25CA8" w14:paraId="0F7EBFDF" w14:textId="26F65EB4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9CF">
              <w:rPr>
                <w:rFonts w:ascii="Times New Roman" w:hAnsi="Times New Roman" w:cs="Times New Roman"/>
                <w:b/>
                <w:sz w:val="20"/>
                <w:szCs w:val="20"/>
              </w:rPr>
              <w:t>4,500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25CA8" w:rsidRPr="000629CF" w:rsidP="00F25CA8" w14:paraId="0C939340" w14:textId="39A87C4A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9CF">
              <w:rPr>
                <w:rFonts w:ascii="Times New Roman" w:hAnsi="Times New Roman" w:cs="Times New Roman"/>
                <w:b/>
                <w:sz w:val="20"/>
                <w:szCs w:val="20"/>
              </w:rPr>
              <w:t>varies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F25CA8" w:rsidRPr="000629CF" w:rsidP="00F25CA8" w14:paraId="1484AB6F" w14:textId="15B12339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49,500</w:t>
            </w:r>
          </w:p>
        </w:tc>
      </w:tr>
    </w:tbl>
    <w:p w:rsidR="002A2FFE" w:rsidP="006E49B0" w14:paraId="10A573D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82124" w:rsidRPr="00525077" w:rsidP="00882124" w14:paraId="161447B1" w14:textId="45BAAD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798C">
        <w:rPr>
          <w:rFonts w:ascii="Times New Roman" w:hAnsi="Times New Roman" w:cs="Times New Roman"/>
          <w:b/>
          <w:bCs/>
        </w:rPr>
        <w:t>Document</w:t>
      </w:r>
      <w:r w:rsidR="0007798C">
        <w:rPr>
          <w:rFonts w:ascii="Times New Roman" w:hAnsi="Times New Roman" w:cs="Times New Roman"/>
          <w:b/>
          <w:bCs/>
        </w:rPr>
        <w:t xml:space="preserve"> Changes</w:t>
      </w:r>
    </w:p>
    <w:p w:rsidR="00882124" w:rsidRPr="00525077" w:rsidP="00882124" w14:paraId="230F1EDB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82124" w:rsidRPr="004256CE" w:rsidP="00882124" w14:paraId="161F6AF6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4256CE">
        <w:rPr>
          <w:rFonts w:ascii="Times New Roman" w:hAnsi="Times New Roman" w:cs="Times New Roman"/>
        </w:rPr>
        <w:t>Supporting Statement A (revised, see attached)</w:t>
      </w:r>
    </w:p>
    <w:p w:rsidR="00882124" w:rsidRPr="004256CE" w:rsidP="00882124" w14:paraId="4E572A12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4256CE">
        <w:rPr>
          <w:rFonts w:ascii="Times New Roman" w:hAnsi="Times New Roman" w:cs="Times New Roman"/>
        </w:rPr>
        <w:t>Public Comments (added, see attached)</w:t>
      </w:r>
    </w:p>
    <w:p w:rsidR="00882124" w:rsidRPr="004256CE" w:rsidP="00882124" w14:paraId="00F5D20E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4256CE">
        <w:rPr>
          <w:rFonts w:ascii="Times New Roman" w:hAnsi="Times New Roman" w:cs="Times New Roman"/>
        </w:rPr>
        <w:t>Response to Public Comments (added, see attached)</w:t>
      </w:r>
    </w:p>
    <w:p w:rsidR="00882124" w:rsidRPr="004256CE" w:rsidP="00882124" w14:paraId="71880A92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4256CE">
        <w:rPr>
          <w:rFonts w:ascii="Times New Roman" w:hAnsi="Times New Roman" w:cs="Times New Roman"/>
        </w:rPr>
        <w:t>Bona Fide Service Fee Certification form (revised, see attached)</w:t>
      </w:r>
    </w:p>
    <w:p w:rsidR="00882124" w:rsidRPr="004256CE" w:rsidP="00882124" w14:paraId="0B0A78AE" w14:textId="777777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256CE">
        <w:rPr>
          <w:rFonts w:ascii="Times New Roman" w:hAnsi="Times New Roman" w:cs="Times New Roman"/>
        </w:rPr>
        <w:t xml:space="preserve">            Certification form Crosswalk (added, see attached)</w:t>
      </w:r>
    </w:p>
    <w:p w:rsidR="00882124" w:rsidRPr="004256CE" w:rsidP="00882124" w14:paraId="2BC470F9" w14:textId="777777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256CE">
        <w:rPr>
          <w:rFonts w:ascii="Times New Roman" w:hAnsi="Times New Roman" w:cs="Times New Roman"/>
        </w:rPr>
        <w:t xml:space="preserve">            Certification form Redline (added, see attached)</w:t>
      </w:r>
    </w:p>
    <w:p w:rsidR="00882124" w:rsidRPr="004256CE" w:rsidP="00882124" w14:paraId="2A2EB80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82124" w:rsidRPr="004256CE" w:rsidP="00882124" w14:paraId="5D57C262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256CE">
        <w:rPr>
          <w:rFonts w:ascii="Times New Roman" w:hAnsi="Times New Roman" w:cs="Times New Roman"/>
        </w:rPr>
        <w:t>ASP Module Submitter User Guide (no changes)</w:t>
      </w:r>
    </w:p>
    <w:p w:rsidR="00882124" w:rsidRPr="004256CE" w:rsidP="00882124" w14:paraId="0AC90684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256CE">
        <w:rPr>
          <w:rFonts w:ascii="Times New Roman" w:hAnsi="Times New Roman" w:cs="Times New Roman"/>
        </w:rPr>
        <w:t>ASP Module Certifier User Guide (no changes)</w:t>
      </w:r>
    </w:p>
    <w:p w:rsidR="00882124" w:rsidRPr="004256CE" w:rsidP="00882124" w14:paraId="5D0BB26B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256CE">
        <w:rPr>
          <w:rFonts w:ascii="Times New Roman" w:hAnsi="Times New Roman" w:cs="Times New Roman"/>
        </w:rPr>
        <w:t>ASP Module Registration User Guide (no changes)</w:t>
      </w:r>
    </w:p>
    <w:p w:rsidR="00882124" w:rsidRPr="004256CE" w:rsidP="00882124" w14:paraId="24C8A31E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256CE">
        <w:rPr>
          <w:rFonts w:ascii="Times New Roman" w:hAnsi="Times New Roman" w:cs="Times New Roman"/>
        </w:rPr>
        <w:t>Reasonable Assumptions form (no changes)</w:t>
      </w:r>
    </w:p>
    <w:p w:rsidR="00882124" w:rsidRPr="00525077" w:rsidP="00882124" w14:paraId="40266D1F" w14:textId="77777777">
      <w:pPr>
        <w:spacing w:after="0" w:line="240" w:lineRule="auto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747EE3"/>
    <w:multiLevelType w:val="hybridMultilevel"/>
    <w:tmpl w:val="1BA86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E6694"/>
    <w:multiLevelType w:val="hybridMultilevel"/>
    <w:tmpl w:val="0768A038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D0191"/>
    <w:multiLevelType w:val="hybridMultilevel"/>
    <w:tmpl w:val="293C5808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72E8"/>
    <w:multiLevelType w:val="hybridMultilevel"/>
    <w:tmpl w:val="ED0EB674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27881"/>
    <w:multiLevelType w:val="hybridMultilevel"/>
    <w:tmpl w:val="1248B1CE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44F6B"/>
    <w:multiLevelType w:val="hybridMultilevel"/>
    <w:tmpl w:val="2932A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2602B"/>
    <w:multiLevelType w:val="hybridMultilevel"/>
    <w:tmpl w:val="417EDFC4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92520"/>
    <w:multiLevelType w:val="hybridMultilevel"/>
    <w:tmpl w:val="C9F67E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200DB"/>
    <w:multiLevelType w:val="hybridMultilevel"/>
    <w:tmpl w:val="868E6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F61D4"/>
    <w:multiLevelType w:val="hybridMultilevel"/>
    <w:tmpl w:val="A3988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519DB"/>
    <w:multiLevelType w:val="hybridMultilevel"/>
    <w:tmpl w:val="861C688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94930"/>
    <w:multiLevelType w:val="hybridMultilevel"/>
    <w:tmpl w:val="D63083B8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1563172521">
    <w:abstractNumId w:val="7"/>
  </w:num>
  <w:num w:numId="2" w16cid:durableId="1478109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06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2347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9256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3845879">
    <w:abstractNumId w:val="7"/>
  </w:num>
  <w:num w:numId="7" w16cid:durableId="1738895341">
    <w:abstractNumId w:val="5"/>
  </w:num>
  <w:num w:numId="8" w16cid:durableId="1688480466">
    <w:abstractNumId w:val="2"/>
  </w:num>
  <w:num w:numId="9" w16cid:durableId="610094162">
    <w:abstractNumId w:val="6"/>
  </w:num>
  <w:num w:numId="10" w16cid:durableId="403600511">
    <w:abstractNumId w:val="4"/>
  </w:num>
  <w:num w:numId="11" w16cid:durableId="580023009">
    <w:abstractNumId w:val="11"/>
  </w:num>
  <w:num w:numId="12" w16cid:durableId="1229194297">
    <w:abstractNumId w:val="3"/>
  </w:num>
  <w:num w:numId="13" w16cid:durableId="2460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96"/>
    <w:rsid w:val="0000439F"/>
    <w:rsid w:val="000049B3"/>
    <w:rsid w:val="00013CE8"/>
    <w:rsid w:val="00014EA1"/>
    <w:rsid w:val="00014FEF"/>
    <w:rsid w:val="000161A2"/>
    <w:rsid w:val="000234B4"/>
    <w:rsid w:val="000266C4"/>
    <w:rsid w:val="0004270C"/>
    <w:rsid w:val="000451B5"/>
    <w:rsid w:val="00057BD6"/>
    <w:rsid w:val="000629CF"/>
    <w:rsid w:val="00065BC0"/>
    <w:rsid w:val="000778E6"/>
    <w:rsid w:val="0007798C"/>
    <w:rsid w:val="00080119"/>
    <w:rsid w:val="000856C9"/>
    <w:rsid w:val="0009265D"/>
    <w:rsid w:val="00092F50"/>
    <w:rsid w:val="000B01D1"/>
    <w:rsid w:val="000B63F2"/>
    <w:rsid w:val="000C0FA9"/>
    <w:rsid w:val="000C1B99"/>
    <w:rsid w:val="001007B4"/>
    <w:rsid w:val="001058BA"/>
    <w:rsid w:val="00107DF6"/>
    <w:rsid w:val="001136EE"/>
    <w:rsid w:val="00116AC5"/>
    <w:rsid w:val="001271F3"/>
    <w:rsid w:val="00130234"/>
    <w:rsid w:val="00134B66"/>
    <w:rsid w:val="00150792"/>
    <w:rsid w:val="001519CB"/>
    <w:rsid w:val="00161B34"/>
    <w:rsid w:val="00176098"/>
    <w:rsid w:val="00185A65"/>
    <w:rsid w:val="001D350E"/>
    <w:rsid w:val="001D5489"/>
    <w:rsid w:val="001E178E"/>
    <w:rsid w:val="001F6A47"/>
    <w:rsid w:val="00202FC1"/>
    <w:rsid w:val="00206532"/>
    <w:rsid w:val="002126AB"/>
    <w:rsid w:val="00243714"/>
    <w:rsid w:val="002505CC"/>
    <w:rsid w:val="002530B2"/>
    <w:rsid w:val="0025626E"/>
    <w:rsid w:val="00273DB7"/>
    <w:rsid w:val="0027461E"/>
    <w:rsid w:val="002807D8"/>
    <w:rsid w:val="00295878"/>
    <w:rsid w:val="002A2FFE"/>
    <w:rsid w:val="002B55E3"/>
    <w:rsid w:val="002B584E"/>
    <w:rsid w:val="002B6B50"/>
    <w:rsid w:val="002C0D43"/>
    <w:rsid w:val="002D1945"/>
    <w:rsid w:val="002D257D"/>
    <w:rsid w:val="002D6CDC"/>
    <w:rsid w:val="002F454F"/>
    <w:rsid w:val="00312CDC"/>
    <w:rsid w:val="0033695C"/>
    <w:rsid w:val="00357EAF"/>
    <w:rsid w:val="00365609"/>
    <w:rsid w:val="00366E59"/>
    <w:rsid w:val="00371AC1"/>
    <w:rsid w:val="00374DF1"/>
    <w:rsid w:val="00385E02"/>
    <w:rsid w:val="00390E36"/>
    <w:rsid w:val="00391617"/>
    <w:rsid w:val="00391C1E"/>
    <w:rsid w:val="00393CD8"/>
    <w:rsid w:val="003A21CF"/>
    <w:rsid w:val="003A3F19"/>
    <w:rsid w:val="003C4D98"/>
    <w:rsid w:val="003E1964"/>
    <w:rsid w:val="00402745"/>
    <w:rsid w:val="0040437C"/>
    <w:rsid w:val="004200B2"/>
    <w:rsid w:val="0042522E"/>
    <w:rsid w:val="004256CE"/>
    <w:rsid w:val="00425A9A"/>
    <w:rsid w:val="0043133A"/>
    <w:rsid w:val="0044035C"/>
    <w:rsid w:val="004535DE"/>
    <w:rsid w:val="0045763E"/>
    <w:rsid w:val="0046241A"/>
    <w:rsid w:val="00472029"/>
    <w:rsid w:val="004B0DAE"/>
    <w:rsid w:val="004B4FCC"/>
    <w:rsid w:val="004F578B"/>
    <w:rsid w:val="00507AB7"/>
    <w:rsid w:val="00525077"/>
    <w:rsid w:val="00542DA2"/>
    <w:rsid w:val="0054368B"/>
    <w:rsid w:val="0055000C"/>
    <w:rsid w:val="00552AEB"/>
    <w:rsid w:val="00552C25"/>
    <w:rsid w:val="00557724"/>
    <w:rsid w:val="0059227E"/>
    <w:rsid w:val="005B4CFC"/>
    <w:rsid w:val="005B7D40"/>
    <w:rsid w:val="005C666C"/>
    <w:rsid w:val="005E2152"/>
    <w:rsid w:val="00606D29"/>
    <w:rsid w:val="006215EF"/>
    <w:rsid w:val="00633704"/>
    <w:rsid w:val="00650147"/>
    <w:rsid w:val="0066027F"/>
    <w:rsid w:val="00680EFF"/>
    <w:rsid w:val="0068370E"/>
    <w:rsid w:val="0069691F"/>
    <w:rsid w:val="006A1F7A"/>
    <w:rsid w:val="006B2E1A"/>
    <w:rsid w:val="006D4EE3"/>
    <w:rsid w:val="006E49B0"/>
    <w:rsid w:val="006F07D9"/>
    <w:rsid w:val="007006FC"/>
    <w:rsid w:val="00704E50"/>
    <w:rsid w:val="00712B15"/>
    <w:rsid w:val="00713038"/>
    <w:rsid w:val="00717676"/>
    <w:rsid w:val="007518E5"/>
    <w:rsid w:val="00751DFF"/>
    <w:rsid w:val="00760D69"/>
    <w:rsid w:val="00764729"/>
    <w:rsid w:val="00771EEF"/>
    <w:rsid w:val="0077492C"/>
    <w:rsid w:val="00776EE4"/>
    <w:rsid w:val="0078608E"/>
    <w:rsid w:val="00791C1A"/>
    <w:rsid w:val="007A53F6"/>
    <w:rsid w:val="007A6BFF"/>
    <w:rsid w:val="007B0B75"/>
    <w:rsid w:val="007B3AB6"/>
    <w:rsid w:val="007B4EA6"/>
    <w:rsid w:val="007C50E2"/>
    <w:rsid w:val="007E187E"/>
    <w:rsid w:val="0080383F"/>
    <w:rsid w:val="00815EE2"/>
    <w:rsid w:val="00822E39"/>
    <w:rsid w:val="00826824"/>
    <w:rsid w:val="00836A91"/>
    <w:rsid w:val="00843AB2"/>
    <w:rsid w:val="00851229"/>
    <w:rsid w:val="00867117"/>
    <w:rsid w:val="00874A83"/>
    <w:rsid w:val="00882124"/>
    <w:rsid w:val="00887109"/>
    <w:rsid w:val="00887EBB"/>
    <w:rsid w:val="00894938"/>
    <w:rsid w:val="008B5163"/>
    <w:rsid w:val="008B76DA"/>
    <w:rsid w:val="008C5C57"/>
    <w:rsid w:val="008D6994"/>
    <w:rsid w:val="008E1E42"/>
    <w:rsid w:val="008E2F01"/>
    <w:rsid w:val="008F14F6"/>
    <w:rsid w:val="008F1F20"/>
    <w:rsid w:val="008F463D"/>
    <w:rsid w:val="00906220"/>
    <w:rsid w:val="00906444"/>
    <w:rsid w:val="009103A9"/>
    <w:rsid w:val="0091176E"/>
    <w:rsid w:val="00912ED4"/>
    <w:rsid w:val="009142EE"/>
    <w:rsid w:val="00923D25"/>
    <w:rsid w:val="00935E49"/>
    <w:rsid w:val="00940FF1"/>
    <w:rsid w:val="00963996"/>
    <w:rsid w:val="00964190"/>
    <w:rsid w:val="0096594C"/>
    <w:rsid w:val="00976093"/>
    <w:rsid w:val="00985221"/>
    <w:rsid w:val="009A0999"/>
    <w:rsid w:val="009C15E4"/>
    <w:rsid w:val="009D00A0"/>
    <w:rsid w:val="009D605C"/>
    <w:rsid w:val="009E4915"/>
    <w:rsid w:val="009F2C19"/>
    <w:rsid w:val="00A1375B"/>
    <w:rsid w:val="00A3082A"/>
    <w:rsid w:val="00A37C41"/>
    <w:rsid w:val="00A51DF7"/>
    <w:rsid w:val="00A7754C"/>
    <w:rsid w:val="00A8411A"/>
    <w:rsid w:val="00A91D4B"/>
    <w:rsid w:val="00A93115"/>
    <w:rsid w:val="00A9523A"/>
    <w:rsid w:val="00AC3E8C"/>
    <w:rsid w:val="00AD173E"/>
    <w:rsid w:val="00AD5290"/>
    <w:rsid w:val="00AF4EB2"/>
    <w:rsid w:val="00B06BAC"/>
    <w:rsid w:val="00B23271"/>
    <w:rsid w:val="00B27EDA"/>
    <w:rsid w:val="00B40692"/>
    <w:rsid w:val="00B55208"/>
    <w:rsid w:val="00B5613D"/>
    <w:rsid w:val="00B67D51"/>
    <w:rsid w:val="00B76112"/>
    <w:rsid w:val="00B76C2B"/>
    <w:rsid w:val="00B77D14"/>
    <w:rsid w:val="00B92B98"/>
    <w:rsid w:val="00B969A8"/>
    <w:rsid w:val="00BA4FDA"/>
    <w:rsid w:val="00BB03D3"/>
    <w:rsid w:val="00BB53AE"/>
    <w:rsid w:val="00BC3332"/>
    <w:rsid w:val="00BC5BC6"/>
    <w:rsid w:val="00BF14DA"/>
    <w:rsid w:val="00BF37EC"/>
    <w:rsid w:val="00BF5BBC"/>
    <w:rsid w:val="00C16D7F"/>
    <w:rsid w:val="00C176E0"/>
    <w:rsid w:val="00C21CEE"/>
    <w:rsid w:val="00C275FA"/>
    <w:rsid w:val="00C40C14"/>
    <w:rsid w:val="00C43888"/>
    <w:rsid w:val="00C43F75"/>
    <w:rsid w:val="00C457DC"/>
    <w:rsid w:val="00C54997"/>
    <w:rsid w:val="00C61849"/>
    <w:rsid w:val="00C70393"/>
    <w:rsid w:val="00C76868"/>
    <w:rsid w:val="00C8094C"/>
    <w:rsid w:val="00C94A63"/>
    <w:rsid w:val="00CB00EE"/>
    <w:rsid w:val="00CB1EA7"/>
    <w:rsid w:val="00CC070C"/>
    <w:rsid w:val="00CD51ED"/>
    <w:rsid w:val="00CD5DC6"/>
    <w:rsid w:val="00CF239B"/>
    <w:rsid w:val="00D03CC3"/>
    <w:rsid w:val="00D15F6E"/>
    <w:rsid w:val="00D17E89"/>
    <w:rsid w:val="00D36139"/>
    <w:rsid w:val="00D54321"/>
    <w:rsid w:val="00D6731F"/>
    <w:rsid w:val="00D70970"/>
    <w:rsid w:val="00D779E2"/>
    <w:rsid w:val="00D85900"/>
    <w:rsid w:val="00DB1157"/>
    <w:rsid w:val="00DB63BC"/>
    <w:rsid w:val="00DC77E3"/>
    <w:rsid w:val="00DE3D4A"/>
    <w:rsid w:val="00DF1538"/>
    <w:rsid w:val="00E07B47"/>
    <w:rsid w:val="00E11951"/>
    <w:rsid w:val="00E14FBB"/>
    <w:rsid w:val="00E24703"/>
    <w:rsid w:val="00E25A38"/>
    <w:rsid w:val="00E25CDC"/>
    <w:rsid w:val="00E32D09"/>
    <w:rsid w:val="00E623B9"/>
    <w:rsid w:val="00E6622F"/>
    <w:rsid w:val="00E77CD4"/>
    <w:rsid w:val="00E84C5C"/>
    <w:rsid w:val="00E876D7"/>
    <w:rsid w:val="00E92CAC"/>
    <w:rsid w:val="00EC0E81"/>
    <w:rsid w:val="00EC6508"/>
    <w:rsid w:val="00EE1961"/>
    <w:rsid w:val="00EF095B"/>
    <w:rsid w:val="00EF380D"/>
    <w:rsid w:val="00EF51ED"/>
    <w:rsid w:val="00EF5E61"/>
    <w:rsid w:val="00EF682B"/>
    <w:rsid w:val="00EF6887"/>
    <w:rsid w:val="00F05AE9"/>
    <w:rsid w:val="00F15F00"/>
    <w:rsid w:val="00F16912"/>
    <w:rsid w:val="00F25CA8"/>
    <w:rsid w:val="00F267F0"/>
    <w:rsid w:val="00F5145B"/>
    <w:rsid w:val="00F64D22"/>
    <w:rsid w:val="00F6537B"/>
    <w:rsid w:val="00F708B5"/>
    <w:rsid w:val="00F73917"/>
    <w:rsid w:val="00F84144"/>
    <w:rsid w:val="00F876C7"/>
    <w:rsid w:val="00F9030D"/>
    <w:rsid w:val="00F90820"/>
    <w:rsid w:val="00FB436A"/>
    <w:rsid w:val="00FB5207"/>
    <w:rsid w:val="00FC06B7"/>
    <w:rsid w:val="00FC1BAE"/>
    <w:rsid w:val="00FD1D3F"/>
    <w:rsid w:val="00FE35F4"/>
    <w:rsid w:val="00FE69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FB5655"/>
  <w15:chartTrackingRefBased/>
  <w15:docId w15:val="{71B3902B-3A23-4657-BA5C-5265C8BD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99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33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7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0D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944</Words>
  <Characters>5217</Characters>
  <Application>Microsoft Office Word</Application>
  <DocSecurity>0</DocSecurity>
  <Lines>260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Bryman, Mitch (CMS/OSORA)</dc:creator>
  <cp:lastModifiedBy>Bryman, Mitch (CMS/OSORA)</cp:lastModifiedBy>
  <cp:revision>3</cp:revision>
  <dcterms:created xsi:type="dcterms:W3CDTF">2026-03-25T17:23:00Z</dcterms:created>
  <dcterms:modified xsi:type="dcterms:W3CDTF">2026-03-25T17:25:00Z</dcterms:modified>
</cp:coreProperties>
</file>