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26707" w:rsidRPr="009A2DCD" w:rsidP="00426707" w14:paraId="2B416141" w14:textId="2DD7F659">
      <w:pPr>
        <w:widowControl/>
        <w:spacing w:after="120"/>
        <w:ind w:left="720" w:firstLine="720"/>
        <w:jc w:val="center"/>
        <w:rPr>
          <w:b/>
          <w:bCs/>
        </w:rPr>
      </w:pPr>
      <w:r>
        <w:rPr>
          <w:b/>
          <w:bCs/>
        </w:rPr>
        <w:t xml:space="preserve">  </w:t>
      </w:r>
    </w:p>
    <w:p w:rsidR="00426707" w:rsidRPr="009A2DCD" w:rsidP="00426707" w14:paraId="70ACDF87" w14:textId="77777777">
      <w:pPr>
        <w:widowControl/>
        <w:spacing w:after="120"/>
        <w:ind w:left="720" w:firstLine="720"/>
        <w:jc w:val="center"/>
        <w:rPr>
          <w:b/>
          <w:bCs/>
        </w:rPr>
      </w:pPr>
    </w:p>
    <w:p w:rsidR="00997AA9" w:rsidRPr="009A2DCD" w:rsidP="00426707" w14:paraId="630BB8BF" w14:textId="77777777">
      <w:pPr>
        <w:widowControl/>
        <w:spacing w:after="120"/>
        <w:ind w:left="720" w:firstLine="720"/>
        <w:jc w:val="center"/>
        <w:rPr>
          <w:b/>
          <w:bCs/>
        </w:rPr>
      </w:pPr>
      <w:r w:rsidRPr="009A2DCD">
        <w:rPr>
          <w:b/>
          <w:bCs/>
        </w:rPr>
        <w:t xml:space="preserve">Supporting </w:t>
      </w:r>
      <w:r w:rsidRPr="009A2DCD" w:rsidR="00426707">
        <w:rPr>
          <w:b/>
          <w:bCs/>
        </w:rPr>
        <w:t xml:space="preserve">Statement A </w:t>
      </w:r>
    </w:p>
    <w:p w:rsidR="00554FC4" w:rsidRPr="009A2DCD" w:rsidP="00426707" w14:paraId="365F632E" w14:textId="4078884F">
      <w:pPr>
        <w:widowControl/>
        <w:spacing w:after="120"/>
        <w:ind w:left="720" w:firstLine="720"/>
        <w:jc w:val="center"/>
        <w:rPr>
          <w:b/>
          <w:bCs/>
        </w:rPr>
      </w:pPr>
      <w:r w:rsidRPr="009A2DCD">
        <w:rPr>
          <w:b/>
          <w:bCs/>
        </w:rPr>
        <w:t>Teen Pregnancy Prevention Performance Measures Collection</w:t>
      </w:r>
      <w:r w:rsidRPr="009A2DCD" w:rsidR="00997AA9">
        <w:rPr>
          <w:b/>
          <w:bCs/>
        </w:rPr>
        <w:t xml:space="preserve"> for </w:t>
      </w:r>
      <w:r w:rsidRPr="009A2DCD" w:rsidR="00BD72A6">
        <w:rPr>
          <w:b/>
          <w:bCs/>
        </w:rPr>
        <w:t>FY202</w:t>
      </w:r>
      <w:r w:rsidR="00BD72A6">
        <w:rPr>
          <w:b/>
          <w:bCs/>
        </w:rPr>
        <w:t>6</w:t>
      </w:r>
      <w:r w:rsidRPr="009A2DCD" w:rsidR="00BD72A6">
        <w:rPr>
          <w:b/>
          <w:bCs/>
        </w:rPr>
        <w:t xml:space="preserve"> </w:t>
      </w:r>
    </w:p>
    <w:p w:rsidR="00CF1DA3" w:rsidRPr="009A2DCD" w:rsidP="00426707" w14:paraId="6850C662" w14:textId="61E3A28F">
      <w:pPr>
        <w:widowControl/>
        <w:spacing w:after="120"/>
        <w:ind w:left="720" w:firstLine="720"/>
        <w:jc w:val="center"/>
        <w:rPr>
          <w:b/>
          <w:bCs/>
        </w:rPr>
      </w:pPr>
      <w:r w:rsidRPr="009A2DCD">
        <w:rPr>
          <w:b/>
          <w:bCs/>
        </w:rPr>
        <w:t xml:space="preserve">OMB </w:t>
      </w:r>
      <w:r w:rsidRPr="009A2DCD" w:rsidR="00F76BC1">
        <w:rPr>
          <w:b/>
          <w:bCs/>
        </w:rPr>
        <w:t xml:space="preserve">Control No. </w:t>
      </w:r>
      <w:r w:rsidRPr="009A2DCD" w:rsidR="00D42ACF">
        <w:rPr>
          <w:b/>
          <w:bCs/>
        </w:rPr>
        <w:t>09</w:t>
      </w:r>
      <w:r w:rsidRPr="009A2DCD" w:rsidR="00E545A8">
        <w:rPr>
          <w:b/>
          <w:bCs/>
        </w:rPr>
        <w:t>37-</w:t>
      </w:r>
      <w:r w:rsidR="0071328B">
        <w:rPr>
          <w:b/>
          <w:bCs/>
        </w:rPr>
        <w:t>0213</w:t>
      </w:r>
      <w:r w:rsidR="00A17714">
        <w:rPr>
          <w:b/>
          <w:bCs/>
        </w:rPr>
        <w:t xml:space="preserve"> </w:t>
      </w:r>
      <w:r w:rsidR="00705277">
        <w:rPr>
          <w:b/>
          <w:bCs/>
        </w:rPr>
        <w:t>R</w:t>
      </w:r>
      <w:r w:rsidR="00BE1C7F">
        <w:rPr>
          <w:b/>
          <w:bCs/>
        </w:rPr>
        <w:t>evi</w:t>
      </w:r>
      <w:r w:rsidR="00A17714">
        <w:rPr>
          <w:b/>
          <w:bCs/>
        </w:rPr>
        <w:t>sion</w:t>
      </w:r>
    </w:p>
    <w:p w:rsidR="00CF1DA3" w:rsidRPr="009A2DCD" w:rsidP="00426707" w14:paraId="7DD78034" w14:textId="4018E02A">
      <w:pPr>
        <w:widowControl/>
        <w:spacing w:after="120"/>
        <w:jc w:val="center"/>
        <w:rPr>
          <w:b/>
          <w:bCs/>
          <w:i/>
          <w:iCs/>
        </w:rPr>
      </w:pPr>
    </w:p>
    <w:p w:rsidR="00CF1DA3" w:rsidRPr="009A2DCD" w:rsidP="00CF1DA3" w14:paraId="4F5E4C97" w14:textId="77777777">
      <w:pPr>
        <w:widowControl/>
        <w:spacing w:after="120"/>
        <w:jc w:val="center"/>
        <w:rPr>
          <w:b/>
          <w:bCs/>
          <w:i/>
          <w:iCs/>
        </w:rPr>
      </w:pPr>
    </w:p>
    <w:p w:rsidR="00CF1DA3" w:rsidRPr="009A2DCD" w:rsidP="00CF1DA3" w14:paraId="60B96066" w14:textId="77777777">
      <w:pPr>
        <w:widowControl/>
        <w:spacing w:after="120"/>
        <w:jc w:val="center"/>
      </w:pPr>
    </w:p>
    <w:p w:rsidR="00CF1DA3" w:rsidRPr="009A2DCD" w:rsidP="00CF1DA3" w14:paraId="42B4212A" w14:textId="77777777">
      <w:pPr>
        <w:widowControl/>
        <w:spacing w:after="120"/>
        <w:jc w:val="center"/>
      </w:pPr>
    </w:p>
    <w:p w:rsidR="00426707" w:rsidRPr="009A2DCD" w:rsidP="00426707" w14:paraId="3053FFB8" w14:textId="77777777">
      <w:pPr>
        <w:widowControl/>
        <w:spacing w:after="120"/>
      </w:pPr>
    </w:p>
    <w:p w:rsidR="00426707" w:rsidRPr="009A2DCD" w:rsidP="00426707" w14:paraId="17252965" w14:textId="77777777">
      <w:pPr>
        <w:widowControl/>
        <w:spacing w:after="120"/>
      </w:pPr>
    </w:p>
    <w:p w:rsidR="00426707" w:rsidRPr="009A2DCD" w:rsidP="00426707" w14:paraId="0F01C8CF" w14:textId="77777777">
      <w:pPr>
        <w:widowControl/>
        <w:spacing w:after="120"/>
      </w:pPr>
    </w:p>
    <w:p w:rsidR="00426707" w:rsidRPr="009A2DCD" w:rsidP="00426707" w14:paraId="5D58B3E4" w14:textId="77777777">
      <w:pPr>
        <w:widowControl/>
        <w:spacing w:after="120"/>
      </w:pPr>
    </w:p>
    <w:p w:rsidR="00426707" w:rsidRPr="009A2DCD" w:rsidP="00426707" w14:paraId="2944AEBA" w14:textId="77777777">
      <w:pPr>
        <w:widowControl/>
        <w:spacing w:after="120"/>
      </w:pPr>
    </w:p>
    <w:p w:rsidR="00426707" w:rsidRPr="009A2DCD" w:rsidP="00426707" w14:paraId="4C8EB70E" w14:textId="77777777">
      <w:pPr>
        <w:widowControl/>
        <w:spacing w:after="120"/>
      </w:pPr>
    </w:p>
    <w:p w:rsidR="00CF1DA3" w:rsidRPr="009A2DCD" w:rsidP="00426707" w14:paraId="1369289E" w14:textId="4797913B">
      <w:pPr>
        <w:widowControl/>
        <w:spacing w:after="120"/>
      </w:pPr>
      <w:r w:rsidRPr="009A2DCD">
        <w:t>Ma</w:t>
      </w:r>
      <w:r w:rsidR="00BE1C7F">
        <w:t>rch</w:t>
      </w:r>
      <w:r w:rsidRPr="009A2DCD" w:rsidR="00E545A8">
        <w:t xml:space="preserve"> </w:t>
      </w:r>
      <w:r w:rsidRPr="009A2DCD" w:rsidR="00731F4F">
        <w:t>202</w:t>
      </w:r>
      <w:r w:rsidR="00731F4F">
        <w:t>6</w:t>
      </w:r>
    </w:p>
    <w:p w:rsidR="00426707" w:rsidRPr="009A2DCD" w:rsidP="00426707" w14:paraId="475F083C" w14:textId="77777777">
      <w:pPr>
        <w:widowControl/>
      </w:pPr>
      <w:r w:rsidRPr="009A2DCD">
        <w:t>Office of Population Affairs</w:t>
      </w:r>
    </w:p>
    <w:p w:rsidR="00426707" w:rsidRPr="009A2DCD" w:rsidP="00426707" w14:paraId="23CBB67F" w14:textId="619EC92D">
      <w:pPr>
        <w:widowControl/>
      </w:pPr>
      <w:r w:rsidRPr="009A2DCD">
        <w:t>U.S. Department of Health and Human Services</w:t>
      </w:r>
    </w:p>
    <w:p w:rsidR="00426707" w:rsidRPr="009A2DCD" w:rsidP="00426707" w14:paraId="5924F1AA" w14:textId="77777777">
      <w:pPr>
        <w:widowControl/>
      </w:pPr>
      <w:r w:rsidRPr="009A2DCD">
        <w:t>1101 Wootton Parkway, Suite 200</w:t>
      </w:r>
    </w:p>
    <w:p w:rsidR="00426707" w:rsidRPr="009A2DCD" w:rsidP="00426707" w14:paraId="7957E431" w14:textId="77777777">
      <w:pPr>
        <w:widowControl/>
      </w:pPr>
      <w:r w:rsidRPr="009A2DCD">
        <w:t>Rockville, MD 20852</w:t>
      </w:r>
    </w:p>
    <w:p w:rsidR="00426707" w:rsidP="00426707" w14:paraId="3BA52FBF" w14:textId="77777777">
      <w:pPr>
        <w:widowControl/>
        <w:spacing w:after="120"/>
      </w:pPr>
      <w:r w:rsidRPr="009A2DCD">
        <w:t xml:space="preserve">Contact Person: Tara Rice, </w:t>
      </w:r>
      <w:hyperlink r:id="rId9" w:history="1">
        <w:r w:rsidRPr="009A2DCD">
          <w:rPr>
            <w:rStyle w:val="Hyperlink"/>
            <w:color w:val="auto"/>
          </w:rPr>
          <w:t>tara.rice@hhs.gov</w:t>
        </w:r>
      </w:hyperlink>
      <w:r w:rsidRPr="009A2DCD">
        <w:t>, 240-453-8123</w:t>
      </w:r>
    </w:p>
    <w:p w:rsidR="00B410F2" w:rsidP="00426707" w14:paraId="0D94E10A" w14:textId="77777777">
      <w:pPr>
        <w:widowControl/>
        <w:spacing w:after="120"/>
      </w:pPr>
    </w:p>
    <w:p w:rsidR="00B410F2" w:rsidP="00426707" w14:paraId="7FD85C4E" w14:textId="77777777">
      <w:pPr>
        <w:widowControl/>
        <w:spacing w:after="120"/>
      </w:pPr>
    </w:p>
    <w:p w:rsidR="00B410F2" w:rsidP="00426707" w14:paraId="5AC9D120" w14:textId="77777777">
      <w:pPr>
        <w:widowControl/>
        <w:spacing w:after="120"/>
      </w:pPr>
    </w:p>
    <w:p w:rsidR="00B410F2" w:rsidP="00426707" w14:paraId="4665C9CA" w14:textId="77777777">
      <w:pPr>
        <w:widowControl/>
        <w:spacing w:after="120"/>
      </w:pPr>
    </w:p>
    <w:p w:rsidR="00B410F2" w:rsidP="00426707" w14:paraId="431F4B14" w14:textId="77777777">
      <w:pPr>
        <w:widowControl/>
        <w:spacing w:after="120"/>
      </w:pPr>
    </w:p>
    <w:p w:rsidR="00B410F2" w:rsidP="00426707" w14:paraId="0A955108" w14:textId="77777777">
      <w:pPr>
        <w:widowControl/>
        <w:spacing w:after="120"/>
      </w:pPr>
    </w:p>
    <w:p w:rsidR="00B410F2" w:rsidP="00426707" w14:paraId="799510EF" w14:textId="77777777">
      <w:pPr>
        <w:widowControl/>
        <w:spacing w:after="120"/>
      </w:pPr>
    </w:p>
    <w:p w:rsidR="00B410F2" w:rsidP="00426707" w14:paraId="2EBA6F15" w14:textId="77777777">
      <w:pPr>
        <w:widowControl/>
        <w:spacing w:after="120"/>
      </w:pPr>
    </w:p>
    <w:p w:rsidR="00B410F2" w:rsidP="00426707" w14:paraId="70346FC7" w14:textId="77777777">
      <w:pPr>
        <w:widowControl/>
        <w:spacing w:after="120"/>
      </w:pPr>
    </w:p>
    <w:p w:rsidR="00B410F2" w:rsidP="00426707" w14:paraId="7493AF55" w14:textId="77777777">
      <w:pPr>
        <w:widowControl/>
        <w:spacing w:after="120"/>
      </w:pPr>
    </w:p>
    <w:p w:rsidR="00B410F2" w:rsidP="00426707" w14:paraId="652C3822" w14:textId="77777777">
      <w:pPr>
        <w:widowControl/>
        <w:spacing w:after="120"/>
      </w:pPr>
    </w:p>
    <w:p w:rsidR="00CF1DA3" w:rsidRPr="00B410F2" w:rsidP="00CF1DA3" w14:paraId="5F3B3030" w14:textId="3CDCD4AB">
      <w:pPr>
        <w:widowControl/>
        <w:spacing w:after="120"/>
        <w:jc w:val="center"/>
        <w:rPr>
          <w:b/>
          <w:bCs/>
        </w:rPr>
      </w:pPr>
      <w:r w:rsidRPr="00B410F2">
        <w:rPr>
          <w:b/>
          <w:bCs/>
        </w:rPr>
        <w:t>Table of Contents</w:t>
      </w:r>
    </w:p>
    <w:p w:rsidR="00B410F2" w14:paraId="2D51FE19" w14:textId="408C4BA5">
      <w:pPr>
        <w:pStyle w:val="TOC2"/>
        <w:tabs>
          <w:tab w:val="left" w:pos="960"/>
          <w:tab w:val="right" w:leader="dot" w:pos="9350"/>
        </w:tabs>
        <w:rPr>
          <w:noProof/>
        </w:rPr>
      </w:pPr>
      <w:r>
        <w:fldChar w:fldCharType="begin"/>
      </w:r>
      <w:r>
        <w:instrText xml:space="preserve"> TOC \o "1-3" \h \z \u </w:instrText>
      </w:r>
      <w:r>
        <w:fldChar w:fldCharType="separate"/>
      </w:r>
      <w:hyperlink w:anchor="_Toc225240677" w:history="1">
        <w:r w:rsidRPr="00237FB7">
          <w:rPr>
            <w:rStyle w:val="Hyperlink"/>
            <w:noProof/>
          </w:rPr>
          <w:t xml:space="preserve">A. </w:t>
        </w:r>
        <w:r>
          <w:rPr>
            <w:noProof/>
          </w:rPr>
          <w:tab/>
        </w:r>
        <w:r w:rsidRPr="00237FB7">
          <w:rPr>
            <w:rStyle w:val="Hyperlink"/>
            <w:noProof/>
          </w:rPr>
          <w:t>Justification</w:t>
        </w:r>
        <w:r>
          <w:rPr>
            <w:noProof/>
            <w:webHidden/>
          </w:rPr>
          <w:tab/>
        </w:r>
        <w:r>
          <w:rPr>
            <w:noProof/>
            <w:webHidden/>
          </w:rPr>
          <w:fldChar w:fldCharType="begin"/>
        </w:r>
        <w:r>
          <w:rPr>
            <w:noProof/>
            <w:webHidden/>
          </w:rPr>
          <w:instrText xml:space="preserve"> PAGEREF _Toc225240677 \h </w:instrText>
        </w:r>
        <w:r>
          <w:rPr>
            <w:noProof/>
            <w:webHidden/>
          </w:rPr>
          <w:fldChar w:fldCharType="separate"/>
        </w:r>
        <w:r>
          <w:rPr>
            <w:noProof/>
            <w:webHidden/>
          </w:rPr>
          <w:t>3</w:t>
        </w:r>
        <w:r>
          <w:rPr>
            <w:noProof/>
            <w:webHidden/>
          </w:rPr>
          <w:fldChar w:fldCharType="end"/>
        </w:r>
      </w:hyperlink>
    </w:p>
    <w:p w:rsidR="00B410F2" w14:paraId="3D8DDC00" w14:textId="43038A80">
      <w:pPr>
        <w:pStyle w:val="TOC2"/>
        <w:tabs>
          <w:tab w:val="left" w:pos="720"/>
          <w:tab w:val="right" w:leader="dot" w:pos="9350"/>
        </w:tabs>
        <w:rPr>
          <w:noProof/>
        </w:rPr>
      </w:pPr>
      <w:hyperlink w:anchor="_Toc225240678" w:history="1">
        <w:r w:rsidRPr="00237FB7">
          <w:rPr>
            <w:rStyle w:val="Hyperlink"/>
            <w:noProof/>
          </w:rPr>
          <w:t>1.</w:t>
        </w:r>
        <w:r>
          <w:rPr>
            <w:noProof/>
          </w:rPr>
          <w:tab/>
        </w:r>
        <w:r w:rsidRPr="00237FB7">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_Toc225240678 \h </w:instrText>
        </w:r>
        <w:r>
          <w:rPr>
            <w:noProof/>
            <w:webHidden/>
          </w:rPr>
          <w:fldChar w:fldCharType="separate"/>
        </w:r>
        <w:r>
          <w:rPr>
            <w:noProof/>
            <w:webHidden/>
          </w:rPr>
          <w:t>3</w:t>
        </w:r>
        <w:r>
          <w:rPr>
            <w:noProof/>
            <w:webHidden/>
          </w:rPr>
          <w:fldChar w:fldCharType="end"/>
        </w:r>
      </w:hyperlink>
    </w:p>
    <w:p w:rsidR="00B410F2" w14:paraId="063DBA74" w14:textId="669368EA">
      <w:pPr>
        <w:pStyle w:val="TOC2"/>
        <w:tabs>
          <w:tab w:val="left" w:pos="720"/>
          <w:tab w:val="right" w:leader="dot" w:pos="9350"/>
        </w:tabs>
        <w:rPr>
          <w:noProof/>
        </w:rPr>
      </w:pPr>
      <w:hyperlink w:anchor="_Toc225240679" w:history="1">
        <w:r w:rsidRPr="00237FB7">
          <w:rPr>
            <w:rStyle w:val="Hyperlink"/>
            <w:noProof/>
          </w:rPr>
          <w:t>2.</w:t>
        </w:r>
        <w:r>
          <w:rPr>
            <w:noProof/>
          </w:rPr>
          <w:tab/>
        </w:r>
        <w:r w:rsidRPr="00237FB7">
          <w:rPr>
            <w:rStyle w:val="Hyperlink"/>
            <w:noProof/>
          </w:rPr>
          <w:t>Purpose and Use of Information Collection</w:t>
        </w:r>
        <w:r>
          <w:rPr>
            <w:noProof/>
            <w:webHidden/>
          </w:rPr>
          <w:tab/>
        </w:r>
        <w:r>
          <w:rPr>
            <w:noProof/>
            <w:webHidden/>
          </w:rPr>
          <w:fldChar w:fldCharType="begin"/>
        </w:r>
        <w:r>
          <w:rPr>
            <w:noProof/>
            <w:webHidden/>
          </w:rPr>
          <w:instrText xml:space="preserve"> PAGEREF _Toc225240679 \h </w:instrText>
        </w:r>
        <w:r>
          <w:rPr>
            <w:noProof/>
            <w:webHidden/>
          </w:rPr>
          <w:fldChar w:fldCharType="separate"/>
        </w:r>
        <w:r>
          <w:rPr>
            <w:noProof/>
            <w:webHidden/>
          </w:rPr>
          <w:t>4</w:t>
        </w:r>
        <w:r>
          <w:rPr>
            <w:noProof/>
            <w:webHidden/>
          </w:rPr>
          <w:fldChar w:fldCharType="end"/>
        </w:r>
      </w:hyperlink>
    </w:p>
    <w:p w:rsidR="00B410F2" w14:paraId="0926AE70" w14:textId="119BD50E">
      <w:pPr>
        <w:pStyle w:val="TOC2"/>
        <w:tabs>
          <w:tab w:val="left" w:pos="720"/>
          <w:tab w:val="right" w:leader="dot" w:pos="9350"/>
        </w:tabs>
        <w:rPr>
          <w:noProof/>
        </w:rPr>
      </w:pPr>
      <w:hyperlink w:anchor="_Toc225240680" w:history="1">
        <w:r w:rsidRPr="00237FB7">
          <w:rPr>
            <w:rStyle w:val="Hyperlink"/>
            <w:noProof/>
          </w:rPr>
          <w:t>3.</w:t>
        </w:r>
        <w:r>
          <w:rPr>
            <w:noProof/>
          </w:rPr>
          <w:tab/>
        </w:r>
        <w:r w:rsidRPr="00237FB7">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_Toc225240680 \h </w:instrText>
        </w:r>
        <w:r>
          <w:rPr>
            <w:noProof/>
            <w:webHidden/>
          </w:rPr>
          <w:fldChar w:fldCharType="separate"/>
        </w:r>
        <w:r>
          <w:rPr>
            <w:noProof/>
            <w:webHidden/>
          </w:rPr>
          <w:t>6</w:t>
        </w:r>
        <w:r>
          <w:rPr>
            <w:noProof/>
            <w:webHidden/>
          </w:rPr>
          <w:fldChar w:fldCharType="end"/>
        </w:r>
      </w:hyperlink>
    </w:p>
    <w:p w:rsidR="00B410F2" w14:paraId="2BFEBE4E" w14:textId="6BCA85F7">
      <w:pPr>
        <w:pStyle w:val="TOC2"/>
        <w:tabs>
          <w:tab w:val="left" w:pos="720"/>
          <w:tab w:val="right" w:leader="dot" w:pos="9350"/>
        </w:tabs>
        <w:rPr>
          <w:noProof/>
        </w:rPr>
      </w:pPr>
      <w:hyperlink w:anchor="_Toc225240681" w:history="1">
        <w:r w:rsidRPr="00237FB7">
          <w:rPr>
            <w:rStyle w:val="Hyperlink"/>
            <w:noProof/>
          </w:rPr>
          <w:t>4.</w:t>
        </w:r>
        <w:r>
          <w:rPr>
            <w:noProof/>
          </w:rPr>
          <w:tab/>
        </w:r>
        <w:r w:rsidRPr="00237FB7">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_Toc225240681 \h </w:instrText>
        </w:r>
        <w:r>
          <w:rPr>
            <w:noProof/>
            <w:webHidden/>
          </w:rPr>
          <w:fldChar w:fldCharType="separate"/>
        </w:r>
        <w:r>
          <w:rPr>
            <w:noProof/>
            <w:webHidden/>
          </w:rPr>
          <w:t>6</w:t>
        </w:r>
        <w:r>
          <w:rPr>
            <w:noProof/>
            <w:webHidden/>
          </w:rPr>
          <w:fldChar w:fldCharType="end"/>
        </w:r>
      </w:hyperlink>
    </w:p>
    <w:p w:rsidR="00B410F2" w14:paraId="66D771FA" w14:textId="48CAB48A">
      <w:pPr>
        <w:pStyle w:val="TOC2"/>
        <w:tabs>
          <w:tab w:val="left" w:pos="720"/>
          <w:tab w:val="right" w:leader="dot" w:pos="9350"/>
        </w:tabs>
        <w:rPr>
          <w:noProof/>
        </w:rPr>
      </w:pPr>
      <w:hyperlink w:anchor="_Toc225240682" w:history="1">
        <w:r w:rsidRPr="00237FB7">
          <w:rPr>
            <w:rStyle w:val="Hyperlink"/>
            <w:noProof/>
          </w:rPr>
          <w:t>5.</w:t>
        </w:r>
        <w:r>
          <w:rPr>
            <w:noProof/>
          </w:rPr>
          <w:tab/>
        </w:r>
        <w:r w:rsidRPr="00237FB7">
          <w:rPr>
            <w:rStyle w:val="Hyperlink"/>
            <w:noProof/>
          </w:rPr>
          <w:t>Impact on Small Businesses or Other Small Entities</w:t>
        </w:r>
        <w:r>
          <w:rPr>
            <w:noProof/>
            <w:webHidden/>
          </w:rPr>
          <w:tab/>
        </w:r>
        <w:r>
          <w:rPr>
            <w:noProof/>
            <w:webHidden/>
          </w:rPr>
          <w:fldChar w:fldCharType="begin"/>
        </w:r>
        <w:r>
          <w:rPr>
            <w:noProof/>
            <w:webHidden/>
          </w:rPr>
          <w:instrText xml:space="preserve"> PAGEREF _Toc225240682 \h </w:instrText>
        </w:r>
        <w:r>
          <w:rPr>
            <w:noProof/>
            <w:webHidden/>
          </w:rPr>
          <w:fldChar w:fldCharType="separate"/>
        </w:r>
        <w:r>
          <w:rPr>
            <w:noProof/>
            <w:webHidden/>
          </w:rPr>
          <w:t>7</w:t>
        </w:r>
        <w:r>
          <w:rPr>
            <w:noProof/>
            <w:webHidden/>
          </w:rPr>
          <w:fldChar w:fldCharType="end"/>
        </w:r>
      </w:hyperlink>
    </w:p>
    <w:p w:rsidR="00B410F2" w14:paraId="723C7423" w14:textId="09253043">
      <w:pPr>
        <w:pStyle w:val="TOC2"/>
        <w:tabs>
          <w:tab w:val="left" w:pos="720"/>
          <w:tab w:val="right" w:leader="dot" w:pos="9350"/>
        </w:tabs>
        <w:rPr>
          <w:noProof/>
        </w:rPr>
      </w:pPr>
      <w:hyperlink w:anchor="_Toc225240683" w:history="1">
        <w:r w:rsidRPr="00237FB7">
          <w:rPr>
            <w:rStyle w:val="Hyperlink"/>
            <w:noProof/>
          </w:rPr>
          <w:t>6.</w:t>
        </w:r>
        <w:r>
          <w:rPr>
            <w:noProof/>
          </w:rPr>
          <w:tab/>
        </w:r>
        <w:r w:rsidRPr="00237FB7">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_Toc225240683 \h </w:instrText>
        </w:r>
        <w:r>
          <w:rPr>
            <w:noProof/>
            <w:webHidden/>
          </w:rPr>
          <w:fldChar w:fldCharType="separate"/>
        </w:r>
        <w:r>
          <w:rPr>
            <w:noProof/>
            <w:webHidden/>
          </w:rPr>
          <w:t>7</w:t>
        </w:r>
        <w:r>
          <w:rPr>
            <w:noProof/>
            <w:webHidden/>
          </w:rPr>
          <w:fldChar w:fldCharType="end"/>
        </w:r>
      </w:hyperlink>
    </w:p>
    <w:p w:rsidR="00B410F2" w14:paraId="14404746" w14:textId="4852B7BD">
      <w:pPr>
        <w:pStyle w:val="TOC2"/>
        <w:tabs>
          <w:tab w:val="left" w:pos="720"/>
          <w:tab w:val="right" w:leader="dot" w:pos="9350"/>
        </w:tabs>
        <w:rPr>
          <w:noProof/>
        </w:rPr>
      </w:pPr>
      <w:hyperlink w:anchor="_Toc225240684" w:history="1">
        <w:r w:rsidRPr="00237FB7">
          <w:rPr>
            <w:rStyle w:val="Hyperlink"/>
            <w:noProof/>
          </w:rPr>
          <w:t>7.</w:t>
        </w:r>
        <w:r>
          <w:rPr>
            <w:noProof/>
          </w:rPr>
          <w:tab/>
        </w:r>
        <w:r w:rsidRPr="00237FB7">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_Toc225240684 \h </w:instrText>
        </w:r>
        <w:r>
          <w:rPr>
            <w:noProof/>
            <w:webHidden/>
          </w:rPr>
          <w:fldChar w:fldCharType="separate"/>
        </w:r>
        <w:r>
          <w:rPr>
            <w:noProof/>
            <w:webHidden/>
          </w:rPr>
          <w:t>7</w:t>
        </w:r>
        <w:r>
          <w:rPr>
            <w:noProof/>
            <w:webHidden/>
          </w:rPr>
          <w:fldChar w:fldCharType="end"/>
        </w:r>
      </w:hyperlink>
    </w:p>
    <w:p w:rsidR="00B410F2" w14:paraId="00FAF2EB" w14:textId="7AD19257">
      <w:pPr>
        <w:pStyle w:val="TOC2"/>
        <w:tabs>
          <w:tab w:val="left" w:pos="720"/>
          <w:tab w:val="right" w:leader="dot" w:pos="9350"/>
        </w:tabs>
        <w:rPr>
          <w:noProof/>
        </w:rPr>
      </w:pPr>
      <w:hyperlink w:anchor="_Toc225240685" w:history="1">
        <w:r w:rsidRPr="00237FB7">
          <w:rPr>
            <w:rStyle w:val="Hyperlink"/>
            <w:noProof/>
          </w:rPr>
          <w:t>8.</w:t>
        </w:r>
        <w:r>
          <w:rPr>
            <w:noProof/>
          </w:rPr>
          <w:tab/>
        </w:r>
        <w:r w:rsidRPr="00237FB7">
          <w:rPr>
            <w:rStyle w:val="Hyperlink"/>
            <w:noProof/>
          </w:rPr>
          <w:t>Comments in Response to the Federal Register Notice/Outside Consultation</w:t>
        </w:r>
        <w:r>
          <w:rPr>
            <w:noProof/>
            <w:webHidden/>
          </w:rPr>
          <w:tab/>
        </w:r>
        <w:r>
          <w:rPr>
            <w:noProof/>
            <w:webHidden/>
          </w:rPr>
          <w:fldChar w:fldCharType="begin"/>
        </w:r>
        <w:r>
          <w:rPr>
            <w:noProof/>
            <w:webHidden/>
          </w:rPr>
          <w:instrText xml:space="preserve"> PAGEREF _Toc225240685 \h </w:instrText>
        </w:r>
        <w:r>
          <w:rPr>
            <w:noProof/>
            <w:webHidden/>
          </w:rPr>
          <w:fldChar w:fldCharType="separate"/>
        </w:r>
        <w:r>
          <w:rPr>
            <w:noProof/>
            <w:webHidden/>
          </w:rPr>
          <w:t>7</w:t>
        </w:r>
        <w:r>
          <w:rPr>
            <w:noProof/>
            <w:webHidden/>
          </w:rPr>
          <w:fldChar w:fldCharType="end"/>
        </w:r>
      </w:hyperlink>
    </w:p>
    <w:p w:rsidR="00B410F2" w14:paraId="3645D479" w14:textId="62A3A81B">
      <w:pPr>
        <w:pStyle w:val="TOC2"/>
        <w:tabs>
          <w:tab w:val="left" w:pos="720"/>
          <w:tab w:val="right" w:leader="dot" w:pos="9350"/>
        </w:tabs>
        <w:rPr>
          <w:noProof/>
        </w:rPr>
      </w:pPr>
      <w:hyperlink w:anchor="_Toc225240686" w:history="1">
        <w:r w:rsidRPr="00237FB7">
          <w:rPr>
            <w:rStyle w:val="Hyperlink"/>
            <w:noProof/>
          </w:rPr>
          <w:t>9.</w:t>
        </w:r>
        <w:r>
          <w:rPr>
            <w:noProof/>
          </w:rPr>
          <w:tab/>
        </w:r>
        <w:r w:rsidRPr="00237FB7">
          <w:rPr>
            <w:rStyle w:val="Hyperlink"/>
            <w:noProof/>
          </w:rPr>
          <w:t>Explanation of any Payment/Gift to Respondents</w:t>
        </w:r>
        <w:r>
          <w:rPr>
            <w:noProof/>
            <w:webHidden/>
          </w:rPr>
          <w:tab/>
        </w:r>
        <w:r>
          <w:rPr>
            <w:noProof/>
            <w:webHidden/>
          </w:rPr>
          <w:fldChar w:fldCharType="begin"/>
        </w:r>
        <w:r>
          <w:rPr>
            <w:noProof/>
            <w:webHidden/>
          </w:rPr>
          <w:instrText xml:space="preserve"> PAGEREF _Toc225240686 \h </w:instrText>
        </w:r>
        <w:r>
          <w:rPr>
            <w:noProof/>
            <w:webHidden/>
          </w:rPr>
          <w:fldChar w:fldCharType="separate"/>
        </w:r>
        <w:r>
          <w:rPr>
            <w:noProof/>
            <w:webHidden/>
          </w:rPr>
          <w:t>9</w:t>
        </w:r>
        <w:r>
          <w:rPr>
            <w:noProof/>
            <w:webHidden/>
          </w:rPr>
          <w:fldChar w:fldCharType="end"/>
        </w:r>
      </w:hyperlink>
    </w:p>
    <w:p w:rsidR="00B410F2" w14:paraId="2FF4FB27" w14:textId="10E49E6F">
      <w:pPr>
        <w:pStyle w:val="TOC2"/>
        <w:tabs>
          <w:tab w:val="left" w:pos="960"/>
          <w:tab w:val="right" w:leader="dot" w:pos="9350"/>
        </w:tabs>
        <w:rPr>
          <w:noProof/>
        </w:rPr>
      </w:pPr>
      <w:hyperlink w:anchor="_Toc225240687" w:history="1">
        <w:r w:rsidRPr="00237FB7">
          <w:rPr>
            <w:rStyle w:val="Hyperlink"/>
            <w:noProof/>
          </w:rPr>
          <w:t>10.</w:t>
        </w:r>
        <w:r>
          <w:rPr>
            <w:noProof/>
          </w:rPr>
          <w:tab/>
        </w:r>
        <w:r w:rsidRPr="00237FB7">
          <w:rPr>
            <w:rStyle w:val="Hyperlink"/>
            <w:noProof/>
          </w:rPr>
          <w:t>Assurance of Confidentiality Provided to Respondents</w:t>
        </w:r>
        <w:r>
          <w:rPr>
            <w:noProof/>
            <w:webHidden/>
          </w:rPr>
          <w:tab/>
        </w:r>
        <w:r>
          <w:rPr>
            <w:noProof/>
            <w:webHidden/>
          </w:rPr>
          <w:fldChar w:fldCharType="begin"/>
        </w:r>
        <w:r>
          <w:rPr>
            <w:noProof/>
            <w:webHidden/>
          </w:rPr>
          <w:instrText xml:space="preserve"> PAGEREF _Toc225240687 \h </w:instrText>
        </w:r>
        <w:r>
          <w:rPr>
            <w:noProof/>
            <w:webHidden/>
          </w:rPr>
          <w:fldChar w:fldCharType="separate"/>
        </w:r>
        <w:r>
          <w:rPr>
            <w:noProof/>
            <w:webHidden/>
          </w:rPr>
          <w:t>9</w:t>
        </w:r>
        <w:r>
          <w:rPr>
            <w:noProof/>
            <w:webHidden/>
          </w:rPr>
          <w:fldChar w:fldCharType="end"/>
        </w:r>
      </w:hyperlink>
    </w:p>
    <w:p w:rsidR="00B410F2" w14:paraId="6453DA43" w14:textId="40DBF383">
      <w:pPr>
        <w:pStyle w:val="TOC2"/>
        <w:tabs>
          <w:tab w:val="left" w:pos="960"/>
          <w:tab w:val="right" w:leader="dot" w:pos="9350"/>
        </w:tabs>
        <w:rPr>
          <w:noProof/>
        </w:rPr>
      </w:pPr>
      <w:hyperlink w:anchor="_Toc225240688" w:history="1">
        <w:r w:rsidRPr="00237FB7">
          <w:rPr>
            <w:rStyle w:val="Hyperlink"/>
            <w:noProof/>
          </w:rPr>
          <w:t>11.</w:t>
        </w:r>
        <w:r>
          <w:rPr>
            <w:noProof/>
          </w:rPr>
          <w:tab/>
        </w:r>
        <w:r w:rsidRPr="00237FB7">
          <w:rPr>
            <w:rStyle w:val="Hyperlink"/>
            <w:noProof/>
          </w:rPr>
          <w:t>Justification for Sensitive Questions</w:t>
        </w:r>
        <w:r>
          <w:rPr>
            <w:noProof/>
            <w:webHidden/>
          </w:rPr>
          <w:tab/>
        </w:r>
        <w:r>
          <w:rPr>
            <w:noProof/>
            <w:webHidden/>
          </w:rPr>
          <w:fldChar w:fldCharType="begin"/>
        </w:r>
        <w:r>
          <w:rPr>
            <w:noProof/>
            <w:webHidden/>
          </w:rPr>
          <w:instrText xml:space="preserve"> PAGEREF _Toc225240688 \h </w:instrText>
        </w:r>
        <w:r>
          <w:rPr>
            <w:noProof/>
            <w:webHidden/>
          </w:rPr>
          <w:fldChar w:fldCharType="separate"/>
        </w:r>
        <w:r>
          <w:rPr>
            <w:noProof/>
            <w:webHidden/>
          </w:rPr>
          <w:t>10</w:t>
        </w:r>
        <w:r>
          <w:rPr>
            <w:noProof/>
            <w:webHidden/>
          </w:rPr>
          <w:fldChar w:fldCharType="end"/>
        </w:r>
      </w:hyperlink>
    </w:p>
    <w:p w:rsidR="00B410F2" w14:paraId="7FE92709" w14:textId="62B5399B">
      <w:pPr>
        <w:pStyle w:val="TOC2"/>
        <w:tabs>
          <w:tab w:val="left" w:pos="960"/>
          <w:tab w:val="right" w:leader="dot" w:pos="9350"/>
        </w:tabs>
        <w:rPr>
          <w:noProof/>
        </w:rPr>
      </w:pPr>
      <w:hyperlink w:anchor="_Toc225240689" w:history="1">
        <w:r w:rsidRPr="00237FB7">
          <w:rPr>
            <w:rStyle w:val="Hyperlink"/>
            <w:noProof/>
          </w:rPr>
          <w:t>12.</w:t>
        </w:r>
        <w:r>
          <w:rPr>
            <w:noProof/>
          </w:rPr>
          <w:tab/>
        </w:r>
        <w:r w:rsidRPr="00237FB7">
          <w:rPr>
            <w:rStyle w:val="Hyperlink"/>
            <w:noProof/>
          </w:rPr>
          <w:t>Estimates of Annualized Hour and Cost Burden</w:t>
        </w:r>
        <w:r>
          <w:rPr>
            <w:noProof/>
            <w:webHidden/>
          </w:rPr>
          <w:tab/>
        </w:r>
        <w:r>
          <w:rPr>
            <w:noProof/>
            <w:webHidden/>
          </w:rPr>
          <w:fldChar w:fldCharType="begin"/>
        </w:r>
        <w:r>
          <w:rPr>
            <w:noProof/>
            <w:webHidden/>
          </w:rPr>
          <w:instrText xml:space="preserve"> PAGEREF _Toc225240689 \h </w:instrText>
        </w:r>
        <w:r>
          <w:rPr>
            <w:noProof/>
            <w:webHidden/>
          </w:rPr>
          <w:fldChar w:fldCharType="separate"/>
        </w:r>
        <w:r>
          <w:rPr>
            <w:noProof/>
            <w:webHidden/>
          </w:rPr>
          <w:t>10</w:t>
        </w:r>
        <w:r>
          <w:rPr>
            <w:noProof/>
            <w:webHidden/>
          </w:rPr>
          <w:fldChar w:fldCharType="end"/>
        </w:r>
      </w:hyperlink>
    </w:p>
    <w:p w:rsidR="00B410F2" w14:paraId="2E8B7749" w14:textId="29CE6B91">
      <w:pPr>
        <w:pStyle w:val="TOC3"/>
        <w:tabs>
          <w:tab w:val="right" w:leader="dot" w:pos="9350"/>
        </w:tabs>
        <w:rPr>
          <w:noProof/>
        </w:rPr>
      </w:pPr>
      <w:hyperlink w:anchor="_Toc225240690" w:history="1">
        <w:r w:rsidRPr="00237FB7">
          <w:rPr>
            <w:rStyle w:val="Hyperlink"/>
            <w:bCs/>
            <w:noProof/>
          </w:rPr>
          <w:t>12B. Estimated Annualized Cost to Respondents</w:t>
        </w:r>
        <w:r>
          <w:rPr>
            <w:noProof/>
            <w:webHidden/>
          </w:rPr>
          <w:tab/>
        </w:r>
        <w:r>
          <w:rPr>
            <w:noProof/>
            <w:webHidden/>
          </w:rPr>
          <w:fldChar w:fldCharType="begin"/>
        </w:r>
        <w:r>
          <w:rPr>
            <w:noProof/>
            <w:webHidden/>
          </w:rPr>
          <w:instrText xml:space="preserve"> PAGEREF _Toc225240690 \h </w:instrText>
        </w:r>
        <w:r>
          <w:rPr>
            <w:noProof/>
            <w:webHidden/>
          </w:rPr>
          <w:fldChar w:fldCharType="separate"/>
        </w:r>
        <w:r>
          <w:rPr>
            <w:noProof/>
            <w:webHidden/>
          </w:rPr>
          <w:t>11</w:t>
        </w:r>
        <w:r>
          <w:rPr>
            <w:noProof/>
            <w:webHidden/>
          </w:rPr>
          <w:fldChar w:fldCharType="end"/>
        </w:r>
      </w:hyperlink>
    </w:p>
    <w:p w:rsidR="00B410F2" w14:paraId="376BFE77" w14:textId="223B68D9">
      <w:pPr>
        <w:pStyle w:val="TOC2"/>
        <w:tabs>
          <w:tab w:val="left" w:pos="960"/>
          <w:tab w:val="right" w:leader="dot" w:pos="9350"/>
        </w:tabs>
        <w:rPr>
          <w:noProof/>
        </w:rPr>
      </w:pPr>
      <w:hyperlink w:anchor="_Toc225240691" w:history="1">
        <w:r w:rsidRPr="00237FB7">
          <w:rPr>
            <w:rStyle w:val="Hyperlink"/>
            <w:noProof/>
          </w:rPr>
          <w:t>13.</w:t>
        </w:r>
        <w:r>
          <w:rPr>
            <w:noProof/>
          </w:rPr>
          <w:tab/>
        </w:r>
        <w:r w:rsidRPr="00237FB7">
          <w:rPr>
            <w:rStyle w:val="Hyperlink"/>
            <w:noProof/>
          </w:rPr>
          <w:t>Estimates of other Total Annual Cost Burden to Respondents or Record keepers/Capital Costs</w:t>
        </w:r>
        <w:r>
          <w:rPr>
            <w:noProof/>
            <w:webHidden/>
          </w:rPr>
          <w:tab/>
        </w:r>
        <w:r>
          <w:rPr>
            <w:noProof/>
            <w:webHidden/>
          </w:rPr>
          <w:fldChar w:fldCharType="begin"/>
        </w:r>
        <w:r>
          <w:rPr>
            <w:noProof/>
            <w:webHidden/>
          </w:rPr>
          <w:instrText xml:space="preserve"> PAGEREF _Toc225240691 \h </w:instrText>
        </w:r>
        <w:r>
          <w:rPr>
            <w:noProof/>
            <w:webHidden/>
          </w:rPr>
          <w:fldChar w:fldCharType="separate"/>
        </w:r>
        <w:r>
          <w:rPr>
            <w:noProof/>
            <w:webHidden/>
          </w:rPr>
          <w:t>11</w:t>
        </w:r>
        <w:r>
          <w:rPr>
            <w:noProof/>
            <w:webHidden/>
          </w:rPr>
          <w:fldChar w:fldCharType="end"/>
        </w:r>
      </w:hyperlink>
    </w:p>
    <w:p w:rsidR="00B410F2" w14:paraId="450DF7FE" w14:textId="078D0DFE">
      <w:pPr>
        <w:pStyle w:val="TOC2"/>
        <w:tabs>
          <w:tab w:val="left" w:pos="960"/>
          <w:tab w:val="right" w:leader="dot" w:pos="9350"/>
        </w:tabs>
        <w:rPr>
          <w:noProof/>
        </w:rPr>
      </w:pPr>
      <w:hyperlink w:anchor="_Toc225240692" w:history="1">
        <w:r w:rsidRPr="00237FB7">
          <w:rPr>
            <w:rStyle w:val="Hyperlink"/>
            <w:noProof/>
          </w:rPr>
          <w:t>14.</w:t>
        </w:r>
        <w:r>
          <w:rPr>
            <w:noProof/>
          </w:rPr>
          <w:tab/>
        </w:r>
        <w:r w:rsidRPr="00237FB7">
          <w:rPr>
            <w:rStyle w:val="Hyperlink"/>
            <w:noProof/>
          </w:rPr>
          <w:t>Annualized Cost to Federal Government</w:t>
        </w:r>
        <w:r>
          <w:rPr>
            <w:noProof/>
            <w:webHidden/>
          </w:rPr>
          <w:tab/>
        </w:r>
        <w:r>
          <w:rPr>
            <w:noProof/>
            <w:webHidden/>
          </w:rPr>
          <w:fldChar w:fldCharType="begin"/>
        </w:r>
        <w:r>
          <w:rPr>
            <w:noProof/>
            <w:webHidden/>
          </w:rPr>
          <w:instrText xml:space="preserve"> PAGEREF _Toc225240692 \h </w:instrText>
        </w:r>
        <w:r>
          <w:rPr>
            <w:noProof/>
            <w:webHidden/>
          </w:rPr>
          <w:fldChar w:fldCharType="separate"/>
        </w:r>
        <w:r>
          <w:rPr>
            <w:noProof/>
            <w:webHidden/>
          </w:rPr>
          <w:t>11</w:t>
        </w:r>
        <w:r>
          <w:rPr>
            <w:noProof/>
            <w:webHidden/>
          </w:rPr>
          <w:fldChar w:fldCharType="end"/>
        </w:r>
      </w:hyperlink>
    </w:p>
    <w:p w:rsidR="00B410F2" w14:paraId="43EFA02B" w14:textId="4951DE82">
      <w:pPr>
        <w:pStyle w:val="TOC2"/>
        <w:tabs>
          <w:tab w:val="left" w:pos="960"/>
          <w:tab w:val="right" w:leader="dot" w:pos="9350"/>
        </w:tabs>
        <w:rPr>
          <w:noProof/>
        </w:rPr>
      </w:pPr>
      <w:hyperlink w:anchor="_Toc225240693" w:history="1">
        <w:r w:rsidRPr="00237FB7">
          <w:rPr>
            <w:rStyle w:val="Hyperlink"/>
            <w:noProof/>
          </w:rPr>
          <w:t>15.</w:t>
        </w:r>
        <w:r>
          <w:rPr>
            <w:noProof/>
          </w:rPr>
          <w:tab/>
        </w:r>
        <w:r w:rsidRPr="00237FB7">
          <w:rPr>
            <w:rStyle w:val="Hyperlink"/>
            <w:noProof/>
          </w:rPr>
          <w:t>Explanation for Program Changes or Adjustments</w:t>
        </w:r>
        <w:r>
          <w:rPr>
            <w:noProof/>
            <w:webHidden/>
          </w:rPr>
          <w:tab/>
        </w:r>
        <w:r>
          <w:rPr>
            <w:noProof/>
            <w:webHidden/>
          </w:rPr>
          <w:fldChar w:fldCharType="begin"/>
        </w:r>
        <w:r>
          <w:rPr>
            <w:noProof/>
            <w:webHidden/>
          </w:rPr>
          <w:instrText xml:space="preserve"> PAGEREF _Toc225240693 \h </w:instrText>
        </w:r>
        <w:r>
          <w:rPr>
            <w:noProof/>
            <w:webHidden/>
          </w:rPr>
          <w:fldChar w:fldCharType="separate"/>
        </w:r>
        <w:r>
          <w:rPr>
            <w:noProof/>
            <w:webHidden/>
          </w:rPr>
          <w:t>12</w:t>
        </w:r>
        <w:r>
          <w:rPr>
            <w:noProof/>
            <w:webHidden/>
          </w:rPr>
          <w:fldChar w:fldCharType="end"/>
        </w:r>
      </w:hyperlink>
    </w:p>
    <w:p w:rsidR="00B410F2" w14:paraId="5AE063BE" w14:textId="660F930E">
      <w:pPr>
        <w:pStyle w:val="TOC2"/>
        <w:tabs>
          <w:tab w:val="left" w:pos="960"/>
          <w:tab w:val="right" w:leader="dot" w:pos="9350"/>
        </w:tabs>
        <w:rPr>
          <w:noProof/>
        </w:rPr>
      </w:pPr>
      <w:hyperlink w:anchor="_Toc225240694" w:history="1">
        <w:r w:rsidRPr="00237FB7">
          <w:rPr>
            <w:rStyle w:val="Hyperlink"/>
            <w:noProof/>
          </w:rPr>
          <w:t>16.</w:t>
        </w:r>
        <w:r>
          <w:rPr>
            <w:noProof/>
          </w:rPr>
          <w:tab/>
        </w:r>
        <w:r w:rsidRPr="00237FB7">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_Toc225240694 \h </w:instrText>
        </w:r>
        <w:r>
          <w:rPr>
            <w:noProof/>
            <w:webHidden/>
          </w:rPr>
          <w:fldChar w:fldCharType="separate"/>
        </w:r>
        <w:r>
          <w:rPr>
            <w:noProof/>
            <w:webHidden/>
          </w:rPr>
          <w:t>12</w:t>
        </w:r>
        <w:r>
          <w:rPr>
            <w:noProof/>
            <w:webHidden/>
          </w:rPr>
          <w:fldChar w:fldCharType="end"/>
        </w:r>
      </w:hyperlink>
    </w:p>
    <w:p w:rsidR="00B410F2" w14:paraId="6D5F4CDB" w14:textId="77206132">
      <w:pPr>
        <w:pStyle w:val="TOC2"/>
        <w:tabs>
          <w:tab w:val="left" w:pos="960"/>
          <w:tab w:val="right" w:leader="dot" w:pos="9350"/>
        </w:tabs>
        <w:rPr>
          <w:noProof/>
        </w:rPr>
      </w:pPr>
      <w:hyperlink w:anchor="_Toc225240695" w:history="1">
        <w:r w:rsidRPr="00237FB7">
          <w:rPr>
            <w:rStyle w:val="Hyperlink"/>
            <w:noProof/>
          </w:rPr>
          <w:t>17.</w:t>
        </w:r>
        <w:r>
          <w:rPr>
            <w:noProof/>
          </w:rPr>
          <w:tab/>
        </w:r>
        <w:r w:rsidRPr="00237FB7">
          <w:rPr>
            <w:rStyle w:val="Hyperlink"/>
            <w:noProof/>
          </w:rPr>
          <w:t>Reason(s) Display of Expiration Date is Inappropriate</w:t>
        </w:r>
        <w:r>
          <w:rPr>
            <w:noProof/>
            <w:webHidden/>
          </w:rPr>
          <w:tab/>
        </w:r>
        <w:r>
          <w:rPr>
            <w:noProof/>
            <w:webHidden/>
          </w:rPr>
          <w:fldChar w:fldCharType="begin"/>
        </w:r>
        <w:r>
          <w:rPr>
            <w:noProof/>
            <w:webHidden/>
          </w:rPr>
          <w:instrText xml:space="preserve"> PAGEREF _Toc225240695 \h </w:instrText>
        </w:r>
        <w:r>
          <w:rPr>
            <w:noProof/>
            <w:webHidden/>
          </w:rPr>
          <w:fldChar w:fldCharType="separate"/>
        </w:r>
        <w:r>
          <w:rPr>
            <w:noProof/>
            <w:webHidden/>
          </w:rPr>
          <w:t>14</w:t>
        </w:r>
        <w:r>
          <w:rPr>
            <w:noProof/>
            <w:webHidden/>
          </w:rPr>
          <w:fldChar w:fldCharType="end"/>
        </w:r>
      </w:hyperlink>
    </w:p>
    <w:p w:rsidR="00B410F2" w14:paraId="7C146FC8" w14:textId="4B83544F">
      <w:pPr>
        <w:pStyle w:val="TOC2"/>
        <w:tabs>
          <w:tab w:val="left" w:pos="960"/>
          <w:tab w:val="right" w:leader="dot" w:pos="9350"/>
        </w:tabs>
        <w:rPr>
          <w:noProof/>
        </w:rPr>
      </w:pPr>
      <w:hyperlink w:anchor="_Toc225240696" w:history="1">
        <w:r w:rsidRPr="00237FB7">
          <w:rPr>
            <w:rStyle w:val="Hyperlink"/>
            <w:noProof/>
          </w:rPr>
          <w:t>18.</w:t>
        </w:r>
        <w:r>
          <w:rPr>
            <w:noProof/>
          </w:rPr>
          <w:tab/>
        </w:r>
        <w:r w:rsidRPr="00237FB7">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_Toc225240696 \h </w:instrText>
        </w:r>
        <w:r>
          <w:rPr>
            <w:noProof/>
            <w:webHidden/>
          </w:rPr>
          <w:fldChar w:fldCharType="separate"/>
        </w:r>
        <w:r>
          <w:rPr>
            <w:noProof/>
            <w:webHidden/>
          </w:rPr>
          <w:t>14</w:t>
        </w:r>
        <w:r>
          <w:rPr>
            <w:noProof/>
            <w:webHidden/>
          </w:rPr>
          <w:fldChar w:fldCharType="end"/>
        </w:r>
      </w:hyperlink>
    </w:p>
    <w:p w:rsidR="00C50856" w:rsidRPr="00326C88" w:rsidP="00326C88" w14:paraId="2A1C21E9" w14:textId="7A337287">
      <w:pPr>
        <w:pStyle w:val="OMBheading-1"/>
      </w:pPr>
      <w:r>
        <w:fldChar w:fldCharType="end"/>
      </w:r>
      <w:r w:rsidRPr="009A2DCD" w:rsidR="00DD5760">
        <w:br w:type="page"/>
      </w:r>
      <w:bookmarkStart w:id="0" w:name="_Toc225240677"/>
      <w:r w:rsidRPr="009A2DCD">
        <w:t xml:space="preserve">A. </w:t>
      </w:r>
      <w:r w:rsidRPr="009A2DCD" w:rsidR="00F76BC1">
        <w:tab/>
      </w:r>
      <w:r w:rsidRPr="009A2DCD">
        <w:t>Justification</w:t>
      </w:r>
      <w:bookmarkEnd w:id="0"/>
    </w:p>
    <w:p w:rsidR="00BC3233" w:rsidRPr="009A2DCD" w:rsidP="006F03A7" w14:paraId="62BA8098" w14:textId="032F4D97">
      <w:pPr>
        <w:pStyle w:val="OMBheading-2"/>
      </w:pPr>
      <w:bookmarkStart w:id="1" w:name="_Toc225240678"/>
      <w:r w:rsidRPr="00182884">
        <w:t>C</w:t>
      </w:r>
      <w:r w:rsidRPr="00182884">
        <w:t>ircumstances</w:t>
      </w:r>
      <w:r w:rsidRPr="00992473">
        <w:t xml:space="preserve"> Making the Collection of Information Necessary</w:t>
      </w:r>
      <w:bookmarkEnd w:id="1"/>
    </w:p>
    <w:p w:rsidR="00AD1282" w:rsidP="000C55AA" w14:paraId="6A1F4829" w14:textId="5ECE3292">
      <w:pPr>
        <w:pStyle w:val="bodytext-gph"/>
        <w:spacing w:after="40" w:line="240" w:lineRule="auto"/>
        <w:ind w:left="0"/>
        <w:rPr>
          <w:sz w:val="24"/>
          <w:szCs w:val="24"/>
        </w:rPr>
      </w:pPr>
      <w:r w:rsidRPr="009A2DCD">
        <w:rPr>
          <w:sz w:val="24"/>
          <w:szCs w:val="24"/>
        </w:rPr>
        <w:t xml:space="preserve">The Office of </w:t>
      </w:r>
      <w:r w:rsidRPr="009A2DCD" w:rsidR="00937B9B">
        <w:rPr>
          <w:sz w:val="24"/>
          <w:szCs w:val="24"/>
        </w:rPr>
        <w:t xml:space="preserve">Population Affairs </w:t>
      </w:r>
      <w:r w:rsidRPr="009A2DCD">
        <w:rPr>
          <w:sz w:val="24"/>
          <w:szCs w:val="24"/>
        </w:rPr>
        <w:t>(O</w:t>
      </w:r>
      <w:r w:rsidRPr="009A2DCD" w:rsidR="00937B9B">
        <w:rPr>
          <w:sz w:val="24"/>
          <w:szCs w:val="24"/>
        </w:rPr>
        <w:t>P</w:t>
      </w:r>
      <w:r w:rsidRPr="009A2DCD">
        <w:rPr>
          <w:sz w:val="24"/>
          <w:szCs w:val="24"/>
        </w:rPr>
        <w:t>A)</w:t>
      </w:r>
      <w:r w:rsidR="005210F3">
        <w:rPr>
          <w:sz w:val="24"/>
          <w:szCs w:val="24"/>
        </w:rPr>
        <w:t>, within the Office of the Assistant Secretary for Health (OASH)</w:t>
      </w:r>
      <w:r w:rsidRPr="009A2DCD">
        <w:rPr>
          <w:sz w:val="24"/>
          <w:szCs w:val="24"/>
        </w:rPr>
        <w:t xml:space="preserve"> is requestin</w:t>
      </w:r>
      <w:r w:rsidRPr="009A2DCD" w:rsidR="002B4484">
        <w:rPr>
          <w:sz w:val="24"/>
          <w:szCs w:val="24"/>
        </w:rPr>
        <w:t xml:space="preserve">g </w:t>
      </w:r>
      <w:r w:rsidRPr="009A2DCD" w:rsidR="00D42ACF">
        <w:rPr>
          <w:sz w:val="24"/>
          <w:szCs w:val="24"/>
        </w:rPr>
        <w:t>a</w:t>
      </w:r>
      <w:r w:rsidR="00AF5232">
        <w:rPr>
          <w:sz w:val="24"/>
          <w:szCs w:val="24"/>
        </w:rPr>
        <w:t xml:space="preserve"> </w:t>
      </w:r>
      <w:r w:rsidR="00BE1C7F">
        <w:rPr>
          <w:sz w:val="24"/>
          <w:szCs w:val="24"/>
        </w:rPr>
        <w:t>revision</w:t>
      </w:r>
      <w:r w:rsidR="00AF5232">
        <w:rPr>
          <w:sz w:val="24"/>
          <w:szCs w:val="24"/>
        </w:rPr>
        <w:t xml:space="preserve"> for the</w:t>
      </w:r>
      <w:r w:rsidRPr="009A2DCD" w:rsidR="00E545A8">
        <w:rPr>
          <w:sz w:val="24"/>
          <w:szCs w:val="24"/>
        </w:rPr>
        <w:t xml:space="preserve"> </w:t>
      </w:r>
      <w:r w:rsidRPr="009A2DCD" w:rsidR="00854CF9">
        <w:rPr>
          <w:sz w:val="24"/>
          <w:szCs w:val="24"/>
        </w:rPr>
        <w:t xml:space="preserve">collection </w:t>
      </w:r>
      <w:r w:rsidRPr="009A2DCD" w:rsidR="006B1F8C">
        <w:rPr>
          <w:sz w:val="24"/>
          <w:szCs w:val="24"/>
        </w:rPr>
        <w:t xml:space="preserve">for </w:t>
      </w:r>
      <w:r w:rsidRPr="009A2DCD" w:rsidR="00854CF9">
        <w:rPr>
          <w:sz w:val="24"/>
          <w:szCs w:val="24"/>
        </w:rPr>
        <w:t xml:space="preserve">performance </w:t>
      </w:r>
      <w:r w:rsidRPr="009A2DCD" w:rsidR="006609D5">
        <w:rPr>
          <w:sz w:val="24"/>
          <w:szCs w:val="24"/>
        </w:rPr>
        <w:t xml:space="preserve">measures data from </w:t>
      </w:r>
      <w:r w:rsidRPr="009A2DCD" w:rsidR="002760BF">
        <w:rPr>
          <w:sz w:val="24"/>
          <w:szCs w:val="24"/>
        </w:rPr>
        <w:t xml:space="preserve">TPP2023 </w:t>
      </w:r>
      <w:r w:rsidRPr="009A2DCD" w:rsidR="002B4484">
        <w:rPr>
          <w:sz w:val="24"/>
          <w:szCs w:val="24"/>
        </w:rPr>
        <w:t>Teen P</w:t>
      </w:r>
      <w:r w:rsidRPr="009A2DCD" w:rsidR="003C171D">
        <w:rPr>
          <w:sz w:val="24"/>
          <w:szCs w:val="24"/>
        </w:rPr>
        <w:t xml:space="preserve">regnancy </w:t>
      </w:r>
      <w:r w:rsidRPr="009A2DCD" w:rsidR="002B4484">
        <w:rPr>
          <w:sz w:val="24"/>
          <w:szCs w:val="24"/>
        </w:rPr>
        <w:t>P</w:t>
      </w:r>
      <w:r w:rsidRPr="009A2DCD" w:rsidR="003C171D">
        <w:rPr>
          <w:sz w:val="24"/>
          <w:szCs w:val="24"/>
        </w:rPr>
        <w:t>revention</w:t>
      </w:r>
      <w:r w:rsidRPr="009A2DCD">
        <w:rPr>
          <w:sz w:val="24"/>
          <w:szCs w:val="24"/>
        </w:rPr>
        <w:t xml:space="preserve"> (TPP)</w:t>
      </w:r>
      <w:r w:rsidRPr="009A2DCD" w:rsidR="002B4484">
        <w:rPr>
          <w:sz w:val="24"/>
          <w:szCs w:val="24"/>
        </w:rPr>
        <w:t xml:space="preserve"> Program</w:t>
      </w:r>
      <w:r w:rsidRPr="009A2DCD" w:rsidR="00944336">
        <w:rPr>
          <w:sz w:val="24"/>
          <w:szCs w:val="24"/>
        </w:rPr>
        <w:t xml:space="preserve"> </w:t>
      </w:r>
      <w:r w:rsidRPr="009A2DCD" w:rsidR="00937B9B">
        <w:rPr>
          <w:sz w:val="24"/>
          <w:szCs w:val="24"/>
        </w:rPr>
        <w:t>grantees</w:t>
      </w:r>
      <w:r w:rsidRPr="009A2DCD">
        <w:rPr>
          <w:sz w:val="24"/>
          <w:szCs w:val="24"/>
        </w:rPr>
        <w:t>.</w:t>
      </w:r>
      <w:r w:rsidRPr="009A2DCD" w:rsidR="00D42ACF">
        <w:rPr>
          <w:sz w:val="24"/>
          <w:szCs w:val="24"/>
        </w:rPr>
        <w:t xml:space="preserve"> </w:t>
      </w:r>
      <w:r w:rsidRPr="001614E6" w:rsidR="001614E6">
        <w:rPr>
          <w:sz w:val="24"/>
          <w:szCs w:val="24"/>
        </w:rPr>
        <w:t xml:space="preserve">The revision information collection request package updates the number of </w:t>
      </w:r>
      <w:r w:rsidR="00092914">
        <w:rPr>
          <w:sz w:val="24"/>
          <w:szCs w:val="24"/>
        </w:rPr>
        <w:t xml:space="preserve">TPP </w:t>
      </w:r>
      <w:r w:rsidRPr="001614E6" w:rsidR="001614E6">
        <w:rPr>
          <w:sz w:val="24"/>
          <w:szCs w:val="24"/>
        </w:rPr>
        <w:t>grantees to reflect the actual number of awards funded within the TPP20</w:t>
      </w:r>
      <w:r w:rsidR="00767BA3">
        <w:rPr>
          <w:sz w:val="24"/>
          <w:szCs w:val="24"/>
        </w:rPr>
        <w:t>23</w:t>
      </w:r>
      <w:r w:rsidRPr="001614E6" w:rsidR="001614E6">
        <w:rPr>
          <w:sz w:val="24"/>
          <w:szCs w:val="24"/>
        </w:rPr>
        <w:t xml:space="preserve"> cohort across the 3 Notice of Funding Opportunities (68) and the 11 grantees potentially to </w:t>
      </w:r>
      <w:r w:rsidRPr="001614E6" w:rsidR="001614E6">
        <w:rPr>
          <w:sz w:val="24"/>
          <w:szCs w:val="24"/>
        </w:rPr>
        <w:t>be funded</w:t>
      </w:r>
      <w:r w:rsidRPr="001614E6" w:rsidR="001614E6">
        <w:rPr>
          <w:sz w:val="24"/>
          <w:szCs w:val="24"/>
        </w:rPr>
        <w:t xml:space="preserve"> in FY2026</w:t>
      </w:r>
      <w:r w:rsidR="00767BA3">
        <w:rPr>
          <w:sz w:val="24"/>
          <w:szCs w:val="24"/>
        </w:rPr>
        <w:t>.</w:t>
      </w:r>
      <w:r w:rsidRPr="001614E6" w:rsidR="001614E6">
        <w:rPr>
          <w:sz w:val="24"/>
          <w:szCs w:val="24"/>
        </w:rPr>
        <w:t xml:space="preserve"> </w:t>
      </w:r>
      <w:r w:rsidR="00565B9F">
        <w:rPr>
          <w:sz w:val="24"/>
          <w:szCs w:val="24"/>
        </w:rPr>
        <w:t>This revision decreases</w:t>
      </w:r>
      <w:r w:rsidRPr="0085303C" w:rsidR="0085303C">
        <w:rPr>
          <w:sz w:val="24"/>
          <w:szCs w:val="24"/>
        </w:rPr>
        <w:t xml:space="preserve"> Tier 1 respondents by 12 (from 70 to 58), Tier 2 Hubs respondents by 4 (from 10 to 6) and Tier 2 Rigorous Impact respondents by 1 (from 16 to 15)</w:t>
      </w:r>
      <w:r w:rsidR="00A34D06">
        <w:rPr>
          <w:sz w:val="24"/>
          <w:szCs w:val="24"/>
        </w:rPr>
        <w:t xml:space="preserve"> (See Exhibit 1)</w:t>
      </w:r>
      <w:r w:rsidRPr="0085303C" w:rsidR="0085303C">
        <w:rPr>
          <w:sz w:val="24"/>
          <w:szCs w:val="24"/>
        </w:rPr>
        <w:t xml:space="preserve">.  The decrease in respondents reduced total burden by 222 hours (from 1431 hours to 1209 hours). </w:t>
      </w:r>
    </w:p>
    <w:p w:rsidR="00AD1282" w:rsidP="000C55AA" w14:paraId="68A287A0" w14:textId="77777777">
      <w:pPr>
        <w:pStyle w:val="bodytext-gph"/>
        <w:spacing w:after="40" w:line="240" w:lineRule="auto"/>
        <w:ind w:left="0"/>
        <w:rPr>
          <w:sz w:val="24"/>
          <w:szCs w:val="24"/>
        </w:rPr>
      </w:pPr>
    </w:p>
    <w:p w:rsidR="000C55AA" w:rsidRPr="009A2DCD" w:rsidP="000C55AA" w14:paraId="5AC9E573" w14:textId="4D203BCA">
      <w:pPr>
        <w:pStyle w:val="bodytext-gph"/>
        <w:spacing w:after="40" w:line="240" w:lineRule="auto"/>
        <w:ind w:left="0"/>
        <w:rPr>
          <w:sz w:val="24"/>
          <w:szCs w:val="24"/>
        </w:rPr>
      </w:pPr>
      <w:r>
        <w:rPr>
          <w:sz w:val="24"/>
          <w:szCs w:val="24"/>
        </w:rPr>
        <w:t xml:space="preserve">In addition, OPA has added one new item to the Tier 2 Hubs form, prototypes developed per reporting period. This change is not expected to increase individual burden since this information is needed to report the total number of prototypes developed to </w:t>
      </w:r>
      <w:r w:rsidR="00CA37B7">
        <w:rPr>
          <w:sz w:val="24"/>
          <w:szCs w:val="24"/>
        </w:rPr>
        <w:t>date,</w:t>
      </w:r>
      <w:r>
        <w:rPr>
          <w:sz w:val="24"/>
          <w:szCs w:val="24"/>
        </w:rPr>
        <w:t xml:space="preserve"> which is already an approved item. </w:t>
      </w:r>
      <w:r w:rsidRPr="009A2DCD">
        <w:rPr>
          <w:sz w:val="24"/>
          <w:szCs w:val="24"/>
        </w:rPr>
        <w:t>OPA requests a three-year clearance</w:t>
      </w:r>
      <w:r w:rsidR="008478CE">
        <w:rPr>
          <w:sz w:val="24"/>
          <w:szCs w:val="24"/>
        </w:rPr>
        <w:t xml:space="preserve"> to ensure collection of performance measures from current TPP grantees through the end of their 5-year awards</w:t>
      </w:r>
      <w:r w:rsidRPr="009A2DCD">
        <w:rPr>
          <w:sz w:val="24"/>
          <w:szCs w:val="24"/>
        </w:rPr>
        <w:t>.</w:t>
      </w:r>
    </w:p>
    <w:p w:rsidR="00D42ACF" w:rsidRPr="009A2DCD" w:rsidP="00BC3233" w14:paraId="34781F69" w14:textId="79A986CC">
      <w:pPr>
        <w:widowControl/>
        <w:spacing w:after="40"/>
      </w:pPr>
    </w:p>
    <w:p w:rsidR="006915B1" w:rsidRPr="009A2DCD" w:rsidP="006915B1" w14:paraId="61CB404C" w14:textId="1E1608C7">
      <w:pPr>
        <w:widowControl/>
        <w:spacing w:after="40"/>
      </w:pPr>
      <w:r w:rsidRPr="009A2DCD">
        <w:rPr>
          <w:shd w:val="clear" w:color="auto" w:fill="FFFFFF"/>
        </w:rPr>
        <w:t>The Teen Pregnancy Prevention (TPP) program is a national, evidence-based program that provides funding to implement effective programs and develop, test, and evaluate innovative approaches to prevent teen pregnancy across the United States. The TPP program was established in 2010 with a Congressional mandate to fund medically accurate and age</w:t>
      </w:r>
      <w:r w:rsidRPr="009A2DCD" w:rsidR="001B4EF3">
        <w:rPr>
          <w:shd w:val="clear" w:color="auto" w:fill="FFFFFF"/>
        </w:rPr>
        <w:t>-</w:t>
      </w:r>
      <w:r w:rsidRPr="009A2DCD">
        <w:rPr>
          <w:shd w:val="clear" w:color="auto" w:fill="FFFFFF"/>
        </w:rPr>
        <w:t>appropriate programs to reduce teen pregnancy. With an annual budget of approximately $101 million</w:t>
      </w:r>
      <w:r w:rsidRPr="009A2DCD" w:rsidR="006B1F8C">
        <w:rPr>
          <w:shd w:val="clear" w:color="auto" w:fill="FFFFFF"/>
        </w:rPr>
        <w:t>, t</w:t>
      </w:r>
      <w:r w:rsidRPr="009A2DCD">
        <w:rPr>
          <w:shd w:val="clear" w:color="auto" w:fill="FFFFFF"/>
        </w:rPr>
        <w:t>he TPP program focuses on reaching populations with the greatest need with the goal of improving the health of adolescents and reducing</w:t>
      </w:r>
      <w:r w:rsidRPr="009A2DCD" w:rsidR="006B1F8C">
        <w:rPr>
          <w:shd w:val="clear" w:color="auto" w:fill="FFFFFF"/>
        </w:rPr>
        <w:t xml:space="preserve"> unintended</w:t>
      </w:r>
      <w:r w:rsidRPr="009A2DCD">
        <w:rPr>
          <w:shd w:val="clear" w:color="auto" w:fill="FFFFFF"/>
        </w:rPr>
        <w:t xml:space="preserve"> teen pregnancy and sexually transmitted infections (STIs)</w:t>
      </w:r>
      <w:r w:rsidRPr="009A2DCD" w:rsidR="00283B13">
        <w:rPr>
          <w:shd w:val="clear" w:color="auto" w:fill="FFFFFF"/>
        </w:rPr>
        <w:t>.</w:t>
      </w:r>
      <w:r w:rsidRPr="009A2DCD" w:rsidR="006C5688">
        <w:rPr>
          <w:shd w:val="clear" w:color="auto" w:fill="FFFFFF"/>
        </w:rPr>
        <w:t xml:space="preserve"> </w:t>
      </w:r>
      <w:r w:rsidR="0048066D">
        <w:t>The</w:t>
      </w:r>
      <w:r w:rsidRPr="009A2DCD">
        <w:t xml:space="preserve"> TPP Program </w:t>
      </w:r>
      <w:r w:rsidRPr="009A2DCD">
        <w:t>is authorized</w:t>
      </w:r>
      <w:r w:rsidRPr="009A2DCD">
        <w:t xml:space="preserve"> under the authority of Division </w:t>
      </w:r>
      <w:r w:rsidR="00BC09D8">
        <w:t>B</w:t>
      </w:r>
      <w:r w:rsidRPr="009A2DCD">
        <w:t xml:space="preserve">, Title II of </w:t>
      </w:r>
      <w:r w:rsidRPr="009A2DCD" w:rsidR="00CA37B7">
        <w:t>the Consolidated</w:t>
      </w:r>
      <w:r w:rsidRPr="009A2DCD">
        <w:t xml:space="preserve"> Appropriations Act, 202</w:t>
      </w:r>
      <w:r w:rsidR="00BC09D8">
        <w:t>6</w:t>
      </w:r>
      <w:r w:rsidRPr="009A2DCD">
        <w:t xml:space="preserve"> (Public Law No. 11</w:t>
      </w:r>
      <w:r w:rsidR="00BC09D8">
        <w:t>9</w:t>
      </w:r>
      <w:r w:rsidRPr="009A2DCD">
        <w:t xml:space="preserve">-94).   </w:t>
      </w:r>
    </w:p>
    <w:p w:rsidR="00B967EA" w:rsidRPr="009A2DCD" w:rsidP="00BC3233" w14:paraId="7A8F0BF4" w14:textId="77777777">
      <w:pPr>
        <w:widowControl/>
        <w:spacing w:after="40"/>
      </w:pPr>
    </w:p>
    <w:p w:rsidR="00BC3233" w:rsidRPr="009A2DCD" w:rsidP="00BC3233" w14:paraId="27E427F4" w14:textId="590BAD7D">
      <w:pPr>
        <w:widowControl/>
        <w:spacing w:after="40"/>
      </w:pPr>
      <w:r w:rsidRPr="009A2DCD">
        <w:t xml:space="preserve">In FY </w:t>
      </w:r>
      <w:r w:rsidRPr="009A2DCD" w:rsidR="00283B13">
        <w:t>2023</w:t>
      </w:r>
      <w:r w:rsidRPr="009A2DCD">
        <w:t>, O</w:t>
      </w:r>
      <w:r w:rsidRPr="009A2DCD" w:rsidR="00937B9B">
        <w:t>P</w:t>
      </w:r>
      <w:r w:rsidRPr="009A2DCD">
        <w:t>A award</w:t>
      </w:r>
      <w:r w:rsidR="00AF5232">
        <w:t>ed</w:t>
      </w:r>
      <w:r w:rsidRPr="009A2DCD">
        <w:t xml:space="preserve"> new </w:t>
      </w:r>
      <w:r w:rsidRPr="009A2DCD" w:rsidR="00623035">
        <w:t>5</w:t>
      </w:r>
      <w:r w:rsidRPr="009A2DCD">
        <w:t xml:space="preserve">-year </w:t>
      </w:r>
      <w:r w:rsidR="00E96CCB">
        <w:t xml:space="preserve">TPP </w:t>
      </w:r>
      <w:r w:rsidRPr="009A2DCD">
        <w:t>cooperative agreements</w:t>
      </w:r>
      <w:r w:rsidRPr="009A2DCD" w:rsidR="00E858F2">
        <w:t xml:space="preserve"> under three funding announcements</w:t>
      </w:r>
      <w:r w:rsidR="00350B49">
        <w:t xml:space="preserve">. Exhibit 1 shows the number of current awardees in each grant Tier. Due to </w:t>
      </w:r>
      <w:r w:rsidR="00DC49B9">
        <w:t>5 grantees in the TPP23 cohort relinquishing their awards</w:t>
      </w:r>
      <w:r w:rsidR="00190710">
        <w:t xml:space="preserve"> early</w:t>
      </w:r>
      <w:r w:rsidR="00DC49B9">
        <w:t xml:space="preserve">, OPA may compete new Tier 1 and Tier 2 Rigorous Impact NOFOs during FY2026. Any </w:t>
      </w:r>
      <w:r w:rsidR="008478CE">
        <w:t xml:space="preserve">new </w:t>
      </w:r>
      <w:r w:rsidR="00767BA3">
        <w:t xml:space="preserve">TPP </w:t>
      </w:r>
      <w:r w:rsidR="00DC49B9">
        <w:t>awardee funded in FY2026 would report the same performance measures as the TPP23 cohort and for the purposes of this</w:t>
      </w:r>
      <w:r w:rsidR="00B81036">
        <w:t xml:space="preserve"> information </w:t>
      </w:r>
      <w:r w:rsidR="00DC49B9">
        <w:t xml:space="preserve">collection would </w:t>
      </w:r>
      <w:r w:rsidR="00DC49B9">
        <w:t>be considered</w:t>
      </w:r>
      <w:r w:rsidR="00DC49B9">
        <w:t xml:space="preserve"> part of th</w:t>
      </w:r>
      <w:r w:rsidR="00B81036">
        <w:t>e TPP23</w:t>
      </w:r>
      <w:r w:rsidR="00DC49B9">
        <w:t xml:space="preserve"> cohort</w:t>
      </w:r>
      <w:r w:rsidR="00190710">
        <w:t xml:space="preserve"> </w:t>
      </w:r>
      <w:r w:rsidRPr="009A2DCD" w:rsidR="00E858F2">
        <w:t>(</w:t>
      </w:r>
      <w:r w:rsidRPr="009A2DCD" w:rsidR="00E858F2">
        <w:rPr>
          <w:b/>
          <w:bCs/>
          <w:i/>
          <w:iCs/>
        </w:rPr>
        <w:t>Exhibit 1</w:t>
      </w:r>
      <w:r w:rsidRPr="009A2DCD" w:rsidR="00E858F2">
        <w:t>)</w:t>
      </w:r>
      <w:r w:rsidRPr="009A2DCD">
        <w:t>.</w:t>
      </w:r>
      <w:r w:rsidRPr="009A2DCD" w:rsidR="00243822">
        <w:t xml:space="preserve"> </w:t>
      </w:r>
    </w:p>
    <w:p w:rsidR="00251110" w:rsidRPr="009A2DCD" w:rsidP="00BC3233" w14:paraId="438AADD8" w14:textId="77777777">
      <w:pPr>
        <w:widowControl/>
        <w:spacing w:after="40"/>
      </w:pPr>
    </w:p>
    <w:p w:rsidR="0053300A" w:rsidP="00BC3233" w14:paraId="120F71A2" w14:textId="1AAD2458">
      <w:pPr>
        <w:widowControl/>
        <w:spacing w:after="40"/>
        <w:rPr>
          <w:shd w:val="clear" w:color="auto" w:fill="FFFFFF"/>
        </w:rPr>
      </w:pPr>
      <w:r w:rsidRPr="009A2DCD">
        <w:rPr>
          <w:shd w:val="clear" w:color="auto" w:fill="FFFFFF"/>
        </w:rPr>
        <w:t>TPP</w:t>
      </w:r>
      <w:r w:rsidRPr="009A2DCD" w:rsidR="00B229F7">
        <w:rPr>
          <w:shd w:val="clear" w:color="auto" w:fill="FFFFFF"/>
        </w:rPr>
        <w:t xml:space="preserve"> </w:t>
      </w:r>
      <w:r w:rsidRPr="009A2DCD">
        <w:rPr>
          <w:shd w:val="clear" w:color="auto" w:fill="FFFFFF"/>
        </w:rPr>
        <w:t xml:space="preserve">grantees work </w:t>
      </w:r>
      <w:r w:rsidRPr="009A2DCD" w:rsidR="00FA6ACE">
        <w:rPr>
          <w:shd w:val="clear" w:color="auto" w:fill="FFFFFF"/>
        </w:rPr>
        <w:t xml:space="preserve">to </w:t>
      </w:r>
      <w:r w:rsidRPr="009A2DCD" w:rsidR="008C0ADE">
        <w:rPr>
          <w:shd w:val="clear" w:color="auto" w:fill="FFFFFF"/>
        </w:rPr>
        <w:t>replicate</w:t>
      </w:r>
      <w:r w:rsidRPr="009A2DCD">
        <w:rPr>
          <w:shd w:val="clear" w:color="auto" w:fill="FFFFFF"/>
        </w:rPr>
        <w:t xml:space="preserve"> evidence-based teen pregnancy prevention programs in communities with the greatest need; increase capacity in communities to serve vulnerable youth, including youth</w:t>
      </w:r>
      <w:r w:rsidR="00095004">
        <w:rPr>
          <w:shd w:val="clear" w:color="auto" w:fill="FFFFFF"/>
        </w:rPr>
        <w:t xml:space="preserve"> experiencing homelessness</w:t>
      </w:r>
      <w:r w:rsidRPr="009A2DCD">
        <w:rPr>
          <w:shd w:val="clear" w:color="auto" w:fill="FFFFFF"/>
        </w:rPr>
        <w:t>, parenting youth and those in juvenile detention and foster care; fill gaps in the knowledge of what works to prevent teen pregnancy; and test new, innovative approaches to combating teen pregnancy</w:t>
      </w:r>
      <w:r w:rsidRPr="009A2DCD" w:rsidR="00B229F7">
        <w:rPr>
          <w:shd w:val="clear" w:color="auto" w:fill="FFFFFF"/>
        </w:rPr>
        <w:t xml:space="preserve">. </w:t>
      </w:r>
      <w:r w:rsidRPr="009A2DCD" w:rsidR="00251110">
        <w:t>OPA supports two types of grants through the TPP program</w:t>
      </w:r>
      <w:r w:rsidR="008E27B4">
        <w:t>:</w:t>
      </w:r>
      <w:r w:rsidR="00EC0E76">
        <w:t xml:space="preserve"> </w:t>
      </w:r>
      <w:r w:rsidRPr="009A2DCD" w:rsidR="00251110">
        <w:t>projects that replicate TPP program models that have been shown to be effective through rigorous evaluation (Tier 1)</w:t>
      </w:r>
      <w:r w:rsidR="008E27B4">
        <w:t xml:space="preserve">, </w:t>
      </w:r>
      <w:r w:rsidRPr="009A2DCD" w:rsidR="00251110">
        <w:t xml:space="preserve">research and demonstration projects that develop and test additional models and innovative strategies to prevent teen pregnancy (Tier 2).  </w:t>
      </w:r>
      <w:r w:rsidRPr="009A2DCD" w:rsidR="007E453A">
        <w:rPr>
          <w:shd w:val="clear" w:color="auto" w:fill="FFFFFF"/>
        </w:rPr>
        <w:t xml:space="preserve">Since its </w:t>
      </w:r>
      <w:r w:rsidRPr="009A2DCD" w:rsidR="00950DDD">
        <w:rPr>
          <w:shd w:val="clear" w:color="auto" w:fill="FFFFFF"/>
        </w:rPr>
        <w:t>inception</w:t>
      </w:r>
      <w:r w:rsidRPr="009A2DCD" w:rsidR="007E453A">
        <w:rPr>
          <w:shd w:val="clear" w:color="auto" w:fill="FFFFFF"/>
        </w:rPr>
        <w:t>, the TPP program has served more than 1.</w:t>
      </w:r>
      <w:r w:rsidR="001E7F9D">
        <w:rPr>
          <w:shd w:val="clear" w:color="auto" w:fill="FFFFFF"/>
        </w:rPr>
        <w:t>8</w:t>
      </w:r>
      <w:r w:rsidRPr="009A2DCD" w:rsidR="007E453A">
        <w:rPr>
          <w:shd w:val="clear" w:color="auto" w:fill="FFFFFF"/>
        </w:rPr>
        <w:t xml:space="preserve"> million young people across </w:t>
      </w:r>
      <w:r w:rsidR="005339B3">
        <w:rPr>
          <w:shd w:val="clear" w:color="auto" w:fill="FFFFFF"/>
        </w:rPr>
        <w:t>45</w:t>
      </w:r>
      <w:r w:rsidRPr="009A2DCD" w:rsidR="005339B3">
        <w:rPr>
          <w:shd w:val="clear" w:color="auto" w:fill="FFFFFF"/>
        </w:rPr>
        <w:t xml:space="preserve"> </w:t>
      </w:r>
      <w:r w:rsidRPr="009A2DCD" w:rsidR="007E453A">
        <w:rPr>
          <w:shd w:val="clear" w:color="auto" w:fill="FFFFFF"/>
        </w:rPr>
        <w:t xml:space="preserve">states, Washington D.C., Puerto Rico, and the Marshall Islands. </w:t>
      </w:r>
      <w:r w:rsidRPr="009A2DCD" w:rsidR="00396458">
        <w:rPr>
          <w:shd w:val="clear" w:color="auto" w:fill="FFFFFF"/>
        </w:rPr>
        <w:t>In addition, the</w:t>
      </w:r>
      <w:r w:rsidRPr="009A2DCD" w:rsidR="007E453A">
        <w:rPr>
          <w:shd w:val="clear" w:color="auto" w:fill="FFFFFF"/>
        </w:rPr>
        <w:t xml:space="preserve"> program has trained more than </w:t>
      </w:r>
      <w:r w:rsidR="00895FAA">
        <w:rPr>
          <w:shd w:val="clear" w:color="auto" w:fill="FFFFFF"/>
        </w:rPr>
        <w:t>95,000</w:t>
      </w:r>
      <w:r w:rsidRPr="009A2DCD" w:rsidR="007E453A">
        <w:rPr>
          <w:shd w:val="clear" w:color="auto" w:fill="FFFFFF"/>
        </w:rPr>
        <w:t xml:space="preserve"> professionals and established partnerships with more than </w:t>
      </w:r>
      <w:r w:rsidR="00EE64F9">
        <w:rPr>
          <w:shd w:val="clear" w:color="auto" w:fill="FFFFFF"/>
        </w:rPr>
        <w:t>41,000</w:t>
      </w:r>
      <w:r w:rsidRPr="009A2DCD" w:rsidR="007E453A">
        <w:rPr>
          <w:shd w:val="clear" w:color="auto" w:fill="FFFFFF"/>
        </w:rPr>
        <w:t xml:space="preserve"> community-based organizations across the United States. </w:t>
      </w:r>
    </w:p>
    <w:p w:rsidR="00401A3B" w:rsidRPr="00401A3B" w:rsidP="00BC3233" w14:paraId="4A79C51C" w14:textId="77777777">
      <w:pPr>
        <w:widowControl/>
        <w:spacing w:after="40"/>
        <w:rPr>
          <w:shd w:val="clear" w:color="auto" w:fill="FFFFFF"/>
        </w:rPr>
      </w:pPr>
    </w:p>
    <w:p w:rsidR="00395FBB" w:rsidP="00193F3D" w14:paraId="36E91DBF" w14:textId="6EF9FCFF">
      <w:pPr>
        <w:widowControl/>
        <w:spacing w:after="40"/>
      </w:pPr>
      <w:r w:rsidRPr="009A2DCD">
        <w:t xml:space="preserve">Performance measures have consistently been a requirement of the TPP grant program since its inception. </w:t>
      </w:r>
      <w:r w:rsidR="00A82514">
        <w:t>OPA has used these measures</w:t>
      </w:r>
      <w:r w:rsidRPr="009A2DCD">
        <w:t xml:space="preserve"> over the past </w:t>
      </w:r>
      <w:r w:rsidR="007502A8">
        <w:t xml:space="preserve">15 </w:t>
      </w:r>
      <w:r w:rsidRPr="009A2DCD">
        <w:t xml:space="preserve">years </w:t>
      </w:r>
      <w:r w:rsidRPr="009A2DCD" w:rsidR="00CA37B7">
        <w:t>with 6</w:t>
      </w:r>
      <w:r w:rsidRPr="009A2DCD" w:rsidR="003C1D74">
        <w:t xml:space="preserve"> </w:t>
      </w:r>
      <w:r w:rsidRPr="009A2DCD">
        <w:t>cohort</w:t>
      </w:r>
      <w:r w:rsidRPr="009A2DCD" w:rsidR="00937B9B">
        <w:t>s</w:t>
      </w:r>
      <w:r w:rsidRPr="009A2DCD">
        <w:t xml:space="preserve"> of </w:t>
      </w:r>
      <w:r w:rsidRPr="009A2DCD" w:rsidR="00937B9B">
        <w:t xml:space="preserve">TPP </w:t>
      </w:r>
      <w:r w:rsidRPr="009A2DCD">
        <w:t>grantees.</w:t>
      </w:r>
      <w:r w:rsidRPr="009A2DCD" w:rsidR="00D42ACF">
        <w:t xml:space="preserve"> </w:t>
      </w:r>
    </w:p>
    <w:p w:rsidR="004253BA" w:rsidRPr="009A2DCD" w:rsidP="000C55AA" w14:paraId="1EDF2667" w14:textId="77777777">
      <w:pPr>
        <w:widowControl/>
        <w:spacing w:after="40"/>
        <w:rPr>
          <w:b/>
          <w:bCs/>
          <w:i/>
          <w:iCs/>
        </w:rPr>
      </w:pPr>
    </w:p>
    <w:p w:rsidR="00346051" w:rsidRPr="009A2DCD" w:rsidP="000C55AA" w14:paraId="47AE790E" w14:textId="36ACD963">
      <w:pPr>
        <w:widowControl/>
        <w:spacing w:after="40"/>
      </w:pPr>
      <w:r w:rsidRPr="009A2DCD">
        <w:t>Exhibit 1:</w:t>
      </w:r>
      <w:r w:rsidRPr="009A2DCD" w:rsidR="00FE5B36">
        <w:t xml:space="preserve"> </w:t>
      </w:r>
      <w:r w:rsidR="00CA37B7">
        <w:t>TPP</w:t>
      </w:r>
      <w:r w:rsidRPr="009A2DCD" w:rsidR="00FE5B36">
        <w:t xml:space="preserve"> Projects</w:t>
      </w:r>
      <w:r w:rsidR="00190710">
        <w:t>, 2023-2028</w:t>
      </w:r>
      <w:r w:rsidR="00BC09D8">
        <w:t xml:space="preserve"> </w:t>
      </w:r>
    </w:p>
    <w:tbl>
      <w:tblPr>
        <w:tblW w:w="9232" w:type="dxa"/>
        <w:tblInd w:w="108" w:type="dxa"/>
        <w:tblCellMar>
          <w:left w:w="0" w:type="dxa"/>
          <w:right w:w="0" w:type="dxa"/>
        </w:tblCellMar>
        <w:tblLook w:val="04A0"/>
      </w:tblPr>
      <w:tblGrid>
        <w:gridCol w:w="1566"/>
        <w:gridCol w:w="2454"/>
        <w:gridCol w:w="1300"/>
        <w:gridCol w:w="890"/>
        <w:gridCol w:w="845"/>
        <w:gridCol w:w="1028"/>
        <w:gridCol w:w="1149"/>
      </w:tblGrid>
      <w:tr w14:paraId="671DC933" w14:textId="77777777" w:rsidTr="008478CE">
        <w:tblPrEx>
          <w:tblW w:w="9232" w:type="dxa"/>
          <w:tblInd w:w="108" w:type="dxa"/>
          <w:tblCellMar>
            <w:left w:w="0" w:type="dxa"/>
            <w:right w:w="0" w:type="dxa"/>
          </w:tblCellMar>
          <w:tblLook w:val="04A0"/>
        </w:tblPrEx>
        <w:trPr>
          <w:trHeight w:val="676"/>
        </w:trPr>
        <w:tc>
          <w:tcPr>
            <w:tcW w:w="1567" w:type="dxa"/>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tcBorders>
            <w:shd w:val="clear" w:color="auto" w:fill="BFBFBF" w:themeFill="background1" w:themeFillShade="BF"/>
            <w:tcMar>
              <w:top w:w="15" w:type="dxa"/>
              <w:left w:w="108" w:type="dxa"/>
              <w:bottom w:w="0" w:type="dxa"/>
              <w:right w:w="108" w:type="dxa"/>
            </w:tcMar>
            <w:vAlign w:val="center"/>
            <w:hideMark/>
          </w:tcPr>
          <w:p w:rsidR="00311E38" w:rsidRPr="009A2DCD" w:rsidP="009A4B59" w14:paraId="06A577B8" w14:textId="428680DC">
            <w:pPr>
              <w:rPr>
                <w:rFonts w:asciiTheme="minorBidi" w:hAnsiTheme="minorBidi" w:cstheme="minorBidi"/>
                <w:sz w:val="20"/>
                <w:szCs w:val="20"/>
              </w:rPr>
            </w:pPr>
            <w:r w:rsidRPr="009A2DCD">
              <w:rPr>
                <w:rFonts w:asciiTheme="minorBidi" w:hAnsiTheme="minorBidi" w:cstheme="minorBidi"/>
                <w:b/>
                <w:bCs/>
                <w:sz w:val="20"/>
                <w:szCs w:val="20"/>
              </w:rPr>
              <w:t xml:space="preserve"> TPP Project Funding Opportunity </w:t>
            </w:r>
          </w:p>
        </w:tc>
        <w:tc>
          <w:tcPr>
            <w:tcW w:w="2458" w:type="dxa"/>
            <w:tcBorders>
              <w:top w:val="single" w:sz="8" w:space="0" w:color="FFFFFF" w:themeColor="background1"/>
              <w:left w:val="nil"/>
              <w:bottom w:val="single" w:sz="24" w:space="0" w:color="FFFFFF" w:themeColor="background1"/>
              <w:right w:val="single" w:sz="8" w:space="0" w:color="FFFFFF" w:themeColor="background1"/>
            </w:tcBorders>
            <w:shd w:val="clear" w:color="auto" w:fill="BFBFBF" w:themeFill="background1" w:themeFillShade="BF"/>
            <w:tcMar>
              <w:top w:w="15" w:type="dxa"/>
              <w:left w:w="108" w:type="dxa"/>
              <w:bottom w:w="0" w:type="dxa"/>
              <w:right w:w="108" w:type="dxa"/>
            </w:tcMar>
            <w:vAlign w:val="center"/>
            <w:hideMark/>
          </w:tcPr>
          <w:p w:rsidR="00311E38" w:rsidRPr="009A2DCD" w:rsidP="009A4B59" w14:paraId="14EE934E" w14:textId="1FD98A7C">
            <w:pPr>
              <w:rPr>
                <w:rFonts w:asciiTheme="minorBidi" w:hAnsiTheme="minorBidi" w:cstheme="minorBidi"/>
                <w:sz w:val="20"/>
                <w:szCs w:val="20"/>
              </w:rPr>
            </w:pPr>
            <w:r w:rsidRPr="009A2DCD">
              <w:rPr>
                <w:rFonts w:asciiTheme="minorBidi" w:hAnsiTheme="minorBidi" w:cstheme="minorBidi"/>
                <w:b/>
                <w:bCs/>
                <w:sz w:val="20"/>
                <w:szCs w:val="20"/>
              </w:rPr>
              <w:t>Total Annual Funding</w:t>
            </w:r>
          </w:p>
        </w:tc>
        <w:tc>
          <w:tcPr>
            <w:tcW w:w="1301" w:type="dxa"/>
            <w:tcBorders>
              <w:top w:val="single" w:sz="8" w:space="0" w:color="FFFFFF" w:themeColor="background1"/>
              <w:left w:val="nil"/>
              <w:bottom w:val="single" w:sz="24" w:space="0" w:color="FFFFFF" w:themeColor="background1"/>
              <w:right w:val="nil"/>
            </w:tcBorders>
            <w:shd w:val="clear" w:color="auto" w:fill="BFBFBF" w:themeFill="background1" w:themeFillShade="BF"/>
          </w:tcPr>
          <w:p w:rsidR="00311E38" w:rsidP="009A4B59" w14:paraId="0A9415C9" w14:textId="77777777">
            <w:pPr>
              <w:rPr>
                <w:rFonts w:asciiTheme="minorBidi" w:hAnsiTheme="minorBidi" w:cstheme="minorBidi"/>
                <w:b/>
                <w:bCs/>
                <w:sz w:val="20"/>
                <w:szCs w:val="20"/>
              </w:rPr>
            </w:pPr>
          </w:p>
          <w:p w:rsidR="00311E38" w:rsidP="009A4B59" w14:paraId="5AD8277C" w14:textId="121C5E0E">
            <w:pPr>
              <w:rPr>
                <w:rFonts w:asciiTheme="minorBidi" w:hAnsiTheme="minorBidi" w:cstheme="minorBidi"/>
                <w:b/>
                <w:bCs/>
                <w:sz w:val="20"/>
                <w:szCs w:val="20"/>
              </w:rPr>
            </w:pPr>
            <w:r>
              <w:rPr>
                <w:rFonts w:asciiTheme="minorBidi" w:hAnsiTheme="minorBidi" w:cstheme="minorBidi"/>
                <w:b/>
                <w:bCs/>
                <w:sz w:val="20"/>
                <w:szCs w:val="20"/>
              </w:rPr>
              <w:t xml:space="preserve">Maximum Number Awards </w:t>
            </w:r>
            <w:r w:rsidR="00E94020">
              <w:rPr>
                <w:rFonts w:asciiTheme="minorBidi" w:hAnsiTheme="minorBidi" w:cstheme="minorBidi"/>
                <w:b/>
                <w:bCs/>
                <w:sz w:val="20"/>
                <w:szCs w:val="20"/>
              </w:rPr>
              <w:t xml:space="preserve">Anticipated in </w:t>
            </w:r>
            <w:r>
              <w:rPr>
                <w:rFonts w:asciiTheme="minorBidi" w:hAnsiTheme="minorBidi" w:cstheme="minorBidi"/>
                <w:b/>
                <w:bCs/>
                <w:sz w:val="20"/>
                <w:szCs w:val="20"/>
              </w:rPr>
              <w:t>2023</w:t>
            </w:r>
            <w:r>
              <w:rPr>
                <w:rStyle w:val="FootnoteReference"/>
                <w:rFonts w:asciiTheme="minorBidi" w:hAnsiTheme="minorBidi" w:cstheme="minorBidi"/>
                <w:b/>
                <w:bCs/>
                <w:sz w:val="20"/>
                <w:szCs w:val="20"/>
                <w:vertAlign w:val="superscript"/>
              </w:rPr>
              <w:footnoteReference w:id="2"/>
            </w:r>
          </w:p>
        </w:tc>
        <w:tc>
          <w:tcPr>
            <w:tcW w:w="890" w:type="dxa"/>
            <w:tcBorders>
              <w:top w:val="single" w:sz="8" w:space="0" w:color="FFFFFF" w:themeColor="background1"/>
              <w:left w:val="nil"/>
              <w:bottom w:val="single" w:sz="24" w:space="0" w:color="FFFFFF" w:themeColor="background1"/>
              <w:right w:val="nil"/>
            </w:tcBorders>
            <w:shd w:val="clear" w:color="auto" w:fill="BFBFBF" w:themeFill="background1" w:themeFillShade="BF"/>
          </w:tcPr>
          <w:p w:rsidR="00311E38" w:rsidP="009A4B59" w14:paraId="6BF307C7" w14:textId="7C1FBF5F">
            <w:pPr>
              <w:rPr>
                <w:rFonts w:asciiTheme="minorBidi" w:hAnsiTheme="minorBidi" w:cstheme="minorBidi"/>
                <w:b/>
                <w:bCs/>
                <w:sz w:val="20"/>
                <w:szCs w:val="20"/>
              </w:rPr>
            </w:pPr>
            <w:r>
              <w:rPr>
                <w:rFonts w:asciiTheme="minorBidi" w:hAnsiTheme="minorBidi" w:cstheme="minorBidi"/>
                <w:b/>
                <w:bCs/>
                <w:sz w:val="20"/>
                <w:szCs w:val="20"/>
              </w:rPr>
              <w:t xml:space="preserve">Current Number of </w:t>
            </w:r>
            <w:r w:rsidR="00AF1CB1">
              <w:rPr>
                <w:rFonts w:asciiTheme="minorBidi" w:hAnsiTheme="minorBidi" w:cstheme="minorBidi"/>
                <w:b/>
                <w:bCs/>
                <w:sz w:val="20"/>
                <w:szCs w:val="20"/>
              </w:rPr>
              <w:t xml:space="preserve">TPP </w:t>
            </w:r>
            <w:r>
              <w:rPr>
                <w:rFonts w:asciiTheme="minorBidi" w:hAnsiTheme="minorBidi" w:cstheme="minorBidi"/>
                <w:b/>
                <w:bCs/>
                <w:sz w:val="20"/>
                <w:szCs w:val="20"/>
              </w:rPr>
              <w:t>Grantees</w:t>
            </w:r>
          </w:p>
        </w:tc>
        <w:tc>
          <w:tcPr>
            <w:tcW w:w="839" w:type="dxa"/>
            <w:tcBorders>
              <w:top w:val="single" w:sz="8" w:space="0" w:color="FFFFFF" w:themeColor="background1"/>
              <w:left w:val="nil"/>
              <w:bottom w:val="single" w:sz="24" w:space="0" w:color="FFFFFF" w:themeColor="background1"/>
              <w:right w:val="nil"/>
            </w:tcBorders>
            <w:shd w:val="clear" w:color="auto" w:fill="BFBFBF" w:themeFill="background1" w:themeFillShade="BF"/>
          </w:tcPr>
          <w:p w:rsidR="00311E38" w:rsidRPr="008478CE" w:rsidP="00350B49" w14:paraId="54E9ED80" w14:textId="43D7DBB4">
            <w:pPr>
              <w:rPr>
                <w:rFonts w:asciiTheme="minorBidi" w:hAnsiTheme="minorBidi" w:cstheme="minorBidi"/>
                <w:b/>
                <w:bCs/>
                <w:sz w:val="20"/>
                <w:szCs w:val="20"/>
              </w:rPr>
            </w:pPr>
            <w:r w:rsidRPr="00404994">
              <w:rPr>
                <w:rFonts w:asciiTheme="minorBidi" w:hAnsiTheme="minorBidi" w:cstheme="minorBidi"/>
                <w:b/>
                <w:bCs/>
                <w:sz w:val="20"/>
                <w:szCs w:val="20"/>
              </w:rPr>
              <w:t>Potential New TPP awards in FY26</w:t>
            </w:r>
          </w:p>
        </w:tc>
        <w:tc>
          <w:tcPr>
            <w:tcW w:w="1028" w:type="dxa"/>
            <w:tcBorders>
              <w:top w:val="single" w:sz="8" w:space="0" w:color="FFFFFF" w:themeColor="background1"/>
              <w:left w:val="nil"/>
              <w:bottom w:val="single" w:sz="24" w:space="0" w:color="FFFFFF" w:themeColor="background1"/>
              <w:right w:val="single" w:sz="8" w:space="0" w:color="FFFFFF" w:themeColor="background1"/>
            </w:tcBorders>
            <w:shd w:val="clear" w:color="auto" w:fill="BFBFBF" w:themeFill="background1" w:themeFillShade="BF"/>
            <w:tcMar>
              <w:top w:w="15" w:type="dxa"/>
              <w:left w:w="108" w:type="dxa"/>
              <w:bottom w:w="0" w:type="dxa"/>
              <w:right w:w="108" w:type="dxa"/>
            </w:tcMar>
            <w:vAlign w:val="center"/>
            <w:hideMark/>
          </w:tcPr>
          <w:p w:rsidR="00311E38" w:rsidRPr="009A2DCD" w:rsidP="009A4B59" w14:paraId="1F95D96D" w14:textId="1AF223C1">
            <w:pPr>
              <w:rPr>
                <w:rFonts w:asciiTheme="minorBidi" w:hAnsiTheme="minorBidi" w:cstheme="minorBidi"/>
                <w:sz w:val="20"/>
                <w:szCs w:val="20"/>
              </w:rPr>
            </w:pPr>
            <w:r>
              <w:rPr>
                <w:rFonts w:asciiTheme="minorBidi" w:hAnsiTheme="minorBidi" w:cstheme="minorBidi"/>
                <w:b/>
                <w:bCs/>
                <w:sz w:val="20"/>
                <w:szCs w:val="20"/>
              </w:rPr>
              <w:t xml:space="preserve">Number </w:t>
            </w:r>
            <w:r w:rsidRPr="009A2DCD">
              <w:rPr>
                <w:rFonts w:asciiTheme="minorBidi" w:hAnsiTheme="minorBidi" w:cstheme="minorBidi"/>
                <w:b/>
                <w:bCs/>
                <w:sz w:val="20"/>
                <w:szCs w:val="20"/>
              </w:rPr>
              <w:t xml:space="preserve">of </w:t>
            </w:r>
            <w:r>
              <w:rPr>
                <w:rFonts w:asciiTheme="minorBidi" w:hAnsiTheme="minorBidi" w:cstheme="minorBidi"/>
                <w:b/>
                <w:bCs/>
                <w:sz w:val="20"/>
                <w:szCs w:val="20"/>
              </w:rPr>
              <w:t xml:space="preserve">Total TPP </w:t>
            </w:r>
            <w:r w:rsidRPr="009A2DCD">
              <w:rPr>
                <w:rFonts w:asciiTheme="minorBidi" w:hAnsiTheme="minorBidi" w:cstheme="minorBidi"/>
                <w:b/>
                <w:bCs/>
                <w:sz w:val="20"/>
                <w:szCs w:val="20"/>
              </w:rPr>
              <w:t>Awards</w:t>
            </w:r>
            <w:r w:rsidR="00E94020">
              <w:rPr>
                <w:rFonts w:asciiTheme="minorBidi" w:hAnsiTheme="minorBidi" w:cstheme="minorBidi"/>
                <w:b/>
                <w:bCs/>
                <w:sz w:val="20"/>
                <w:szCs w:val="20"/>
              </w:rPr>
              <w:t xml:space="preserve"> by 9/2026</w:t>
            </w:r>
          </w:p>
        </w:tc>
        <w:tc>
          <w:tcPr>
            <w:tcW w:w="1149" w:type="dxa"/>
            <w:tcBorders>
              <w:top w:val="single" w:sz="8" w:space="0" w:color="FFFFFF" w:themeColor="background1"/>
              <w:left w:val="nil"/>
              <w:bottom w:val="single" w:sz="24" w:space="0" w:color="FFFFFF" w:themeColor="background1"/>
              <w:right w:val="single" w:sz="8" w:space="0" w:color="FFFFFF" w:themeColor="background1"/>
            </w:tcBorders>
            <w:shd w:val="clear" w:color="auto" w:fill="BFBFBF" w:themeFill="background1" w:themeFillShade="BF"/>
            <w:vAlign w:val="center"/>
          </w:tcPr>
          <w:p w:rsidR="00311E38" w:rsidRPr="009A2DCD" w:rsidP="009A4B59" w14:paraId="19FF02DE" w14:textId="31E03157">
            <w:pPr>
              <w:rPr>
                <w:rFonts w:asciiTheme="minorBidi" w:hAnsiTheme="minorBidi" w:cstheme="minorBidi"/>
                <w:b/>
                <w:bCs/>
                <w:sz w:val="22"/>
                <w:szCs w:val="22"/>
              </w:rPr>
            </w:pPr>
            <w:r w:rsidRPr="009A2DCD">
              <w:rPr>
                <w:rFonts w:asciiTheme="minorBidi" w:hAnsiTheme="minorBidi" w:cstheme="minorBidi"/>
                <w:b/>
                <w:bCs/>
                <w:sz w:val="22"/>
                <w:szCs w:val="22"/>
              </w:rPr>
              <w:t>Rigorous Impact Evaluation</w:t>
            </w:r>
          </w:p>
        </w:tc>
      </w:tr>
      <w:tr w14:paraId="181B255C" w14:textId="77777777" w:rsidTr="008478CE">
        <w:tblPrEx>
          <w:tblW w:w="9232" w:type="dxa"/>
          <w:tblInd w:w="108" w:type="dxa"/>
          <w:tblCellMar>
            <w:left w:w="0" w:type="dxa"/>
            <w:right w:w="0" w:type="dxa"/>
          </w:tblCellMar>
          <w:tblLook w:val="04A0"/>
        </w:tblPrEx>
        <w:trPr>
          <w:trHeight w:val="862"/>
        </w:trPr>
        <w:tc>
          <w:tcPr>
            <w:tcW w:w="1567" w:type="dxa"/>
            <w:tcBorders>
              <w:top w:val="nil"/>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center"/>
            <w:hideMark/>
          </w:tcPr>
          <w:p w:rsidR="00311E38" w:rsidRPr="009A2DCD" w:rsidP="009A4B59" w14:paraId="0220DDEC" w14:textId="389EE415">
            <w:pPr>
              <w:spacing w:after="120"/>
              <w:rPr>
                <w:rFonts w:ascii="Arial" w:hAnsi="Arial" w:cs="Arial"/>
                <w:sz w:val="20"/>
                <w:szCs w:val="20"/>
              </w:rPr>
            </w:pPr>
            <w:r w:rsidRPr="00D078B3">
              <w:rPr>
                <w:rStyle w:val="search-custom-heading"/>
                <w:rFonts w:ascii="Arial" w:hAnsi="Arial" w:cs="Arial"/>
                <w:sz w:val="20"/>
                <w:szCs w:val="20"/>
              </w:rPr>
              <w:t xml:space="preserve">Replication of Evidence-Based </w:t>
            </w:r>
            <w:r>
              <w:rPr>
                <w:rStyle w:val="search-custom-heading"/>
                <w:rFonts w:ascii="Arial" w:hAnsi="Arial" w:cs="Arial"/>
                <w:sz w:val="20"/>
                <w:szCs w:val="20"/>
              </w:rPr>
              <w:t>TPP</w:t>
            </w:r>
            <w:r w:rsidRPr="009A2DCD">
              <w:rPr>
                <w:rStyle w:val="search-custom-heading"/>
                <w:rFonts w:ascii="Arial" w:hAnsi="Arial" w:cs="Arial"/>
                <w:sz w:val="20"/>
                <w:szCs w:val="20"/>
              </w:rPr>
              <w:t xml:space="preserve"> Programs</w:t>
            </w:r>
            <w:r w:rsidRPr="3E713F47">
              <w:rPr>
                <w:rStyle w:val="search-custom-heading"/>
                <w:rFonts w:ascii="Arial" w:hAnsi="Arial" w:cs="Arial"/>
                <w:sz w:val="20"/>
                <w:szCs w:val="20"/>
              </w:rPr>
              <w:t xml:space="preserve"> </w:t>
            </w:r>
            <w:r w:rsidRPr="009A2DCD">
              <w:rPr>
                <w:rFonts w:ascii="Arial" w:hAnsi="Arial" w:cs="Arial"/>
                <w:sz w:val="20"/>
                <w:szCs w:val="20"/>
              </w:rPr>
              <w:t xml:space="preserve">(Tier 1) </w:t>
            </w:r>
          </w:p>
        </w:tc>
        <w:tc>
          <w:tcPr>
            <w:tcW w:w="2458" w:type="dxa"/>
            <w:tcBorders>
              <w:top w:val="nil"/>
              <w:left w:val="nil"/>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center"/>
            <w:hideMark/>
          </w:tcPr>
          <w:p w:rsidR="00311E38" w:rsidRPr="009A2DCD" w:rsidP="009A4B59" w14:paraId="41EE5EB5" w14:textId="1B46A308">
            <w:pPr>
              <w:rPr>
                <w:rFonts w:asciiTheme="minorBidi" w:hAnsiTheme="minorBidi" w:cstheme="minorBidi"/>
                <w:sz w:val="20"/>
                <w:szCs w:val="20"/>
              </w:rPr>
            </w:pPr>
            <w:r>
              <w:rPr>
                <w:rFonts w:asciiTheme="minorBidi" w:hAnsiTheme="minorBidi" w:cstheme="minorBidi"/>
                <w:sz w:val="20"/>
                <w:szCs w:val="20"/>
              </w:rPr>
              <w:t>$67.824</w:t>
            </w:r>
            <w:r w:rsidRPr="009A2DCD">
              <w:rPr>
                <w:rFonts w:asciiTheme="minorBidi" w:hAnsiTheme="minorBidi" w:cstheme="minorBidi"/>
                <w:sz w:val="20"/>
                <w:szCs w:val="20"/>
              </w:rPr>
              <w:t xml:space="preserve"> million</w:t>
            </w:r>
          </w:p>
        </w:tc>
        <w:tc>
          <w:tcPr>
            <w:tcW w:w="1301" w:type="dxa"/>
            <w:tcBorders>
              <w:top w:val="nil"/>
              <w:left w:val="nil"/>
              <w:bottom w:val="single" w:sz="8" w:space="0" w:color="FFFFFF" w:themeColor="background1"/>
              <w:right w:val="nil"/>
            </w:tcBorders>
            <w:shd w:val="clear" w:color="auto" w:fill="F2F2F2" w:themeFill="background1" w:themeFillShade="F2"/>
          </w:tcPr>
          <w:p w:rsidR="00311E38" w:rsidP="009A4B59" w14:paraId="1C92B9BC" w14:textId="77777777">
            <w:pPr>
              <w:jc w:val="center"/>
              <w:rPr>
                <w:rFonts w:ascii="Arial" w:hAnsi="Arial" w:cs="Arial"/>
                <w:sz w:val="20"/>
                <w:szCs w:val="20"/>
              </w:rPr>
            </w:pPr>
          </w:p>
          <w:p w:rsidR="004164EC" w:rsidP="009A4B59" w14:paraId="06779F16" w14:textId="77777777">
            <w:pPr>
              <w:jc w:val="center"/>
              <w:rPr>
                <w:rFonts w:ascii="Arial" w:hAnsi="Arial" w:cs="Arial"/>
                <w:sz w:val="20"/>
                <w:szCs w:val="20"/>
              </w:rPr>
            </w:pPr>
          </w:p>
          <w:p w:rsidR="004164EC" w:rsidP="009A4B59" w14:paraId="256BDD3A" w14:textId="797FB077">
            <w:pPr>
              <w:jc w:val="center"/>
              <w:rPr>
                <w:rFonts w:ascii="Arial" w:hAnsi="Arial" w:cs="Arial"/>
                <w:sz w:val="20"/>
                <w:szCs w:val="20"/>
              </w:rPr>
            </w:pPr>
            <w:r>
              <w:rPr>
                <w:rFonts w:ascii="Arial" w:hAnsi="Arial" w:cs="Arial"/>
                <w:sz w:val="20"/>
                <w:szCs w:val="20"/>
              </w:rPr>
              <w:t>70</w:t>
            </w:r>
          </w:p>
        </w:tc>
        <w:tc>
          <w:tcPr>
            <w:tcW w:w="890" w:type="dxa"/>
            <w:tcBorders>
              <w:top w:val="nil"/>
              <w:left w:val="nil"/>
              <w:bottom w:val="single" w:sz="8" w:space="0" w:color="FFFFFF" w:themeColor="background1"/>
              <w:right w:val="nil"/>
            </w:tcBorders>
            <w:shd w:val="clear" w:color="auto" w:fill="F2F2F2" w:themeFill="background1" w:themeFillShade="F2"/>
          </w:tcPr>
          <w:p w:rsidR="008478CE" w:rsidP="009A4B59" w14:paraId="0E8DCA24" w14:textId="77777777">
            <w:pPr>
              <w:jc w:val="center"/>
              <w:rPr>
                <w:rFonts w:ascii="Arial" w:hAnsi="Arial" w:cs="Arial"/>
                <w:sz w:val="20"/>
                <w:szCs w:val="20"/>
              </w:rPr>
            </w:pPr>
          </w:p>
          <w:p w:rsidR="008478CE" w:rsidP="009A4B59" w14:paraId="6CA7A87C" w14:textId="77777777">
            <w:pPr>
              <w:jc w:val="center"/>
              <w:rPr>
                <w:rFonts w:ascii="Arial" w:hAnsi="Arial" w:cs="Arial"/>
                <w:sz w:val="20"/>
                <w:szCs w:val="20"/>
              </w:rPr>
            </w:pPr>
          </w:p>
          <w:p w:rsidR="00311E38" w:rsidP="009A4B59" w14:paraId="38912871" w14:textId="663A7BAE">
            <w:pPr>
              <w:jc w:val="center"/>
              <w:rPr>
                <w:rFonts w:ascii="Arial" w:hAnsi="Arial" w:cs="Arial"/>
                <w:sz w:val="20"/>
                <w:szCs w:val="20"/>
              </w:rPr>
            </w:pPr>
            <w:r>
              <w:rPr>
                <w:rFonts w:ascii="Arial" w:hAnsi="Arial" w:cs="Arial"/>
                <w:sz w:val="20"/>
                <w:szCs w:val="20"/>
              </w:rPr>
              <w:t>51</w:t>
            </w:r>
          </w:p>
        </w:tc>
        <w:tc>
          <w:tcPr>
            <w:tcW w:w="839" w:type="dxa"/>
            <w:tcBorders>
              <w:top w:val="nil"/>
              <w:left w:val="nil"/>
              <w:bottom w:val="single" w:sz="8" w:space="0" w:color="FFFFFF" w:themeColor="background1"/>
              <w:right w:val="nil"/>
            </w:tcBorders>
            <w:shd w:val="clear" w:color="auto" w:fill="F2F2F2" w:themeFill="background1" w:themeFillShade="F2"/>
          </w:tcPr>
          <w:p w:rsidR="008478CE" w:rsidP="009A4B59" w14:paraId="6A6C4EAE" w14:textId="77777777">
            <w:pPr>
              <w:jc w:val="center"/>
              <w:rPr>
                <w:rFonts w:ascii="Arial" w:hAnsi="Arial" w:cs="Arial"/>
                <w:sz w:val="20"/>
                <w:szCs w:val="20"/>
              </w:rPr>
            </w:pPr>
          </w:p>
          <w:p w:rsidR="008478CE" w:rsidP="009A4B59" w14:paraId="328FAD24" w14:textId="77777777">
            <w:pPr>
              <w:jc w:val="center"/>
              <w:rPr>
                <w:rFonts w:ascii="Arial" w:hAnsi="Arial" w:cs="Arial"/>
                <w:sz w:val="20"/>
                <w:szCs w:val="20"/>
              </w:rPr>
            </w:pPr>
          </w:p>
          <w:p w:rsidR="00311E38" w:rsidP="009A4B59" w14:paraId="6A2371AE" w14:textId="04FB2A3A">
            <w:pPr>
              <w:jc w:val="center"/>
              <w:rPr>
                <w:rFonts w:ascii="Arial" w:hAnsi="Arial" w:cs="Arial"/>
                <w:sz w:val="20"/>
                <w:szCs w:val="20"/>
              </w:rPr>
            </w:pPr>
            <w:r>
              <w:rPr>
                <w:rFonts w:ascii="Arial" w:hAnsi="Arial" w:cs="Arial"/>
                <w:sz w:val="20"/>
                <w:szCs w:val="20"/>
              </w:rPr>
              <w:t>7</w:t>
            </w:r>
          </w:p>
        </w:tc>
        <w:tc>
          <w:tcPr>
            <w:tcW w:w="1028" w:type="dxa"/>
            <w:tcBorders>
              <w:top w:val="nil"/>
              <w:left w:val="nil"/>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center"/>
          </w:tcPr>
          <w:p w:rsidR="00311E38" w:rsidRPr="00835E3E" w:rsidP="009A4B59" w14:paraId="70B41387" w14:textId="2D492529">
            <w:pPr>
              <w:jc w:val="center"/>
              <w:rPr>
                <w:rFonts w:ascii="Arial" w:hAnsi="Arial" w:cs="Arial"/>
                <w:sz w:val="20"/>
                <w:szCs w:val="20"/>
                <w:highlight w:val="yellow"/>
              </w:rPr>
            </w:pPr>
            <w:r>
              <w:rPr>
                <w:rFonts w:ascii="Arial" w:hAnsi="Arial" w:cs="Arial"/>
                <w:sz w:val="20"/>
                <w:szCs w:val="20"/>
              </w:rPr>
              <w:t>58</w:t>
            </w:r>
          </w:p>
        </w:tc>
        <w:tc>
          <w:tcPr>
            <w:tcW w:w="1149" w:type="dxa"/>
            <w:tcBorders>
              <w:top w:val="nil"/>
              <w:left w:val="nil"/>
              <w:bottom w:val="single" w:sz="8" w:space="0" w:color="FFFFFF" w:themeColor="background1"/>
              <w:right w:val="single" w:sz="8" w:space="0" w:color="FFFFFF" w:themeColor="background1"/>
            </w:tcBorders>
            <w:shd w:val="clear" w:color="auto" w:fill="F2F2F2" w:themeFill="background1" w:themeFillShade="F2"/>
            <w:vAlign w:val="center"/>
          </w:tcPr>
          <w:p w:rsidR="00311E38" w:rsidRPr="009A2DCD" w:rsidP="009A4B59" w14:paraId="0226731F" w14:textId="77777777">
            <w:pPr>
              <w:jc w:val="center"/>
              <w:rPr>
                <w:rFonts w:asciiTheme="minorBidi" w:hAnsiTheme="minorBidi" w:cstheme="minorBidi"/>
                <w:sz w:val="20"/>
                <w:szCs w:val="20"/>
              </w:rPr>
            </w:pPr>
            <w:r w:rsidRPr="009A2DCD">
              <w:rPr>
                <w:rFonts w:asciiTheme="minorBidi" w:hAnsiTheme="minorBidi" w:cstheme="minorBidi"/>
                <w:sz w:val="20"/>
                <w:szCs w:val="20"/>
              </w:rPr>
              <w:t>No</w:t>
            </w:r>
          </w:p>
        </w:tc>
      </w:tr>
      <w:tr w14:paraId="07F9F74D" w14:textId="77777777" w:rsidTr="008478CE">
        <w:tblPrEx>
          <w:tblW w:w="9232" w:type="dxa"/>
          <w:tblInd w:w="108" w:type="dxa"/>
          <w:tblCellMar>
            <w:left w:w="0" w:type="dxa"/>
            <w:right w:w="0" w:type="dxa"/>
          </w:tblCellMar>
          <w:tblLook w:val="04A0"/>
        </w:tblPrEx>
        <w:trPr>
          <w:trHeight w:val="1114"/>
        </w:trPr>
        <w:tc>
          <w:tcPr>
            <w:tcW w:w="1567" w:type="dxa"/>
            <w:tcBorders>
              <w:top w:val="nil"/>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vAlign w:val="center"/>
            <w:hideMark/>
          </w:tcPr>
          <w:p w:rsidR="00311E38" w:rsidRPr="009A2DCD" w:rsidP="009A4B59" w14:paraId="6474FDA2" w14:textId="51925C5A">
            <w:pPr>
              <w:spacing w:after="120"/>
              <w:rPr>
                <w:rFonts w:ascii="Arial" w:hAnsi="Arial" w:cs="Arial"/>
                <w:sz w:val="20"/>
                <w:szCs w:val="20"/>
              </w:rPr>
            </w:pPr>
            <w:r>
              <w:rPr>
                <w:rFonts w:ascii="Arial" w:hAnsi="Arial" w:cs="Arial"/>
                <w:sz w:val="20"/>
                <w:szCs w:val="20"/>
              </w:rPr>
              <w:t>TPP</w:t>
            </w:r>
            <w:r w:rsidRPr="009A2DCD">
              <w:rPr>
                <w:rFonts w:ascii="Arial" w:hAnsi="Arial" w:cs="Arial"/>
                <w:sz w:val="20"/>
                <w:szCs w:val="20"/>
              </w:rPr>
              <w:t xml:space="preserve"> Tier 2 Rigorous Evaluation Cooperative Agreements</w:t>
            </w:r>
          </w:p>
        </w:tc>
        <w:tc>
          <w:tcPr>
            <w:tcW w:w="2458" w:type="dxa"/>
            <w:tcBorders>
              <w:top w:val="nil"/>
              <w:left w:val="nil"/>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vAlign w:val="center"/>
            <w:hideMark/>
          </w:tcPr>
          <w:p w:rsidR="00311E38" w:rsidRPr="009A2DCD" w:rsidP="009A4B59" w14:paraId="77331E11" w14:textId="77916076">
            <w:pPr>
              <w:rPr>
                <w:rFonts w:asciiTheme="minorBidi" w:hAnsiTheme="minorBidi" w:cstheme="minorBidi"/>
                <w:sz w:val="20"/>
                <w:szCs w:val="20"/>
              </w:rPr>
            </w:pPr>
            <w:r w:rsidRPr="009A2DCD">
              <w:rPr>
                <w:rFonts w:asciiTheme="minorBidi" w:hAnsiTheme="minorBidi" w:cstheme="minorBidi"/>
                <w:sz w:val="20"/>
                <w:szCs w:val="20"/>
              </w:rPr>
              <w:t>$</w:t>
            </w:r>
            <w:r>
              <w:rPr>
                <w:rFonts w:asciiTheme="minorBidi" w:hAnsiTheme="minorBidi" w:cstheme="minorBidi"/>
                <w:sz w:val="20"/>
                <w:szCs w:val="20"/>
              </w:rPr>
              <w:t>10.813</w:t>
            </w:r>
            <w:r w:rsidRPr="009A2DCD">
              <w:rPr>
                <w:rFonts w:asciiTheme="minorBidi" w:hAnsiTheme="minorBidi" w:cstheme="minorBidi"/>
                <w:sz w:val="20"/>
                <w:szCs w:val="20"/>
              </w:rPr>
              <w:t xml:space="preserve"> million</w:t>
            </w:r>
          </w:p>
        </w:tc>
        <w:tc>
          <w:tcPr>
            <w:tcW w:w="1301" w:type="dxa"/>
            <w:tcBorders>
              <w:top w:val="nil"/>
              <w:left w:val="nil"/>
              <w:bottom w:val="single" w:sz="8" w:space="0" w:color="FFFFFF" w:themeColor="background1"/>
              <w:right w:val="nil"/>
            </w:tcBorders>
            <w:shd w:val="clear" w:color="auto" w:fill="D9D9D9" w:themeFill="background1" w:themeFillShade="D9"/>
          </w:tcPr>
          <w:p w:rsidR="00311E38" w:rsidP="009A4B59" w14:paraId="3E4A6674" w14:textId="77777777">
            <w:pPr>
              <w:jc w:val="center"/>
              <w:rPr>
                <w:rFonts w:asciiTheme="minorBidi" w:hAnsiTheme="minorBidi" w:cstheme="minorBidi"/>
                <w:sz w:val="20"/>
                <w:szCs w:val="20"/>
              </w:rPr>
            </w:pPr>
          </w:p>
          <w:p w:rsidR="004164EC" w:rsidP="009A4B59" w14:paraId="76545C3C" w14:textId="77777777">
            <w:pPr>
              <w:jc w:val="center"/>
              <w:rPr>
                <w:rFonts w:asciiTheme="minorBidi" w:hAnsiTheme="minorBidi" w:cstheme="minorBidi"/>
                <w:sz w:val="20"/>
                <w:szCs w:val="20"/>
              </w:rPr>
            </w:pPr>
          </w:p>
          <w:p w:rsidR="004164EC" w:rsidP="009A4B59" w14:paraId="0A80CD05" w14:textId="05ABC873">
            <w:pPr>
              <w:jc w:val="center"/>
              <w:rPr>
                <w:rFonts w:asciiTheme="minorBidi" w:hAnsiTheme="minorBidi" w:cstheme="minorBidi"/>
                <w:sz w:val="20"/>
                <w:szCs w:val="20"/>
              </w:rPr>
            </w:pPr>
            <w:r>
              <w:rPr>
                <w:rFonts w:asciiTheme="minorBidi" w:hAnsiTheme="minorBidi" w:cstheme="minorBidi"/>
                <w:sz w:val="20"/>
                <w:szCs w:val="20"/>
              </w:rPr>
              <w:t>16</w:t>
            </w:r>
          </w:p>
        </w:tc>
        <w:tc>
          <w:tcPr>
            <w:tcW w:w="890" w:type="dxa"/>
            <w:tcBorders>
              <w:top w:val="nil"/>
              <w:left w:val="nil"/>
              <w:bottom w:val="single" w:sz="8" w:space="0" w:color="FFFFFF" w:themeColor="background1"/>
              <w:right w:val="nil"/>
            </w:tcBorders>
            <w:shd w:val="clear" w:color="auto" w:fill="D9D9D9" w:themeFill="background1" w:themeFillShade="D9"/>
          </w:tcPr>
          <w:p w:rsidR="008478CE" w:rsidP="009A4B59" w14:paraId="29C036C5" w14:textId="77777777">
            <w:pPr>
              <w:jc w:val="center"/>
              <w:rPr>
                <w:rFonts w:asciiTheme="minorBidi" w:hAnsiTheme="minorBidi" w:cstheme="minorBidi"/>
                <w:sz w:val="20"/>
                <w:szCs w:val="20"/>
              </w:rPr>
            </w:pPr>
          </w:p>
          <w:p w:rsidR="008478CE" w:rsidP="009A4B59" w14:paraId="55E65942" w14:textId="77777777">
            <w:pPr>
              <w:jc w:val="center"/>
              <w:rPr>
                <w:rFonts w:asciiTheme="minorBidi" w:hAnsiTheme="minorBidi" w:cstheme="minorBidi"/>
                <w:sz w:val="20"/>
                <w:szCs w:val="20"/>
              </w:rPr>
            </w:pPr>
          </w:p>
          <w:p w:rsidR="00311E38" w:rsidRPr="3E713F47" w:rsidP="009A4B59" w14:paraId="4E9E1C13" w14:textId="1787F59D">
            <w:pPr>
              <w:jc w:val="center"/>
              <w:rPr>
                <w:rFonts w:asciiTheme="minorBidi" w:hAnsiTheme="minorBidi" w:cstheme="minorBidi"/>
                <w:sz w:val="20"/>
                <w:szCs w:val="20"/>
              </w:rPr>
            </w:pPr>
            <w:r>
              <w:rPr>
                <w:rFonts w:asciiTheme="minorBidi" w:hAnsiTheme="minorBidi" w:cstheme="minorBidi"/>
                <w:sz w:val="20"/>
                <w:szCs w:val="20"/>
              </w:rPr>
              <w:t>11</w:t>
            </w:r>
          </w:p>
        </w:tc>
        <w:tc>
          <w:tcPr>
            <w:tcW w:w="839" w:type="dxa"/>
            <w:tcBorders>
              <w:top w:val="nil"/>
              <w:left w:val="nil"/>
              <w:bottom w:val="single" w:sz="8" w:space="0" w:color="FFFFFF" w:themeColor="background1"/>
              <w:right w:val="nil"/>
            </w:tcBorders>
            <w:shd w:val="clear" w:color="auto" w:fill="D9D9D9" w:themeFill="background1" w:themeFillShade="D9"/>
          </w:tcPr>
          <w:p w:rsidR="008478CE" w:rsidP="009A4B59" w14:paraId="152FF915" w14:textId="77777777">
            <w:pPr>
              <w:jc w:val="center"/>
              <w:rPr>
                <w:rFonts w:asciiTheme="minorBidi" w:hAnsiTheme="minorBidi" w:cstheme="minorBidi"/>
                <w:sz w:val="20"/>
                <w:szCs w:val="20"/>
              </w:rPr>
            </w:pPr>
          </w:p>
          <w:p w:rsidR="008478CE" w:rsidP="009A4B59" w14:paraId="5E86C0A0" w14:textId="77777777">
            <w:pPr>
              <w:jc w:val="center"/>
              <w:rPr>
                <w:rFonts w:asciiTheme="minorBidi" w:hAnsiTheme="minorBidi" w:cstheme="minorBidi"/>
                <w:sz w:val="20"/>
                <w:szCs w:val="20"/>
              </w:rPr>
            </w:pPr>
          </w:p>
          <w:p w:rsidR="00311E38" w:rsidRPr="3E713F47" w:rsidP="009A4B59" w14:paraId="118FD4A5" w14:textId="7CAB9BD9">
            <w:pPr>
              <w:jc w:val="center"/>
              <w:rPr>
                <w:rFonts w:asciiTheme="minorBidi" w:hAnsiTheme="minorBidi" w:cstheme="minorBidi"/>
                <w:sz w:val="20"/>
                <w:szCs w:val="20"/>
              </w:rPr>
            </w:pPr>
            <w:r>
              <w:rPr>
                <w:rFonts w:asciiTheme="minorBidi" w:hAnsiTheme="minorBidi" w:cstheme="minorBidi"/>
                <w:sz w:val="20"/>
                <w:szCs w:val="20"/>
              </w:rPr>
              <w:t>4</w:t>
            </w:r>
          </w:p>
        </w:tc>
        <w:tc>
          <w:tcPr>
            <w:tcW w:w="1028" w:type="dxa"/>
            <w:tcBorders>
              <w:top w:val="nil"/>
              <w:left w:val="nil"/>
              <w:bottom w:val="single" w:sz="8" w:space="0" w:color="FFFFFF" w:themeColor="background1"/>
              <w:right w:val="single" w:sz="8" w:space="0" w:color="FFFFFF" w:themeColor="background1"/>
            </w:tcBorders>
            <w:shd w:val="clear" w:color="auto" w:fill="D9D9D9" w:themeFill="background1" w:themeFillShade="D9"/>
            <w:tcMar>
              <w:top w:w="15" w:type="dxa"/>
              <w:left w:w="108" w:type="dxa"/>
              <w:bottom w:w="0" w:type="dxa"/>
              <w:right w:w="108" w:type="dxa"/>
            </w:tcMar>
            <w:vAlign w:val="center"/>
            <w:hideMark/>
          </w:tcPr>
          <w:p w:rsidR="00311E38" w:rsidRPr="00835E3E" w:rsidP="009A4B59" w14:paraId="7F1579CB" w14:textId="6CCD0D9B">
            <w:pPr>
              <w:jc w:val="center"/>
              <w:rPr>
                <w:rFonts w:asciiTheme="minorBidi" w:hAnsiTheme="minorBidi" w:cstheme="minorBidi"/>
                <w:sz w:val="20"/>
                <w:szCs w:val="20"/>
              </w:rPr>
            </w:pPr>
            <w:r w:rsidRPr="3E713F47">
              <w:rPr>
                <w:rFonts w:asciiTheme="minorBidi" w:hAnsiTheme="minorBidi" w:cstheme="minorBidi"/>
                <w:sz w:val="20"/>
                <w:szCs w:val="20"/>
              </w:rPr>
              <w:t>15</w:t>
            </w:r>
          </w:p>
        </w:tc>
        <w:tc>
          <w:tcPr>
            <w:tcW w:w="1149" w:type="dxa"/>
            <w:tcBorders>
              <w:top w:val="nil"/>
              <w:left w:val="nil"/>
              <w:bottom w:val="single" w:sz="8" w:space="0" w:color="FFFFFF" w:themeColor="background1"/>
              <w:right w:val="single" w:sz="8" w:space="0" w:color="FFFFFF" w:themeColor="background1"/>
            </w:tcBorders>
            <w:shd w:val="clear" w:color="auto" w:fill="D9D9D9" w:themeFill="background1" w:themeFillShade="D9"/>
            <w:vAlign w:val="center"/>
          </w:tcPr>
          <w:p w:rsidR="00311E38" w:rsidRPr="009A2DCD" w:rsidP="009A4B59" w14:paraId="53BCAB06" w14:textId="6D13BB63">
            <w:pPr>
              <w:jc w:val="center"/>
              <w:rPr>
                <w:rFonts w:asciiTheme="minorBidi" w:hAnsiTheme="minorBidi" w:cstheme="minorBidi"/>
                <w:sz w:val="20"/>
                <w:szCs w:val="20"/>
              </w:rPr>
            </w:pPr>
            <w:r w:rsidRPr="009A2DCD">
              <w:rPr>
                <w:rFonts w:asciiTheme="minorBidi" w:hAnsiTheme="minorBidi" w:cstheme="minorBidi"/>
                <w:sz w:val="20"/>
                <w:szCs w:val="20"/>
              </w:rPr>
              <w:t>Yes</w:t>
            </w:r>
          </w:p>
        </w:tc>
      </w:tr>
      <w:tr w14:paraId="184CF1A7" w14:textId="77777777" w:rsidTr="008478CE">
        <w:tblPrEx>
          <w:tblW w:w="9232" w:type="dxa"/>
          <w:tblInd w:w="108" w:type="dxa"/>
          <w:tblCellMar>
            <w:left w:w="0" w:type="dxa"/>
            <w:right w:w="0" w:type="dxa"/>
          </w:tblCellMar>
          <w:tblLook w:val="04A0"/>
        </w:tblPrEx>
        <w:trPr>
          <w:trHeight w:val="790"/>
        </w:trPr>
        <w:tc>
          <w:tcPr>
            <w:tcW w:w="1567" w:type="dxa"/>
            <w:tcBorders>
              <w:top w:val="nil"/>
              <w:left w:val="single" w:sz="8" w:space="0" w:color="FFFFFF" w:themeColor="background1"/>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center"/>
            <w:hideMark/>
          </w:tcPr>
          <w:p w:rsidR="00311E38" w:rsidRPr="009A2DCD" w:rsidP="009A4B59" w14:paraId="1B90EA97" w14:textId="12E2323E">
            <w:pPr>
              <w:spacing w:after="120"/>
              <w:rPr>
                <w:rFonts w:ascii="Arial" w:hAnsi="Arial" w:cs="Arial"/>
                <w:sz w:val="20"/>
                <w:szCs w:val="20"/>
              </w:rPr>
            </w:pPr>
            <w:r w:rsidRPr="003C0C66">
              <w:rPr>
                <w:rStyle w:val="search-custom-heading"/>
                <w:rFonts w:ascii="Arial" w:hAnsi="Arial" w:cs="Arial"/>
                <w:sz w:val="20"/>
                <w:szCs w:val="20"/>
              </w:rPr>
              <w:t xml:space="preserve">TPP Innovation Hubs </w:t>
            </w:r>
            <w:r w:rsidRPr="009A2DCD">
              <w:rPr>
                <w:rFonts w:ascii="Arial" w:hAnsi="Arial" w:cs="Arial"/>
                <w:sz w:val="20"/>
                <w:szCs w:val="20"/>
              </w:rPr>
              <w:t xml:space="preserve">(Tier 2) </w:t>
            </w:r>
          </w:p>
        </w:tc>
        <w:tc>
          <w:tcPr>
            <w:tcW w:w="2458" w:type="dxa"/>
            <w:tcBorders>
              <w:top w:val="nil"/>
              <w:left w:val="nil"/>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center"/>
            <w:hideMark/>
          </w:tcPr>
          <w:p w:rsidR="00311E38" w:rsidRPr="009A2DCD" w:rsidP="009A4B59" w14:paraId="21845D60" w14:textId="200E97F3">
            <w:pPr>
              <w:rPr>
                <w:rFonts w:asciiTheme="minorBidi" w:hAnsiTheme="minorBidi" w:cstheme="minorBidi"/>
                <w:sz w:val="20"/>
                <w:szCs w:val="20"/>
              </w:rPr>
            </w:pPr>
            <w:r w:rsidRPr="009A2DCD">
              <w:rPr>
                <w:rFonts w:asciiTheme="minorBidi" w:hAnsiTheme="minorBidi" w:cstheme="minorBidi"/>
                <w:sz w:val="20"/>
                <w:szCs w:val="20"/>
              </w:rPr>
              <w:t>$11.</w:t>
            </w:r>
            <w:r>
              <w:rPr>
                <w:rFonts w:asciiTheme="minorBidi" w:hAnsiTheme="minorBidi" w:cstheme="minorBidi"/>
                <w:sz w:val="20"/>
                <w:szCs w:val="20"/>
              </w:rPr>
              <w:t>181</w:t>
            </w:r>
            <w:r w:rsidRPr="009A2DCD">
              <w:rPr>
                <w:rFonts w:asciiTheme="minorBidi" w:hAnsiTheme="minorBidi" w:cstheme="minorBidi"/>
                <w:sz w:val="20"/>
                <w:szCs w:val="20"/>
              </w:rPr>
              <w:t xml:space="preserve"> million</w:t>
            </w:r>
          </w:p>
        </w:tc>
        <w:tc>
          <w:tcPr>
            <w:tcW w:w="1301" w:type="dxa"/>
            <w:tcBorders>
              <w:top w:val="nil"/>
              <w:left w:val="nil"/>
              <w:bottom w:val="single" w:sz="8" w:space="0" w:color="FFFFFF" w:themeColor="background1"/>
              <w:right w:val="nil"/>
            </w:tcBorders>
            <w:shd w:val="clear" w:color="auto" w:fill="F2F2F2" w:themeFill="background1" w:themeFillShade="F2"/>
          </w:tcPr>
          <w:p w:rsidR="00311E38" w:rsidP="009A4B59" w14:paraId="3227195E" w14:textId="77777777">
            <w:pPr>
              <w:jc w:val="center"/>
              <w:rPr>
                <w:rFonts w:asciiTheme="minorBidi" w:hAnsiTheme="minorBidi" w:cstheme="minorBidi"/>
                <w:sz w:val="20"/>
                <w:szCs w:val="20"/>
              </w:rPr>
            </w:pPr>
          </w:p>
          <w:p w:rsidR="004164EC" w:rsidP="009A4B59" w14:paraId="37C8E7F2" w14:textId="2C5F2636">
            <w:pPr>
              <w:jc w:val="center"/>
              <w:rPr>
                <w:rFonts w:asciiTheme="minorBidi" w:hAnsiTheme="minorBidi" w:cstheme="minorBidi"/>
                <w:sz w:val="20"/>
                <w:szCs w:val="20"/>
              </w:rPr>
            </w:pPr>
            <w:r>
              <w:rPr>
                <w:rFonts w:asciiTheme="minorBidi" w:hAnsiTheme="minorBidi" w:cstheme="minorBidi"/>
                <w:sz w:val="20"/>
                <w:szCs w:val="20"/>
              </w:rPr>
              <w:t>10</w:t>
            </w:r>
          </w:p>
        </w:tc>
        <w:tc>
          <w:tcPr>
            <w:tcW w:w="890" w:type="dxa"/>
            <w:tcBorders>
              <w:top w:val="nil"/>
              <w:left w:val="nil"/>
              <w:bottom w:val="single" w:sz="8" w:space="0" w:color="FFFFFF" w:themeColor="background1"/>
              <w:right w:val="nil"/>
            </w:tcBorders>
            <w:shd w:val="clear" w:color="auto" w:fill="F2F2F2" w:themeFill="background1" w:themeFillShade="F2"/>
          </w:tcPr>
          <w:p w:rsidR="00311E38" w:rsidP="009A4B59" w14:paraId="1E3D042F" w14:textId="0A45EE05">
            <w:pPr>
              <w:jc w:val="center"/>
              <w:rPr>
                <w:rFonts w:asciiTheme="minorBidi" w:hAnsiTheme="minorBidi" w:cstheme="minorBidi"/>
                <w:sz w:val="20"/>
                <w:szCs w:val="20"/>
              </w:rPr>
            </w:pPr>
          </w:p>
          <w:p w:rsidR="00311E38" w:rsidP="009A4B59" w14:paraId="1F15B9CF" w14:textId="654ABEB4">
            <w:pPr>
              <w:jc w:val="center"/>
              <w:rPr>
                <w:rFonts w:asciiTheme="minorBidi" w:hAnsiTheme="minorBidi" w:cstheme="minorBidi"/>
                <w:sz w:val="20"/>
                <w:szCs w:val="20"/>
              </w:rPr>
            </w:pPr>
            <w:r>
              <w:rPr>
                <w:rFonts w:asciiTheme="minorBidi" w:hAnsiTheme="minorBidi" w:cstheme="minorBidi"/>
                <w:sz w:val="20"/>
                <w:szCs w:val="20"/>
              </w:rPr>
              <w:t>6</w:t>
            </w:r>
          </w:p>
        </w:tc>
        <w:tc>
          <w:tcPr>
            <w:tcW w:w="839" w:type="dxa"/>
            <w:tcBorders>
              <w:top w:val="nil"/>
              <w:left w:val="nil"/>
              <w:bottom w:val="single" w:sz="8" w:space="0" w:color="FFFFFF" w:themeColor="background1"/>
              <w:right w:val="nil"/>
            </w:tcBorders>
            <w:shd w:val="clear" w:color="auto" w:fill="F2F2F2" w:themeFill="background1" w:themeFillShade="F2"/>
          </w:tcPr>
          <w:p w:rsidR="00311E38" w:rsidP="009A4B59" w14:paraId="67B0FFBE" w14:textId="77777777">
            <w:pPr>
              <w:jc w:val="center"/>
              <w:rPr>
                <w:rFonts w:asciiTheme="minorBidi" w:hAnsiTheme="minorBidi" w:cstheme="minorBidi"/>
                <w:sz w:val="20"/>
                <w:szCs w:val="20"/>
              </w:rPr>
            </w:pPr>
          </w:p>
          <w:p w:rsidR="00311E38" w:rsidP="009A4B59" w14:paraId="2B0FEAA6" w14:textId="6EAB0F1E">
            <w:pPr>
              <w:jc w:val="center"/>
              <w:rPr>
                <w:rFonts w:asciiTheme="minorBidi" w:hAnsiTheme="minorBidi" w:cstheme="minorBidi"/>
                <w:sz w:val="20"/>
                <w:szCs w:val="20"/>
              </w:rPr>
            </w:pPr>
            <w:r>
              <w:rPr>
                <w:rFonts w:asciiTheme="minorBidi" w:hAnsiTheme="minorBidi" w:cstheme="minorBidi"/>
                <w:sz w:val="20"/>
                <w:szCs w:val="20"/>
              </w:rPr>
              <w:t>0</w:t>
            </w:r>
          </w:p>
        </w:tc>
        <w:tc>
          <w:tcPr>
            <w:tcW w:w="1028" w:type="dxa"/>
            <w:tcBorders>
              <w:top w:val="nil"/>
              <w:left w:val="nil"/>
              <w:bottom w:val="single" w:sz="8" w:space="0" w:color="FFFFFF" w:themeColor="background1"/>
              <w:right w:val="single" w:sz="8" w:space="0" w:color="FFFFFF" w:themeColor="background1"/>
            </w:tcBorders>
            <w:shd w:val="clear" w:color="auto" w:fill="F2F2F2" w:themeFill="background1" w:themeFillShade="F2"/>
            <w:tcMar>
              <w:top w:w="15" w:type="dxa"/>
              <w:left w:w="108" w:type="dxa"/>
              <w:bottom w:w="0" w:type="dxa"/>
              <w:right w:w="108" w:type="dxa"/>
            </w:tcMar>
            <w:vAlign w:val="center"/>
            <w:hideMark/>
          </w:tcPr>
          <w:p w:rsidR="00311E38" w:rsidRPr="009A2DCD" w:rsidP="009A4B59" w14:paraId="6DFF0064" w14:textId="55DD6F9E">
            <w:pPr>
              <w:jc w:val="center"/>
              <w:rPr>
                <w:rFonts w:asciiTheme="minorBidi" w:hAnsiTheme="minorBidi" w:cstheme="minorBidi"/>
                <w:sz w:val="20"/>
                <w:szCs w:val="20"/>
              </w:rPr>
            </w:pPr>
            <w:r>
              <w:rPr>
                <w:rFonts w:asciiTheme="minorBidi" w:hAnsiTheme="minorBidi" w:cstheme="minorBidi"/>
                <w:sz w:val="20"/>
                <w:szCs w:val="20"/>
              </w:rPr>
              <w:t>6</w:t>
            </w:r>
          </w:p>
        </w:tc>
        <w:tc>
          <w:tcPr>
            <w:tcW w:w="1149" w:type="dxa"/>
            <w:tcBorders>
              <w:top w:val="nil"/>
              <w:left w:val="nil"/>
              <w:bottom w:val="single" w:sz="8" w:space="0" w:color="FFFFFF" w:themeColor="background1"/>
              <w:right w:val="single" w:sz="8" w:space="0" w:color="FFFFFF" w:themeColor="background1"/>
            </w:tcBorders>
            <w:shd w:val="clear" w:color="auto" w:fill="F2F2F2" w:themeFill="background1" w:themeFillShade="F2"/>
            <w:vAlign w:val="center"/>
          </w:tcPr>
          <w:p w:rsidR="00311E38" w:rsidRPr="009A2DCD" w:rsidP="009A4B59" w14:paraId="3B49C665" w14:textId="4B111A87">
            <w:pPr>
              <w:jc w:val="center"/>
              <w:rPr>
                <w:rFonts w:asciiTheme="minorBidi" w:hAnsiTheme="minorBidi" w:cstheme="minorBidi"/>
                <w:sz w:val="20"/>
                <w:szCs w:val="20"/>
              </w:rPr>
            </w:pPr>
            <w:r w:rsidRPr="009A2DCD">
              <w:rPr>
                <w:rFonts w:asciiTheme="minorBidi" w:hAnsiTheme="minorBidi" w:cstheme="minorBidi"/>
                <w:sz w:val="20"/>
                <w:szCs w:val="20"/>
              </w:rPr>
              <w:t>No</w:t>
            </w:r>
          </w:p>
        </w:tc>
      </w:tr>
    </w:tbl>
    <w:p w:rsidR="00CF7CA3" w:rsidP="00D966FA" w14:paraId="127CD305" w14:textId="77777777">
      <w:pPr>
        <w:spacing w:after="120"/>
      </w:pPr>
    </w:p>
    <w:p w:rsidR="00426707" w:rsidRPr="00D966FA" w:rsidP="006F03A7" w14:paraId="01746933" w14:textId="5A0C0EBC">
      <w:pPr>
        <w:pStyle w:val="OMBheading-2"/>
      </w:pPr>
      <w:bookmarkStart w:id="2" w:name="_Toc225240679"/>
      <w:r w:rsidRPr="00D966FA">
        <w:t>Purpose and Use of Information Collection</w:t>
      </w:r>
      <w:bookmarkEnd w:id="2"/>
    </w:p>
    <w:p w:rsidR="00302AF0" w:rsidRPr="009A2DCD" w:rsidP="00302AF0" w14:paraId="2C3813AA" w14:textId="2A238828">
      <w:pPr>
        <w:widowControl/>
        <w:spacing w:after="120"/>
      </w:pPr>
      <w:r w:rsidRPr="00157EED">
        <w:t>Section 301 of the Public Health Service Act (42 U.S.C.241)</w:t>
      </w:r>
      <w:r>
        <w:t xml:space="preserve"> broadly authorizes </w:t>
      </w:r>
      <w:r w:rsidR="001E57A9">
        <w:t>data collections</w:t>
      </w:r>
      <w:r>
        <w:t xml:space="preserve"> relating to the control and prevention of diseases (Attachment A)</w:t>
      </w:r>
      <w:r w:rsidRPr="00157EED">
        <w:t xml:space="preserve">. </w:t>
      </w:r>
      <w:r w:rsidRPr="009A2DCD">
        <w:t xml:space="preserve">  </w:t>
      </w:r>
      <w:r w:rsidR="001E57A9">
        <w:t xml:space="preserve">Additionally, the collection of </w:t>
      </w:r>
      <w:r w:rsidRPr="00B36536" w:rsidR="00C90B50">
        <w:t>performance measur</w:t>
      </w:r>
      <w:r w:rsidRPr="00B36536" w:rsidR="00C90B50">
        <w:t>e</w:t>
      </w:r>
      <w:r w:rsidR="001E57A9">
        <w:t>s</w:t>
      </w:r>
      <w:r w:rsidRPr="00B36536" w:rsidR="00C90B50">
        <w:t xml:space="preserve"> </w:t>
      </w:r>
      <w:r w:rsidRPr="00B36536" w:rsidR="00C90B50">
        <w:t>provides OPA with data to manage the TPP program, and to comply with accountability and federal performance requirements described in the 2010 GPRA Modernization Act (P.L. 111–352)</w:t>
      </w:r>
      <w:r w:rsidR="00A21434">
        <w:t xml:space="preserve"> (</w:t>
      </w:r>
      <w:r w:rsidRPr="00B36536" w:rsidR="00C90B50">
        <w:t>Attachment B</w:t>
      </w:r>
      <w:r w:rsidR="00A21434">
        <w:t>)</w:t>
      </w:r>
      <w:r w:rsidRPr="00B36536" w:rsidR="00C90B50">
        <w:t>.</w:t>
      </w:r>
    </w:p>
    <w:p w:rsidR="00475D8A" w:rsidRPr="009A2DCD" w:rsidP="00B36536" w14:paraId="49E5E5F6" w14:textId="7E572730">
      <w:pPr>
        <w:widowControl/>
        <w:spacing w:after="40"/>
      </w:pPr>
      <w:r w:rsidRPr="00B36536">
        <w:t xml:space="preserve">Exhibit 2 </w:t>
      </w:r>
      <w:r w:rsidRPr="00404994">
        <w:t>includes</w:t>
      </w:r>
      <w:r w:rsidRPr="00B36536">
        <w:t xml:space="preserve"> </w:t>
      </w:r>
      <w:r>
        <w:t>a</w:t>
      </w:r>
      <w:r w:rsidRPr="009A2DCD" w:rsidR="00DD5760">
        <w:t xml:space="preserve"> summary of t</w:t>
      </w:r>
      <w:r w:rsidRPr="009A2DCD" w:rsidR="00452CB5">
        <w:t xml:space="preserve">he performance measures </w:t>
      </w:r>
      <w:r>
        <w:t xml:space="preserve">TPP grantees </w:t>
      </w:r>
      <w:r w:rsidRPr="009A2DCD" w:rsidR="00452CB5">
        <w:t xml:space="preserve">report </w:t>
      </w:r>
      <w:r w:rsidRPr="009A2DCD" w:rsidR="00543F55">
        <w:t xml:space="preserve">to </w:t>
      </w:r>
      <w:r w:rsidRPr="009A2DCD" w:rsidR="00845188">
        <w:t>OPA.</w:t>
      </w:r>
      <w:r w:rsidRPr="009A2DCD" w:rsidR="00452CB5">
        <w:t xml:space="preserve"> </w:t>
      </w:r>
    </w:p>
    <w:p w:rsidR="00B30033" w:rsidRPr="009A2DCD" w:rsidP="00B36536" w14:paraId="7A472F3F" w14:textId="78BD0D67">
      <w:pPr>
        <w:widowControl/>
        <w:spacing w:after="40"/>
      </w:pPr>
      <w:r w:rsidRPr="009A2DCD">
        <w:t xml:space="preserve">Exhibit 2: </w:t>
      </w:r>
      <w:r w:rsidRPr="009A2DCD" w:rsidR="00963802">
        <w:t xml:space="preserve">Performance </w:t>
      </w:r>
      <w:r w:rsidRPr="009A2DCD">
        <w:t xml:space="preserve">Measures </w:t>
      </w:r>
      <w:r w:rsidRPr="009A2DCD" w:rsidR="00963802">
        <w:t xml:space="preserve">for the </w:t>
      </w:r>
      <w:r w:rsidRPr="009A2DCD" w:rsidR="00413390">
        <w:t xml:space="preserve">FY2023 </w:t>
      </w:r>
      <w:r w:rsidRPr="009A2DCD" w:rsidR="00902698">
        <w:t xml:space="preserve">TPP </w:t>
      </w:r>
      <w:r w:rsidRPr="009A2DCD" w:rsidR="00963802">
        <w:t>Cohort</w:t>
      </w:r>
      <w:r w:rsidRPr="009A2DCD" w:rsidR="00E25769">
        <w:t xml:space="preserve"> </w:t>
      </w:r>
    </w:p>
    <w:p w:rsidR="00396E19" w:rsidRPr="009A2DCD" w:rsidP="007C6CF4" w14:paraId="5DA517F2" w14:textId="77777777">
      <w:pPr>
        <w:widowControl/>
        <w:autoSpaceDE/>
        <w:autoSpaceDN/>
        <w:adjustRightInd/>
        <w:rPr>
          <w:b/>
          <w:bCs/>
          <w:i/>
          <w:iCs/>
        </w:rPr>
      </w:pPr>
    </w:p>
    <w:tbl>
      <w:tblPr>
        <w:tblW w:w="5920" w:type="pct"/>
        <w:tblInd w:w="-635"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CellMar>
          <w:top w:w="29" w:type="dxa"/>
          <w:left w:w="58" w:type="dxa"/>
          <w:bottom w:w="29" w:type="dxa"/>
          <w:right w:w="58" w:type="dxa"/>
        </w:tblCellMar>
        <w:tblLook w:val="01E0"/>
      </w:tblPr>
      <w:tblGrid>
        <w:gridCol w:w="3060"/>
        <w:gridCol w:w="4499"/>
        <w:gridCol w:w="3511"/>
      </w:tblGrid>
      <w:tr w14:paraId="20428EDC" w14:textId="77777777" w:rsidTr="0025728B">
        <w:tblPrEx>
          <w:tblW w:w="5920" w:type="pct"/>
          <w:tblInd w:w="-635" w:type="dxa"/>
          <w:tblBorders>
            <w:top w:val="single" w:sz="4" w:space="0" w:color="808285"/>
            <w:left w:val="single" w:sz="4" w:space="0" w:color="808285"/>
            <w:bottom w:val="single" w:sz="4" w:space="0" w:color="808285"/>
            <w:right w:val="single" w:sz="4" w:space="0" w:color="808285"/>
            <w:insideH w:val="single" w:sz="4" w:space="0" w:color="808285"/>
            <w:insideV w:val="single" w:sz="4" w:space="0" w:color="808285"/>
          </w:tblBorders>
          <w:tblCellMar>
            <w:top w:w="29" w:type="dxa"/>
            <w:left w:w="58" w:type="dxa"/>
            <w:bottom w:w="29" w:type="dxa"/>
            <w:right w:w="58" w:type="dxa"/>
          </w:tblCellMar>
          <w:tblLook w:val="01E0"/>
        </w:tblPrEx>
        <w:trPr>
          <w:cantSplit/>
          <w:trHeight w:val="20"/>
          <w:tblHeader/>
        </w:trPr>
        <w:tc>
          <w:tcPr>
            <w:tcW w:w="1382" w:type="pct"/>
            <w:tcBorders>
              <w:bottom w:val="single" w:sz="4" w:space="0" w:color="808285"/>
            </w:tcBorders>
          </w:tcPr>
          <w:p w:rsidR="00396E19" w:rsidRPr="0025728B" w:rsidP="0001271A" w14:paraId="61764200" w14:textId="77777777">
            <w:pPr>
              <w:pStyle w:val="Tableheaders"/>
              <w:rPr>
                <w:rFonts w:ascii="Arial" w:hAnsi="Arial"/>
                <w:color w:val="auto"/>
                <w:szCs w:val="22"/>
              </w:rPr>
            </w:pPr>
            <w:r w:rsidRPr="0025728B">
              <w:rPr>
                <w:rFonts w:ascii="Arial" w:hAnsi="Arial"/>
                <w:color w:val="auto"/>
                <w:szCs w:val="22"/>
              </w:rPr>
              <w:t>Measure</w:t>
            </w:r>
          </w:p>
        </w:tc>
        <w:tc>
          <w:tcPr>
            <w:tcW w:w="2032" w:type="pct"/>
            <w:tcBorders>
              <w:bottom w:val="single" w:sz="4" w:space="0" w:color="808285"/>
            </w:tcBorders>
          </w:tcPr>
          <w:p w:rsidR="00396E19" w:rsidRPr="0025728B" w:rsidP="0001271A" w14:paraId="10CEDB43" w14:textId="77777777">
            <w:pPr>
              <w:pStyle w:val="Tableheaders"/>
              <w:rPr>
                <w:rFonts w:ascii="Arial" w:hAnsi="Arial"/>
                <w:color w:val="auto"/>
                <w:szCs w:val="22"/>
              </w:rPr>
            </w:pPr>
            <w:r w:rsidRPr="0025728B">
              <w:rPr>
                <w:rFonts w:ascii="Arial" w:hAnsi="Arial"/>
                <w:color w:val="auto"/>
                <w:szCs w:val="22"/>
              </w:rPr>
              <w:t>Definition</w:t>
            </w:r>
          </w:p>
        </w:tc>
        <w:tc>
          <w:tcPr>
            <w:tcW w:w="1586" w:type="pct"/>
            <w:tcBorders>
              <w:bottom w:val="single" w:sz="4" w:space="0" w:color="808285"/>
            </w:tcBorders>
          </w:tcPr>
          <w:p w:rsidR="00396E19" w:rsidRPr="0025728B" w:rsidP="0001271A" w14:paraId="6ABE43F9" w14:textId="77777777">
            <w:pPr>
              <w:pStyle w:val="Tableheaders"/>
              <w:ind w:left="40" w:right="-60"/>
              <w:rPr>
                <w:rFonts w:ascii="Arial" w:hAnsi="Arial"/>
                <w:color w:val="auto"/>
                <w:szCs w:val="22"/>
              </w:rPr>
            </w:pPr>
            <w:r w:rsidRPr="0025728B">
              <w:rPr>
                <w:rFonts w:ascii="Arial" w:hAnsi="Arial"/>
                <w:color w:val="auto"/>
                <w:szCs w:val="22"/>
              </w:rPr>
              <w:t>Data Source</w:t>
            </w:r>
          </w:p>
        </w:tc>
      </w:tr>
      <w:tr w14:paraId="6315D6C9"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808285"/>
            </w:tcBorders>
          </w:tcPr>
          <w:p w:rsidR="00396E19" w:rsidRPr="0025728B" w:rsidP="0001271A" w14:paraId="346F5AE0" w14:textId="1B82C3F9">
            <w:pPr>
              <w:pStyle w:val="Tablesubhead"/>
              <w:rPr>
                <w:color w:val="auto"/>
                <w:sz w:val="22"/>
                <w:szCs w:val="22"/>
              </w:rPr>
            </w:pPr>
            <w:r w:rsidRPr="0025728B">
              <w:rPr>
                <w:color w:val="auto"/>
                <w:sz w:val="22"/>
                <w:szCs w:val="22"/>
              </w:rPr>
              <w:t>Participant characteristics and program locations</w:t>
            </w:r>
          </w:p>
        </w:tc>
        <w:tc>
          <w:tcPr>
            <w:tcW w:w="1586" w:type="pct"/>
            <w:tcBorders>
              <w:bottom w:val="single" w:sz="4" w:space="0" w:color="808285"/>
            </w:tcBorders>
          </w:tcPr>
          <w:p w:rsidR="00396E19" w:rsidRPr="0025728B" w:rsidP="0001271A" w14:paraId="2EFE0BC2" w14:textId="77777777">
            <w:pPr>
              <w:pStyle w:val="Tablesubhead"/>
              <w:ind w:left="1480"/>
              <w:rPr>
                <w:color w:val="auto"/>
                <w:sz w:val="22"/>
                <w:szCs w:val="22"/>
              </w:rPr>
            </w:pPr>
          </w:p>
        </w:tc>
      </w:tr>
      <w:tr w14:paraId="555CD47F" w14:textId="77777777" w:rsidTr="0025728B">
        <w:tblPrEx>
          <w:tblW w:w="5920" w:type="pct"/>
          <w:tblInd w:w="-635" w:type="dxa"/>
          <w:tblCellMar>
            <w:top w:w="29" w:type="dxa"/>
            <w:left w:w="58" w:type="dxa"/>
            <w:bottom w:w="29" w:type="dxa"/>
            <w:right w:w="58" w:type="dxa"/>
          </w:tblCellMar>
          <w:tblLook w:val="01E0"/>
        </w:tblPrEx>
        <w:trPr>
          <w:cantSplit/>
          <w:trHeight w:val="20"/>
        </w:trPr>
        <w:tc>
          <w:tcPr>
            <w:tcW w:w="1382" w:type="pct"/>
            <w:tcBorders>
              <w:bottom w:val="single" w:sz="4" w:space="0" w:color="808285"/>
            </w:tcBorders>
          </w:tcPr>
          <w:p w:rsidR="00396E19" w:rsidRPr="0025728B" w:rsidP="0001271A" w14:paraId="57DDB788" w14:textId="77777777">
            <w:pPr>
              <w:pStyle w:val="TableParagraph"/>
              <w:rPr>
                <w:sz w:val="22"/>
                <w:szCs w:val="22"/>
              </w:rPr>
            </w:pPr>
            <w:r w:rsidRPr="0025728B">
              <w:rPr>
                <w:sz w:val="22"/>
                <w:szCs w:val="22"/>
              </w:rPr>
              <w:t>Reach</w:t>
            </w:r>
          </w:p>
        </w:tc>
        <w:tc>
          <w:tcPr>
            <w:tcW w:w="2032" w:type="pct"/>
            <w:tcBorders>
              <w:bottom w:val="single" w:sz="4" w:space="0" w:color="808285"/>
            </w:tcBorders>
          </w:tcPr>
          <w:p w:rsidR="00396E19" w:rsidRPr="0025728B" w:rsidP="00396E19" w14:paraId="6FD6C66D" w14:textId="77777777">
            <w:pPr>
              <w:pStyle w:val="TableParagraph"/>
              <w:numPr>
                <w:ilvl w:val="0"/>
                <w:numId w:val="29"/>
              </w:numPr>
              <w:spacing w:after="40"/>
              <w:ind w:left="390" w:hanging="180"/>
              <w:rPr>
                <w:sz w:val="22"/>
                <w:szCs w:val="22"/>
              </w:rPr>
            </w:pPr>
            <w:r w:rsidRPr="0025728B">
              <w:rPr>
                <w:sz w:val="22"/>
                <w:szCs w:val="22"/>
              </w:rPr>
              <w:t>The number of youth participants enrolled in the program who attended at least one program activity, broken down by specific participant characteristics and program locations</w:t>
            </w:r>
          </w:p>
          <w:p w:rsidR="00396E19" w:rsidRPr="0025728B" w:rsidP="00396E19" w14:paraId="1D8744A0" w14:textId="77777777">
            <w:pPr>
              <w:pStyle w:val="TableParagraph"/>
              <w:numPr>
                <w:ilvl w:val="0"/>
                <w:numId w:val="29"/>
              </w:numPr>
              <w:ind w:left="390" w:hanging="180"/>
              <w:rPr>
                <w:sz w:val="22"/>
                <w:szCs w:val="22"/>
              </w:rPr>
            </w:pPr>
            <w:r w:rsidRPr="0025728B">
              <w:rPr>
                <w:sz w:val="22"/>
                <w:szCs w:val="22"/>
              </w:rPr>
              <w:t>The number of parents/caregivers and youth-serving professional participants</w:t>
            </w:r>
          </w:p>
        </w:tc>
        <w:tc>
          <w:tcPr>
            <w:tcW w:w="1586" w:type="pct"/>
            <w:tcBorders>
              <w:bottom w:val="single" w:sz="4" w:space="0" w:color="808285"/>
            </w:tcBorders>
          </w:tcPr>
          <w:p w:rsidR="00396E19" w:rsidRPr="0025728B" w:rsidP="0001271A" w14:paraId="69607FDF" w14:textId="77777777">
            <w:pPr>
              <w:pStyle w:val="TableParagraph"/>
              <w:spacing w:after="40"/>
              <w:ind w:left="480"/>
              <w:rPr>
                <w:sz w:val="22"/>
                <w:szCs w:val="22"/>
              </w:rPr>
            </w:pPr>
            <w:r w:rsidRPr="0025728B">
              <w:rPr>
                <w:sz w:val="22"/>
                <w:szCs w:val="22"/>
              </w:rPr>
              <w:t xml:space="preserve">Grantee/Sub-awardee </w:t>
            </w:r>
          </w:p>
          <w:p w:rsidR="00396E19" w:rsidRPr="0025728B" w:rsidP="0001271A" w14:paraId="36166E5F" w14:textId="77777777">
            <w:pPr>
              <w:pStyle w:val="TableParagraph"/>
              <w:spacing w:after="40"/>
              <w:ind w:left="480"/>
              <w:rPr>
                <w:sz w:val="22"/>
                <w:szCs w:val="22"/>
              </w:rPr>
            </w:pPr>
          </w:p>
          <w:p w:rsidR="00396E19" w:rsidRPr="0025728B" w:rsidP="0001271A" w14:paraId="1594FC9E" w14:textId="77777777">
            <w:pPr>
              <w:pStyle w:val="TableParagraph"/>
              <w:spacing w:after="40"/>
              <w:ind w:left="480"/>
              <w:rPr>
                <w:sz w:val="22"/>
                <w:szCs w:val="22"/>
              </w:rPr>
            </w:pPr>
            <w:r w:rsidRPr="0025728B">
              <w:rPr>
                <w:sz w:val="22"/>
                <w:szCs w:val="22"/>
              </w:rPr>
              <w:t>Administrative Records</w:t>
            </w:r>
            <w:r w:rsidRPr="0025728B">
              <w:rPr>
                <w:sz w:val="22"/>
                <w:szCs w:val="22"/>
              </w:rPr>
              <w:br/>
            </w:r>
          </w:p>
          <w:p w:rsidR="00396E19" w:rsidRPr="0025728B" w:rsidP="0001271A" w14:paraId="0FAC0587" w14:textId="7F135D46">
            <w:pPr>
              <w:pStyle w:val="TableParagraph"/>
              <w:spacing w:after="40"/>
              <w:ind w:left="480"/>
              <w:rPr>
                <w:sz w:val="22"/>
                <w:szCs w:val="22"/>
              </w:rPr>
            </w:pPr>
            <w:r w:rsidRPr="0025728B">
              <w:rPr>
                <w:sz w:val="22"/>
                <w:szCs w:val="22"/>
              </w:rPr>
              <w:t>Section Data Tracker</w:t>
            </w:r>
            <w:r w:rsidRPr="0025728B" w:rsidR="0014204F">
              <w:rPr>
                <w:sz w:val="22"/>
                <w:szCs w:val="22"/>
              </w:rPr>
              <w:t xml:space="preserve"> (Attachment </w:t>
            </w:r>
            <w:r w:rsidR="00330894">
              <w:rPr>
                <w:sz w:val="22"/>
                <w:szCs w:val="22"/>
              </w:rPr>
              <w:t>C</w:t>
            </w:r>
            <w:r w:rsidRPr="0025728B" w:rsidR="00E0024F">
              <w:rPr>
                <w:sz w:val="22"/>
                <w:szCs w:val="22"/>
              </w:rPr>
              <w:t>)</w:t>
            </w:r>
          </w:p>
        </w:tc>
      </w:tr>
      <w:tr w14:paraId="28B399F9"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808285"/>
            </w:tcBorders>
          </w:tcPr>
          <w:p w:rsidR="00396E19" w:rsidRPr="0025728B" w:rsidP="00615DFD" w14:paraId="6550FEC6" w14:textId="77777777">
            <w:pPr>
              <w:pStyle w:val="Tablesubhead"/>
              <w:ind w:left="390" w:hanging="180"/>
              <w:rPr>
                <w:color w:val="auto"/>
                <w:sz w:val="22"/>
                <w:szCs w:val="22"/>
              </w:rPr>
            </w:pPr>
            <w:r w:rsidRPr="0025728B">
              <w:rPr>
                <w:color w:val="auto"/>
                <w:sz w:val="22"/>
                <w:szCs w:val="22"/>
              </w:rPr>
              <w:t>Dosage</w:t>
            </w:r>
          </w:p>
        </w:tc>
        <w:tc>
          <w:tcPr>
            <w:tcW w:w="1586" w:type="pct"/>
            <w:tcBorders>
              <w:bottom w:val="single" w:sz="4" w:space="0" w:color="808285"/>
            </w:tcBorders>
          </w:tcPr>
          <w:p w:rsidR="00396E19" w:rsidRPr="0025728B" w:rsidP="0001271A" w14:paraId="6F4AEEAF" w14:textId="77777777">
            <w:pPr>
              <w:pStyle w:val="Tablesubhead"/>
              <w:ind w:left="1480"/>
              <w:rPr>
                <w:color w:val="auto"/>
                <w:sz w:val="22"/>
                <w:szCs w:val="22"/>
              </w:rPr>
            </w:pPr>
          </w:p>
        </w:tc>
      </w:tr>
      <w:tr w14:paraId="1601EDEB" w14:textId="77777777" w:rsidTr="0025728B">
        <w:tblPrEx>
          <w:tblW w:w="5920" w:type="pct"/>
          <w:tblInd w:w="-635" w:type="dxa"/>
          <w:tblCellMar>
            <w:top w:w="29" w:type="dxa"/>
            <w:left w:w="58" w:type="dxa"/>
            <w:bottom w:w="29" w:type="dxa"/>
            <w:right w:w="58" w:type="dxa"/>
          </w:tblCellMar>
          <w:tblLook w:val="01E0"/>
        </w:tblPrEx>
        <w:trPr>
          <w:cantSplit/>
          <w:trHeight w:val="1150"/>
        </w:trPr>
        <w:tc>
          <w:tcPr>
            <w:tcW w:w="1382" w:type="pct"/>
          </w:tcPr>
          <w:p w:rsidR="00396E19" w:rsidRPr="0025728B" w:rsidP="0001271A" w14:paraId="0D26BC9A" w14:textId="77777777">
            <w:pPr>
              <w:pStyle w:val="TableParagraph"/>
              <w:rPr>
                <w:sz w:val="22"/>
                <w:szCs w:val="22"/>
              </w:rPr>
            </w:pPr>
            <w:r w:rsidRPr="0025728B">
              <w:rPr>
                <w:sz w:val="22"/>
                <w:szCs w:val="22"/>
              </w:rPr>
              <w:t>Mean attendance</w:t>
            </w:r>
          </w:p>
          <w:p w:rsidR="00396E19" w:rsidRPr="0025728B" w:rsidP="0001271A" w14:paraId="221E1CF0" w14:textId="77777777">
            <w:pPr>
              <w:pStyle w:val="TableParagraph"/>
              <w:rPr>
                <w:sz w:val="22"/>
                <w:szCs w:val="22"/>
              </w:rPr>
            </w:pPr>
          </w:p>
          <w:p w:rsidR="00396E19" w:rsidRPr="0025728B" w:rsidP="0001271A" w14:paraId="7848F77B" w14:textId="77777777">
            <w:pPr>
              <w:pStyle w:val="TableParagraph"/>
              <w:rPr>
                <w:sz w:val="22"/>
                <w:szCs w:val="22"/>
              </w:rPr>
            </w:pPr>
            <w:r w:rsidRPr="0025728B">
              <w:rPr>
                <w:sz w:val="22"/>
                <w:szCs w:val="22"/>
              </w:rPr>
              <w:t>Participants receiving 75% or more of the program</w:t>
            </w:r>
          </w:p>
        </w:tc>
        <w:tc>
          <w:tcPr>
            <w:tcW w:w="2032" w:type="pct"/>
          </w:tcPr>
          <w:p w:rsidR="00396E19" w:rsidRPr="0025728B" w:rsidP="00396E19" w14:paraId="224B10C9" w14:textId="77777777">
            <w:pPr>
              <w:pStyle w:val="TableParagraph"/>
              <w:numPr>
                <w:ilvl w:val="0"/>
                <w:numId w:val="30"/>
              </w:numPr>
              <w:ind w:left="390" w:hanging="180"/>
              <w:rPr>
                <w:sz w:val="22"/>
                <w:szCs w:val="22"/>
              </w:rPr>
            </w:pPr>
            <w:r w:rsidRPr="0025728B">
              <w:rPr>
                <w:sz w:val="22"/>
                <w:szCs w:val="22"/>
              </w:rPr>
              <w:t>The average percentage of curriculum-based program sessions participants attended</w:t>
            </w:r>
          </w:p>
          <w:p w:rsidR="00396E19" w:rsidRPr="0025728B" w:rsidP="00396E19" w14:paraId="34CFC676" w14:textId="77777777">
            <w:pPr>
              <w:pStyle w:val="TableParagraph"/>
              <w:numPr>
                <w:ilvl w:val="0"/>
                <w:numId w:val="30"/>
              </w:numPr>
              <w:ind w:left="390" w:hanging="180"/>
              <w:rPr>
                <w:sz w:val="22"/>
                <w:szCs w:val="22"/>
              </w:rPr>
            </w:pPr>
            <w:r w:rsidRPr="0025728B">
              <w:rPr>
                <w:sz w:val="22"/>
                <w:szCs w:val="22"/>
              </w:rPr>
              <w:t>The percentage of program participants who attended 75% or more of the curriculum-based program sessions</w:t>
            </w:r>
          </w:p>
        </w:tc>
        <w:tc>
          <w:tcPr>
            <w:tcW w:w="1586" w:type="pct"/>
          </w:tcPr>
          <w:p w:rsidR="00396E19" w:rsidRPr="0025728B" w:rsidP="0001271A" w14:paraId="21FD75BC" w14:textId="77777777">
            <w:pPr>
              <w:pStyle w:val="TableParagraph"/>
              <w:ind w:left="390"/>
              <w:rPr>
                <w:sz w:val="22"/>
                <w:szCs w:val="22"/>
              </w:rPr>
            </w:pPr>
            <w:r w:rsidRPr="0025728B">
              <w:rPr>
                <w:sz w:val="22"/>
                <w:szCs w:val="22"/>
              </w:rPr>
              <w:t xml:space="preserve">Grantee/Sub-awardee </w:t>
            </w:r>
          </w:p>
          <w:p w:rsidR="00396E19" w:rsidRPr="0025728B" w:rsidP="0001271A" w14:paraId="139A711C" w14:textId="77777777">
            <w:pPr>
              <w:pStyle w:val="TableParagraph"/>
              <w:ind w:left="390"/>
              <w:rPr>
                <w:sz w:val="22"/>
                <w:szCs w:val="22"/>
              </w:rPr>
            </w:pPr>
          </w:p>
          <w:p w:rsidR="00396E19" w:rsidRPr="0025728B" w:rsidP="0001271A" w14:paraId="26F20169" w14:textId="77777777">
            <w:pPr>
              <w:pStyle w:val="TableParagraph"/>
              <w:ind w:left="390"/>
              <w:rPr>
                <w:sz w:val="22"/>
                <w:szCs w:val="22"/>
              </w:rPr>
            </w:pPr>
            <w:r w:rsidRPr="0025728B">
              <w:rPr>
                <w:sz w:val="22"/>
                <w:szCs w:val="22"/>
              </w:rPr>
              <w:t>Administrative Records</w:t>
            </w:r>
          </w:p>
          <w:p w:rsidR="00396E19" w:rsidRPr="0025728B" w:rsidP="0001271A" w14:paraId="2D2CE280" w14:textId="77777777">
            <w:pPr>
              <w:pStyle w:val="TableParagraph"/>
              <w:ind w:left="390"/>
              <w:rPr>
                <w:sz w:val="22"/>
                <w:szCs w:val="22"/>
              </w:rPr>
            </w:pPr>
          </w:p>
          <w:p w:rsidR="00396E19" w:rsidRPr="0025728B" w:rsidP="00467866" w14:paraId="5FAED5BA" w14:textId="77777777">
            <w:pPr>
              <w:pStyle w:val="TableParagraph"/>
              <w:ind w:left="390"/>
              <w:rPr>
                <w:sz w:val="22"/>
                <w:szCs w:val="22"/>
              </w:rPr>
            </w:pPr>
            <w:r w:rsidRPr="0025728B">
              <w:rPr>
                <w:sz w:val="22"/>
                <w:szCs w:val="22"/>
              </w:rPr>
              <w:t>Section Data Tracker</w:t>
            </w:r>
          </w:p>
          <w:p w:rsidR="00E37ED8" w:rsidRPr="0025728B" w:rsidP="00E37ED8" w14:paraId="514A1982" w14:textId="62667A0D">
            <w:pPr>
              <w:ind w:left="390"/>
              <w:rPr>
                <w:rFonts w:ascii="Arial" w:hAnsi="Arial" w:cs="Arial"/>
                <w:sz w:val="22"/>
                <w:szCs w:val="22"/>
              </w:rPr>
            </w:pPr>
            <w:r w:rsidRPr="0025728B">
              <w:rPr>
                <w:rFonts w:ascii="Arial" w:hAnsi="Arial" w:cs="Arial"/>
                <w:sz w:val="22"/>
                <w:szCs w:val="22"/>
              </w:rPr>
              <w:t xml:space="preserve">(Attachment </w:t>
            </w:r>
            <w:r w:rsidR="00330894">
              <w:rPr>
                <w:rFonts w:ascii="Arial" w:hAnsi="Arial" w:cs="Arial"/>
                <w:sz w:val="22"/>
                <w:szCs w:val="22"/>
              </w:rPr>
              <w:t>C</w:t>
            </w:r>
            <w:r w:rsidRPr="0025728B">
              <w:rPr>
                <w:rFonts w:ascii="Arial" w:hAnsi="Arial" w:cs="Arial"/>
                <w:sz w:val="22"/>
                <w:szCs w:val="22"/>
              </w:rPr>
              <w:t>)</w:t>
            </w:r>
          </w:p>
          <w:p w:rsidR="00E37ED8" w:rsidRPr="0025728B" w:rsidP="00467866" w14:paraId="6F0460C9" w14:textId="39DA6344">
            <w:pPr>
              <w:pStyle w:val="TableParagraph"/>
              <w:ind w:left="390"/>
              <w:rPr>
                <w:sz w:val="22"/>
                <w:szCs w:val="22"/>
              </w:rPr>
            </w:pPr>
          </w:p>
        </w:tc>
      </w:tr>
      <w:tr w14:paraId="61BA60DF"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808285"/>
            </w:tcBorders>
          </w:tcPr>
          <w:p w:rsidR="00396E19" w:rsidRPr="0025728B" w:rsidP="0001271A" w14:paraId="6310FD40" w14:textId="705E02B1">
            <w:pPr>
              <w:pStyle w:val="Tablesubhead"/>
              <w:ind w:left="390" w:hanging="180"/>
              <w:rPr>
                <w:color w:val="auto"/>
                <w:sz w:val="22"/>
                <w:szCs w:val="22"/>
              </w:rPr>
            </w:pPr>
            <w:r w:rsidRPr="0025728B">
              <w:rPr>
                <w:color w:val="auto"/>
                <w:sz w:val="22"/>
                <w:szCs w:val="22"/>
              </w:rPr>
              <w:t>Fidelity and quality</w:t>
            </w:r>
          </w:p>
        </w:tc>
        <w:tc>
          <w:tcPr>
            <w:tcW w:w="1586" w:type="pct"/>
            <w:tcBorders>
              <w:bottom w:val="single" w:sz="4" w:space="0" w:color="808285"/>
            </w:tcBorders>
          </w:tcPr>
          <w:p w:rsidR="00396E19" w:rsidRPr="0025728B" w:rsidP="0001271A" w14:paraId="1DD078E3" w14:textId="77777777">
            <w:pPr>
              <w:pStyle w:val="Tablesubhead"/>
              <w:ind w:left="1480"/>
              <w:rPr>
                <w:color w:val="auto"/>
                <w:sz w:val="22"/>
                <w:szCs w:val="22"/>
              </w:rPr>
            </w:pPr>
          </w:p>
        </w:tc>
      </w:tr>
      <w:tr w14:paraId="6273CC08" w14:textId="77777777" w:rsidTr="0025728B">
        <w:tblPrEx>
          <w:tblW w:w="5920" w:type="pct"/>
          <w:tblInd w:w="-635" w:type="dxa"/>
          <w:tblCellMar>
            <w:top w:w="29" w:type="dxa"/>
            <w:left w:w="58" w:type="dxa"/>
            <w:bottom w:w="29" w:type="dxa"/>
            <w:right w:w="58" w:type="dxa"/>
          </w:tblCellMar>
          <w:tblLook w:val="01E0"/>
        </w:tblPrEx>
        <w:trPr>
          <w:cantSplit/>
          <w:trHeight w:val="1677"/>
        </w:trPr>
        <w:tc>
          <w:tcPr>
            <w:tcW w:w="1382" w:type="pct"/>
          </w:tcPr>
          <w:p w:rsidR="00396E19" w:rsidRPr="0025728B" w:rsidP="0001271A" w14:paraId="462344FF" w14:textId="77777777">
            <w:pPr>
              <w:pStyle w:val="TableParagraph"/>
              <w:rPr>
                <w:sz w:val="22"/>
                <w:szCs w:val="22"/>
              </w:rPr>
            </w:pPr>
            <w:r w:rsidRPr="0025728B">
              <w:rPr>
                <w:sz w:val="22"/>
                <w:szCs w:val="22"/>
              </w:rPr>
              <w:t>Fidelity</w:t>
            </w:r>
          </w:p>
          <w:p w:rsidR="00396E19" w:rsidRPr="0025728B" w:rsidP="0001271A" w14:paraId="521AB963" w14:textId="77777777">
            <w:pPr>
              <w:pStyle w:val="TableParagraph"/>
              <w:rPr>
                <w:sz w:val="22"/>
                <w:szCs w:val="22"/>
              </w:rPr>
            </w:pPr>
          </w:p>
          <w:p w:rsidR="00396E19" w:rsidRPr="0025728B" w:rsidP="0001271A" w14:paraId="6646E121" w14:textId="77777777">
            <w:pPr>
              <w:pStyle w:val="TableParagraph"/>
              <w:rPr>
                <w:sz w:val="22"/>
                <w:szCs w:val="22"/>
              </w:rPr>
            </w:pPr>
          </w:p>
          <w:p w:rsidR="00396E19" w:rsidRPr="0025728B" w:rsidP="0001271A" w14:paraId="4837AAD8" w14:textId="77777777">
            <w:pPr>
              <w:pStyle w:val="TableParagraph"/>
              <w:rPr>
                <w:sz w:val="22"/>
                <w:szCs w:val="22"/>
              </w:rPr>
            </w:pPr>
          </w:p>
          <w:p w:rsidR="00396E19" w:rsidRPr="0025728B" w:rsidP="0001271A" w14:paraId="1AA203FA" w14:textId="77777777">
            <w:pPr>
              <w:pStyle w:val="TableParagraph"/>
              <w:rPr>
                <w:sz w:val="22"/>
                <w:szCs w:val="22"/>
              </w:rPr>
            </w:pPr>
            <w:r w:rsidRPr="0025728B">
              <w:rPr>
                <w:sz w:val="22"/>
                <w:szCs w:val="22"/>
              </w:rPr>
              <w:t>Observer-reported overall quality</w:t>
            </w:r>
          </w:p>
        </w:tc>
        <w:tc>
          <w:tcPr>
            <w:tcW w:w="2032" w:type="pct"/>
          </w:tcPr>
          <w:p w:rsidR="00396E19" w:rsidRPr="0025728B" w:rsidP="00396E19" w14:paraId="547F49B0" w14:textId="77777777">
            <w:pPr>
              <w:pStyle w:val="TableParagraph"/>
              <w:numPr>
                <w:ilvl w:val="0"/>
                <w:numId w:val="31"/>
              </w:numPr>
              <w:spacing w:after="40"/>
              <w:ind w:left="390" w:hanging="180"/>
              <w:rPr>
                <w:sz w:val="22"/>
                <w:szCs w:val="22"/>
              </w:rPr>
            </w:pPr>
            <w:r w:rsidRPr="0025728B">
              <w:rPr>
                <w:sz w:val="22"/>
                <w:szCs w:val="22"/>
              </w:rPr>
              <w:t>The average percentage of required program activities that facilitators completed during observed program sessions, as reported by independent observers</w:t>
            </w:r>
          </w:p>
          <w:p w:rsidR="00396E19" w:rsidRPr="0025728B" w:rsidP="00396E19" w14:paraId="323AC3CC" w14:textId="77777777">
            <w:pPr>
              <w:pStyle w:val="TableParagraph"/>
              <w:numPr>
                <w:ilvl w:val="0"/>
                <w:numId w:val="31"/>
              </w:numPr>
              <w:ind w:left="390" w:hanging="180"/>
              <w:rPr>
                <w:sz w:val="22"/>
                <w:szCs w:val="22"/>
              </w:rPr>
            </w:pPr>
            <w:r w:rsidRPr="0025728B">
              <w:rPr>
                <w:sz w:val="22"/>
                <w:szCs w:val="22"/>
              </w:rPr>
              <w:t>The percentage of observed program sections that independent observers rated 4 or higher on a 5-point scale for quality</w:t>
            </w:r>
          </w:p>
        </w:tc>
        <w:tc>
          <w:tcPr>
            <w:tcW w:w="1586" w:type="pct"/>
          </w:tcPr>
          <w:p w:rsidR="00396E19" w:rsidRPr="0025728B" w:rsidP="0001271A" w14:paraId="1376414E" w14:textId="77777777">
            <w:pPr>
              <w:pStyle w:val="TableParagraph"/>
              <w:spacing w:after="40"/>
              <w:ind w:left="390"/>
              <w:rPr>
                <w:sz w:val="22"/>
                <w:szCs w:val="22"/>
              </w:rPr>
            </w:pPr>
            <w:r w:rsidRPr="0025728B">
              <w:rPr>
                <w:sz w:val="22"/>
                <w:szCs w:val="22"/>
              </w:rPr>
              <w:t>Administrative Records</w:t>
            </w:r>
          </w:p>
          <w:p w:rsidR="00396E19" w:rsidRPr="0025728B" w:rsidP="0001271A" w14:paraId="3AB3F8CC" w14:textId="77777777">
            <w:pPr>
              <w:ind w:left="390"/>
              <w:rPr>
                <w:rFonts w:ascii="Arial" w:hAnsi="Arial" w:cs="Arial"/>
                <w:sz w:val="22"/>
                <w:szCs w:val="22"/>
              </w:rPr>
            </w:pPr>
          </w:p>
          <w:p w:rsidR="00396E19" w:rsidRPr="0025728B" w:rsidP="0001271A" w14:paraId="255C6B13" w14:textId="76DF0B13">
            <w:pPr>
              <w:ind w:left="390"/>
              <w:rPr>
                <w:rFonts w:ascii="Arial" w:hAnsi="Arial" w:cs="Arial"/>
                <w:sz w:val="22"/>
                <w:szCs w:val="22"/>
              </w:rPr>
            </w:pPr>
            <w:r w:rsidRPr="0025728B">
              <w:rPr>
                <w:rFonts w:ascii="Arial" w:hAnsi="Arial" w:cs="Arial"/>
                <w:sz w:val="22"/>
                <w:szCs w:val="22"/>
              </w:rPr>
              <w:t>Section Data Tracker</w:t>
            </w:r>
          </w:p>
          <w:p w:rsidR="00E0024F" w:rsidRPr="0025728B" w:rsidP="0001271A" w14:paraId="253179B2" w14:textId="1385DE26">
            <w:pPr>
              <w:ind w:left="390"/>
              <w:rPr>
                <w:rFonts w:ascii="Arial" w:hAnsi="Arial" w:cs="Arial"/>
                <w:sz w:val="22"/>
                <w:szCs w:val="22"/>
              </w:rPr>
            </w:pPr>
            <w:r w:rsidRPr="0025728B">
              <w:rPr>
                <w:rFonts w:ascii="Arial" w:hAnsi="Arial" w:cs="Arial"/>
                <w:sz w:val="22"/>
                <w:szCs w:val="22"/>
              </w:rPr>
              <w:t xml:space="preserve">(Attachment </w:t>
            </w:r>
            <w:r w:rsidR="00330894">
              <w:rPr>
                <w:rFonts w:ascii="Arial" w:hAnsi="Arial" w:cs="Arial"/>
                <w:sz w:val="22"/>
                <w:szCs w:val="22"/>
              </w:rPr>
              <w:t>C</w:t>
            </w:r>
            <w:r w:rsidRPr="0025728B">
              <w:rPr>
                <w:rFonts w:ascii="Arial" w:hAnsi="Arial" w:cs="Arial"/>
                <w:sz w:val="22"/>
                <w:szCs w:val="22"/>
              </w:rPr>
              <w:t>)</w:t>
            </w:r>
          </w:p>
          <w:p w:rsidR="00E00B12" w:rsidRPr="0025728B" w:rsidP="0001271A" w14:paraId="12E8ED18" w14:textId="77777777">
            <w:pPr>
              <w:ind w:left="390"/>
              <w:rPr>
                <w:rFonts w:ascii="Arial" w:hAnsi="Arial" w:cs="Arial"/>
                <w:sz w:val="22"/>
                <w:szCs w:val="22"/>
              </w:rPr>
            </w:pPr>
          </w:p>
          <w:p w:rsidR="00396E19" w:rsidRPr="0025728B" w:rsidP="0001271A" w14:paraId="65847DE2" w14:textId="252B8DBA">
            <w:pPr>
              <w:ind w:left="390"/>
              <w:rPr>
                <w:rFonts w:ascii="Arial" w:hAnsi="Arial" w:cs="Arial"/>
                <w:sz w:val="22"/>
                <w:szCs w:val="22"/>
              </w:rPr>
            </w:pPr>
            <w:r w:rsidRPr="0025728B">
              <w:rPr>
                <w:rFonts w:ascii="Arial" w:hAnsi="Arial" w:cs="Arial"/>
                <w:sz w:val="22"/>
                <w:szCs w:val="22"/>
              </w:rPr>
              <w:t>Fidelity Process Report Form</w:t>
            </w:r>
          </w:p>
          <w:p w:rsidR="00E37ED8" w:rsidRPr="0025728B" w:rsidP="00E37ED8" w14:paraId="748CD7A0" w14:textId="799CDA1B">
            <w:pPr>
              <w:ind w:left="390"/>
              <w:rPr>
                <w:rFonts w:ascii="Arial" w:hAnsi="Arial" w:cs="Arial"/>
                <w:sz w:val="22"/>
                <w:szCs w:val="22"/>
              </w:rPr>
            </w:pPr>
            <w:r w:rsidRPr="0025728B">
              <w:rPr>
                <w:rFonts w:ascii="Arial" w:hAnsi="Arial" w:cs="Arial"/>
                <w:sz w:val="22"/>
                <w:szCs w:val="22"/>
              </w:rPr>
              <w:t xml:space="preserve">(Attachment </w:t>
            </w:r>
            <w:r w:rsidR="00330894">
              <w:rPr>
                <w:rFonts w:ascii="Arial" w:hAnsi="Arial" w:cs="Arial"/>
                <w:sz w:val="22"/>
                <w:szCs w:val="22"/>
              </w:rPr>
              <w:t>D</w:t>
            </w:r>
            <w:r w:rsidRPr="0025728B">
              <w:rPr>
                <w:rFonts w:ascii="Arial" w:hAnsi="Arial" w:cs="Arial"/>
                <w:sz w:val="22"/>
                <w:szCs w:val="22"/>
              </w:rPr>
              <w:t>)</w:t>
            </w:r>
          </w:p>
          <w:p w:rsidR="00396E19" w:rsidRPr="0025728B" w:rsidP="0001271A" w14:paraId="26DE39F8" w14:textId="77777777">
            <w:pPr>
              <w:ind w:left="390"/>
              <w:rPr>
                <w:rFonts w:ascii="Arial" w:hAnsi="Arial" w:cs="Arial"/>
                <w:sz w:val="22"/>
                <w:szCs w:val="22"/>
              </w:rPr>
            </w:pPr>
          </w:p>
          <w:p w:rsidR="00396E19" w:rsidRPr="0025728B" w:rsidP="0025728B" w14:paraId="013B7E95" w14:textId="6608F774">
            <w:pPr>
              <w:ind w:left="390"/>
              <w:rPr>
                <w:rFonts w:ascii="Arial" w:hAnsi="Arial" w:cs="Arial"/>
                <w:sz w:val="22"/>
                <w:szCs w:val="22"/>
              </w:rPr>
            </w:pPr>
            <w:r w:rsidRPr="0025728B">
              <w:rPr>
                <w:rFonts w:ascii="Arial" w:hAnsi="Arial" w:cs="Arial"/>
                <w:sz w:val="22"/>
                <w:szCs w:val="22"/>
              </w:rPr>
              <w:t>Program Quality Observation Form</w:t>
            </w:r>
            <w:r w:rsidRPr="0025728B" w:rsidR="0025728B">
              <w:rPr>
                <w:rFonts w:ascii="Arial" w:hAnsi="Arial" w:cs="Arial"/>
                <w:sz w:val="22"/>
                <w:szCs w:val="22"/>
              </w:rPr>
              <w:t xml:space="preserve"> (Attachment </w:t>
            </w:r>
            <w:r w:rsidR="00330894">
              <w:rPr>
                <w:rFonts w:ascii="Arial" w:hAnsi="Arial" w:cs="Arial"/>
                <w:sz w:val="22"/>
                <w:szCs w:val="22"/>
              </w:rPr>
              <w:t>E</w:t>
            </w:r>
            <w:r w:rsidRPr="0025728B" w:rsidR="0025728B">
              <w:rPr>
                <w:rFonts w:ascii="Arial" w:hAnsi="Arial" w:cs="Arial"/>
                <w:sz w:val="22"/>
                <w:szCs w:val="22"/>
              </w:rPr>
              <w:t>)</w:t>
            </w:r>
          </w:p>
        </w:tc>
      </w:tr>
      <w:tr w14:paraId="32478F95" w14:textId="77777777" w:rsidTr="00F21FDB">
        <w:tblPrEx>
          <w:tblW w:w="5920" w:type="pct"/>
          <w:tblInd w:w="-635" w:type="dxa"/>
          <w:tblCellMar>
            <w:top w:w="29" w:type="dxa"/>
            <w:left w:w="58" w:type="dxa"/>
            <w:bottom w:w="29" w:type="dxa"/>
            <w:right w:w="58" w:type="dxa"/>
          </w:tblCellMar>
          <w:tblLook w:val="01E0"/>
        </w:tblPrEx>
        <w:trPr>
          <w:cantSplit/>
          <w:trHeight w:val="195"/>
        </w:trPr>
        <w:tc>
          <w:tcPr>
            <w:tcW w:w="3414" w:type="pct"/>
            <w:gridSpan w:val="2"/>
            <w:tcBorders>
              <w:bottom w:val="single" w:sz="4" w:space="0" w:color="808285"/>
            </w:tcBorders>
          </w:tcPr>
          <w:p w:rsidR="00396E19" w:rsidRPr="0025728B" w:rsidP="0001271A" w14:paraId="0F6727B3" w14:textId="16FC2DD0">
            <w:pPr>
              <w:pStyle w:val="Tablesubhead"/>
              <w:rPr>
                <w:color w:val="auto"/>
                <w:sz w:val="22"/>
                <w:szCs w:val="22"/>
              </w:rPr>
            </w:pPr>
            <w:r w:rsidRPr="0025728B">
              <w:rPr>
                <w:color w:val="auto"/>
                <w:sz w:val="22"/>
                <w:szCs w:val="22"/>
              </w:rPr>
              <w:t>Staffing and training</w:t>
            </w:r>
          </w:p>
        </w:tc>
        <w:tc>
          <w:tcPr>
            <w:tcW w:w="1586" w:type="pct"/>
            <w:tcBorders>
              <w:bottom w:val="single" w:sz="4" w:space="0" w:color="808285"/>
            </w:tcBorders>
          </w:tcPr>
          <w:p w:rsidR="00396E19" w:rsidRPr="0025728B" w:rsidP="0001271A" w14:paraId="036AC656" w14:textId="77777777">
            <w:pPr>
              <w:pStyle w:val="Tablesubhead"/>
              <w:ind w:left="1480"/>
              <w:rPr>
                <w:color w:val="auto"/>
                <w:sz w:val="22"/>
                <w:szCs w:val="22"/>
              </w:rPr>
            </w:pPr>
          </w:p>
        </w:tc>
      </w:tr>
      <w:tr w14:paraId="14297751" w14:textId="77777777" w:rsidTr="0025728B">
        <w:tblPrEx>
          <w:tblW w:w="5920" w:type="pct"/>
          <w:tblInd w:w="-635" w:type="dxa"/>
          <w:tblCellMar>
            <w:top w:w="29" w:type="dxa"/>
            <w:left w:w="58" w:type="dxa"/>
            <w:bottom w:w="29" w:type="dxa"/>
            <w:right w:w="58" w:type="dxa"/>
          </w:tblCellMar>
          <w:tblLook w:val="01E0"/>
        </w:tblPrEx>
        <w:trPr>
          <w:cantSplit/>
          <w:trHeight w:val="924"/>
        </w:trPr>
        <w:tc>
          <w:tcPr>
            <w:tcW w:w="1382" w:type="pct"/>
          </w:tcPr>
          <w:p w:rsidR="00396E19" w:rsidRPr="0025728B" w:rsidP="0001271A" w14:paraId="3A91AC90" w14:textId="402D039F">
            <w:pPr>
              <w:pStyle w:val="TableParagraph"/>
              <w:rPr>
                <w:sz w:val="22"/>
                <w:szCs w:val="22"/>
              </w:rPr>
            </w:pPr>
            <w:r w:rsidRPr="0025728B">
              <w:rPr>
                <w:sz w:val="22"/>
                <w:szCs w:val="22"/>
              </w:rPr>
              <w:t xml:space="preserve">Number of </w:t>
            </w:r>
            <w:r w:rsidRPr="0025728B" w:rsidR="00056FFE">
              <w:rPr>
                <w:sz w:val="22"/>
                <w:szCs w:val="22"/>
              </w:rPr>
              <w:t>project staff</w:t>
            </w:r>
            <w:r w:rsidRPr="0025728B">
              <w:rPr>
                <w:sz w:val="22"/>
                <w:szCs w:val="22"/>
              </w:rPr>
              <w:t xml:space="preserve"> trained</w:t>
            </w:r>
          </w:p>
          <w:p w:rsidR="00396E19" w:rsidRPr="0025728B" w:rsidP="0001271A" w14:paraId="0195F505" w14:textId="77777777">
            <w:pPr>
              <w:pStyle w:val="TableParagraph"/>
              <w:rPr>
                <w:sz w:val="22"/>
                <w:szCs w:val="22"/>
              </w:rPr>
            </w:pPr>
          </w:p>
          <w:p w:rsidR="00396E19" w:rsidRPr="0025728B" w:rsidP="0001271A" w14:paraId="70E57916" w14:textId="77777777">
            <w:pPr>
              <w:pStyle w:val="TableParagraph"/>
              <w:rPr>
                <w:sz w:val="22"/>
                <w:szCs w:val="22"/>
              </w:rPr>
            </w:pPr>
            <w:r w:rsidRPr="0025728B">
              <w:rPr>
                <w:sz w:val="22"/>
                <w:szCs w:val="22"/>
              </w:rPr>
              <w:t>Number of trainings provided</w:t>
            </w:r>
          </w:p>
        </w:tc>
        <w:tc>
          <w:tcPr>
            <w:tcW w:w="2032" w:type="pct"/>
          </w:tcPr>
          <w:p w:rsidR="00396E19" w:rsidRPr="0025728B" w:rsidP="00396E19" w14:paraId="0EA2ABAE" w14:textId="187B423D">
            <w:pPr>
              <w:pStyle w:val="TableParagraph"/>
              <w:numPr>
                <w:ilvl w:val="0"/>
                <w:numId w:val="32"/>
              </w:numPr>
              <w:ind w:left="400" w:hanging="180"/>
              <w:rPr>
                <w:sz w:val="22"/>
                <w:szCs w:val="22"/>
              </w:rPr>
            </w:pPr>
            <w:r w:rsidRPr="0025728B">
              <w:rPr>
                <w:sz w:val="22"/>
                <w:szCs w:val="22"/>
              </w:rPr>
              <w:t xml:space="preserve">The number of </w:t>
            </w:r>
            <w:r w:rsidRPr="0025728B" w:rsidR="00056FFE">
              <w:rPr>
                <w:sz w:val="22"/>
                <w:szCs w:val="22"/>
              </w:rPr>
              <w:t>project staff</w:t>
            </w:r>
            <w:r w:rsidRPr="0025728B">
              <w:rPr>
                <w:sz w:val="22"/>
                <w:szCs w:val="22"/>
              </w:rPr>
              <w:t xml:space="preserve"> trained</w:t>
            </w:r>
          </w:p>
          <w:p w:rsidR="00396E19" w:rsidRPr="0025728B" w:rsidP="0001271A" w14:paraId="11A0FAAB" w14:textId="77777777">
            <w:pPr>
              <w:pStyle w:val="TableParagraph"/>
              <w:rPr>
                <w:sz w:val="22"/>
                <w:szCs w:val="22"/>
              </w:rPr>
            </w:pPr>
          </w:p>
          <w:p w:rsidR="00396E19" w:rsidRPr="0025728B" w:rsidP="00396E19" w14:paraId="67BD3E65" w14:textId="77777777">
            <w:pPr>
              <w:pStyle w:val="TableParagraph"/>
              <w:numPr>
                <w:ilvl w:val="0"/>
                <w:numId w:val="32"/>
              </w:numPr>
              <w:ind w:left="400" w:hanging="180"/>
              <w:rPr>
                <w:sz w:val="22"/>
                <w:szCs w:val="22"/>
              </w:rPr>
            </w:pPr>
            <w:r w:rsidRPr="0025728B">
              <w:rPr>
                <w:sz w:val="22"/>
                <w:szCs w:val="22"/>
              </w:rPr>
              <w:t xml:space="preserve">The number of </w:t>
            </w:r>
            <w:r w:rsidRPr="0025728B">
              <w:rPr>
                <w:iCs/>
                <w:sz w:val="22"/>
                <w:szCs w:val="22"/>
              </w:rPr>
              <w:t>trainings provided</w:t>
            </w:r>
          </w:p>
        </w:tc>
        <w:tc>
          <w:tcPr>
            <w:tcW w:w="1586" w:type="pct"/>
          </w:tcPr>
          <w:p w:rsidR="00396E19" w:rsidRPr="0025728B" w:rsidP="0001271A" w14:paraId="620FA572" w14:textId="77777777">
            <w:pPr>
              <w:pStyle w:val="TableParagraph"/>
              <w:ind w:left="390"/>
              <w:rPr>
                <w:sz w:val="22"/>
                <w:szCs w:val="22"/>
              </w:rPr>
            </w:pPr>
            <w:r w:rsidRPr="0025728B">
              <w:rPr>
                <w:sz w:val="22"/>
                <w:szCs w:val="22"/>
              </w:rPr>
              <w:t xml:space="preserve">Grantee/Sub-awardee </w:t>
            </w:r>
          </w:p>
          <w:p w:rsidR="00396E19" w:rsidRPr="0025728B" w:rsidP="0001271A" w14:paraId="0D4AF0D1" w14:textId="77777777">
            <w:pPr>
              <w:pStyle w:val="TableParagraph"/>
              <w:ind w:left="390"/>
              <w:rPr>
                <w:sz w:val="22"/>
                <w:szCs w:val="22"/>
              </w:rPr>
            </w:pPr>
          </w:p>
          <w:p w:rsidR="00396E19" w:rsidRPr="0025728B" w:rsidP="00467866" w14:paraId="524AA1AE" w14:textId="7C5FC740">
            <w:pPr>
              <w:pStyle w:val="TableParagraph"/>
              <w:ind w:left="390"/>
              <w:rPr>
                <w:sz w:val="22"/>
                <w:szCs w:val="22"/>
              </w:rPr>
            </w:pPr>
            <w:r w:rsidRPr="0025728B">
              <w:rPr>
                <w:sz w:val="22"/>
                <w:szCs w:val="22"/>
              </w:rPr>
              <w:t>Administrative Records</w:t>
            </w:r>
          </w:p>
        </w:tc>
      </w:tr>
      <w:tr w14:paraId="6250E9BE"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808285"/>
            </w:tcBorders>
          </w:tcPr>
          <w:p w:rsidR="00396E19" w:rsidRPr="0025728B" w:rsidP="0001271A" w14:paraId="15D30F82" w14:textId="15FAD02E">
            <w:pPr>
              <w:pStyle w:val="Tablesubhead"/>
              <w:rPr>
                <w:color w:val="auto"/>
                <w:sz w:val="22"/>
                <w:szCs w:val="22"/>
              </w:rPr>
            </w:pPr>
            <w:r w:rsidRPr="0025728B">
              <w:rPr>
                <w:color w:val="auto"/>
                <w:sz w:val="22"/>
                <w:szCs w:val="22"/>
              </w:rPr>
              <w:t>Partners and sites</w:t>
            </w:r>
          </w:p>
        </w:tc>
        <w:tc>
          <w:tcPr>
            <w:tcW w:w="1586" w:type="pct"/>
            <w:tcBorders>
              <w:bottom w:val="single" w:sz="4" w:space="0" w:color="808285"/>
            </w:tcBorders>
          </w:tcPr>
          <w:p w:rsidR="00396E19" w:rsidRPr="0025728B" w:rsidP="0001271A" w14:paraId="5D06A0BA" w14:textId="77777777">
            <w:pPr>
              <w:pStyle w:val="Tablesubhead"/>
              <w:ind w:left="1480"/>
              <w:rPr>
                <w:color w:val="auto"/>
                <w:sz w:val="22"/>
                <w:szCs w:val="22"/>
              </w:rPr>
            </w:pPr>
          </w:p>
        </w:tc>
      </w:tr>
      <w:tr w14:paraId="4E82AB41" w14:textId="77777777" w:rsidTr="0025728B">
        <w:tblPrEx>
          <w:tblW w:w="5920" w:type="pct"/>
          <w:tblInd w:w="-635" w:type="dxa"/>
          <w:tblCellMar>
            <w:top w:w="29" w:type="dxa"/>
            <w:left w:w="58" w:type="dxa"/>
            <w:bottom w:w="29" w:type="dxa"/>
            <w:right w:w="58" w:type="dxa"/>
          </w:tblCellMar>
          <w:tblLook w:val="01E0"/>
        </w:tblPrEx>
        <w:trPr>
          <w:cantSplit/>
          <w:trHeight w:val="20"/>
        </w:trPr>
        <w:tc>
          <w:tcPr>
            <w:tcW w:w="1382" w:type="pct"/>
          </w:tcPr>
          <w:p w:rsidR="00396E19" w:rsidRPr="0025728B" w:rsidP="0001271A" w14:paraId="5524069F" w14:textId="2CEA9F46">
            <w:pPr>
              <w:pStyle w:val="TableParagraph"/>
              <w:rPr>
                <w:sz w:val="22"/>
                <w:szCs w:val="22"/>
              </w:rPr>
            </w:pPr>
            <w:r w:rsidRPr="0025728B">
              <w:rPr>
                <w:sz w:val="22"/>
                <w:szCs w:val="22"/>
              </w:rPr>
              <w:t xml:space="preserve">Number </w:t>
            </w:r>
            <w:r w:rsidRPr="0025728B" w:rsidR="00845188">
              <w:rPr>
                <w:sz w:val="22"/>
                <w:szCs w:val="22"/>
              </w:rPr>
              <w:t>of partners</w:t>
            </w:r>
          </w:p>
        </w:tc>
        <w:tc>
          <w:tcPr>
            <w:tcW w:w="2032" w:type="pct"/>
          </w:tcPr>
          <w:p w:rsidR="00396E19" w:rsidRPr="0025728B" w:rsidP="0001271A" w14:paraId="621EF17A" w14:textId="0EEA4C48">
            <w:pPr>
              <w:pStyle w:val="TableParagraph"/>
              <w:rPr>
                <w:sz w:val="22"/>
                <w:szCs w:val="22"/>
              </w:rPr>
            </w:pPr>
            <w:r w:rsidRPr="0025728B">
              <w:rPr>
                <w:sz w:val="22"/>
                <w:szCs w:val="22"/>
              </w:rPr>
              <w:t>The number of partners with written agreements at the start of the grant year and at the end of the grant year</w:t>
            </w:r>
          </w:p>
        </w:tc>
        <w:tc>
          <w:tcPr>
            <w:tcW w:w="1586" w:type="pct"/>
          </w:tcPr>
          <w:p w:rsidR="00396E19" w:rsidRPr="0025728B" w:rsidP="0001271A" w14:paraId="5822CEDA" w14:textId="77777777">
            <w:pPr>
              <w:pStyle w:val="TableParagraph"/>
              <w:ind w:left="390"/>
              <w:rPr>
                <w:sz w:val="22"/>
                <w:szCs w:val="22"/>
              </w:rPr>
            </w:pPr>
            <w:r w:rsidRPr="0025728B">
              <w:rPr>
                <w:sz w:val="22"/>
                <w:szCs w:val="22"/>
              </w:rPr>
              <w:t xml:space="preserve">Grantee/Sub-awardee </w:t>
            </w:r>
          </w:p>
          <w:p w:rsidR="00396E19" w:rsidRPr="0025728B" w:rsidP="0001271A" w14:paraId="4A6672DC" w14:textId="77777777">
            <w:pPr>
              <w:pStyle w:val="TableParagraph"/>
              <w:ind w:left="390"/>
              <w:rPr>
                <w:sz w:val="22"/>
                <w:szCs w:val="22"/>
              </w:rPr>
            </w:pPr>
          </w:p>
          <w:p w:rsidR="00396E19" w:rsidRPr="0025728B" w:rsidP="00A55DF8" w14:paraId="6596352B" w14:textId="249340CB">
            <w:pPr>
              <w:pStyle w:val="TableParagraph"/>
              <w:ind w:left="390"/>
              <w:rPr>
                <w:sz w:val="22"/>
                <w:szCs w:val="22"/>
              </w:rPr>
            </w:pPr>
            <w:r w:rsidRPr="0025728B">
              <w:rPr>
                <w:sz w:val="22"/>
                <w:szCs w:val="22"/>
              </w:rPr>
              <w:t>Administrative Records</w:t>
            </w:r>
          </w:p>
        </w:tc>
      </w:tr>
      <w:tr w14:paraId="6DEE676E" w14:textId="77777777" w:rsidTr="00F21FDB">
        <w:tblPrEx>
          <w:tblW w:w="5920" w:type="pct"/>
          <w:tblInd w:w="-635" w:type="dxa"/>
          <w:tblCellMar>
            <w:top w:w="29" w:type="dxa"/>
            <w:left w:w="58" w:type="dxa"/>
            <w:bottom w:w="29" w:type="dxa"/>
            <w:right w:w="58" w:type="dxa"/>
          </w:tblCellMar>
          <w:tblLook w:val="01E0"/>
        </w:tblPrEx>
        <w:trPr>
          <w:cantSplit/>
          <w:trHeight w:val="20"/>
        </w:trPr>
        <w:tc>
          <w:tcPr>
            <w:tcW w:w="3414" w:type="pct"/>
            <w:gridSpan w:val="2"/>
            <w:tcBorders>
              <w:bottom w:val="single" w:sz="4" w:space="0" w:color="auto"/>
            </w:tcBorders>
          </w:tcPr>
          <w:p w:rsidR="00396E19" w:rsidRPr="0025728B" w:rsidP="0001271A" w14:paraId="191E8332" w14:textId="5E1BAA7F">
            <w:pPr>
              <w:pStyle w:val="Tablesubhead"/>
              <w:rPr>
                <w:color w:val="auto"/>
                <w:sz w:val="22"/>
                <w:szCs w:val="22"/>
                <w:vertAlign w:val="superscript"/>
              </w:rPr>
            </w:pPr>
            <w:r w:rsidRPr="0025728B">
              <w:rPr>
                <w:color w:val="auto"/>
                <w:sz w:val="22"/>
                <w:szCs w:val="22"/>
              </w:rPr>
              <w:t>Dissemination</w:t>
            </w:r>
          </w:p>
        </w:tc>
        <w:tc>
          <w:tcPr>
            <w:tcW w:w="1586" w:type="pct"/>
            <w:tcBorders>
              <w:bottom w:val="single" w:sz="4" w:space="0" w:color="auto"/>
            </w:tcBorders>
          </w:tcPr>
          <w:p w:rsidR="00396E19" w:rsidRPr="0025728B" w:rsidP="0001271A" w14:paraId="429BCC03" w14:textId="77777777">
            <w:pPr>
              <w:pStyle w:val="Tablesubhead"/>
              <w:ind w:left="1480"/>
              <w:rPr>
                <w:color w:val="auto"/>
                <w:sz w:val="22"/>
                <w:szCs w:val="22"/>
              </w:rPr>
            </w:pPr>
          </w:p>
        </w:tc>
      </w:tr>
      <w:tr w14:paraId="436065DA" w14:textId="77777777" w:rsidTr="0025728B">
        <w:tblPrEx>
          <w:tblW w:w="5920" w:type="pct"/>
          <w:tblInd w:w="-635" w:type="dxa"/>
          <w:tblCellMar>
            <w:top w:w="29" w:type="dxa"/>
            <w:left w:w="58" w:type="dxa"/>
            <w:bottom w:w="29" w:type="dxa"/>
            <w:right w:w="58" w:type="dxa"/>
          </w:tblCellMar>
          <w:tblLook w:val="01E0"/>
        </w:tblPrEx>
        <w:trPr>
          <w:cantSplit/>
          <w:trHeight w:val="20"/>
        </w:trPr>
        <w:tc>
          <w:tcPr>
            <w:tcW w:w="1382" w:type="pct"/>
            <w:tcBorders>
              <w:top w:val="single" w:sz="4" w:space="0" w:color="auto"/>
              <w:left w:val="single" w:sz="4" w:space="0" w:color="auto"/>
              <w:bottom w:val="single" w:sz="4" w:space="0" w:color="auto"/>
              <w:right w:val="single" w:sz="4" w:space="0" w:color="auto"/>
            </w:tcBorders>
          </w:tcPr>
          <w:p w:rsidR="00396E19" w:rsidRPr="0025728B" w:rsidP="0001271A" w14:paraId="6E02C6B8" w14:textId="77777777">
            <w:pPr>
              <w:pStyle w:val="TableParagraph"/>
              <w:rPr>
                <w:sz w:val="22"/>
                <w:szCs w:val="22"/>
              </w:rPr>
            </w:pPr>
            <w:r w:rsidRPr="0025728B">
              <w:rPr>
                <w:sz w:val="22"/>
                <w:szCs w:val="22"/>
              </w:rPr>
              <w:t xml:space="preserve">Number of manuscripts </w:t>
            </w:r>
          </w:p>
        </w:tc>
        <w:tc>
          <w:tcPr>
            <w:tcW w:w="2032" w:type="pct"/>
            <w:tcBorders>
              <w:top w:val="single" w:sz="4" w:space="0" w:color="auto"/>
              <w:left w:val="single" w:sz="4" w:space="0" w:color="auto"/>
              <w:bottom w:val="single" w:sz="4" w:space="0" w:color="auto"/>
              <w:right w:val="single" w:sz="4" w:space="0" w:color="auto"/>
            </w:tcBorders>
          </w:tcPr>
          <w:p w:rsidR="00396E19" w:rsidRPr="0025728B" w:rsidP="0001271A" w14:paraId="7B8E6013" w14:textId="77777777">
            <w:pPr>
              <w:pStyle w:val="TableParagraph"/>
              <w:rPr>
                <w:sz w:val="22"/>
                <w:szCs w:val="22"/>
              </w:rPr>
            </w:pPr>
            <w:r w:rsidRPr="0025728B">
              <w:rPr>
                <w:sz w:val="22"/>
                <w:szCs w:val="22"/>
              </w:rPr>
              <w:t>The number of grantee-submitted manuscripts</w:t>
            </w:r>
          </w:p>
        </w:tc>
        <w:tc>
          <w:tcPr>
            <w:tcW w:w="1586" w:type="pct"/>
            <w:tcBorders>
              <w:top w:val="single" w:sz="4" w:space="0" w:color="auto"/>
              <w:left w:val="single" w:sz="4" w:space="0" w:color="auto"/>
              <w:bottom w:val="single" w:sz="4" w:space="0" w:color="auto"/>
              <w:right w:val="single" w:sz="4" w:space="0" w:color="auto"/>
            </w:tcBorders>
          </w:tcPr>
          <w:p w:rsidR="00396E19" w:rsidRPr="0025728B" w:rsidP="0001271A" w14:paraId="2008B403" w14:textId="77777777">
            <w:pPr>
              <w:pStyle w:val="TableParagraph"/>
              <w:ind w:left="390"/>
              <w:rPr>
                <w:sz w:val="22"/>
                <w:szCs w:val="22"/>
              </w:rPr>
            </w:pPr>
            <w:r w:rsidRPr="0025728B">
              <w:rPr>
                <w:sz w:val="22"/>
                <w:szCs w:val="22"/>
              </w:rPr>
              <w:t xml:space="preserve">Grantee/Sub-awardee </w:t>
            </w:r>
          </w:p>
          <w:p w:rsidR="00396E19" w:rsidRPr="0025728B" w:rsidP="0001271A" w14:paraId="08EE9B5A" w14:textId="77777777">
            <w:pPr>
              <w:pStyle w:val="TableParagraph"/>
              <w:ind w:left="390"/>
              <w:rPr>
                <w:sz w:val="22"/>
                <w:szCs w:val="22"/>
              </w:rPr>
            </w:pPr>
          </w:p>
          <w:p w:rsidR="00396E19" w:rsidRPr="0025728B" w:rsidP="00A55DF8" w14:paraId="2A380D3B" w14:textId="54693157">
            <w:pPr>
              <w:pStyle w:val="TableParagraph"/>
              <w:ind w:left="390"/>
              <w:rPr>
                <w:sz w:val="22"/>
                <w:szCs w:val="22"/>
              </w:rPr>
            </w:pPr>
            <w:r w:rsidRPr="0025728B">
              <w:rPr>
                <w:sz w:val="22"/>
                <w:szCs w:val="22"/>
              </w:rPr>
              <w:t>Administrative Records</w:t>
            </w:r>
          </w:p>
        </w:tc>
      </w:tr>
      <w:tr w14:paraId="2E07A4B0" w14:textId="77777777" w:rsidTr="0025728B">
        <w:tblPrEx>
          <w:tblW w:w="5920" w:type="pct"/>
          <w:tblInd w:w="-635" w:type="dxa"/>
          <w:tblCellMar>
            <w:top w:w="29" w:type="dxa"/>
            <w:left w:w="58" w:type="dxa"/>
            <w:bottom w:w="29" w:type="dxa"/>
            <w:right w:w="58" w:type="dxa"/>
          </w:tblCellMar>
          <w:tblLook w:val="01E0"/>
        </w:tblPrEx>
        <w:trPr>
          <w:cantSplit/>
          <w:trHeight w:val="20"/>
        </w:trPr>
        <w:tc>
          <w:tcPr>
            <w:tcW w:w="1382" w:type="pct"/>
            <w:tcBorders>
              <w:top w:val="single" w:sz="4" w:space="0" w:color="auto"/>
              <w:left w:val="single" w:sz="4" w:space="0" w:color="auto"/>
              <w:bottom w:val="single" w:sz="4" w:space="0" w:color="auto"/>
              <w:right w:val="single" w:sz="4" w:space="0" w:color="auto"/>
            </w:tcBorders>
          </w:tcPr>
          <w:p w:rsidR="00925CA7" w:rsidRPr="0025728B" w:rsidP="0001271A" w14:paraId="643038BB" w14:textId="462702E1">
            <w:pPr>
              <w:pStyle w:val="TableParagraph"/>
              <w:rPr>
                <w:sz w:val="22"/>
                <w:szCs w:val="22"/>
              </w:rPr>
            </w:pPr>
            <w:r w:rsidRPr="0025728B">
              <w:rPr>
                <w:sz w:val="22"/>
                <w:szCs w:val="22"/>
              </w:rPr>
              <w:t>Number of presentations</w:t>
            </w:r>
          </w:p>
        </w:tc>
        <w:tc>
          <w:tcPr>
            <w:tcW w:w="2032" w:type="pct"/>
            <w:tcBorders>
              <w:top w:val="single" w:sz="4" w:space="0" w:color="auto"/>
              <w:left w:val="single" w:sz="4" w:space="0" w:color="auto"/>
              <w:bottom w:val="single" w:sz="4" w:space="0" w:color="auto"/>
              <w:right w:val="single" w:sz="4" w:space="0" w:color="auto"/>
            </w:tcBorders>
          </w:tcPr>
          <w:p w:rsidR="00925CA7" w:rsidRPr="0025728B" w:rsidP="0001271A" w14:paraId="28FD444A" w14:textId="61A6522B">
            <w:pPr>
              <w:pStyle w:val="TableParagraph"/>
              <w:rPr>
                <w:sz w:val="22"/>
                <w:szCs w:val="22"/>
              </w:rPr>
            </w:pPr>
            <w:r w:rsidRPr="0025728B">
              <w:rPr>
                <w:sz w:val="22"/>
                <w:szCs w:val="22"/>
              </w:rPr>
              <w:t>The number of presentations by the grantee at the national, state, local, or other level</w:t>
            </w:r>
          </w:p>
        </w:tc>
        <w:tc>
          <w:tcPr>
            <w:tcW w:w="1586" w:type="pct"/>
            <w:tcBorders>
              <w:top w:val="single" w:sz="4" w:space="0" w:color="auto"/>
              <w:left w:val="single" w:sz="4" w:space="0" w:color="auto"/>
              <w:bottom w:val="single" w:sz="4" w:space="0" w:color="auto"/>
              <w:right w:val="single" w:sz="4" w:space="0" w:color="auto"/>
            </w:tcBorders>
          </w:tcPr>
          <w:p w:rsidR="00925CA7" w:rsidRPr="0025728B" w:rsidP="0001271A" w14:paraId="5F8A42B4" w14:textId="77777777">
            <w:pPr>
              <w:pStyle w:val="TableParagraph"/>
              <w:ind w:left="390"/>
              <w:rPr>
                <w:sz w:val="22"/>
                <w:szCs w:val="22"/>
              </w:rPr>
            </w:pPr>
            <w:r w:rsidRPr="0025728B">
              <w:rPr>
                <w:sz w:val="22"/>
                <w:szCs w:val="22"/>
              </w:rPr>
              <w:t xml:space="preserve">Grantee/Sub-awardee </w:t>
            </w:r>
          </w:p>
          <w:p w:rsidR="00925CA7" w:rsidRPr="0025728B" w:rsidP="0001271A" w14:paraId="562DD446" w14:textId="77777777">
            <w:pPr>
              <w:pStyle w:val="TableParagraph"/>
              <w:ind w:left="390"/>
              <w:rPr>
                <w:sz w:val="22"/>
                <w:szCs w:val="22"/>
              </w:rPr>
            </w:pPr>
          </w:p>
          <w:p w:rsidR="00925CA7" w:rsidRPr="0025728B" w:rsidP="0001271A" w14:paraId="37356CF4" w14:textId="77777777">
            <w:pPr>
              <w:pStyle w:val="TableParagraph"/>
              <w:ind w:left="390"/>
              <w:rPr>
                <w:sz w:val="22"/>
                <w:szCs w:val="22"/>
              </w:rPr>
            </w:pPr>
            <w:r w:rsidRPr="0025728B">
              <w:rPr>
                <w:sz w:val="22"/>
                <w:szCs w:val="22"/>
              </w:rPr>
              <w:t>Administrative Records</w:t>
            </w:r>
          </w:p>
          <w:p w:rsidR="00925CA7" w:rsidRPr="0025728B" w:rsidP="0001271A" w14:paraId="372BFFF8" w14:textId="77777777">
            <w:pPr>
              <w:pStyle w:val="TableParagraph"/>
              <w:ind w:left="1480"/>
              <w:rPr>
                <w:sz w:val="22"/>
                <w:szCs w:val="22"/>
              </w:rPr>
            </w:pPr>
          </w:p>
        </w:tc>
      </w:tr>
    </w:tbl>
    <w:p w:rsidR="0025728B" w:rsidP="006C5EA1" w14:paraId="54C1AD43" w14:textId="77777777">
      <w:pPr>
        <w:keepNext/>
        <w:keepLines/>
        <w:widowControl/>
        <w:spacing w:after="40"/>
      </w:pPr>
    </w:p>
    <w:p w:rsidR="001A25AF" w:rsidP="006C5EA1" w14:paraId="3DA3BF57" w14:textId="3A0A84AF">
      <w:pPr>
        <w:keepNext/>
        <w:keepLines/>
        <w:widowControl/>
        <w:spacing w:after="40"/>
      </w:pPr>
      <w:r w:rsidRPr="009A2DCD">
        <w:t xml:space="preserve">The </w:t>
      </w:r>
      <w:r w:rsidR="001F3792">
        <w:t xml:space="preserve">TPP performance measures </w:t>
      </w:r>
      <w:r w:rsidRPr="009A2DCD">
        <w:t>data</w:t>
      </w:r>
      <w:r w:rsidRPr="009A2DCD" w:rsidR="009B1068">
        <w:t xml:space="preserve"> </w:t>
      </w:r>
      <w:r w:rsidRPr="009A2DCD" w:rsidR="00845188">
        <w:t>provide OPA</w:t>
      </w:r>
      <w:r w:rsidRPr="009A2DCD">
        <w:t xml:space="preserve"> </w:t>
      </w:r>
      <w:r w:rsidRPr="009A2DCD" w:rsidR="00BA5399">
        <w:t xml:space="preserve">leadership and </w:t>
      </w:r>
      <w:r w:rsidRPr="009A2DCD" w:rsidR="00034D25">
        <w:t xml:space="preserve">federal </w:t>
      </w:r>
      <w:r w:rsidRPr="009A2DCD">
        <w:t>pro</w:t>
      </w:r>
      <w:r w:rsidRPr="009A2DCD" w:rsidR="00F538F8">
        <w:t>ject</w:t>
      </w:r>
      <w:r w:rsidRPr="009A2DCD">
        <w:t xml:space="preserve"> officers </w:t>
      </w:r>
      <w:r w:rsidR="001F3792">
        <w:t xml:space="preserve">information </w:t>
      </w:r>
      <w:r w:rsidRPr="009A2DCD" w:rsidR="006E31AD">
        <w:t>to</w:t>
      </w:r>
      <w:r w:rsidRPr="009A2DCD" w:rsidR="009B1068">
        <w:t xml:space="preserve"> </w:t>
      </w:r>
      <w:r w:rsidRPr="009A2DCD">
        <w:t xml:space="preserve">help them to more effectively manage the TPP </w:t>
      </w:r>
      <w:r w:rsidRPr="009A2DCD" w:rsidR="006E31AD">
        <w:t>program</w:t>
      </w:r>
      <w:r w:rsidR="001F3792">
        <w:t>. Performance measures data inform OPA’s grantee training and technical assistance activities</w:t>
      </w:r>
      <w:r w:rsidRPr="009A2DCD">
        <w:t>.</w:t>
      </w:r>
      <w:r w:rsidRPr="009A2DCD" w:rsidR="0098755F">
        <w:t xml:space="preserve"> </w:t>
      </w:r>
      <w:r w:rsidRPr="009A2DCD" w:rsidR="006E31AD">
        <w:t xml:space="preserve"> </w:t>
      </w:r>
      <w:r w:rsidR="00BE1C7F">
        <w:t>OPA shares t</w:t>
      </w:r>
      <w:r w:rsidRPr="009A2DCD">
        <w:t xml:space="preserve">he </w:t>
      </w:r>
      <w:r w:rsidRPr="009A2DCD" w:rsidR="00034D25">
        <w:t xml:space="preserve">aggregate </w:t>
      </w:r>
      <w:r w:rsidRPr="009A2DCD">
        <w:t>data</w:t>
      </w:r>
      <w:r w:rsidRPr="009A2DCD" w:rsidR="006E31AD">
        <w:t xml:space="preserve"> </w:t>
      </w:r>
      <w:r w:rsidR="00BE1C7F">
        <w:t xml:space="preserve">with </w:t>
      </w:r>
      <w:r w:rsidR="00CD27EC">
        <w:t xml:space="preserve">HHS departmental leadership and </w:t>
      </w:r>
      <w:r w:rsidRPr="009A2DCD">
        <w:t>Congress</w:t>
      </w:r>
      <w:r w:rsidRPr="009A2DCD" w:rsidR="006C5EA1">
        <w:t xml:space="preserve"> (reach, dosage, training and partners)</w:t>
      </w:r>
      <w:r w:rsidRPr="009A2DCD">
        <w:t xml:space="preserve">, and the public at large </w:t>
      </w:r>
      <w:r w:rsidRPr="009A2DCD" w:rsidR="006C5EA1">
        <w:t xml:space="preserve">(all measures) </w:t>
      </w:r>
      <w:r w:rsidRPr="009A2DCD">
        <w:t xml:space="preserve">to assess </w:t>
      </w:r>
      <w:r w:rsidRPr="009A2DCD" w:rsidR="002B2F5A">
        <w:t>program performance</w:t>
      </w:r>
      <w:r w:rsidRPr="009A2DCD">
        <w:t>.</w:t>
      </w:r>
      <w:r w:rsidRPr="009A2DCD" w:rsidR="0098755F">
        <w:t xml:space="preserve"> </w:t>
      </w:r>
      <w:r w:rsidRPr="009A2DCD" w:rsidR="006E31AD">
        <w:t xml:space="preserve">Use </w:t>
      </w:r>
      <w:r w:rsidRPr="009A2DCD" w:rsidR="000F1D37">
        <w:t>of the data is vital for ensuring on-going improvement of the TPP program and through dissemination efforts, broader understanding and support of programs designed to prevent teen pregnancy.</w:t>
      </w:r>
    </w:p>
    <w:p w:rsidR="00CD27EC" w:rsidP="006C5EA1" w14:paraId="181F182E" w14:textId="77777777">
      <w:pPr>
        <w:keepNext/>
        <w:keepLines/>
        <w:widowControl/>
        <w:spacing w:after="40"/>
      </w:pPr>
    </w:p>
    <w:p w:rsidR="00CD27EC" w:rsidRPr="009A2DCD" w:rsidP="006C5EA1" w14:paraId="07E5285B" w14:textId="0063997C">
      <w:pPr>
        <w:keepNext/>
        <w:keepLines/>
        <w:widowControl/>
        <w:spacing w:after="40"/>
      </w:pPr>
      <w:r>
        <w:t>Current TPP grantees are funded through 2028. OPA request</w:t>
      </w:r>
      <w:r w:rsidR="008478CE">
        <w:t xml:space="preserve">s </w:t>
      </w:r>
      <w:r>
        <w:t>the</w:t>
      </w:r>
      <w:r w:rsidR="008478CE">
        <w:t xml:space="preserve"> extension with revision of the</w:t>
      </w:r>
      <w:r w:rsidR="00DF29A9">
        <w:t xml:space="preserve"> TPP performance measures</w:t>
      </w:r>
      <w:r>
        <w:t xml:space="preserve"> </w:t>
      </w:r>
      <w:r w:rsidR="00DF29A9">
        <w:t xml:space="preserve">information </w:t>
      </w:r>
      <w:r>
        <w:t xml:space="preserve">clearance </w:t>
      </w:r>
      <w:r w:rsidR="00DF29A9">
        <w:t>so that we may collect performance measures data from grantees during the last 2 years of the projects and during a</w:t>
      </w:r>
      <w:r w:rsidR="008478CE">
        <w:t>ny approved</w:t>
      </w:r>
      <w:r w:rsidR="00DF29A9">
        <w:t xml:space="preserve"> no-cost extension period.</w:t>
      </w:r>
    </w:p>
    <w:p w:rsidR="00AA6E3C" w:rsidP="00AA6E3C" w14:paraId="43F195D1" w14:textId="77777777"/>
    <w:p w:rsidR="00691761" w:rsidRPr="009A2DCD" w:rsidP="009A4B59" w14:paraId="68240E48" w14:textId="3D419249">
      <w:pPr>
        <w:pStyle w:val="OMBheading-2"/>
      </w:pPr>
      <w:bookmarkStart w:id="3" w:name="_Toc225240680"/>
      <w:r w:rsidRPr="00207770">
        <w:t xml:space="preserve">Use of </w:t>
      </w:r>
      <w:r w:rsidRPr="00207770" w:rsidR="00426707">
        <w:t xml:space="preserve">Improved </w:t>
      </w:r>
      <w:r w:rsidRPr="00207770">
        <w:t>Information Technology and Burden Reduction</w:t>
      </w:r>
      <w:bookmarkEnd w:id="3"/>
    </w:p>
    <w:p w:rsidR="00691761" w:rsidRPr="009A2DCD" w:rsidP="00016859" w14:paraId="3997AA52" w14:textId="562C4093">
      <w:pPr>
        <w:spacing w:after="40"/>
        <w:rPr>
          <w:sz w:val="22"/>
          <w:szCs w:val="22"/>
        </w:rPr>
      </w:pPr>
      <w:r w:rsidRPr="009A2DCD">
        <w:t>Grantees enter performance measure data into a multi-use, cloud-based reporting system, either by using point and click entry</w:t>
      </w:r>
      <w:r w:rsidRPr="009A2DCD" w:rsidR="005E6D7D">
        <w:t xml:space="preserve"> or uploading</w:t>
      </w:r>
      <w:r w:rsidRPr="009A2DCD" w:rsidR="00E610A0">
        <w:t xml:space="preserve"> </w:t>
      </w:r>
      <w:r w:rsidRPr="009A2DCD" w:rsidR="00661FA9">
        <w:t>data files</w:t>
      </w:r>
      <w:r w:rsidRPr="009A2DCD">
        <w:t xml:space="preserve">. </w:t>
      </w:r>
      <w:r w:rsidRPr="009A2DCD" w:rsidR="00CC5926">
        <w:t xml:space="preserve">See Attachment </w:t>
      </w:r>
      <w:r w:rsidR="004C4A3A">
        <w:t>F</w:t>
      </w:r>
      <w:r w:rsidRPr="009A2DCD" w:rsidR="00CC5926">
        <w:t xml:space="preserve"> for screenshots of the reporting system. </w:t>
      </w:r>
      <w:r w:rsidRPr="009A2DCD">
        <w:t>The cloud-based system reduce</w:t>
      </w:r>
      <w:r w:rsidR="007A38C1">
        <w:t>s</w:t>
      </w:r>
      <w:r w:rsidRPr="009A2DCD">
        <w:t xml:space="preserve"> burden for respondents by programming specific items for each cohort of grantees, so that grantees only have to look at questions or upload data that are relevant for them. Programming automatically performs necessary calculations and validate</w:t>
      </w:r>
      <w:r w:rsidRPr="009A2DCD" w:rsidR="004E518B">
        <w:t xml:space="preserve">s </w:t>
      </w:r>
      <w:r w:rsidRPr="009A2DCD">
        <w:t>responses. For point and click entry, a branching mode of presentation allows respondents to go directly to the sections they need, without having to go</w:t>
      </w:r>
      <w:r w:rsidRPr="009A2DCD">
        <w:t xml:space="preserve"> through the system in a linear progression. The system also produces a data set of measures across all grantees using relevant filters (e.g., for Tier 1 grantees only), which saves time on preparation of the data for analysis. Data are also available for grantees to export into Excel files to </w:t>
      </w:r>
      <w:r w:rsidRPr="009A2DCD" w:rsidR="004E518B">
        <w:t xml:space="preserve">customize </w:t>
      </w:r>
      <w:r w:rsidRPr="009A2DCD">
        <w:t>reports.</w:t>
      </w:r>
      <w:r w:rsidRPr="009A2DCD" w:rsidR="00036F79">
        <w:t xml:space="preserve"> </w:t>
      </w:r>
      <w:r w:rsidRPr="009A2DCD" w:rsidR="00135698">
        <w:t>OPA provide</w:t>
      </w:r>
      <w:r w:rsidR="00B170EA">
        <w:t>s</w:t>
      </w:r>
      <w:r w:rsidRPr="009A2DCD" w:rsidR="00135698">
        <w:t xml:space="preserve"> grantees with training and technical assistance on data submission, including webinars, a support desk for individual questions, and a written </w:t>
      </w:r>
      <w:r w:rsidRPr="009A2DCD" w:rsidR="006C63DC">
        <w:t xml:space="preserve">user’s </w:t>
      </w:r>
      <w:r w:rsidRPr="009A2DCD" w:rsidR="00845188">
        <w:t>manual</w:t>
      </w:r>
      <w:r w:rsidR="00845188">
        <w:t>.</w:t>
      </w:r>
      <w:r w:rsidR="003B4213">
        <w:t xml:space="preserve"> Feedback from grantees on how to </w:t>
      </w:r>
      <w:r w:rsidR="00BC5C1E">
        <w:t>improve</w:t>
      </w:r>
      <w:r w:rsidR="0025512C">
        <w:t xml:space="preserve"> and simplify</w:t>
      </w:r>
      <w:r w:rsidR="00BC5C1E">
        <w:t xml:space="preserve"> the </w:t>
      </w:r>
      <w:r w:rsidR="00DD5CFB">
        <w:t>reporting process</w:t>
      </w:r>
      <w:r w:rsidR="00BC5C1E">
        <w:t xml:space="preserve"> is also </w:t>
      </w:r>
      <w:r w:rsidR="00F73701">
        <w:t xml:space="preserve">considered </w:t>
      </w:r>
      <w:r w:rsidR="00C51069">
        <w:t>when</w:t>
      </w:r>
      <w:r w:rsidR="00F73701">
        <w:t xml:space="preserve"> </w:t>
      </w:r>
      <w:r w:rsidR="00DD5CFB">
        <w:t xml:space="preserve">system enhancements are </w:t>
      </w:r>
      <w:r w:rsidR="00C51069">
        <w:t>implemented</w:t>
      </w:r>
      <w:r w:rsidR="00773105">
        <w:t>.</w:t>
      </w:r>
    </w:p>
    <w:p w:rsidR="00E05CE7" w:rsidRPr="009A2DCD" w:rsidP="006C5EA1" w14:paraId="7FD17304" w14:textId="77777777">
      <w:pPr>
        <w:widowControl/>
        <w:spacing w:after="40"/>
      </w:pPr>
    </w:p>
    <w:p w:rsidR="00BE5747" w:rsidRPr="009A2DCD" w:rsidP="009C53DB" w14:paraId="21366454" w14:textId="4BDA8967">
      <w:pPr>
        <w:pStyle w:val="OMBheading-2"/>
      </w:pPr>
      <w:bookmarkStart w:id="4" w:name="_Toc225240681"/>
      <w:r w:rsidRPr="009A2DCD">
        <w:t>Efforts to Identify Duplication and Use of Similar Information</w:t>
      </w:r>
      <w:bookmarkEnd w:id="4"/>
    </w:p>
    <w:p w:rsidR="00555EB2" w:rsidRPr="009A2DCD" w:rsidP="004470A8" w14:paraId="41719EF4" w14:textId="0FC01BCC">
      <w:pPr>
        <w:pStyle w:val="bodytext-gph"/>
        <w:widowControl w:val="0"/>
        <w:spacing w:after="40" w:line="240" w:lineRule="auto"/>
        <w:ind w:left="0"/>
        <w:rPr>
          <w:sz w:val="24"/>
          <w:szCs w:val="24"/>
        </w:rPr>
      </w:pPr>
      <w:r w:rsidRPr="009A2DCD">
        <w:rPr>
          <w:sz w:val="24"/>
          <w:szCs w:val="24"/>
        </w:rPr>
        <w:t xml:space="preserve">The </w:t>
      </w:r>
      <w:r w:rsidRPr="009A2DCD" w:rsidR="000446AB">
        <w:rPr>
          <w:sz w:val="24"/>
          <w:szCs w:val="24"/>
        </w:rPr>
        <w:t xml:space="preserve">FY2023 </w:t>
      </w:r>
      <w:r w:rsidRPr="009A2DCD" w:rsidR="00220808">
        <w:rPr>
          <w:sz w:val="24"/>
          <w:szCs w:val="24"/>
        </w:rPr>
        <w:t xml:space="preserve">TPP </w:t>
      </w:r>
      <w:r w:rsidRPr="009A2DCD">
        <w:rPr>
          <w:sz w:val="24"/>
          <w:szCs w:val="24"/>
        </w:rPr>
        <w:t xml:space="preserve">performance measures data collection </w:t>
      </w:r>
      <w:r w:rsidR="00ED0203">
        <w:rPr>
          <w:sz w:val="24"/>
          <w:szCs w:val="24"/>
        </w:rPr>
        <w:t xml:space="preserve">is </w:t>
      </w:r>
      <w:r w:rsidRPr="009A2DCD">
        <w:rPr>
          <w:sz w:val="24"/>
          <w:szCs w:val="24"/>
        </w:rPr>
        <w:t>the only data collection that</w:t>
      </w:r>
      <w:r w:rsidRPr="009A2DCD" w:rsidR="002E4EDA">
        <w:rPr>
          <w:sz w:val="24"/>
          <w:szCs w:val="24"/>
        </w:rPr>
        <w:t xml:space="preserve"> </w:t>
      </w:r>
      <w:r w:rsidRPr="009A2DCD">
        <w:rPr>
          <w:sz w:val="24"/>
          <w:szCs w:val="24"/>
        </w:rPr>
        <w:t>provide</w:t>
      </w:r>
      <w:r w:rsidR="00074606">
        <w:rPr>
          <w:sz w:val="24"/>
          <w:szCs w:val="24"/>
        </w:rPr>
        <w:t>s</w:t>
      </w:r>
      <w:r w:rsidRPr="009A2DCD">
        <w:rPr>
          <w:sz w:val="24"/>
          <w:szCs w:val="24"/>
        </w:rPr>
        <w:t xml:space="preserve"> information on the performance of the TPP program</w:t>
      </w:r>
      <w:r w:rsidRPr="009A2DCD" w:rsidR="00F538F8">
        <w:rPr>
          <w:sz w:val="24"/>
          <w:szCs w:val="24"/>
        </w:rPr>
        <w:t xml:space="preserve"> </w:t>
      </w:r>
      <w:r w:rsidRPr="009A2DCD" w:rsidR="00DF29A9">
        <w:rPr>
          <w:sz w:val="24"/>
          <w:szCs w:val="24"/>
        </w:rPr>
        <w:t>for grantees</w:t>
      </w:r>
      <w:r w:rsidRPr="009A2DCD" w:rsidR="00F538F8">
        <w:rPr>
          <w:sz w:val="24"/>
          <w:szCs w:val="24"/>
        </w:rPr>
        <w:t xml:space="preserve"> funded </w:t>
      </w:r>
      <w:r w:rsidR="00531301">
        <w:rPr>
          <w:sz w:val="24"/>
          <w:szCs w:val="24"/>
        </w:rPr>
        <w:t xml:space="preserve">between </w:t>
      </w:r>
      <w:r w:rsidRPr="009A2DCD" w:rsidR="000446AB">
        <w:rPr>
          <w:sz w:val="24"/>
          <w:szCs w:val="24"/>
        </w:rPr>
        <w:t>FY2023</w:t>
      </w:r>
      <w:r w:rsidR="00531301">
        <w:rPr>
          <w:sz w:val="24"/>
          <w:szCs w:val="24"/>
        </w:rPr>
        <w:t xml:space="preserve"> and FY2028</w:t>
      </w:r>
      <w:r w:rsidRPr="009A2DCD">
        <w:rPr>
          <w:sz w:val="24"/>
          <w:szCs w:val="24"/>
        </w:rPr>
        <w:t>.</w:t>
      </w:r>
      <w:r w:rsidRPr="009A2DCD" w:rsidR="0098755F">
        <w:rPr>
          <w:sz w:val="24"/>
          <w:szCs w:val="24"/>
        </w:rPr>
        <w:t xml:space="preserve"> </w:t>
      </w:r>
      <w:r w:rsidRPr="009A2DCD">
        <w:rPr>
          <w:sz w:val="24"/>
          <w:szCs w:val="24"/>
        </w:rPr>
        <w:t xml:space="preserve">Most of the </w:t>
      </w:r>
      <w:r w:rsidRPr="009A2DCD" w:rsidR="006B4C83">
        <w:rPr>
          <w:sz w:val="24"/>
          <w:szCs w:val="24"/>
        </w:rPr>
        <w:t xml:space="preserve">performance </w:t>
      </w:r>
      <w:r w:rsidRPr="009A2DCD">
        <w:rPr>
          <w:sz w:val="24"/>
          <w:szCs w:val="24"/>
        </w:rPr>
        <w:t xml:space="preserve">measures </w:t>
      </w:r>
      <w:r w:rsidRPr="009A2DCD" w:rsidR="00F538F8">
        <w:rPr>
          <w:sz w:val="24"/>
          <w:szCs w:val="24"/>
        </w:rPr>
        <w:t xml:space="preserve">are information that </w:t>
      </w:r>
      <w:r w:rsidRPr="009A2DCD" w:rsidR="006B4C83">
        <w:rPr>
          <w:sz w:val="24"/>
          <w:szCs w:val="24"/>
        </w:rPr>
        <w:t xml:space="preserve">would </w:t>
      </w:r>
      <w:r w:rsidRPr="009A2DCD">
        <w:rPr>
          <w:sz w:val="24"/>
          <w:szCs w:val="24"/>
        </w:rPr>
        <w:t>be collected by grantees as part of their routine administrative records</w:t>
      </w:r>
      <w:r w:rsidRPr="009A2DCD" w:rsidR="002E4EDA">
        <w:rPr>
          <w:sz w:val="24"/>
          <w:szCs w:val="24"/>
        </w:rPr>
        <w:t xml:space="preserve"> </w:t>
      </w:r>
      <w:r w:rsidRPr="009A2DCD">
        <w:rPr>
          <w:sz w:val="24"/>
          <w:szCs w:val="24"/>
        </w:rPr>
        <w:t>(e.g., numbers of publications, numbers of participants</w:t>
      </w:r>
      <w:r w:rsidRPr="009A2DCD" w:rsidR="006B7F0D">
        <w:rPr>
          <w:sz w:val="24"/>
          <w:szCs w:val="24"/>
        </w:rPr>
        <w:t xml:space="preserve"> served</w:t>
      </w:r>
      <w:r w:rsidRPr="009A2DCD">
        <w:rPr>
          <w:sz w:val="24"/>
          <w:szCs w:val="24"/>
        </w:rPr>
        <w:t xml:space="preserve">, </w:t>
      </w:r>
      <w:r w:rsidRPr="009A2DCD" w:rsidR="008E5D91">
        <w:rPr>
          <w:sz w:val="24"/>
          <w:szCs w:val="24"/>
        </w:rPr>
        <w:t>and attendance</w:t>
      </w:r>
      <w:r w:rsidRPr="009A2DCD" w:rsidR="006B4C83">
        <w:rPr>
          <w:sz w:val="24"/>
          <w:szCs w:val="24"/>
        </w:rPr>
        <w:t xml:space="preserve"> at program sessions</w:t>
      </w:r>
      <w:r w:rsidRPr="009A2DCD">
        <w:rPr>
          <w:sz w:val="24"/>
          <w:szCs w:val="24"/>
        </w:rPr>
        <w:t>)</w:t>
      </w:r>
      <w:r w:rsidRPr="009A2DCD" w:rsidR="008E5D91">
        <w:rPr>
          <w:sz w:val="24"/>
          <w:szCs w:val="24"/>
        </w:rPr>
        <w:t xml:space="preserve">. Please </w:t>
      </w:r>
      <w:r w:rsidRPr="009A2DCD" w:rsidR="006B4C83">
        <w:rPr>
          <w:sz w:val="24"/>
          <w:szCs w:val="24"/>
        </w:rPr>
        <w:t xml:space="preserve">see </w:t>
      </w:r>
      <w:r w:rsidRPr="009A2DCD" w:rsidR="006B4C83">
        <w:rPr>
          <w:b/>
          <w:bCs/>
          <w:i/>
          <w:iCs/>
          <w:sz w:val="24"/>
          <w:szCs w:val="24"/>
        </w:rPr>
        <w:t>Exhibit 2</w:t>
      </w:r>
      <w:r w:rsidRPr="009A2DCD" w:rsidR="006B4C83">
        <w:rPr>
          <w:sz w:val="24"/>
          <w:szCs w:val="24"/>
        </w:rPr>
        <w:t xml:space="preserve"> for data sources for each performance measure</w:t>
      </w:r>
      <w:r w:rsidRPr="009A2DCD">
        <w:rPr>
          <w:sz w:val="24"/>
          <w:szCs w:val="24"/>
        </w:rPr>
        <w:t>.</w:t>
      </w:r>
      <w:r w:rsidRPr="009A2DCD" w:rsidR="0098755F">
        <w:rPr>
          <w:sz w:val="24"/>
          <w:szCs w:val="24"/>
        </w:rPr>
        <w:t xml:space="preserve"> </w:t>
      </w:r>
    </w:p>
    <w:p w:rsidR="00E05CE7" w:rsidRPr="009A2DCD" w:rsidP="00555EB2" w14:paraId="753A0C6B" w14:textId="77777777">
      <w:pPr>
        <w:pStyle w:val="bodytext-gph"/>
        <w:spacing w:after="40" w:line="240" w:lineRule="auto"/>
        <w:ind w:left="0"/>
        <w:rPr>
          <w:sz w:val="24"/>
          <w:szCs w:val="24"/>
        </w:rPr>
      </w:pPr>
    </w:p>
    <w:p w:rsidR="00555EB2" w:rsidRPr="004470A8" w:rsidP="004470A8" w14:paraId="19596A01" w14:textId="35AD4413">
      <w:pPr>
        <w:pStyle w:val="OMBheading-2"/>
      </w:pPr>
      <w:bookmarkStart w:id="5" w:name="_Toc225240682"/>
      <w:r w:rsidRPr="009A2DCD">
        <w:t>Impact on Small Businesses</w:t>
      </w:r>
      <w:r w:rsidRPr="009A2DCD" w:rsidR="00426707">
        <w:t xml:space="preserve"> or Other Small Entities</w:t>
      </w:r>
      <w:bookmarkEnd w:id="5"/>
    </w:p>
    <w:p w:rsidR="00555EB2" w:rsidRPr="009A2DCD" w:rsidP="00016859" w14:paraId="5AB1942D" w14:textId="7B2BF372">
      <w:pPr>
        <w:spacing w:after="40"/>
      </w:pPr>
      <w:r w:rsidRPr="009A2DCD">
        <w:t>The only respondents are the TPP grantees</w:t>
      </w:r>
      <w:r w:rsidRPr="009A2DCD" w:rsidR="0034073D">
        <w:t>; some small organizations</w:t>
      </w:r>
      <w:r w:rsidR="00DF29A9">
        <w:t xml:space="preserve"> </w:t>
      </w:r>
      <w:r w:rsidR="00411AD8">
        <w:t xml:space="preserve">receive grants and </w:t>
      </w:r>
      <w:r w:rsidRPr="009A2DCD" w:rsidR="0034073D">
        <w:t>therefore collect this data. The information requested has been held to the absolute minimum required.</w:t>
      </w:r>
    </w:p>
    <w:p w:rsidR="0034073D" w:rsidRPr="009A2DCD" w:rsidP="00016859" w14:paraId="23101E4D" w14:textId="77777777">
      <w:pPr>
        <w:spacing w:after="40"/>
        <w:rPr>
          <w:b/>
          <w:bCs/>
        </w:rPr>
      </w:pPr>
    </w:p>
    <w:p w:rsidR="00555EB2" w:rsidRPr="004470A8" w:rsidP="004470A8" w14:paraId="18D4A82F" w14:textId="167AABAC">
      <w:pPr>
        <w:pStyle w:val="OMBheading-2"/>
      </w:pPr>
      <w:bookmarkStart w:id="6" w:name="_Toc225240683"/>
      <w:r w:rsidRPr="009A2DCD">
        <w:t>Consequences of Collecting the Information</w:t>
      </w:r>
      <w:r w:rsidRPr="009A2DCD" w:rsidR="000C42BB">
        <w:t xml:space="preserve"> Less Frequently</w:t>
      </w:r>
      <w:bookmarkEnd w:id="6"/>
      <w:r w:rsidRPr="009A2DCD" w:rsidR="000C42BB">
        <w:t xml:space="preserve"> </w:t>
      </w:r>
    </w:p>
    <w:p w:rsidR="0099114C" w:rsidRPr="009A2DCD" w:rsidP="00555EB2" w14:paraId="2E97939A" w14:textId="77777777">
      <w:pPr>
        <w:keepNext/>
        <w:keepLines/>
        <w:spacing w:after="40"/>
      </w:pPr>
    </w:p>
    <w:p w:rsidR="00DF29A9" w:rsidRPr="009A2DCD" w:rsidP="00DF29A9" w14:paraId="1FCE8132" w14:textId="5791F822">
      <w:pPr>
        <w:keepNext/>
        <w:keepLines/>
        <w:spacing w:after="40"/>
      </w:pPr>
      <w:r w:rsidRPr="009A2DCD">
        <w:t xml:space="preserve">OPA, to better monitor </w:t>
      </w:r>
      <w:r w:rsidRPr="009A2DCD" w:rsidR="000715F6">
        <w:t xml:space="preserve">the complex </w:t>
      </w:r>
      <w:r w:rsidRPr="009A2DCD" w:rsidR="00F538F8">
        <w:t xml:space="preserve">TPP grant </w:t>
      </w:r>
      <w:r w:rsidRPr="009A2DCD" w:rsidR="00DD5760">
        <w:t>projects</w:t>
      </w:r>
      <w:r w:rsidR="009F3D8F">
        <w:t>,</w:t>
      </w:r>
      <w:r w:rsidRPr="009A2DCD">
        <w:t xml:space="preserve"> collects the</w:t>
      </w:r>
      <w:r w:rsidRPr="009A2DCD" w:rsidR="0099114C">
        <w:t xml:space="preserve"> </w:t>
      </w:r>
      <w:r>
        <w:t xml:space="preserve">TPP performance measures </w:t>
      </w:r>
      <w:r w:rsidRPr="009A2DCD" w:rsidR="0099114C">
        <w:t xml:space="preserve">data twice each year. </w:t>
      </w:r>
      <w:r w:rsidRPr="009A2DCD">
        <w:t>Since the inception of the TPP program, the program office has collected TPP performance measures semi-annually, and OMB has previously approved this frequency of data collection (OMB control numbers 0990-0392</w:t>
      </w:r>
      <w:r>
        <w:t>,</w:t>
      </w:r>
      <w:r w:rsidRPr="009A2DCD">
        <w:t xml:space="preserve"> 0990-0438</w:t>
      </w:r>
      <w:r>
        <w:t xml:space="preserve"> and 0937-0213</w:t>
      </w:r>
      <w:r w:rsidRPr="009A2DCD">
        <w:t>). In addition, stated in the Notice of Funding Opportunit</w:t>
      </w:r>
      <w:r w:rsidR="00C54D18">
        <w:t>ies</w:t>
      </w:r>
      <w:r w:rsidRPr="009A2DCD">
        <w:t xml:space="preserve"> (NOFO)</w:t>
      </w:r>
      <w:r w:rsidR="00C54D18">
        <w:t>, OPA expects TPP grantees to report performance measures to us twice per year</w:t>
      </w:r>
      <w:r w:rsidRPr="009A2DCD">
        <w:t xml:space="preserve">. </w:t>
      </w:r>
    </w:p>
    <w:p w:rsidR="00DF29A9" w:rsidRPr="009A2DCD" w:rsidP="00DF29A9" w14:paraId="503F18AE" w14:textId="77777777">
      <w:pPr>
        <w:keepNext/>
        <w:keepLines/>
        <w:spacing w:after="40"/>
      </w:pPr>
    </w:p>
    <w:p w:rsidR="00BE5747" w:rsidP="00555EB2" w14:paraId="3144DFA7" w14:textId="1FA2A9EC">
      <w:pPr>
        <w:keepNext/>
        <w:keepLines/>
        <w:spacing w:after="40"/>
      </w:pPr>
      <w:r w:rsidRPr="009A2DCD">
        <w:t xml:space="preserve">The </w:t>
      </w:r>
      <w:r w:rsidRPr="009A2DCD" w:rsidR="000715F6">
        <w:t>semi-annual data collection</w:t>
      </w:r>
      <w:r w:rsidRPr="009A2DCD">
        <w:t xml:space="preserve"> allows federal staff</w:t>
      </w:r>
      <w:r w:rsidRPr="009A2DCD" w:rsidR="00DD5760">
        <w:t xml:space="preserve"> </w:t>
      </w:r>
      <w:r w:rsidRPr="009A2DCD">
        <w:t xml:space="preserve">monitoring grants </w:t>
      </w:r>
      <w:r w:rsidRPr="009A2DCD" w:rsidR="00DD5760">
        <w:t>to provide data-driven feedback to grantees</w:t>
      </w:r>
      <w:r w:rsidRPr="009A2DCD">
        <w:t xml:space="preserve">. In addition, the </w:t>
      </w:r>
      <w:r w:rsidRPr="009A2DCD" w:rsidR="00DD5760">
        <w:t xml:space="preserve">mid-year aggregate data </w:t>
      </w:r>
      <w:r w:rsidRPr="009A2DCD">
        <w:t xml:space="preserve">allows staff </w:t>
      </w:r>
      <w:r w:rsidRPr="009A2DCD" w:rsidR="00DD5760">
        <w:t>to assess the performance of the grant program as a whole</w:t>
      </w:r>
      <w:r w:rsidRPr="009A2DCD">
        <w:t xml:space="preserve"> and to plan for technical assistance and training needs of grantees</w:t>
      </w:r>
      <w:r w:rsidRPr="009A2DCD" w:rsidR="00DD5760">
        <w:t>.</w:t>
      </w:r>
    </w:p>
    <w:p w:rsidR="00DF29A9" w:rsidP="00555EB2" w14:paraId="2257D210" w14:textId="77777777">
      <w:pPr>
        <w:keepNext/>
        <w:keepLines/>
        <w:spacing w:after="40"/>
      </w:pPr>
    </w:p>
    <w:p w:rsidR="00DF29A9" w:rsidRPr="009A2DCD" w:rsidP="00555EB2" w14:paraId="7AA8D5BC" w14:textId="27F6AE73">
      <w:pPr>
        <w:keepNext/>
        <w:keepLines/>
        <w:spacing w:after="40"/>
      </w:pPr>
      <w:r w:rsidRPr="009A2DCD">
        <w:t xml:space="preserve">GPRAMA requires that government agencies report on their performance measures annually. Therefore, it is essential that grantees report on these performance measures at least annually to OPA.  </w:t>
      </w:r>
    </w:p>
    <w:p w:rsidR="00555EB2" w:rsidRPr="009A2DCD" w:rsidP="00555EB2" w14:paraId="3A44D592" w14:textId="77777777">
      <w:pPr>
        <w:spacing w:after="40"/>
        <w:rPr>
          <w:b/>
          <w:bCs/>
        </w:rPr>
      </w:pPr>
    </w:p>
    <w:p w:rsidR="00BE5747" w:rsidRPr="009A2DCD" w:rsidP="009C53DB" w14:paraId="7DC21BF3" w14:textId="5304DB95">
      <w:pPr>
        <w:pStyle w:val="OMBheading-2"/>
      </w:pPr>
      <w:bookmarkStart w:id="7" w:name="_Toc225240684"/>
      <w:r w:rsidRPr="009A2DCD">
        <w:t xml:space="preserve">Special Circumstances </w:t>
      </w:r>
      <w:r w:rsidRPr="009A2DCD" w:rsidR="000C42BB">
        <w:t>Relating to the Guidelines of 5 CFR 1320.5</w:t>
      </w:r>
      <w:bookmarkEnd w:id="7"/>
    </w:p>
    <w:p w:rsidR="00555EB2" w:rsidRPr="009A2DCD" w:rsidP="00555EB2" w14:paraId="1AB73849" w14:textId="77777777">
      <w:pPr>
        <w:spacing w:after="40"/>
      </w:pPr>
    </w:p>
    <w:p w:rsidR="00555EB2" w:rsidRPr="009A2DCD" w:rsidP="00555EB2" w14:paraId="7A81BF11" w14:textId="6C4E1628">
      <w:pPr>
        <w:widowControl/>
        <w:tabs>
          <w:tab w:val="left" w:pos="360"/>
        </w:tabs>
        <w:spacing w:after="40"/>
        <w:ind w:left="360" w:hanging="360"/>
        <w:rPr>
          <w:bCs/>
        </w:rPr>
      </w:pPr>
      <w:r w:rsidRPr="009A2DCD">
        <w:rPr>
          <w:bCs/>
        </w:rPr>
        <w:t>The Information Collection Request fully complies with regulation 5 CFR 1320.5.</w:t>
      </w:r>
    </w:p>
    <w:p w:rsidR="00C342FD" w:rsidRPr="009A2DCD" w:rsidP="00555EB2" w14:paraId="7DFCAD8C" w14:textId="77777777">
      <w:pPr>
        <w:widowControl/>
        <w:tabs>
          <w:tab w:val="left" w:pos="360"/>
        </w:tabs>
        <w:spacing w:after="40"/>
        <w:ind w:left="360" w:hanging="360"/>
        <w:rPr>
          <w:b/>
          <w:bCs/>
        </w:rPr>
      </w:pPr>
    </w:p>
    <w:p w:rsidR="00BE5747" w:rsidRPr="009A2DCD" w:rsidP="009C53DB" w14:paraId="5E8BD9A6" w14:textId="5A8A15B5">
      <w:pPr>
        <w:pStyle w:val="OMBheading-2"/>
      </w:pPr>
      <w:bookmarkStart w:id="8" w:name="_Toc225240685"/>
      <w:r w:rsidRPr="009A2DCD">
        <w:t xml:space="preserve">Comments in Response to the </w:t>
      </w:r>
      <w:r w:rsidRPr="009A2DCD" w:rsidR="00DD5760">
        <w:t xml:space="preserve">Federal Register </w:t>
      </w:r>
      <w:r w:rsidRPr="009A2DCD">
        <w:t>Notice/Outside Consultation</w:t>
      </w:r>
      <w:bookmarkEnd w:id="8"/>
      <w:r w:rsidRPr="009A2DCD">
        <w:t xml:space="preserve"> </w:t>
      </w:r>
    </w:p>
    <w:p w:rsidR="00555EB2" w:rsidRPr="009A2DCD" w:rsidP="00555EB2" w14:paraId="3629AA6B" w14:textId="77777777">
      <w:pPr>
        <w:pStyle w:val="OMBbodytext"/>
        <w:spacing w:after="40"/>
      </w:pPr>
    </w:p>
    <w:p w:rsidR="00555EB2" w:rsidRPr="009A2DCD" w:rsidP="00555EB2" w14:paraId="777BA109" w14:textId="40463D0C">
      <w:pPr>
        <w:pStyle w:val="OMBbodytext"/>
        <w:spacing w:after="40"/>
      </w:pPr>
      <w:r w:rsidRPr="00404994">
        <w:t xml:space="preserve">A 60-day notice was published in the </w:t>
      </w:r>
      <w:r w:rsidRPr="00404994">
        <w:rPr>
          <w:i/>
          <w:iCs/>
        </w:rPr>
        <w:t>Federal Register</w:t>
      </w:r>
      <w:r w:rsidRPr="00404994" w:rsidR="003B5234">
        <w:rPr>
          <w:i/>
          <w:iCs/>
        </w:rPr>
        <w:t>,</w:t>
      </w:r>
      <w:r w:rsidRPr="00404994">
        <w:t xml:space="preserve"> </w:t>
      </w:r>
      <w:r w:rsidRPr="00404994" w:rsidR="00752CC3">
        <w:t xml:space="preserve">Vol. </w:t>
      </w:r>
      <w:r w:rsidRPr="00404994" w:rsidR="00085EBA">
        <w:t>91</w:t>
      </w:r>
      <w:r w:rsidRPr="00404994" w:rsidR="00752CC3">
        <w:t xml:space="preserve">, No. </w:t>
      </w:r>
      <w:r w:rsidRPr="00404994" w:rsidR="00085EBA">
        <w:t>14</w:t>
      </w:r>
      <w:r w:rsidRPr="00404994" w:rsidR="00752CC3">
        <w:t xml:space="preserve">, </w:t>
      </w:r>
      <w:r w:rsidRPr="00404994" w:rsidR="003B5234">
        <w:t xml:space="preserve">page </w:t>
      </w:r>
      <w:r w:rsidRPr="00404994" w:rsidR="00085EBA">
        <w:t>2786</w:t>
      </w:r>
      <w:r w:rsidRPr="00404994" w:rsidR="00752CC3">
        <w:t xml:space="preserve">, on </w:t>
      </w:r>
      <w:r w:rsidRPr="00404994" w:rsidR="00085EBA">
        <w:t>January 22, 2026</w:t>
      </w:r>
      <w:r w:rsidRPr="00404994" w:rsidR="003B6899">
        <w:t xml:space="preserve"> (Attachment </w:t>
      </w:r>
      <w:r w:rsidRPr="00404994" w:rsidR="008908E3">
        <w:t>G</w:t>
      </w:r>
      <w:r w:rsidRPr="00404994" w:rsidR="003B6899">
        <w:t>)</w:t>
      </w:r>
      <w:r w:rsidRPr="00404994" w:rsidR="004253BA">
        <w:t xml:space="preserve">. No public comments were </w:t>
      </w:r>
      <w:r w:rsidRPr="00404994" w:rsidR="00A06D70">
        <w:t>received</w:t>
      </w:r>
      <w:r w:rsidRPr="00404994" w:rsidR="002760BF">
        <w:t>.</w:t>
      </w:r>
      <w:r w:rsidRPr="00743C12">
        <w:t xml:space="preserve"> </w:t>
      </w:r>
    </w:p>
    <w:p w:rsidR="00E1510D" w:rsidRPr="009A2DCD" w:rsidP="00555EB2" w14:paraId="5CDDD220" w14:textId="77777777">
      <w:pPr>
        <w:pStyle w:val="OMBbodytext"/>
        <w:spacing w:after="40"/>
      </w:pPr>
    </w:p>
    <w:p w:rsidR="003B5234" w:rsidRPr="009A2DCD" w:rsidP="003B5234" w14:paraId="5328F9AD" w14:textId="6239E59C">
      <w:pPr>
        <w:spacing w:after="40"/>
      </w:pPr>
      <w:r w:rsidRPr="009A2DCD">
        <w:t>OPA</w:t>
      </w:r>
      <w:r w:rsidRPr="009A2DCD" w:rsidR="001A25AF">
        <w:t xml:space="preserve"> consulted with s</w:t>
      </w:r>
      <w:r w:rsidRPr="009A2DCD" w:rsidR="00E1510D">
        <w:t xml:space="preserve">taff </w:t>
      </w:r>
      <w:r w:rsidRPr="009A2DCD" w:rsidR="001A25AF">
        <w:t xml:space="preserve">of </w:t>
      </w:r>
      <w:r w:rsidRPr="009A2DCD" w:rsidR="00202981">
        <w:t>WRMA</w:t>
      </w:r>
      <w:r w:rsidRPr="009A2DCD" w:rsidR="0044268E">
        <w:t xml:space="preserve"> and Mathematica</w:t>
      </w:r>
      <w:r w:rsidRPr="009A2DCD" w:rsidR="001A25AF">
        <w:t>,</w:t>
      </w:r>
      <w:r w:rsidRPr="009A2DCD" w:rsidR="002F449C">
        <w:t xml:space="preserve"> which w</w:t>
      </w:r>
      <w:r w:rsidRPr="009A2DCD" w:rsidR="0044268E">
        <w:t>ere</w:t>
      </w:r>
      <w:r w:rsidRPr="009A2DCD" w:rsidR="001A25AF">
        <w:t xml:space="preserve"> the contractor</w:t>
      </w:r>
      <w:r w:rsidRPr="009A2DCD" w:rsidR="0044268E">
        <w:t>s</w:t>
      </w:r>
      <w:r w:rsidRPr="009A2DCD" w:rsidR="001A25AF">
        <w:t xml:space="preserve"> responsible for </w:t>
      </w:r>
      <w:r w:rsidRPr="009A2DCD">
        <w:t>helping</w:t>
      </w:r>
      <w:r w:rsidRPr="009A2DCD" w:rsidR="002B2F5A">
        <w:t xml:space="preserve"> </w:t>
      </w:r>
      <w:r w:rsidRPr="009A2DCD" w:rsidR="001A25AF">
        <w:t>develop the</w:t>
      </w:r>
      <w:r w:rsidR="002D5B4D">
        <w:t xml:space="preserve"> current</w:t>
      </w:r>
      <w:r w:rsidRPr="009A2DCD" w:rsidR="002F449C">
        <w:t xml:space="preserve"> </w:t>
      </w:r>
      <w:r w:rsidRPr="009A2DCD">
        <w:t xml:space="preserve">TPP </w:t>
      </w:r>
      <w:r w:rsidRPr="009A2DCD" w:rsidR="001A25AF">
        <w:t>performance measure</w:t>
      </w:r>
      <w:r w:rsidR="00DD5760">
        <w:t>s data</w:t>
      </w:r>
      <w:r w:rsidRPr="009A2DCD" w:rsidR="001A25AF">
        <w:t xml:space="preserve"> reporting system</w:t>
      </w:r>
      <w:r w:rsidR="00DD5760">
        <w:t xml:space="preserve">. </w:t>
      </w:r>
      <w:r w:rsidRPr="009A2DCD" w:rsidR="00DD5760">
        <w:t xml:space="preserve">Additional measures </w:t>
      </w:r>
      <w:r w:rsidR="002D5B4D">
        <w:t xml:space="preserve">for the current TPP performance measures </w:t>
      </w:r>
      <w:r w:rsidRPr="009A2DCD" w:rsidR="00DD5760">
        <w:t>were developed in consultation with staff within</w:t>
      </w:r>
      <w:r w:rsidR="00DD5760">
        <w:t xml:space="preserve"> </w:t>
      </w:r>
      <w:r w:rsidRPr="009A2DCD" w:rsidR="002D5B4D">
        <w:t>OPA</w:t>
      </w:r>
      <w:r w:rsidR="002D5B4D">
        <w:t>. M</w:t>
      </w:r>
      <w:r w:rsidR="00B14AC0">
        <w:t xml:space="preserve">inor updates </w:t>
      </w:r>
      <w:r w:rsidR="002D5B4D">
        <w:t>for</w:t>
      </w:r>
      <w:r w:rsidR="00B14AC0">
        <w:t xml:space="preserve"> clari</w:t>
      </w:r>
      <w:r w:rsidR="002D5B4D">
        <w:t xml:space="preserve">ty have </w:t>
      </w:r>
      <w:r w:rsidR="002D5B4D">
        <w:t xml:space="preserve">been </w:t>
      </w:r>
      <w:r w:rsidR="00B14AC0">
        <w:t>made</w:t>
      </w:r>
      <w:r w:rsidR="00B14AC0">
        <w:t xml:space="preserve"> to </w:t>
      </w:r>
      <w:r w:rsidR="002D5B4D">
        <w:t>some measures in consultation with TPP program staff within OPA</w:t>
      </w:r>
      <w:r w:rsidR="00264162">
        <w:t>; we have changed “programs proven effective” to “evidence-based programs” throughout the Tier 1/Tier 2 RI form</w:t>
      </w:r>
      <w:r w:rsidRPr="009A2DCD" w:rsidR="00DD5760">
        <w:t>.</w:t>
      </w:r>
    </w:p>
    <w:p w:rsidR="003B5234" w:rsidP="00555EB2" w14:paraId="26D1EEF3" w14:textId="77777777">
      <w:pPr>
        <w:spacing w:after="40"/>
      </w:pPr>
    </w:p>
    <w:p w:rsidR="00E1510D" w:rsidRPr="009A2DCD" w:rsidP="00555EB2" w14:paraId="44D2F934" w14:textId="763727F6">
      <w:pPr>
        <w:spacing w:after="40"/>
      </w:pPr>
      <w:r>
        <w:t>Most</w:t>
      </w:r>
      <w:r w:rsidRPr="009A2DCD" w:rsidR="002F449C">
        <w:t xml:space="preserve"> of the performance measures that are part of this clearance package have been successfully used during the past </w:t>
      </w:r>
      <w:r w:rsidR="00D86918">
        <w:t>1</w:t>
      </w:r>
      <w:r w:rsidR="00B63198">
        <w:t>5</w:t>
      </w:r>
      <w:r w:rsidR="00D86918">
        <w:t xml:space="preserve"> </w:t>
      </w:r>
      <w:r w:rsidRPr="009A2DCD" w:rsidR="00E300C0">
        <w:t xml:space="preserve">years </w:t>
      </w:r>
      <w:r w:rsidRPr="009A2DCD" w:rsidR="007200B6">
        <w:t xml:space="preserve">in </w:t>
      </w:r>
      <w:r>
        <w:t xml:space="preserve">previous TPP </w:t>
      </w:r>
      <w:r w:rsidRPr="009A2DCD" w:rsidR="007200B6">
        <w:t>data collection</w:t>
      </w:r>
      <w:r>
        <w:t>s</w:t>
      </w:r>
      <w:r w:rsidRPr="009A2DCD" w:rsidR="007200B6">
        <w:t xml:space="preserve"> for the Office of Adolescent Health and Administration for Children, Youth and Families Teen Pregnancy Prevention Performance Measure Collection</w:t>
      </w:r>
      <w:r w:rsidRPr="009A2DCD" w:rsidR="002F449C">
        <w:t>.</w:t>
      </w:r>
      <w:r w:rsidRPr="009A2DCD" w:rsidR="00902698">
        <w:t xml:space="preserve"> </w:t>
      </w:r>
      <w:r>
        <w:t xml:space="preserve">Those measures were developed by consulting with a </w:t>
      </w:r>
      <w:r w:rsidRPr="009A2DCD">
        <w:t>panel consisting of experts in the fields of performance measurement, teen pregnancy prevention, and evidence-based practice</w:t>
      </w:r>
      <w:r>
        <w:t>, and ongoing feedback from grantees</w:t>
      </w:r>
      <w:r>
        <w:t xml:space="preserve"> and federal project officers</w:t>
      </w:r>
      <w:r w:rsidRPr="009A2DCD">
        <w:t xml:space="preserve">. </w:t>
      </w:r>
    </w:p>
    <w:p w:rsidR="002B5236" w:rsidRPr="009A2DCD" w:rsidP="00555EB2" w14:paraId="04CEC510" w14:textId="77777777">
      <w:pPr>
        <w:spacing w:after="40"/>
      </w:pPr>
    </w:p>
    <w:p w:rsidR="006C14CB" w:rsidRPr="009A2DCD" w:rsidP="00555EB2" w14:paraId="1693E9DD" w14:textId="77777777">
      <w:pPr>
        <w:spacing w:after="40"/>
      </w:pPr>
      <w:r w:rsidRPr="009A2DCD">
        <w:rPr>
          <w:b/>
          <w:bCs/>
        </w:rPr>
        <w:t>WRMA and Mathematica Contractors</w:t>
      </w:r>
    </w:p>
    <w:p w:rsidR="006C14CB" w:rsidRPr="009A2DCD" w:rsidP="00555EB2" w14:paraId="437F7C3B" w14:textId="77777777">
      <w:pPr>
        <w:spacing w:after="40"/>
      </w:pPr>
      <w:r w:rsidRPr="009A2DCD">
        <w:t>Gila Shusterman, Director</w:t>
      </w:r>
    </w:p>
    <w:p w:rsidR="006C14CB" w:rsidRPr="009A2DCD" w:rsidP="00555EB2" w14:paraId="0CCDBF13" w14:textId="77777777">
      <w:pPr>
        <w:spacing w:after="40"/>
      </w:pPr>
      <w:r w:rsidRPr="009A2DCD">
        <w:t>WRMA, Inc., a TriMetrix Company</w:t>
      </w:r>
    </w:p>
    <w:p w:rsidR="008D60DB" w:rsidRPr="00EE25BA" w:rsidP="00500495" w14:paraId="06A3B661" w14:textId="672837B6">
      <w:r w:rsidRPr="009A2DCD">
        <w:rPr>
          <w:shd w:val="clear" w:color="auto" w:fill="FFFFFF"/>
        </w:rPr>
        <w:t>12300 Twinbrook Parkway, Suite 305</w:t>
      </w:r>
      <w:r w:rsidRPr="009A2DCD">
        <w:br/>
      </w:r>
      <w:r w:rsidRPr="009A2DCD">
        <w:rPr>
          <w:shd w:val="clear" w:color="auto" w:fill="FFFFFF"/>
        </w:rPr>
        <w:t>Rockville, MD 20852</w:t>
      </w:r>
      <w:r w:rsidRPr="009A2DCD">
        <w:br/>
      </w:r>
      <w:r w:rsidRPr="00EE25BA" w:rsidR="00C317AB">
        <w:t>(703)</w:t>
      </w:r>
      <w:r w:rsidRPr="00EE25BA" w:rsidR="008607EE">
        <w:t xml:space="preserve"> 615-8231</w:t>
      </w:r>
    </w:p>
    <w:p w:rsidR="006C14CB" w:rsidRPr="00AC17E6" w:rsidP="00FB3B1C" w14:paraId="33EEC436" w14:textId="77777777">
      <w:pPr>
        <w:rPr>
          <w:lang w:val="pt-BR"/>
        </w:rPr>
      </w:pPr>
      <w:hyperlink r:id="rId10" w:history="1">
        <w:r w:rsidRPr="00AC17E6">
          <w:rPr>
            <w:rStyle w:val="Hyperlink"/>
            <w:color w:val="auto"/>
            <w:shd w:val="clear" w:color="auto" w:fill="FFFFFF"/>
            <w:lang w:val="pt-BR"/>
          </w:rPr>
          <w:t>gshusterman@wrma.com</w:t>
        </w:r>
      </w:hyperlink>
    </w:p>
    <w:p w:rsidR="006C14CB" w:rsidRPr="00AC17E6" w:rsidP="00555EB2" w14:paraId="69EA22D5" w14:textId="77777777">
      <w:pPr>
        <w:spacing w:after="40"/>
        <w:rPr>
          <w:lang w:val="pt-BR"/>
        </w:rPr>
      </w:pPr>
    </w:p>
    <w:p w:rsidR="006C14CB" w:rsidRPr="00AC17E6" w:rsidP="00245497" w14:paraId="56472FB3" w14:textId="77777777">
      <w:pPr>
        <w:spacing w:after="40"/>
        <w:rPr>
          <w:lang w:val="pt-BR"/>
        </w:rPr>
      </w:pPr>
      <w:r w:rsidRPr="00AC17E6">
        <w:rPr>
          <w:lang w:val="pt-BR"/>
        </w:rPr>
        <w:t>Sunil Leelaram, Director</w:t>
      </w:r>
    </w:p>
    <w:p w:rsidR="006C14CB" w:rsidRPr="009A2DCD" w:rsidP="00245497" w14:paraId="03FDDC91" w14:textId="77777777">
      <w:pPr>
        <w:spacing w:after="40"/>
      </w:pPr>
      <w:r w:rsidRPr="009A2DCD">
        <w:t>WRMA, Inc., a TriMetrix Company</w:t>
      </w:r>
    </w:p>
    <w:p w:rsidR="006C14CB" w:rsidRPr="009A2DCD" w:rsidP="00500495" w14:paraId="3D0367CA" w14:textId="77777777">
      <w:r w:rsidRPr="009A2DCD">
        <w:rPr>
          <w:shd w:val="clear" w:color="auto" w:fill="FFFFFF"/>
        </w:rPr>
        <w:t>12300 Twinbrook Parkway, Suite 305</w:t>
      </w:r>
      <w:r w:rsidRPr="009A2DCD">
        <w:br/>
      </w:r>
      <w:r w:rsidRPr="009A2DCD">
        <w:rPr>
          <w:shd w:val="clear" w:color="auto" w:fill="FFFFFF"/>
        </w:rPr>
        <w:t>Rockville, MD 20852</w:t>
      </w:r>
      <w:r w:rsidRPr="009A2DCD">
        <w:br/>
      </w:r>
      <w:r w:rsidRPr="009A2DCD">
        <w:rPr>
          <w:shd w:val="clear" w:color="auto" w:fill="FFFFFF"/>
        </w:rPr>
        <w:t>(301) 881-2590 x 222</w:t>
      </w:r>
    </w:p>
    <w:p w:rsidR="006C14CB" w:rsidRPr="009A2DCD" w:rsidP="00FB3B1C" w14:paraId="46B1844D" w14:textId="77777777">
      <w:hyperlink r:id="rId11" w:history="1">
        <w:r w:rsidRPr="009A2DCD">
          <w:rPr>
            <w:rStyle w:val="Hyperlink"/>
            <w:color w:val="auto"/>
          </w:rPr>
          <w:t>sleelaram</w:t>
        </w:r>
        <w:r w:rsidRPr="009A2DCD">
          <w:rPr>
            <w:rStyle w:val="Hyperlink"/>
            <w:color w:val="auto"/>
            <w:shd w:val="clear" w:color="auto" w:fill="FFFFFF"/>
          </w:rPr>
          <w:t>@wrma.com</w:t>
        </w:r>
      </w:hyperlink>
    </w:p>
    <w:p w:rsidR="006C14CB" w:rsidRPr="009A2DCD" w:rsidP="00245497" w14:paraId="232D6899" w14:textId="77777777">
      <w:pPr>
        <w:spacing w:after="40"/>
      </w:pPr>
    </w:p>
    <w:p w:rsidR="006C14CB" w:rsidRPr="009A2DCD" w:rsidP="0041541A" w14:paraId="20127B45" w14:textId="77777777">
      <w:pPr>
        <w:spacing w:after="40"/>
      </w:pPr>
      <w:r w:rsidRPr="009A2DCD">
        <w:t>Imogen Fua, Senior Research Manager</w:t>
      </w:r>
    </w:p>
    <w:p w:rsidR="006C14CB" w:rsidRPr="009A2DCD" w:rsidP="0041541A" w14:paraId="000FB6B3" w14:textId="77777777">
      <w:pPr>
        <w:spacing w:after="40"/>
      </w:pPr>
      <w:r w:rsidRPr="009A2DCD">
        <w:t>WRMA, Inc., a TriMetrix Company</w:t>
      </w:r>
    </w:p>
    <w:p w:rsidR="006C14CB" w:rsidRPr="009A2DCD" w:rsidP="0041541A" w14:paraId="75E0A014" w14:textId="77777777">
      <w:pPr>
        <w:spacing w:after="40"/>
      </w:pPr>
      <w:r w:rsidRPr="009A2DCD">
        <w:t>12300 Twinbrook Parkway, Suite 305</w:t>
      </w:r>
    </w:p>
    <w:p w:rsidR="006C14CB" w:rsidRPr="00AC17E6" w:rsidP="00156900" w14:paraId="456A222B" w14:textId="77777777">
      <w:pPr>
        <w:spacing w:after="40"/>
        <w:rPr>
          <w:lang w:val="fr-FR"/>
        </w:rPr>
      </w:pPr>
      <w:r w:rsidRPr="00AC17E6">
        <w:rPr>
          <w:lang w:val="fr-FR"/>
        </w:rPr>
        <w:t>Rockville, MD 20852</w:t>
      </w:r>
    </w:p>
    <w:p w:rsidR="006C14CB" w:rsidRPr="00AC17E6" w:rsidP="0041541A" w14:paraId="13AD9953" w14:textId="7616AA7A">
      <w:pPr>
        <w:spacing w:after="40"/>
        <w:rPr>
          <w:lang w:val="fr-FR"/>
        </w:rPr>
      </w:pPr>
      <w:r>
        <w:rPr>
          <w:lang w:val="fr-FR"/>
        </w:rPr>
        <w:t>(</w:t>
      </w:r>
      <w:r w:rsidRPr="00AC17E6" w:rsidR="00DD5760">
        <w:rPr>
          <w:lang w:val="fr-FR"/>
        </w:rPr>
        <w:t>301</w:t>
      </w:r>
      <w:r>
        <w:rPr>
          <w:lang w:val="fr-FR"/>
        </w:rPr>
        <w:t>)</w:t>
      </w:r>
      <w:r w:rsidRPr="00AC17E6" w:rsidR="00DD5760">
        <w:rPr>
          <w:lang w:val="fr-FR"/>
        </w:rPr>
        <w:t xml:space="preserve"> 881 2590 x 272</w:t>
      </w:r>
    </w:p>
    <w:p w:rsidR="006C14CB" w:rsidRPr="00AC17E6" w:rsidP="00156900" w14:paraId="05DFC67E" w14:textId="77777777">
      <w:pPr>
        <w:spacing w:after="40"/>
        <w:rPr>
          <w:lang w:val="fr-FR"/>
        </w:rPr>
      </w:pPr>
      <w:r w:rsidRPr="00AC17E6">
        <w:rPr>
          <w:lang w:val="fr-FR"/>
        </w:rPr>
        <w:t>ifua@wrma.com</w:t>
      </w:r>
    </w:p>
    <w:p w:rsidR="006C14CB" w:rsidRPr="00AC17E6" w:rsidP="00245497" w14:paraId="74CE923B" w14:textId="77777777">
      <w:pPr>
        <w:spacing w:after="40"/>
        <w:rPr>
          <w:lang w:val="fr-FR"/>
        </w:rPr>
      </w:pPr>
    </w:p>
    <w:p w:rsidR="006C14CB" w:rsidRPr="009A2DCD" w:rsidP="00C01DD4" w14:paraId="33CCE60F" w14:textId="77777777">
      <w:pPr>
        <w:spacing w:after="40"/>
      </w:pPr>
      <w:r w:rsidRPr="009A2DCD">
        <w:t>Kelly Kerstetter, Senior Business Analyst</w:t>
      </w:r>
    </w:p>
    <w:p w:rsidR="006C14CB" w:rsidRPr="009A2DCD" w:rsidP="00C01DD4" w14:paraId="56A29468" w14:textId="77777777">
      <w:pPr>
        <w:spacing w:after="40"/>
      </w:pPr>
      <w:r w:rsidRPr="009A2DCD">
        <w:t>WRMA, Inc., a TriMetrix Company</w:t>
      </w:r>
    </w:p>
    <w:p w:rsidR="006C14CB" w:rsidRPr="009A2DCD" w:rsidP="00C01DD4" w14:paraId="36243425" w14:textId="77777777">
      <w:pPr>
        <w:spacing w:after="40"/>
      </w:pPr>
      <w:r w:rsidRPr="009A2DCD">
        <w:t>12300 Twinbrook Parkway, Suite 305</w:t>
      </w:r>
    </w:p>
    <w:p w:rsidR="006C14CB" w:rsidRPr="009A2DCD" w:rsidP="00C01DD4" w14:paraId="25F14B88" w14:textId="77777777">
      <w:pPr>
        <w:spacing w:after="40"/>
      </w:pPr>
      <w:r w:rsidRPr="009A2DCD">
        <w:t>Rockville MD 20852</w:t>
      </w:r>
    </w:p>
    <w:p w:rsidR="008D60DB" w:rsidP="00245497" w14:paraId="69741D03" w14:textId="77777777">
      <w:pPr>
        <w:spacing w:after="40"/>
      </w:pPr>
      <w:r w:rsidRPr="009A2DCD">
        <w:t>(301) 881-</w:t>
      </w:r>
      <w:r w:rsidRPr="009A2DCD" w:rsidR="006C63DC">
        <w:t>2590 x</w:t>
      </w:r>
      <w:r w:rsidRPr="009A2DCD">
        <w:t xml:space="preserve"> 439 </w:t>
      </w:r>
    </w:p>
    <w:p w:rsidR="006C14CB" w:rsidP="00245497" w14:paraId="34EB5CF3" w14:textId="715BCA7D">
      <w:pPr>
        <w:spacing w:after="40"/>
      </w:pPr>
      <w:r w:rsidRPr="009A2DCD">
        <w:t xml:space="preserve">kkerstetter@wrma.com </w:t>
      </w:r>
    </w:p>
    <w:p w:rsidR="00EC13D7" w:rsidP="00245497" w14:paraId="5DFBD0BD" w14:textId="77777777">
      <w:pPr>
        <w:spacing w:after="40"/>
      </w:pPr>
    </w:p>
    <w:p w:rsidR="00EC13D7" w:rsidRPr="009A2DCD" w:rsidP="00EC13D7" w14:paraId="30C6605B" w14:textId="59EE4593">
      <w:pPr>
        <w:spacing w:after="40"/>
      </w:pPr>
      <w:r>
        <w:t>Haroon Rashid,</w:t>
      </w:r>
      <w:r w:rsidRPr="009A2DCD">
        <w:t xml:space="preserve"> Business Analyst</w:t>
      </w:r>
    </w:p>
    <w:p w:rsidR="00EC13D7" w:rsidRPr="009A2DCD" w:rsidP="00EC13D7" w14:paraId="456B56AE" w14:textId="77777777">
      <w:pPr>
        <w:spacing w:after="40"/>
      </w:pPr>
      <w:r w:rsidRPr="009A2DCD">
        <w:t>WRMA, Inc., a TriMetrix Company</w:t>
      </w:r>
    </w:p>
    <w:p w:rsidR="00EC13D7" w:rsidRPr="009A2DCD" w:rsidP="00EC13D7" w14:paraId="41E91FF6" w14:textId="77777777">
      <w:pPr>
        <w:spacing w:after="40"/>
      </w:pPr>
      <w:r w:rsidRPr="009A2DCD">
        <w:t>12300 Twinbrook Parkway, Suite 305</w:t>
      </w:r>
    </w:p>
    <w:p w:rsidR="00EC13D7" w:rsidRPr="00604ADD" w:rsidP="00EC13D7" w14:paraId="277BF689" w14:textId="4669559C">
      <w:pPr>
        <w:spacing w:after="40"/>
      </w:pPr>
      <w:r w:rsidRPr="00604ADD">
        <w:t>Rockville</w:t>
      </w:r>
      <w:r w:rsidRPr="00604ADD" w:rsidR="00404F44">
        <w:t>,</w:t>
      </w:r>
      <w:r w:rsidRPr="00604ADD">
        <w:t xml:space="preserve"> MD 20852</w:t>
      </w:r>
    </w:p>
    <w:p w:rsidR="001A7F20" w:rsidRPr="00604ADD" w:rsidP="00245497" w14:paraId="638C128A" w14:textId="7EF7E201">
      <w:pPr>
        <w:spacing w:after="40"/>
      </w:pPr>
      <w:r w:rsidRPr="00604ADD">
        <w:t xml:space="preserve">(301) 881-2590 </w:t>
      </w:r>
      <w:r w:rsidRPr="00604ADD" w:rsidR="00181F9C">
        <w:br/>
      </w:r>
      <w:r w:rsidRPr="00604ADD">
        <w:t xml:space="preserve">hrashid@wrma.com </w:t>
      </w:r>
    </w:p>
    <w:p w:rsidR="00EE25BA" w:rsidRPr="00604ADD" w:rsidP="00245497" w14:paraId="010C0EA6" w14:textId="77777777">
      <w:pPr>
        <w:spacing w:after="40"/>
      </w:pPr>
    </w:p>
    <w:p w:rsidR="006C14CB" w:rsidRPr="009A2DCD" w:rsidP="00245497" w14:paraId="70FC00EF" w14:textId="77777777">
      <w:pPr>
        <w:spacing w:after="40"/>
      </w:pPr>
      <w:r w:rsidRPr="009A2DCD">
        <w:t>Lauren Murphy, Researcher</w:t>
      </w:r>
    </w:p>
    <w:p w:rsidR="006C14CB" w:rsidRPr="009A2DCD" w:rsidP="00245497" w14:paraId="0EBCCF88" w14:textId="77777777">
      <w:pPr>
        <w:spacing w:after="40"/>
      </w:pPr>
      <w:r w:rsidRPr="009A2DCD">
        <w:t>Mathematica</w:t>
      </w:r>
    </w:p>
    <w:p w:rsidR="006C14CB" w:rsidRPr="009A2DCD" w:rsidP="00245497" w14:paraId="7C724DDF" w14:textId="04072DAA">
      <w:pPr>
        <w:spacing w:after="40"/>
      </w:pPr>
      <w:r w:rsidRPr="009A2DCD">
        <w:t>P.O. Box 2393</w:t>
      </w:r>
      <w:r w:rsidRPr="009A2DCD">
        <w:br/>
        <w:t>Princeton, NJ 08543-2393</w:t>
      </w:r>
      <w:r w:rsidRPr="009A2DCD">
        <w:br/>
      </w:r>
      <w:r w:rsidR="00EE25BA">
        <w:t>(</w:t>
      </w:r>
      <w:r w:rsidRPr="009A2DCD">
        <w:t>60</w:t>
      </w:r>
      <w:r w:rsidR="00EE25BA">
        <w:t xml:space="preserve">9) </w:t>
      </w:r>
      <w:r w:rsidRPr="009A2DCD">
        <w:t>275-2201</w:t>
      </w:r>
      <w:hyperlink r:id="rId12" w:history="1">
        <w:r w:rsidRPr="00EE25BA">
          <w:br/>
        </w:r>
        <w:r w:rsidRPr="00EE25BA">
          <w:rPr>
            <w:rStyle w:val="Hyperlink"/>
            <w:color w:val="auto"/>
            <w:u w:val="none"/>
          </w:rPr>
          <w:t>lmurphy@mathematica.org</w:t>
        </w:r>
        <w:r w:rsidRPr="00EE25BA">
          <w:br/>
        </w:r>
      </w:hyperlink>
      <w:r w:rsidRPr="00EE25BA" w:rsidR="00EE25BA">
        <w:t xml:space="preserve"> </w:t>
      </w:r>
    </w:p>
    <w:p w:rsidR="006C14CB" w:rsidRPr="009A2DCD" w:rsidP="00245497" w14:paraId="4822706D" w14:textId="77777777">
      <w:pPr>
        <w:spacing w:after="40"/>
      </w:pPr>
    </w:p>
    <w:p w:rsidR="006C14CB" w:rsidRPr="009A2DCD" w:rsidP="00245497" w14:paraId="6BB602F9" w14:textId="609159E6">
      <w:pPr>
        <w:spacing w:after="40"/>
      </w:pPr>
      <w:r w:rsidRPr="009A2DCD">
        <w:rPr>
          <w:b/>
          <w:bCs/>
        </w:rPr>
        <w:t>Federal Staff</w:t>
      </w:r>
    </w:p>
    <w:p w:rsidR="006C14CB" w:rsidRPr="009A2DCD" w:rsidP="00245497" w14:paraId="409D0DA8" w14:textId="097FA7B4">
      <w:pPr>
        <w:spacing w:after="40"/>
      </w:pPr>
      <w:r w:rsidRPr="009A2DCD">
        <w:t>Jaclyn Ruiz</w:t>
      </w:r>
      <w:r w:rsidRPr="009A2DCD" w:rsidR="00752CC3">
        <w:t>, Office of Population Affairs</w:t>
      </w:r>
    </w:p>
    <w:p w:rsidR="00952DB7" w:rsidRPr="00EE25BA" w:rsidP="00952DB7" w14:paraId="032EC52A" w14:textId="77777777">
      <w:pPr>
        <w:pStyle w:val="OMBbodytext"/>
        <w:spacing w:after="0"/>
        <w:rPr>
          <w:lang w:val="fr-FR"/>
        </w:rPr>
      </w:pPr>
      <w:r w:rsidRPr="009A2DCD">
        <w:t>1101 Wootton Parkway, Suite 200</w:t>
      </w:r>
      <w:r w:rsidRPr="00EE25BA">
        <w:rPr>
          <w:lang w:val="fr-FR"/>
        </w:rPr>
        <w:br/>
        <w:t>Rockville, MD 20852</w:t>
      </w:r>
    </w:p>
    <w:p w:rsidR="00EE25BA" w:rsidRPr="00EE25BA" w:rsidP="00EE25BA" w14:paraId="586D090A" w14:textId="77777777">
      <w:pPr>
        <w:spacing w:after="40"/>
        <w:rPr>
          <w:rStyle w:val="Hyperlink"/>
          <w:color w:val="auto"/>
          <w:lang w:val="fr-FR"/>
        </w:rPr>
      </w:pPr>
      <w:hyperlink r:id="rId13" w:history="1">
        <w:r w:rsidRPr="00EE25BA">
          <w:rPr>
            <w:rStyle w:val="Hyperlink"/>
            <w:color w:val="auto"/>
            <w:lang w:val="fr-FR"/>
          </w:rPr>
          <w:t>Jaclyn.Ruiz@hhs.gov</w:t>
        </w:r>
      </w:hyperlink>
    </w:p>
    <w:p w:rsidR="006C14CB" w:rsidRPr="00EE25BA" w:rsidP="00245497" w14:paraId="1DE1F8B6" w14:textId="77777777">
      <w:pPr>
        <w:spacing w:after="40"/>
        <w:rPr>
          <w:lang w:val="fr-FR"/>
        </w:rPr>
      </w:pPr>
    </w:p>
    <w:p w:rsidR="002B5236" w:rsidRPr="00EE25BA" w:rsidP="00555EB2" w14:paraId="6B0D22F1" w14:textId="77777777">
      <w:pPr>
        <w:spacing w:after="40"/>
        <w:rPr>
          <w:lang w:val="fr-FR"/>
        </w:rPr>
      </w:pPr>
    </w:p>
    <w:p w:rsidR="00BE5747" w:rsidRPr="009A2DCD" w:rsidP="009C53DB" w14:paraId="5E4C0068" w14:textId="27C6BE75">
      <w:pPr>
        <w:pStyle w:val="OMBheading-2"/>
      </w:pPr>
      <w:bookmarkStart w:id="9" w:name="_Toc225240686"/>
      <w:r w:rsidRPr="009A2DCD">
        <w:t>Explanation of any Payment/Gift to Respondents</w:t>
      </w:r>
      <w:bookmarkEnd w:id="9"/>
    </w:p>
    <w:p w:rsidR="00BE5747" w:rsidRPr="009A2DCD" w:rsidP="00E300C0" w14:paraId="24B88FC4" w14:textId="07E04E5D">
      <w:pPr>
        <w:keepNext/>
        <w:keepLines/>
        <w:widowControl/>
        <w:spacing w:after="240"/>
      </w:pPr>
      <w:r w:rsidRPr="009A2DCD">
        <w:t>There</w:t>
      </w:r>
      <w:r w:rsidRPr="009A2DCD" w:rsidR="00062A65">
        <w:t xml:space="preserve"> are</w:t>
      </w:r>
      <w:r w:rsidRPr="009A2DCD">
        <w:t xml:space="preserve"> no payments to</w:t>
      </w:r>
      <w:r w:rsidRPr="009A2DCD" w:rsidR="00602627">
        <w:t xml:space="preserve"> staff of grantee organizations completing the performance measure reporting form</w:t>
      </w:r>
      <w:r w:rsidRPr="009A2DCD" w:rsidR="00A06D70">
        <w:t>s</w:t>
      </w:r>
      <w:r w:rsidRPr="009A2DCD" w:rsidR="00602627">
        <w:t>.</w:t>
      </w:r>
      <w:r w:rsidRPr="009A2DCD" w:rsidR="0098755F">
        <w:t xml:space="preserve"> </w:t>
      </w:r>
    </w:p>
    <w:p w:rsidR="00BE5747" w:rsidRPr="009A2DCD" w:rsidP="009C53DB" w14:paraId="577020F4" w14:textId="607B24F8">
      <w:pPr>
        <w:pStyle w:val="OMBheading-2"/>
      </w:pPr>
      <w:bookmarkStart w:id="10" w:name="_Toc225240687"/>
      <w:r w:rsidRPr="009A2DCD">
        <w:t>Assurance of Confidentiality</w:t>
      </w:r>
      <w:r w:rsidRPr="009A2DCD" w:rsidR="000C42BB">
        <w:t xml:space="preserve"> Provided to Respondents</w:t>
      </w:r>
      <w:bookmarkEnd w:id="10"/>
    </w:p>
    <w:p w:rsidR="008139C0" w:rsidRPr="009A2DCD" w:rsidP="008139C0" w14:paraId="7CA5B681" w14:textId="6054B442">
      <w:pPr>
        <w:spacing w:after="240"/>
        <w:rPr>
          <w:sz w:val="22"/>
          <w:szCs w:val="22"/>
        </w:rPr>
      </w:pPr>
      <w:r w:rsidRPr="009A2DCD">
        <w:t xml:space="preserve">Data </w:t>
      </w:r>
      <w:r w:rsidR="00A32169">
        <w:t>are</w:t>
      </w:r>
      <w:r w:rsidRPr="009A2DCD">
        <w:t xml:space="preserve"> kept private to the extent allowed by law. All participant performance measures data reported to OPA by grantees are de-identified and aggregated to the level of a section (group or cohort receiving programming together). No personal identifiers </w:t>
      </w:r>
      <w:r w:rsidR="00213CD3">
        <w:t>are</w:t>
      </w:r>
      <w:r w:rsidRPr="009A2DCD">
        <w:t xml:space="preserve"> used in the reporting of any data to OPA. </w:t>
      </w:r>
    </w:p>
    <w:p w:rsidR="00FB3B1C" w:rsidRPr="009A2DCD" w:rsidP="000F396C" w14:paraId="5ED443C9" w14:textId="1C37BD5A">
      <w:pPr>
        <w:widowControl/>
        <w:spacing w:after="240"/>
      </w:pPr>
      <w:r w:rsidRPr="009A2DCD">
        <w:t xml:space="preserve">The </w:t>
      </w:r>
      <w:r w:rsidR="00773105">
        <w:t>cloud</w:t>
      </w:r>
      <w:r w:rsidR="00845188">
        <w:t>-based</w:t>
      </w:r>
      <w:r w:rsidRPr="009A2DCD">
        <w:t xml:space="preserve"> reporting system </w:t>
      </w:r>
      <w:r w:rsidR="00213CD3">
        <w:t>was</w:t>
      </w:r>
      <w:r w:rsidRPr="009A2DCD">
        <w:t xml:space="preserve"> designed to ensure the security of the data obtained. Individual users designated by the grantees </w:t>
      </w:r>
      <w:r w:rsidR="00C128E8">
        <w:t>are</w:t>
      </w:r>
      <w:r w:rsidRPr="009A2DCD">
        <w:t xml:space="preserve"> assigned usernames and passwords, in addition to multifactor authentication methods, that grant them access to the performance measures website. </w:t>
      </w:r>
      <w:r w:rsidRPr="009A2DCD" w:rsidR="00C3707C">
        <w:t xml:space="preserve">See </w:t>
      </w:r>
      <w:r w:rsidRPr="009A2DCD" w:rsidR="00706103">
        <w:t>Attachment</w:t>
      </w:r>
      <w:r w:rsidRPr="009A2DCD" w:rsidR="00C3707C">
        <w:t xml:space="preserve"> </w:t>
      </w:r>
      <w:r w:rsidR="008908E3">
        <w:t>H</w:t>
      </w:r>
      <w:r w:rsidRPr="009A2DCD" w:rsidR="00C3707C">
        <w:t xml:space="preserve"> for screenshot</w:t>
      </w:r>
      <w:r w:rsidRPr="009A2DCD" w:rsidR="00706103">
        <w:t xml:space="preserve"> of </w:t>
      </w:r>
      <w:r w:rsidRPr="009A2DCD" w:rsidR="00BF4E3C">
        <w:t>login</w:t>
      </w:r>
      <w:r w:rsidRPr="009A2DCD" w:rsidR="00BC3A13">
        <w:t xml:space="preserve"> page </w:t>
      </w:r>
      <w:r w:rsidRPr="009A2DCD" w:rsidR="00B10A62">
        <w:t>to system</w:t>
      </w:r>
      <w:r w:rsidRPr="009A2DCD" w:rsidR="00C3707C">
        <w:t xml:space="preserve">. </w:t>
      </w:r>
      <w:r w:rsidRPr="009A2DCD">
        <w:t xml:space="preserve">There, users have the opportunity to provide data that </w:t>
      </w:r>
      <w:r w:rsidR="000A6401">
        <w:t>are</w:t>
      </w:r>
      <w:r w:rsidRPr="009A2DCD">
        <w:t xml:space="preserve"> stored in a secure database (Microsoft Azure Government platform, FedRAMP approved, Authority to Operate (ATO) granted on May 21, 2020</w:t>
      </w:r>
      <w:r w:rsidRPr="009A2DCD" w:rsidR="000B4E05">
        <w:t xml:space="preserve">, </w:t>
      </w:r>
      <w:r w:rsidR="00890E61">
        <w:t xml:space="preserve">and </w:t>
      </w:r>
      <w:r w:rsidRPr="009A2DCD" w:rsidR="000B4E05">
        <w:t>renewal</w:t>
      </w:r>
      <w:r w:rsidR="0041563A">
        <w:t>s</w:t>
      </w:r>
      <w:r w:rsidRPr="009A2DCD" w:rsidR="00956E3C">
        <w:t xml:space="preserve"> </w:t>
      </w:r>
      <w:r w:rsidR="00890E61">
        <w:t xml:space="preserve">on </w:t>
      </w:r>
      <w:r w:rsidRPr="009A2DCD" w:rsidR="00956E3C">
        <w:t>May 2023</w:t>
      </w:r>
      <w:r w:rsidR="00890E61">
        <w:t xml:space="preserve"> and </w:t>
      </w:r>
      <w:r w:rsidR="00C16FCE">
        <w:t>August</w:t>
      </w:r>
      <w:r w:rsidR="00890E61">
        <w:t xml:space="preserve"> 2024</w:t>
      </w:r>
      <w:r w:rsidRPr="009A2DCD">
        <w:t xml:space="preserve">), utilizing a relational table structure, facilitating expedient data retrieval and analysis. The grant-specific data users submit on the performance measures website, </w:t>
      </w:r>
      <w:r w:rsidR="00BF7064">
        <w:t xml:space="preserve">are </w:t>
      </w:r>
      <w:r w:rsidRPr="009A2DCD">
        <w:t>accessible only to the grantee user, federal staff, and adminis</w:t>
      </w:r>
      <w:r w:rsidRPr="009A2DCD">
        <w:t>trators assigned to this project. Screenshots are included in the supplemental materials</w:t>
      </w:r>
      <w:r w:rsidR="00166EE9">
        <w:t xml:space="preserve"> (Attachment F)</w:t>
      </w:r>
      <w:r w:rsidRPr="009A2DCD">
        <w:t xml:space="preserve">. </w:t>
      </w:r>
    </w:p>
    <w:p w:rsidR="00944A23" w:rsidRPr="009A2DCD" w:rsidP="000F396C" w14:paraId="4EACED15" w14:textId="36987767">
      <w:pPr>
        <w:widowControl/>
        <w:spacing w:after="240"/>
      </w:pPr>
      <w:r w:rsidRPr="009A2DCD">
        <w:t xml:space="preserve">The TPP performance measures have consistently been </w:t>
      </w:r>
      <w:r w:rsidRPr="009A2DCD" w:rsidR="00260FE5">
        <w:t xml:space="preserve">exempt </w:t>
      </w:r>
      <w:r w:rsidRPr="009A2DCD">
        <w:t>from Institutional Review Board (IRB)</w:t>
      </w:r>
      <w:r w:rsidRPr="009A2DCD" w:rsidR="00790235">
        <w:t xml:space="preserve">. </w:t>
      </w:r>
      <w:r w:rsidRPr="009A2DCD" w:rsidR="009C4DC8">
        <w:t>OPA submit</w:t>
      </w:r>
      <w:r w:rsidR="00A169BA">
        <w:t>ted</w:t>
      </w:r>
      <w:r w:rsidRPr="009A2DCD" w:rsidR="009C4DC8">
        <w:t xml:space="preserve"> the TPP2023 measures to </w:t>
      </w:r>
      <w:r w:rsidR="00DD15D0">
        <w:t xml:space="preserve">WRMA’s </w:t>
      </w:r>
      <w:r w:rsidRPr="009A2DCD" w:rsidR="009C4DC8">
        <w:t xml:space="preserve">IRB </w:t>
      </w:r>
      <w:r w:rsidR="00D240F8">
        <w:t>and on</w:t>
      </w:r>
      <w:r w:rsidR="00FE59D7">
        <w:t xml:space="preserve"> </w:t>
      </w:r>
      <w:r w:rsidR="00D240F8">
        <w:t xml:space="preserve">October 31, </w:t>
      </w:r>
      <w:r w:rsidR="00845188">
        <w:t>2023,</w:t>
      </w:r>
      <w:r w:rsidR="00FE59D7">
        <w:t xml:space="preserve"> </w:t>
      </w:r>
      <w:r w:rsidR="004924D2">
        <w:t>received notice that</w:t>
      </w:r>
      <w:r w:rsidR="00FE59D7">
        <w:t xml:space="preserve"> the data collection </w:t>
      </w:r>
      <w:r w:rsidR="00D240F8">
        <w:t>did</w:t>
      </w:r>
      <w:r w:rsidR="00FE59D7">
        <w:t xml:space="preserve"> not </w:t>
      </w:r>
      <w:r w:rsidR="00C77E0D">
        <w:t>c</w:t>
      </w:r>
      <w:r w:rsidR="00D4695E">
        <w:t>onstitute human subjects research as defined at 45 CF</w:t>
      </w:r>
      <w:r w:rsidR="00067C8A">
        <w:t>R 46.102(e) and therefore required no action or review</w:t>
      </w:r>
      <w:r w:rsidR="003238E2">
        <w:t xml:space="preserve"> </w:t>
      </w:r>
      <w:r w:rsidR="00775367">
        <w:t xml:space="preserve">(Attachment </w:t>
      </w:r>
      <w:r w:rsidR="008908E3">
        <w:t>I</w:t>
      </w:r>
      <w:r w:rsidR="00775367">
        <w:t>)</w:t>
      </w:r>
      <w:r w:rsidR="00067C8A">
        <w:t>.</w:t>
      </w:r>
      <w:r w:rsidRPr="00FE59D7" w:rsidR="00FE59D7">
        <w:t xml:space="preserve"> </w:t>
      </w:r>
    </w:p>
    <w:p w:rsidR="00555EB2" w:rsidRPr="00C818EF" w:rsidP="00C818EF" w14:paraId="0FE8210A" w14:textId="1D159E51">
      <w:pPr>
        <w:pStyle w:val="OMBheading-2"/>
      </w:pPr>
      <w:bookmarkStart w:id="11" w:name="_Toc225240688"/>
      <w:r w:rsidRPr="00C436D2">
        <w:t xml:space="preserve">Justification for </w:t>
      </w:r>
      <w:r w:rsidRPr="00C436D2" w:rsidR="00DD5760">
        <w:t>Sensitive Questions</w:t>
      </w:r>
      <w:bookmarkEnd w:id="11"/>
    </w:p>
    <w:p w:rsidR="004A5D91" w:rsidP="00555EB2" w14:paraId="57482E76" w14:textId="051B7BE9">
      <w:pPr>
        <w:widowControl/>
        <w:spacing w:after="40"/>
        <w:rPr>
          <w:bCs/>
        </w:rPr>
      </w:pPr>
      <w:r w:rsidRPr="009A2DCD">
        <w:rPr>
          <w:bCs/>
        </w:rPr>
        <w:t>G</w:t>
      </w:r>
      <w:r w:rsidRPr="009A2DCD" w:rsidR="002109F4">
        <w:rPr>
          <w:bCs/>
        </w:rPr>
        <w:t xml:space="preserve">rantees </w:t>
      </w:r>
      <w:r w:rsidRPr="009A2DCD" w:rsidR="000E359D">
        <w:rPr>
          <w:bCs/>
        </w:rPr>
        <w:t xml:space="preserve">report on the demographics, such as </w:t>
      </w:r>
      <w:r w:rsidR="0037768D">
        <w:rPr>
          <w:bCs/>
        </w:rPr>
        <w:t xml:space="preserve">age, </w:t>
      </w:r>
      <w:r w:rsidRPr="009A2DCD" w:rsidR="000E359D">
        <w:rPr>
          <w:bCs/>
        </w:rPr>
        <w:t>race/ethnicity</w:t>
      </w:r>
      <w:r w:rsidR="00E90965">
        <w:rPr>
          <w:bCs/>
        </w:rPr>
        <w:t>,</w:t>
      </w:r>
      <w:r w:rsidR="00182487">
        <w:rPr>
          <w:bCs/>
        </w:rPr>
        <w:t xml:space="preserve"> </w:t>
      </w:r>
      <w:r w:rsidRPr="00464769" w:rsidR="00182487">
        <w:rPr>
          <w:bCs/>
        </w:rPr>
        <w:t xml:space="preserve">and </w:t>
      </w:r>
      <w:r w:rsidRPr="00464769" w:rsidR="00CD5BB1">
        <w:rPr>
          <w:bCs/>
        </w:rPr>
        <w:t>sex</w:t>
      </w:r>
      <w:r w:rsidRPr="00464769" w:rsidR="000E359D">
        <w:rPr>
          <w:bCs/>
        </w:rPr>
        <w:t xml:space="preserve"> of</w:t>
      </w:r>
      <w:r w:rsidRPr="009A2DCD" w:rsidR="000E359D">
        <w:rPr>
          <w:bCs/>
        </w:rPr>
        <w:t xml:space="preserve"> the program participants</w:t>
      </w:r>
      <w:r w:rsidRPr="009A2DCD" w:rsidR="00A06D70">
        <w:rPr>
          <w:bCs/>
        </w:rPr>
        <w:t xml:space="preserve"> served</w:t>
      </w:r>
      <w:r w:rsidRPr="009A2DCD" w:rsidR="000B2F92">
        <w:rPr>
          <w:bCs/>
        </w:rPr>
        <w:t>.</w:t>
      </w:r>
      <w:r w:rsidRPr="009A2DCD" w:rsidR="00944A23">
        <w:rPr>
          <w:bCs/>
        </w:rPr>
        <w:t xml:space="preserve"> </w:t>
      </w:r>
      <w:r w:rsidRPr="009A2DCD" w:rsidR="000B2F92">
        <w:rPr>
          <w:bCs/>
        </w:rPr>
        <w:t>C</w:t>
      </w:r>
      <w:r w:rsidRPr="009A2DCD" w:rsidR="00944A23">
        <w:rPr>
          <w:bCs/>
        </w:rPr>
        <w:t>ollecting race and ethnicity is usual practice for HHS data collections</w:t>
      </w:r>
      <w:r w:rsidRPr="009A2DCD" w:rsidR="000E359D">
        <w:rPr>
          <w:bCs/>
        </w:rPr>
        <w:t>.</w:t>
      </w:r>
      <w:r w:rsidRPr="009A2DCD" w:rsidR="002109F4">
        <w:rPr>
          <w:bCs/>
        </w:rPr>
        <w:t xml:space="preserve"> </w:t>
      </w:r>
      <w:r w:rsidRPr="009A2DCD" w:rsidR="00944A23">
        <w:rPr>
          <w:bCs/>
        </w:rPr>
        <w:t xml:space="preserve">These data </w:t>
      </w:r>
      <w:r w:rsidR="00644AED">
        <w:rPr>
          <w:bCs/>
        </w:rPr>
        <w:t>are</w:t>
      </w:r>
      <w:r w:rsidRPr="009A2DCD" w:rsidR="00944A23">
        <w:rPr>
          <w:bCs/>
        </w:rPr>
        <w:t xml:space="preserve"> reported to OPA at the group level. No personal identifying information </w:t>
      </w:r>
      <w:r w:rsidR="002736E3">
        <w:rPr>
          <w:bCs/>
        </w:rPr>
        <w:t>is</w:t>
      </w:r>
      <w:r w:rsidRPr="009A2DCD" w:rsidR="00944A23">
        <w:rPr>
          <w:bCs/>
        </w:rPr>
        <w:t xml:space="preserve"> collected from </w:t>
      </w:r>
      <w:r w:rsidRPr="009A2DCD" w:rsidR="000B2F92">
        <w:rPr>
          <w:bCs/>
        </w:rPr>
        <w:t xml:space="preserve">individual </w:t>
      </w:r>
      <w:r w:rsidRPr="009A2DCD" w:rsidR="00944A23">
        <w:rPr>
          <w:bCs/>
        </w:rPr>
        <w:t>participants.</w:t>
      </w:r>
      <w:r w:rsidRPr="009A2DCD" w:rsidR="000B2F92">
        <w:rPr>
          <w:bCs/>
        </w:rPr>
        <w:t xml:space="preserve"> Additionally, individual program participants have the option not to give any information that they are uncomfortable sharing with the grantee.</w:t>
      </w:r>
      <w:r w:rsidR="007F557A">
        <w:rPr>
          <w:bCs/>
        </w:rPr>
        <w:t xml:space="preserve"> OPA </w:t>
      </w:r>
    </w:p>
    <w:p w:rsidR="007F557A" w:rsidP="007F557A" w14:paraId="4C98915D" w14:textId="5E71762A">
      <w:r>
        <w:t xml:space="preserve">will update the demographic information to reflect the updated 2024 Statistical Policy Directive No. 15 (SPD-15) guidance during the next renewal period in 2028 for the </w:t>
      </w:r>
      <w:r w:rsidR="00982F91">
        <w:t>performance measures for the next grantee cohort.</w:t>
      </w:r>
    </w:p>
    <w:p w:rsidR="007F557A" w:rsidRPr="009A2DCD" w:rsidP="00555EB2" w14:paraId="3839EB6E" w14:textId="77777777">
      <w:pPr>
        <w:widowControl/>
        <w:spacing w:after="40"/>
        <w:rPr>
          <w:bCs/>
        </w:rPr>
      </w:pPr>
    </w:p>
    <w:p w:rsidR="009C53DB" w:rsidP="00A5280A" w14:paraId="2FB889D0" w14:textId="77777777"/>
    <w:p w:rsidR="00555EB2" w:rsidRPr="009A2DCD" w:rsidP="00E06491" w14:paraId="44C34EFC" w14:textId="251C0EF3">
      <w:pPr>
        <w:pStyle w:val="OMBheading-2"/>
      </w:pPr>
      <w:bookmarkStart w:id="12" w:name="_Toc225240689"/>
      <w:r w:rsidRPr="009A2DCD">
        <w:t>Estimates of Annualized Hour and Cost Burden</w:t>
      </w:r>
      <w:bookmarkEnd w:id="12"/>
    </w:p>
    <w:p w:rsidR="00555EB2" w:rsidRPr="00072245" w:rsidP="00555EB2" w14:paraId="605BE765" w14:textId="3E87407C">
      <w:pPr>
        <w:widowControl/>
        <w:spacing w:after="40"/>
      </w:pPr>
      <w:r w:rsidRPr="009A2DCD">
        <w:t xml:space="preserve">The total annual burden is estimated to </w:t>
      </w:r>
      <w:r w:rsidRPr="00072245" w:rsidR="000E359D">
        <w:t xml:space="preserve">be </w:t>
      </w:r>
      <w:r w:rsidRPr="00072245" w:rsidR="00A80308">
        <w:t>1</w:t>
      </w:r>
      <w:r w:rsidRPr="00072245" w:rsidR="00796982">
        <w:t>,20</w:t>
      </w:r>
      <w:r w:rsidR="0020593B">
        <w:t>9</w:t>
      </w:r>
      <w:r w:rsidRPr="00072245" w:rsidR="00A80308">
        <w:t xml:space="preserve"> </w:t>
      </w:r>
      <w:r w:rsidRPr="00072245" w:rsidR="00DD1AAA">
        <w:t>hours for grantees to collect, summarize, and report the data for the performance measures</w:t>
      </w:r>
      <w:r w:rsidRPr="00072245" w:rsidR="00447C9A">
        <w:t xml:space="preserve"> (</w:t>
      </w:r>
      <w:r w:rsidRPr="00072245" w:rsidR="00447C9A">
        <w:rPr>
          <w:b/>
          <w:bCs/>
          <w:i/>
          <w:iCs/>
        </w:rPr>
        <w:t xml:space="preserve">Exhibit </w:t>
      </w:r>
      <w:r w:rsidRPr="00072245" w:rsidR="006C14CB">
        <w:rPr>
          <w:b/>
          <w:bCs/>
          <w:i/>
          <w:iCs/>
        </w:rPr>
        <w:t>3</w:t>
      </w:r>
      <w:r w:rsidRPr="00072245" w:rsidR="00447C9A">
        <w:t>)</w:t>
      </w:r>
      <w:r w:rsidRPr="00072245" w:rsidR="00434C77">
        <w:t xml:space="preserve">. </w:t>
      </w:r>
      <w:r w:rsidR="008811B7">
        <w:t xml:space="preserve">OPA has updated the number of respondents to reflect the number of currently funded TPP recipients, and to include potentially new TPP grants to be funded within the next year (Exhibit 1). This change reduces the total burden associated with the collection. In addition, OPA has added one new item to the Tier 2 Hubs form, prototypes developed per reporting period. This change is not expected to increase individual burden since this information is needed to report the total number of prototypes developed to </w:t>
      </w:r>
      <w:r w:rsidR="00845188">
        <w:t>date,</w:t>
      </w:r>
      <w:r w:rsidR="008811B7">
        <w:t xml:space="preserve"> which is already an approved item. </w:t>
      </w:r>
      <w:r w:rsidRPr="00072245" w:rsidR="00C538E2">
        <w:t xml:space="preserve">Estimates were based on </w:t>
      </w:r>
      <w:r w:rsidRPr="00072245" w:rsidR="0048184C">
        <w:t xml:space="preserve">the </w:t>
      </w:r>
      <w:r w:rsidRPr="00072245" w:rsidR="000E6F01">
        <w:t>current data collection requirements</w:t>
      </w:r>
      <w:r w:rsidR="00265F73">
        <w:t xml:space="preserve"> for FY2023 TPP grantees </w:t>
      </w:r>
      <w:r w:rsidRPr="00072245" w:rsidR="000E6F01">
        <w:t xml:space="preserve">as well as the </w:t>
      </w:r>
      <w:r w:rsidRPr="00072245" w:rsidR="00C538E2">
        <w:t xml:space="preserve">timing </w:t>
      </w:r>
      <w:r w:rsidRPr="00072245" w:rsidR="004E5A4F">
        <w:t xml:space="preserve">for similar </w:t>
      </w:r>
      <w:r w:rsidRPr="00072245" w:rsidR="00B571AA">
        <w:t>performance measures data collection</w:t>
      </w:r>
      <w:r w:rsidRPr="00072245" w:rsidR="004E5A4F">
        <w:t xml:space="preserve"> from </w:t>
      </w:r>
      <w:r w:rsidRPr="00072245" w:rsidR="00034D25">
        <w:t>FY2015</w:t>
      </w:r>
      <w:r w:rsidRPr="00072245" w:rsidR="00543127">
        <w:t xml:space="preserve"> and FY2020</w:t>
      </w:r>
      <w:r w:rsidRPr="00072245" w:rsidR="00034D25">
        <w:t xml:space="preserve"> </w:t>
      </w:r>
      <w:r w:rsidRPr="00072245" w:rsidR="004E5A4F">
        <w:t xml:space="preserve">TPP </w:t>
      </w:r>
      <w:r w:rsidRPr="00072245" w:rsidR="00034D25">
        <w:t>grantees</w:t>
      </w:r>
      <w:r w:rsidRPr="00072245" w:rsidR="00961D98">
        <w:t xml:space="preserve">, as the majority of items in this collection are </w:t>
      </w:r>
      <w:r w:rsidRPr="00072245" w:rsidR="00780E98">
        <w:t xml:space="preserve">either </w:t>
      </w:r>
      <w:r w:rsidRPr="00072245" w:rsidR="00961D98">
        <w:t xml:space="preserve">unchanged from the </w:t>
      </w:r>
      <w:r w:rsidRPr="00072245" w:rsidR="00543127">
        <w:t xml:space="preserve">previous </w:t>
      </w:r>
      <w:r w:rsidRPr="00072245" w:rsidR="00961D98">
        <w:t>approved version</w:t>
      </w:r>
      <w:r w:rsidRPr="00072245" w:rsidR="001522B1">
        <w:t xml:space="preserve"> </w:t>
      </w:r>
      <w:r w:rsidRPr="00072245" w:rsidR="00780E98">
        <w:t xml:space="preserve">or have minor </w:t>
      </w:r>
      <w:r w:rsidR="008F0181">
        <w:t xml:space="preserve">wording </w:t>
      </w:r>
      <w:r w:rsidRPr="00072245" w:rsidR="00780E98">
        <w:t>changes</w:t>
      </w:r>
      <w:r w:rsidR="008F0181">
        <w:t xml:space="preserve"> made to the instructions </w:t>
      </w:r>
      <w:r w:rsidR="008478CE">
        <w:t>for</w:t>
      </w:r>
      <w:r w:rsidR="008F0181">
        <w:t xml:space="preserve"> clarity.</w:t>
      </w:r>
      <w:r w:rsidRPr="00072245" w:rsidR="00497EFA">
        <w:t xml:space="preserve"> </w:t>
      </w:r>
    </w:p>
    <w:p w:rsidR="00780E98" w:rsidRPr="00072245" w:rsidP="000E359D" w14:paraId="0FCBB74F" w14:textId="77777777">
      <w:pPr>
        <w:rPr>
          <w:bCs/>
        </w:rPr>
      </w:pPr>
    </w:p>
    <w:p w:rsidR="00C140DE" w:rsidRPr="00072245" w:rsidP="002760BF" w14:paraId="5D1126ED" w14:textId="76507D4A">
      <w:pPr>
        <w:rPr>
          <w:bCs/>
        </w:rPr>
      </w:pPr>
      <w:r w:rsidRPr="00072245">
        <w:rPr>
          <w:bCs/>
        </w:rPr>
        <w:t xml:space="preserve">Exhibit </w:t>
      </w:r>
      <w:r w:rsidRPr="00072245" w:rsidR="006C14CB">
        <w:rPr>
          <w:bCs/>
        </w:rPr>
        <w:t>3</w:t>
      </w:r>
      <w:r w:rsidRPr="00072245" w:rsidR="004E5A4F">
        <w:rPr>
          <w:bCs/>
        </w:rPr>
        <w:t xml:space="preserve">: </w:t>
      </w:r>
      <w:r w:rsidRPr="00072245" w:rsidR="007A4D61">
        <w:rPr>
          <w:bCs/>
        </w:rPr>
        <w:t>Annualized Burden Hour Table</w:t>
      </w:r>
    </w:p>
    <w:p w:rsidR="00C140DE" w:rsidRPr="00072245" w:rsidP="002760BF" w14:paraId="433CF802" w14:textId="77777777">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740"/>
        <w:gridCol w:w="1529"/>
        <w:gridCol w:w="1507"/>
        <w:gridCol w:w="1619"/>
        <w:gridCol w:w="1307"/>
        <w:gridCol w:w="1648"/>
      </w:tblGrid>
      <w:tr w14:paraId="0508B3AB" w14:textId="77777777" w:rsidTr="003C0292">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1803" w:type="dxa"/>
            <w:tcBorders>
              <w:top w:val="single" w:sz="4" w:space="0" w:color="auto"/>
              <w:left w:val="single" w:sz="4" w:space="0" w:color="auto"/>
              <w:bottom w:val="single" w:sz="4" w:space="0" w:color="auto"/>
              <w:right w:val="single" w:sz="4" w:space="0" w:color="auto"/>
            </w:tcBorders>
          </w:tcPr>
          <w:p w:rsidR="002760BF" w:rsidRPr="00072245" w:rsidP="003C0292" w14:paraId="1480D780" w14:textId="77777777">
            <w:r w:rsidRPr="00072245">
              <w:t xml:space="preserve">Forms </w:t>
            </w:r>
          </w:p>
          <w:p w:rsidR="002760BF" w:rsidRPr="00072245" w:rsidP="003C0292" w14:paraId="2DD81840" w14:textId="77777777">
            <w:r w:rsidRPr="00072245">
              <w:t xml:space="preserve">(If necessary) </w:t>
            </w:r>
          </w:p>
        </w:tc>
        <w:tc>
          <w:tcPr>
            <w:tcW w:w="1540" w:type="dxa"/>
            <w:tcBorders>
              <w:top w:val="single" w:sz="4" w:space="0" w:color="auto"/>
              <w:left w:val="single" w:sz="4" w:space="0" w:color="auto"/>
              <w:bottom w:val="single" w:sz="4" w:space="0" w:color="auto"/>
              <w:right w:val="single" w:sz="4" w:space="0" w:color="auto"/>
            </w:tcBorders>
          </w:tcPr>
          <w:p w:rsidR="002760BF" w:rsidRPr="00072245" w:rsidP="003C0292" w14:paraId="5627256B" w14:textId="77777777">
            <w:pPr>
              <w:jc w:val="center"/>
            </w:pPr>
            <w:r w:rsidRPr="00072245">
              <w:t>Respondents</w:t>
            </w:r>
          </w:p>
          <w:p w:rsidR="002760BF" w:rsidRPr="00072245" w:rsidP="003C0292" w14:paraId="36D34F5D" w14:textId="77777777">
            <w:pPr>
              <w:jc w:val="center"/>
            </w:pPr>
            <w:r w:rsidRPr="00072245">
              <w:t>(If necessary)</w:t>
            </w:r>
          </w:p>
        </w:tc>
        <w:tc>
          <w:tcPr>
            <w:tcW w:w="1516" w:type="dxa"/>
            <w:tcBorders>
              <w:top w:val="single" w:sz="4" w:space="0" w:color="auto"/>
              <w:left w:val="single" w:sz="4" w:space="0" w:color="auto"/>
              <w:bottom w:val="single" w:sz="4" w:space="0" w:color="auto"/>
              <w:right w:val="single" w:sz="4" w:space="0" w:color="auto"/>
            </w:tcBorders>
          </w:tcPr>
          <w:p w:rsidR="002760BF" w:rsidRPr="00072245" w:rsidP="003C0292" w14:paraId="6398864A" w14:textId="79F5D05F">
            <w:pPr>
              <w:jc w:val="center"/>
            </w:pPr>
            <w:r w:rsidRPr="00072245">
              <w:t>Number of Respondents</w:t>
            </w:r>
          </w:p>
        </w:tc>
        <w:tc>
          <w:tcPr>
            <w:tcW w:w="1642" w:type="dxa"/>
            <w:tcBorders>
              <w:top w:val="single" w:sz="4" w:space="0" w:color="auto"/>
              <w:left w:val="single" w:sz="4" w:space="0" w:color="auto"/>
              <w:bottom w:val="single" w:sz="4" w:space="0" w:color="auto"/>
              <w:right w:val="single" w:sz="4" w:space="0" w:color="auto"/>
            </w:tcBorders>
          </w:tcPr>
          <w:p w:rsidR="002760BF" w:rsidRPr="00072245" w:rsidP="003C0292" w14:paraId="6D64A71D" w14:textId="77777777">
            <w:pPr>
              <w:jc w:val="center"/>
            </w:pPr>
            <w:r w:rsidRPr="00072245">
              <w:t>Number of Responses per Respondents</w:t>
            </w:r>
          </w:p>
        </w:tc>
        <w:tc>
          <w:tcPr>
            <w:tcW w:w="1330" w:type="dxa"/>
            <w:tcBorders>
              <w:top w:val="single" w:sz="4" w:space="0" w:color="auto"/>
              <w:left w:val="single" w:sz="4" w:space="0" w:color="auto"/>
              <w:bottom w:val="single" w:sz="4" w:space="0" w:color="auto"/>
              <w:right w:val="single" w:sz="4" w:space="0" w:color="auto"/>
            </w:tcBorders>
          </w:tcPr>
          <w:p w:rsidR="002760BF" w:rsidRPr="00072245" w:rsidP="003C0292" w14:paraId="496BE265" w14:textId="77777777">
            <w:pPr>
              <w:jc w:val="center"/>
            </w:pPr>
            <w:r w:rsidRPr="00072245">
              <w:t>Average Burden per Response</w:t>
            </w:r>
          </w:p>
        </w:tc>
        <w:tc>
          <w:tcPr>
            <w:tcW w:w="1745" w:type="dxa"/>
            <w:tcBorders>
              <w:top w:val="single" w:sz="4" w:space="0" w:color="auto"/>
              <w:left w:val="single" w:sz="4" w:space="0" w:color="auto"/>
              <w:bottom w:val="single" w:sz="4" w:space="0" w:color="auto"/>
              <w:right w:val="single" w:sz="4" w:space="0" w:color="auto"/>
            </w:tcBorders>
          </w:tcPr>
          <w:p w:rsidR="002760BF" w:rsidRPr="00072245" w:rsidP="003C0292" w14:paraId="4AD91508" w14:textId="77777777">
            <w:pPr>
              <w:jc w:val="center"/>
            </w:pPr>
            <w:r w:rsidRPr="00072245">
              <w:t>Total Burden Hours</w:t>
            </w:r>
          </w:p>
        </w:tc>
      </w:tr>
      <w:tr w14:paraId="782B1B92" w14:textId="77777777" w:rsidTr="003C0292">
        <w:tblPrEx>
          <w:tblW w:w="0" w:type="auto"/>
          <w:tblLook w:val="01E0"/>
        </w:tblPrEx>
        <w:trPr>
          <w:trHeight w:val="285"/>
        </w:trPr>
        <w:tc>
          <w:tcPr>
            <w:tcW w:w="1803" w:type="dxa"/>
            <w:tcBorders>
              <w:top w:val="single" w:sz="4" w:space="0" w:color="auto"/>
              <w:left w:val="single" w:sz="4" w:space="0" w:color="auto"/>
              <w:bottom w:val="single" w:sz="4" w:space="0" w:color="auto"/>
              <w:right w:val="single" w:sz="4" w:space="0" w:color="auto"/>
            </w:tcBorders>
          </w:tcPr>
          <w:p w:rsidR="002760BF" w:rsidRPr="00072245" w:rsidP="003C0292" w14:paraId="39E15FD8" w14:textId="77777777">
            <w:r w:rsidRPr="00072245">
              <w:t>TPP Tier 1 &amp; Tier 2 Rigorous Impact grantees</w:t>
            </w:r>
          </w:p>
        </w:tc>
        <w:tc>
          <w:tcPr>
            <w:tcW w:w="1540" w:type="dxa"/>
            <w:tcBorders>
              <w:top w:val="single" w:sz="4" w:space="0" w:color="auto"/>
              <w:left w:val="single" w:sz="4" w:space="0" w:color="auto"/>
              <w:bottom w:val="single" w:sz="4" w:space="0" w:color="auto"/>
              <w:right w:val="single" w:sz="4" w:space="0" w:color="auto"/>
            </w:tcBorders>
          </w:tcPr>
          <w:p w:rsidR="002760BF" w:rsidRPr="00072245" w:rsidP="003C0292" w14:paraId="1626A834" w14:textId="77777777">
            <w:r w:rsidRPr="00072245">
              <w:t xml:space="preserve"> TPP Tier 1 &amp; Tier 2 Rigorous Impact grantees</w:t>
            </w:r>
          </w:p>
        </w:tc>
        <w:tc>
          <w:tcPr>
            <w:tcW w:w="1516" w:type="dxa"/>
            <w:tcBorders>
              <w:top w:val="single" w:sz="4" w:space="0" w:color="auto"/>
              <w:left w:val="single" w:sz="4" w:space="0" w:color="auto"/>
              <w:bottom w:val="single" w:sz="4" w:space="0" w:color="auto"/>
              <w:right w:val="single" w:sz="4" w:space="0" w:color="auto"/>
            </w:tcBorders>
          </w:tcPr>
          <w:p w:rsidR="002760BF" w:rsidRPr="00072245" w:rsidP="0073148E" w14:paraId="455476C8" w14:textId="5B8D4BFA">
            <w:pPr>
              <w:jc w:val="center"/>
            </w:pPr>
            <w:r w:rsidRPr="00072245">
              <w:t>73</w:t>
            </w:r>
          </w:p>
        </w:tc>
        <w:tc>
          <w:tcPr>
            <w:tcW w:w="1642" w:type="dxa"/>
            <w:tcBorders>
              <w:top w:val="single" w:sz="4" w:space="0" w:color="auto"/>
              <w:left w:val="single" w:sz="4" w:space="0" w:color="auto"/>
              <w:bottom w:val="single" w:sz="4" w:space="0" w:color="auto"/>
              <w:right w:val="single" w:sz="4" w:space="0" w:color="auto"/>
            </w:tcBorders>
          </w:tcPr>
          <w:p w:rsidR="002760BF" w:rsidRPr="00072245" w:rsidP="003C0292" w14:paraId="545DB870" w14:textId="77777777">
            <w:pPr>
              <w:jc w:val="center"/>
            </w:pPr>
            <w:r w:rsidRPr="00072245">
              <w:t>2</w:t>
            </w:r>
          </w:p>
        </w:tc>
        <w:tc>
          <w:tcPr>
            <w:tcW w:w="1330" w:type="dxa"/>
            <w:tcBorders>
              <w:top w:val="single" w:sz="4" w:space="0" w:color="auto"/>
              <w:left w:val="single" w:sz="4" w:space="0" w:color="auto"/>
              <w:bottom w:val="single" w:sz="4" w:space="0" w:color="auto"/>
              <w:right w:val="single" w:sz="4" w:space="0" w:color="auto"/>
            </w:tcBorders>
          </w:tcPr>
          <w:p w:rsidR="002760BF" w:rsidRPr="00072245" w:rsidP="003C0292" w14:paraId="2A797C1A" w14:textId="77777777">
            <w:pPr>
              <w:jc w:val="center"/>
            </w:pPr>
            <w:r w:rsidRPr="00072245">
              <w:t>8</w:t>
            </w:r>
          </w:p>
        </w:tc>
        <w:tc>
          <w:tcPr>
            <w:tcW w:w="1745" w:type="dxa"/>
            <w:tcBorders>
              <w:top w:val="single" w:sz="4" w:space="0" w:color="auto"/>
              <w:left w:val="single" w:sz="4" w:space="0" w:color="auto"/>
              <w:bottom w:val="single" w:sz="4" w:space="0" w:color="auto"/>
              <w:right w:val="single" w:sz="4" w:space="0" w:color="auto"/>
            </w:tcBorders>
          </w:tcPr>
          <w:p w:rsidR="002760BF" w:rsidRPr="00072245" w:rsidP="003C0292" w14:paraId="119ABC01" w14:textId="00549981">
            <w:pPr>
              <w:jc w:val="center"/>
            </w:pPr>
            <w:r w:rsidRPr="00072245">
              <w:t>1,168</w:t>
            </w:r>
          </w:p>
        </w:tc>
      </w:tr>
      <w:tr w14:paraId="7DAA597B" w14:textId="77777777" w:rsidTr="003C0292">
        <w:tblPrEx>
          <w:tblW w:w="0" w:type="auto"/>
          <w:tblLook w:val="01E0"/>
        </w:tblPrEx>
        <w:trPr>
          <w:trHeight w:val="285"/>
        </w:trPr>
        <w:tc>
          <w:tcPr>
            <w:tcW w:w="1803" w:type="dxa"/>
            <w:tcBorders>
              <w:top w:val="single" w:sz="4" w:space="0" w:color="auto"/>
              <w:left w:val="single" w:sz="4" w:space="0" w:color="auto"/>
              <w:bottom w:val="single" w:sz="4" w:space="0" w:color="auto"/>
              <w:right w:val="single" w:sz="4" w:space="0" w:color="auto"/>
            </w:tcBorders>
          </w:tcPr>
          <w:p w:rsidR="002760BF" w:rsidRPr="00072245" w:rsidP="003C0292" w14:paraId="28CDAC7F" w14:textId="77777777">
            <w:r w:rsidRPr="00072245">
              <w:t>Supportive Services</w:t>
            </w:r>
          </w:p>
        </w:tc>
        <w:tc>
          <w:tcPr>
            <w:tcW w:w="1540" w:type="dxa"/>
            <w:tcBorders>
              <w:top w:val="single" w:sz="4" w:space="0" w:color="auto"/>
              <w:left w:val="single" w:sz="4" w:space="0" w:color="auto"/>
              <w:bottom w:val="single" w:sz="4" w:space="0" w:color="auto"/>
              <w:right w:val="single" w:sz="4" w:space="0" w:color="auto"/>
            </w:tcBorders>
          </w:tcPr>
          <w:p w:rsidR="002760BF" w:rsidRPr="00072245" w:rsidP="003C0292" w14:paraId="755F52BC" w14:textId="77777777">
            <w:r w:rsidRPr="00072245">
              <w:t>Tier 1 Grantees</w:t>
            </w:r>
          </w:p>
        </w:tc>
        <w:tc>
          <w:tcPr>
            <w:tcW w:w="1516" w:type="dxa"/>
            <w:tcBorders>
              <w:top w:val="single" w:sz="4" w:space="0" w:color="auto"/>
              <w:left w:val="single" w:sz="4" w:space="0" w:color="auto"/>
              <w:bottom w:val="single" w:sz="4" w:space="0" w:color="auto"/>
              <w:right w:val="single" w:sz="4" w:space="0" w:color="auto"/>
            </w:tcBorders>
          </w:tcPr>
          <w:p w:rsidR="002760BF" w:rsidRPr="00072245" w:rsidP="003C0292" w14:paraId="64F5E4E4" w14:textId="0F64380E">
            <w:pPr>
              <w:jc w:val="center"/>
            </w:pPr>
            <w:r w:rsidRPr="00072245">
              <w:t>5</w:t>
            </w:r>
            <w:r w:rsidRPr="00072245" w:rsidR="6BE8F790">
              <w:t>8</w:t>
            </w:r>
          </w:p>
        </w:tc>
        <w:tc>
          <w:tcPr>
            <w:tcW w:w="1642" w:type="dxa"/>
            <w:tcBorders>
              <w:top w:val="single" w:sz="4" w:space="0" w:color="auto"/>
              <w:left w:val="single" w:sz="4" w:space="0" w:color="auto"/>
              <w:bottom w:val="single" w:sz="4" w:space="0" w:color="auto"/>
              <w:right w:val="single" w:sz="4" w:space="0" w:color="auto"/>
            </w:tcBorders>
          </w:tcPr>
          <w:p w:rsidR="002760BF" w:rsidRPr="00072245" w:rsidP="003C0292" w14:paraId="485ADC90" w14:textId="77777777">
            <w:pPr>
              <w:jc w:val="center"/>
            </w:pPr>
            <w:r w:rsidRPr="00072245">
              <w:t>2</w:t>
            </w:r>
          </w:p>
        </w:tc>
        <w:tc>
          <w:tcPr>
            <w:tcW w:w="1330" w:type="dxa"/>
            <w:tcBorders>
              <w:top w:val="single" w:sz="4" w:space="0" w:color="auto"/>
              <w:left w:val="single" w:sz="4" w:space="0" w:color="auto"/>
              <w:bottom w:val="single" w:sz="4" w:space="0" w:color="auto"/>
              <w:right w:val="single" w:sz="4" w:space="0" w:color="auto"/>
            </w:tcBorders>
          </w:tcPr>
          <w:p w:rsidR="002760BF" w:rsidRPr="00072245" w:rsidP="003C0292" w14:paraId="60CC6311" w14:textId="77777777">
            <w:pPr>
              <w:jc w:val="center"/>
            </w:pPr>
            <w:r w:rsidRPr="00072245">
              <w:t>15/60</w:t>
            </w:r>
          </w:p>
        </w:tc>
        <w:tc>
          <w:tcPr>
            <w:tcW w:w="1745" w:type="dxa"/>
            <w:tcBorders>
              <w:top w:val="single" w:sz="4" w:space="0" w:color="auto"/>
              <w:left w:val="single" w:sz="4" w:space="0" w:color="auto"/>
              <w:bottom w:val="single" w:sz="4" w:space="0" w:color="auto"/>
              <w:right w:val="single" w:sz="4" w:space="0" w:color="auto"/>
            </w:tcBorders>
          </w:tcPr>
          <w:p w:rsidR="002760BF" w:rsidRPr="00072245" w:rsidP="003C0292" w14:paraId="1C016C74" w14:textId="17FB58F7">
            <w:pPr>
              <w:jc w:val="center"/>
            </w:pPr>
            <w:r>
              <w:t>2</w:t>
            </w:r>
            <w:r w:rsidR="00322E43">
              <w:t>9</w:t>
            </w:r>
          </w:p>
        </w:tc>
      </w:tr>
      <w:tr w14:paraId="6D85719A" w14:textId="77777777" w:rsidTr="003C0292">
        <w:tblPrEx>
          <w:tblW w:w="0" w:type="auto"/>
          <w:tblLook w:val="01E0"/>
        </w:tblPrEx>
        <w:trPr>
          <w:trHeight w:val="285"/>
        </w:trPr>
        <w:tc>
          <w:tcPr>
            <w:tcW w:w="1803" w:type="dxa"/>
            <w:tcBorders>
              <w:top w:val="single" w:sz="4" w:space="0" w:color="auto"/>
              <w:left w:val="single" w:sz="4" w:space="0" w:color="auto"/>
              <w:bottom w:val="single" w:sz="4" w:space="0" w:color="auto"/>
              <w:right w:val="single" w:sz="4" w:space="0" w:color="auto"/>
            </w:tcBorders>
          </w:tcPr>
          <w:p w:rsidR="002760BF" w:rsidRPr="00072245" w:rsidP="003C0292" w14:paraId="0B37BE7F" w14:textId="77777777">
            <w:r w:rsidRPr="00072245">
              <w:t>Tier 2 Innovation Network</w:t>
            </w:r>
          </w:p>
        </w:tc>
        <w:tc>
          <w:tcPr>
            <w:tcW w:w="1540" w:type="dxa"/>
            <w:tcBorders>
              <w:top w:val="single" w:sz="4" w:space="0" w:color="auto"/>
              <w:left w:val="single" w:sz="4" w:space="0" w:color="auto"/>
              <w:bottom w:val="single" w:sz="4" w:space="0" w:color="auto"/>
              <w:right w:val="single" w:sz="4" w:space="0" w:color="auto"/>
            </w:tcBorders>
          </w:tcPr>
          <w:p w:rsidR="002760BF" w:rsidRPr="00072245" w:rsidP="003C0292" w14:paraId="7493B685" w14:textId="77777777">
            <w:r w:rsidRPr="00072245">
              <w:t>Tier 2 Innovation Network Grantees</w:t>
            </w:r>
          </w:p>
        </w:tc>
        <w:tc>
          <w:tcPr>
            <w:tcW w:w="1516" w:type="dxa"/>
            <w:tcBorders>
              <w:top w:val="single" w:sz="4" w:space="0" w:color="auto"/>
              <w:left w:val="single" w:sz="4" w:space="0" w:color="auto"/>
              <w:bottom w:val="single" w:sz="4" w:space="0" w:color="auto"/>
              <w:right w:val="single" w:sz="4" w:space="0" w:color="auto"/>
            </w:tcBorders>
          </w:tcPr>
          <w:p w:rsidR="002760BF" w:rsidRPr="00072245" w:rsidP="003C0292" w14:paraId="61CE08D8" w14:textId="7B981F4C">
            <w:pPr>
              <w:jc w:val="center"/>
            </w:pPr>
            <w:r w:rsidRPr="00072245">
              <w:t>6</w:t>
            </w:r>
          </w:p>
        </w:tc>
        <w:tc>
          <w:tcPr>
            <w:tcW w:w="1642" w:type="dxa"/>
            <w:tcBorders>
              <w:top w:val="single" w:sz="4" w:space="0" w:color="auto"/>
              <w:left w:val="single" w:sz="4" w:space="0" w:color="auto"/>
              <w:bottom w:val="single" w:sz="4" w:space="0" w:color="auto"/>
              <w:right w:val="single" w:sz="4" w:space="0" w:color="auto"/>
            </w:tcBorders>
          </w:tcPr>
          <w:p w:rsidR="002760BF" w:rsidRPr="00072245" w:rsidP="003C0292" w14:paraId="3836427A" w14:textId="77777777">
            <w:pPr>
              <w:jc w:val="center"/>
            </w:pPr>
            <w:r w:rsidRPr="00072245">
              <w:t>2</w:t>
            </w:r>
          </w:p>
        </w:tc>
        <w:tc>
          <w:tcPr>
            <w:tcW w:w="1330" w:type="dxa"/>
            <w:tcBorders>
              <w:top w:val="single" w:sz="4" w:space="0" w:color="auto"/>
              <w:left w:val="single" w:sz="4" w:space="0" w:color="auto"/>
              <w:bottom w:val="single" w:sz="4" w:space="0" w:color="auto"/>
              <w:right w:val="single" w:sz="4" w:space="0" w:color="auto"/>
            </w:tcBorders>
          </w:tcPr>
          <w:p w:rsidR="002760BF" w:rsidRPr="00072245" w:rsidP="003C0292" w14:paraId="14A10D67" w14:textId="77777777">
            <w:pPr>
              <w:jc w:val="center"/>
            </w:pPr>
            <w:r w:rsidRPr="00072245">
              <w:t>1</w:t>
            </w:r>
          </w:p>
        </w:tc>
        <w:tc>
          <w:tcPr>
            <w:tcW w:w="1745" w:type="dxa"/>
            <w:tcBorders>
              <w:top w:val="single" w:sz="4" w:space="0" w:color="auto"/>
              <w:left w:val="single" w:sz="4" w:space="0" w:color="auto"/>
              <w:bottom w:val="single" w:sz="4" w:space="0" w:color="auto"/>
              <w:right w:val="single" w:sz="4" w:space="0" w:color="auto"/>
            </w:tcBorders>
          </w:tcPr>
          <w:p w:rsidR="002760BF" w:rsidRPr="00072245" w:rsidP="003C0292" w14:paraId="018BDC0C" w14:textId="5FF6226F">
            <w:pPr>
              <w:jc w:val="center"/>
            </w:pPr>
            <w:r w:rsidRPr="00072245">
              <w:t>12</w:t>
            </w:r>
          </w:p>
        </w:tc>
      </w:tr>
      <w:tr w14:paraId="7F647029" w14:textId="77777777" w:rsidTr="3E713F47">
        <w:tblPrEx>
          <w:tblW w:w="0" w:type="auto"/>
          <w:tblLook w:val="01E0"/>
        </w:tblPrEx>
        <w:trPr>
          <w:trHeight w:val="285"/>
        </w:trPr>
        <w:tc>
          <w:tcPr>
            <w:tcW w:w="1803" w:type="dxa"/>
            <w:tcBorders>
              <w:top w:val="single" w:sz="4" w:space="0" w:color="auto"/>
              <w:left w:val="single" w:sz="4" w:space="0" w:color="auto"/>
              <w:bottom w:val="single" w:sz="4" w:space="0" w:color="auto"/>
              <w:right w:val="single" w:sz="4" w:space="0" w:color="auto"/>
            </w:tcBorders>
          </w:tcPr>
          <w:p w:rsidR="002760BF" w:rsidRPr="00072245" w:rsidP="003C0292" w14:paraId="33641875" w14:textId="77777777">
            <w:pPr>
              <w:spacing w:line="480" w:lineRule="auto"/>
            </w:pPr>
            <w:r w:rsidRPr="00072245">
              <w:t>Total</w:t>
            </w:r>
          </w:p>
        </w:tc>
        <w:tc>
          <w:tcPr>
            <w:tcW w:w="154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760BF" w:rsidRPr="00072245" w:rsidP="003C0292" w14:paraId="220B1B18" w14:textId="77777777">
            <w:pPr>
              <w:spacing w:line="480" w:lineRule="auto"/>
            </w:pPr>
          </w:p>
        </w:tc>
        <w:tc>
          <w:tcPr>
            <w:tcW w:w="151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760BF" w:rsidRPr="00072245" w:rsidP="003C0292" w14:paraId="1F1B325A" w14:textId="77777777">
            <w:pPr>
              <w:spacing w:line="480" w:lineRule="auto"/>
              <w:jc w:val="center"/>
            </w:pPr>
          </w:p>
        </w:tc>
        <w:tc>
          <w:tcPr>
            <w:tcW w:w="1642" w:type="dxa"/>
            <w:tcBorders>
              <w:top w:val="single" w:sz="4" w:space="0" w:color="auto"/>
              <w:left w:val="single" w:sz="4" w:space="0" w:color="auto"/>
              <w:bottom w:val="single" w:sz="4" w:space="0" w:color="auto"/>
              <w:right w:val="single" w:sz="4" w:space="0" w:color="auto"/>
            </w:tcBorders>
          </w:tcPr>
          <w:p w:rsidR="002760BF" w:rsidRPr="00072245" w:rsidP="003C0292" w14:paraId="716756DF" w14:textId="139213FC">
            <w:pPr>
              <w:spacing w:line="480" w:lineRule="auto"/>
              <w:jc w:val="center"/>
            </w:pPr>
            <w:r w:rsidRPr="00072245">
              <w:t>2</w:t>
            </w:r>
          </w:p>
        </w:tc>
        <w:tc>
          <w:tcPr>
            <w:tcW w:w="13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002760BF" w:rsidRPr="00072245" w:rsidP="003C0292" w14:paraId="247CA159" w14:textId="3A375234">
            <w:pPr>
              <w:spacing w:line="480" w:lineRule="auto"/>
            </w:pPr>
          </w:p>
        </w:tc>
        <w:tc>
          <w:tcPr>
            <w:tcW w:w="1745" w:type="dxa"/>
            <w:tcBorders>
              <w:top w:val="single" w:sz="4" w:space="0" w:color="auto"/>
              <w:left w:val="single" w:sz="4" w:space="0" w:color="auto"/>
              <w:bottom w:val="single" w:sz="4" w:space="0" w:color="auto"/>
              <w:right w:val="single" w:sz="4" w:space="0" w:color="auto"/>
            </w:tcBorders>
          </w:tcPr>
          <w:p w:rsidR="002760BF" w:rsidRPr="00072245" w:rsidP="00175AD9" w14:paraId="1CD05548" w14:textId="1B7D105E">
            <w:pPr>
              <w:widowControl/>
              <w:jc w:val="center"/>
            </w:pPr>
            <w:r w:rsidRPr="00072245">
              <w:t>1</w:t>
            </w:r>
            <w:r w:rsidRPr="00072245" w:rsidR="00175AD9">
              <w:t>,20</w:t>
            </w:r>
            <w:r w:rsidR="0020593B">
              <w:t>9</w:t>
            </w:r>
          </w:p>
        </w:tc>
      </w:tr>
    </w:tbl>
    <w:p w:rsidR="002760BF" w:rsidRPr="009A2DCD" w:rsidP="000E359D" w14:paraId="473D9727" w14:textId="77777777"/>
    <w:p w:rsidR="000C7CFB" w:rsidRPr="009A2DCD" w:rsidP="0042660F" w14:paraId="55358B5B" w14:textId="1464DD99">
      <w:pPr>
        <w:widowControl/>
        <w:spacing w:after="40"/>
      </w:pPr>
      <w:r w:rsidRPr="009A2DCD">
        <w:t xml:space="preserve">All data </w:t>
      </w:r>
      <w:r w:rsidR="00D31552">
        <w:t>is</w:t>
      </w:r>
      <w:r w:rsidRPr="009A2DCD">
        <w:t xml:space="preserve"> reported by the grantees</w:t>
      </w:r>
      <w:r w:rsidRPr="009A2DCD" w:rsidR="006F2D41">
        <w:t xml:space="preserve"> and their implementing sub</w:t>
      </w:r>
      <w:r w:rsidRPr="009A2DCD" w:rsidR="00C538E2">
        <w:t>-</w:t>
      </w:r>
      <w:r w:rsidRPr="009A2DCD" w:rsidR="006F2D41">
        <w:t>awardees</w:t>
      </w:r>
      <w:r w:rsidR="00976314">
        <w:t xml:space="preserve"> on behalf of the grantees</w:t>
      </w:r>
      <w:r w:rsidRPr="009A2DCD" w:rsidR="008A54E7">
        <w:t xml:space="preserve"> twice a year</w:t>
      </w:r>
      <w:r w:rsidRPr="009A2DCD" w:rsidR="00447C9A">
        <w:t xml:space="preserve"> (see </w:t>
      </w:r>
      <w:r w:rsidRPr="009A2DCD" w:rsidR="00447C9A">
        <w:rPr>
          <w:b/>
          <w:bCs/>
          <w:i/>
          <w:iCs/>
        </w:rPr>
        <w:t xml:space="preserve">Exhibit </w:t>
      </w:r>
      <w:r w:rsidRPr="009A2DCD" w:rsidR="00C63C90">
        <w:rPr>
          <w:b/>
          <w:bCs/>
          <w:i/>
          <w:iCs/>
        </w:rPr>
        <w:t>5</w:t>
      </w:r>
      <w:r w:rsidRPr="009A2DCD" w:rsidR="00FF20DF">
        <w:t xml:space="preserve"> for schedule).</w:t>
      </w:r>
      <w:r w:rsidRPr="009A2DCD" w:rsidR="0098755F">
        <w:t xml:space="preserve"> </w:t>
      </w:r>
      <w:r w:rsidRPr="009A2DCD" w:rsidR="008E5D91">
        <w:t>Grantees collect most of th</w:t>
      </w:r>
      <w:r w:rsidR="00D733AB">
        <w:t>is</w:t>
      </w:r>
      <w:r w:rsidRPr="009A2DCD" w:rsidR="008E5D91">
        <w:t xml:space="preserve"> data for th</w:t>
      </w:r>
      <w:r w:rsidRPr="009A2DCD" w:rsidR="00555EB2">
        <w:t>eir own administrative purposes</w:t>
      </w:r>
      <w:r w:rsidRPr="009A2DCD" w:rsidR="008E5D91">
        <w:t xml:space="preserve"> and are expected</w:t>
      </w:r>
      <w:r w:rsidR="00D31552">
        <w:t xml:space="preserve"> to</w:t>
      </w:r>
      <w:r w:rsidRPr="009A2DCD" w:rsidR="008E5D91">
        <w:t xml:space="preserve"> have their own systems in place to track the data. Thus, the only additional burden to grantees for reporting the performance measures is the time it takes them to assemble the necessary data and enter it into the reporting forms. </w:t>
      </w:r>
      <w:r w:rsidRPr="009A2DCD" w:rsidR="00B22FC7">
        <w:t xml:space="preserve">Respondents can either upload spreadsheets into the web-based system or enter the data directly into the system using a point and click method. The burden may be significantly less for grantees who manage their data using </w:t>
      </w:r>
      <w:r w:rsidRPr="009A2DCD" w:rsidR="008260B0">
        <w:t>contractor-</w:t>
      </w:r>
      <w:r w:rsidRPr="009A2DCD" w:rsidR="00B22FC7">
        <w:t xml:space="preserve">designed </w:t>
      </w:r>
      <w:r w:rsidRPr="009A2DCD" w:rsidR="0017227E">
        <w:t>data collection tools</w:t>
      </w:r>
      <w:r w:rsidRPr="009A2DCD" w:rsidR="00B22FC7">
        <w:t>.</w:t>
      </w:r>
      <w:r w:rsidRPr="009A2DCD" w:rsidR="004E5A4F">
        <w:t xml:space="preserve"> </w:t>
      </w:r>
      <w:r w:rsidRPr="009A2DCD" w:rsidR="00E2768A">
        <w:t>See Attachment</w:t>
      </w:r>
      <w:r w:rsidRPr="009A2DCD" w:rsidR="006D0911">
        <w:t xml:space="preserve">s </w:t>
      </w:r>
      <w:r w:rsidRPr="009A2DCD" w:rsidR="00E2768A">
        <w:t>for these</w:t>
      </w:r>
      <w:r w:rsidRPr="009A2DCD" w:rsidR="0017227E">
        <w:t xml:space="preserve"> data collection tools. </w:t>
      </w:r>
      <w:r w:rsidRPr="009A2DCD" w:rsidR="004E5A4F">
        <w:t>There is no burden to program participants.</w:t>
      </w:r>
    </w:p>
    <w:p w:rsidR="0042660F" w:rsidRPr="009A2DCD" w:rsidP="0042660F" w14:paraId="02300FD5" w14:textId="77777777">
      <w:pPr>
        <w:widowControl/>
        <w:spacing w:after="40"/>
        <w:rPr>
          <w:u w:val="single"/>
        </w:rPr>
      </w:pPr>
    </w:p>
    <w:p w:rsidR="00D10979" w:rsidRPr="009A2DCD" w:rsidP="00111252" w14:paraId="2334783B" w14:textId="6C80C10C">
      <w:pPr>
        <w:pStyle w:val="OMBHeading3"/>
        <w:spacing w:before="0" w:after="40"/>
        <w:rPr>
          <w:bCs/>
          <w:lang w:val="en-US"/>
        </w:rPr>
      </w:pPr>
      <w:bookmarkStart w:id="13" w:name="_Toc239751743"/>
      <w:bookmarkStart w:id="14" w:name="_Toc225240690"/>
      <w:bookmarkStart w:id="15" w:name="_Toc216149454"/>
      <w:bookmarkStart w:id="16" w:name="OLE_LINK1"/>
      <w:r w:rsidRPr="009A2DCD">
        <w:rPr>
          <w:bCs/>
          <w:lang w:val="en-US"/>
        </w:rPr>
        <w:t>12B</w:t>
      </w:r>
      <w:r w:rsidRPr="009A2DCD" w:rsidR="000C42BB">
        <w:rPr>
          <w:bCs/>
          <w:lang w:val="en-US"/>
        </w:rPr>
        <w:t xml:space="preserve">. </w:t>
      </w:r>
      <w:r w:rsidRPr="009A2DCD">
        <w:rPr>
          <w:bCs/>
          <w:u w:val="single"/>
          <w:lang w:val="en-US"/>
        </w:rPr>
        <w:t>Estimated Annualized Cost to Respondents</w:t>
      </w:r>
      <w:bookmarkEnd w:id="13"/>
      <w:bookmarkEnd w:id="14"/>
    </w:p>
    <w:p w:rsidR="00114E4A" w:rsidRPr="009A2DCD" w:rsidP="00050842" w14:paraId="1187A56F" w14:textId="217A900B">
      <w:pPr>
        <w:pStyle w:val="FigureTitle"/>
        <w:spacing w:before="0" w:after="40"/>
        <w:rPr>
          <w:rFonts w:asciiTheme="minorBidi" w:hAnsiTheme="minorBidi" w:cstheme="minorBidi"/>
          <w:i/>
          <w:iCs/>
          <w:sz w:val="20"/>
        </w:rPr>
      </w:pPr>
      <w:bookmarkStart w:id="17" w:name="_Toc239751759"/>
      <w:r w:rsidRPr="009A2DCD">
        <w:rPr>
          <w:b w:val="0"/>
          <w:bCs/>
          <w:iCs/>
        </w:rPr>
        <w:t>The estimated 1-year annualized cost to respondent</w:t>
      </w:r>
      <w:r w:rsidRPr="009A2DCD" w:rsidR="000F396C">
        <w:rPr>
          <w:b w:val="0"/>
          <w:bCs/>
          <w:iCs/>
        </w:rPr>
        <w:t xml:space="preserve">s </w:t>
      </w:r>
      <w:r w:rsidRPr="00A96FE1" w:rsidR="000F396C">
        <w:rPr>
          <w:b w:val="0"/>
          <w:bCs/>
          <w:iCs/>
        </w:rPr>
        <w:t xml:space="preserve">is </w:t>
      </w:r>
      <w:r w:rsidRPr="00A96FE1" w:rsidR="00707121">
        <w:rPr>
          <w:b w:val="0"/>
          <w:bCs/>
        </w:rPr>
        <w:t>$83,</w:t>
      </w:r>
      <w:r w:rsidRPr="00C551CF" w:rsidR="00C551CF">
        <w:rPr>
          <w:b w:val="0"/>
          <w:bCs/>
        </w:rPr>
        <w:t>348.46</w:t>
      </w:r>
      <w:r w:rsidR="00C551CF">
        <w:rPr>
          <w:b w:val="0"/>
          <w:bCs/>
        </w:rPr>
        <w:t xml:space="preserve"> </w:t>
      </w:r>
      <w:r w:rsidRPr="00A96FE1" w:rsidR="000F396C">
        <w:rPr>
          <w:b w:val="0"/>
          <w:bCs/>
          <w:iCs/>
        </w:rPr>
        <w:t>a</w:t>
      </w:r>
      <w:r w:rsidRPr="00A96FE1">
        <w:rPr>
          <w:b w:val="0"/>
          <w:bCs/>
          <w:iCs/>
        </w:rPr>
        <w:t>s shown</w:t>
      </w:r>
      <w:r w:rsidRPr="009A2DCD">
        <w:rPr>
          <w:b w:val="0"/>
          <w:bCs/>
          <w:iCs/>
        </w:rPr>
        <w:t xml:space="preserve"> in </w:t>
      </w:r>
      <w:r w:rsidRPr="009A2DCD" w:rsidR="00635C1D">
        <w:rPr>
          <w:i/>
          <w:iCs/>
        </w:rPr>
        <w:t xml:space="preserve">Exhibit </w:t>
      </w:r>
      <w:r w:rsidRPr="009A2DCD" w:rsidR="009D440A">
        <w:rPr>
          <w:i/>
          <w:iCs/>
        </w:rPr>
        <w:t>4</w:t>
      </w:r>
      <w:r w:rsidRPr="009A2DCD">
        <w:rPr>
          <w:b w:val="0"/>
          <w:bCs/>
          <w:iCs/>
        </w:rPr>
        <w:t>. Salaries of the grantee staff collecting data, entering data, and summarizing and</w:t>
      </w:r>
      <w:r w:rsidRPr="009A2DCD" w:rsidR="006E1EB1">
        <w:rPr>
          <w:b w:val="0"/>
          <w:bCs/>
          <w:iCs/>
        </w:rPr>
        <w:t xml:space="preserve"> reporting data may vary</w:t>
      </w:r>
      <w:r w:rsidRPr="009A2DCD" w:rsidR="000F396C">
        <w:rPr>
          <w:b w:val="0"/>
          <w:bCs/>
          <w:iCs/>
        </w:rPr>
        <w:t xml:space="preserve"> across agencies</w:t>
      </w:r>
      <w:r w:rsidRPr="009A2DCD">
        <w:rPr>
          <w:b w:val="0"/>
          <w:bCs/>
          <w:iCs/>
        </w:rPr>
        <w:t xml:space="preserve">. </w:t>
      </w:r>
      <w:r w:rsidRPr="00776EF7" w:rsidR="00776EF7">
        <w:rPr>
          <w:b w:val="0"/>
          <w:bCs/>
          <w:iCs/>
        </w:rPr>
        <w:t xml:space="preserve">The most likely professional designation of grantee staff entering this data </w:t>
      </w:r>
      <w:r w:rsidR="00B14AC0">
        <w:rPr>
          <w:b w:val="0"/>
          <w:bCs/>
          <w:iCs/>
        </w:rPr>
        <w:t>is</w:t>
      </w:r>
      <w:r w:rsidRPr="00776EF7" w:rsidR="00776EF7">
        <w:rPr>
          <w:b w:val="0"/>
          <w:bCs/>
          <w:iCs/>
        </w:rPr>
        <w:t xml:space="preserve"> health educational specialists, with an average hourly rate of $</w:t>
      </w:r>
      <w:r w:rsidR="00776EF7">
        <w:rPr>
          <w:b w:val="0"/>
          <w:bCs/>
          <w:iCs/>
        </w:rPr>
        <w:t>34.47</w:t>
      </w:r>
      <w:r w:rsidRPr="00776EF7" w:rsidR="00776EF7">
        <w:rPr>
          <w:b w:val="0"/>
          <w:bCs/>
          <w:iCs/>
        </w:rPr>
        <w:t xml:space="preserve"> based on </w:t>
      </w:r>
      <w:r w:rsidR="00776EF7">
        <w:rPr>
          <w:b w:val="0"/>
          <w:bCs/>
          <w:iCs/>
        </w:rPr>
        <w:t xml:space="preserve">national </w:t>
      </w:r>
      <w:r w:rsidRPr="00776EF7" w:rsidR="00776EF7">
        <w:rPr>
          <w:b w:val="0"/>
          <w:bCs/>
          <w:iCs/>
        </w:rPr>
        <w:t xml:space="preserve">data from the </w:t>
      </w:r>
      <w:hyperlink r:id="rId14" w:history="1">
        <w:r w:rsidRPr="009A2DCD" w:rsidR="00776EF7">
          <w:rPr>
            <w:rStyle w:val="Hyperlink"/>
            <w:b w:val="0"/>
            <w:bCs/>
            <w:iCs/>
            <w:color w:val="auto"/>
          </w:rPr>
          <w:t>Occupational Employment and Wages</w:t>
        </w:r>
      </w:hyperlink>
      <w:r w:rsidRPr="009A2DCD" w:rsidR="00776EF7">
        <w:rPr>
          <w:b w:val="0"/>
          <w:bCs/>
          <w:iCs/>
        </w:rPr>
        <w:t>, May 202</w:t>
      </w:r>
      <w:r w:rsidR="00776EF7">
        <w:rPr>
          <w:b w:val="0"/>
          <w:bCs/>
          <w:iCs/>
        </w:rPr>
        <w:t>4</w:t>
      </w:r>
      <w:r w:rsidRPr="009A2DCD" w:rsidR="00776EF7">
        <w:rPr>
          <w:b w:val="0"/>
          <w:bCs/>
          <w:iCs/>
        </w:rPr>
        <w:t xml:space="preserve"> of the US Bureau of Labor Statistics</w:t>
      </w:r>
      <w:r w:rsidRPr="00776EF7" w:rsidR="00776EF7">
        <w:rPr>
          <w:b w:val="0"/>
          <w:bCs/>
          <w:iCs/>
        </w:rPr>
        <w:t xml:space="preserve"> for the health care and social assistance sector. The annualized estimate in Exhibit </w:t>
      </w:r>
      <w:r w:rsidR="00776EF7">
        <w:rPr>
          <w:b w:val="0"/>
          <w:bCs/>
          <w:iCs/>
        </w:rPr>
        <w:t>4</w:t>
      </w:r>
      <w:r w:rsidRPr="00776EF7" w:rsidR="00776EF7">
        <w:rPr>
          <w:b w:val="0"/>
          <w:bCs/>
          <w:iCs/>
        </w:rPr>
        <w:t xml:space="preserve"> uses </w:t>
      </w:r>
      <w:r w:rsidR="00166EE9">
        <w:rPr>
          <w:b w:val="0"/>
          <w:bCs/>
          <w:iCs/>
        </w:rPr>
        <w:t xml:space="preserve">fully </w:t>
      </w:r>
      <w:r w:rsidRPr="00776EF7" w:rsidR="00776EF7">
        <w:rPr>
          <w:b w:val="0"/>
          <w:bCs/>
          <w:iCs/>
        </w:rPr>
        <w:t xml:space="preserve">loaded </w:t>
      </w:r>
      <w:r w:rsidR="00773105">
        <w:rPr>
          <w:b w:val="0"/>
          <w:bCs/>
          <w:iCs/>
        </w:rPr>
        <w:t>hourly wage</w:t>
      </w:r>
      <w:r w:rsidRPr="00776EF7" w:rsidR="00776EF7">
        <w:rPr>
          <w:b w:val="0"/>
          <w:bCs/>
          <w:iCs/>
        </w:rPr>
        <w:t xml:space="preserve"> per role, estimated as twice the hourly</w:t>
      </w:r>
      <w:r w:rsidR="00776EF7">
        <w:rPr>
          <w:b w:val="0"/>
          <w:bCs/>
          <w:iCs/>
        </w:rPr>
        <w:t xml:space="preserve"> average</w:t>
      </w:r>
      <w:r w:rsidRPr="00776EF7" w:rsidR="00776EF7">
        <w:rPr>
          <w:b w:val="0"/>
          <w:bCs/>
          <w:iCs/>
        </w:rPr>
        <w:t xml:space="preserve"> wage of a health educational specialist, </w:t>
      </w:r>
      <w:r w:rsidR="00776EF7">
        <w:rPr>
          <w:b w:val="0"/>
          <w:bCs/>
          <w:iCs/>
        </w:rPr>
        <w:t xml:space="preserve">which </w:t>
      </w:r>
      <w:r w:rsidR="00845188">
        <w:rPr>
          <w:b w:val="0"/>
          <w:bCs/>
          <w:iCs/>
        </w:rPr>
        <w:t xml:space="preserve">is </w:t>
      </w:r>
      <w:r w:rsidRPr="009A2DCD" w:rsidR="00845188">
        <w:rPr>
          <w:b w:val="0"/>
          <w:bCs/>
          <w:iCs/>
        </w:rPr>
        <w:t>$</w:t>
      </w:r>
      <w:r w:rsidR="00FA3939">
        <w:rPr>
          <w:b w:val="0"/>
          <w:bCs/>
          <w:iCs/>
        </w:rPr>
        <w:t>68</w:t>
      </w:r>
      <w:r w:rsidR="00872ABE">
        <w:rPr>
          <w:b w:val="0"/>
          <w:bCs/>
          <w:iCs/>
        </w:rPr>
        <w:t>.</w:t>
      </w:r>
      <w:r w:rsidR="00D65D93">
        <w:rPr>
          <w:b w:val="0"/>
          <w:bCs/>
          <w:iCs/>
        </w:rPr>
        <w:t>94</w:t>
      </w:r>
      <w:r w:rsidR="002807DB">
        <w:rPr>
          <w:b w:val="0"/>
          <w:bCs/>
          <w:iCs/>
        </w:rPr>
        <w:t>.</w:t>
      </w:r>
    </w:p>
    <w:p w:rsidR="00D10979" w:rsidRPr="009A2DCD" w:rsidP="005B7788" w14:paraId="54F65ECC" w14:textId="40415FE3">
      <w:pPr>
        <w:pStyle w:val="FigureTitle"/>
        <w:rPr>
          <w:rFonts w:asciiTheme="majorBidi" w:hAnsiTheme="majorBidi" w:cstheme="majorBidi"/>
          <w:b w:val="0"/>
          <w:bCs/>
          <w:szCs w:val="24"/>
        </w:rPr>
      </w:pPr>
      <w:r w:rsidRPr="009A2DCD">
        <w:rPr>
          <w:rFonts w:asciiTheme="majorBidi" w:hAnsiTheme="majorBidi" w:cstheme="majorBidi"/>
          <w:b w:val="0"/>
          <w:bCs/>
          <w:szCs w:val="24"/>
        </w:rPr>
        <w:t xml:space="preserve">Exhibit </w:t>
      </w:r>
      <w:r w:rsidRPr="009A2DCD" w:rsidR="009D440A">
        <w:rPr>
          <w:rFonts w:asciiTheme="majorBidi" w:hAnsiTheme="majorBidi" w:cstheme="majorBidi"/>
          <w:b w:val="0"/>
          <w:bCs/>
          <w:szCs w:val="24"/>
        </w:rPr>
        <w:t>4</w:t>
      </w:r>
      <w:r w:rsidRPr="009A2DCD">
        <w:rPr>
          <w:rFonts w:asciiTheme="majorBidi" w:hAnsiTheme="majorBidi" w:cstheme="majorBidi"/>
          <w:b w:val="0"/>
          <w:bCs/>
          <w:szCs w:val="24"/>
        </w:rPr>
        <w:t>. Estimated 1-Year Annualized Cost to Respondents</w:t>
      </w:r>
      <w:bookmarkEnd w:id="17"/>
      <w:r w:rsidRPr="009A2DCD">
        <w:rPr>
          <w:rFonts w:asciiTheme="majorBidi" w:hAnsiTheme="majorBidi" w:cstheme="majorBidi"/>
          <w:b w:val="0"/>
          <w:bCs/>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69"/>
        <w:gridCol w:w="1175"/>
        <w:gridCol w:w="1175"/>
        <w:gridCol w:w="1350"/>
      </w:tblGrid>
      <w:tr w14:paraId="791F5F03" w14:textId="7840E8B9" w:rsidTr="00373D65">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285"/>
        </w:trPr>
        <w:tc>
          <w:tcPr>
            <w:tcW w:w="2469" w:type="dxa"/>
          </w:tcPr>
          <w:p w:rsidR="00373D65" w:rsidRPr="009A2DCD" w:rsidP="003A2E47" w14:paraId="31C08223" w14:textId="02B11195">
            <w:pPr>
              <w:rPr>
                <w:b/>
              </w:rPr>
            </w:pPr>
            <w:r w:rsidRPr="009A2DCD">
              <w:t>Type of Respondent</w:t>
            </w:r>
          </w:p>
        </w:tc>
        <w:tc>
          <w:tcPr>
            <w:tcW w:w="1175" w:type="dxa"/>
          </w:tcPr>
          <w:p w:rsidR="00373D65" w:rsidRPr="009A2DCD" w:rsidP="003A2E47" w14:paraId="2570F2CD" w14:textId="466CF1F9">
            <w:pPr>
              <w:jc w:val="center"/>
              <w:rPr>
                <w:b/>
              </w:rPr>
            </w:pPr>
            <w:r w:rsidRPr="009A2DCD">
              <w:t>Total Burden Hours</w:t>
            </w:r>
          </w:p>
        </w:tc>
        <w:tc>
          <w:tcPr>
            <w:tcW w:w="1175" w:type="dxa"/>
          </w:tcPr>
          <w:p w:rsidR="00373D65" w:rsidRPr="009A2DCD" w:rsidP="003A2E47" w14:paraId="587E746F" w14:textId="4F7E04BE">
            <w:pPr>
              <w:jc w:val="center"/>
            </w:pPr>
            <w:r>
              <w:t xml:space="preserve">Loaded </w:t>
            </w:r>
            <w:r w:rsidRPr="009A2DCD" w:rsidR="00DD5760">
              <w:t>Hourly Wage Rate</w:t>
            </w:r>
          </w:p>
        </w:tc>
        <w:tc>
          <w:tcPr>
            <w:tcW w:w="1350" w:type="dxa"/>
          </w:tcPr>
          <w:p w:rsidR="00373D65" w:rsidRPr="009A2DCD" w:rsidP="003A2E47" w14:paraId="6D2CE862" w14:textId="4429981F">
            <w:pPr>
              <w:jc w:val="center"/>
            </w:pPr>
            <w:r w:rsidRPr="009A2DCD">
              <w:t>Total Respondent Costs</w:t>
            </w:r>
          </w:p>
        </w:tc>
      </w:tr>
      <w:tr w14:paraId="0A9D9FD6" w14:textId="576BF0C3" w:rsidTr="00373D65">
        <w:tblPrEx>
          <w:tblW w:w="0" w:type="auto"/>
          <w:tblLook w:val="01E0"/>
        </w:tblPrEx>
        <w:trPr>
          <w:trHeight w:val="285"/>
        </w:trPr>
        <w:tc>
          <w:tcPr>
            <w:tcW w:w="2469" w:type="dxa"/>
          </w:tcPr>
          <w:p w:rsidR="00373D65" w:rsidRPr="009A2DCD" w:rsidP="003A2E47" w14:paraId="438CED4D" w14:textId="48F99EAE">
            <w:r w:rsidRPr="009A2DCD">
              <w:t>Grantee staff (Health Education Specialist)</w:t>
            </w:r>
          </w:p>
        </w:tc>
        <w:tc>
          <w:tcPr>
            <w:tcW w:w="1175" w:type="dxa"/>
          </w:tcPr>
          <w:p w:rsidR="00373D65" w:rsidRPr="009A2DCD" w:rsidP="003A2E47" w14:paraId="746966E7" w14:textId="2FC354F3">
            <w:pPr>
              <w:jc w:val="center"/>
            </w:pPr>
            <w:r>
              <w:t>120</w:t>
            </w:r>
            <w:r w:rsidR="00DD538E">
              <w:t>9</w:t>
            </w:r>
          </w:p>
        </w:tc>
        <w:tc>
          <w:tcPr>
            <w:tcW w:w="1175" w:type="dxa"/>
          </w:tcPr>
          <w:p w:rsidR="00373D65" w:rsidRPr="009A2DCD" w:rsidP="003A2E47" w14:paraId="173E707B" w14:textId="6EC048CE">
            <w:pPr>
              <w:jc w:val="center"/>
            </w:pPr>
            <w:r w:rsidRPr="009A2DCD">
              <w:t>$</w:t>
            </w:r>
            <w:r w:rsidR="00E4394B">
              <w:t>68.94</w:t>
            </w:r>
          </w:p>
        </w:tc>
        <w:tc>
          <w:tcPr>
            <w:tcW w:w="1350" w:type="dxa"/>
          </w:tcPr>
          <w:p w:rsidR="00373D65" w:rsidRPr="009A2DCD" w:rsidP="003A2E47" w14:paraId="63005124" w14:textId="739EC1E5">
            <w:pPr>
              <w:jc w:val="center"/>
            </w:pPr>
            <w:r w:rsidRPr="009A2DCD">
              <w:t>$</w:t>
            </w:r>
            <w:r w:rsidR="00707121">
              <w:t>83,</w:t>
            </w:r>
            <w:r w:rsidR="00DD538E">
              <w:t>348.46</w:t>
            </w:r>
          </w:p>
        </w:tc>
      </w:tr>
      <w:tr w14:paraId="29A08894" w14:textId="21AD53D4" w:rsidTr="00C72F42">
        <w:tblPrEx>
          <w:tblW w:w="0" w:type="auto"/>
          <w:tblLook w:val="01E0"/>
        </w:tblPrEx>
        <w:trPr>
          <w:trHeight w:val="285"/>
        </w:trPr>
        <w:tc>
          <w:tcPr>
            <w:tcW w:w="2469" w:type="dxa"/>
          </w:tcPr>
          <w:p w:rsidR="00373D65" w:rsidRPr="009A2DCD" w:rsidP="00244F2F" w14:paraId="5B701A15" w14:textId="571EBE30">
            <w:r w:rsidRPr="009A2DCD">
              <w:t>Total</w:t>
            </w:r>
          </w:p>
        </w:tc>
        <w:tc>
          <w:tcPr>
            <w:tcW w:w="1175" w:type="dxa"/>
            <w:shd w:val="clear" w:color="auto" w:fill="A0A0A0"/>
          </w:tcPr>
          <w:p w:rsidR="00373D65" w:rsidRPr="009A2DCD" w:rsidP="00244F2F" w14:paraId="12FDB1F4" w14:textId="77777777">
            <w:pPr>
              <w:jc w:val="center"/>
              <w:rPr>
                <w:u w:val="single"/>
              </w:rPr>
            </w:pPr>
          </w:p>
        </w:tc>
        <w:tc>
          <w:tcPr>
            <w:tcW w:w="1175" w:type="dxa"/>
            <w:shd w:val="clear" w:color="auto" w:fill="A0A0A0"/>
          </w:tcPr>
          <w:p w:rsidR="00373D65" w:rsidRPr="009A2DCD" w:rsidP="00244F2F" w14:paraId="5D4CE617" w14:textId="77777777">
            <w:pPr>
              <w:jc w:val="center"/>
              <w:rPr>
                <w:u w:val="single"/>
              </w:rPr>
            </w:pPr>
          </w:p>
        </w:tc>
        <w:tc>
          <w:tcPr>
            <w:tcW w:w="1350" w:type="dxa"/>
          </w:tcPr>
          <w:p w:rsidR="00373D65" w:rsidRPr="009A2DCD" w:rsidP="00244F2F" w14:paraId="1175BEF7" w14:textId="2C81634E">
            <w:pPr>
              <w:jc w:val="center"/>
              <w:rPr>
                <w:u w:val="single"/>
              </w:rPr>
            </w:pPr>
            <w:r w:rsidRPr="009A2DCD">
              <w:t>$</w:t>
            </w:r>
            <w:r>
              <w:t>83,</w:t>
            </w:r>
            <w:r w:rsidR="00AE48A0">
              <w:t>348.46</w:t>
            </w:r>
          </w:p>
        </w:tc>
      </w:tr>
    </w:tbl>
    <w:p w:rsidR="009C53DB" w:rsidP="00A5280A" w14:paraId="14A2A699" w14:textId="77777777">
      <w:bookmarkStart w:id="18" w:name="_Toc239751744"/>
      <w:bookmarkEnd w:id="15"/>
      <w:bookmarkEnd w:id="16"/>
    </w:p>
    <w:p w:rsidR="00D10979" w:rsidRPr="009A2DCD" w:rsidP="00A5280A" w14:paraId="63F9C4E1" w14:textId="5F27CAF9">
      <w:pPr>
        <w:pStyle w:val="OMBheading-2"/>
      </w:pPr>
      <w:bookmarkStart w:id="19" w:name="_Toc225240691"/>
      <w:r w:rsidRPr="009A2DCD">
        <w:t>Estimates of other Total Annual Cost Burden to Respondents or Record keepers/</w:t>
      </w:r>
      <w:r w:rsidRPr="009A2DCD" w:rsidR="00DD5760">
        <w:t>Capital Costs</w:t>
      </w:r>
      <w:bookmarkEnd w:id="18"/>
      <w:bookmarkEnd w:id="19"/>
    </w:p>
    <w:p w:rsidR="00D10979" w:rsidRPr="009A2DCD" w:rsidP="00D10979" w14:paraId="0002E5F3" w14:textId="77777777">
      <w:pPr>
        <w:pStyle w:val="OMBbodytext"/>
      </w:pPr>
      <w:r w:rsidRPr="009A2DCD">
        <w:t>There are no capital costs associated with this study.</w:t>
      </w:r>
    </w:p>
    <w:p w:rsidR="00D10979" w:rsidRPr="009A2DCD" w:rsidP="00A5280A" w14:paraId="0A3C5893" w14:textId="03433B19">
      <w:pPr>
        <w:pStyle w:val="OMBheading-2"/>
      </w:pPr>
      <w:bookmarkStart w:id="20" w:name="_Toc239751745"/>
      <w:bookmarkStart w:id="21" w:name="_Toc225240692"/>
      <w:r w:rsidRPr="009A2DCD">
        <w:t xml:space="preserve">Annualized </w:t>
      </w:r>
      <w:r w:rsidRPr="009A2DCD" w:rsidR="00DD5760">
        <w:t>Cost to Federal Government</w:t>
      </w:r>
      <w:bookmarkEnd w:id="20"/>
      <w:bookmarkEnd w:id="21"/>
    </w:p>
    <w:p w:rsidR="00982F91" w14:paraId="250F68F7" w14:textId="64898C5E">
      <w:pPr>
        <w:pStyle w:val="OMBbodytext"/>
      </w:pPr>
      <w:r w:rsidRPr="009A2DCD">
        <w:t xml:space="preserve">The </w:t>
      </w:r>
      <w:r w:rsidRPr="009A2DCD" w:rsidR="006D0911">
        <w:t xml:space="preserve">annual </w:t>
      </w:r>
      <w:r w:rsidRPr="009A2DCD">
        <w:t>cost to the federal government i</w:t>
      </w:r>
      <w:r w:rsidRPr="009A2DCD" w:rsidR="006253E5">
        <w:t xml:space="preserve">s </w:t>
      </w:r>
      <w:r w:rsidRPr="009A2DCD" w:rsidR="006D0911">
        <w:t>$</w:t>
      </w:r>
      <w:r w:rsidRPr="002833E1" w:rsidR="002833E1">
        <w:t>593,788</w:t>
      </w:r>
      <w:r w:rsidRPr="009A2DCD">
        <w:t xml:space="preserve"> </w:t>
      </w:r>
      <w:r w:rsidRPr="009A2DCD" w:rsidR="006D0911">
        <w:t>per</w:t>
      </w:r>
      <w:r w:rsidRPr="009A2DCD">
        <w:t xml:space="preserve"> year.</w:t>
      </w:r>
      <w:r w:rsidRPr="009A2DCD" w:rsidR="00D10979">
        <w:t xml:space="preserve"> </w:t>
      </w:r>
    </w:p>
    <w:p w:rsidR="00982F91" w14:paraId="07DAFECC" w14:textId="60CE24AD">
      <w:pPr>
        <w:pStyle w:val="OMBbodytext"/>
      </w:pPr>
      <w:r w:rsidRPr="009A2DCD">
        <w:t>The</w:t>
      </w:r>
      <w:r w:rsidR="00BE7E68">
        <w:t xml:space="preserve"> annual</w:t>
      </w:r>
      <w:r w:rsidRPr="009A2DCD">
        <w:t xml:space="preserve"> cost </w:t>
      </w:r>
      <w:r w:rsidRPr="009A2DCD" w:rsidR="00DD5760">
        <w:t xml:space="preserve">includes </w:t>
      </w:r>
      <w:r>
        <w:t>$</w:t>
      </w:r>
      <w:r w:rsidRPr="00982F91">
        <w:t>578</w:t>
      </w:r>
      <w:r>
        <w:t>,500</w:t>
      </w:r>
      <w:r w:rsidRPr="009A2DCD" w:rsidR="00DD5760">
        <w:t xml:space="preserve"> </w:t>
      </w:r>
      <w:r w:rsidR="00BE7E68">
        <w:t xml:space="preserve">per year for contract costs. Contracted costs include the </w:t>
      </w:r>
      <w:r w:rsidRPr="009A2DCD" w:rsidR="00DD5760">
        <w:t>cost of coordination with O</w:t>
      </w:r>
      <w:r w:rsidRPr="009A2DCD" w:rsidR="00022DFD">
        <w:t>PA</w:t>
      </w:r>
      <w:r w:rsidRPr="009A2DCD" w:rsidR="00DD5760">
        <w:t xml:space="preserve">, </w:t>
      </w:r>
      <w:r w:rsidR="00BE7E68">
        <w:t xml:space="preserve">development and </w:t>
      </w:r>
      <w:r w:rsidRPr="009A2DCD" w:rsidR="00DD5760">
        <w:t xml:space="preserve">on-going maintenance of the data reporting system, </w:t>
      </w:r>
      <w:r>
        <w:t xml:space="preserve">ongoing </w:t>
      </w:r>
      <w:r w:rsidRPr="009A2DCD" w:rsidR="00DD5760">
        <w:t xml:space="preserve">training and technical assistance to the grantees and </w:t>
      </w:r>
      <w:r w:rsidRPr="009A2DCD" w:rsidR="00022DFD">
        <w:t xml:space="preserve">federal </w:t>
      </w:r>
      <w:r w:rsidRPr="009A2DCD" w:rsidR="00DD5760">
        <w:t xml:space="preserve">staff in the use of the data reporting system, and data </w:t>
      </w:r>
      <w:r w:rsidRPr="009A2DCD" w:rsidR="006D0911">
        <w:t xml:space="preserve">validation, </w:t>
      </w:r>
      <w:r w:rsidRPr="009A2DCD" w:rsidR="00DD5760">
        <w:t>analysis and reporting</w:t>
      </w:r>
      <w:r w:rsidRPr="009A2DCD">
        <w:t xml:space="preserve"> by the contractor staff</w:t>
      </w:r>
      <w:r>
        <w:t>. This figure</w:t>
      </w:r>
      <w:r w:rsidR="00B14AC0">
        <w:t xml:space="preserve"> </w:t>
      </w:r>
      <w:r>
        <w:t>includes</w:t>
      </w:r>
      <w:r w:rsidR="00B14AC0">
        <w:t xml:space="preserve"> loaded wage data from the current contract</w:t>
      </w:r>
      <w:r w:rsidRPr="009A2DCD" w:rsidR="00DD5760">
        <w:t xml:space="preserve">. </w:t>
      </w:r>
    </w:p>
    <w:p w:rsidR="00B14AC0" w:rsidRPr="009A2DCD" w14:paraId="6B7EC761" w14:textId="0E1097B5">
      <w:pPr>
        <w:pStyle w:val="OMBbodytext"/>
      </w:pPr>
      <w:r>
        <w:t xml:space="preserve">Additionally, the </w:t>
      </w:r>
      <w:r w:rsidR="002833E1">
        <w:t xml:space="preserve">annual </w:t>
      </w:r>
      <w:r>
        <w:t>costs</w:t>
      </w:r>
      <w:r w:rsidR="002833E1">
        <w:t xml:space="preserve"> to the federal government</w:t>
      </w:r>
      <w:r>
        <w:t xml:space="preserve"> include</w:t>
      </w:r>
      <w:r w:rsidR="002833E1">
        <w:t xml:space="preserve"> $</w:t>
      </w:r>
      <w:r w:rsidRPr="002833E1" w:rsidR="002833E1">
        <w:t>15</w:t>
      </w:r>
      <w:r w:rsidR="002833E1">
        <w:t>,</w:t>
      </w:r>
      <w:r w:rsidRPr="002833E1" w:rsidR="002833E1">
        <w:t>28</w:t>
      </w:r>
      <w:r w:rsidR="002833E1">
        <w:t>8, representing a</w:t>
      </w:r>
      <w:r>
        <w:t xml:space="preserve">n estimate of </w:t>
      </w:r>
      <w:r w:rsidR="002833E1">
        <w:t>50 hours</w:t>
      </w:r>
      <w:r>
        <w:t xml:space="preserve"> per year </w:t>
      </w:r>
      <w:r w:rsidR="00BE7E68">
        <w:t xml:space="preserve">spent </w:t>
      </w:r>
      <w:r>
        <w:t xml:space="preserve">by federal staff (using </w:t>
      </w:r>
      <w:r w:rsidR="002833E1">
        <w:t>twice the</w:t>
      </w:r>
      <w:r>
        <w:t xml:space="preserve"> </w:t>
      </w:r>
      <w:r w:rsidR="002833E1">
        <w:t xml:space="preserve">hourly </w:t>
      </w:r>
      <w:r>
        <w:t>wage of GS13 step 1</w:t>
      </w:r>
      <w:r>
        <w:rPr>
          <w:rStyle w:val="FootnoteReference"/>
          <w:vertAlign w:val="superscript"/>
        </w:rPr>
        <w:footnoteReference w:id="3"/>
      </w:r>
      <w:r>
        <w:t xml:space="preserve"> for the estimate</w:t>
      </w:r>
      <w:r w:rsidR="002833E1">
        <w:t xml:space="preserve"> of loaded hourly wage</w:t>
      </w:r>
      <w:r>
        <w:t>) overseeing the contract</w:t>
      </w:r>
      <w:r w:rsidR="00DD371B">
        <w:t xml:space="preserve"> and </w:t>
      </w:r>
      <w:r>
        <w:t xml:space="preserve">reviewing </w:t>
      </w:r>
      <w:r w:rsidR="00BE7E68">
        <w:t xml:space="preserve">contract </w:t>
      </w:r>
      <w:r>
        <w:t>deliverables</w:t>
      </w:r>
      <w:r>
        <w:t xml:space="preserve">. </w:t>
      </w:r>
    </w:p>
    <w:p w:rsidR="00D10979" w:rsidRPr="009A2DCD" w:rsidP="00A5280A" w14:paraId="5A5A1CEB" w14:textId="555BBF35">
      <w:pPr>
        <w:pStyle w:val="OMBheading-2"/>
      </w:pPr>
      <w:bookmarkStart w:id="22" w:name="_Toc66688723"/>
      <w:bookmarkStart w:id="23" w:name="_Toc239751746"/>
      <w:bookmarkStart w:id="24" w:name="_Toc225240693"/>
      <w:r w:rsidRPr="009A2DCD">
        <w:t xml:space="preserve">Explanation for </w:t>
      </w:r>
      <w:r w:rsidRPr="009A2DCD" w:rsidR="00DD5760">
        <w:t xml:space="preserve">Program </w:t>
      </w:r>
      <w:r w:rsidRPr="009A2DCD">
        <w:t xml:space="preserve">Changes </w:t>
      </w:r>
      <w:r w:rsidRPr="009A2DCD" w:rsidR="00DD5760">
        <w:t xml:space="preserve">or </w:t>
      </w:r>
      <w:bookmarkEnd w:id="22"/>
      <w:bookmarkEnd w:id="23"/>
      <w:r w:rsidRPr="009A2DCD">
        <w:t>Adjustments</w:t>
      </w:r>
      <w:bookmarkEnd w:id="24"/>
    </w:p>
    <w:p w:rsidR="00F17051" w:rsidP="007871B2" w14:paraId="137B9C0D" w14:textId="18E365C9">
      <w:pPr>
        <w:pStyle w:val="OMBbodytext"/>
      </w:pPr>
      <w:r>
        <w:t xml:space="preserve"> </w:t>
      </w:r>
      <w:r w:rsidR="004D322E">
        <w:t xml:space="preserve">The </w:t>
      </w:r>
      <w:r w:rsidR="00B14AC0">
        <w:t>primary</w:t>
      </w:r>
      <w:r w:rsidR="00845188">
        <w:t xml:space="preserve"> </w:t>
      </w:r>
      <w:r w:rsidR="00DB6E61">
        <w:t>change</w:t>
      </w:r>
      <w:r w:rsidR="004D322E">
        <w:t xml:space="preserve"> </w:t>
      </w:r>
      <w:r w:rsidR="000D2725">
        <w:t xml:space="preserve">requested in this revision </w:t>
      </w:r>
      <w:r w:rsidR="007871B2">
        <w:t>is that the</w:t>
      </w:r>
      <w:r w:rsidRPr="00F17051">
        <w:t xml:space="preserve"> total burden in this renewal package decreased from that in the original submission in 2023 due to a decrease in the number of awardees. The original information collection request for 0937-0213 was submitted before final grant awards were made, and </w:t>
      </w:r>
      <w:r w:rsidR="006C294E">
        <w:t xml:space="preserve">the number of </w:t>
      </w:r>
      <w:r w:rsidRPr="00F17051">
        <w:t>estimated respondents was based on the maximum number of awards that could have been made</w:t>
      </w:r>
      <w:r w:rsidR="00BF6E58">
        <w:t xml:space="preserve"> (</w:t>
      </w:r>
      <w:r w:rsidR="00885AD6">
        <w:t>96</w:t>
      </w:r>
      <w:r w:rsidR="009376A1">
        <w:t>)</w:t>
      </w:r>
      <w:r w:rsidRPr="00F17051">
        <w:t xml:space="preserve">.  The number of awardees in this information collection request </w:t>
      </w:r>
      <w:r w:rsidR="009376A1">
        <w:t xml:space="preserve">(79) </w:t>
      </w:r>
      <w:r w:rsidRPr="00F17051">
        <w:t xml:space="preserve">has </w:t>
      </w:r>
      <w:r w:rsidRPr="00F17051">
        <w:t>been updated</w:t>
      </w:r>
      <w:r w:rsidRPr="00F17051">
        <w:t xml:space="preserve"> to reflect the actual number of </w:t>
      </w:r>
      <w:r w:rsidR="009646F7">
        <w:t>awardees currently funded within the TPP2023 cohort</w:t>
      </w:r>
      <w:r w:rsidR="00885AD6">
        <w:t xml:space="preserve"> (68) and</w:t>
      </w:r>
      <w:r w:rsidRPr="00F17051">
        <w:t xml:space="preserve"> </w:t>
      </w:r>
      <w:r w:rsidRPr="00885AD6" w:rsidR="00885AD6">
        <w:t>the 11 grantees anticipated funded in FY2026</w:t>
      </w:r>
      <w:r w:rsidR="00B14AC0">
        <w:t xml:space="preserve"> using funds from grantees who relinquished their TPP23 grants</w:t>
      </w:r>
      <w:r w:rsidRPr="00F17051">
        <w:t xml:space="preserve">. </w:t>
      </w:r>
      <w:r w:rsidR="00DB6E61">
        <w:t xml:space="preserve"> Specifically, </w:t>
      </w:r>
      <w:r w:rsidR="00DB6E61">
        <w:rPr>
          <w:szCs w:val="24"/>
        </w:rPr>
        <w:t>t</w:t>
      </w:r>
      <w:r w:rsidR="00DB6E61">
        <w:rPr>
          <w:szCs w:val="24"/>
        </w:rPr>
        <w:t>his revision decreases</w:t>
      </w:r>
      <w:r w:rsidRPr="0085303C" w:rsidR="00DB6E61">
        <w:rPr>
          <w:szCs w:val="24"/>
        </w:rPr>
        <w:t xml:space="preserve"> Tier 1 respondents by 12 (from 70 to 58), Tier 2 Hubs respondents by 4 (from 10 to 6) and Tier 2 Rigorous Impact respondents by 1 (from 16 to 15)</w:t>
      </w:r>
      <w:r w:rsidR="00DB6E61">
        <w:rPr>
          <w:szCs w:val="24"/>
        </w:rPr>
        <w:t xml:space="preserve"> (See Exhibit 1)</w:t>
      </w:r>
      <w:r w:rsidRPr="0085303C" w:rsidR="00DB6E61">
        <w:rPr>
          <w:szCs w:val="24"/>
        </w:rPr>
        <w:t>.  The decrease in respondents reduced total burden by 222 hours (from 1431 hours to 1209 hours).</w:t>
      </w:r>
      <w:r w:rsidR="00B25546">
        <w:t xml:space="preserve"> </w:t>
      </w:r>
      <w:r w:rsidRPr="00F17051">
        <w:t>The burden per respondent per form is unchanged.</w:t>
      </w:r>
    </w:p>
    <w:p w:rsidR="00F76BC1" w:rsidRPr="00C436D2" w:rsidP="00A5280A" w14:paraId="6A2830B6" w14:textId="45C34BFC">
      <w:pPr>
        <w:pStyle w:val="OMBheading-2"/>
      </w:pPr>
      <w:bookmarkStart w:id="25" w:name="_Toc225240694"/>
      <w:r w:rsidRPr="00C436D2">
        <w:t xml:space="preserve">Plans for </w:t>
      </w:r>
      <w:r w:rsidRPr="00C436D2" w:rsidR="00DD5760">
        <w:t>Tabulation</w:t>
      </w:r>
      <w:r w:rsidRPr="00C436D2">
        <w:t xml:space="preserve"> and Publication and Project Time Schedule</w:t>
      </w:r>
      <w:bookmarkEnd w:id="25"/>
      <w:r w:rsidRPr="00C436D2" w:rsidR="00DD5760">
        <w:t xml:space="preserve"> </w:t>
      </w:r>
    </w:p>
    <w:p w:rsidR="00022DFD" w:rsidRPr="009A2DCD" w14:paraId="0FB71D21" w14:textId="5190817D">
      <w:pPr>
        <w:spacing w:after="120"/>
      </w:pPr>
      <w:r w:rsidRPr="009A2DCD">
        <w:t>Data collection</w:t>
      </w:r>
      <w:r w:rsidRPr="009A2DCD" w:rsidR="00961D98">
        <w:t xml:space="preserve"> </w:t>
      </w:r>
      <w:r w:rsidRPr="009A2DCD">
        <w:t xml:space="preserve">would </w:t>
      </w:r>
      <w:r w:rsidR="00784322">
        <w:t>continue</w:t>
      </w:r>
      <w:r w:rsidRPr="009A2DCD" w:rsidR="00784322">
        <w:t xml:space="preserve"> </w:t>
      </w:r>
      <w:r w:rsidRPr="009A2DCD">
        <w:t>as soon as</w:t>
      </w:r>
      <w:r w:rsidR="00570484">
        <w:t xml:space="preserve"> OPA </w:t>
      </w:r>
      <w:r w:rsidR="00845188">
        <w:t>receives</w:t>
      </w:r>
      <w:r w:rsidRPr="009A2DCD">
        <w:t xml:space="preserve"> OMB </w:t>
      </w:r>
      <w:r w:rsidR="00570484">
        <w:t>clearance renewal</w:t>
      </w:r>
      <w:r w:rsidRPr="009A2DCD">
        <w:t xml:space="preserve">. Assuming that </w:t>
      </w:r>
      <w:r w:rsidR="00570484">
        <w:t xml:space="preserve">we receive </w:t>
      </w:r>
      <w:r w:rsidRPr="009A2DCD">
        <w:t xml:space="preserve">OMB </w:t>
      </w:r>
      <w:r w:rsidR="00570484">
        <w:t>renewal</w:t>
      </w:r>
      <w:r w:rsidRPr="009A2DCD">
        <w:t xml:space="preserve"> for this collection</w:t>
      </w:r>
      <w:r w:rsidR="00845188">
        <w:t xml:space="preserve"> </w:t>
      </w:r>
      <w:r w:rsidRPr="009A2DCD">
        <w:t xml:space="preserve">by the </w:t>
      </w:r>
      <w:r w:rsidR="000D1F13">
        <w:t>summer</w:t>
      </w:r>
      <w:r w:rsidRPr="009A2DCD" w:rsidR="000D1F13">
        <w:t xml:space="preserve"> </w:t>
      </w:r>
      <w:r w:rsidRPr="009A2DCD">
        <w:t xml:space="preserve">of </w:t>
      </w:r>
      <w:r w:rsidRPr="009A2DCD" w:rsidR="001C0510">
        <w:t>202</w:t>
      </w:r>
      <w:r w:rsidR="00011328">
        <w:t>6</w:t>
      </w:r>
      <w:r w:rsidRPr="009A2DCD">
        <w:t>, t</w:t>
      </w:r>
      <w:r w:rsidRPr="009A2DCD" w:rsidR="00875D6B">
        <w:t xml:space="preserve">he </w:t>
      </w:r>
      <w:r w:rsidRPr="009A2DCD" w:rsidR="00341AD3">
        <w:t xml:space="preserve">FY </w:t>
      </w:r>
      <w:r w:rsidRPr="009A2DCD" w:rsidR="001C0510">
        <w:t>2023</w:t>
      </w:r>
      <w:r w:rsidRPr="009A2DCD" w:rsidR="00543127">
        <w:t xml:space="preserve"> </w:t>
      </w:r>
      <w:r w:rsidRPr="009A2DCD" w:rsidR="00341AD3">
        <w:t>cohort</w:t>
      </w:r>
      <w:r w:rsidRPr="009A2DCD">
        <w:t xml:space="preserve"> of TPP grantees</w:t>
      </w:r>
      <w:r w:rsidRPr="009A2DCD" w:rsidR="00341AD3">
        <w:t xml:space="preserve"> will </w:t>
      </w:r>
      <w:r w:rsidR="00D67B52">
        <w:t xml:space="preserve">continue their </w:t>
      </w:r>
      <w:r w:rsidRPr="009A2DCD" w:rsidR="00341AD3">
        <w:t>data</w:t>
      </w:r>
      <w:r w:rsidR="00D67B52">
        <w:t xml:space="preserve"> collection</w:t>
      </w:r>
      <w:r w:rsidRPr="009A2DCD" w:rsidR="00341AD3">
        <w:t xml:space="preserve"> in </w:t>
      </w:r>
      <w:r w:rsidR="00116646">
        <w:t>Fall</w:t>
      </w:r>
      <w:r w:rsidRPr="009A2DCD">
        <w:t xml:space="preserve"> </w:t>
      </w:r>
      <w:r w:rsidRPr="009A2DCD" w:rsidR="00901EA6">
        <w:t>202</w:t>
      </w:r>
      <w:r w:rsidR="00116646">
        <w:t>6</w:t>
      </w:r>
      <w:r w:rsidRPr="009A2DCD" w:rsidR="00826597">
        <w:t>.</w:t>
      </w:r>
      <w:r w:rsidRPr="009A2DCD">
        <w:t xml:space="preserve"> </w:t>
      </w:r>
      <w:r w:rsidRPr="009A2DCD" w:rsidR="00826597">
        <w:t>The</w:t>
      </w:r>
      <w:r w:rsidRPr="009A2DCD" w:rsidR="004457A6">
        <w:t xml:space="preserve"> </w:t>
      </w:r>
      <w:r w:rsidRPr="009A2DCD">
        <w:t xml:space="preserve">schedule </w:t>
      </w:r>
      <w:r w:rsidRPr="009A2DCD" w:rsidR="00826597">
        <w:t xml:space="preserve">is included </w:t>
      </w:r>
      <w:r w:rsidRPr="009A2DCD">
        <w:t>below</w:t>
      </w:r>
      <w:r w:rsidRPr="009A2DCD" w:rsidR="00826597">
        <w:t xml:space="preserve"> (</w:t>
      </w:r>
      <w:r w:rsidRPr="009A2DCD" w:rsidR="00447C9A">
        <w:rPr>
          <w:b/>
          <w:bCs/>
          <w:i/>
          <w:iCs/>
        </w:rPr>
        <w:t xml:space="preserve">Exhibit </w:t>
      </w:r>
      <w:r w:rsidRPr="009A2DCD" w:rsidR="00C63C90">
        <w:rPr>
          <w:b/>
          <w:bCs/>
          <w:i/>
          <w:iCs/>
        </w:rPr>
        <w:t>5</w:t>
      </w:r>
      <w:r w:rsidRPr="009A2DCD">
        <w:t>)</w:t>
      </w:r>
      <w:r w:rsidRPr="009A2DCD" w:rsidR="00985DBA">
        <w:t>. The</w:t>
      </w:r>
      <w:r w:rsidRPr="009A2DCD" w:rsidR="00FF72AE">
        <w:t xml:space="preserve"> </w:t>
      </w:r>
      <w:r w:rsidRPr="009A2DCD" w:rsidR="00C07310">
        <w:t xml:space="preserve">FY2023 </w:t>
      </w:r>
      <w:r w:rsidRPr="009A2DCD" w:rsidR="00826597">
        <w:t xml:space="preserve">grantee </w:t>
      </w:r>
      <w:r w:rsidRPr="00B87793" w:rsidR="00875D6B">
        <w:t xml:space="preserve">cohort will continue to collect </w:t>
      </w:r>
      <w:r w:rsidRPr="00B87793" w:rsidR="00406907">
        <w:t xml:space="preserve">and report </w:t>
      </w:r>
      <w:r w:rsidRPr="00B87793" w:rsidR="00875D6B">
        <w:t>data</w:t>
      </w:r>
      <w:r w:rsidRPr="00B87793">
        <w:t xml:space="preserve"> </w:t>
      </w:r>
      <w:r w:rsidRPr="00B87793" w:rsidR="006C63DC">
        <w:t>according to</w:t>
      </w:r>
      <w:r w:rsidRPr="00B87793">
        <w:t xml:space="preserve"> the anticipated schedule below </w:t>
      </w:r>
      <w:r w:rsidRPr="00B87793" w:rsidR="00D90A93">
        <w:t>until</w:t>
      </w:r>
      <w:r w:rsidRPr="00B87793" w:rsidR="006F1E89">
        <w:t xml:space="preserve"> </w:t>
      </w:r>
      <w:r w:rsidRPr="00B87793" w:rsidR="001B05D4">
        <w:t>summer</w:t>
      </w:r>
      <w:r w:rsidRPr="00B87793" w:rsidR="006F1E89">
        <w:t xml:space="preserve"> </w:t>
      </w:r>
      <w:r w:rsidRPr="00B87793" w:rsidR="00C62FD3">
        <w:t xml:space="preserve">2028 </w:t>
      </w:r>
      <w:r w:rsidRPr="00B87793" w:rsidR="00C43ED8">
        <w:t xml:space="preserve">at </w:t>
      </w:r>
      <w:r w:rsidRPr="00B87793" w:rsidR="00D13FA9">
        <w:t xml:space="preserve">the </w:t>
      </w:r>
      <w:r w:rsidRPr="00B87793" w:rsidR="00985DBA">
        <w:t>semi-</w:t>
      </w:r>
      <w:r w:rsidRPr="00B87793" w:rsidR="001B05D4">
        <w:t>annual reporting</w:t>
      </w:r>
      <w:r w:rsidRPr="00B87793" w:rsidR="00D13FA9">
        <w:t xml:space="preserve"> periods </w:t>
      </w:r>
      <w:r w:rsidRPr="00B87793" w:rsidR="00C43ED8">
        <w:t>(</w:t>
      </w:r>
      <w:r w:rsidRPr="00B87793" w:rsidR="000B5251">
        <w:t xml:space="preserve">30 days after each reporting period, </w:t>
      </w:r>
      <w:r w:rsidR="004A62D7">
        <w:t>according</w:t>
      </w:r>
      <w:r w:rsidRPr="009A2DCD" w:rsidR="009A7CB4">
        <w:t xml:space="preserve"> to </w:t>
      </w:r>
      <w:r w:rsidR="004A62D7">
        <w:t>the schedule shown below for each Tier)</w:t>
      </w:r>
      <w:r w:rsidRPr="009A2DCD" w:rsidR="00C43ED8">
        <w:t>.</w:t>
      </w:r>
      <w:r w:rsidRPr="009A2DCD" w:rsidR="00875D6B">
        <w:t xml:space="preserve"> </w:t>
      </w:r>
      <w:r w:rsidR="007D3B06">
        <w:t xml:space="preserve">Grantees that receive a no-cost extension </w:t>
      </w:r>
      <w:r w:rsidR="00B52B59">
        <w:t>may</w:t>
      </w:r>
      <w:r w:rsidR="007D3B06">
        <w:t xml:space="preserve"> continue to report </w:t>
      </w:r>
      <w:r w:rsidR="00845188">
        <w:t>data through</w:t>
      </w:r>
      <w:r w:rsidR="00B52B59">
        <w:t xml:space="preserve"> the end of </w:t>
      </w:r>
      <w:r w:rsidR="005B521D">
        <w:t xml:space="preserve">2029. </w:t>
      </w:r>
      <w:r w:rsidR="00B52B59">
        <w:t>(</w:t>
      </w:r>
      <w:r w:rsidRPr="00404994" w:rsidR="00B52B59">
        <w:rPr>
          <w:b/>
          <w:bCs/>
          <w:i/>
          <w:iCs/>
        </w:rPr>
        <w:t>Exhibit 5</w:t>
      </w:r>
      <w:r w:rsidR="00B52B59">
        <w:t xml:space="preserve">). </w:t>
      </w:r>
      <w:r w:rsidRPr="009A2DCD">
        <w:t xml:space="preserve">The performance measures contractor </w:t>
      </w:r>
      <w:r w:rsidRPr="009A2DCD" w:rsidR="00C43ED8">
        <w:t>will then analyze the data and prepare a written report, summarizing findings.</w:t>
      </w:r>
      <w:r w:rsidRPr="009A2DCD" w:rsidR="0098755F">
        <w:t xml:space="preserve"> </w:t>
      </w:r>
      <w:r w:rsidRPr="009A2DCD" w:rsidR="00C43ED8">
        <w:t xml:space="preserve">Data will be </w:t>
      </w:r>
      <w:r w:rsidRPr="009A2DCD" w:rsidR="00A827F9">
        <w:t xml:space="preserve">aggregated across all projects, as well as </w:t>
      </w:r>
      <w:r w:rsidRPr="009A2DCD" w:rsidR="00C43ED8">
        <w:t>broken down by type of grante</w:t>
      </w:r>
      <w:r w:rsidRPr="009A2DCD" w:rsidR="004E1880">
        <w:t xml:space="preserve">e (i.e., </w:t>
      </w:r>
      <w:r w:rsidRPr="009A2DCD" w:rsidR="00A827F9">
        <w:t xml:space="preserve">Tier </w:t>
      </w:r>
      <w:r w:rsidRPr="009A2DCD" w:rsidR="007E01C6">
        <w:t xml:space="preserve">1, Tier </w:t>
      </w:r>
      <w:r w:rsidRPr="009A2DCD" w:rsidR="00A827F9">
        <w:t>2</w:t>
      </w:r>
      <w:r w:rsidRPr="009A2DCD" w:rsidR="00F934FA">
        <w:t xml:space="preserve"> </w:t>
      </w:r>
      <w:r w:rsidRPr="009A2DCD" w:rsidR="002C4E6F">
        <w:t xml:space="preserve">Rigorous Impact </w:t>
      </w:r>
      <w:r w:rsidRPr="009A2DCD" w:rsidR="00F934FA">
        <w:t>and</w:t>
      </w:r>
      <w:r w:rsidRPr="009A2DCD">
        <w:t xml:space="preserve"> Tier 2 Innovation </w:t>
      </w:r>
      <w:r w:rsidRPr="009A2DCD" w:rsidR="006D0911">
        <w:t>Hubs</w:t>
      </w:r>
      <w:r w:rsidRPr="009A2DCD" w:rsidR="00961D98">
        <w:t>).</w:t>
      </w:r>
      <w:r w:rsidRPr="009A2DCD" w:rsidR="00A06D70">
        <w:t xml:space="preserve"> The annual reports published on the OPA website us</w:t>
      </w:r>
      <w:r w:rsidR="00815C64">
        <w:t>e</w:t>
      </w:r>
      <w:r w:rsidRPr="009A2DCD" w:rsidR="00A06D70">
        <w:t xml:space="preserve"> aggregate-level data.</w:t>
      </w:r>
    </w:p>
    <w:p w:rsidR="00022DFD" w:rsidRPr="009A2DCD" w14:paraId="68B83088" w14:textId="252E8B13">
      <w:pPr>
        <w:spacing w:after="120"/>
      </w:pPr>
      <w:r w:rsidRPr="009A2DCD">
        <w:t>The reporting</w:t>
      </w:r>
      <w:r w:rsidR="00815C64">
        <w:t xml:space="preserve"> </w:t>
      </w:r>
      <w:r w:rsidRPr="009A2DCD" w:rsidR="00DD5760">
        <w:t xml:space="preserve">schedule for the </w:t>
      </w:r>
      <w:r w:rsidR="00B52B59">
        <w:t>TPP</w:t>
      </w:r>
      <w:r w:rsidRPr="009A2DCD" w:rsidR="00A570D4">
        <w:t xml:space="preserve">2023 </w:t>
      </w:r>
      <w:r w:rsidRPr="009A2DCD" w:rsidR="00A06D70">
        <w:t xml:space="preserve">grants </w:t>
      </w:r>
      <w:r w:rsidR="00B52B59">
        <w:t xml:space="preserve">is </w:t>
      </w:r>
      <w:r w:rsidR="008A519F">
        <w:t>listed below.</w:t>
      </w:r>
      <w:r w:rsidRPr="009A2DCD" w:rsidR="00DC58E5">
        <w:t xml:space="preserve"> </w:t>
      </w:r>
    </w:p>
    <w:p w:rsidR="00C40120" w:rsidRPr="009A2DCD" w:rsidP="00022DFD" w14:paraId="2A75E3D0" w14:textId="0E17AB99">
      <w:pPr>
        <w:numPr>
          <w:ilvl w:val="1"/>
          <w:numId w:val="27"/>
        </w:numPr>
        <w:spacing w:after="120"/>
      </w:pPr>
      <w:r>
        <w:t>Tier 1</w:t>
      </w:r>
      <w:r w:rsidR="00CE321E">
        <w:t xml:space="preserve"> </w:t>
      </w:r>
      <w:r w:rsidRPr="009A2DCD" w:rsidR="00DD5760">
        <w:t xml:space="preserve">Reporting period: </w:t>
      </w:r>
    </w:p>
    <w:p w:rsidR="00C40120" w:rsidRPr="009A2DCD" w:rsidP="00022DFD" w14:paraId="07B16F98" w14:textId="7D222907">
      <w:pPr>
        <w:numPr>
          <w:ilvl w:val="2"/>
          <w:numId w:val="27"/>
        </w:numPr>
        <w:spacing w:after="120"/>
      </w:pPr>
      <w:r w:rsidRPr="009A2DCD">
        <w:t>6-month</w:t>
      </w:r>
      <w:r w:rsidRPr="009A2DCD" w:rsidR="00022DFD">
        <w:t xml:space="preserve"> period</w:t>
      </w:r>
      <w:r w:rsidRPr="009A2DCD" w:rsidR="004457A6">
        <w:t xml:space="preserve"> #1</w:t>
      </w:r>
      <w:r w:rsidRPr="009A2DCD" w:rsidR="00022DFD">
        <w:t xml:space="preserve">: </w:t>
      </w:r>
      <w:r w:rsidRPr="009A2DCD" w:rsidR="00BD6CC6">
        <w:t>July 1 – December 31, Deadline: January 3</w:t>
      </w:r>
      <w:r w:rsidR="00DB3FEB">
        <w:t>0</w:t>
      </w:r>
    </w:p>
    <w:p w:rsidR="007C36D0" w:rsidP="00022DFD" w14:paraId="31DD1092" w14:textId="77777777">
      <w:pPr>
        <w:numPr>
          <w:ilvl w:val="2"/>
          <w:numId w:val="27"/>
        </w:numPr>
        <w:spacing w:after="120"/>
      </w:pPr>
      <w:r w:rsidRPr="009A2DCD">
        <w:t>6-month</w:t>
      </w:r>
      <w:r w:rsidRPr="009A2DCD" w:rsidR="00022DFD">
        <w:t xml:space="preserve"> period #2: </w:t>
      </w:r>
      <w:r w:rsidRPr="009A2DCD" w:rsidR="00BD6CC6">
        <w:t>January 1 – June 30; Deadline July 30</w:t>
      </w:r>
    </w:p>
    <w:p w:rsidR="007C36D0" w:rsidRPr="009A2DCD" w:rsidP="007C36D0" w14:paraId="6970BC01" w14:textId="475A9B03">
      <w:pPr>
        <w:numPr>
          <w:ilvl w:val="1"/>
          <w:numId w:val="27"/>
        </w:numPr>
        <w:spacing w:after="120"/>
      </w:pPr>
      <w:r>
        <w:t xml:space="preserve">Tier 2 </w:t>
      </w:r>
      <w:r w:rsidRPr="009A2DCD">
        <w:t xml:space="preserve">Reporting period: </w:t>
      </w:r>
    </w:p>
    <w:p w:rsidR="007C36D0" w:rsidRPr="009A2DCD" w:rsidP="007C36D0" w14:paraId="24E96E5F" w14:textId="65EC6152">
      <w:pPr>
        <w:numPr>
          <w:ilvl w:val="2"/>
          <w:numId w:val="27"/>
        </w:numPr>
        <w:spacing w:after="120"/>
      </w:pPr>
      <w:r w:rsidRPr="009A2DCD">
        <w:t xml:space="preserve">6-month period #1: </w:t>
      </w:r>
      <w:r w:rsidR="00B86B0A">
        <w:t>Sept</w:t>
      </w:r>
      <w:r w:rsidR="009F2E9F">
        <w:t>ember</w:t>
      </w:r>
      <w:r w:rsidRPr="009A2DCD">
        <w:t xml:space="preserve"> 1 – </w:t>
      </w:r>
      <w:r w:rsidR="00BD0258">
        <w:t>February 28</w:t>
      </w:r>
      <w:r w:rsidRPr="009A2DCD">
        <w:t xml:space="preserve">, Deadline: </w:t>
      </w:r>
      <w:r w:rsidR="00E66590">
        <w:t>March 30</w:t>
      </w:r>
    </w:p>
    <w:p w:rsidR="00C40120" w:rsidRPr="009A2DCD" w:rsidP="00246CFA" w14:paraId="3D12C334" w14:textId="1245A8F3">
      <w:pPr>
        <w:spacing w:after="120"/>
        <w:ind w:left="2160"/>
      </w:pPr>
      <w:r w:rsidRPr="009A2DCD">
        <w:t xml:space="preserve">6-month period #2: </w:t>
      </w:r>
      <w:r w:rsidR="00E66590">
        <w:t>March</w:t>
      </w:r>
      <w:r w:rsidRPr="009A2DCD">
        <w:t xml:space="preserve"> 1 – </w:t>
      </w:r>
      <w:r w:rsidR="00E66590">
        <w:t>August</w:t>
      </w:r>
      <w:r w:rsidRPr="009A2DCD">
        <w:t xml:space="preserve"> 3</w:t>
      </w:r>
      <w:r w:rsidR="00E66590">
        <w:t>1</w:t>
      </w:r>
      <w:r w:rsidRPr="009A2DCD">
        <w:t xml:space="preserve">; Deadline </w:t>
      </w:r>
      <w:r w:rsidR="009F2E9F">
        <w:t>September</w:t>
      </w:r>
      <w:r w:rsidRPr="009A2DCD">
        <w:t xml:space="preserve"> 30</w:t>
      </w:r>
      <w:r w:rsidRPr="009A2DCD" w:rsidR="00BD6CC6">
        <w:t xml:space="preserve"> </w:t>
      </w:r>
    </w:p>
    <w:p w:rsidR="00A827F9" w:rsidRPr="009A2DCD" w14:paraId="6F13BFC3" w14:textId="77777777">
      <w:pPr>
        <w:spacing w:after="120"/>
      </w:pPr>
    </w:p>
    <w:p w:rsidR="00022DFD" w:rsidRPr="009A2DCD" w14:paraId="346A881B" w14:textId="1508978D">
      <w:pPr>
        <w:spacing w:after="120"/>
      </w:pPr>
      <w:r w:rsidRPr="009A2DCD">
        <w:t xml:space="preserve">Exhibit </w:t>
      </w:r>
      <w:r w:rsidRPr="009A2DCD" w:rsidR="00C63C90">
        <w:t>5</w:t>
      </w:r>
      <w:r w:rsidRPr="009A2DCD" w:rsidR="000B5251">
        <w:t>: Reporting Schedule for TPP</w:t>
      </w:r>
      <w:r w:rsidRPr="009A2DCD" w:rsidR="00F934FA">
        <w:t xml:space="preserve"> </w:t>
      </w:r>
      <w:r w:rsidRPr="009A2DCD" w:rsidR="000B5251">
        <w:t>Performance Measures</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65"/>
        <w:gridCol w:w="3060"/>
        <w:gridCol w:w="3330"/>
      </w:tblGrid>
      <w:tr w14:paraId="2E153829" w14:textId="77777777" w:rsidTr="0070418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65" w:type="dxa"/>
          </w:tcPr>
          <w:p w:rsidR="003A753D" w14:paraId="35405058" w14:textId="77777777">
            <w:pPr>
              <w:spacing w:after="120"/>
              <w:rPr>
                <w:b/>
                <w:bCs/>
              </w:rPr>
            </w:pPr>
            <w:r>
              <w:rPr>
                <w:b/>
                <w:bCs/>
              </w:rPr>
              <w:t xml:space="preserve">Tier 1 </w:t>
            </w:r>
          </w:p>
          <w:p w:rsidR="000715F6" w:rsidRPr="00724F19" w14:paraId="1356EBE6" w14:textId="563B1FD0">
            <w:pPr>
              <w:spacing w:after="120"/>
              <w:rPr>
                <w:b/>
                <w:bCs/>
              </w:rPr>
            </w:pPr>
            <w:r w:rsidRPr="00724F19">
              <w:rPr>
                <w:b/>
                <w:bCs/>
              </w:rPr>
              <w:t>Grant Year</w:t>
            </w:r>
          </w:p>
        </w:tc>
        <w:tc>
          <w:tcPr>
            <w:tcW w:w="3060" w:type="dxa"/>
          </w:tcPr>
          <w:p w:rsidR="000715F6" w:rsidRPr="00724F19" w:rsidP="00412746" w14:paraId="08A4A3CF" w14:textId="7B734201">
            <w:pPr>
              <w:spacing w:after="120"/>
              <w:rPr>
                <w:b/>
                <w:bCs/>
              </w:rPr>
            </w:pPr>
            <w:r w:rsidRPr="00724F19">
              <w:rPr>
                <w:b/>
                <w:bCs/>
              </w:rPr>
              <w:t>Semi-Annual Period</w:t>
            </w:r>
          </w:p>
        </w:tc>
        <w:tc>
          <w:tcPr>
            <w:tcW w:w="3330" w:type="dxa"/>
          </w:tcPr>
          <w:p w:rsidR="000715F6" w:rsidRPr="00724F19" w:rsidP="00412746" w14:paraId="2F2CFA17" w14:textId="3D7BBC64">
            <w:pPr>
              <w:spacing w:after="120"/>
              <w:rPr>
                <w:b/>
                <w:bCs/>
              </w:rPr>
            </w:pPr>
            <w:r w:rsidRPr="00724F19">
              <w:rPr>
                <w:b/>
                <w:bCs/>
              </w:rPr>
              <w:t>Data Reported to OPA</w:t>
            </w:r>
          </w:p>
        </w:tc>
      </w:tr>
      <w:tr w14:paraId="1474D9C8" w14:textId="77777777" w:rsidTr="00704188">
        <w:tblPrEx>
          <w:tblW w:w="0" w:type="auto"/>
          <w:tblLook w:val="04A0"/>
        </w:tblPrEx>
        <w:tc>
          <w:tcPr>
            <w:tcW w:w="2065" w:type="dxa"/>
          </w:tcPr>
          <w:p w:rsidR="000715F6" w:rsidRPr="009A2DCD" w14:paraId="7F18559B" w14:textId="6DE4ADC2">
            <w:pPr>
              <w:spacing w:after="120"/>
            </w:pPr>
            <w:r w:rsidRPr="009A2DCD">
              <w:t>FY202</w:t>
            </w:r>
            <w:r w:rsidR="00EE28C6">
              <w:t>6</w:t>
            </w:r>
            <w:r w:rsidRPr="009A2DCD">
              <w:t xml:space="preserve"> (year </w:t>
            </w:r>
            <w:r w:rsidR="00EE28C6">
              <w:t>4</w:t>
            </w:r>
            <w:r w:rsidRPr="009A2DCD">
              <w:t>)</w:t>
            </w:r>
          </w:p>
        </w:tc>
        <w:tc>
          <w:tcPr>
            <w:tcW w:w="3060" w:type="dxa"/>
          </w:tcPr>
          <w:p w:rsidR="000715F6" w:rsidRPr="009A2DCD" w14:paraId="63991DE8" w14:textId="47D7CBC9">
            <w:pPr>
              <w:spacing w:after="120"/>
            </w:pPr>
            <w:r w:rsidRPr="009A2DCD">
              <w:t>July 1 – December 31</w:t>
            </w:r>
            <w:r w:rsidR="009E58BD">
              <w:t>,</w:t>
            </w:r>
            <w:r w:rsidRPr="009A2DCD">
              <w:t xml:space="preserve"> </w:t>
            </w:r>
            <w:r w:rsidRPr="009A2DCD" w:rsidR="00F934FA">
              <w:t>202</w:t>
            </w:r>
            <w:r w:rsidR="005D751D">
              <w:t>6</w:t>
            </w:r>
          </w:p>
        </w:tc>
        <w:tc>
          <w:tcPr>
            <w:tcW w:w="3330" w:type="dxa"/>
          </w:tcPr>
          <w:p w:rsidR="000715F6" w:rsidRPr="009A2DCD" w14:paraId="041D3E34" w14:textId="5DB09CC2">
            <w:pPr>
              <w:spacing w:after="120"/>
            </w:pPr>
            <w:r w:rsidRPr="009A2DCD">
              <w:t>January 3</w:t>
            </w:r>
            <w:r w:rsidR="002C44A8">
              <w:t>0</w:t>
            </w:r>
            <w:r w:rsidRPr="009A2DCD">
              <w:t xml:space="preserve">, </w:t>
            </w:r>
            <w:r w:rsidRPr="009A2DCD" w:rsidR="00F934FA">
              <w:t>202</w:t>
            </w:r>
            <w:r w:rsidR="005D751D">
              <w:t>7</w:t>
            </w:r>
          </w:p>
        </w:tc>
      </w:tr>
      <w:tr w14:paraId="0C6CA50C" w14:textId="77777777" w:rsidTr="00704188">
        <w:tblPrEx>
          <w:tblW w:w="0" w:type="auto"/>
          <w:tblLook w:val="04A0"/>
        </w:tblPrEx>
        <w:tc>
          <w:tcPr>
            <w:tcW w:w="2065" w:type="dxa"/>
          </w:tcPr>
          <w:p w:rsidR="000715F6" w:rsidRPr="009A2DCD" w14:paraId="61D38A0C" w14:textId="77777777">
            <w:pPr>
              <w:spacing w:after="120"/>
            </w:pPr>
          </w:p>
        </w:tc>
        <w:tc>
          <w:tcPr>
            <w:tcW w:w="3060" w:type="dxa"/>
          </w:tcPr>
          <w:p w:rsidR="000715F6" w:rsidRPr="009A2DCD" w14:paraId="0B63D7A3" w14:textId="4B05AAC4">
            <w:pPr>
              <w:spacing w:after="120"/>
            </w:pPr>
            <w:r w:rsidRPr="009A2DCD">
              <w:t xml:space="preserve">January 1 – June 30, </w:t>
            </w:r>
            <w:r w:rsidRPr="009A2DCD" w:rsidR="00F934FA">
              <w:t>202</w:t>
            </w:r>
            <w:r w:rsidR="005D751D">
              <w:t>7</w:t>
            </w:r>
          </w:p>
        </w:tc>
        <w:tc>
          <w:tcPr>
            <w:tcW w:w="3330" w:type="dxa"/>
          </w:tcPr>
          <w:p w:rsidR="000715F6" w:rsidRPr="009A2DCD" w14:paraId="10544390" w14:textId="34C77E2C">
            <w:pPr>
              <w:spacing w:after="120"/>
            </w:pPr>
            <w:r w:rsidRPr="009A2DCD">
              <w:t xml:space="preserve">July 30, </w:t>
            </w:r>
            <w:r w:rsidRPr="009A2DCD" w:rsidR="00F934FA">
              <w:t>202</w:t>
            </w:r>
            <w:r w:rsidR="005D751D">
              <w:t>7</w:t>
            </w:r>
          </w:p>
        </w:tc>
      </w:tr>
      <w:tr w14:paraId="7EEB8CA7" w14:textId="77777777" w:rsidTr="00704188">
        <w:tblPrEx>
          <w:tblW w:w="0" w:type="auto"/>
          <w:tblLook w:val="04A0"/>
        </w:tblPrEx>
        <w:tc>
          <w:tcPr>
            <w:tcW w:w="2065" w:type="dxa"/>
          </w:tcPr>
          <w:p w:rsidR="000715F6" w:rsidRPr="009A2DCD" w14:paraId="3F047CD3" w14:textId="4C9F5BD0">
            <w:pPr>
              <w:spacing w:after="120"/>
            </w:pPr>
            <w:r w:rsidRPr="009A2DCD">
              <w:t>FY202</w:t>
            </w:r>
            <w:r w:rsidR="00EE28C6">
              <w:t>7</w:t>
            </w:r>
            <w:r w:rsidRPr="009A2DCD">
              <w:t xml:space="preserve"> (year </w:t>
            </w:r>
            <w:r w:rsidR="00EE28C6">
              <w:t>5</w:t>
            </w:r>
            <w:r w:rsidRPr="009A2DCD">
              <w:t>)</w:t>
            </w:r>
          </w:p>
        </w:tc>
        <w:tc>
          <w:tcPr>
            <w:tcW w:w="3060" w:type="dxa"/>
          </w:tcPr>
          <w:p w:rsidR="000715F6" w:rsidRPr="009A2DCD" w14:paraId="2A357EB9" w14:textId="70F13249">
            <w:pPr>
              <w:spacing w:after="120"/>
            </w:pPr>
            <w:r w:rsidRPr="009A2DCD">
              <w:t xml:space="preserve">July 1 – December 31, </w:t>
            </w:r>
            <w:r w:rsidRPr="009A2DCD" w:rsidR="00F934FA">
              <w:t>202</w:t>
            </w:r>
            <w:r w:rsidR="00344C61">
              <w:t>7</w:t>
            </w:r>
          </w:p>
        </w:tc>
        <w:tc>
          <w:tcPr>
            <w:tcW w:w="3330" w:type="dxa"/>
          </w:tcPr>
          <w:p w:rsidR="000715F6" w:rsidRPr="009A2DCD" w14:paraId="614B5167" w14:textId="0B0997E4">
            <w:pPr>
              <w:spacing w:after="120"/>
            </w:pPr>
            <w:r w:rsidRPr="009A2DCD">
              <w:t>January 3</w:t>
            </w:r>
            <w:r w:rsidR="002C44A8">
              <w:t>0</w:t>
            </w:r>
            <w:r w:rsidRPr="009A2DCD">
              <w:t xml:space="preserve">, </w:t>
            </w:r>
            <w:r w:rsidRPr="009A2DCD" w:rsidR="00F934FA">
              <w:t>202</w:t>
            </w:r>
            <w:r w:rsidR="00344C61">
              <w:t>8</w:t>
            </w:r>
          </w:p>
        </w:tc>
      </w:tr>
      <w:tr w14:paraId="4B314A1F" w14:textId="77777777" w:rsidTr="00704188">
        <w:tblPrEx>
          <w:tblW w:w="0" w:type="auto"/>
          <w:tblLook w:val="04A0"/>
        </w:tblPrEx>
        <w:tc>
          <w:tcPr>
            <w:tcW w:w="2065" w:type="dxa"/>
          </w:tcPr>
          <w:p w:rsidR="000715F6" w:rsidRPr="009A2DCD" w14:paraId="2D7FEAAB" w14:textId="77777777">
            <w:pPr>
              <w:spacing w:after="120"/>
            </w:pPr>
          </w:p>
        </w:tc>
        <w:tc>
          <w:tcPr>
            <w:tcW w:w="3060" w:type="dxa"/>
          </w:tcPr>
          <w:p w:rsidR="000715F6" w:rsidRPr="009A2DCD" w14:paraId="1F5A603D" w14:textId="3EA1006B">
            <w:pPr>
              <w:spacing w:after="120"/>
            </w:pPr>
            <w:r w:rsidRPr="009A2DCD">
              <w:t xml:space="preserve">January 1 – June 30, </w:t>
            </w:r>
            <w:r w:rsidRPr="009A2DCD" w:rsidR="00F934FA">
              <w:t>202</w:t>
            </w:r>
            <w:r w:rsidR="00344C61">
              <w:t>8</w:t>
            </w:r>
          </w:p>
        </w:tc>
        <w:tc>
          <w:tcPr>
            <w:tcW w:w="3330" w:type="dxa"/>
          </w:tcPr>
          <w:p w:rsidR="000715F6" w:rsidRPr="009A2DCD" w14:paraId="692ACDE3" w14:textId="597B8096">
            <w:pPr>
              <w:spacing w:after="120"/>
            </w:pPr>
            <w:r w:rsidRPr="009A2DCD">
              <w:t xml:space="preserve">July 30, </w:t>
            </w:r>
            <w:r w:rsidRPr="009A2DCD" w:rsidR="00E2768A">
              <w:t>202</w:t>
            </w:r>
            <w:r w:rsidR="00344C61">
              <w:t>8</w:t>
            </w:r>
          </w:p>
        </w:tc>
      </w:tr>
      <w:tr w14:paraId="1878BA20" w14:textId="77777777" w:rsidTr="00704188">
        <w:tblPrEx>
          <w:tblW w:w="0" w:type="auto"/>
          <w:tblLook w:val="04A0"/>
        </w:tblPrEx>
        <w:tc>
          <w:tcPr>
            <w:tcW w:w="2065" w:type="dxa"/>
          </w:tcPr>
          <w:p w:rsidR="000715F6" w:rsidRPr="009A2DCD" w14:paraId="3CF5550A" w14:textId="47869B98">
            <w:pPr>
              <w:spacing w:after="120"/>
            </w:pPr>
            <w:r>
              <w:t>N</w:t>
            </w:r>
            <w:r w:rsidR="00134C08">
              <w:t>o Cost Extension</w:t>
            </w:r>
            <w:r w:rsidR="00570484">
              <w:t xml:space="preserve"> (NCE)</w:t>
            </w:r>
          </w:p>
        </w:tc>
        <w:tc>
          <w:tcPr>
            <w:tcW w:w="3060" w:type="dxa"/>
          </w:tcPr>
          <w:p w:rsidR="000715F6" w:rsidRPr="009A2DCD" w14:paraId="2ACC28F1" w14:textId="4B7CF753">
            <w:pPr>
              <w:spacing w:after="120"/>
            </w:pPr>
            <w:r w:rsidRPr="009A2DCD">
              <w:t xml:space="preserve">July 1 – December 31, </w:t>
            </w:r>
            <w:r w:rsidRPr="009A2DCD" w:rsidR="00E2768A">
              <w:t>202</w:t>
            </w:r>
            <w:r w:rsidR="00344C61">
              <w:t>8</w:t>
            </w:r>
          </w:p>
        </w:tc>
        <w:tc>
          <w:tcPr>
            <w:tcW w:w="3330" w:type="dxa"/>
          </w:tcPr>
          <w:p w:rsidR="000715F6" w:rsidRPr="009A2DCD" w14:paraId="754B63E3" w14:textId="0ECE1F71">
            <w:pPr>
              <w:spacing w:after="120"/>
            </w:pPr>
            <w:r>
              <w:t xml:space="preserve">No later than </w:t>
            </w:r>
            <w:r w:rsidRPr="009A2DCD" w:rsidR="00DD5760">
              <w:t>January 3</w:t>
            </w:r>
            <w:r w:rsidR="002C44A8">
              <w:t>0</w:t>
            </w:r>
            <w:r w:rsidRPr="009A2DCD" w:rsidR="00DD5760">
              <w:t xml:space="preserve">, </w:t>
            </w:r>
            <w:r w:rsidRPr="009A2DCD" w:rsidR="00E2768A">
              <w:t>202</w:t>
            </w:r>
            <w:r w:rsidR="00344C61">
              <w:t>9</w:t>
            </w:r>
          </w:p>
        </w:tc>
      </w:tr>
      <w:tr w14:paraId="510F9658" w14:textId="77777777" w:rsidTr="00704188">
        <w:tblPrEx>
          <w:tblW w:w="0" w:type="auto"/>
          <w:tblLook w:val="04A0"/>
        </w:tblPrEx>
        <w:tc>
          <w:tcPr>
            <w:tcW w:w="2065" w:type="dxa"/>
          </w:tcPr>
          <w:p w:rsidR="00B71924" w:rsidRPr="009A2DCD" w:rsidP="00B71924" w14:paraId="0925A95F" w14:textId="73409AB4">
            <w:pPr>
              <w:spacing w:after="120"/>
            </w:pPr>
          </w:p>
        </w:tc>
        <w:tc>
          <w:tcPr>
            <w:tcW w:w="3060" w:type="dxa"/>
          </w:tcPr>
          <w:p w:rsidR="00B71924" w:rsidRPr="009A2DCD" w:rsidP="00B71924" w14:paraId="04DF525E" w14:textId="0532D19E">
            <w:pPr>
              <w:spacing w:after="120"/>
            </w:pPr>
            <w:r w:rsidRPr="009A2DCD">
              <w:t>January 1 – June 30, 202</w:t>
            </w:r>
            <w:r>
              <w:t>9</w:t>
            </w:r>
          </w:p>
        </w:tc>
        <w:tc>
          <w:tcPr>
            <w:tcW w:w="3330" w:type="dxa"/>
          </w:tcPr>
          <w:p w:rsidR="00B71924" w:rsidRPr="009A2DCD" w:rsidP="00B71924" w14:paraId="0667A41D" w14:textId="236CCCD7">
            <w:pPr>
              <w:spacing w:after="120"/>
            </w:pPr>
            <w:r>
              <w:t>October 28</w:t>
            </w:r>
            <w:r w:rsidRPr="009A2DCD">
              <w:t>, 202</w:t>
            </w:r>
            <w:r>
              <w:t>9</w:t>
            </w:r>
            <w:r>
              <w:rPr>
                <w:rStyle w:val="FootnoteReference"/>
                <w:vertAlign w:val="superscript"/>
              </w:rPr>
              <w:footnoteReference w:id="4"/>
            </w:r>
          </w:p>
        </w:tc>
      </w:tr>
      <w:tr w14:paraId="7BA0F479" w14:textId="77777777" w:rsidTr="00704188">
        <w:tblPrEx>
          <w:tblW w:w="0" w:type="auto"/>
          <w:tblLook w:val="04A0"/>
        </w:tblPrEx>
        <w:tc>
          <w:tcPr>
            <w:tcW w:w="2065" w:type="dxa"/>
          </w:tcPr>
          <w:p w:rsidR="00761BB8" w:rsidP="00761BB8" w14:paraId="2F47E40B" w14:textId="6FC2A771">
            <w:pPr>
              <w:spacing w:after="120"/>
              <w:rPr>
                <w:b/>
                <w:bCs/>
              </w:rPr>
            </w:pPr>
            <w:r>
              <w:rPr>
                <w:b/>
                <w:bCs/>
              </w:rPr>
              <w:t>Tier 2</w:t>
            </w:r>
          </w:p>
          <w:p w:rsidR="00761BB8" w:rsidRPr="009A2DCD" w:rsidP="00761BB8" w14:paraId="0B0E2F32" w14:textId="740456E8">
            <w:pPr>
              <w:spacing w:after="120"/>
            </w:pPr>
            <w:r w:rsidRPr="00353342">
              <w:rPr>
                <w:b/>
                <w:bCs/>
              </w:rPr>
              <w:t>Grant Year</w:t>
            </w:r>
          </w:p>
        </w:tc>
        <w:tc>
          <w:tcPr>
            <w:tcW w:w="3060" w:type="dxa"/>
          </w:tcPr>
          <w:p w:rsidR="00761BB8" w:rsidRPr="009A2DCD" w:rsidP="00761BB8" w14:paraId="3A354AA3" w14:textId="6586E51C">
            <w:pPr>
              <w:spacing w:after="120"/>
            </w:pPr>
            <w:r w:rsidRPr="00353342">
              <w:rPr>
                <w:b/>
                <w:bCs/>
              </w:rPr>
              <w:t>Semi-Annual Period</w:t>
            </w:r>
          </w:p>
        </w:tc>
        <w:tc>
          <w:tcPr>
            <w:tcW w:w="3330" w:type="dxa"/>
          </w:tcPr>
          <w:p w:rsidR="00761BB8" w:rsidRPr="009A2DCD" w:rsidP="00761BB8" w14:paraId="297D1C90" w14:textId="0310537E">
            <w:pPr>
              <w:spacing w:after="120"/>
            </w:pPr>
            <w:r w:rsidRPr="00353342">
              <w:rPr>
                <w:b/>
                <w:bCs/>
              </w:rPr>
              <w:t>Data Reported to OPA</w:t>
            </w:r>
          </w:p>
        </w:tc>
      </w:tr>
      <w:tr w14:paraId="41616B40" w14:textId="77777777" w:rsidTr="00704188">
        <w:tblPrEx>
          <w:tblW w:w="0" w:type="auto"/>
          <w:tblLook w:val="04A0"/>
        </w:tblPrEx>
        <w:tc>
          <w:tcPr>
            <w:tcW w:w="2065" w:type="dxa"/>
          </w:tcPr>
          <w:p w:rsidR="00E1732F" w:rsidP="00E1732F" w14:paraId="20D6ED8F" w14:textId="61F371E2">
            <w:pPr>
              <w:spacing w:after="120"/>
              <w:rPr>
                <w:b/>
                <w:bCs/>
              </w:rPr>
            </w:pPr>
            <w:r w:rsidRPr="009A2DCD">
              <w:t>FY202</w:t>
            </w:r>
            <w:r>
              <w:t>6</w:t>
            </w:r>
            <w:r w:rsidRPr="009A2DCD">
              <w:t xml:space="preserve"> (year </w:t>
            </w:r>
            <w:r>
              <w:t>4</w:t>
            </w:r>
            <w:r w:rsidRPr="009A2DCD">
              <w:t>)</w:t>
            </w:r>
          </w:p>
        </w:tc>
        <w:tc>
          <w:tcPr>
            <w:tcW w:w="3060" w:type="dxa"/>
          </w:tcPr>
          <w:p w:rsidR="00E1732F" w:rsidRPr="00353342" w:rsidP="00E1732F" w14:paraId="706458C5" w14:textId="7EA54728">
            <w:pPr>
              <w:spacing w:after="120"/>
              <w:rPr>
                <w:b/>
                <w:bCs/>
              </w:rPr>
            </w:pPr>
            <w:r>
              <w:t>September</w:t>
            </w:r>
            <w:r w:rsidRPr="009A2DCD">
              <w:t xml:space="preserve"> 1 – </w:t>
            </w:r>
            <w:r w:rsidR="007A42CC">
              <w:t>February</w:t>
            </w:r>
            <w:r w:rsidR="00EC4952">
              <w:t xml:space="preserve"> 28</w:t>
            </w:r>
            <w:r>
              <w:t>,</w:t>
            </w:r>
            <w:r w:rsidRPr="009A2DCD">
              <w:t xml:space="preserve"> 202</w:t>
            </w:r>
            <w:r>
              <w:t>6</w:t>
            </w:r>
          </w:p>
        </w:tc>
        <w:tc>
          <w:tcPr>
            <w:tcW w:w="3330" w:type="dxa"/>
          </w:tcPr>
          <w:p w:rsidR="00E1732F" w:rsidRPr="00353342" w:rsidP="00E1732F" w14:paraId="54AE64E4" w14:textId="500271B8">
            <w:pPr>
              <w:spacing w:after="120"/>
              <w:rPr>
                <w:b/>
                <w:bCs/>
              </w:rPr>
            </w:pPr>
            <w:r>
              <w:t>March</w:t>
            </w:r>
            <w:r w:rsidRPr="009A2DCD">
              <w:t xml:space="preserve"> 3</w:t>
            </w:r>
            <w:r>
              <w:t>0</w:t>
            </w:r>
            <w:r w:rsidRPr="009A2DCD">
              <w:t>, 202</w:t>
            </w:r>
            <w:r>
              <w:t>7</w:t>
            </w:r>
          </w:p>
        </w:tc>
      </w:tr>
      <w:tr w14:paraId="14C377BF" w14:textId="77777777" w:rsidTr="00704188">
        <w:tblPrEx>
          <w:tblW w:w="0" w:type="auto"/>
          <w:tblLook w:val="04A0"/>
        </w:tblPrEx>
        <w:tc>
          <w:tcPr>
            <w:tcW w:w="2065" w:type="dxa"/>
          </w:tcPr>
          <w:p w:rsidR="00E1732F" w:rsidP="00E1732F" w14:paraId="4A588CAE" w14:textId="77777777">
            <w:pPr>
              <w:spacing w:after="120"/>
              <w:rPr>
                <w:b/>
                <w:bCs/>
              </w:rPr>
            </w:pPr>
          </w:p>
        </w:tc>
        <w:tc>
          <w:tcPr>
            <w:tcW w:w="3060" w:type="dxa"/>
          </w:tcPr>
          <w:p w:rsidR="00E1732F" w:rsidRPr="00353342" w:rsidP="00E1732F" w14:paraId="4219D231" w14:textId="0113B086">
            <w:pPr>
              <w:spacing w:after="120"/>
              <w:rPr>
                <w:b/>
                <w:bCs/>
              </w:rPr>
            </w:pPr>
            <w:r>
              <w:t>March</w:t>
            </w:r>
            <w:r w:rsidRPr="009A2DCD">
              <w:t xml:space="preserve"> 1 – </w:t>
            </w:r>
            <w:r>
              <w:t>August</w:t>
            </w:r>
            <w:r w:rsidRPr="009A2DCD">
              <w:t xml:space="preserve"> 3</w:t>
            </w:r>
            <w:r>
              <w:t>1</w:t>
            </w:r>
            <w:r w:rsidRPr="009A2DCD">
              <w:t>, 202</w:t>
            </w:r>
            <w:r>
              <w:t>7</w:t>
            </w:r>
          </w:p>
        </w:tc>
        <w:tc>
          <w:tcPr>
            <w:tcW w:w="3330" w:type="dxa"/>
          </w:tcPr>
          <w:p w:rsidR="00E1732F" w:rsidRPr="00353342" w:rsidP="00E1732F" w14:paraId="73A1799D" w14:textId="15A27C7E">
            <w:pPr>
              <w:spacing w:after="120"/>
              <w:rPr>
                <w:b/>
                <w:bCs/>
              </w:rPr>
            </w:pPr>
            <w:r>
              <w:t>September</w:t>
            </w:r>
            <w:r w:rsidRPr="009A2DCD">
              <w:t xml:space="preserve"> 30, 202</w:t>
            </w:r>
            <w:r>
              <w:t>7</w:t>
            </w:r>
          </w:p>
        </w:tc>
      </w:tr>
      <w:tr w14:paraId="0018F9FA" w14:textId="77777777" w:rsidTr="00704188">
        <w:tblPrEx>
          <w:tblW w:w="0" w:type="auto"/>
          <w:tblLook w:val="04A0"/>
        </w:tblPrEx>
        <w:tc>
          <w:tcPr>
            <w:tcW w:w="2065" w:type="dxa"/>
          </w:tcPr>
          <w:p w:rsidR="00E1732F" w:rsidP="00E1732F" w14:paraId="4CA4CC37" w14:textId="5364C9BC">
            <w:pPr>
              <w:spacing w:after="120"/>
              <w:rPr>
                <w:b/>
                <w:bCs/>
              </w:rPr>
            </w:pPr>
            <w:r w:rsidRPr="009A2DCD">
              <w:t>FY202</w:t>
            </w:r>
            <w:r>
              <w:t>7</w:t>
            </w:r>
            <w:r w:rsidRPr="009A2DCD">
              <w:t xml:space="preserve"> (year </w:t>
            </w:r>
            <w:r>
              <w:t>5</w:t>
            </w:r>
            <w:r w:rsidRPr="009A2DCD">
              <w:t>)</w:t>
            </w:r>
          </w:p>
        </w:tc>
        <w:tc>
          <w:tcPr>
            <w:tcW w:w="3060" w:type="dxa"/>
          </w:tcPr>
          <w:p w:rsidR="00E1732F" w:rsidRPr="00353342" w:rsidP="00E1732F" w14:paraId="693B2EDF" w14:textId="59F20BAC">
            <w:pPr>
              <w:spacing w:after="120"/>
              <w:rPr>
                <w:b/>
                <w:bCs/>
              </w:rPr>
            </w:pPr>
            <w:r>
              <w:t>September</w:t>
            </w:r>
            <w:r w:rsidRPr="009A2DCD">
              <w:t xml:space="preserve"> 1 – </w:t>
            </w:r>
            <w:r>
              <w:t>February 28</w:t>
            </w:r>
            <w:r w:rsidRPr="009A2DCD">
              <w:t>, 202</w:t>
            </w:r>
            <w:r>
              <w:t>7</w:t>
            </w:r>
          </w:p>
        </w:tc>
        <w:tc>
          <w:tcPr>
            <w:tcW w:w="3330" w:type="dxa"/>
          </w:tcPr>
          <w:p w:rsidR="00E1732F" w:rsidRPr="00353342" w:rsidP="00E1732F" w14:paraId="1E821980" w14:textId="3BDBC7E0">
            <w:pPr>
              <w:spacing w:after="120"/>
              <w:rPr>
                <w:b/>
                <w:bCs/>
              </w:rPr>
            </w:pPr>
            <w:r>
              <w:t>March 30</w:t>
            </w:r>
            <w:r w:rsidRPr="009A2DCD">
              <w:t>, 202</w:t>
            </w:r>
            <w:r>
              <w:t>8</w:t>
            </w:r>
          </w:p>
        </w:tc>
      </w:tr>
      <w:tr w14:paraId="2EF11765" w14:textId="77777777" w:rsidTr="00704188">
        <w:tblPrEx>
          <w:tblW w:w="0" w:type="auto"/>
          <w:tblLook w:val="04A0"/>
        </w:tblPrEx>
        <w:tc>
          <w:tcPr>
            <w:tcW w:w="2065" w:type="dxa"/>
          </w:tcPr>
          <w:p w:rsidR="00E1732F" w:rsidP="00E1732F" w14:paraId="657BFE73" w14:textId="77777777">
            <w:pPr>
              <w:spacing w:after="120"/>
              <w:rPr>
                <w:b/>
                <w:bCs/>
              </w:rPr>
            </w:pPr>
          </w:p>
        </w:tc>
        <w:tc>
          <w:tcPr>
            <w:tcW w:w="3060" w:type="dxa"/>
          </w:tcPr>
          <w:p w:rsidR="00E1732F" w:rsidRPr="00353342" w:rsidP="00E1732F" w14:paraId="60DD6F2C" w14:textId="36B9FDA5">
            <w:pPr>
              <w:spacing w:after="120"/>
              <w:rPr>
                <w:b/>
                <w:bCs/>
              </w:rPr>
            </w:pPr>
            <w:r>
              <w:t>March</w:t>
            </w:r>
            <w:r w:rsidRPr="009A2DCD">
              <w:t xml:space="preserve"> 1 – </w:t>
            </w:r>
            <w:r>
              <w:t>August</w:t>
            </w:r>
            <w:r w:rsidRPr="009A2DCD">
              <w:t xml:space="preserve"> 3</w:t>
            </w:r>
            <w:r>
              <w:t>1</w:t>
            </w:r>
            <w:r w:rsidRPr="009A2DCD">
              <w:t>, 202</w:t>
            </w:r>
            <w:r>
              <w:t>8</w:t>
            </w:r>
          </w:p>
        </w:tc>
        <w:tc>
          <w:tcPr>
            <w:tcW w:w="3330" w:type="dxa"/>
          </w:tcPr>
          <w:p w:rsidR="00E1732F" w:rsidRPr="00353342" w:rsidP="00E1732F" w14:paraId="29FECC51" w14:textId="4B10D51B">
            <w:pPr>
              <w:spacing w:after="120"/>
              <w:rPr>
                <w:b/>
                <w:bCs/>
              </w:rPr>
            </w:pPr>
            <w:r>
              <w:t>September</w:t>
            </w:r>
            <w:r w:rsidRPr="009A2DCD">
              <w:t xml:space="preserve"> 30, 202</w:t>
            </w:r>
            <w:r>
              <w:t>8</w:t>
            </w:r>
          </w:p>
        </w:tc>
      </w:tr>
      <w:tr w14:paraId="304B8955" w14:textId="77777777" w:rsidTr="00704188">
        <w:tblPrEx>
          <w:tblW w:w="0" w:type="auto"/>
          <w:tblLook w:val="04A0"/>
        </w:tblPrEx>
        <w:tc>
          <w:tcPr>
            <w:tcW w:w="2065" w:type="dxa"/>
          </w:tcPr>
          <w:p w:rsidR="00BD2F2E" w:rsidP="00BD2F2E" w14:paraId="01CC78ED" w14:textId="5E926B77">
            <w:pPr>
              <w:spacing w:after="120"/>
              <w:rPr>
                <w:b/>
                <w:bCs/>
              </w:rPr>
            </w:pPr>
            <w:r>
              <w:t>No Cost Extension</w:t>
            </w:r>
            <w:r w:rsidR="00570484">
              <w:t xml:space="preserve"> (NCE)</w:t>
            </w:r>
          </w:p>
        </w:tc>
        <w:tc>
          <w:tcPr>
            <w:tcW w:w="3060" w:type="dxa"/>
          </w:tcPr>
          <w:p w:rsidR="00BD2F2E" w:rsidRPr="009A2DCD" w:rsidP="00BD2F2E" w14:paraId="1C47DA84" w14:textId="4CE33C07">
            <w:pPr>
              <w:spacing w:after="120"/>
            </w:pPr>
            <w:r>
              <w:t>September</w:t>
            </w:r>
            <w:r w:rsidRPr="009A2DCD">
              <w:t xml:space="preserve"> 1 – </w:t>
            </w:r>
            <w:r>
              <w:t>February</w:t>
            </w:r>
            <w:r w:rsidRPr="009A2DCD">
              <w:t xml:space="preserve"> </w:t>
            </w:r>
            <w:r>
              <w:t>28</w:t>
            </w:r>
            <w:r w:rsidRPr="009A2DCD">
              <w:t>, 202</w:t>
            </w:r>
            <w:r>
              <w:t>8</w:t>
            </w:r>
          </w:p>
        </w:tc>
        <w:tc>
          <w:tcPr>
            <w:tcW w:w="3330" w:type="dxa"/>
          </w:tcPr>
          <w:p w:rsidR="00BD2F2E" w:rsidRPr="009A2DCD" w:rsidP="00BD2F2E" w14:paraId="0B96B933" w14:textId="134F5275">
            <w:pPr>
              <w:spacing w:after="120"/>
            </w:pPr>
            <w:r>
              <w:t>March</w:t>
            </w:r>
            <w:r w:rsidRPr="009A2DCD">
              <w:t xml:space="preserve"> 3</w:t>
            </w:r>
            <w:r>
              <w:t>0</w:t>
            </w:r>
            <w:r w:rsidRPr="009A2DCD">
              <w:t>, 202</w:t>
            </w:r>
            <w:r>
              <w:t>9</w:t>
            </w:r>
          </w:p>
        </w:tc>
      </w:tr>
      <w:tr w14:paraId="7F45AD80" w14:textId="77777777" w:rsidTr="00704188">
        <w:tblPrEx>
          <w:tblW w:w="0" w:type="auto"/>
          <w:tblLook w:val="04A0"/>
        </w:tblPrEx>
        <w:tc>
          <w:tcPr>
            <w:tcW w:w="2065" w:type="dxa"/>
          </w:tcPr>
          <w:p w:rsidR="00127F94" w:rsidP="00127F94" w14:paraId="7014D61B" w14:textId="7CEC7BE5">
            <w:pPr>
              <w:spacing w:after="120"/>
            </w:pPr>
            <w:r>
              <w:t>No Cost Extension</w:t>
            </w:r>
            <w:r w:rsidR="00570484">
              <w:t xml:space="preserve"> (NCE)</w:t>
            </w:r>
          </w:p>
        </w:tc>
        <w:tc>
          <w:tcPr>
            <w:tcW w:w="3060" w:type="dxa"/>
          </w:tcPr>
          <w:p w:rsidR="00127F94" w:rsidRPr="009A2DCD" w:rsidP="00127F94" w14:paraId="6A66C391" w14:textId="7D59291F">
            <w:pPr>
              <w:spacing w:after="120"/>
            </w:pPr>
            <w:r>
              <w:t>March</w:t>
            </w:r>
            <w:r w:rsidRPr="009A2DCD">
              <w:t xml:space="preserve"> 1 – </w:t>
            </w:r>
            <w:r>
              <w:t>August</w:t>
            </w:r>
            <w:r w:rsidRPr="009A2DCD">
              <w:t xml:space="preserve"> 3</w:t>
            </w:r>
            <w:r>
              <w:t>1</w:t>
            </w:r>
            <w:r w:rsidRPr="009A2DCD">
              <w:t>, 202</w:t>
            </w:r>
            <w:r>
              <w:t>9</w:t>
            </w:r>
          </w:p>
        </w:tc>
        <w:tc>
          <w:tcPr>
            <w:tcW w:w="3330" w:type="dxa"/>
          </w:tcPr>
          <w:p w:rsidR="00127F94" w:rsidRPr="009A2DCD" w:rsidP="00127F94" w14:paraId="036971F6" w14:textId="31F35D24">
            <w:pPr>
              <w:spacing w:after="120"/>
            </w:pPr>
            <w:r>
              <w:t xml:space="preserve">No later than </w:t>
            </w:r>
            <w:r w:rsidR="00453240">
              <w:t>December 29,</w:t>
            </w:r>
            <w:r w:rsidRPr="009A2DCD">
              <w:t xml:space="preserve"> 202</w:t>
            </w:r>
            <w:r>
              <w:t>9</w:t>
            </w:r>
            <w:r>
              <w:rPr>
                <w:rStyle w:val="FootnoteReference"/>
                <w:vertAlign w:val="superscript"/>
              </w:rPr>
              <w:footnoteReference w:id="5"/>
            </w:r>
          </w:p>
        </w:tc>
      </w:tr>
    </w:tbl>
    <w:p w:rsidR="00AA4A45" w:rsidRPr="009A2DCD" w14:paraId="69FFC453" w14:textId="77777777">
      <w:pPr>
        <w:spacing w:after="120"/>
      </w:pPr>
    </w:p>
    <w:p w:rsidR="00BE5747" w:rsidRPr="009A2DCD" w:rsidP="00A5280A" w14:paraId="34ECA5E1" w14:textId="3019DCB6">
      <w:pPr>
        <w:pStyle w:val="OMBheading-2"/>
      </w:pPr>
      <w:bookmarkStart w:id="26" w:name="_Toc225240695"/>
      <w:r w:rsidRPr="009A2DCD">
        <w:t xml:space="preserve">Reason(s) </w:t>
      </w:r>
      <w:r w:rsidRPr="009A2DCD" w:rsidR="00DD5760">
        <w:t xml:space="preserve">Display of Expiration Date </w:t>
      </w:r>
      <w:r w:rsidRPr="009A2DCD">
        <w:t>is Inappropriate</w:t>
      </w:r>
      <w:bookmarkEnd w:id="26"/>
    </w:p>
    <w:p w:rsidR="00BE5747" w:rsidRPr="009A2DCD" w:rsidP="008617BF" w14:paraId="75A474B6" w14:textId="77777777">
      <w:pPr>
        <w:keepNext/>
        <w:keepLines/>
        <w:spacing w:after="240"/>
      </w:pPr>
      <w:r w:rsidRPr="009A2DCD">
        <w:t xml:space="preserve">The expiration date for OMB </w:t>
      </w:r>
      <w:r w:rsidRPr="009A2DCD" w:rsidR="00914962">
        <w:t>will be displayed on all data collection instruments</w:t>
      </w:r>
      <w:r w:rsidRPr="009A2DCD" w:rsidR="00F87683">
        <w:t>.</w:t>
      </w:r>
    </w:p>
    <w:p w:rsidR="00BE5747" w:rsidRPr="009A2DCD" w:rsidP="00A5280A" w14:paraId="411E715D" w14:textId="1FE95EF2">
      <w:pPr>
        <w:pStyle w:val="OMBheading-2"/>
      </w:pPr>
      <w:bookmarkStart w:id="27" w:name="_Toc225240696"/>
      <w:r w:rsidRPr="009A2DCD">
        <w:t xml:space="preserve">Exceptions to Certification </w:t>
      </w:r>
      <w:r w:rsidRPr="009A2DCD" w:rsidR="00F76BC1">
        <w:t>for Paperwork Reduction Act Submissions</w:t>
      </w:r>
      <w:bookmarkEnd w:id="27"/>
    </w:p>
    <w:p w:rsidR="00BE5747" w:rsidRPr="009A2DCD" w:rsidP="000715F6" w14:paraId="7CB73C26" w14:textId="7D235DF0">
      <w:pPr>
        <w:keepNext/>
        <w:keepLines/>
        <w:widowControl/>
        <w:spacing w:after="240"/>
      </w:pPr>
      <w:r w:rsidRPr="009A2DCD">
        <w:t>There are no exceptions to the certification.</w:t>
      </w:r>
    </w:p>
    <w:p w:rsidR="00B87ADB" w:rsidRPr="009A2DCD" w14:paraId="1C8B7E89" w14:textId="77777777">
      <w:pPr>
        <w:widowControl/>
        <w:autoSpaceDE/>
        <w:autoSpaceDN/>
        <w:adjustRightInd/>
        <w:rPr>
          <w:b/>
          <w:sz w:val="28"/>
          <w:szCs w:val="28"/>
        </w:rPr>
      </w:pPr>
      <w:bookmarkStart w:id="28" w:name="_Toc152464665"/>
      <w:bookmarkStart w:id="29" w:name="_Toc186528697"/>
      <w:bookmarkStart w:id="30" w:name="_Toc216078525"/>
      <w:bookmarkStart w:id="31" w:name="_Toc216149334"/>
      <w:r w:rsidRPr="009A2DCD">
        <w:br w:type="page"/>
      </w:r>
    </w:p>
    <w:bookmarkEnd w:id="28"/>
    <w:bookmarkEnd w:id="29"/>
    <w:bookmarkEnd w:id="30"/>
    <w:bookmarkEnd w:id="31"/>
    <w:p w:rsidR="000715F6" w:rsidRPr="009A2DCD" w:rsidP="00634E30" w14:paraId="0762DE04" w14:textId="3F8CA874">
      <w:pPr>
        <w:pStyle w:val="App-No"/>
        <w:rPr>
          <w:lang w:val="en-US"/>
        </w:rPr>
      </w:pPr>
      <w:r w:rsidRPr="009A2DCD">
        <w:rPr>
          <w:lang w:val="en-US"/>
        </w:rPr>
        <w:t xml:space="preserve">List of </w:t>
      </w:r>
      <w:r w:rsidRPr="009A2DCD" w:rsidR="00B735CF">
        <w:rPr>
          <w:lang w:val="en-US"/>
        </w:rPr>
        <w:t>Attachments</w:t>
      </w:r>
    </w:p>
    <w:p w:rsidR="000715F6" w:rsidRPr="009A2DCD" w:rsidP="00634E30" w14:paraId="1AD31F33" w14:textId="77777777">
      <w:pPr>
        <w:pStyle w:val="App-No"/>
        <w:rPr>
          <w:lang w:val="en-US"/>
        </w:rPr>
      </w:pPr>
    </w:p>
    <w:p w:rsidR="00CD39CC" w:rsidRPr="00CD39CC" w:rsidP="00CD39CC" w14:paraId="5E31B732" w14:textId="33F86D23">
      <w:pPr>
        <w:pStyle w:val="App-No"/>
        <w:jc w:val="left"/>
        <w:rPr>
          <w:rFonts w:ascii="Times New Roman" w:hAnsi="Times New Roman" w:cs="Times New Roman"/>
          <w:b w:val="0"/>
          <w:bCs/>
          <w:sz w:val="24"/>
          <w:szCs w:val="24"/>
          <w:lang w:val="en-US"/>
        </w:rPr>
      </w:pPr>
      <w:r w:rsidRPr="00CD39CC">
        <w:rPr>
          <w:rFonts w:ascii="Times New Roman" w:hAnsi="Times New Roman" w:cs="Times New Roman"/>
          <w:b w:val="0"/>
          <w:bCs/>
          <w:sz w:val="24"/>
          <w:szCs w:val="24"/>
          <w:lang w:val="en-US"/>
        </w:rPr>
        <w:t xml:space="preserve">Attachment A: </w:t>
      </w:r>
      <w:r w:rsidRPr="005920CB" w:rsidR="005920CB">
        <w:rPr>
          <w:rFonts w:ascii="Times New Roman" w:hAnsi="Times New Roman" w:cs="Times New Roman"/>
          <w:b w:val="0"/>
          <w:bCs/>
          <w:sz w:val="24"/>
          <w:szCs w:val="24"/>
          <w:lang w:val="en-US"/>
        </w:rPr>
        <w:t>Section 301 of the Public Health Service Act (42 U.S.C.241)</w:t>
      </w:r>
    </w:p>
    <w:p w:rsidR="00CD39CC" w:rsidRPr="00CD39CC" w:rsidP="00CD39CC" w14:paraId="344DEFB4" w14:textId="77777777">
      <w:pPr>
        <w:pStyle w:val="App-No"/>
        <w:jc w:val="left"/>
        <w:rPr>
          <w:rFonts w:ascii="Times New Roman" w:hAnsi="Times New Roman" w:cs="Times New Roman"/>
          <w:b w:val="0"/>
          <w:bCs/>
          <w:sz w:val="24"/>
          <w:szCs w:val="24"/>
          <w:lang w:val="en-US"/>
        </w:rPr>
      </w:pPr>
    </w:p>
    <w:p w:rsidR="00CD39CC" w:rsidRPr="00CD39CC" w:rsidP="00CD39CC" w14:paraId="2CF18D81" w14:textId="02E6EC14">
      <w:pPr>
        <w:pStyle w:val="App-No"/>
        <w:jc w:val="left"/>
        <w:rPr>
          <w:rFonts w:ascii="Times New Roman" w:hAnsi="Times New Roman" w:cs="Times New Roman"/>
          <w:b w:val="0"/>
          <w:bCs/>
          <w:sz w:val="24"/>
          <w:szCs w:val="24"/>
          <w:lang w:val="en-US"/>
        </w:rPr>
      </w:pPr>
      <w:r w:rsidRPr="00CD39CC">
        <w:rPr>
          <w:rFonts w:ascii="Times New Roman" w:hAnsi="Times New Roman" w:cs="Times New Roman"/>
          <w:b w:val="0"/>
          <w:bCs/>
          <w:sz w:val="24"/>
          <w:szCs w:val="24"/>
          <w:lang w:val="en-US"/>
        </w:rPr>
        <w:t>Attachment B</w:t>
      </w:r>
      <w:r w:rsidRPr="00CD39CC" w:rsidR="00845188">
        <w:rPr>
          <w:rFonts w:ascii="Times New Roman" w:hAnsi="Times New Roman" w:cs="Times New Roman"/>
          <w:b w:val="0"/>
          <w:bCs/>
          <w:sz w:val="24"/>
          <w:szCs w:val="24"/>
          <w:lang w:val="en-US"/>
        </w:rPr>
        <w:t>: 2010</w:t>
      </w:r>
      <w:r w:rsidRPr="00CD39CC">
        <w:rPr>
          <w:rFonts w:ascii="Times New Roman" w:hAnsi="Times New Roman" w:cs="Times New Roman"/>
          <w:b w:val="0"/>
          <w:bCs/>
          <w:sz w:val="24"/>
          <w:szCs w:val="24"/>
          <w:lang w:val="en-US"/>
        </w:rPr>
        <w:t xml:space="preserve"> GPRA Modernization Act</w:t>
      </w:r>
    </w:p>
    <w:p w:rsidR="00CD39CC" w:rsidRPr="00CD39CC" w:rsidP="00CD39CC" w14:paraId="49CE61C8" w14:textId="77777777">
      <w:pPr>
        <w:pStyle w:val="App-No"/>
        <w:jc w:val="left"/>
        <w:rPr>
          <w:rFonts w:ascii="Times New Roman" w:hAnsi="Times New Roman" w:cs="Times New Roman"/>
          <w:b w:val="0"/>
          <w:bCs/>
          <w:sz w:val="24"/>
          <w:szCs w:val="24"/>
          <w:lang w:val="en-US"/>
        </w:rPr>
      </w:pPr>
    </w:p>
    <w:p w:rsidR="00CD39CC" w:rsidRPr="00CD39CC" w:rsidP="00CD39CC" w14:paraId="0D8A2048" w14:textId="50722917">
      <w:pPr>
        <w:pStyle w:val="App-No"/>
        <w:jc w:val="left"/>
        <w:rPr>
          <w:rFonts w:ascii="Times New Roman" w:hAnsi="Times New Roman" w:cs="Times New Roman"/>
          <w:b w:val="0"/>
          <w:bCs/>
          <w:sz w:val="24"/>
          <w:szCs w:val="24"/>
          <w:lang w:val="en-US"/>
        </w:rPr>
      </w:pPr>
      <w:r w:rsidRPr="00CD39CC">
        <w:rPr>
          <w:rFonts w:ascii="Times New Roman" w:hAnsi="Times New Roman" w:cs="Times New Roman"/>
          <w:b w:val="0"/>
          <w:bCs/>
          <w:sz w:val="24"/>
          <w:szCs w:val="24"/>
          <w:lang w:val="en-US"/>
        </w:rPr>
        <w:t xml:space="preserve">Attachment C: Optional Section Data Tracking Tool </w:t>
      </w:r>
    </w:p>
    <w:p w:rsidR="00CD39CC" w:rsidRPr="00CD39CC" w:rsidP="00CD39CC" w14:paraId="07052FD8" w14:textId="77777777">
      <w:pPr>
        <w:pStyle w:val="App-No"/>
        <w:jc w:val="left"/>
        <w:rPr>
          <w:rFonts w:ascii="Times New Roman" w:hAnsi="Times New Roman" w:cs="Times New Roman"/>
          <w:b w:val="0"/>
          <w:bCs/>
          <w:sz w:val="24"/>
          <w:szCs w:val="24"/>
          <w:lang w:val="en-US"/>
        </w:rPr>
      </w:pPr>
    </w:p>
    <w:p w:rsidR="00CD39CC" w:rsidRPr="00CD39CC" w:rsidP="00CD39CC" w14:paraId="6D092218" w14:textId="2785BB60">
      <w:pPr>
        <w:pStyle w:val="App-No"/>
        <w:jc w:val="left"/>
        <w:rPr>
          <w:rFonts w:ascii="Times New Roman" w:hAnsi="Times New Roman" w:cs="Times New Roman"/>
          <w:b w:val="0"/>
          <w:bCs/>
          <w:sz w:val="24"/>
          <w:szCs w:val="24"/>
          <w:lang w:val="en-US"/>
        </w:rPr>
      </w:pPr>
      <w:r w:rsidRPr="00CD39CC">
        <w:rPr>
          <w:rFonts w:ascii="Times New Roman" w:hAnsi="Times New Roman" w:cs="Times New Roman"/>
          <w:b w:val="0"/>
          <w:bCs/>
          <w:sz w:val="24"/>
          <w:szCs w:val="24"/>
          <w:lang w:val="en-US"/>
        </w:rPr>
        <w:t>Attachment D: Fidelity Process Report Form</w:t>
      </w:r>
    </w:p>
    <w:p w:rsidR="00CD39CC" w:rsidP="00CD39CC" w14:paraId="0E9DA54D" w14:textId="77777777">
      <w:pPr>
        <w:pStyle w:val="App-No"/>
        <w:jc w:val="left"/>
        <w:rPr>
          <w:rFonts w:ascii="Times New Roman" w:hAnsi="Times New Roman" w:cs="Times New Roman"/>
          <w:b w:val="0"/>
          <w:bCs/>
          <w:sz w:val="24"/>
          <w:szCs w:val="24"/>
          <w:lang w:val="en-US"/>
        </w:rPr>
      </w:pPr>
    </w:p>
    <w:p w:rsidR="00CD39CC" w:rsidRPr="00CD39CC" w:rsidP="00CD39CC" w14:paraId="126DEE81" w14:textId="469F41AE">
      <w:pPr>
        <w:pStyle w:val="App-No"/>
        <w:jc w:val="left"/>
        <w:rPr>
          <w:rFonts w:ascii="Times New Roman" w:hAnsi="Times New Roman" w:cs="Times New Roman"/>
          <w:b w:val="0"/>
          <w:bCs/>
          <w:sz w:val="24"/>
          <w:szCs w:val="24"/>
          <w:lang w:val="en-US"/>
        </w:rPr>
      </w:pPr>
      <w:r w:rsidRPr="00CD39CC">
        <w:rPr>
          <w:rFonts w:ascii="Times New Roman" w:hAnsi="Times New Roman" w:cs="Times New Roman"/>
          <w:b w:val="0"/>
          <w:bCs/>
          <w:sz w:val="24"/>
          <w:szCs w:val="24"/>
          <w:lang w:val="en-US"/>
        </w:rPr>
        <w:t xml:space="preserve">Attachment E: Program Quality Observation Form </w:t>
      </w:r>
    </w:p>
    <w:p w:rsidR="00CD39CC" w:rsidP="00CD39CC" w14:paraId="06FB9C23" w14:textId="77777777">
      <w:pPr>
        <w:pStyle w:val="App-No"/>
        <w:jc w:val="left"/>
        <w:rPr>
          <w:rFonts w:ascii="Times New Roman" w:hAnsi="Times New Roman" w:cs="Times New Roman"/>
          <w:b w:val="0"/>
          <w:bCs/>
          <w:sz w:val="24"/>
          <w:szCs w:val="24"/>
          <w:lang w:val="en-US"/>
        </w:rPr>
      </w:pPr>
    </w:p>
    <w:p w:rsidR="00CD39CC" w:rsidRPr="00CD39CC" w:rsidP="00CD39CC" w14:paraId="1E63810A" w14:textId="50DB453A">
      <w:pPr>
        <w:pStyle w:val="App-No"/>
        <w:jc w:val="left"/>
        <w:rPr>
          <w:rFonts w:ascii="Times New Roman" w:hAnsi="Times New Roman" w:cs="Times New Roman"/>
          <w:b w:val="0"/>
          <w:bCs/>
          <w:sz w:val="24"/>
          <w:szCs w:val="24"/>
          <w:lang w:val="en-US"/>
        </w:rPr>
      </w:pPr>
      <w:r w:rsidRPr="00CD39CC">
        <w:rPr>
          <w:rFonts w:ascii="Times New Roman" w:hAnsi="Times New Roman" w:cs="Times New Roman"/>
          <w:b w:val="0"/>
          <w:bCs/>
          <w:sz w:val="24"/>
          <w:szCs w:val="24"/>
          <w:lang w:val="en-US"/>
        </w:rPr>
        <w:t>Attachment F: Screenshots of reporting system</w:t>
      </w:r>
    </w:p>
    <w:p w:rsidR="00CD39CC" w:rsidRPr="00CD39CC" w:rsidP="00CD39CC" w14:paraId="1E08DE40" w14:textId="77777777">
      <w:pPr>
        <w:pStyle w:val="App-No"/>
        <w:jc w:val="left"/>
        <w:rPr>
          <w:rFonts w:ascii="Times New Roman" w:hAnsi="Times New Roman" w:cs="Times New Roman"/>
          <w:b w:val="0"/>
          <w:bCs/>
          <w:sz w:val="24"/>
          <w:szCs w:val="24"/>
          <w:lang w:val="en-US"/>
        </w:rPr>
      </w:pPr>
    </w:p>
    <w:p w:rsidR="00CD39CC" w:rsidRPr="00CD39CC" w:rsidP="00CD39CC" w14:paraId="5542F299" w14:textId="05AAB253">
      <w:pPr>
        <w:pStyle w:val="App-No"/>
        <w:jc w:val="left"/>
        <w:rPr>
          <w:rFonts w:ascii="Times New Roman" w:hAnsi="Times New Roman" w:cs="Times New Roman"/>
          <w:b w:val="0"/>
          <w:bCs/>
          <w:sz w:val="24"/>
          <w:szCs w:val="24"/>
          <w:lang w:val="en-US"/>
        </w:rPr>
      </w:pPr>
    </w:p>
    <w:p w:rsidR="00CD39CC" w:rsidRPr="00CD39CC" w:rsidP="00CD39CC" w14:paraId="0461BE03" w14:textId="77777777">
      <w:pPr>
        <w:pStyle w:val="App-No"/>
        <w:jc w:val="left"/>
        <w:rPr>
          <w:rFonts w:ascii="Times New Roman" w:hAnsi="Times New Roman" w:cs="Times New Roman"/>
          <w:b w:val="0"/>
          <w:bCs/>
          <w:sz w:val="24"/>
          <w:szCs w:val="24"/>
          <w:lang w:val="en-US"/>
        </w:rPr>
      </w:pPr>
    </w:p>
    <w:p w:rsidR="00CD39CC" w:rsidRPr="00CD39CC" w:rsidP="00CD39CC" w14:paraId="34C3382E" w14:textId="66A78062">
      <w:pPr>
        <w:pStyle w:val="App-No"/>
        <w:jc w:val="left"/>
        <w:rPr>
          <w:rFonts w:ascii="Times New Roman" w:hAnsi="Times New Roman" w:cs="Times New Roman"/>
          <w:b w:val="0"/>
          <w:bCs/>
          <w:sz w:val="24"/>
          <w:szCs w:val="24"/>
          <w:lang w:val="en-US"/>
        </w:rPr>
      </w:pPr>
      <w:r w:rsidRPr="00CD39CC">
        <w:rPr>
          <w:rFonts w:ascii="Times New Roman" w:hAnsi="Times New Roman" w:cs="Times New Roman"/>
          <w:b w:val="0"/>
          <w:bCs/>
          <w:sz w:val="24"/>
          <w:szCs w:val="24"/>
          <w:lang w:val="en-US"/>
        </w:rPr>
        <w:t xml:space="preserve">Attachment </w:t>
      </w:r>
      <w:r w:rsidR="008908E3">
        <w:rPr>
          <w:rFonts w:ascii="Times New Roman" w:hAnsi="Times New Roman" w:cs="Times New Roman"/>
          <w:b w:val="0"/>
          <w:bCs/>
          <w:sz w:val="24"/>
          <w:szCs w:val="24"/>
          <w:lang w:val="en-US"/>
        </w:rPr>
        <w:t>G</w:t>
      </w:r>
      <w:r w:rsidRPr="00CD39CC">
        <w:rPr>
          <w:rFonts w:ascii="Times New Roman" w:hAnsi="Times New Roman" w:cs="Times New Roman"/>
          <w:b w:val="0"/>
          <w:bCs/>
          <w:sz w:val="24"/>
          <w:szCs w:val="24"/>
          <w:lang w:val="en-US"/>
        </w:rPr>
        <w:t>: 60 Day Federal Notice</w:t>
      </w:r>
    </w:p>
    <w:p w:rsidR="00CD39CC" w:rsidRPr="00CD39CC" w:rsidP="00CD39CC" w14:paraId="404F144D" w14:textId="77777777">
      <w:pPr>
        <w:pStyle w:val="App-No"/>
        <w:jc w:val="left"/>
        <w:rPr>
          <w:rFonts w:ascii="Times New Roman" w:hAnsi="Times New Roman" w:cs="Times New Roman"/>
          <w:b w:val="0"/>
          <w:bCs/>
          <w:sz w:val="24"/>
          <w:szCs w:val="24"/>
          <w:lang w:val="en-US"/>
        </w:rPr>
      </w:pPr>
    </w:p>
    <w:p w:rsidR="00CD39CC" w:rsidRPr="00CD39CC" w:rsidP="00CD39CC" w14:paraId="34CAB4C6" w14:textId="75BD2196">
      <w:pPr>
        <w:pStyle w:val="App-No"/>
        <w:jc w:val="left"/>
        <w:rPr>
          <w:rFonts w:ascii="Times New Roman" w:hAnsi="Times New Roman" w:cs="Times New Roman"/>
          <w:b w:val="0"/>
          <w:bCs/>
          <w:sz w:val="24"/>
          <w:szCs w:val="24"/>
          <w:lang w:val="en-US"/>
        </w:rPr>
      </w:pPr>
      <w:r w:rsidRPr="00CD39CC">
        <w:rPr>
          <w:rFonts w:ascii="Times New Roman" w:hAnsi="Times New Roman" w:cs="Times New Roman"/>
          <w:b w:val="0"/>
          <w:bCs/>
          <w:sz w:val="24"/>
          <w:szCs w:val="24"/>
          <w:lang w:val="en-US"/>
        </w:rPr>
        <w:t xml:space="preserve">Attachment </w:t>
      </w:r>
      <w:r w:rsidR="008908E3">
        <w:rPr>
          <w:rFonts w:ascii="Times New Roman" w:hAnsi="Times New Roman" w:cs="Times New Roman"/>
          <w:b w:val="0"/>
          <w:bCs/>
          <w:sz w:val="24"/>
          <w:szCs w:val="24"/>
          <w:lang w:val="en-US"/>
        </w:rPr>
        <w:t>H</w:t>
      </w:r>
      <w:r w:rsidRPr="00CD39CC">
        <w:rPr>
          <w:rFonts w:ascii="Times New Roman" w:hAnsi="Times New Roman" w:cs="Times New Roman"/>
          <w:b w:val="0"/>
          <w:bCs/>
          <w:sz w:val="24"/>
          <w:szCs w:val="24"/>
          <w:lang w:val="en-US"/>
        </w:rPr>
        <w:t>: Screenshot of login and multifactor authentication pages</w:t>
      </w:r>
    </w:p>
    <w:p w:rsidR="00CD39CC" w:rsidRPr="00CD39CC" w:rsidP="00CD39CC" w14:paraId="5F85F1DC" w14:textId="77777777">
      <w:pPr>
        <w:pStyle w:val="App-No"/>
        <w:jc w:val="left"/>
        <w:rPr>
          <w:rFonts w:ascii="Times New Roman" w:hAnsi="Times New Roman" w:cs="Times New Roman"/>
          <w:b w:val="0"/>
          <w:bCs/>
          <w:sz w:val="24"/>
          <w:szCs w:val="24"/>
          <w:lang w:val="en-US"/>
        </w:rPr>
      </w:pPr>
    </w:p>
    <w:p w:rsidR="002343CE" w:rsidRPr="00EA5FF4" w:rsidP="00CD39CC" w14:paraId="6212D7FF" w14:textId="73BE7931">
      <w:pPr>
        <w:pStyle w:val="App-No"/>
        <w:jc w:val="left"/>
        <w:rPr>
          <w:rFonts w:ascii="Times New Roman" w:hAnsi="Times New Roman" w:cs="Times New Roman"/>
          <w:b w:val="0"/>
          <w:sz w:val="24"/>
          <w:szCs w:val="24"/>
          <w:lang w:val="en-US"/>
        </w:rPr>
      </w:pPr>
      <w:r w:rsidRPr="00CD39CC">
        <w:rPr>
          <w:rFonts w:ascii="Times New Roman" w:hAnsi="Times New Roman" w:cs="Times New Roman"/>
          <w:b w:val="0"/>
          <w:bCs/>
          <w:sz w:val="24"/>
          <w:szCs w:val="24"/>
          <w:lang w:val="en-US"/>
        </w:rPr>
        <w:t xml:space="preserve">Attachment </w:t>
      </w:r>
      <w:r w:rsidR="008908E3">
        <w:rPr>
          <w:rFonts w:ascii="Times New Roman" w:hAnsi="Times New Roman" w:cs="Times New Roman"/>
          <w:b w:val="0"/>
          <w:bCs/>
          <w:sz w:val="24"/>
          <w:szCs w:val="24"/>
          <w:lang w:val="en-US"/>
        </w:rPr>
        <w:t>I</w:t>
      </w:r>
      <w:r w:rsidRPr="00CD39CC">
        <w:rPr>
          <w:rFonts w:ascii="Times New Roman" w:hAnsi="Times New Roman" w:cs="Times New Roman"/>
          <w:b w:val="0"/>
          <w:bCs/>
          <w:sz w:val="24"/>
          <w:szCs w:val="24"/>
          <w:lang w:val="en-US"/>
        </w:rPr>
        <w:t>: IRB Letter</w:t>
      </w:r>
    </w:p>
    <w:p w:rsidR="002343CE" w:rsidRPr="009A2DCD" w:rsidP="00BE5C30" w14:paraId="38283E45" w14:textId="77777777">
      <w:pPr>
        <w:pStyle w:val="App-No"/>
        <w:jc w:val="left"/>
        <w:rPr>
          <w:rFonts w:ascii="Times New Roman" w:hAnsi="Times New Roman" w:cs="Times New Roman"/>
          <w:b w:val="0"/>
          <w:bCs/>
          <w:i/>
          <w:sz w:val="24"/>
          <w:szCs w:val="24"/>
          <w:lang w:val="en-US"/>
        </w:rPr>
      </w:pPr>
    </w:p>
    <w:p w:rsidR="008A4446" w:rsidRPr="009A2DCD" w:rsidP="00BE5C30" w14:paraId="5535753B" w14:textId="77777777">
      <w:pPr>
        <w:pStyle w:val="App-No"/>
        <w:jc w:val="left"/>
        <w:rPr>
          <w:rFonts w:ascii="Times New Roman" w:hAnsi="Times New Roman" w:cs="Times New Roman"/>
          <w:b w:val="0"/>
          <w:bCs/>
          <w:i/>
          <w:sz w:val="24"/>
          <w:szCs w:val="24"/>
          <w:lang w:val="en-US"/>
        </w:rPr>
      </w:pPr>
    </w:p>
    <w:p w:rsidR="006D12DC" w:rsidRPr="009A2DCD" w:rsidP="000B3289" w14:paraId="739E7A7C" w14:textId="77777777">
      <w:pPr>
        <w:pStyle w:val="biblio"/>
        <w:ind w:left="0" w:firstLine="0"/>
        <w:jc w:val="center"/>
        <w:rPr>
          <w:rFonts w:asciiTheme="minorBidi" w:hAnsiTheme="minorBidi" w:cstheme="minorBidi"/>
          <w:b/>
          <w:bCs/>
          <w:sz w:val="28"/>
          <w:szCs w:val="28"/>
          <w:lang w:val="en-US"/>
        </w:rPr>
      </w:pPr>
    </w:p>
    <w:sectPr w:rsidSect="00BC3233">
      <w:headerReference w:type="default" r:id="rId15"/>
      <w:footerReference w:type="default" r:id="rId16"/>
      <w:footnotePr>
        <w:pos w:val="beneathText"/>
      </w:footnotePr>
      <w:type w:val="continuous"/>
      <w:pgSz w:w="12240" w:h="15840"/>
      <w:pgMar w:top="1440" w:right="1440" w:bottom="1440" w:left="1440" w:header="1440" w:footer="144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9232407"/>
      <w:docPartObj>
        <w:docPartGallery w:val="Page Numbers (Bottom of Page)"/>
        <w:docPartUnique/>
      </w:docPartObj>
    </w:sdtPr>
    <w:sdtContent>
      <w:p w:rsidR="00780E98" w14:paraId="436D7BD0" w14:textId="47B76546">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sidR="00906007">
          <w:rPr>
            <w:noProof/>
          </w:rPr>
          <w:t>7</w:t>
        </w:r>
        <w:r>
          <w:rPr>
            <w:color w:val="2B579A"/>
            <w:shd w:val="clear" w:color="auto" w:fill="E6E6E6"/>
          </w:rPr>
          <w:fldChar w:fldCharType="end"/>
        </w:r>
      </w:p>
    </w:sdtContent>
  </w:sdt>
  <w:p w:rsidR="00780E98" w:rsidP="008B55EE" w14:paraId="5A33BF57" w14:textId="77777777">
    <w:pPr>
      <w:pStyle w:val="Footer"/>
      <w:tabs>
        <w:tab w:val="clear" w:pos="4320"/>
        <w:tab w:val="center" w:pos="4680"/>
        <w:tab w:val="clear" w:pos="8640"/>
        <w:tab w:val="right" w:pos="9360"/>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B1A07" w14:paraId="25AB0CD1" w14:textId="77777777">
      <w:r>
        <w:separator/>
      </w:r>
    </w:p>
  </w:footnote>
  <w:footnote w:type="continuationSeparator" w:id="1">
    <w:p w:rsidR="006B1A07" w14:paraId="55A0F451" w14:textId="77777777">
      <w:r>
        <w:continuationSeparator/>
      </w:r>
    </w:p>
  </w:footnote>
  <w:footnote w:id="2">
    <w:p w:rsidR="00311E38" w14:paraId="10EB8D84" w14:textId="1F2977F9">
      <w:pPr>
        <w:pStyle w:val="FootnoteText"/>
      </w:pPr>
      <w:r>
        <w:rPr>
          <w:rStyle w:val="FootnoteReference"/>
        </w:rPr>
        <w:footnoteRef/>
      </w:r>
      <w:r>
        <w:t xml:space="preserve"> </w:t>
      </w:r>
      <w:r w:rsidR="00DD4D12">
        <w:t>In t</w:t>
      </w:r>
      <w:r>
        <w:t>he original 2023 OMB clearance</w:t>
      </w:r>
      <w:r w:rsidR="00DD4D12">
        <w:t xml:space="preserve">, </w:t>
      </w:r>
      <w:r w:rsidR="005F1F6A">
        <w:t xml:space="preserve">submitted before the grant awards </w:t>
      </w:r>
      <w:r w:rsidR="005F1F6A">
        <w:t>were made</w:t>
      </w:r>
      <w:r w:rsidR="005F1F6A">
        <w:t xml:space="preserve">, </w:t>
      </w:r>
      <w:r w:rsidR="00DD4D12">
        <w:t>OPA</w:t>
      </w:r>
      <w:r>
        <w:t xml:space="preserve"> used the maximum number of awards possible </w:t>
      </w:r>
      <w:r w:rsidR="004164EC">
        <w:t xml:space="preserve">(assuming the smallest possible awards) </w:t>
      </w:r>
      <w:r>
        <w:t xml:space="preserve">as </w:t>
      </w:r>
      <w:r w:rsidR="008811B7">
        <w:t xml:space="preserve">the number of </w:t>
      </w:r>
      <w:r>
        <w:t xml:space="preserve">respondents. </w:t>
      </w:r>
      <w:r w:rsidR="00190710">
        <w:t>In this revision, OPA assumes the current recipients plus up to 11 additional recipients will be respondents for the performance measures data collection.</w:t>
      </w:r>
    </w:p>
  </w:footnote>
  <w:footnote w:id="3">
    <w:p w:rsidR="00982F91" w14:paraId="02B58B0D" w14:textId="538E8F38">
      <w:pPr>
        <w:pStyle w:val="FootnoteText"/>
      </w:pPr>
      <w:r>
        <w:rPr>
          <w:rStyle w:val="FootnoteReference"/>
        </w:rPr>
        <w:footnoteRef/>
      </w:r>
      <w:r>
        <w:t xml:space="preserve"> Office of Personnel Management, Washington DC Locality Pay Tables, 2026. </w:t>
      </w:r>
      <w:r w:rsidRPr="00982F91">
        <w:t>https://www.opm.gov/policy-data-oversight/pay-leave/salaries-wages/salary-tables/26Tables/html/DCB_h.aspx</w:t>
      </w:r>
    </w:p>
  </w:footnote>
  <w:footnote w:id="4">
    <w:p w:rsidR="00B03D59" w14:paraId="1FFB13F2" w14:textId="3BCAC37A">
      <w:pPr>
        <w:pStyle w:val="FootnoteText"/>
      </w:pPr>
      <w:r w:rsidRPr="00F17051">
        <w:rPr>
          <w:rStyle w:val="FootnoteReference"/>
          <w:vertAlign w:val="superscript"/>
        </w:rPr>
        <w:footnoteRef/>
      </w:r>
      <w:r>
        <w:t xml:space="preserve"> </w:t>
      </w:r>
      <w:r w:rsidR="00570484">
        <w:t>Only those grantees who request and receive a NCE and who implement programming during that period would report performance data</w:t>
      </w:r>
      <w:r w:rsidR="00B52B59">
        <w:t xml:space="preserve"> during the NCE</w:t>
      </w:r>
      <w:r w:rsidR="00570484">
        <w:t xml:space="preserve">. </w:t>
      </w:r>
      <w:r w:rsidR="00773105">
        <w:t xml:space="preserve"> Grantees may request to extend up to 1 year.  </w:t>
      </w:r>
      <w:r>
        <w:t>Th</w:t>
      </w:r>
      <w:r w:rsidR="00570484">
        <w:t>e NCE period</w:t>
      </w:r>
      <w:r>
        <w:t xml:space="preserve"> may </w:t>
      </w:r>
      <w:r w:rsidR="00A45D7A">
        <w:t>fall outside of this OMB clearance period</w:t>
      </w:r>
      <w:r w:rsidR="00116646">
        <w:t xml:space="preserve">, and </w:t>
      </w:r>
      <w:r w:rsidR="00773105">
        <w:t xml:space="preserve">if so, </w:t>
      </w:r>
      <w:r w:rsidR="00116646">
        <w:t>we would request a renewal</w:t>
      </w:r>
      <w:r w:rsidR="00974663">
        <w:t xml:space="preserve"> of clearance</w:t>
      </w:r>
      <w:r w:rsidR="00116646">
        <w:t xml:space="preserve"> to collect these data</w:t>
      </w:r>
    </w:p>
  </w:footnote>
  <w:footnote w:id="5">
    <w:p w:rsidR="00F17051" w14:paraId="0AE14924" w14:textId="324B5197">
      <w:pPr>
        <w:pStyle w:val="FootnoteText"/>
      </w:pPr>
      <w:r w:rsidRPr="00F17051">
        <w:rPr>
          <w:rStyle w:val="FootnoteReference"/>
          <w:vertAlign w:val="superscript"/>
        </w:rPr>
        <w:footnoteRef/>
      </w:r>
      <w:r>
        <w:t xml:space="preserve"> </w:t>
      </w:r>
      <w:r w:rsidR="00570484">
        <w:t xml:space="preserve">Only those grantees who request and </w:t>
      </w:r>
      <w:r w:rsidR="00773105">
        <w:t>receive</w:t>
      </w:r>
      <w:r w:rsidR="00570484">
        <w:t xml:space="preserve"> a NCE and who implement programming during that period would report performance data</w:t>
      </w:r>
      <w:r w:rsidR="00B52B59">
        <w:t xml:space="preserve"> during the NCE</w:t>
      </w:r>
      <w:r w:rsidR="00570484">
        <w:t xml:space="preserve">. </w:t>
      </w:r>
      <w:r w:rsidR="00773105">
        <w:t xml:space="preserve">Grantees may request to extend up to 1 year.  </w:t>
      </w:r>
      <w:r>
        <w:t>Th</w:t>
      </w:r>
      <w:r w:rsidR="00570484">
        <w:t>e period</w:t>
      </w:r>
      <w:r>
        <w:t xml:space="preserve"> may fall outside of this OMB clearance period</w:t>
      </w:r>
      <w:r w:rsidR="00116646">
        <w:t>, and we would request an extension</w:t>
      </w:r>
      <w:r w:rsidR="00974663">
        <w:t xml:space="preserve"> of clearance</w:t>
      </w:r>
      <w:r w:rsidR="00116646">
        <w:t xml:space="preserve"> to collect th</w:t>
      </w:r>
      <w:r w:rsidR="00570484">
        <w:t>ese</w:t>
      </w:r>
      <w:r w:rsidR="00116646">
        <w:t xml:space="preserve"> data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80E98" w:rsidP="008B55EE" w14:paraId="4AFB8375" w14:textId="77777777">
    <w:pPr>
      <w:pStyle w:val="Header"/>
      <w:tabs>
        <w:tab w:val="clear" w:pos="4320"/>
        <w:tab w:val="center" w:pos="4680"/>
        <w:tab w:val="clear" w:pos="864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0000001"/>
    <w:multiLevelType w:val="multilevel"/>
    <w:tmpl w:val="00000000"/>
    <w:name w:val="1"/>
    <w:lvl w:ilvl="0">
      <w:start w:val="1"/>
      <w:numFmt w:val="decimal"/>
      <w:pStyle w:val="Outline0031"/>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2">
    <w:nsid w:val="00000002"/>
    <w:multiLevelType w:val="multilevel"/>
    <w:tmpl w:val="00000000"/>
    <w:name w:val="2"/>
    <w:lvl w:ilvl="0">
      <w:start w:val="1"/>
      <w:numFmt w:val="upperLetter"/>
      <w:pStyle w:val="Outline0021"/>
      <w:lvlText w:val="%1."/>
      <w:lvlJc w:val="left"/>
    </w:lvl>
    <w:lvl w:ilvl="1">
      <w:start w:val="1"/>
      <w:numFmt w:val="decimal"/>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3">
    <w:nsid w:val="00000003"/>
    <w:multiLevelType w:val="multilevel"/>
    <w:tmpl w:val="00000000"/>
    <w:name w:val="3"/>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4">
    <w:nsid w:val="00000004"/>
    <w:multiLevelType w:val="multilevel"/>
    <w:tmpl w:val="00000000"/>
    <w:name w:val="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5">
    <w:nsid w:val="003640C5"/>
    <w:multiLevelType w:val="hybridMultilevel"/>
    <w:tmpl w:val="FF2004D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4B53097"/>
    <w:multiLevelType w:val="hybridMultilevel"/>
    <w:tmpl w:val="8CBED9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0EBE3023"/>
    <w:multiLevelType w:val="hybridMultilevel"/>
    <w:tmpl w:val="0366BCEA"/>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2627EEB"/>
    <w:multiLevelType w:val="hybridMultilevel"/>
    <w:tmpl w:val="85A0C71A"/>
    <w:lvl w:ilvl="0">
      <w:start w:val="1"/>
      <w:numFmt w:val="upperLetter"/>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9">
    <w:nsid w:val="129E7162"/>
    <w:multiLevelType w:val="hybridMultilevel"/>
    <w:tmpl w:val="1316A9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61D00C2"/>
    <w:multiLevelType w:val="hybridMultilevel"/>
    <w:tmpl w:val="EDA2EE40"/>
    <w:lvl w:ilvl="0">
      <w:start w:val="1"/>
      <w:numFmt w:val="bullet"/>
      <w:lvlText w:val=""/>
      <w:lvlJc w:val="left"/>
      <w:pPr>
        <w:ind w:left="1080" w:hanging="360"/>
      </w:pPr>
      <w:rPr>
        <w:rFonts w:ascii="Symbol" w:hAnsi="Symbol" w:hint="default"/>
      </w:rPr>
    </w:lvl>
    <w:lvl w:ilvl="1">
      <w:start w:val="1"/>
      <w:numFmt w:val="bullet"/>
      <w:lvlText w:val=""/>
      <w:lvlJc w:val="left"/>
      <w:pPr>
        <w:ind w:left="630" w:hanging="360"/>
      </w:pPr>
      <w:rPr>
        <w:rFonts w:ascii="Symbol" w:hAnsi="Symbol" w:hint="default"/>
      </w:rPr>
    </w:lvl>
    <w:lvl w:ilvl="2">
      <w:start w:val="1"/>
      <w:numFmt w:val="bullet"/>
      <w:lvlText w:val="o"/>
      <w:lvlJc w:val="left"/>
      <w:pPr>
        <w:ind w:left="2520" w:hanging="360"/>
      </w:pPr>
      <w:rPr>
        <w:rFonts w:ascii="Courier New" w:hAnsi="Courier New" w:cs="Courier New"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16550299"/>
    <w:multiLevelType w:val="hybridMultilevel"/>
    <w:tmpl w:val="57386B20"/>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16FB5E3E"/>
    <w:multiLevelType w:val="hybridMultilevel"/>
    <w:tmpl w:val="5BD0B7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8EA0E33"/>
    <w:multiLevelType w:val="hybridMultilevel"/>
    <w:tmpl w:val="DF345B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97B4804"/>
    <w:multiLevelType w:val="hybridMultilevel"/>
    <w:tmpl w:val="FE744C74"/>
    <w:lvl w:ilvl="0">
      <w:start w:val="0"/>
      <w:numFmt w:val="bullet"/>
      <w:lvlText w:val=""/>
      <w:lvlJc w:val="left"/>
      <w:pPr>
        <w:ind w:left="720" w:hanging="360"/>
      </w:pPr>
      <w:rPr>
        <w:rFonts w:ascii="Symbol" w:eastAsia="Calibri" w:hAnsi="Symbol" w:cs="Aria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15">
    <w:nsid w:val="1B6D59F8"/>
    <w:multiLevelType w:val="hybridMultilevel"/>
    <w:tmpl w:val="FD00A3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24D6552F"/>
    <w:multiLevelType w:val="hybridMultilevel"/>
    <w:tmpl w:val="7CB482A2"/>
    <w:lvl w:ilvl="0">
      <w:start w:val="1"/>
      <w:numFmt w:val="decimal"/>
      <w:lvlText w:val="%1)"/>
      <w:lvlJc w:val="left"/>
      <w:pPr>
        <w:ind w:left="63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2A7C16CB"/>
    <w:multiLevelType w:val="hybridMultilevel"/>
    <w:tmpl w:val="FDAA20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2B516C94"/>
    <w:multiLevelType w:val="hybridMultilevel"/>
    <w:tmpl w:val="8B8E48CE"/>
    <w:lvl w:ilvl="0">
      <w:start w:val="1"/>
      <w:numFmt w:val="bullet"/>
      <w:lvlText w:val=""/>
      <w:lvlJc w:val="left"/>
      <w:pPr>
        <w:ind w:left="1800" w:hanging="360"/>
      </w:pPr>
      <w:rPr>
        <w:rFonts w:ascii="Symbol" w:hAnsi="Symbol" w:hint="default"/>
      </w:rPr>
    </w:lvl>
    <w:lvl w:ilvl="1" w:tentative="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9">
    <w:nsid w:val="2D3A3F87"/>
    <w:multiLevelType w:val="hybridMultilevel"/>
    <w:tmpl w:val="B90A30FA"/>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0">
    <w:nsid w:val="2EB1714A"/>
    <w:multiLevelType w:val="multilevel"/>
    <w:tmpl w:val="AAE00260"/>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1">
    <w:nsid w:val="31BF1FDA"/>
    <w:multiLevelType w:val="hybridMultilevel"/>
    <w:tmpl w:val="3B023D10"/>
    <w:lvl w:ilvl="0">
      <w:start w:val="1"/>
      <w:numFmt w:val="bullet"/>
      <w:lvlText w:val="•"/>
      <w:lvlJc w:val="left"/>
      <w:pPr>
        <w:tabs>
          <w:tab w:val="num" w:pos="720"/>
        </w:tabs>
        <w:ind w:left="720" w:hanging="360"/>
      </w:pPr>
      <w:rPr>
        <w:rFonts w:ascii="Arial" w:hAnsi="Arial" w:hint="default"/>
      </w:rPr>
    </w:lvl>
    <w:lvl w:ilvl="1">
      <w:start w:val="206"/>
      <w:numFmt w:val="bullet"/>
      <w:lvlText w:val="•"/>
      <w:lvlJc w:val="left"/>
      <w:pPr>
        <w:tabs>
          <w:tab w:val="num" w:pos="1440"/>
        </w:tabs>
        <w:ind w:left="1440" w:hanging="360"/>
      </w:pPr>
      <w:rPr>
        <w:rFonts w:ascii="Arial" w:hAnsi="Arial" w:hint="default"/>
      </w:rPr>
    </w:lvl>
    <w:lvl w:ilvl="2">
      <w:start w:val="206"/>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abstractNum w:abstractNumId="22">
    <w:nsid w:val="33502EED"/>
    <w:multiLevelType w:val="hybridMultilevel"/>
    <w:tmpl w:val="9F2A8BF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33B560D2"/>
    <w:multiLevelType w:val="hybridMultilevel"/>
    <w:tmpl w:val="6F4AF28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34BF3EA2"/>
    <w:multiLevelType w:val="hybridMultilevel"/>
    <w:tmpl w:val="133439F2"/>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25">
    <w:nsid w:val="36E6416F"/>
    <w:multiLevelType w:val="hybridMultilevel"/>
    <w:tmpl w:val="F05E07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3B685777"/>
    <w:multiLevelType w:val="hybridMultilevel"/>
    <w:tmpl w:val="ED0A35A8"/>
    <w:lvl w:ilvl="0">
      <w:start w:val="1"/>
      <w:numFmt w:val="decimal"/>
      <w:lvlText w:val="%1."/>
      <w:lvlJc w:val="left"/>
      <w:pPr>
        <w:tabs>
          <w:tab w:val="num" w:pos="720"/>
        </w:tabs>
        <w:ind w:left="720" w:hanging="360"/>
      </w:pPr>
    </w:lvl>
    <w:lvl w:ilvl="1">
      <w:start w:val="3"/>
      <w:numFmt w:val="lowerLetter"/>
      <w:lvlText w:val="%2."/>
      <w:lvlJc w:val="left"/>
      <w:pPr>
        <w:tabs>
          <w:tab w:val="num" w:pos="1440"/>
        </w:tabs>
        <w:ind w:left="144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3EAA4EA8"/>
    <w:multiLevelType w:val="hybridMultilevel"/>
    <w:tmpl w:val="78D27EF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47B22B44"/>
    <w:multiLevelType w:val="hybridMultilevel"/>
    <w:tmpl w:val="D25A6E52"/>
    <w:lvl w:ilvl="0">
      <w:start w:val="0"/>
      <w:numFmt w:val="bullet"/>
      <w:lvlText w:val=""/>
      <w:lvlJc w:val="left"/>
      <w:pPr>
        <w:ind w:left="360" w:hanging="360"/>
      </w:pPr>
      <w:rPr>
        <w:rFonts w:ascii="Symbol" w:eastAsia="Calibri"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4B8D3389"/>
    <w:multiLevelType w:val="hybridMultilevel"/>
    <w:tmpl w:val="26FA979C"/>
    <w:lvl w:ilvl="0">
      <w:start w:val="5"/>
      <w:numFmt w:val="upperRoman"/>
      <w:lvlText w:val="%1."/>
      <w:lvlJc w:val="left"/>
      <w:pPr>
        <w:tabs>
          <w:tab w:val="num" w:pos="720"/>
        </w:tabs>
        <w:ind w:left="720" w:hanging="720"/>
      </w:pPr>
      <w:rPr>
        <w:rFonts w:hint="default"/>
        <w:b w:val="0"/>
        <w:bCs/>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0">
    <w:nsid w:val="4BD86D6C"/>
    <w:multiLevelType w:val="hybridMultilevel"/>
    <w:tmpl w:val="0D7ED986"/>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1">
    <w:nsid w:val="4CC56BF6"/>
    <w:multiLevelType w:val="hybridMultilevel"/>
    <w:tmpl w:val="3608412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2">
    <w:nsid w:val="4EA0289E"/>
    <w:multiLevelType w:val="hybridMultilevel"/>
    <w:tmpl w:val="5240FB78"/>
    <w:lvl w:ilvl="0">
      <w:start w:val="1"/>
      <w:numFmt w:val="bullet"/>
      <w:lvlText w:val=""/>
      <w:lvlJc w:val="left"/>
      <w:pPr>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527476F5"/>
    <w:multiLevelType w:val="multilevel"/>
    <w:tmpl w:val="E36E7B66"/>
    <w:lvl w:ilvl="0">
      <w:start w:val="1"/>
      <w:numFmt w:val="decimal"/>
      <w:pStyle w:val="OMBheading-2"/>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54F0408A"/>
    <w:multiLevelType w:val="hybridMultilevel"/>
    <w:tmpl w:val="3A9E1E18"/>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35">
    <w:nsid w:val="57B33658"/>
    <w:multiLevelType w:val="hybridMultilevel"/>
    <w:tmpl w:val="4A282D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5C47691C"/>
    <w:multiLevelType w:val="hybridMultilevel"/>
    <w:tmpl w:val="8FBA6AD4"/>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7">
    <w:nsid w:val="60A85494"/>
    <w:multiLevelType w:val="multilevel"/>
    <w:tmpl w:val="EDBA87F6"/>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683A36E4"/>
    <w:multiLevelType w:val="multilevel"/>
    <w:tmpl w:val="7242CB1C"/>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36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360"/>
      </w:pPr>
      <w:rPr>
        <w:rFonts w:hint="default"/>
      </w:rPr>
    </w:lvl>
  </w:abstractNum>
  <w:num w:numId="1" w16cid:durableId="2031906789">
    <w:abstractNumId w:val="2"/>
    <w:lvlOverride w:ilvl="0">
      <w:startOverride w:val="1"/>
      <w:lvl w:ilvl="0">
        <w:start w:val="1"/>
        <w:numFmt w:val="upperLetter"/>
        <w:pStyle w:val="Outline0021"/>
        <w:lvlText w:val="%1."/>
        <w:lvlJc w:val="left"/>
      </w:lvl>
    </w:lvlOverride>
    <w:lvlOverride w:ilvl="1">
      <w:startOverride w:val="1"/>
      <w:lvl w:ilvl="1">
        <w:start w:val="1"/>
        <w:numFmt w:val="decimal"/>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2" w16cid:durableId="1341347603">
    <w:abstractNumId w:val="1"/>
    <w:lvlOverride w:ilvl="0">
      <w:startOverride w:val="13"/>
      <w:lvl w:ilvl="0">
        <w:start w:val="13"/>
        <w:numFmt w:val="decimal"/>
        <w:pStyle w:val="Outline0031"/>
        <w:lvlText w:val="%1."/>
        <w:lvlJc w:val="left"/>
      </w:lvl>
    </w:lvlOverride>
    <w:lvlOverride w:ilvl="1">
      <w:startOverride w:val="1"/>
      <w:lvl w:ilvl="1">
        <w:start w:val="1"/>
        <w:numFmt w:val="lowerLetter"/>
        <w:lvlText w:val="%2."/>
        <w:lvlJc w:val="left"/>
      </w:lvl>
    </w:lvlOverride>
    <w:lvlOverride w:ilvl="2">
      <w:startOverride w:val="1"/>
      <w:lvl w:ilvl="2">
        <w:start w:val="1"/>
        <w:numFmt w:val="lowerRoman"/>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lvlText w:val="%6."/>
        <w:lvlJc w:val="left"/>
      </w:lvl>
    </w:lvlOverride>
    <w:lvlOverride w:ilvl="6">
      <w:startOverride w:val="1"/>
      <w:lvl w:ilvl="6">
        <w:start w:val="1"/>
        <w:numFmt w:val="decimal"/>
        <w:lvlText w:val="%7."/>
        <w:lvlJc w:val="left"/>
      </w:lvl>
    </w:lvlOverride>
    <w:lvlOverride w:ilvl="7">
      <w:startOverride w:val="1"/>
      <w:lvl w:ilvl="7">
        <w:start w:val="1"/>
        <w:numFmt w:val="lowerLetter"/>
        <w:lvlText w:val="%8."/>
        <w:lvlJc w:val="left"/>
      </w:lvl>
    </w:lvlOverride>
  </w:num>
  <w:num w:numId="3" w16cid:durableId="643043920">
    <w:abstractNumId w:val="30"/>
  </w:num>
  <w:num w:numId="4" w16cid:durableId="211112835">
    <w:abstractNumId w:val="8"/>
  </w:num>
  <w:num w:numId="5" w16cid:durableId="1430661203">
    <w:abstractNumId w:val="29"/>
  </w:num>
  <w:num w:numId="6" w16cid:durableId="1800152027">
    <w:abstractNumId w:val="20"/>
  </w:num>
  <w:num w:numId="7" w16cid:durableId="1858078558">
    <w:abstractNumId w:val="26"/>
  </w:num>
  <w:num w:numId="8" w16cid:durableId="1102845840">
    <w:abstractNumId w:val="14"/>
  </w:num>
  <w:num w:numId="9" w16cid:durableId="1811248559">
    <w:abstractNumId w:val="31"/>
  </w:num>
  <w:num w:numId="10" w16cid:durableId="210389414">
    <w:abstractNumId w:val="24"/>
  </w:num>
  <w:num w:numId="11" w16cid:durableId="416755679">
    <w:abstractNumId w:val="28"/>
  </w:num>
  <w:num w:numId="12" w16cid:durableId="615018664">
    <w:abstractNumId w:val="10"/>
  </w:num>
  <w:num w:numId="13" w16cid:durableId="908418278">
    <w:abstractNumId w:val="19"/>
  </w:num>
  <w:num w:numId="14" w16cid:durableId="45304655">
    <w:abstractNumId w:val="27"/>
  </w:num>
  <w:num w:numId="15" w16cid:durableId="2101640792">
    <w:abstractNumId w:val="16"/>
  </w:num>
  <w:num w:numId="16" w16cid:durableId="1800874561">
    <w:abstractNumId w:val="5"/>
  </w:num>
  <w:num w:numId="17" w16cid:durableId="2022194844">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18" w16cid:durableId="2136482816">
    <w:abstractNumId w:val="15"/>
  </w:num>
  <w:num w:numId="19" w16cid:durableId="232618600">
    <w:abstractNumId w:val="18"/>
  </w:num>
  <w:num w:numId="20" w16cid:durableId="1182742868">
    <w:abstractNumId w:val="9"/>
  </w:num>
  <w:num w:numId="21" w16cid:durableId="698048249">
    <w:abstractNumId w:val="23"/>
  </w:num>
  <w:num w:numId="22" w16cid:durableId="2090032768">
    <w:abstractNumId w:val="11"/>
  </w:num>
  <w:num w:numId="23" w16cid:durableId="1871527283">
    <w:abstractNumId w:val="17"/>
  </w:num>
  <w:num w:numId="24" w16cid:durableId="554319612">
    <w:abstractNumId w:val="6"/>
  </w:num>
  <w:num w:numId="25" w16cid:durableId="1127502352">
    <w:abstractNumId w:val="22"/>
  </w:num>
  <w:num w:numId="26" w16cid:durableId="2146504907">
    <w:abstractNumId w:val="32"/>
  </w:num>
  <w:num w:numId="27" w16cid:durableId="1967393194">
    <w:abstractNumId w:val="21"/>
  </w:num>
  <w:num w:numId="28" w16cid:durableId="536695306">
    <w:abstractNumId w:val="34"/>
  </w:num>
  <w:num w:numId="29" w16cid:durableId="1060900699">
    <w:abstractNumId w:val="35"/>
  </w:num>
  <w:num w:numId="30" w16cid:durableId="569341139">
    <w:abstractNumId w:val="12"/>
  </w:num>
  <w:num w:numId="31" w16cid:durableId="441918147">
    <w:abstractNumId w:val="25"/>
  </w:num>
  <w:num w:numId="32" w16cid:durableId="1502234415">
    <w:abstractNumId w:val="7"/>
  </w:num>
  <w:num w:numId="33" w16cid:durableId="624234496">
    <w:abstractNumId w:val="36"/>
  </w:num>
  <w:num w:numId="34" w16cid:durableId="1860702391">
    <w:abstractNumId w:val="38"/>
  </w:num>
  <w:num w:numId="35" w16cid:durableId="1780442262">
    <w:abstractNumId w:val="13"/>
  </w:num>
  <w:num w:numId="36" w16cid:durableId="317658238">
    <w:abstractNumId w:val="37"/>
  </w:num>
  <w:num w:numId="37" w16cid:durableId="2075736940">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pos w:val="beneathText"/>
    <w:footnote w:id="0"/>
    <w:footnote w:id="1"/>
  </w:foot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47"/>
    <w:rsid w:val="0000180B"/>
    <w:rsid w:val="000022EF"/>
    <w:rsid w:val="00002847"/>
    <w:rsid w:val="00003594"/>
    <w:rsid w:val="000041C3"/>
    <w:rsid w:val="00006100"/>
    <w:rsid w:val="0001121F"/>
    <w:rsid w:val="00011328"/>
    <w:rsid w:val="00011632"/>
    <w:rsid w:val="0001271A"/>
    <w:rsid w:val="00013222"/>
    <w:rsid w:val="00014437"/>
    <w:rsid w:val="0001599F"/>
    <w:rsid w:val="00016859"/>
    <w:rsid w:val="00016CF4"/>
    <w:rsid w:val="000212E4"/>
    <w:rsid w:val="000212EC"/>
    <w:rsid w:val="000214E4"/>
    <w:rsid w:val="00022DFD"/>
    <w:rsid w:val="00024846"/>
    <w:rsid w:val="00030849"/>
    <w:rsid w:val="00032E86"/>
    <w:rsid w:val="00032EFB"/>
    <w:rsid w:val="00032FB0"/>
    <w:rsid w:val="0003389C"/>
    <w:rsid w:val="00034D25"/>
    <w:rsid w:val="00034D55"/>
    <w:rsid w:val="00036D2C"/>
    <w:rsid w:val="00036F79"/>
    <w:rsid w:val="00040B97"/>
    <w:rsid w:val="0004147F"/>
    <w:rsid w:val="00041983"/>
    <w:rsid w:val="000423D6"/>
    <w:rsid w:val="00042666"/>
    <w:rsid w:val="000446AB"/>
    <w:rsid w:val="00044F09"/>
    <w:rsid w:val="00050842"/>
    <w:rsid w:val="00051C86"/>
    <w:rsid w:val="00052272"/>
    <w:rsid w:val="00052298"/>
    <w:rsid w:val="00054EC6"/>
    <w:rsid w:val="00055802"/>
    <w:rsid w:val="000565F7"/>
    <w:rsid w:val="00056ACF"/>
    <w:rsid w:val="00056FAF"/>
    <w:rsid w:val="00056FFE"/>
    <w:rsid w:val="0005769F"/>
    <w:rsid w:val="00057EBE"/>
    <w:rsid w:val="000608A7"/>
    <w:rsid w:val="0006219E"/>
    <w:rsid w:val="00062A65"/>
    <w:rsid w:val="0006429A"/>
    <w:rsid w:val="00065DB1"/>
    <w:rsid w:val="00067A62"/>
    <w:rsid w:val="00067C8A"/>
    <w:rsid w:val="00070215"/>
    <w:rsid w:val="0007073A"/>
    <w:rsid w:val="00070870"/>
    <w:rsid w:val="000715F6"/>
    <w:rsid w:val="000719D7"/>
    <w:rsid w:val="00072245"/>
    <w:rsid w:val="000725B2"/>
    <w:rsid w:val="00072E7E"/>
    <w:rsid w:val="00074606"/>
    <w:rsid w:val="000747A2"/>
    <w:rsid w:val="00074D34"/>
    <w:rsid w:val="00075E1C"/>
    <w:rsid w:val="00082B75"/>
    <w:rsid w:val="00082FBA"/>
    <w:rsid w:val="00083686"/>
    <w:rsid w:val="00083831"/>
    <w:rsid w:val="00085A93"/>
    <w:rsid w:val="00085EBA"/>
    <w:rsid w:val="00086CC1"/>
    <w:rsid w:val="00087F64"/>
    <w:rsid w:val="00092472"/>
    <w:rsid w:val="00092914"/>
    <w:rsid w:val="00092932"/>
    <w:rsid w:val="00093D16"/>
    <w:rsid w:val="00095004"/>
    <w:rsid w:val="00095250"/>
    <w:rsid w:val="000956E1"/>
    <w:rsid w:val="00095AD7"/>
    <w:rsid w:val="00096C82"/>
    <w:rsid w:val="000A07C0"/>
    <w:rsid w:val="000A2839"/>
    <w:rsid w:val="000A34B3"/>
    <w:rsid w:val="000A6327"/>
    <w:rsid w:val="000A6401"/>
    <w:rsid w:val="000B108E"/>
    <w:rsid w:val="000B18DD"/>
    <w:rsid w:val="000B2440"/>
    <w:rsid w:val="000B2F92"/>
    <w:rsid w:val="000B3289"/>
    <w:rsid w:val="000B36A4"/>
    <w:rsid w:val="000B4B25"/>
    <w:rsid w:val="000B4E05"/>
    <w:rsid w:val="000B5251"/>
    <w:rsid w:val="000B5E7F"/>
    <w:rsid w:val="000B616F"/>
    <w:rsid w:val="000B7E2A"/>
    <w:rsid w:val="000C00E8"/>
    <w:rsid w:val="000C169E"/>
    <w:rsid w:val="000C32AA"/>
    <w:rsid w:val="000C3669"/>
    <w:rsid w:val="000C42BB"/>
    <w:rsid w:val="000C55AA"/>
    <w:rsid w:val="000C659F"/>
    <w:rsid w:val="000C68E8"/>
    <w:rsid w:val="000C7315"/>
    <w:rsid w:val="000C743D"/>
    <w:rsid w:val="000C7CFB"/>
    <w:rsid w:val="000D1F13"/>
    <w:rsid w:val="000D2725"/>
    <w:rsid w:val="000D302E"/>
    <w:rsid w:val="000D3B28"/>
    <w:rsid w:val="000D7B86"/>
    <w:rsid w:val="000E24F8"/>
    <w:rsid w:val="000E31A3"/>
    <w:rsid w:val="000E3266"/>
    <w:rsid w:val="000E359D"/>
    <w:rsid w:val="000E6F01"/>
    <w:rsid w:val="000E7FA0"/>
    <w:rsid w:val="000F1514"/>
    <w:rsid w:val="000F1D37"/>
    <w:rsid w:val="000F203A"/>
    <w:rsid w:val="000F267E"/>
    <w:rsid w:val="000F353A"/>
    <w:rsid w:val="000F396C"/>
    <w:rsid w:val="000F3B42"/>
    <w:rsid w:val="000F4250"/>
    <w:rsid w:val="000F47DE"/>
    <w:rsid w:val="000F4AFD"/>
    <w:rsid w:val="000F6566"/>
    <w:rsid w:val="000F6B08"/>
    <w:rsid w:val="00100B63"/>
    <w:rsid w:val="00103122"/>
    <w:rsid w:val="001047F2"/>
    <w:rsid w:val="00106E23"/>
    <w:rsid w:val="001078FA"/>
    <w:rsid w:val="00110306"/>
    <w:rsid w:val="00111252"/>
    <w:rsid w:val="00113AB7"/>
    <w:rsid w:val="00113EF0"/>
    <w:rsid w:val="00114E4A"/>
    <w:rsid w:val="00116646"/>
    <w:rsid w:val="00117ECB"/>
    <w:rsid w:val="00120B66"/>
    <w:rsid w:val="00122C3D"/>
    <w:rsid w:val="00124632"/>
    <w:rsid w:val="00125452"/>
    <w:rsid w:val="0012621D"/>
    <w:rsid w:val="001272ED"/>
    <w:rsid w:val="00127F94"/>
    <w:rsid w:val="00131E71"/>
    <w:rsid w:val="00132230"/>
    <w:rsid w:val="001326BD"/>
    <w:rsid w:val="00134C08"/>
    <w:rsid w:val="00135698"/>
    <w:rsid w:val="001363CB"/>
    <w:rsid w:val="0014204F"/>
    <w:rsid w:val="001434E4"/>
    <w:rsid w:val="001438FF"/>
    <w:rsid w:val="001445F8"/>
    <w:rsid w:val="00144625"/>
    <w:rsid w:val="0014494C"/>
    <w:rsid w:val="0014570E"/>
    <w:rsid w:val="00147B0E"/>
    <w:rsid w:val="001522B1"/>
    <w:rsid w:val="00152684"/>
    <w:rsid w:val="001528EF"/>
    <w:rsid w:val="00154D92"/>
    <w:rsid w:val="001550D1"/>
    <w:rsid w:val="00155269"/>
    <w:rsid w:val="00155C2E"/>
    <w:rsid w:val="00156122"/>
    <w:rsid w:val="00156900"/>
    <w:rsid w:val="00156FFF"/>
    <w:rsid w:val="00157303"/>
    <w:rsid w:val="00157EED"/>
    <w:rsid w:val="001603C0"/>
    <w:rsid w:val="001614E6"/>
    <w:rsid w:val="001640BA"/>
    <w:rsid w:val="00164161"/>
    <w:rsid w:val="00164AD3"/>
    <w:rsid w:val="00166EE9"/>
    <w:rsid w:val="0016775A"/>
    <w:rsid w:val="0017026E"/>
    <w:rsid w:val="00172221"/>
    <w:rsid w:val="0017227E"/>
    <w:rsid w:val="001734F5"/>
    <w:rsid w:val="00175AD9"/>
    <w:rsid w:val="001774F3"/>
    <w:rsid w:val="00181F9C"/>
    <w:rsid w:val="00182487"/>
    <w:rsid w:val="0018257D"/>
    <w:rsid w:val="00182884"/>
    <w:rsid w:val="0018291C"/>
    <w:rsid w:val="00183913"/>
    <w:rsid w:val="0018547F"/>
    <w:rsid w:val="00187045"/>
    <w:rsid w:val="001901A7"/>
    <w:rsid w:val="00190710"/>
    <w:rsid w:val="0019289D"/>
    <w:rsid w:val="00192F2E"/>
    <w:rsid w:val="00193D25"/>
    <w:rsid w:val="00193F3D"/>
    <w:rsid w:val="001943C3"/>
    <w:rsid w:val="00194752"/>
    <w:rsid w:val="00194819"/>
    <w:rsid w:val="00194B44"/>
    <w:rsid w:val="00195372"/>
    <w:rsid w:val="001967E4"/>
    <w:rsid w:val="00197A5B"/>
    <w:rsid w:val="001A00A7"/>
    <w:rsid w:val="001A10C0"/>
    <w:rsid w:val="001A1EF2"/>
    <w:rsid w:val="001A2073"/>
    <w:rsid w:val="001A25AF"/>
    <w:rsid w:val="001A2BF4"/>
    <w:rsid w:val="001A2D7E"/>
    <w:rsid w:val="001A4C12"/>
    <w:rsid w:val="001A73DB"/>
    <w:rsid w:val="001A7443"/>
    <w:rsid w:val="001A7F20"/>
    <w:rsid w:val="001B05D4"/>
    <w:rsid w:val="001B1BB7"/>
    <w:rsid w:val="001B42F3"/>
    <w:rsid w:val="001B4EF3"/>
    <w:rsid w:val="001B5107"/>
    <w:rsid w:val="001C0510"/>
    <w:rsid w:val="001C07A9"/>
    <w:rsid w:val="001C3B18"/>
    <w:rsid w:val="001C490F"/>
    <w:rsid w:val="001C4A1D"/>
    <w:rsid w:val="001C5320"/>
    <w:rsid w:val="001C6B40"/>
    <w:rsid w:val="001C6D4F"/>
    <w:rsid w:val="001C7C27"/>
    <w:rsid w:val="001D16B9"/>
    <w:rsid w:val="001D20C3"/>
    <w:rsid w:val="001D2387"/>
    <w:rsid w:val="001D2F02"/>
    <w:rsid w:val="001D3497"/>
    <w:rsid w:val="001D3A7A"/>
    <w:rsid w:val="001D43E3"/>
    <w:rsid w:val="001D4B09"/>
    <w:rsid w:val="001D5A07"/>
    <w:rsid w:val="001D5F6A"/>
    <w:rsid w:val="001D66E7"/>
    <w:rsid w:val="001D68EB"/>
    <w:rsid w:val="001E07C4"/>
    <w:rsid w:val="001E2052"/>
    <w:rsid w:val="001E20C4"/>
    <w:rsid w:val="001E2A88"/>
    <w:rsid w:val="001E3D8D"/>
    <w:rsid w:val="001E561C"/>
    <w:rsid w:val="001E57A9"/>
    <w:rsid w:val="001E5FDF"/>
    <w:rsid w:val="001E6BA5"/>
    <w:rsid w:val="001E732D"/>
    <w:rsid w:val="001E77D6"/>
    <w:rsid w:val="001E7F9D"/>
    <w:rsid w:val="001F065E"/>
    <w:rsid w:val="001F094A"/>
    <w:rsid w:val="001F0F70"/>
    <w:rsid w:val="001F224B"/>
    <w:rsid w:val="001F246D"/>
    <w:rsid w:val="001F2E7B"/>
    <w:rsid w:val="001F3792"/>
    <w:rsid w:val="001F4A91"/>
    <w:rsid w:val="001F4AD5"/>
    <w:rsid w:val="001F52E4"/>
    <w:rsid w:val="001F6453"/>
    <w:rsid w:val="001F6E28"/>
    <w:rsid w:val="0020002F"/>
    <w:rsid w:val="00202981"/>
    <w:rsid w:val="002037CA"/>
    <w:rsid w:val="0020593B"/>
    <w:rsid w:val="00205D41"/>
    <w:rsid w:val="002070C1"/>
    <w:rsid w:val="00207770"/>
    <w:rsid w:val="002109F4"/>
    <w:rsid w:val="0021184E"/>
    <w:rsid w:val="0021238A"/>
    <w:rsid w:val="00212D87"/>
    <w:rsid w:val="0021314C"/>
    <w:rsid w:val="00213CD3"/>
    <w:rsid w:val="0021461E"/>
    <w:rsid w:val="00214BA0"/>
    <w:rsid w:val="00214EAE"/>
    <w:rsid w:val="002152D5"/>
    <w:rsid w:val="002171BF"/>
    <w:rsid w:val="00220601"/>
    <w:rsid w:val="00220808"/>
    <w:rsid w:val="002230FE"/>
    <w:rsid w:val="00224C67"/>
    <w:rsid w:val="002268E0"/>
    <w:rsid w:val="002272A0"/>
    <w:rsid w:val="0023122E"/>
    <w:rsid w:val="002332EE"/>
    <w:rsid w:val="002343CE"/>
    <w:rsid w:val="0023451F"/>
    <w:rsid w:val="00235CF3"/>
    <w:rsid w:val="00237C3F"/>
    <w:rsid w:val="00237FB7"/>
    <w:rsid w:val="00241A11"/>
    <w:rsid w:val="00242042"/>
    <w:rsid w:val="002420AA"/>
    <w:rsid w:val="00243822"/>
    <w:rsid w:val="00243FBE"/>
    <w:rsid w:val="00244F2F"/>
    <w:rsid w:val="00245157"/>
    <w:rsid w:val="00245497"/>
    <w:rsid w:val="00246CFA"/>
    <w:rsid w:val="0024794A"/>
    <w:rsid w:val="00247B14"/>
    <w:rsid w:val="00251110"/>
    <w:rsid w:val="0025173A"/>
    <w:rsid w:val="0025512C"/>
    <w:rsid w:val="00255F4E"/>
    <w:rsid w:val="002567B3"/>
    <w:rsid w:val="0025728B"/>
    <w:rsid w:val="00257EF2"/>
    <w:rsid w:val="00257F95"/>
    <w:rsid w:val="0026001D"/>
    <w:rsid w:val="00260904"/>
    <w:rsid w:val="00260FE5"/>
    <w:rsid w:val="00262FD3"/>
    <w:rsid w:val="00263670"/>
    <w:rsid w:val="00264162"/>
    <w:rsid w:val="00264C82"/>
    <w:rsid w:val="00265F73"/>
    <w:rsid w:val="00267D41"/>
    <w:rsid w:val="002736E3"/>
    <w:rsid w:val="002754EA"/>
    <w:rsid w:val="002755A1"/>
    <w:rsid w:val="002760BF"/>
    <w:rsid w:val="00277C8D"/>
    <w:rsid w:val="00277EFA"/>
    <w:rsid w:val="002807DB"/>
    <w:rsid w:val="002833E1"/>
    <w:rsid w:val="00283B13"/>
    <w:rsid w:val="00283DD1"/>
    <w:rsid w:val="00283E45"/>
    <w:rsid w:val="002868C5"/>
    <w:rsid w:val="00290394"/>
    <w:rsid w:val="0029051C"/>
    <w:rsid w:val="00293744"/>
    <w:rsid w:val="00293845"/>
    <w:rsid w:val="00293D7F"/>
    <w:rsid w:val="00294933"/>
    <w:rsid w:val="0029568A"/>
    <w:rsid w:val="002A02AC"/>
    <w:rsid w:val="002A270D"/>
    <w:rsid w:val="002A279F"/>
    <w:rsid w:val="002A2F55"/>
    <w:rsid w:val="002A30FD"/>
    <w:rsid w:val="002A3DE1"/>
    <w:rsid w:val="002A4A85"/>
    <w:rsid w:val="002A5960"/>
    <w:rsid w:val="002A705A"/>
    <w:rsid w:val="002B1255"/>
    <w:rsid w:val="002B13BC"/>
    <w:rsid w:val="002B2F5A"/>
    <w:rsid w:val="002B3750"/>
    <w:rsid w:val="002B4145"/>
    <w:rsid w:val="002B4484"/>
    <w:rsid w:val="002B5236"/>
    <w:rsid w:val="002B5699"/>
    <w:rsid w:val="002B5C5C"/>
    <w:rsid w:val="002B6369"/>
    <w:rsid w:val="002B6658"/>
    <w:rsid w:val="002B6F52"/>
    <w:rsid w:val="002C00C9"/>
    <w:rsid w:val="002C0585"/>
    <w:rsid w:val="002C2022"/>
    <w:rsid w:val="002C44A8"/>
    <w:rsid w:val="002C4B61"/>
    <w:rsid w:val="002C4E6F"/>
    <w:rsid w:val="002C55F5"/>
    <w:rsid w:val="002C6EC8"/>
    <w:rsid w:val="002D0F11"/>
    <w:rsid w:val="002D0F60"/>
    <w:rsid w:val="002D1710"/>
    <w:rsid w:val="002D2A66"/>
    <w:rsid w:val="002D2EA8"/>
    <w:rsid w:val="002D3FE0"/>
    <w:rsid w:val="002D5B4D"/>
    <w:rsid w:val="002D7592"/>
    <w:rsid w:val="002D7C9A"/>
    <w:rsid w:val="002E1535"/>
    <w:rsid w:val="002E232D"/>
    <w:rsid w:val="002E2B18"/>
    <w:rsid w:val="002E3F78"/>
    <w:rsid w:val="002E4BCB"/>
    <w:rsid w:val="002E4EDA"/>
    <w:rsid w:val="002E60EE"/>
    <w:rsid w:val="002E6CB7"/>
    <w:rsid w:val="002F3093"/>
    <w:rsid w:val="002F30A7"/>
    <w:rsid w:val="002F343D"/>
    <w:rsid w:val="002F4327"/>
    <w:rsid w:val="002F449C"/>
    <w:rsid w:val="002F696F"/>
    <w:rsid w:val="002F71C9"/>
    <w:rsid w:val="0030169D"/>
    <w:rsid w:val="00302349"/>
    <w:rsid w:val="00302AF0"/>
    <w:rsid w:val="00302CA5"/>
    <w:rsid w:val="00304135"/>
    <w:rsid w:val="00306467"/>
    <w:rsid w:val="003078E4"/>
    <w:rsid w:val="00307BC0"/>
    <w:rsid w:val="00307EBD"/>
    <w:rsid w:val="00310054"/>
    <w:rsid w:val="00311E38"/>
    <w:rsid w:val="003123E2"/>
    <w:rsid w:val="003127F6"/>
    <w:rsid w:val="003139BF"/>
    <w:rsid w:val="00313FE5"/>
    <w:rsid w:val="00314687"/>
    <w:rsid w:val="00314A82"/>
    <w:rsid w:val="00315E6D"/>
    <w:rsid w:val="0031696A"/>
    <w:rsid w:val="003201BD"/>
    <w:rsid w:val="0032143D"/>
    <w:rsid w:val="00322E43"/>
    <w:rsid w:val="003238E2"/>
    <w:rsid w:val="00323BEB"/>
    <w:rsid w:val="00323C6A"/>
    <w:rsid w:val="003242A6"/>
    <w:rsid w:val="00325E2E"/>
    <w:rsid w:val="00326C88"/>
    <w:rsid w:val="00330894"/>
    <w:rsid w:val="00331772"/>
    <w:rsid w:val="00331E64"/>
    <w:rsid w:val="00332714"/>
    <w:rsid w:val="00332A01"/>
    <w:rsid w:val="003347BC"/>
    <w:rsid w:val="0033518C"/>
    <w:rsid w:val="00337083"/>
    <w:rsid w:val="003375D6"/>
    <w:rsid w:val="0034073D"/>
    <w:rsid w:val="00341376"/>
    <w:rsid w:val="00341AD3"/>
    <w:rsid w:val="00344C61"/>
    <w:rsid w:val="00346051"/>
    <w:rsid w:val="00346EF8"/>
    <w:rsid w:val="0034714B"/>
    <w:rsid w:val="00347538"/>
    <w:rsid w:val="00350B49"/>
    <w:rsid w:val="00350B69"/>
    <w:rsid w:val="00351049"/>
    <w:rsid w:val="0035165A"/>
    <w:rsid w:val="00353342"/>
    <w:rsid w:val="00353FFC"/>
    <w:rsid w:val="00355F9C"/>
    <w:rsid w:val="00360807"/>
    <w:rsid w:val="00360EC2"/>
    <w:rsid w:val="003615D5"/>
    <w:rsid w:val="00361D28"/>
    <w:rsid w:val="003633CA"/>
    <w:rsid w:val="00365AA4"/>
    <w:rsid w:val="00366D3F"/>
    <w:rsid w:val="00367192"/>
    <w:rsid w:val="00367EBB"/>
    <w:rsid w:val="003712A3"/>
    <w:rsid w:val="00371953"/>
    <w:rsid w:val="00373099"/>
    <w:rsid w:val="00373D65"/>
    <w:rsid w:val="00373F68"/>
    <w:rsid w:val="0037768D"/>
    <w:rsid w:val="00380721"/>
    <w:rsid w:val="003853E4"/>
    <w:rsid w:val="00386384"/>
    <w:rsid w:val="003868D9"/>
    <w:rsid w:val="00387FE2"/>
    <w:rsid w:val="00391EF5"/>
    <w:rsid w:val="003924A1"/>
    <w:rsid w:val="00395FBB"/>
    <w:rsid w:val="00396458"/>
    <w:rsid w:val="00396E19"/>
    <w:rsid w:val="00396E76"/>
    <w:rsid w:val="003A00AB"/>
    <w:rsid w:val="003A18B0"/>
    <w:rsid w:val="003A2E47"/>
    <w:rsid w:val="003A4EE1"/>
    <w:rsid w:val="003A586D"/>
    <w:rsid w:val="003A5C41"/>
    <w:rsid w:val="003A6D4A"/>
    <w:rsid w:val="003A753D"/>
    <w:rsid w:val="003A75EA"/>
    <w:rsid w:val="003B102A"/>
    <w:rsid w:val="003B1789"/>
    <w:rsid w:val="003B1E70"/>
    <w:rsid w:val="003B1F38"/>
    <w:rsid w:val="003B26B8"/>
    <w:rsid w:val="003B38AC"/>
    <w:rsid w:val="003B3901"/>
    <w:rsid w:val="003B39AF"/>
    <w:rsid w:val="003B3CB4"/>
    <w:rsid w:val="003B3D8F"/>
    <w:rsid w:val="003B4213"/>
    <w:rsid w:val="003B5234"/>
    <w:rsid w:val="003B5C52"/>
    <w:rsid w:val="003B6331"/>
    <w:rsid w:val="003B6899"/>
    <w:rsid w:val="003C0292"/>
    <w:rsid w:val="003C0C66"/>
    <w:rsid w:val="003C171D"/>
    <w:rsid w:val="003C1D74"/>
    <w:rsid w:val="003C532A"/>
    <w:rsid w:val="003C736B"/>
    <w:rsid w:val="003D1C2D"/>
    <w:rsid w:val="003D29A2"/>
    <w:rsid w:val="003D5440"/>
    <w:rsid w:val="003D6DE6"/>
    <w:rsid w:val="003D7116"/>
    <w:rsid w:val="003D71C9"/>
    <w:rsid w:val="003D730D"/>
    <w:rsid w:val="003D7E46"/>
    <w:rsid w:val="003E255B"/>
    <w:rsid w:val="003E4BB7"/>
    <w:rsid w:val="003E5B0C"/>
    <w:rsid w:val="003E5E23"/>
    <w:rsid w:val="003E7214"/>
    <w:rsid w:val="003F2696"/>
    <w:rsid w:val="003F2C2D"/>
    <w:rsid w:val="003F3F75"/>
    <w:rsid w:val="003F4ADC"/>
    <w:rsid w:val="003F7697"/>
    <w:rsid w:val="004000CE"/>
    <w:rsid w:val="004012CF"/>
    <w:rsid w:val="00401A3B"/>
    <w:rsid w:val="00402271"/>
    <w:rsid w:val="0040345D"/>
    <w:rsid w:val="004035E2"/>
    <w:rsid w:val="00404994"/>
    <w:rsid w:val="00404F44"/>
    <w:rsid w:val="0040568C"/>
    <w:rsid w:val="0040669F"/>
    <w:rsid w:val="00406907"/>
    <w:rsid w:val="00411AD8"/>
    <w:rsid w:val="00412746"/>
    <w:rsid w:val="00412ACA"/>
    <w:rsid w:val="00412F39"/>
    <w:rsid w:val="00413390"/>
    <w:rsid w:val="004137BF"/>
    <w:rsid w:val="00414613"/>
    <w:rsid w:val="0041541A"/>
    <w:rsid w:val="0041563A"/>
    <w:rsid w:val="004164EC"/>
    <w:rsid w:val="00417113"/>
    <w:rsid w:val="00417732"/>
    <w:rsid w:val="00420711"/>
    <w:rsid w:val="004231D7"/>
    <w:rsid w:val="004253BA"/>
    <w:rsid w:val="00425FF9"/>
    <w:rsid w:val="004265EF"/>
    <w:rsid w:val="0042660F"/>
    <w:rsid w:val="00426707"/>
    <w:rsid w:val="00427179"/>
    <w:rsid w:val="004302DA"/>
    <w:rsid w:val="00430AD6"/>
    <w:rsid w:val="004324D3"/>
    <w:rsid w:val="00432AA0"/>
    <w:rsid w:val="00434C06"/>
    <w:rsid w:val="00434C77"/>
    <w:rsid w:val="00440494"/>
    <w:rsid w:val="0044268E"/>
    <w:rsid w:val="00443AB3"/>
    <w:rsid w:val="004446D7"/>
    <w:rsid w:val="0044556A"/>
    <w:rsid w:val="004457A6"/>
    <w:rsid w:val="00445DEE"/>
    <w:rsid w:val="0044635A"/>
    <w:rsid w:val="00446535"/>
    <w:rsid w:val="004470A8"/>
    <w:rsid w:val="00447779"/>
    <w:rsid w:val="00447C9A"/>
    <w:rsid w:val="004509B5"/>
    <w:rsid w:val="00450DCD"/>
    <w:rsid w:val="004514C2"/>
    <w:rsid w:val="00452CB5"/>
    <w:rsid w:val="00453240"/>
    <w:rsid w:val="004538DE"/>
    <w:rsid w:val="00455FF0"/>
    <w:rsid w:val="004563BB"/>
    <w:rsid w:val="00456C72"/>
    <w:rsid w:val="004579F2"/>
    <w:rsid w:val="004619CE"/>
    <w:rsid w:val="004625B0"/>
    <w:rsid w:val="004632EA"/>
    <w:rsid w:val="00464769"/>
    <w:rsid w:val="00465247"/>
    <w:rsid w:val="00466824"/>
    <w:rsid w:val="00467866"/>
    <w:rsid w:val="0046789C"/>
    <w:rsid w:val="00471EA0"/>
    <w:rsid w:val="00472A13"/>
    <w:rsid w:val="00472BED"/>
    <w:rsid w:val="004735A2"/>
    <w:rsid w:val="00475D8A"/>
    <w:rsid w:val="0048066D"/>
    <w:rsid w:val="004816A9"/>
    <w:rsid w:val="0048184C"/>
    <w:rsid w:val="00482F75"/>
    <w:rsid w:val="00483119"/>
    <w:rsid w:val="0048449F"/>
    <w:rsid w:val="00485031"/>
    <w:rsid w:val="00485E51"/>
    <w:rsid w:val="004866C7"/>
    <w:rsid w:val="00487CB9"/>
    <w:rsid w:val="004905D4"/>
    <w:rsid w:val="0049218C"/>
    <w:rsid w:val="004924D2"/>
    <w:rsid w:val="00494057"/>
    <w:rsid w:val="0049481E"/>
    <w:rsid w:val="004953F8"/>
    <w:rsid w:val="004961D4"/>
    <w:rsid w:val="004964DE"/>
    <w:rsid w:val="00496938"/>
    <w:rsid w:val="004970BD"/>
    <w:rsid w:val="00497EFA"/>
    <w:rsid w:val="004A0654"/>
    <w:rsid w:val="004A4E4C"/>
    <w:rsid w:val="004A5698"/>
    <w:rsid w:val="004A56CF"/>
    <w:rsid w:val="004A5D91"/>
    <w:rsid w:val="004A62D0"/>
    <w:rsid w:val="004A62D7"/>
    <w:rsid w:val="004A67C0"/>
    <w:rsid w:val="004A78CE"/>
    <w:rsid w:val="004B06C5"/>
    <w:rsid w:val="004B0910"/>
    <w:rsid w:val="004B1E68"/>
    <w:rsid w:val="004B40B4"/>
    <w:rsid w:val="004B4321"/>
    <w:rsid w:val="004B47B0"/>
    <w:rsid w:val="004C02ED"/>
    <w:rsid w:val="004C2410"/>
    <w:rsid w:val="004C2C2F"/>
    <w:rsid w:val="004C3F49"/>
    <w:rsid w:val="004C3F8B"/>
    <w:rsid w:val="004C4A3A"/>
    <w:rsid w:val="004C5FDD"/>
    <w:rsid w:val="004C7391"/>
    <w:rsid w:val="004D20AA"/>
    <w:rsid w:val="004D24B7"/>
    <w:rsid w:val="004D322E"/>
    <w:rsid w:val="004D3F0B"/>
    <w:rsid w:val="004D446A"/>
    <w:rsid w:val="004D47A1"/>
    <w:rsid w:val="004D4922"/>
    <w:rsid w:val="004D5328"/>
    <w:rsid w:val="004D5F52"/>
    <w:rsid w:val="004D6632"/>
    <w:rsid w:val="004D7741"/>
    <w:rsid w:val="004E1399"/>
    <w:rsid w:val="004E1880"/>
    <w:rsid w:val="004E40B8"/>
    <w:rsid w:val="004E4CF9"/>
    <w:rsid w:val="004E518B"/>
    <w:rsid w:val="004E5A4F"/>
    <w:rsid w:val="004F0617"/>
    <w:rsid w:val="004F0B72"/>
    <w:rsid w:val="004F643E"/>
    <w:rsid w:val="004F71A7"/>
    <w:rsid w:val="004F75F7"/>
    <w:rsid w:val="004F7793"/>
    <w:rsid w:val="00500495"/>
    <w:rsid w:val="00500875"/>
    <w:rsid w:val="00500C2A"/>
    <w:rsid w:val="00503CDE"/>
    <w:rsid w:val="00504AD2"/>
    <w:rsid w:val="00505B4D"/>
    <w:rsid w:val="00505F7D"/>
    <w:rsid w:val="005061FE"/>
    <w:rsid w:val="005073DF"/>
    <w:rsid w:val="00507579"/>
    <w:rsid w:val="00507970"/>
    <w:rsid w:val="005115E9"/>
    <w:rsid w:val="005131C9"/>
    <w:rsid w:val="00514F98"/>
    <w:rsid w:val="00515DEE"/>
    <w:rsid w:val="0052042A"/>
    <w:rsid w:val="005208DB"/>
    <w:rsid w:val="00520900"/>
    <w:rsid w:val="005210F3"/>
    <w:rsid w:val="00521BD3"/>
    <w:rsid w:val="005224E1"/>
    <w:rsid w:val="00522DB2"/>
    <w:rsid w:val="0052645A"/>
    <w:rsid w:val="0052695A"/>
    <w:rsid w:val="00531301"/>
    <w:rsid w:val="00531EA4"/>
    <w:rsid w:val="00532ECB"/>
    <w:rsid w:val="0053300A"/>
    <w:rsid w:val="005335D2"/>
    <w:rsid w:val="005339B3"/>
    <w:rsid w:val="0053685D"/>
    <w:rsid w:val="00540137"/>
    <w:rsid w:val="00543127"/>
    <w:rsid w:val="0054341E"/>
    <w:rsid w:val="00543F55"/>
    <w:rsid w:val="00545CF6"/>
    <w:rsid w:val="005462E8"/>
    <w:rsid w:val="005506D6"/>
    <w:rsid w:val="00550C55"/>
    <w:rsid w:val="00552BD7"/>
    <w:rsid w:val="0055327C"/>
    <w:rsid w:val="00553A91"/>
    <w:rsid w:val="0055419F"/>
    <w:rsid w:val="00554EA5"/>
    <w:rsid w:val="00554FC4"/>
    <w:rsid w:val="00555EB2"/>
    <w:rsid w:val="005562B3"/>
    <w:rsid w:val="00556DC6"/>
    <w:rsid w:val="00562654"/>
    <w:rsid w:val="00564122"/>
    <w:rsid w:val="0056442A"/>
    <w:rsid w:val="00565AB6"/>
    <w:rsid w:val="00565B9F"/>
    <w:rsid w:val="00566333"/>
    <w:rsid w:val="005700BC"/>
    <w:rsid w:val="00570484"/>
    <w:rsid w:val="0057290B"/>
    <w:rsid w:val="00575C8F"/>
    <w:rsid w:val="00577DCB"/>
    <w:rsid w:val="00580328"/>
    <w:rsid w:val="00580399"/>
    <w:rsid w:val="0058068D"/>
    <w:rsid w:val="005808B6"/>
    <w:rsid w:val="00580B18"/>
    <w:rsid w:val="005811D9"/>
    <w:rsid w:val="00582036"/>
    <w:rsid w:val="00586345"/>
    <w:rsid w:val="005865FC"/>
    <w:rsid w:val="00587905"/>
    <w:rsid w:val="00590688"/>
    <w:rsid w:val="005906E7"/>
    <w:rsid w:val="005920CB"/>
    <w:rsid w:val="005921FA"/>
    <w:rsid w:val="005932B3"/>
    <w:rsid w:val="00593AC3"/>
    <w:rsid w:val="00593BA3"/>
    <w:rsid w:val="00593CC1"/>
    <w:rsid w:val="00594415"/>
    <w:rsid w:val="00595A58"/>
    <w:rsid w:val="00597511"/>
    <w:rsid w:val="00597BCA"/>
    <w:rsid w:val="005A000E"/>
    <w:rsid w:val="005A07FD"/>
    <w:rsid w:val="005A3113"/>
    <w:rsid w:val="005A3245"/>
    <w:rsid w:val="005A4E87"/>
    <w:rsid w:val="005A7777"/>
    <w:rsid w:val="005A78AA"/>
    <w:rsid w:val="005B05A7"/>
    <w:rsid w:val="005B1517"/>
    <w:rsid w:val="005B3280"/>
    <w:rsid w:val="005B3A0E"/>
    <w:rsid w:val="005B521D"/>
    <w:rsid w:val="005B6E13"/>
    <w:rsid w:val="005B707C"/>
    <w:rsid w:val="005B7452"/>
    <w:rsid w:val="005B7788"/>
    <w:rsid w:val="005B7BB4"/>
    <w:rsid w:val="005C36E3"/>
    <w:rsid w:val="005C3A80"/>
    <w:rsid w:val="005C5D5D"/>
    <w:rsid w:val="005C6797"/>
    <w:rsid w:val="005C6CF8"/>
    <w:rsid w:val="005C7140"/>
    <w:rsid w:val="005C7D34"/>
    <w:rsid w:val="005C7ECC"/>
    <w:rsid w:val="005D3280"/>
    <w:rsid w:val="005D3F5E"/>
    <w:rsid w:val="005D41F1"/>
    <w:rsid w:val="005D5019"/>
    <w:rsid w:val="005D53F9"/>
    <w:rsid w:val="005D595A"/>
    <w:rsid w:val="005D751D"/>
    <w:rsid w:val="005D78B8"/>
    <w:rsid w:val="005E01A2"/>
    <w:rsid w:val="005E039A"/>
    <w:rsid w:val="005E0C59"/>
    <w:rsid w:val="005E12AC"/>
    <w:rsid w:val="005E1542"/>
    <w:rsid w:val="005E3C31"/>
    <w:rsid w:val="005E4186"/>
    <w:rsid w:val="005E6922"/>
    <w:rsid w:val="005E6C17"/>
    <w:rsid w:val="005E6D49"/>
    <w:rsid w:val="005E6D7D"/>
    <w:rsid w:val="005E7E0E"/>
    <w:rsid w:val="005F0C43"/>
    <w:rsid w:val="005F1F6A"/>
    <w:rsid w:val="005F23C4"/>
    <w:rsid w:val="005F32FF"/>
    <w:rsid w:val="005F7CF5"/>
    <w:rsid w:val="00600EAD"/>
    <w:rsid w:val="00601D27"/>
    <w:rsid w:val="00602627"/>
    <w:rsid w:val="00603F8D"/>
    <w:rsid w:val="00604A13"/>
    <w:rsid w:val="00604ADD"/>
    <w:rsid w:val="006053D8"/>
    <w:rsid w:val="00607D40"/>
    <w:rsid w:val="006109F1"/>
    <w:rsid w:val="00610F40"/>
    <w:rsid w:val="00611444"/>
    <w:rsid w:val="00611979"/>
    <w:rsid w:val="00611FCF"/>
    <w:rsid w:val="00613838"/>
    <w:rsid w:val="0061433A"/>
    <w:rsid w:val="00614769"/>
    <w:rsid w:val="006156C0"/>
    <w:rsid w:val="00615DFD"/>
    <w:rsid w:val="006205F4"/>
    <w:rsid w:val="00623035"/>
    <w:rsid w:val="00623084"/>
    <w:rsid w:val="00623B4A"/>
    <w:rsid w:val="006253AC"/>
    <w:rsid w:val="006253E5"/>
    <w:rsid w:val="006264C1"/>
    <w:rsid w:val="00626BCD"/>
    <w:rsid w:val="00626ED1"/>
    <w:rsid w:val="006270C1"/>
    <w:rsid w:val="006278A2"/>
    <w:rsid w:val="006279E1"/>
    <w:rsid w:val="00627AE7"/>
    <w:rsid w:val="00630135"/>
    <w:rsid w:val="00630746"/>
    <w:rsid w:val="00631022"/>
    <w:rsid w:val="0063250C"/>
    <w:rsid w:val="00632FF7"/>
    <w:rsid w:val="006339BF"/>
    <w:rsid w:val="006346F5"/>
    <w:rsid w:val="00634E30"/>
    <w:rsid w:val="00635C1D"/>
    <w:rsid w:val="00641043"/>
    <w:rsid w:val="00642965"/>
    <w:rsid w:val="00643259"/>
    <w:rsid w:val="006438F4"/>
    <w:rsid w:val="00644AED"/>
    <w:rsid w:val="00644E39"/>
    <w:rsid w:val="00645215"/>
    <w:rsid w:val="0064526E"/>
    <w:rsid w:val="006469AB"/>
    <w:rsid w:val="006474E5"/>
    <w:rsid w:val="00650B14"/>
    <w:rsid w:val="0065139F"/>
    <w:rsid w:val="006514FA"/>
    <w:rsid w:val="00651851"/>
    <w:rsid w:val="00653917"/>
    <w:rsid w:val="0065586F"/>
    <w:rsid w:val="00656569"/>
    <w:rsid w:val="00657590"/>
    <w:rsid w:val="00657CEB"/>
    <w:rsid w:val="006609D5"/>
    <w:rsid w:val="00661054"/>
    <w:rsid w:val="00661FA9"/>
    <w:rsid w:val="00662FC6"/>
    <w:rsid w:val="0066393A"/>
    <w:rsid w:val="00672325"/>
    <w:rsid w:val="00673B1A"/>
    <w:rsid w:val="006746FA"/>
    <w:rsid w:val="00674968"/>
    <w:rsid w:val="006766A2"/>
    <w:rsid w:val="00677C20"/>
    <w:rsid w:val="00680023"/>
    <w:rsid w:val="00680552"/>
    <w:rsid w:val="00682F0C"/>
    <w:rsid w:val="00685304"/>
    <w:rsid w:val="00685427"/>
    <w:rsid w:val="00686643"/>
    <w:rsid w:val="00686E51"/>
    <w:rsid w:val="00687303"/>
    <w:rsid w:val="0068772E"/>
    <w:rsid w:val="006915B1"/>
    <w:rsid w:val="00691761"/>
    <w:rsid w:val="006918EC"/>
    <w:rsid w:val="00692BB8"/>
    <w:rsid w:val="006934AC"/>
    <w:rsid w:val="006953D9"/>
    <w:rsid w:val="00695B1B"/>
    <w:rsid w:val="00696401"/>
    <w:rsid w:val="006A08B4"/>
    <w:rsid w:val="006A272C"/>
    <w:rsid w:val="006A2A18"/>
    <w:rsid w:val="006A3D33"/>
    <w:rsid w:val="006A5977"/>
    <w:rsid w:val="006A64EB"/>
    <w:rsid w:val="006A65A5"/>
    <w:rsid w:val="006B0060"/>
    <w:rsid w:val="006B154F"/>
    <w:rsid w:val="006B186A"/>
    <w:rsid w:val="006B19D9"/>
    <w:rsid w:val="006B1A07"/>
    <w:rsid w:val="006B1F8C"/>
    <w:rsid w:val="006B2CDB"/>
    <w:rsid w:val="006B34C3"/>
    <w:rsid w:val="006B48E8"/>
    <w:rsid w:val="006B4C83"/>
    <w:rsid w:val="006B6BD3"/>
    <w:rsid w:val="006B6F40"/>
    <w:rsid w:val="006B7DA5"/>
    <w:rsid w:val="006B7F0D"/>
    <w:rsid w:val="006B7F30"/>
    <w:rsid w:val="006C14CB"/>
    <w:rsid w:val="006C294E"/>
    <w:rsid w:val="006C29A7"/>
    <w:rsid w:val="006C2B8D"/>
    <w:rsid w:val="006C2CAF"/>
    <w:rsid w:val="006C365F"/>
    <w:rsid w:val="006C4ED8"/>
    <w:rsid w:val="006C5688"/>
    <w:rsid w:val="006C5B44"/>
    <w:rsid w:val="006C5EA1"/>
    <w:rsid w:val="006C63DC"/>
    <w:rsid w:val="006C7B18"/>
    <w:rsid w:val="006D0911"/>
    <w:rsid w:val="006D1236"/>
    <w:rsid w:val="006D12DC"/>
    <w:rsid w:val="006D13D4"/>
    <w:rsid w:val="006D1C5E"/>
    <w:rsid w:val="006D2328"/>
    <w:rsid w:val="006D2C7B"/>
    <w:rsid w:val="006D3347"/>
    <w:rsid w:val="006D3BE5"/>
    <w:rsid w:val="006D3E74"/>
    <w:rsid w:val="006D6937"/>
    <w:rsid w:val="006E1EB1"/>
    <w:rsid w:val="006E2A18"/>
    <w:rsid w:val="006E2D18"/>
    <w:rsid w:val="006E31AD"/>
    <w:rsid w:val="006E33AB"/>
    <w:rsid w:val="006E3AAF"/>
    <w:rsid w:val="006E488C"/>
    <w:rsid w:val="006E49E9"/>
    <w:rsid w:val="006E5364"/>
    <w:rsid w:val="006F03A7"/>
    <w:rsid w:val="006F0D5F"/>
    <w:rsid w:val="006F1E89"/>
    <w:rsid w:val="006F2D41"/>
    <w:rsid w:val="006F4624"/>
    <w:rsid w:val="006F47F7"/>
    <w:rsid w:val="006F7822"/>
    <w:rsid w:val="006F7FF0"/>
    <w:rsid w:val="0070069F"/>
    <w:rsid w:val="00700F76"/>
    <w:rsid w:val="00702347"/>
    <w:rsid w:val="007038CA"/>
    <w:rsid w:val="00703ABA"/>
    <w:rsid w:val="00704188"/>
    <w:rsid w:val="00705277"/>
    <w:rsid w:val="00706020"/>
    <w:rsid w:val="00706103"/>
    <w:rsid w:val="00707121"/>
    <w:rsid w:val="00707EF0"/>
    <w:rsid w:val="007103A4"/>
    <w:rsid w:val="00710C2D"/>
    <w:rsid w:val="007121C1"/>
    <w:rsid w:val="0071328B"/>
    <w:rsid w:val="00715CFD"/>
    <w:rsid w:val="007200B6"/>
    <w:rsid w:val="007211A5"/>
    <w:rsid w:val="00721DD4"/>
    <w:rsid w:val="00724F19"/>
    <w:rsid w:val="007252E9"/>
    <w:rsid w:val="0073148E"/>
    <w:rsid w:val="00731F4F"/>
    <w:rsid w:val="00732C98"/>
    <w:rsid w:val="00733B81"/>
    <w:rsid w:val="00737A09"/>
    <w:rsid w:val="00740166"/>
    <w:rsid w:val="00740664"/>
    <w:rsid w:val="00742514"/>
    <w:rsid w:val="007429B4"/>
    <w:rsid w:val="00742E2D"/>
    <w:rsid w:val="00743189"/>
    <w:rsid w:val="00743C12"/>
    <w:rsid w:val="00744407"/>
    <w:rsid w:val="0074517D"/>
    <w:rsid w:val="007457C4"/>
    <w:rsid w:val="00745FB7"/>
    <w:rsid w:val="007502A8"/>
    <w:rsid w:val="00751967"/>
    <w:rsid w:val="00752CC3"/>
    <w:rsid w:val="00753E17"/>
    <w:rsid w:val="00755AAA"/>
    <w:rsid w:val="007564FF"/>
    <w:rsid w:val="007578F7"/>
    <w:rsid w:val="007615EE"/>
    <w:rsid w:val="007618C9"/>
    <w:rsid w:val="00761BB8"/>
    <w:rsid w:val="00762161"/>
    <w:rsid w:val="007623BE"/>
    <w:rsid w:val="007652EA"/>
    <w:rsid w:val="00767BA3"/>
    <w:rsid w:val="007710E7"/>
    <w:rsid w:val="00771635"/>
    <w:rsid w:val="00772A2E"/>
    <w:rsid w:val="00772B68"/>
    <w:rsid w:val="00773105"/>
    <w:rsid w:val="00773DF5"/>
    <w:rsid w:val="00775367"/>
    <w:rsid w:val="00776EF7"/>
    <w:rsid w:val="00777FE5"/>
    <w:rsid w:val="00780298"/>
    <w:rsid w:val="00780531"/>
    <w:rsid w:val="00780E98"/>
    <w:rsid w:val="00781C0F"/>
    <w:rsid w:val="007820E6"/>
    <w:rsid w:val="00782581"/>
    <w:rsid w:val="00784322"/>
    <w:rsid w:val="00784D8E"/>
    <w:rsid w:val="00785B02"/>
    <w:rsid w:val="007871B2"/>
    <w:rsid w:val="00787621"/>
    <w:rsid w:val="00787FE8"/>
    <w:rsid w:val="00790235"/>
    <w:rsid w:val="00790AF0"/>
    <w:rsid w:val="00793B84"/>
    <w:rsid w:val="00793B92"/>
    <w:rsid w:val="00794E7E"/>
    <w:rsid w:val="00796982"/>
    <w:rsid w:val="007971E3"/>
    <w:rsid w:val="007A05FE"/>
    <w:rsid w:val="007A0C46"/>
    <w:rsid w:val="007A0DCA"/>
    <w:rsid w:val="007A1730"/>
    <w:rsid w:val="007A32E5"/>
    <w:rsid w:val="007A334D"/>
    <w:rsid w:val="007A38C1"/>
    <w:rsid w:val="007A42CC"/>
    <w:rsid w:val="007A4D61"/>
    <w:rsid w:val="007A6267"/>
    <w:rsid w:val="007B10B9"/>
    <w:rsid w:val="007B18F9"/>
    <w:rsid w:val="007B6565"/>
    <w:rsid w:val="007C0638"/>
    <w:rsid w:val="007C0992"/>
    <w:rsid w:val="007C1107"/>
    <w:rsid w:val="007C2C0F"/>
    <w:rsid w:val="007C36D0"/>
    <w:rsid w:val="007C39EA"/>
    <w:rsid w:val="007C3C77"/>
    <w:rsid w:val="007C4589"/>
    <w:rsid w:val="007C4870"/>
    <w:rsid w:val="007C5F30"/>
    <w:rsid w:val="007C6CF4"/>
    <w:rsid w:val="007C7309"/>
    <w:rsid w:val="007D2CDD"/>
    <w:rsid w:val="007D2F68"/>
    <w:rsid w:val="007D3B06"/>
    <w:rsid w:val="007D3C91"/>
    <w:rsid w:val="007D4A73"/>
    <w:rsid w:val="007D73C6"/>
    <w:rsid w:val="007D7BA0"/>
    <w:rsid w:val="007E01C6"/>
    <w:rsid w:val="007E035A"/>
    <w:rsid w:val="007E237B"/>
    <w:rsid w:val="007E2E8C"/>
    <w:rsid w:val="007E3AC6"/>
    <w:rsid w:val="007E453A"/>
    <w:rsid w:val="007E48D5"/>
    <w:rsid w:val="007E4B77"/>
    <w:rsid w:val="007E5BB9"/>
    <w:rsid w:val="007E6BF4"/>
    <w:rsid w:val="007E7A0B"/>
    <w:rsid w:val="007E7E2D"/>
    <w:rsid w:val="007F0F57"/>
    <w:rsid w:val="007F1841"/>
    <w:rsid w:val="007F48F3"/>
    <w:rsid w:val="007F4974"/>
    <w:rsid w:val="007F557A"/>
    <w:rsid w:val="007F6157"/>
    <w:rsid w:val="007F62E9"/>
    <w:rsid w:val="00804F3E"/>
    <w:rsid w:val="008069BA"/>
    <w:rsid w:val="00806EEB"/>
    <w:rsid w:val="00811A47"/>
    <w:rsid w:val="00811EEF"/>
    <w:rsid w:val="00811FFE"/>
    <w:rsid w:val="008139C0"/>
    <w:rsid w:val="008159D7"/>
    <w:rsid w:val="00815C64"/>
    <w:rsid w:val="00815C78"/>
    <w:rsid w:val="008162A2"/>
    <w:rsid w:val="00816BD6"/>
    <w:rsid w:val="00825AEA"/>
    <w:rsid w:val="008260B0"/>
    <w:rsid w:val="00826597"/>
    <w:rsid w:val="00831EAF"/>
    <w:rsid w:val="00833109"/>
    <w:rsid w:val="00833ED5"/>
    <w:rsid w:val="00835187"/>
    <w:rsid w:val="00835E3E"/>
    <w:rsid w:val="00837778"/>
    <w:rsid w:val="00842002"/>
    <w:rsid w:val="0084203A"/>
    <w:rsid w:val="008438CB"/>
    <w:rsid w:val="00844F2C"/>
    <w:rsid w:val="00845188"/>
    <w:rsid w:val="008478CE"/>
    <w:rsid w:val="00850A73"/>
    <w:rsid w:val="00850EA5"/>
    <w:rsid w:val="00851B09"/>
    <w:rsid w:val="0085303C"/>
    <w:rsid w:val="00854321"/>
    <w:rsid w:val="00854CF9"/>
    <w:rsid w:val="00855D27"/>
    <w:rsid w:val="008575C7"/>
    <w:rsid w:val="0086013B"/>
    <w:rsid w:val="008607EE"/>
    <w:rsid w:val="008617BF"/>
    <w:rsid w:val="00862F71"/>
    <w:rsid w:val="008630B4"/>
    <w:rsid w:val="0086327D"/>
    <w:rsid w:val="008635C3"/>
    <w:rsid w:val="00863D3A"/>
    <w:rsid w:val="0086415B"/>
    <w:rsid w:val="008642B6"/>
    <w:rsid w:val="00865427"/>
    <w:rsid w:val="0086588F"/>
    <w:rsid w:val="00871E13"/>
    <w:rsid w:val="00871E30"/>
    <w:rsid w:val="0087276B"/>
    <w:rsid w:val="00872ABE"/>
    <w:rsid w:val="0087419D"/>
    <w:rsid w:val="00874C5D"/>
    <w:rsid w:val="00875D6B"/>
    <w:rsid w:val="008768B0"/>
    <w:rsid w:val="008770A0"/>
    <w:rsid w:val="0087712B"/>
    <w:rsid w:val="00881051"/>
    <w:rsid w:val="008811B7"/>
    <w:rsid w:val="00885AD6"/>
    <w:rsid w:val="00886E7E"/>
    <w:rsid w:val="00887258"/>
    <w:rsid w:val="008908E3"/>
    <w:rsid w:val="00890E61"/>
    <w:rsid w:val="00891580"/>
    <w:rsid w:val="008929D3"/>
    <w:rsid w:val="00895FAA"/>
    <w:rsid w:val="00897FA7"/>
    <w:rsid w:val="008A2C0D"/>
    <w:rsid w:val="008A4446"/>
    <w:rsid w:val="008A4709"/>
    <w:rsid w:val="008A519F"/>
    <w:rsid w:val="008A54E7"/>
    <w:rsid w:val="008A6747"/>
    <w:rsid w:val="008A6B33"/>
    <w:rsid w:val="008A74D1"/>
    <w:rsid w:val="008B0002"/>
    <w:rsid w:val="008B1171"/>
    <w:rsid w:val="008B2268"/>
    <w:rsid w:val="008B2BB2"/>
    <w:rsid w:val="008B3294"/>
    <w:rsid w:val="008B4795"/>
    <w:rsid w:val="008B48C4"/>
    <w:rsid w:val="008B55EE"/>
    <w:rsid w:val="008B7B05"/>
    <w:rsid w:val="008B7C73"/>
    <w:rsid w:val="008C04E2"/>
    <w:rsid w:val="008C0ADE"/>
    <w:rsid w:val="008C4EDA"/>
    <w:rsid w:val="008C5334"/>
    <w:rsid w:val="008C53FA"/>
    <w:rsid w:val="008C6490"/>
    <w:rsid w:val="008C7CBA"/>
    <w:rsid w:val="008C7D53"/>
    <w:rsid w:val="008D09A4"/>
    <w:rsid w:val="008D176C"/>
    <w:rsid w:val="008D1E33"/>
    <w:rsid w:val="008D251B"/>
    <w:rsid w:val="008D4C8C"/>
    <w:rsid w:val="008D60DB"/>
    <w:rsid w:val="008D6E83"/>
    <w:rsid w:val="008E0529"/>
    <w:rsid w:val="008E2015"/>
    <w:rsid w:val="008E27B4"/>
    <w:rsid w:val="008E4C54"/>
    <w:rsid w:val="008E5D91"/>
    <w:rsid w:val="008E7952"/>
    <w:rsid w:val="008E79F9"/>
    <w:rsid w:val="008F0181"/>
    <w:rsid w:val="008F019D"/>
    <w:rsid w:val="008F03CD"/>
    <w:rsid w:val="008F0BCC"/>
    <w:rsid w:val="008F0D3B"/>
    <w:rsid w:val="008F1732"/>
    <w:rsid w:val="008F232D"/>
    <w:rsid w:val="008F4295"/>
    <w:rsid w:val="008F4DA3"/>
    <w:rsid w:val="008F4FB9"/>
    <w:rsid w:val="008F61AF"/>
    <w:rsid w:val="008F780F"/>
    <w:rsid w:val="00900B58"/>
    <w:rsid w:val="00900D5A"/>
    <w:rsid w:val="00901EA6"/>
    <w:rsid w:val="00901FFB"/>
    <w:rsid w:val="00902698"/>
    <w:rsid w:val="00904C03"/>
    <w:rsid w:val="009051DD"/>
    <w:rsid w:val="00905AB3"/>
    <w:rsid w:val="00905DE0"/>
    <w:rsid w:val="00906007"/>
    <w:rsid w:val="00906A71"/>
    <w:rsid w:val="009073D1"/>
    <w:rsid w:val="00907454"/>
    <w:rsid w:val="009117D3"/>
    <w:rsid w:val="00912989"/>
    <w:rsid w:val="00912ECC"/>
    <w:rsid w:val="0091358C"/>
    <w:rsid w:val="00914962"/>
    <w:rsid w:val="00914AD9"/>
    <w:rsid w:val="009157F9"/>
    <w:rsid w:val="00915B48"/>
    <w:rsid w:val="00922C0F"/>
    <w:rsid w:val="00923EF7"/>
    <w:rsid w:val="009256B1"/>
    <w:rsid w:val="00925CA7"/>
    <w:rsid w:val="00926EF7"/>
    <w:rsid w:val="0093042E"/>
    <w:rsid w:val="00932CC1"/>
    <w:rsid w:val="00932FC8"/>
    <w:rsid w:val="00934410"/>
    <w:rsid w:val="0093471A"/>
    <w:rsid w:val="009348C3"/>
    <w:rsid w:val="00934AEA"/>
    <w:rsid w:val="00934FF7"/>
    <w:rsid w:val="0093717B"/>
    <w:rsid w:val="00937481"/>
    <w:rsid w:val="009376A1"/>
    <w:rsid w:val="0093776C"/>
    <w:rsid w:val="00937B9B"/>
    <w:rsid w:val="0094139D"/>
    <w:rsid w:val="0094224D"/>
    <w:rsid w:val="009423D1"/>
    <w:rsid w:val="00942BD5"/>
    <w:rsid w:val="00943C0B"/>
    <w:rsid w:val="00944336"/>
    <w:rsid w:val="00944A23"/>
    <w:rsid w:val="009458C1"/>
    <w:rsid w:val="0094591E"/>
    <w:rsid w:val="009460B3"/>
    <w:rsid w:val="00946725"/>
    <w:rsid w:val="0094726D"/>
    <w:rsid w:val="009500BA"/>
    <w:rsid w:val="00950DDD"/>
    <w:rsid w:val="0095172E"/>
    <w:rsid w:val="009519FB"/>
    <w:rsid w:val="00952340"/>
    <w:rsid w:val="00952DB7"/>
    <w:rsid w:val="00955F7B"/>
    <w:rsid w:val="00955FD1"/>
    <w:rsid w:val="00956E3C"/>
    <w:rsid w:val="0096057D"/>
    <w:rsid w:val="009605D7"/>
    <w:rsid w:val="00961449"/>
    <w:rsid w:val="00961D98"/>
    <w:rsid w:val="0096212E"/>
    <w:rsid w:val="009626DF"/>
    <w:rsid w:val="00963658"/>
    <w:rsid w:val="00963802"/>
    <w:rsid w:val="009646F7"/>
    <w:rsid w:val="00964998"/>
    <w:rsid w:val="00964C96"/>
    <w:rsid w:val="0096538D"/>
    <w:rsid w:val="00965B46"/>
    <w:rsid w:val="00966EFE"/>
    <w:rsid w:val="009733FF"/>
    <w:rsid w:val="009739ED"/>
    <w:rsid w:val="00974663"/>
    <w:rsid w:val="00976314"/>
    <w:rsid w:val="00980D68"/>
    <w:rsid w:val="00982F91"/>
    <w:rsid w:val="00983626"/>
    <w:rsid w:val="0098368E"/>
    <w:rsid w:val="00985B55"/>
    <w:rsid w:val="00985DBA"/>
    <w:rsid w:val="00985F5C"/>
    <w:rsid w:val="009863CC"/>
    <w:rsid w:val="009863D1"/>
    <w:rsid w:val="0098755F"/>
    <w:rsid w:val="00987D67"/>
    <w:rsid w:val="00990D3B"/>
    <w:rsid w:val="0099114C"/>
    <w:rsid w:val="00991F05"/>
    <w:rsid w:val="00992290"/>
    <w:rsid w:val="00992473"/>
    <w:rsid w:val="00993FD0"/>
    <w:rsid w:val="00996F2E"/>
    <w:rsid w:val="009976F4"/>
    <w:rsid w:val="00997AA9"/>
    <w:rsid w:val="009A0B56"/>
    <w:rsid w:val="009A1366"/>
    <w:rsid w:val="009A149C"/>
    <w:rsid w:val="009A2DCD"/>
    <w:rsid w:val="009A3AA1"/>
    <w:rsid w:val="009A4118"/>
    <w:rsid w:val="009A4911"/>
    <w:rsid w:val="009A4B57"/>
    <w:rsid w:val="009A4B59"/>
    <w:rsid w:val="009A6101"/>
    <w:rsid w:val="009A6F48"/>
    <w:rsid w:val="009A7CB4"/>
    <w:rsid w:val="009B009F"/>
    <w:rsid w:val="009B1068"/>
    <w:rsid w:val="009B1573"/>
    <w:rsid w:val="009B3B62"/>
    <w:rsid w:val="009B538D"/>
    <w:rsid w:val="009B610B"/>
    <w:rsid w:val="009B72C5"/>
    <w:rsid w:val="009C0437"/>
    <w:rsid w:val="009C3F26"/>
    <w:rsid w:val="009C4DC8"/>
    <w:rsid w:val="009C524E"/>
    <w:rsid w:val="009C53DB"/>
    <w:rsid w:val="009C5EB8"/>
    <w:rsid w:val="009C6792"/>
    <w:rsid w:val="009C6A64"/>
    <w:rsid w:val="009D0861"/>
    <w:rsid w:val="009D227C"/>
    <w:rsid w:val="009D23E0"/>
    <w:rsid w:val="009D3C13"/>
    <w:rsid w:val="009D436F"/>
    <w:rsid w:val="009D440A"/>
    <w:rsid w:val="009D4A6F"/>
    <w:rsid w:val="009D5641"/>
    <w:rsid w:val="009D6046"/>
    <w:rsid w:val="009D6C20"/>
    <w:rsid w:val="009E0B65"/>
    <w:rsid w:val="009E2338"/>
    <w:rsid w:val="009E4F28"/>
    <w:rsid w:val="009E58BD"/>
    <w:rsid w:val="009E59EA"/>
    <w:rsid w:val="009E5C22"/>
    <w:rsid w:val="009E5E31"/>
    <w:rsid w:val="009E6566"/>
    <w:rsid w:val="009F0F9D"/>
    <w:rsid w:val="009F0FB8"/>
    <w:rsid w:val="009F19EF"/>
    <w:rsid w:val="009F2801"/>
    <w:rsid w:val="009F288F"/>
    <w:rsid w:val="009F2E9F"/>
    <w:rsid w:val="009F30CE"/>
    <w:rsid w:val="009F3D8F"/>
    <w:rsid w:val="009F3F14"/>
    <w:rsid w:val="009F48F4"/>
    <w:rsid w:val="009F566C"/>
    <w:rsid w:val="009F6C1F"/>
    <w:rsid w:val="009F7274"/>
    <w:rsid w:val="00A013DC"/>
    <w:rsid w:val="00A02E0F"/>
    <w:rsid w:val="00A02EDF"/>
    <w:rsid w:val="00A069BD"/>
    <w:rsid w:val="00A06D70"/>
    <w:rsid w:val="00A0712C"/>
    <w:rsid w:val="00A07A2C"/>
    <w:rsid w:val="00A1141E"/>
    <w:rsid w:val="00A11B8F"/>
    <w:rsid w:val="00A11F49"/>
    <w:rsid w:val="00A13013"/>
    <w:rsid w:val="00A169BA"/>
    <w:rsid w:val="00A16D15"/>
    <w:rsid w:val="00A17714"/>
    <w:rsid w:val="00A21434"/>
    <w:rsid w:val="00A21B10"/>
    <w:rsid w:val="00A21E78"/>
    <w:rsid w:val="00A22E95"/>
    <w:rsid w:val="00A240B6"/>
    <w:rsid w:val="00A2605D"/>
    <w:rsid w:val="00A26907"/>
    <w:rsid w:val="00A27430"/>
    <w:rsid w:val="00A30D56"/>
    <w:rsid w:val="00A30EEF"/>
    <w:rsid w:val="00A32169"/>
    <w:rsid w:val="00A3216D"/>
    <w:rsid w:val="00A33728"/>
    <w:rsid w:val="00A33AC1"/>
    <w:rsid w:val="00A34D06"/>
    <w:rsid w:val="00A35991"/>
    <w:rsid w:val="00A40302"/>
    <w:rsid w:val="00A4300F"/>
    <w:rsid w:val="00A43646"/>
    <w:rsid w:val="00A44DC5"/>
    <w:rsid w:val="00A45D7A"/>
    <w:rsid w:val="00A47245"/>
    <w:rsid w:val="00A4735E"/>
    <w:rsid w:val="00A47573"/>
    <w:rsid w:val="00A50D69"/>
    <w:rsid w:val="00A51236"/>
    <w:rsid w:val="00A5280A"/>
    <w:rsid w:val="00A52A76"/>
    <w:rsid w:val="00A52F65"/>
    <w:rsid w:val="00A53966"/>
    <w:rsid w:val="00A541FB"/>
    <w:rsid w:val="00A54F2D"/>
    <w:rsid w:val="00A55B64"/>
    <w:rsid w:val="00A55D68"/>
    <w:rsid w:val="00A55DF8"/>
    <w:rsid w:val="00A56BAF"/>
    <w:rsid w:val="00A570D4"/>
    <w:rsid w:val="00A61137"/>
    <w:rsid w:val="00A63E80"/>
    <w:rsid w:val="00A643E5"/>
    <w:rsid w:val="00A64FF2"/>
    <w:rsid w:val="00A655CE"/>
    <w:rsid w:val="00A67300"/>
    <w:rsid w:val="00A703BD"/>
    <w:rsid w:val="00A742EB"/>
    <w:rsid w:val="00A74731"/>
    <w:rsid w:val="00A7731D"/>
    <w:rsid w:val="00A77C7D"/>
    <w:rsid w:val="00A802DB"/>
    <w:rsid w:val="00A80308"/>
    <w:rsid w:val="00A811E4"/>
    <w:rsid w:val="00A82514"/>
    <w:rsid w:val="00A827F9"/>
    <w:rsid w:val="00A83969"/>
    <w:rsid w:val="00A83E35"/>
    <w:rsid w:val="00A856C2"/>
    <w:rsid w:val="00A859D2"/>
    <w:rsid w:val="00A8743F"/>
    <w:rsid w:val="00A93411"/>
    <w:rsid w:val="00A9379E"/>
    <w:rsid w:val="00A937C4"/>
    <w:rsid w:val="00A96788"/>
    <w:rsid w:val="00A96FD8"/>
    <w:rsid w:val="00A96FE1"/>
    <w:rsid w:val="00AA03A8"/>
    <w:rsid w:val="00AA1830"/>
    <w:rsid w:val="00AA2712"/>
    <w:rsid w:val="00AA2EB0"/>
    <w:rsid w:val="00AA3FD2"/>
    <w:rsid w:val="00AA4A45"/>
    <w:rsid w:val="00AA56CA"/>
    <w:rsid w:val="00AA6E3C"/>
    <w:rsid w:val="00AB0164"/>
    <w:rsid w:val="00AB3600"/>
    <w:rsid w:val="00AB3F48"/>
    <w:rsid w:val="00AB44AD"/>
    <w:rsid w:val="00AB6C4B"/>
    <w:rsid w:val="00AB70E8"/>
    <w:rsid w:val="00AC17E6"/>
    <w:rsid w:val="00AC21C3"/>
    <w:rsid w:val="00AC4657"/>
    <w:rsid w:val="00AC4774"/>
    <w:rsid w:val="00AC7DCA"/>
    <w:rsid w:val="00AD05F9"/>
    <w:rsid w:val="00AD1282"/>
    <w:rsid w:val="00AD208B"/>
    <w:rsid w:val="00AD331B"/>
    <w:rsid w:val="00AD56FC"/>
    <w:rsid w:val="00AD6370"/>
    <w:rsid w:val="00AD6ADA"/>
    <w:rsid w:val="00AE0DF4"/>
    <w:rsid w:val="00AE1941"/>
    <w:rsid w:val="00AE1A42"/>
    <w:rsid w:val="00AE1EB9"/>
    <w:rsid w:val="00AE2772"/>
    <w:rsid w:val="00AE36C2"/>
    <w:rsid w:val="00AE48A0"/>
    <w:rsid w:val="00AE4B4B"/>
    <w:rsid w:val="00AE68B5"/>
    <w:rsid w:val="00AE690B"/>
    <w:rsid w:val="00AE729B"/>
    <w:rsid w:val="00AE755A"/>
    <w:rsid w:val="00AF01E0"/>
    <w:rsid w:val="00AF070D"/>
    <w:rsid w:val="00AF198E"/>
    <w:rsid w:val="00AF1A9E"/>
    <w:rsid w:val="00AF1CB1"/>
    <w:rsid w:val="00AF2060"/>
    <w:rsid w:val="00AF2D6D"/>
    <w:rsid w:val="00AF5232"/>
    <w:rsid w:val="00AF7137"/>
    <w:rsid w:val="00B00A7F"/>
    <w:rsid w:val="00B02116"/>
    <w:rsid w:val="00B02874"/>
    <w:rsid w:val="00B02A3C"/>
    <w:rsid w:val="00B0351C"/>
    <w:rsid w:val="00B039F2"/>
    <w:rsid w:val="00B03B88"/>
    <w:rsid w:val="00B03D59"/>
    <w:rsid w:val="00B05C7C"/>
    <w:rsid w:val="00B0688E"/>
    <w:rsid w:val="00B10A62"/>
    <w:rsid w:val="00B10AFA"/>
    <w:rsid w:val="00B11EDA"/>
    <w:rsid w:val="00B130AC"/>
    <w:rsid w:val="00B14AC0"/>
    <w:rsid w:val="00B156D6"/>
    <w:rsid w:val="00B15CBA"/>
    <w:rsid w:val="00B160A8"/>
    <w:rsid w:val="00B170EA"/>
    <w:rsid w:val="00B17771"/>
    <w:rsid w:val="00B20505"/>
    <w:rsid w:val="00B20699"/>
    <w:rsid w:val="00B213D5"/>
    <w:rsid w:val="00B229F7"/>
    <w:rsid w:val="00B22FC7"/>
    <w:rsid w:val="00B2537D"/>
    <w:rsid w:val="00B25546"/>
    <w:rsid w:val="00B257DB"/>
    <w:rsid w:val="00B25AAA"/>
    <w:rsid w:val="00B30033"/>
    <w:rsid w:val="00B300BB"/>
    <w:rsid w:val="00B3072E"/>
    <w:rsid w:val="00B3088B"/>
    <w:rsid w:val="00B30D69"/>
    <w:rsid w:val="00B32977"/>
    <w:rsid w:val="00B3302A"/>
    <w:rsid w:val="00B3503E"/>
    <w:rsid w:val="00B35525"/>
    <w:rsid w:val="00B35A72"/>
    <w:rsid w:val="00B36536"/>
    <w:rsid w:val="00B365DA"/>
    <w:rsid w:val="00B37565"/>
    <w:rsid w:val="00B410F2"/>
    <w:rsid w:val="00B41BF4"/>
    <w:rsid w:val="00B42150"/>
    <w:rsid w:val="00B42633"/>
    <w:rsid w:val="00B439DF"/>
    <w:rsid w:val="00B45F93"/>
    <w:rsid w:val="00B46D3F"/>
    <w:rsid w:val="00B46F52"/>
    <w:rsid w:val="00B46FBA"/>
    <w:rsid w:val="00B477B1"/>
    <w:rsid w:val="00B50050"/>
    <w:rsid w:val="00B50F4D"/>
    <w:rsid w:val="00B5263D"/>
    <w:rsid w:val="00B52B59"/>
    <w:rsid w:val="00B53CF0"/>
    <w:rsid w:val="00B53E2F"/>
    <w:rsid w:val="00B54D7A"/>
    <w:rsid w:val="00B5568A"/>
    <w:rsid w:val="00B568F5"/>
    <w:rsid w:val="00B571AA"/>
    <w:rsid w:val="00B57687"/>
    <w:rsid w:val="00B617FB"/>
    <w:rsid w:val="00B63198"/>
    <w:rsid w:val="00B63896"/>
    <w:rsid w:val="00B6662B"/>
    <w:rsid w:val="00B67249"/>
    <w:rsid w:val="00B67768"/>
    <w:rsid w:val="00B677D2"/>
    <w:rsid w:val="00B67FC5"/>
    <w:rsid w:val="00B70249"/>
    <w:rsid w:val="00B71924"/>
    <w:rsid w:val="00B735CF"/>
    <w:rsid w:val="00B77D63"/>
    <w:rsid w:val="00B800E0"/>
    <w:rsid w:val="00B81036"/>
    <w:rsid w:val="00B81BA8"/>
    <w:rsid w:val="00B835BE"/>
    <w:rsid w:val="00B8643E"/>
    <w:rsid w:val="00B86B0A"/>
    <w:rsid w:val="00B87793"/>
    <w:rsid w:val="00B87ADB"/>
    <w:rsid w:val="00B90814"/>
    <w:rsid w:val="00B92510"/>
    <w:rsid w:val="00B94640"/>
    <w:rsid w:val="00B9484C"/>
    <w:rsid w:val="00B94D21"/>
    <w:rsid w:val="00B9631F"/>
    <w:rsid w:val="00B967EA"/>
    <w:rsid w:val="00BA06B8"/>
    <w:rsid w:val="00BA0CE4"/>
    <w:rsid w:val="00BA2A00"/>
    <w:rsid w:val="00BA36E9"/>
    <w:rsid w:val="00BA3BC3"/>
    <w:rsid w:val="00BA45BA"/>
    <w:rsid w:val="00BA4873"/>
    <w:rsid w:val="00BA5218"/>
    <w:rsid w:val="00BA5399"/>
    <w:rsid w:val="00BA63DB"/>
    <w:rsid w:val="00BA6AD2"/>
    <w:rsid w:val="00BA74CD"/>
    <w:rsid w:val="00BB1FB1"/>
    <w:rsid w:val="00BB3619"/>
    <w:rsid w:val="00BB39BD"/>
    <w:rsid w:val="00BB3C7D"/>
    <w:rsid w:val="00BB4455"/>
    <w:rsid w:val="00BB4BBE"/>
    <w:rsid w:val="00BB56BB"/>
    <w:rsid w:val="00BB5CB7"/>
    <w:rsid w:val="00BB6D63"/>
    <w:rsid w:val="00BC09D8"/>
    <w:rsid w:val="00BC16C0"/>
    <w:rsid w:val="00BC1F48"/>
    <w:rsid w:val="00BC3233"/>
    <w:rsid w:val="00BC3A13"/>
    <w:rsid w:val="00BC59AD"/>
    <w:rsid w:val="00BC59CD"/>
    <w:rsid w:val="00BC5C1E"/>
    <w:rsid w:val="00BC7B56"/>
    <w:rsid w:val="00BD0258"/>
    <w:rsid w:val="00BD064F"/>
    <w:rsid w:val="00BD2F2E"/>
    <w:rsid w:val="00BD33BB"/>
    <w:rsid w:val="00BD387D"/>
    <w:rsid w:val="00BD54D6"/>
    <w:rsid w:val="00BD6373"/>
    <w:rsid w:val="00BD6CC6"/>
    <w:rsid w:val="00BD6FA2"/>
    <w:rsid w:val="00BD72A6"/>
    <w:rsid w:val="00BD7719"/>
    <w:rsid w:val="00BE024B"/>
    <w:rsid w:val="00BE0EED"/>
    <w:rsid w:val="00BE1C7F"/>
    <w:rsid w:val="00BE30DF"/>
    <w:rsid w:val="00BE3C20"/>
    <w:rsid w:val="00BE40ED"/>
    <w:rsid w:val="00BE4773"/>
    <w:rsid w:val="00BE5747"/>
    <w:rsid w:val="00BE5C30"/>
    <w:rsid w:val="00BE5CB2"/>
    <w:rsid w:val="00BE7E68"/>
    <w:rsid w:val="00BF0429"/>
    <w:rsid w:val="00BF0907"/>
    <w:rsid w:val="00BF1E27"/>
    <w:rsid w:val="00BF3A90"/>
    <w:rsid w:val="00BF455A"/>
    <w:rsid w:val="00BF4BEC"/>
    <w:rsid w:val="00BF4E3C"/>
    <w:rsid w:val="00BF5B7B"/>
    <w:rsid w:val="00BF6110"/>
    <w:rsid w:val="00BF6E58"/>
    <w:rsid w:val="00BF7064"/>
    <w:rsid w:val="00BF788B"/>
    <w:rsid w:val="00BF7D69"/>
    <w:rsid w:val="00BF7DFD"/>
    <w:rsid w:val="00C00380"/>
    <w:rsid w:val="00C00A81"/>
    <w:rsid w:val="00C00F98"/>
    <w:rsid w:val="00C01967"/>
    <w:rsid w:val="00C01DD4"/>
    <w:rsid w:val="00C01E35"/>
    <w:rsid w:val="00C01EE5"/>
    <w:rsid w:val="00C02E09"/>
    <w:rsid w:val="00C0408B"/>
    <w:rsid w:val="00C04B35"/>
    <w:rsid w:val="00C05E1F"/>
    <w:rsid w:val="00C05FD6"/>
    <w:rsid w:val="00C065C9"/>
    <w:rsid w:val="00C07196"/>
    <w:rsid w:val="00C07310"/>
    <w:rsid w:val="00C07BEF"/>
    <w:rsid w:val="00C11329"/>
    <w:rsid w:val="00C128E8"/>
    <w:rsid w:val="00C12BC1"/>
    <w:rsid w:val="00C140DE"/>
    <w:rsid w:val="00C16FCE"/>
    <w:rsid w:val="00C222C1"/>
    <w:rsid w:val="00C253D8"/>
    <w:rsid w:val="00C2756D"/>
    <w:rsid w:val="00C317AB"/>
    <w:rsid w:val="00C32005"/>
    <w:rsid w:val="00C32431"/>
    <w:rsid w:val="00C33415"/>
    <w:rsid w:val="00C33BBA"/>
    <w:rsid w:val="00C34154"/>
    <w:rsid w:val="00C342FD"/>
    <w:rsid w:val="00C359DE"/>
    <w:rsid w:val="00C3707C"/>
    <w:rsid w:val="00C40120"/>
    <w:rsid w:val="00C41002"/>
    <w:rsid w:val="00C43132"/>
    <w:rsid w:val="00C436D2"/>
    <w:rsid w:val="00C43719"/>
    <w:rsid w:val="00C43ED8"/>
    <w:rsid w:val="00C4412B"/>
    <w:rsid w:val="00C46174"/>
    <w:rsid w:val="00C46335"/>
    <w:rsid w:val="00C47578"/>
    <w:rsid w:val="00C47E4F"/>
    <w:rsid w:val="00C47EA9"/>
    <w:rsid w:val="00C50856"/>
    <w:rsid w:val="00C51069"/>
    <w:rsid w:val="00C51DE0"/>
    <w:rsid w:val="00C52253"/>
    <w:rsid w:val="00C538E2"/>
    <w:rsid w:val="00C54AA3"/>
    <w:rsid w:val="00C54BC9"/>
    <w:rsid w:val="00C54CE4"/>
    <w:rsid w:val="00C54D18"/>
    <w:rsid w:val="00C551CF"/>
    <w:rsid w:val="00C55D0D"/>
    <w:rsid w:val="00C56D41"/>
    <w:rsid w:val="00C57A5E"/>
    <w:rsid w:val="00C607F4"/>
    <w:rsid w:val="00C62C6B"/>
    <w:rsid w:val="00C62FD3"/>
    <w:rsid w:val="00C63A15"/>
    <w:rsid w:val="00C63ACA"/>
    <w:rsid w:val="00C63C90"/>
    <w:rsid w:val="00C64538"/>
    <w:rsid w:val="00C64B17"/>
    <w:rsid w:val="00C664B2"/>
    <w:rsid w:val="00C67D3F"/>
    <w:rsid w:val="00C70332"/>
    <w:rsid w:val="00C704A5"/>
    <w:rsid w:val="00C716A6"/>
    <w:rsid w:val="00C7173E"/>
    <w:rsid w:val="00C729D6"/>
    <w:rsid w:val="00C72F42"/>
    <w:rsid w:val="00C73E9C"/>
    <w:rsid w:val="00C74822"/>
    <w:rsid w:val="00C75336"/>
    <w:rsid w:val="00C77347"/>
    <w:rsid w:val="00C77D06"/>
    <w:rsid w:val="00C77E0D"/>
    <w:rsid w:val="00C77E1B"/>
    <w:rsid w:val="00C80038"/>
    <w:rsid w:val="00C809B2"/>
    <w:rsid w:val="00C818EF"/>
    <w:rsid w:val="00C81A62"/>
    <w:rsid w:val="00C82791"/>
    <w:rsid w:val="00C84E95"/>
    <w:rsid w:val="00C868CC"/>
    <w:rsid w:val="00C90906"/>
    <w:rsid w:val="00C90B50"/>
    <w:rsid w:val="00C912FF"/>
    <w:rsid w:val="00C914A3"/>
    <w:rsid w:val="00C914FD"/>
    <w:rsid w:val="00C9352B"/>
    <w:rsid w:val="00C93C2C"/>
    <w:rsid w:val="00C9540F"/>
    <w:rsid w:val="00C95FCD"/>
    <w:rsid w:val="00C96CC1"/>
    <w:rsid w:val="00C96DD1"/>
    <w:rsid w:val="00C97E1D"/>
    <w:rsid w:val="00CA010F"/>
    <w:rsid w:val="00CA11D4"/>
    <w:rsid w:val="00CA16E1"/>
    <w:rsid w:val="00CA201D"/>
    <w:rsid w:val="00CA274D"/>
    <w:rsid w:val="00CA37B7"/>
    <w:rsid w:val="00CA60C6"/>
    <w:rsid w:val="00CA63B8"/>
    <w:rsid w:val="00CA720E"/>
    <w:rsid w:val="00CA7D50"/>
    <w:rsid w:val="00CB03DF"/>
    <w:rsid w:val="00CB2826"/>
    <w:rsid w:val="00CB3119"/>
    <w:rsid w:val="00CB3E42"/>
    <w:rsid w:val="00CB566F"/>
    <w:rsid w:val="00CB5AB2"/>
    <w:rsid w:val="00CB6C0B"/>
    <w:rsid w:val="00CB7823"/>
    <w:rsid w:val="00CB790C"/>
    <w:rsid w:val="00CC14E4"/>
    <w:rsid w:val="00CC15B2"/>
    <w:rsid w:val="00CC1689"/>
    <w:rsid w:val="00CC2FE7"/>
    <w:rsid w:val="00CC5749"/>
    <w:rsid w:val="00CC5926"/>
    <w:rsid w:val="00CC614E"/>
    <w:rsid w:val="00CD0429"/>
    <w:rsid w:val="00CD1110"/>
    <w:rsid w:val="00CD27EC"/>
    <w:rsid w:val="00CD29C0"/>
    <w:rsid w:val="00CD39CC"/>
    <w:rsid w:val="00CD59B8"/>
    <w:rsid w:val="00CD5BB1"/>
    <w:rsid w:val="00CD75E6"/>
    <w:rsid w:val="00CE26EE"/>
    <w:rsid w:val="00CE321E"/>
    <w:rsid w:val="00CE3585"/>
    <w:rsid w:val="00CE4CAE"/>
    <w:rsid w:val="00CE76AF"/>
    <w:rsid w:val="00CE7F73"/>
    <w:rsid w:val="00CE7FF5"/>
    <w:rsid w:val="00CF0ACA"/>
    <w:rsid w:val="00CF10CA"/>
    <w:rsid w:val="00CF1DA3"/>
    <w:rsid w:val="00CF3680"/>
    <w:rsid w:val="00CF3D1E"/>
    <w:rsid w:val="00CF5A86"/>
    <w:rsid w:val="00CF5D01"/>
    <w:rsid w:val="00CF5EF3"/>
    <w:rsid w:val="00CF62B7"/>
    <w:rsid w:val="00CF6C3C"/>
    <w:rsid w:val="00CF7CA3"/>
    <w:rsid w:val="00D003C0"/>
    <w:rsid w:val="00D00461"/>
    <w:rsid w:val="00D01439"/>
    <w:rsid w:val="00D01CAF"/>
    <w:rsid w:val="00D020FC"/>
    <w:rsid w:val="00D02B07"/>
    <w:rsid w:val="00D05A25"/>
    <w:rsid w:val="00D06464"/>
    <w:rsid w:val="00D078B3"/>
    <w:rsid w:val="00D07E7D"/>
    <w:rsid w:val="00D10979"/>
    <w:rsid w:val="00D10AAC"/>
    <w:rsid w:val="00D13FA9"/>
    <w:rsid w:val="00D1451D"/>
    <w:rsid w:val="00D15093"/>
    <w:rsid w:val="00D17362"/>
    <w:rsid w:val="00D17425"/>
    <w:rsid w:val="00D20806"/>
    <w:rsid w:val="00D22597"/>
    <w:rsid w:val="00D225AE"/>
    <w:rsid w:val="00D240F8"/>
    <w:rsid w:val="00D24269"/>
    <w:rsid w:val="00D27EB0"/>
    <w:rsid w:val="00D30C7A"/>
    <w:rsid w:val="00D31552"/>
    <w:rsid w:val="00D328FE"/>
    <w:rsid w:val="00D32C2E"/>
    <w:rsid w:val="00D35AB7"/>
    <w:rsid w:val="00D363F9"/>
    <w:rsid w:val="00D40E59"/>
    <w:rsid w:val="00D42427"/>
    <w:rsid w:val="00D42ACF"/>
    <w:rsid w:val="00D449F9"/>
    <w:rsid w:val="00D4659E"/>
    <w:rsid w:val="00D4695E"/>
    <w:rsid w:val="00D504F2"/>
    <w:rsid w:val="00D50AC7"/>
    <w:rsid w:val="00D51B05"/>
    <w:rsid w:val="00D521DF"/>
    <w:rsid w:val="00D53B37"/>
    <w:rsid w:val="00D55428"/>
    <w:rsid w:val="00D559F7"/>
    <w:rsid w:val="00D55C74"/>
    <w:rsid w:val="00D55F17"/>
    <w:rsid w:val="00D5703B"/>
    <w:rsid w:val="00D578D8"/>
    <w:rsid w:val="00D60210"/>
    <w:rsid w:val="00D63953"/>
    <w:rsid w:val="00D6573F"/>
    <w:rsid w:val="00D65D93"/>
    <w:rsid w:val="00D66C63"/>
    <w:rsid w:val="00D67B52"/>
    <w:rsid w:val="00D708F6"/>
    <w:rsid w:val="00D7175D"/>
    <w:rsid w:val="00D72050"/>
    <w:rsid w:val="00D7281B"/>
    <w:rsid w:val="00D7292C"/>
    <w:rsid w:val="00D72DE0"/>
    <w:rsid w:val="00D73119"/>
    <w:rsid w:val="00D733AB"/>
    <w:rsid w:val="00D73E53"/>
    <w:rsid w:val="00D76346"/>
    <w:rsid w:val="00D77DB4"/>
    <w:rsid w:val="00D82138"/>
    <w:rsid w:val="00D855C6"/>
    <w:rsid w:val="00D86918"/>
    <w:rsid w:val="00D90A93"/>
    <w:rsid w:val="00D92BBF"/>
    <w:rsid w:val="00D93268"/>
    <w:rsid w:val="00D9551C"/>
    <w:rsid w:val="00D966FA"/>
    <w:rsid w:val="00DA01F2"/>
    <w:rsid w:val="00DA1098"/>
    <w:rsid w:val="00DA1214"/>
    <w:rsid w:val="00DA12AC"/>
    <w:rsid w:val="00DA1D57"/>
    <w:rsid w:val="00DA4F46"/>
    <w:rsid w:val="00DA561F"/>
    <w:rsid w:val="00DA6A8C"/>
    <w:rsid w:val="00DA763E"/>
    <w:rsid w:val="00DA7D51"/>
    <w:rsid w:val="00DB388C"/>
    <w:rsid w:val="00DB3FEB"/>
    <w:rsid w:val="00DB6E61"/>
    <w:rsid w:val="00DB71D3"/>
    <w:rsid w:val="00DC24F7"/>
    <w:rsid w:val="00DC3338"/>
    <w:rsid w:val="00DC49B9"/>
    <w:rsid w:val="00DC4D85"/>
    <w:rsid w:val="00DC58E5"/>
    <w:rsid w:val="00DC6E93"/>
    <w:rsid w:val="00DC7BB9"/>
    <w:rsid w:val="00DD023B"/>
    <w:rsid w:val="00DD04CD"/>
    <w:rsid w:val="00DD0B7C"/>
    <w:rsid w:val="00DD15D0"/>
    <w:rsid w:val="00DD1AAA"/>
    <w:rsid w:val="00DD35B6"/>
    <w:rsid w:val="00DD371B"/>
    <w:rsid w:val="00DD400C"/>
    <w:rsid w:val="00DD491F"/>
    <w:rsid w:val="00DD4D12"/>
    <w:rsid w:val="00DD538E"/>
    <w:rsid w:val="00DD5760"/>
    <w:rsid w:val="00DD5B46"/>
    <w:rsid w:val="00DD5C65"/>
    <w:rsid w:val="00DD5CFB"/>
    <w:rsid w:val="00DD5F58"/>
    <w:rsid w:val="00DD73B6"/>
    <w:rsid w:val="00DE0F1A"/>
    <w:rsid w:val="00DE17C0"/>
    <w:rsid w:val="00DE3F97"/>
    <w:rsid w:val="00DE47AE"/>
    <w:rsid w:val="00DF0AAC"/>
    <w:rsid w:val="00DF0CAE"/>
    <w:rsid w:val="00DF1278"/>
    <w:rsid w:val="00DF139C"/>
    <w:rsid w:val="00DF29A9"/>
    <w:rsid w:val="00DF3B0D"/>
    <w:rsid w:val="00DF583B"/>
    <w:rsid w:val="00DF6084"/>
    <w:rsid w:val="00DF71AC"/>
    <w:rsid w:val="00DF7873"/>
    <w:rsid w:val="00E0024F"/>
    <w:rsid w:val="00E00733"/>
    <w:rsid w:val="00E00B12"/>
    <w:rsid w:val="00E01577"/>
    <w:rsid w:val="00E028AC"/>
    <w:rsid w:val="00E03048"/>
    <w:rsid w:val="00E034E9"/>
    <w:rsid w:val="00E04141"/>
    <w:rsid w:val="00E05CE7"/>
    <w:rsid w:val="00E06491"/>
    <w:rsid w:val="00E074F6"/>
    <w:rsid w:val="00E07523"/>
    <w:rsid w:val="00E103D0"/>
    <w:rsid w:val="00E11CC5"/>
    <w:rsid w:val="00E14EC0"/>
    <w:rsid w:val="00E1510D"/>
    <w:rsid w:val="00E16FFC"/>
    <w:rsid w:val="00E1732F"/>
    <w:rsid w:val="00E1765A"/>
    <w:rsid w:val="00E21207"/>
    <w:rsid w:val="00E22069"/>
    <w:rsid w:val="00E22906"/>
    <w:rsid w:val="00E229D2"/>
    <w:rsid w:val="00E22E5D"/>
    <w:rsid w:val="00E23426"/>
    <w:rsid w:val="00E239FC"/>
    <w:rsid w:val="00E25534"/>
    <w:rsid w:val="00E25769"/>
    <w:rsid w:val="00E2627C"/>
    <w:rsid w:val="00E2715D"/>
    <w:rsid w:val="00E271AA"/>
    <w:rsid w:val="00E2768A"/>
    <w:rsid w:val="00E300C0"/>
    <w:rsid w:val="00E3287D"/>
    <w:rsid w:val="00E339FA"/>
    <w:rsid w:val="00E35FED"/>
    <w:rsid w:val="00E36CAB"/>
    <w:rsid w:val="00E37E72"/>
    <w:rsid w:val="00E37ED8"/>
    <w:rsid w:val="00E41F64"/>
    <w:rsid w:val="00E42035"/>
    <w:rsid w:val="00E42AE8"/>
    <w:rsid w:val="00E42CD4"/>
    <w:rsid w:val="00E42D8C"/>
    <w:rsid w:val="00E433FA"/>
    <w:rsid w:val="00E436E8"/>
    <w:rsid w:val="00E4394B"/>
    <w:rsid w:val="00E43F23"/>
    <w:rsid w:val="00E44C85"/>
    <w:rsid w:val="00E45564"/>
    <w:rsid w:val="00E4596C"/>
    <w:rsid w:val="00E460C4"/>
    <w:rsid w:val="00E466E6"/>
    <w:rsid w:val="00E47413"/>
    <w:rsid w:val="00E479FA"/>
    <w:rsid w:val="00E51880"/>
    <w:rsid w:val="00E51BA2"/>
    <w:rsid w:val="00E52E8C"/>
    <w:rsid w:val="00E539D3"/>
    <w:rsid w:val="00E545A8"/>
    <w:rsid w:val="00E5563B"/>
    <w:rsid w:val="00E5777E"/>
    <w:rsid w:val="00E57789"/>
    <w:rsid w:val="00E610A0"/>
    <w:rsid w:val="00E61E5A"/>
    <w:rsid w:val="00E64C5C"/>
    <w:rsid w:val="00E65767"/>
    <w:rsid w:val="00E65C2B"/>
    <w:rsid w:val="00E66590"/>
    <w:rsid w:val="00E66E1B"/>
    <w:rsid w:val="00E67621"/>
    <w:rsid w:val="00E67DB9"/>
    <w:rsid w:val="00E71686"/>
    <w:rsid w:val="00E71E90"/>
    <w:rsid w:val="00E75CDA"/>
    <w:rsid w:val="00E76561"/>
    <w:rsid w:val="00E802F0"/>
    <w:rsid w:val="00E81533"/>
    <w:rsid w:val="00E82626"/>
    <w:rsid w:val="00E82DA2"/>
    <w:rsid w:val="00E838EE"/>
    <w:rsid w:val="00E85609"/>
    <w:rsid w:val="00E858F2"/>
    <w:rsid w:val="00E90965"/>
    <w:rsid w:val="00E92986"/>
    <w:rsid w:val="00E94020"/>
    <w:rsid w:val="00E94624"/>
    <w:rsid w:val="00E94CD8"/>
    <w:rsid w:val="00E95896"/>
    <w:rsid w:val="00E95A1B"/>
    <w:rsid w:val="00E9652C"/>
    <w:rsid w:val="00E96CCB"/>
    <w:rsid w:val="00E96EA6"/>
    <w:rsid w:val="00EA04D5"/>
    <w:rsid w:val="00EA065F"/>
    <w:rsid w:val="00EA099B"/>
    <w:rsid w:val="00EA4C21"/>
    <w:rsid w:val="00EA4EA6"/>
    <w:rsid w:val="00EA552F"/>
    <w:rsid w:val="00EA5FF4"/>
    <w:rsid w:val="00EA7F47"/>
    <w:rsid w:val="00EB0812"/>
    <w:rsid w:val="00EB1B6F"/>
    <w:rsid w:val="00EB2087"/>
    <w:rsid w:val="00EB2438"/>
    <w:rsid w:val="00EB24F5"/>
    <w:rsid w:val="00EB2960"/>
    <w:rsid w:val="00EB29FB"/>
    <w:rsid w:val="00EB2A82"/>
    <w:rsid w:val="00EB2C53"/>
    <w:rsid w:val="00EB6611"/>
    <w:rsid w:val="00EB7FD7"/>
    <w:rsid w:val="00EC0E76"/>
    <w:rsid w:val="00EC13D7"/>
    <w:rsid w:val="00EC426D"/>
    <w:rsid w:val="00EC4306"/>
    <w:rsid w:val="00EC4952"/>
    <w:rsid w:val="00EC647B"/>
    <w:rsid w:val="00EC6AF8"/>
    <w:rsid w:val="00EC7175"/>
    <w:rsid w:val="00ED0203"/>
    <w:rsid w:val="00ED1A8B"/>
    <w:rsid w:val="00ED2FC4"/>
    <w:rsid w:val="00ED3092"/>
    <w:rsid w:val="00ED383A"/>
    <w:rsid w:val="00ED3E05"/>
    <w:rsid w:val="00ED44A9"/>
    <w:rsid w:val="00ED45F1"/>
    <w:rsid w:val="00ED54EC"/>
    <w:rsid w:val="00ED6108"/>
    <w:rsid w:val="00ED6438"/>
    <w:rsid w:val="00ED78DD"/>
    <w:rsid w:val="00EE2194"/>
    <w:rsid w:val="00EE23E7"/>
    <w:rsid w:val="00EE25BA"/>
    <w:rsid w:val="00EE28C6"/>
    <w:rsid w:val="00EE3E42"/>
    <w:rsid w:val="00EE5509"/>
    <w:rsid w:val="00EE64F9"/>
    <w:rsid w:val="00EE72FE"/>
    <w:rsid w:val="00EF1151"/>
    <w:rsid w:val="00EF1E77"/>
    <w:rsid w:val="00EF2709"/>
    <w:rsid w:val="00EF2F7D"/>
    <w:rsid w:val="00EF6C93"/>
    <w:rsid w:val="00EF709D"/>
    <w:rsid w:val="00F0097B"/>
    <w:rsid w:val="00F00BCC"/>
    <w:rsid w:val="00F014CA"/>
    <w:rsid w:val="00F01C93"/>
    <w:rsid w:val="00F025DE"/>
    <w:rsid w:val="00F0263D"/>
    <w:rsid w:val="00F0308C"/>
    <w:rsid w:val="00F055C1"/>
    <w:rsid w:val="00F05E1F"/>
    <w:rsid w:val="00F0678E"/>
    <w:rsid w:val="00F06C26"/>
    <w:rsid w:val="00F07A97"/>
    <w:rsid w:val="00F100CE"/>
    <w:rsid w:val="00F11D6C"/>
    <w:rsid w:val="00F1325C"/>
    <w:rsid w:val="00F15954"/>
    <w:rsid w:val="00F16757"/>
    <w:rsid w:val="00F17051"/>
    <w:rsid w:val="00F21FDB"/>
    <w:rsid w:val="00F2585A"/>
    <w:rsid w:val="00F265B7"/>
    <w:rsid w:val="00F311CE"/>
    <w:rsid w:val="00F31BAE"/>
    <w:rsid w:val="00F31FC4"/>
    <w:rsid w:val="00F32990"/>
    <w:rsid w:val="00F36131"/>
    <w:rsid w:val="00F36164"/>
    <w:rsid w:val="00F36A66"/>
    <w:rsid w:val="00F36A9F"/>
    <w:rsid w:val="00F36EC0"/>
    <w:rsid w:val="00F37311"/>
    <w:rsid w:val="00F40A93"/>
    <w:rsid w:val="00F43CD1"/>
    <w:rsid w:val="00F43F11"/>
    <w:rsid w:val="00F46144"/>
    <w:rsid w:val="00F47AAB"/>
    <w:rsid w:val="00F5024D"/>
    <w:rsid w:val="00F527E8"/>
    <w:rsid w:val="00F538F8"/>
    <w:rsid w:val="00F544B0"/>
    <w:rsid w:val="00F558DE"/>
    <w:rsid w:val="00F57729"/>
    <w:rsid w:val="00F60AED"/>
    <w:rsid w:val="00F61546"/>
    <w:rsid w:val="00F61770"/>
    <w:rsid w:val="00F62CF0"/>
    <w:rsid w:val="00F6454A"/>
    <w:rsid w:val="00F669C2"/>
    <w:rsid w:val="00F71246"/>
    <w:rsid w:val="00F73701"/>
    <w:rsid w:val="00F75DEC"/>
    <w:rsid w:val="00F76977"/>
    <w:rsid w:val="00F76B97"/>
    <w:rsid w:val="00F76BC1"/>
    <w:rsid w:val="00F76BCA"/>
    <w:rsid w:val="00F826E4"/>
    <w:rsid w:val="00F8435F"/>
    <w:rsid w:val="00F843C4"/>
    <w:rsid w:val="00F854FD"/>
    <w:rsid w:val="00F855E6"/>
    <w:rsid w:val="00F85701"/>
    <w:rsid w:val="00F86171"/>
    <w:rsid w:val="00F87683"/>
    <w:rsid w:val="00F87C81"/>
    <w:rsid w:val="00F9056D"/>
    <w:rsid w:val="00F90849"/>
    <w:rsid w:val="00F91CF8"/>
    <w:rsid w:val="00F934FA"/>
    <w:rsid w:val="00F9408F"/>
    <w:rsid w:val="00FA11EB"/>
    <w:rsid w:val="00FA1DF1"/>
    <w:rsid w:val="00FA3392"/>
    <w:rsid w:val="00FA3939"/>
    <w:rsid w:val="00FA67A9"/>
    <w:rsid w:val="00FA67F6"/>
    <w:rsid w:val="00FA6ACE"/>
    <w:rsid w:val="00FA7F05"/>
    <w:rsid w:val="00FB07D1"/>
    <w:rsid w:val="00FB09B3"/>
    <w:rsid w:val="00FB0F49"/>
    <w:rsid w:val="00FB3666"/>
    <w:rsid w:val="00FB3B1C"/>
    <w:rsid w:val="00FB3BAD"/>
    <w:rsid w:val="00FB3E6C"/>
    <w:rsid w:val="00FB4169"/>
    <w:rsid w:val="00FC1151"/>
    <w:rsid w:val="00FC175E"/>
    <w:rsid w:val="00FC1939"/>
    <w:rsid w:val="00FC305B"/>
    <w:rsid w:val="00FC3806"/>
    <w:rsid w:val="00FC76AD"/>
    <w:rsid w:val="00FD07DA"/>
    <w:rsid w:val="00FD1036"/>
    <w:rsid w:val="00FD1296"/>
    <w:rsid w:val="00FD1A9F"/>
    <w:rsid w:val="00FD3986"/>
    <w:rsid w:val="00FD447F"/>
    <w:rsid w:val="00FD64FB"/>
    <w:rsid w:val="00FD6EF0"/>
    <w:rsid w:val="00FD776C"/>
    <w:rsid w:val="00FD7FBD"/>
    <w:rsid w:val="00FE09BC"/>
    <w:rsid w:val="00FE102E"/>
    <w:rsid w:val="00FE3495"/>
    <w:rsid w:val="00FE3586"/>
    <w:rsid w:val="00FE59D7"/>
    <w:rsid w:val="00FE5B36"/>
    <w:rsid w:val="00FE5CE6"/>
    <w:rsid w:val="00FE5F85"/>
    <w:rsid w:val="00FE71A0"/>
    <w:rsid w:val="00FE74F3"/>
    <w:rsid w:val="00FE7D24"/>
    <w:rsid w:val="00FF1BB5"/>
    <w:rsid w:val="00FF20DF"/>
    <w:rsid w:val="00FF27F4"/>
    <w:rsid w:val="00FF2BC0"/>
    <w:rsid w:val="00FF321C"/>
    <w:rsid w:val="00FF32AE"/>
    <w:rsid w:val="00FF468F"/>
    <w:rsid w:val="00FF6D0D"/>
    <w:rsid w:val="00FF72AE"/>
    <w:rsid w:val="04CDEE49"/>
    <w:rsid w:val="0F4BFC62"/>
    <w:rsid w:val="114E20B9"/>
    <w:rsid w:val="18D044CC"/>
    <w:rsid w:val="20BEA63A"/>
    <w:rsid w:val="27F9E0C7"/>
    <w:rsid w:val="28E96B07"/>
    <w:rsid w:val="29EF1C84"/>
    <w:rsid w:val="2CDAE3ED"/>
    <w:rsid w:val="3748B5C6"/>
    <w:rsid w:val="3E713F47"/>
    <w:rsid w:val="41AC10B1"/>
    <w:rsid w:val="4416C52F"/>
    <w:rsid w:val="441EA6AD"/>
    <w:rsid w:val="462E9B91"/>
    <w:rsid w:val="47178A41"/>
    <w:rsid w:val="479B712F"/>
    <w:rsid w:val="499938E8"/>
    <w:rsid w:val="4C50D180"/>
    <w:rsid w:val="523385B7"/>
    <w:rsid w:val="56BA9AB0"/>
    <w:rsid w:val="5D111006"/>
    <w:rsid w:val="601B0BF7"/>
    <w:rsid w:val="6BE8F790"/>
    <w:rsid w:val="77166C43"/>
    <w:rsid w:val="77C6315E"/>
    <w:rsid w:val="7BB6CAC9"/>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5E902FD5"/>
  <w15:docId w15:val="{66B2DDC0-8916-4A48-83EA-F4E18802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44F09"/>
    <w:pPr>
      <w:widowControl w:val="0"/>
      <w:autoSpaceDE w:val="0"/>
      <w:autoSpaceDN w:val="0"/>
      <w:adjustRightInd w:val="0"/>
    </w:pPr>
    <w:rPr>
      <w:sz w:val="24"/>
      <w:szCs w:val="24"/>
    </w:rPr>
  </w:style>
  <w:style w:type="paragraph" w:styleId="Heading2">
    <w:name w:val="heading 2"/>
    <w:basedOn w:val="Normal"/>
    <w:next w:val="Normal"/>
    <w:qFormat/>
    <w:rsid w:val="004509B5"/>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semiHidden/>
    <w:unhideWhenUsed/>
    <w:qFormat/>
    <w:rsid w:val="00D10979"/>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57687"/>
    <w:pPr>
      <w:widowControl/>
      <w:autoSpaceDE/>
      <w:autoSpaceDN/>
      <w:adjustRightInd/>
    </w:pPr>
    <w:rPr>
      <w:rFonts w:ascii="Tahoma" w:hAnsi="Tahoma" w:cs="Tahoma"/>
      <w:sz w:val="16"/>
      <w:szCs w:val="16"/>
    </w:rPr>
  </w:style>
  <w:style w:type="character" w:styleId="FootnoteReference">
    <w:name w:val="footnote reference"/>
    <w:rsid w:val="00653917"/>
  </w:style>
  <w:style w:type="paragraph" w:customStyle="1" w:styleId="Outline0021">
    <w:name w:val="Outline002_1"/>
    <w:basedOn w:val="Normal"/>
    <w:rsid w:val="00653917"/>
    <w:pPr>
      <w:numPr>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outlineLvl w:val="0"/>
    </w:pPr>
  </w:style>
  <w:style w:type="paragraph" w:customStyle="1" w:styleId="Outline0011">
    <w:name w:val="Outline001_1"/>
    <w:basedOn w:val="Normal"/>
    <w:rsid w:val="00653917"/>
    <w:pPr>
      <w:tabs>
        <w:tab w:val="left" w:pos="0"/>
        <w:tab w:val="left" w:pos="720"/>
        <w:tab w:val="left" w:pos="1440"/>
        <w:tab w:val="left" w:pos="2160"/>
        <w:tab w:val="left" w:pos="2880"/>
        <w:tab w:val="left" w:pos="3600"/>
        <w:tab w:val="left" w:pos="4320"/>
        <w:tab w:val="left" w:pos="5040"/>
        <w:tab w:val="left" w:pos="5760"/>
        <w:tab w:val="left" w:pos="6480"/>
        <w:tab w:val="left" w:pos="7200"/>
      </w:tabs>
      <w:ind w:left="720" w:hanging="360"/>
    </w:pPr>
  </w:style>
  <w:style w:type="paragraph" w:customStyle="1" w:styleId="Outline0031">
    <w:name w:val="Outline003_1"/>
    <w:basedOn w:val="Normal"/>
    <w:rsid w:val="00653917"/>
    <w:pPr>
      <w:numPr>
        <w:numId w:val="2"/>
      </w:numPr>
      <w:tabs>
        <w:tab w:val="left" w:pos="0"/>
        <w:tab w:val="left" w:pos="660"/>
        <w:tab w:val="left" w:pos="1380"/>
        <w:tab w:val="left" w:pos="2100"/>
        <w:tab w:val="left" w:pos="2820"/>
        <w:tab w:val="left" w:pos="3540"/>
        <w:tab w:val="left" w:pos="4260"/>
        <w:tab w:val="left" w:pos="4980"/>
        <w:tab w:val="left" w:pos="5700"/>
        <w:tab w:val="left" w:pos="6420"/>
        <w:tab w:val="left" w:pos="7140"/>
      </w:tabs>
      <w:ind w:left="450" w:hanging="420"/>
      <w:outlineLvl w:val="0"/>
    </w:pPr>
  </w:style>
  <w:style w:type="paragraph" w:customStyle="1" w:styleId="OMBbodytext">
    <w:name w:val="OMB body text"/>
    <w:basedOn w:val="Normal"/>
    <w:link w:val="OMBbodytextChar"/>
    <w:uiPriority w:val="99"/>
    <w:rsid w:val="00E52E8C"/>
    <w:pPr>
      <w:widowControl/>
      <w:autoSpaceDE/>
      <w:autoSpaceDN/>
      <w:adjustRightInd/>
      <w:spacing w:after="240"/>
    </w:pPr>
    <w:rPr>
      <w:szCs w:val="20"/>
    </w:rPr>
  </w:style>
  <w:style w:type="character" w:customStyle="1" w:styleId="OMBbodytextChar">
    <w:name w:val="OMB body text Char"/>
    <w:basedOn w:val="DefaultParagraphFont"/>
    <w:link w:val="OMBbodytext"/>
    <w:uiPriority w:val="99"/>
    <w:rsid w:val="00E52E8C"/>
    <w:rPr>
      <w:sz w:val="24"/>
      <w:lang w:val="en-US" w:eastAsia="en-US" w:bidi="ar-SA"/>
    </w:rPr>
  </w:style>
  <w:style w:type="paragraph" w:styleId="Footer">
    <w:name w:val="footer"/>
    <w:basedOn w:val="Normal"/>
    <w:link w:val="FooterChar"/>
    <w:uiPriority w:val="99"/>
    <w:rsid w:val="00EA04D5"/>
    <w:pPr>
      <w:tabs>
        <w:tab w:val="center" w:pos="4320"/>
        <w:tab w:val="right" w:pos="8640"/>
      </w:tabs>
    </w:pPr>
  </w:style>
  <w:style w:type="character" w:styleId="PageNumber">
    <w:name w:val="page number"/>
    <w:basedOn w:val="DefaultParagraphFont"/>
    <w:rsid w:val="00EA04D5"/>
  </w:style>
  <w:style w:type="paragraph" w:styleId="CommentText">
    <w:name w:val="annotation text"/>
    <w:basedOn w:val="Normal"/>
    <w:link w:val="CommentTextChar"/>
    <w:rsid w:val="004509B5"/>
    <w:rPr>
      <w:sz w:val="20"/>
      <w:szCs w:val="20"/>
    </w:rPr>
  </w:style>
  <w:style w:type="table" w:styleId="TableGrid">
    <w:name w:val="Table Grid"/>
    <w:basedOn w:val="TableNormal"/>
    <w:rsid w:val="004509B5"/>
    <w:pPr>
      <w:widowControl w:val="0"/>
      <w:autoSpaceDE w:val="0"/>
      <w:autoSpaceDN w:val="0"/>
      <w:adjustRightInd w:val="0"/>
    </w:pPr>
    <w:tblPr/>
  </w:style>
  <w:style w:type="character" w:styleId="CommentReference">
    <w:name w:val="annotation reference"/>
    <w:basedOn w:val="DefaultParagraphFont"/>
    <w:rsid w:val="00611979"/>
    <w:rPr>
      <w:sz w:val="16"/>
      <w:szCs w:val="16"/>
    </w:rPr>
  </w:style>
  <w:style w:type="paragraph" w:customStyle="1" w:styleId="ExhibitTitle">
    <w:name w:val="Exhibit Title"/>
    <w:rsid w:val="00BB5CB7"/>
    <w:pPr>
      <w:keepNext/>
      <w:keepLines/>
      <w:spacing w:before="120" w:after="120"/>
      <w:ind w:left="1440" w:hanging="1440"/>
    </w:pPr>
    <w:rPr>
      <w:b/>
      <w:snapToGrid w:val="0"/>
      <w:sz w:val="24"/>
    </w:rPr>
  </w:style>
  <w:style w:type="paragraph" w:customStyle="1" w:styleId="atab1">
    <w:name w:val="atab_1"/>
    <w:basedOn w:val="Normal"/>
    <w:rsid w:val="00BB5CB7"/>
    <w:pPr>
      <w:widowControl/>
      <w:autoSpaceDE/>
      <w:autoSpaceDN/>
      <w:adjustRightInd/>
      <w:spacing w:before="20"/>
      <w:ind w:left="360" w:hanging="360"/>
    </w:pPr>
    <w:rPr>
      <w:sz w:val="20"/>
      <w:szCs w:val="20"/>
    </w:rPr>
  </w:style>
  <w:style w:type="paragraph" w:styleId="CommentSubject">
    <w:name w:val="annotation subject"/>
    <w:basedOn w:val="CommentText"/>
    <w:next w:val="CommentText"/>
    <w:semiHidden/>
    <w:rsid w:val="00E1510D"/>
    <w:rPr>
      <w:b/>
      <w:bCs/>
    </w:rPr>
  </w:style>
  <w:style w:type="character" w:styleId="Hyperlink">
    <w:name w:val="Hyperlink"/>
    <w:basedOn w:val="DefaultParagraphFont"/>
    <w:uiPriority w:val="99"/>
    <w:rsid w:val="001F4A91"/>
    <w:rPr>
      <w:color w:val="0000FF"/>
      <w:u w:val="single"/>
    </w:rPr>
  </w:style>
  <w:style w:type="paragraph" w:customStyle="1" w:styleId="OMBheading-1">
    <w:name w:val="OMB heading-1"/>
    <w:basedOn w:val="Heading2"/>
    <w:rsid w:val="00CB2826"/>
    <w:pPr>
      <w:widowControl/>
      <w:autoSpaceDE/>
      <w:autoSpaceDN/>
      <w:adjustRightInd/>
      <w:spacing w:before="0" w:after="240"/>
      <w:ind w:left="720" w:hanging="720"/>
    </w:pPr>
    <w:rPr>
      <w:rFonts w:ascii="Times New Roman" w:hAnsi="Times New Roman" w:cs="Times New Roman"/>
      <w:bCs w:val="0"/>
      <w:i w:val="0"/>
      <w:iCs w:val="0"/>
    </w:rPr>
  </w:style>
  <w:style w:type="paragraph" w:customStyle="1" w:styleId="OMBheading-2">
    <w:name w:val="OMB heading-2"/>
    <w:basedOn w:val="OMBHeading2"/>
    <w:next w:val="Normal"/>
    <w:qFormat/>
    <w:rsid w:val="00DC4D85"/>
    <w:pPr>
      <w:numPr>
        <w:numId w:val="37"/>
      </w:numPr>
    </w:pPr>
  </w:style>
  <w:style w:type="paragraph" w:styleId="Header">
    <w:name w:val="header"/>
    <w:basedOn w:val="Normal"/>
    <w:link w:val="HeaderChar"/>
    <w:uiPriority w:val="99"/>
    <w:rsid w:val="00CB2826"/>
    <w:pPr>
      <w:widowControl/>
      <w:tabs>
        <w:tab w:val="center" w:pos="4320"/>
        <w:tab w:val="right" w:pos="8640"/>
      </w:tabs>
      <w:autoSpaceDE/>
      <w:autoSpaceDN/>
      <w:adjustRightInd/>
    </w:pPr>
    <w:rPr>
      <w:szCs w:val="20"/>
    </w:rPr>
  </w:style>
  <w:style w:type="paragraph" w:customStyle="1" w:styleId="biblio">
    <w:name w:val="biblio"/>
    <w:basedOn w:val="Normal"/>
    <w:rsid w:val="00CB2826"/>
    <w:pPr>
      <w:keepLines/>
      <w:widowControl/>
      <w:autoSpaceDE/>
      <w:autoSpaceDN/>
      <w:adjustRightInd/>
      <w:spacing w:after="240"/>
      <w:ind w:left="720" w:hanging="720"/>
    </w:pPr>
    <w:rPr>
      <w:szCs w:val="20"/>
      <w:lang w:val="it-IT"/>
    </w:rPr>
  </w:style>
  <w:style w:type="paragraph" w:customStyle="1" w:styleId="tabfigsource">
    <w:name w:val="tab/fig source"/>
    <w:basedOn w:val="Normal"/>
    <w:rsid w:val="00AA1830"/>
    <w:pPr>
      <w:keepLines/>
      <w:widowControl/>
      <w:autoSpaceDE/>
      <w:autoSpaceDN/>
      <w:adjustRightInd/>
      <w:spacing w:before="120" w:after="240"/>
      <w:ind w:left="187" w:hanging="187"/>
    </w:pPr>
    <w:rPr>
      <w:sz w:val="20"/>
      <w:szCs w:val="20"/>
    </w:rPr>
  </w:style>
  <w:style w:type="paragraph" w:customStyle="1" w:styleId="App-No">
    <w:name w:val="App-No"/>
    <w:basedOn w:val="Normal"/>
    <w:rsid w:val="006D12DC"/>
    <w:pPr>
      <w:widowControl/>
      <w:autoSpaceDE/>
      <w:autoSpaceDN/>
      <w:adjustRightInd/>
      <w:jc w:val="center"/>
    </w:pPr>
    <w:rPr>
      <w:rFonts w:ascii="Arial" w:hAnsi="Arial" w:cs="Arial"/>
      <w:b/>
      <w:sz w:val="28"/>
      <w:szCs w:val="28"/>
      <w:lang w:val="fr-FR"/>
    </w:rPr>
  </w:style>
  <w:style w:type="paragraph" w:styleId="ListParagraph">
    <w:name w:val="List Paragraph"/>
    <w:basedOn w:val="Normal"/>
    <w:uiPriority w:val="99"/>
    <w:qFormat/>
    <w:rsid w:val="001A25AF"/>
    <w:pPr>
      <w:widowControl/>
      <w:autoSpaceDE/>
      <w:autoSpaceDN/>
      <w:adjustRightInd/>
      <w:ind w:left="720"/>
    </w:pPr>
    <w:rPr>
      <w:rFonts w:eastAsia="Calibri"/>
    </w:rPr>
  </w:style>
  <w:style w:type="paragraph" w:customStyle="1" w:styleId="bodytext-gph">
    <w:name w:val="body text-gph"/>
    <w:link w:val="bodytext-gphChar"/>
    <w:rsid w:val="001A25AF"/>
    <w:pPr>
      <w:spacing w:after="120" w:line="260" w:lineRule="atLeast"/>
      <w:ind w:left="360"/>
    </w:pPr>
    <w:rPr>
      <w:sz w:val="23"/>
      <w:szCs w:val="22"/>
    </w:rPr>
  </w:style>
  <w:style w:type="character" w:customStyle="1" w:styleId="bodytext-gphChar">
    <w:name w:val="body text-gph Char"/>
    <w:basedOn w:val="DefaultParagraphFont"/>
    <w:link w:val="bodytext-gph"/>
    <w:rsid w:val="001A25AF"/>
    <w:rPr>
      <w:sz w:val="23"/>
      <w:szCs w:val="22"/>
      <w:lang w:val="en-US" w:eastAsia="en-US" w:bidi="ar-SA"/>
    </w:rPr>
  </w:style>
  <w:style w:type="paragraph" w:customStyle="1" w:styleId="OMBHeading2">
    <w:name w:val="OMB Heading 2"/>
    <w:basedOn w:val="Normal"/>
    <w:autoRedefine/>
    <w:uiPriority w:val="99"/>
    <w:rsid w:val="00044F09"/>
    <w:pPr>
      <w:keepNext/>
      <w:widowControl/>
      <w:autoSpaceDE/>
      <w:autoSpaceDN/>
      <w:adjustRightInd/>
      <w:spacing w:after="200"/>
      <w:outlineLvl w:val="1"/>
    </w:pPr>
    <w:rPr>
      <w:b/>
      <w:szCs w:val="20"/>
      <w:u w:val="single"/>
    </w:rPr>
  </w:style>
  <w:style w:type="paragraph" w:customStyle="1" w:styleId="FigureTitle">
    <w:name w:val="Figure Title"/>
    <w:uiPriority w:val="99"/>
    <w:rsid w:val="00E436E8"/>
    <w:pPr>
      <w:keepNext/>
      <w:keepLines/>
      <w:spacing w:before="120" w:after="120"/>
    </w:pPr>
    <w:rPr>
      <w:b/>
      <w:sz w:val="24"/>
    </w:rPr>
  </w:style>
  <w:style w:type="paragraph" w:customStyle="1" w:styleId="exhibitsource">
    <w:name w:val="exhibit source"/>
    <w:basedOn w:val="Normal"/>
    <w:uiPriority w:val="99"/>
    <w:rsid w:val="00E436E8"/>
    <w:pPr>
      <w:widowControl/>
      <w:autoSpaceDE/>
      <w:autoSpaceDN/>
      <w:adjustRightInd/>
      <w:spacing w:before="120" w:after="240"/>
    </w:pPr>
    <w:rPr>
      <w:sz w:val="20"/>
      <w:szCs w:val="22"/>
    </w:rPr>
  </w:style>
  <w:style w:type="paragraph" w:customStyle="1" w:styleId="OMBHeading3">
    <w:name w:val="OMB Heading 3"/>
    <w:basedOn w:val="Heading3"/>
    <w:uiPriority w:val="99"/>
    <w:rsid w:val="00D10979"/>
    <w:pPr>
      <w:widowControl/>
      <w:autoSpaceDE/>
      <w:autoSpaceDN/>
      <w:adjustRightInd/>
      <w:spacing w:after="120"/>
      <w:ind w:left="720" w:hanging="720"/>
    </w:pPr>
    <w:rPr>
      <w:rFonts w:ascii="Times New Roman" w:hAnsi="Times New Roman"/>
      <w:bCs w:val="0"/>
      <w:i/>
      <w:sz w:val="24"/>
      <w:szCs w:val="20"/>
      <w:lang w:val="en-CA"/>
    </w:rPr>
  </w:style>
  <w:style w:type="character" w:customStyle="1" w:styleId="Heading3Char">
    <w:name w:val="Heading 3 Char"/>
    <w:basedOn w:val="DefaultParagraphFont"/>
    <w:link w:val="Heading3"/>
    <w:semiHidden/>
    <w:rsid w:val="00D10979"/>
    <w:rPr>
      <w:rFonts w:ascii="Cambria" w:eastAsia="Times New Roman" w:hAnsi="Cambria" w:cs="Times New Roman"/>
      <w:b/>
      <w:bCs/>
      <w:sz w:val="26"/>
      <w:szCs w:val="26"/>
    </w:rPr>
  </w:style>
  <w:style w:type="character" w:customStyle="1" w:styleId="HeaderChar">
    <w:name w:val="Header Char"/>
    <w:basedOn w:val="DefaultParagraphFont"/>
    <w:link w:val="Header"/>
    <w:uiPriority w:val="99"/>
    <w:rsid w:val="00D10979"/>
    <w:rPr>
      <w:sz w:val="24"/>
    </w:rPr>
  </w:style>
  <w:style w:type="paragraph" w:customStyle="1" w:styleId="BodyText1">
    <w:name w:val="Body Text1"/>
    <w:basedOn w:val="Normal"/>
    <w:link w:val="bodytextChar1"/>
    <w:uiPriority w:val="99"/>
    <w:rsid w:val="00CF0ACA"/>
    <w:pPr>
      <w:widowControl/>
      <w:autoSpaceDE/>
      <w:autoSpaceDN/>
      <w:adjustRightInd/>
      <w:ind w:firstLine="720"/>
    </w:pPr>
    <w:rPr>
      <w:szCs w:val="20"/>
    </w:rPr>
  </w:style>
  <w:style w:type="character" w:customStyle="1" w:styleId="bodytextChar1">
    <w:name w:val="body text Char1"/>
    <w:basedOn w:val="DefaultParagraphFont"/>
    <w:link w:val="BodyText1"/>
    <w:uiPriority w:val="99"/>
    <w:locked/>
    <w:rsid w:val="00CF0ACA"/>
    <w:rPr>
      <w:sz w:val="24"/>
    </w:rPr>
  </w:style>
  <w:style w:type="paragraph" w:styleId="Revision">
    <w:name w:val="Revision"/>
    <w:hidden/>
    <w:uiPriority w:val="99"/>
    <w:semiHidden/>
    <w:rsid w:val="0031696A"/>
    <w:rPr>
      <w:sz w:val="24"/>
      <w:szCs w:val="24"/>
    </w:rPr>
  </w:style>
  <w:style w:type="character" w:customStyle="1" w:styleId="FooterChar">
    <w:name w:val="Footer Char"/>
    <w:basedOn w:val="DefaultParagraphFont"/>
    <w:link w:val="Footer"/>
    <w:uiPriority w:val="99"/>
    <w:rsid w:val="004D20AA"/>
    <w:rPr>
      <w:sz w:val="24"/>
      <w:szCs w:val="24"/>
    </w:rPr>
  </w:style>
  <w:style w:type="paragraph" w:styleId="FootnoteText">
    <w:name w:val="footnote text"/>
    <w:basedOn w:val="Normal"/>
    <w:link w:val="FootnoteTextChar"/>
    <w:rsid w:val="006514FA"/>
    <w:rPr>
      <w:sz w:val="20"/>
      <w:szCs w:val="20"/>
    </w:rPr>
  </w:style>
  <w:style w:type="character" w:customStyle="1" w:styleId="FootnoteTextChar">
    <w:name w:val="Footnote Text Char"/>
    <w:basedOn w:val="DefaultParagraphFont"/>
    <w:link w:val="FootnoteText"/>
    <w:rsid w:val="006514FA"/>
  </w:style>
  <w:style w:type="character" w:customStyle="1" w:styleId="CommentTextChar">
    <w:name w:val="Comment Text Char"/>
    <w:basedOn w:val="DefaultParagraphFont"/>
    <w:link w:val="CommentText"/>
    <w:rsid w:val="001967E4"/>
  </w:style>
  <w:style w:type="paragraph" w:styleId="EndnoteText">
    <w:name w:val="endnote text"/>
    <w:basedOn w:val="Normal"/>
    <w:link w:val="EndnoteTextChar"/>
    <w:semiHidden/>
    <w:unhideWhenUsed/>
    <w:rsid w:val="00715CFD"/>
    <w:rPr>
      <w:sz w:val="20"/>
      <w:szCs w:val="20"/>
    </w:rPr>
  </w:style>
  <w:style w:type="character" w:customStyle="1" w:styleId="EndnoteTextChar">
    <w:name w:val="Endnote Text Char"/>
    <w:basedOn w:val="DefaultParagraphFont"/>
    <w:link w:val="EndnoteText"/>
    <w:semiHidden/>
    <w:rsid w:val="00715CFD"/>
  </w:style>
  <w:style w:type="character" w:styleId="EndnoteReference">
    <w:name w:val="endnote reference"/>
    <w:basedOn w:val="DefaultParagraphFont"/>
    <w:semiHidden/>
    <w:unhideWhenUsed/>
    <w:rsid w:val="00715CFD"/>
    <w:rPr>
      <w:vertAlign w:val="superscript"/>
    </w:rPr>
  </w:style>
  <w:style w:type="paragraph" w:customStyle="1" w:styleId="CharCharChar1CharCharCharChar">
    <w:name w:val="Char Char Char1 Char Char Char Char"/>
    <w:basedOn w:val="Normal"/>
    <w:semiHidden/>
    <w:rsid w:val="000E359D"/>
    <w:pPr>
      <w:widowControl/>
      <w:autoSpaceDE/>
      <w:autoSpaceDN/>
      <w:adjustRightInd/>
      <w:spacing w:before="80" w:after="80"/>
      <w:ind w:left="4320"/>
      <w:jc w:val="both"/>
    </w:pPr>
    <w:rPr>
      <w:rFonts w:ascii="Arial" w:hAnsi="Arial"/>
      <w:sz w:val="20"/>
    </w:rPr>
  </w:style>
  <w:style w:type="character" w:styleId="UnresolvedMention">
    <w:name w:val="Unresolved Mention"/>
    <w:basedOn w:val="DefaultParagraphFont"/>
    <w:uiPriority w:val="99"/>
    <w:semiHidden/>
    <w:unhideWhenUsed/>
    <w:rsid w:val="00085A93"/>
    <w:rPr>
      <w:color w:val="605E5C"/>
      <w:shd w:val="clear" w:color="auto" w:fill="E1DFDD"/>
    </w:rPr>
  </w:style>
  <w:style w:type="character" w:customStyle="1" w:styleId="search-custom-heading">
    <w:name w:val="search-custom-heading"/>
    <w:basedOn w:val="DefaultParagraphFont"/>
    <w:rsid w:val="00D4659E"/>
  </w:style>
  <w:style w:type="paragraph" w:customStyle="1" w:styleId="TableParagraph">
    <w:name w:val="Table Paragraph"/>
    <w:basedOn w:val="Normal"/>
    <w:uiPriority w:val="1"/>
    <w:qFormat/>
    <w:rsid w:val="00396E19"/>
    <w:pPr>
      <w:adjustRightInd/>
    </w:pPr>
    <w:rPr>
      <w:rFonts w:ascii="Arial" w:eastAsia="Arial" w:hAnsi="Arial" w:cs="Arial"/>
      <w:sz w:val="20"/>
      <w:szCs w:val="20"/>
      <w:lang w:bidi="en-US"/>
    </w:rPr>
  </w:style>
  <w:style w:type="paragraph" w:customStyle="1" w:styleId="Tableheaders">
    <w:name w:val="Table_headers"/>
    <w:uiPriority w:val="1"/>
    <w:qFormat/>
    <w:rsid w:val="00396E19"/>
    <w:pPr>
      <w:widowControl w:val="0"/>
      <w:autoSpaceDE w:val="0"/>
      <w:autoSpaceDN w:val="0"/>
      <w:spacing w:before="60" w:after="60"/>
    </w:pPr>
    <w:rPr>
      <w:rFonts w:ascii="Arial Bold" w:eastAsia="Arial" w:hAnsi="Arial Bold" w:cs="Arial"/>
      <w:b/>
      <w:color w:val="FFFFFF" w:themeColor="background1"/>
      <w:sz w:val="22"/>
      <w:lang w:bidi="en-US"/>
    </w:rPr>
  </w:style>
  <w:style w:type="paragraph" w:customStyle="1" w:styleId="Tablesubhead">
    <w:name w:val="Table_subhead"/>
    <w:uiPriority w:val="1"/>
    <w:qFormat/>
    <w:rsid w:val="00396E19"/>
    <w:pPr>
      <w:widowControl w:val="0"/>
      <w:autoSpaceDE w:val="0"/>
      <w:autoSpaceDN w:val="0"/>
    </w:pPr>
    <w:rPr>
      <w:rFonts w:ascii="Arial" w:eastAsia="Arial" w:hAnsi="Arial" w:cs="Arial"/>
      <w:b/>
      <w:color w:val="FFFFFF" w:themeColor="background1"/>
      <w:lang w:bidi="en-US"/>
    </w:rPr>
  </w:style>
  <w:style w:type="character" w:styleId="Mention">
    <w:name w:val="Mention"/>
    <w:basedOn w:val="DefaultParagraphFont"/>
    <w:uiPriority w:val="99"/>
    <w:unhideWhenUsed/>
    <w:rsid w:val="00D10AAC"/>
    <w:rPr>
      <w:color w:val="2B579A"/>
      <w:shd w:val="clear" w:color="auto" w:fill="E6E6E6"/>
    </w:rPr>
  </w:style>
  <w:style w:type="paragraph" w:customStyle="1" w:styleId="CharCharChar1CharCharCharChar0">
    <w:name w:val="Char Char Char1 Char Char Char Char_0"/>
    <w:basedOn w:val="Normal"/>
    <w:semiHidden/>
    <w:rsid w:val="00F843C4"/>
    <w:pPr>
      <w:widowControl/>
      <w:autoSpaceDE/>
      <w:autoSpaceDN/>
      <w:adjustRightInd/>
      <w:spacing w:before="80" w:after="80"/>
      <w:ind w:left="4320"/>
      <w:jc w:val="both"/>
    </w:pPr>
    <w:rPr>
      <w:rFonts w:ascii="Arial" w:hAnsi="Arial"/>
      <w:sz w:val="20"/>
    </w:rPr>
  </w:style>
  <w:style w:type="character" w:styleId="FollowedHyperlink">
    <w:name w:val="FollowedHyperlink"/>
    <w:basedOn w:val="DefaultParagraphFont"/>
    <w:semiHidden/>
    <w:unhideWhenUsed/>
    <w:rsid w:val="004970BD"/>
    <w:rPr>
      <w:color w:val="800080" w:themeColor="followedHyperlink"/>
      <w:u w:val="single"/>
    </w:rPr>
  </w:style>
  <w:style w:type="paragraph" w:styleId="TOC2">
    <w:name w:val="toc 2"/>
    <w:basedOn w:val="Normal"/>
    <w:next w:val="Normal"/>
    <w:autoRedefine/>
    <w:uiPriority w:val="39"/>
    <w:unhideWhenUsed/>
    <w:rsid w:val="00B410F2"/>
    <w:pPr>
      <w:spacing w:after="100"/>
      <w:ind w:left="240"/>
    </w:pPr>
  </w:style>
  <w:style w:type="paragraph" w:styleId="TOC3">
    <w:name w:val="toc 3"/>
    <w:basedOn w:val="Normal"/>
    <w:next w:val="Normal"/>
    <w:autoRedefine/>
    <w:uiPriority w:val="39"/>
    <w:unhideWhenUsed/>
    <w:rsid w:val="00B410F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mailto:gshusterman@wrma.com" TargetMode="External" /><Relationship Id="rId11" Type="http://schemas.openxmlformats.org/officeDocument/2006/relationships/hyperlink" Target="mailto:sleelaram@wrma.com" TargetMode="External" /><Relationship Id="rId12" Type="http://schemas.openxmlformats.org/officeDocument/2006/relationships/hyperlink" Target="mailto:%0blmurphy@mathematica.org%0b" TargetMode="External" /><Relationship Id="rId13" Type="http://schemas.openxmlformats.org/officeDocument/2006/relationships/hyperlink" Target="mailto:Jaclyn.Ruiz@hhs.gov" TargetMode="External" /><Relationship Id="rId14" Type="http://schemas.openxmlformats.org/officeDocument/2006/relationships/hyperlink" Target="https://www.bls.gov/oes/current/oes211091.htm" TargetMode="External" /><Relationship Id="rId15" Type="http://schemas.openxmlformats.org/officeDocument/2006/relationships/header" Target="header1.xml" /><Relationship Id="rId16" Type="http://schemas.openxmlformats.org/officeDocument/2006/relationships/footer" Target="footer1.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tara.rice@hhs.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D9CE6B0CCE2B4CBC063E0A813618C3" ma:contentTypeVersion="17" ma:contentTypeDescription="Create a new document." ma:contentTypeScope="" ma:versionID="a14a66f263d90092164d1663ac1b0213">
  <xsd:schema xmlns:xsd="http://www.w3.org/2001/XMLSchema" xmlns:xs="http://www.w3.org/2001/XMLSchema" xmlns:p="http://schemas.microsoft.com/office/2006/metadata/properties" xmlns:ns2="048fbbb7-a896-4d64-9dc3-91a7b74d8fdf" xmlns:ns3="7f7cfaa9-b06b-4533-84c3-4dabab523bc3" targetNamespace="http://schemas.microsoft.com/office/2006/metadata/properties" ma:root="true" ma:fieldsID="1f3e336b470e576c2edf8b6a3b5a253f" ns2:_="" ns3:_="">
    <xsd:import namespace="048fbbb7-a896-4d64-9dc3-91a7b74d8fdf"/>
    <xsd:import namespace="7f7cfaa9-b06b-4533-84c3-4dabab523bc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8fbbb7-a896-4d64-9dc3-91a7b74d8fd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ee618b-2e19-4320-bbd6-29336f3cd66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7cfaa9-b06b-4533-84c3-4dabab523bc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fb6ea925-f6b7-495d-965a-ab74b1054ba3}" ma:internalName="TaxCatchAll" ma:showField="CatchAllData" ma:web="7f7cfaa9-b06b-4533-84c3-4dabab523bc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7cfaa9-b06b-4533-84c3-4dabab523bc3" xsi:nil="true"/>
    <lcf76f155ced4ddcb4097134ff3c332f xmlns="048fbbb7-a896-4d64-9dc3-91a7b74d8fdf">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9C1D498-2A7C-462D-8B35-A2CA10E478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8fbbb7-a896-4d64-9dc3-91a7b74d8fdf"/>
    <ds:schemaRef ds:uri="7f7cfaa9-b06b-4533-84c3-4dabab523bc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530596-68C1-4CC4-8DAA-E52E6D14890B}">
  <ds:schemaRefs>
    <ds:schemaRef ds:uri="http://schemas.microsoft.com/office/2006/metadata/properties"/>
    <ds:schemaRef ds:uri="http://schemas.microsoft.com/office/infopath/2007/PartnerControls"/>
    <ds:schemaRef ds:uri="7f7cfaa9-b06b-4533-84c3-4dabab523bc3"/>
    <ds:schemaRef ds:uri="048fbbb7-a896-4d64-9dc3-91a7b74d8fdf"/>
  </ds:schemaRefs>
</ds:datastoreItem>
</file>

<file path=customXml/itemProps3.xml><?xml version="1.0" encoding="utf-8"?>
<ds:datastoreItem xmlns:ds="http://schemas.openxmlformats.org/officeDocument/2006/customXml" ds:itemID="{963C6391-5941-4F6C-8F65-6314F198D23D}">
  <ds:schemaRefs>
    <ds:schemaRef ds:uri="http://schemas.openxmlformats.org/officeDocument/2006/bibliography"/>
  </ds:schemaRefs>
</ds:datastoreItem>
</file>

<file path=customXml/itemProps4.xml><?xml version="1.0" encoding="utf-8"?>
<ds:datastoreItem xmlns:ds="http://schemas.openxmlformats.org/officeDocument/2006/customXml" ds:itemID="{CC60683C-2565-4159-84CB-B7792AA079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90</TotalTime>
  <Pages>15</Pages>
  <Words>3926</Words>
  <Characters>23727</Characters>
  <Application>Microsoft Office Word</Application>
  <DocSecurity>0</DocSecurity>
  <Lines>765</Lines>
  <Paragraphs>378</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DHHS</Company>
  <LinksUpToDate>false</LinksUpToDate>
  <CharactersWithSpaces>27275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wallace</dc:creator>
  <cp:lastModifiedBy>Rice, Tara (HHS/OPHS)</cp:lastModifiedBy>
  <cp:revision>52</cp:revision>
  <cp:lastPrinted>2017-04-13T16:16:00Z</cp:lastPrinted>
  <dcterms:created xsi:type="dcterms:W3CDTF">2026-03-23T21:35:00Z</dcterms:created>
  <dcterms:modified xsi:type="dcterms:W3CDTF">2026-04-01T21:37:00Z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0x01010073D9CE6B0CCE2B4CBC063E0A813618C3</vt:lpwstr>
  </property>
  <property fmtid="{D5CDD505-2E9C-101B-9397-08002B2CF9AE}" pid="3" name="MediaServiceImageTags">
    <vt:lpwstr/>
  </property>
</Properties>
</file>