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633D" w:rsidP="009B633D" w14:paraId="21D83E09" w14:textId="77777777">
      <w:pPr>
        <w:jc w:val="center"/>
        <w:rPr>
          <w:sz w:val="28"/>
          <w:szCs w:val="28"/>
        </w:rPr>
      </w:pPr>
    </w:p>
    <w:p w:rsidR="009B633D" w:rsidP="009B633D" w14:paraId="7FD0ACBE" w14:textId="77777777">
      <w:pPr>
        <w:jc w:val="center"/>
        <w:rPr>
          <w:sz w:val="28"/>
          <w:szCs w:val="28"/>
        </w:rPr>
      </w:pPr>
    </w:p>
    <w:p w:rsidR="009B633D" w:rsidP="009B633D" w14:paraId="037FEE30" w14:textId="77777777">
      <w:pPr>
        <w:jc w:val="center"/>
        <w:rPr>
          <w:sz w:val="28"/>
          <w:szCs w:val="28"/>
        </w:rPr>
      </w:pPr>
    </w:p>
    <w:p w:rsidR="009B633D" w:rsidP="009B633D" w14:paraId="5DE14FF9" w14:textId="77777777">
      <w:pPr>
        <w:jc w:val="center"/>
        <w:rPr>
          <w:b/>
          <w:sz w:val="28"/>
          <w:szCs w:val="28"/>
        </w:rPr>
      </w:pPr>
      <w:r w:rsidRPr="00456179">
        <w:rPr>
          <w:b/>
          <w:sz w:val="28"/>
          <w:szCs w:val="28"/>
        </w:rPr>
        <w:t>SUPPORTING STATEMENT</w:t>
      </w:r>
    </w:p>
    <w:p w:rsidR="00635119" w:rsidP="009B633D" w14:paraId="27C5E790" w14:textId="77777777">
      <w:pPr>
        <w:jc w:val="center"/>
        <w:rPr>
          <w:b/>
          <w:sz w:val="28"/>
          <w:szCs w:val="28"/>
        </w:rPr>
      </w:pPr>
    </w:p>
    <w:p w:rsidR="009B633D" w:rsidP="009B633D" w14:paraId="6E514C90" w14:textId="77777777">
      <w:pPr>
        <w:jc w:val="center"/>
        <w:rPr>
          <w:sz w:val="28"/>
          <w:szCs w:val="28"/>
        </w:rPr>
      </w:pPr>
      <w:r>
        <w:rPr>
          <w:b/>
          <w:sz w:val="28"/>
          <w:szCs w:val="28"/>
        </w:rPr>
        <w:t>Part A</w:t>
      </w:r>
    </w:p>
    <w:p w:rsidR="009B633D" w:rsidP="009B633D" w14:paraId="3FF31491" w14:textId="77777777">
      <w:pPr>
        <w:jc w:val="center"/>
        <w:rPr>
          <w:sz w:val="28"/>
          <w:szCs w:val="28"/>
        </w:rPr>
      </w:pPr>
    </w:p>
    <w:p w:rsidR="009B633D" w:rsidP="009B633D" w14:paraId="6B68DA03" w14:textId="77777777">
      <w:pPr>
        <w:jc w:val="center"/>
        <w:rPr>
          <w:sz w:val="28"/>
          <w:szCs w:val="28"/>
        </w:rPr>
      </w:pPr>
    </w:p>
    <w:p w:rsidR="009B633D" w:rsidP="009B633D" w14:paraId="30808F0A" w14:textId="77777777">
      <w:pPr>
        <w:jc w:val="center"/>
        <w:rPr>
          <w:sz w:val="28"/>
          <w:szCs w:val="28"/>
        </w:rPr>
      </w:pPr>
    </w:p>
    <w:p w:rsidR="009B633D" w:rsidP="009B633D" w14:paraId="4EFC467A" w14:textId="77777777">
      <w:pPr>
        <w:jc w:val="center"/>
        <w:rPr>
          <w:sz w:val="28"/>
          <w:szCs w:val="28"/>
        </w:rPr>
      </w:pPr>
    </w:p>
    <w:p w:rsidR="009B633D" w:rsidRPr="00E276E8" w:rsidP="00E276E8" w14:paraId="13A7D5A1" w14:textId="5335F379">
      <w:pPr>
        <w:jc w:val="center"/>
        <w:rPr>
          <w:iCs/>
          <w:sz w:val="28"/>
          <w:szCs w:val="28"/>
        </w:rPr>
      </w:pPr>
      <w:bookmarkStart w:id="0" w:name="_Hlk145070896"/>
      <w:r w:rsidRPr="00E276E8">
        <w:rPr>
          <w:iCs/>
          <w:sz w:val="28"/>
          <w:szCs w:val="28"/>
        </w:rPr>
        <w:t>Medical Expenditure Panel Survey – Household and Medical Provider Components</w:t>
      </w:r>
      <w:bookmarkEnd w:id="0"/>
    </w:p>
    <w:p w:rsidR="009B633D" w:rsidP="009B633D" w14:paraId="28BB31BE" w14:textId="77777777">
      <w:pPr>
        <w:jc w:val="center"/>
        <w:rPr>
          <w:sz w:val="28"/>
          <w:szCs w:val="28"/>
        </w:rPr>
      </w:pPr>
    </w:p>
    <w:p w:rsidR="003330E5" w:rsidP="003330E5" w14:paraId="30701EF7" w14:textId="77777777">
      <w:pPr>
        <w:jc w:val="center"/>
        <w:rPr>
          <w:sz w:val="28"/>
          <w:szCs w:val="28"/>
        </w:rPr>
      </w:pPr>
    </w:p>
    <w:p w:rsidR="009B633D" w:rsidP="009B633D" w14:paraId="5860B482" w14:textId="77777777">
      <w:pPr>
        <w:jc w:val="center"/>
        <w:rPr>
          <w:sz w:val="28"/>
          <w:szCs w:val="28"/>
        </w:rPr>
      </w:pPr>
    </w:p>
    <w:p w:rsidR="009B633D" w:rsidP="009B633D" w14:paraId="10F9C3B5" w14:textId="77777777">
      <w:pPr>
        <w:jc w:val="center"/>
        <w:rPr>
          <w:sz w:val="28"/>
          <w:szCs w:val="28"/>
        </w:rPr>
      </w:pPr>
    </w:p>
    <w:p w:rsidR="009B633D" w:rsidP="009B633D" w14:paraId="58D5C07B" w14:textId="28AB212D">
      <w:pPr>
        <w:jc w:val="center"/>
        <w:rPr>
          <w:iCs/>
          <w:sz w:val="28"/>
          <w:szCs w:val="28"/>
        </w:rPr>
      </w:pPr>
      <w:r>
        <w:rPr>
          <w:b/>
          <w:sz w:val="28"/>
          <w:szCs w:val="28"/>
        </w:rPr>
        <w:t>Version</w:t>
      </w:r>
      <w:r w:rsidR="00FF42BD">
        <w:rPr>
          <w:b/>
          <w:sz w:val="28"/>
          <w:szCs w:val="28"/>
        </w:rPr>
        <w:t>:</w:t>
      </w:r>
      <w:r>
        <w:rPr>
          <w:b/>
          <w:sz w:val="28"/>
          <w:szCs w:val="28"/>
        </w:rPr>
        <w:t xml:space="preserve"> </w:t>
      </w:r>
      <w:r w:rsidR="00387C0C">
        <w:rPr>
          <w:iCs/>
          <w:sz w:val="28"/>
          <w:szCs w:val="28"/>
        </w:rPr>
        <w:t xml:space="preserve">February </w:t>
      </w:r>
      <w:r w:rsidR="00616393">
        <w:rPr>
          <w:iCs/>
          <w:sz w:val="28"/>
          <w:szCs w:val="28"/>
        </w:rPr>
        <w:t>20</w:t>
      </w:r>
      <w:r w:rsidR="00387C0C">
        <w:rPr>
          <w:iCs/>
          <w:sz w:val="28"/>
          <w:szCs w:val="28"/>
        </w:rPr>
        <w:t>, 2026</w:t>
      </w:r>
    </w:p>
    <w:p w:rsidR="00756179" w:rsidRPr="00C4006D" w:rsidP="009B633D" w14:paraId="2DBCA585" w14:textId="77777777">
      <w:pPr>
        <w:jc w:val="center"/>
        <w:rPr>
          <w:i/>
          <w:sz w:val="28"/>
          <w:szCs w:val="28"/>
        </w:rPr>
      </w:pPr>
    </w:p>
    <w:p w:rsidR="009B633D" w:rsidP="009B633D" w14:paraId="1B4624B3" w14:textId="77777777">
      <w:pPr>
        <w:jc w:val="center"/>
        <w:rPr>
          <w:i/>
          <w:sz w:val="28"/>
          <w:szCs w:val="28"/>
        </w:rPr>
      </w:pPr>
    </w:p>
    <w:p w:rsidR="009B633D" w:rsidP="009B633D" w14:paraId="6CFA9DB9" w14:textId="77777777">
      <w:pPr>
        <w:jc w:val="center"/>
        <w:rPr>
          <w:sz w:val="28"/>
          <w:szCs w:val="28"/>
        </w:rPr>
      </w:pPr>
    </w:p>
    <w:p w:rsidR="009B633D" w:rsidP="009B633D" w14:paraId="6581B2F9" w14:textId="77777777">
      <w:pPr>
        <w:jc w:val="center"/>
        <w:rPr>
          <w:sz w:val="28"/>
          <w:szCs w:val="28"/>
        </w:rPr>
      </w:pPr>
    </w:p>
    <w:p w:rsidR="009B633D" w:rsidP="009B633D" w14:paraId="3BBBE288" w14:textId="77777777">
      <w:pPr>
        <w:jc w:val="center"/>
        <w:rPr>
          <w:sz w:val="28"/>
          <w:szCs w:val="28"/>
        </w:rPr>
      </w:pPr>
    </w:p>
    <w:p w:rsidR="009B633D" w:rsidP="009B633D" w14:paraId="31EE60B6" w14:textId="77777777">
      <w:pPr>
        <w:jc w:val="center"/>
        <w:rPr>
          <w:sz w:val="28"/>
          <w:szCs w:val="28"/>
        </w:rPr>
      </w:pPr>
    </w:p>
    <w:p w:rsidR="009B633D" w:rsidP="009B633D" w14:paraId="2100EFC6" w14:textId="77777777">
      <w:pPr>
        <w:jc w:val="center"/>
        <w:rPr>
          <w:sz w:val="28"/>
          <w:szCs w:val="28"/>
        </w:rPr>
      </w:pPr>
    </w:p>
    <w:p w:rsidR="009B633D" w:rsidP="009B633D" w14:paraId="3BFB479C" w14:textId="2015FA77">
      <w:pPr>
        <w:jc w:val="center"/>
        <w:rPr>
          <w:sz w:val="28"/>
          <w:szCs w:val="28"/>
        </w:rPr>
      </w:pPr>
      <w:r w:rsidRPr="00677A0B">
        <w:rPr>
          <w:sz w:val="28"/>
          <w:szCs w:val="28"/>
        </w:rPr>
        <w:t xml:space="preserve">Agency </w:t>
      </w:r>
      <w:r w:rsidR="006F017C">
        <w:rPr>
          <w:sz w:val="28"/>
          <w:szCs w:val="28"/>
        </w:rPr>
        <w:t xml:space="preserve">for </w:t>
      </w:r>
      <w:r w:rsidRPr="00677A0B" w:rsidR="006F017C">
        <w:rPr>
          <w:sz w:val="28"/>
          <w:szCs w:val="28"/>
        </w:rPr>
        <w:t>Healthcare</w:t>
      </w:r>
      <w:r w:rsidRPr="00677A0B">
        <w:rPr>
          <w:sz w:val="28"/>
          <w:szCs w:val="28"/>
        </w:rPr>
        <w:t xml:space="preserve"> Research and Quality (AHRQ)</w:t>
      </w:r>
    </w:p>
    <w:p w:rsidR="009B633D" w14:paraId="31F70CDB" w14:textId="77777777">
      <w:pPr>
        <w:rPr>
          <w:sz w:val="28"/>
          <w:szCs w:val="28"/>
        </w:rPr>
      </w:pPr>
    </w:p>
    <w:p w:rsidR="009B633D" w14:paraId="6DB4F796" w14:textId="77777777">
      <w:pPr>
        <w:rPr>
          <w:sz w:val="28"/>
          <w:szCs w:val="28"/>
        </w:rPr>
      </w:pPr>
    </w:p>
    <w:p w:rsidR="009B633D" w:rsidP="008C580E" w14:paraId="528B2103" w14:textId="335C20ED">
      <w:pPr>
        <w:rPr>
          <w:b/>
        </w:rPr>
      </w:pPr>
      <w:r>
        <w:br w:type="page"/>
      </w:r>
      <w:r w:rsidRPr="001D0454">
        <w:rPr>
          <w:b/>
        </w:rPr>
        <w:t>Table of contents</w:t>
      </w:r>
    </w:p>
    <w:p w:rsidR="00EB58F3" w:rsidP="009B633D" w14:paraId="3E7E631B" w14:textId="77777777">
      <w:pPr>
        <w:jc w:val="center"/>
        <w:rPr>
          <w:b/>
        </w:rPr>
      </w:pPr>
    </w:p>
    <w:p w:rsidR="00EB58F3" w:rsidP="007B3A8E" w14:paraId="11ACD5AF" w14:textId="77777777">
      <w:pPr>
        <w:tabs>
          <w:tab w:val="left" w:leader="dot" w:pos="8280"/>
        </w:tabs>
      </w:pPr>
      <w:r w:rsidRPr="008C580E">
        <w:t>A. Justification</w:t>
      </w:r>
      <w:r w:rsidR="007B3A8E">
        <w:tab/>
        <w:t>3</w:t>
      </w:r>
    </w:p>
    <w:p w:rsidR="007B3A8E" w:rsidP="007B3A8E" w14:paraId="2E8E4A01" w14:textId="77777777">
      <w:pPr>
        <w:tabs>
          <w:tab w:val="left" w:pos="360"/>
          <w:tab w:val="left" w:leader="dot" w:pos="8280"/>
        </w:tabs>
      </w:pPr>
      <w:r>
        <w:tab/>
        <w:t xml:space="preserve">1. </w:t>
      </w:r>
      <w:r w:rsidR="006014DB">
        <w:t>Circumstances that make the collection of information necessary</w:t>
      </w:r>
      <w:r>
        <w:tab/>
      </w:r>
      <w:r w:rsidR="00094648">
        <w:t>3</w:t>
      </w:r>
    </w:p>
    <w:p w:rsidR="007B3A8E" w:rsidP="007B3A8E" w14:paraId="23B9E161" w14:textId="22291FCF">
      <w:pPr>
        <w:tabs>
          <w:tab w:val="left" w:pos="360"/>
          <w:tab w:val="left" w:leader="dot" w:pos="8280"/>
        </w:tabs>
      </w:pPr>
      <w:r>
        <w:tab/>
        <w:t xml:space="preserve">2. </w:t>
      </w:r>
      <w:r w:rsidR="006014DB">
        <w:t>Purpose and use of i</w:t>
      </w:r>
      <w:r w:rsidRPr="007B3A8E">
        <w:t>nformation</w:t>
      </w:r>
      <w:r>
        <w:tab/>
      </w:r>
      <w:r w:rsidR="00D44020">
        <w:t>8</w:t>
      </w:r>
    </w:p>
    <w:p w:rsidR="007B3A8E" w:rsidP="007B3A8E" w14:paraId="2D0817FD" w14:textId="5C298A30">
      <w:pPr>
        <w:tabs>
          <w:tab w:val="left" w:pos="360"/>
          <w:tab w:val="left" w:leader="dot" w:pos="8280"/>
        </w:tabs>
      </w:pPr>
      <w:r>
        <w:tab/>
        <w:t xml:space="preserve">3. </w:t>
      </w:r>
      <w:r w:rsidRPr="007B3A8E">
        <w:t>Use of Improved Information Technology</w:t>
      </w:r>
      <w:r>
        <w:tab/>
      </w:r>
      <w:r w:rsidR="00D44020">
        <w:t>1</w:t>
      </w:r>
      <w:r w:rsidR="000C30FB">
        <w:t>0</w:t>
      </w:r>
    </w:p>
    <w:p w:rsidR="007B3A8E" w:rsidP="007B3A8E" w14:paraId="2A8CFEE8" w14:textId="1773BCF8">
      <w:pPr>
        <w:tabs>
          <w:tab w:val="left" w:pos="360"/>
          <w:tab w:val="left" w:leader="dot" w:pos="8280"/>
        </w:tabs>
      </w:pPr>
      <w:r>
        <w:tab/>
        <w:t xml:space="preserve">4. </w:t>
      </w:r>
      <w:r w:rsidRPr="007B3A8E">
        <w:t>Efforts to Identify Duplication</w:t>
      </w:r>
      <w:r>
        <w:tab/>
      </w:r>
      <w:r w:rsidR="00D44020">
        <w:t>11</w:t>
      </w:r>
    </w:p>
    <w:p w:rsidR="007B3A8E" w:rsidP="007B3A8E" w14:paraId="7E1BD462" w14:textId="68D14AD7">
      <w:pPr>
        <w:tabs>
          <w:tab w:val="left" w:pos="360"/>
          <w:tab w:val="left" w:leader="dot" w:pos="8280"/>
        </w:tabs>
      </w:pPr>
      <w:r>
        <w:tab/>
        <w:t xml:space="preserve">5. </w:t>
      </w:r>
      <w:r w:rsidRPr="00556066" w:rsidR="00556066">
        <w:t>Involvement of Small Entities</w:t>
      </w:r>
      <w:r w:rsidR="00556066">
        <w:tab/>
      </w:r>
      <w:r w:rsidR="000C30FB">
        <w:t>11</w:t>
      </w:r>
    </w:p>
    <w:p w:rsidR="00556066" w:rsidP="007B3A8E" w14:paraId="0CAFA618" w14:textId="36AE5BAA">
      <w:pPr>
        <w:tabs>
          <w:tab w:val="left" w:pos="360"/>
          <w:tab w:val="left" w:leader="dot" w:pos="8280"/>
        </w:tabs>
      </w:pPr>
      <w:r>
        <w:tab/>
        <w:t xml:space="preserve">6. </w:t>
      </w:r>
      <w:r w:rsidRPr="00556066">
        <w:t>Consequences if Information Collected Less Frequently</w:t>
      </w:r>
      <w:r>
        <w:tab/>
      </w:r>
      <w:r w:rsidR="000C30FB">
        <w:t>11</w:t>
      </w:r>
    </w:p>
    <w:p w:rsidR="00556066" w:rsidP="007B3A8E" w14:paraId="4983AF2D" w14:textId="35D2551E">
      <w:pPr>
        <w:tabs>
          <w:tab w:val="left" w:pos="360"/>
          <w:tab w:val="left" w:leader="dot" w:pos="8280"/>
        </w:tabs>
      </w:pPr>
      <w:r>
        <w:tab/>
        <w:t xml:space="preserve">7. </w:t>
      </w:r>
      <w:r w:rsidRPr="00556066">
        <w:t>Special Circumstances</w:t>
      </w:r>
      <w:r>
        <w:tab/>
      </w:r>
      <w:r w:rsidR="000C30FB">
        <w:t>12</w:t>
      </w:r>
    </w:p>
    <w:p w:rsidR="00556066" w:rsidP="007B3A8E" w14:paraId="5BE41DA0" w14:textId="5C7088F8">
      <w:pPr>
        <w:tabs>
          <w:tab w:val="left" w:pos="360"/>
          <w:tab w:val="left" w:leader="dot" w:pos="8280"/>
        </w:tabs>
      </w:pPr>
      <w:r>
        <w:tab/>
        <w:t xml:space="preserve">8. </w:t>
      </w:r>
      <w:r w:rsidR="00DF6260">
        <w:t xml:space="preserve">Federal Register Notice and </w:t>
      </w:r>
      <w:r w:rsidR="00BA6B37">
        <w:t>Outside Consultations</w:t>
      </w:r>
      <w:r>
        <w:tab/>
      </w:r>
      <w:r w:rsidR="000C30FB">
        <w:t>12</w:t>
      </w:r>
    </w:p>
    <w:p w:rsidR="00556066" w:rsidP="007B3A8E" w14:paraId="59515984" w14:textId="0D72CCEC">
      <w:pPr>
        <w:tabs>
          <w:tab w:val="left" w:pos="360"/>
          <w:tab w:val="left" w:leader="dot" w:pos="8280"/>
        </w:tabs>
      </w:pPr>
      <w:r>
        <w:tab/>
        <w:t xml:space="preserve">9. </w:t>
      </w:r>
      <w:r w:rsidRPr="00556066">
        <w:t>Payments/Gifts to Respondents</w:t>
      </w:r>
      <w:r>
        <w:tab/>
      </w:r>
      <w:r w:rsidR="00CA2BC8">
        <w:t>13</w:t>
      </w:r>
    </w:p>
    <w:p w:rsidR="00556066" w:rsidP="007B3A8E" w14:paraId="20E4075B" w14:textId="247B6383">
      <w:pPr>
        <w:tabs>
          <w:tab w:val="left" w:pos="360"/>
          <w:tab w:val="left" w:leader="dot" w:pos="8280"/>
        </w:tabs>
      </w:pPr>
      <w:r>
        <w:tab/>
        <w:t xml:space="preserve">10. </w:t>
      </w:r>
      <w:r w:rsidRPr="00556066">
        <w:t>Assurance of Confidentiality</w:t>
      </w:r>
      <w:r>
        <w:tab/>
      </w:r>
      <w:r w:rsidR="00CA2BC8">
        <w:t>13</w:t>
      </w:r>
    </w:p>
    <w:p w:rsidR="00556066" w:rsidP="007B3A8E" w14:paraId="66FADED6" w14:textId="5ED0DDE9">
      <w:pPr>
        <w:tabs>
          <w:tab w:val="left" w:pos="360"/>
          <w:tab w:val="left" w:leader="dot" w:pos="8280"/>
        </w:tabs>
      </w:pPr>
      <w:r>
        <w:tab/>
        <w:t xml:space="preserve">11. </w:t>
      </w:r>
      <w:r w:rsidRPr="00556066">
        <w:t>Questions of a Sensitive Nature</w:t>
      </w:r>
      <w:r>
        <w:tab/>
      </w:r>
      <w:r w:rsidR="00CA2BC8">
        <w:t>14</w:t>
      </w:r>
    </w:p>
    <w:p w:rsidR="00556066" w:rsidP="007B3A8E" w14:paraId="41439B19" w14:textId="6159E26D">
      <w:pPr>
        <w:tabs>
          <w:tab w:val="left" w:pos="360"/>
          <w:tab w:val="left" w:leader="dot" w:pos="8280"/>
        </w:tabs>
      </w:pPr>
      <w:r>
        <w:tab/>
        <w:t xml:space="preserve">12. </w:t>
      </w:r>
      <w:r w:rsidRPr="00556066">
        <w:t>Estimates of Annualized Burden Hours and Costs</w:t>
      </w:r>
      <w:r>
        <w:tab/>
      </w:r>
      <w:r w:rsidR="00FC12EB">
        <w:t>14</w:t>
      </w:r>
    </w:p>
    <w:p w:rsidR="00556066" w:rsidP="007B3A8E" w14:paraId="59A1E260" w14:textId="69761E05">
      <w:pPr>
        <w:tabs>
          <w:tab w:val="left" w:pos="360"/>
          <w:tab w:val="left" w:leader="dot" w:pos="8280"/>
        </w:tabs>
      </w:pPr>
      <w:r>
        <w:tab/>
        <w:t xml:space="preserve">13. </w:t>
      </w:r>
      <w:r w:rsidRPr="00556066">
        <w:t>Estimates of Annualized Respondent Capital and Maintenance Costs</w:t>
      </w:r>
      <w:r>
        <w:tab/>
      </w:r>
      <w:r w:rsidR="00425CCA">
        <w:t>17</w:t>
      </w:r>
    </w:p>
    <w:p w:rsidR="00556066" w:rsidP="007B3A8E" w14:paraId="327663FA" w14:textId="7F3C8E9C">
      <w:pPr>
        <w:tabs>
          <w:tab w:val="left" w:pos="360"/>
          <w:tab w:val="left" w:leader="dot" w:pos="8280"/>
        </w:tabs>
      </w:pPr>
      <w:r>
        <w:tab/>
        <w:t xml:space="preserve">14. </w:t>
      </w:r>
      <w:r w:rsidRPr="00556066">
        <w:t xml:space="preserve">Estimates of </w:t>
      </w:r>
      <w:r w:rsidR="00425CCA">
        <w:t xml:space="preserve">Total and </w:t>
      </w:r>
      <w:r w:rsidRPr="00556066">
        <w:t>Annualized Cost to the Government</w:t>
      </w:r>
      <w:r>
        <w:tab/>
      </w:r>
      <w:r w:rsidR="00425CCA">
        <w:t>17</w:t>
      </w:r>
    </w:p>
    <w:p w:rsidR="001C4AA9" w:rsidP="007B3A8E" w14:paraId="43F0EE14" w14:textId="77777777">
      <w:pPr>
        <w:tabs>
          <w:tab w:val="left" w:pos="360"/>
          <w:tab w:val="left" w:leader="dot" w:pos="8280"/>
        </w:tabs>
      </w:pPr>
      <w:r>
        <w:tab/>
        <w:t xml:space="preserve">15. </w:t>
      </w:r>
      <w:r w:rsidRPr="00556066">
        <w:t xml:space="preserve">Changes </w:t>
      </w:r>
      <w:r>
        <w:t>to Collection of Information Requirements, Burden, and Collection of</w:t>
      </w:r>
    </w:p>
    <w:p w:rsidR="00556066" w:rsidP="007B3A8E" w14:paraId="02E64544" w14:textId="202DFD3F">
      <w:pPr>
        <w:tabs>
          <w:tab w:val="left" w:pos="360"/>
          <w:tab w:val="left" w:leader="dot" w:pos="8280"/>
        </w:tabs>
      </w:pPr>
      <w:r>
        <w:t xml:space="preserve">            Information Instruments</w:t>
      </w:r>
      <w:r>
        <w:tab/>
      </w:r>
      <w:r>
        <w:t>19</w:t>
      </w:r>
    </w:p>
    <w:p w:rsidR="006014DB" w:rsidP="007B3A8E" w14:paraId="56FBF434" w14:textId="69EFEDBD">
      <w:pPr>
        <w:tabs>
          <w:tab w:val="left" w:pos="360"/>
          <w:tab w:val="left" w:leader="dot" w:pos="8280"/>
        </w:tabs>
      </w:pPr>
      <w:r>
        <w:tab/>
        <w:t xml:space="preserve">16. </w:t>
      </w:r>
      <w:r w:rsidRPr="006014DB">
        <w:t>Time Schedule, Publication and Analysis Plans</w:t>
      </w:r>
      <w:r>
        <w:tab/>
      </w:r>
      <w:r w:rsidR="00425CCA">
        <w:t>19</w:t>
      </w:r>
    </w:p>
    <w:p w:rsidR="006014DB" w:rsidP="007B3A8E" w14:paraId="1AD45912" w14:textId="01B4D139">
      <w:pPr>
        <w:tabs>
          <w:tab w:val="left" w:pos="360"/>
          <w:tab w:val="left" w:leader="dot" w:pos="8280"/>
        </w:tabs>
      </w:pPr>
      <w:r>
        <w:tab/>
        <w:t xml:space="preserve">17. </w:t>
      </w:r>
      <w:r w:rsidRPr="006014DB">
        <w:t>Exemption for Display of Expiration Date</w:t>
      </w:r>
      <w:r>
        <w:tab/>
      </w:r>
      <w:r w:rsidR="001C4AA9">
        <w:t>19</w:t>
      </w:r>
    </w:p>
    <w:p w:rsidR="00802420" w:rsidRPr="00556066" w:rsidP="00802420" w14:paraId="6B57CC03" w14:textId="6E2FDCE4">
      <w:pPr>
        <w:tabs>
          <w:tab w:val="left" w:pos="360"/>
          <w:tab w:val="left" w:leader="dot" w:pos="8280"/>
        </w:tabs>
      </w:pPr>
      <w:r>
        <w:tab/>
        <w:t>Appendix A. Data Security Plan</w:t>
      </w:r>
      <w:r>
        <w:tab/>
        <w:t>19</w:t>
      </w:r>
    </w:p>
    <w:p w:rsidR="00556066" w:rsidRPr="00556066" w:rsidP="007B3A8E" w14:paraId="5F69BA6A" w14:textId="5E3BB0A0">
      <w:pPr>
        <w:tabs>
          <w:tab w:val="left" w:pos="360"/>
          <w:tab w:val="left" w:leader="dot" w:pos="8280"/>
        </w:tabs>
      </w:pPr>
      <w:r>
        <w:tab/>
      </w:r>
      <w:r w:rsidR="00904CC3">
        <w:t>List of Attachments</w:t>
      </w:r>
      <w:r w:rsidR="00904CC3">
        <w:tab/>
      </w:r>
      <w:r w:rsidR="001C4AA9">
        <w:t>19</w:t>
      </w:r>
    </w:p>
    <w:p w:rsidR="00556066" w:rsidRPr="00556066" w:rsidP="007B3A8E" w14:paraId="76215B28" w14:textId="77777777">
      <w:pPr>
        <w:tabs>
          <w:tab w:val="left" w:pos="360"/>
          <w:tab w:val="left" w:leader="dot" w:pos="8280"/>
        </w:tabs>
      </w:pPr>
      <w:r>
        <w:tab/>
      </w:r>
    </w:p>
    <w:p w:rsidR="009B633D" w:rsidP="009B633D" w14:paraId="78B307E3" w14:textId="77777777">
      <w:pPr>
        <w:jc w:val="center"/>
        <w:rPr>
          <w:b/>
        </w:rPr>
      </w:pPr>
    </w:p>
    <w:p w:rsidR="009B633D" w14:paraId="07428123"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009B633D" w:rsidRPr="001D0454" w:rsidP="009B633D" w14:paraId="1D60BDF6" w14:textId="77777777">
      <w:pPr>
        <w:jc w:val="center"/>
        <w:rPr>
          <w:b/>
        </w:rPr>
      </w:pPr>
      <w:r>
        <w:rPr>
          <w:b/>
        </w:rPr>
        <w:fldChar w:fldCharType="end"/>
      </w:r>
    </w:p>
    <w:p w:rsidR="009B633D" w:rsidRPr="006014DB" w:rsidP="009B633D" w14:paraId="23643A38" w14:textId="77777777">
      <w:pPr>
        <w:pStyle w:val="Heading1"/>
        <w:rPr>
          <w:sz w:val="24"/>
          <w:szCs w:val="24"/>
        </w:rPr>
      </w:pPr>
      <w:r>
        <w:br w:type="page"/>
      </w:r>
      <w:bookmarkStart w:id="1" w:name="_Toc151782175"/>
      <w:bookmarkStart w:id="2" w:name="_Toc158526215"/>
      <w:r w:rsidRPr="006014DB">
        <w:rPr>
          <w:sz w:val="24"/>
          <w:szCs w:val="24"/>
        </w:rPr>
        <w:t>A. Justification</w:t>
      </w:r>
      <w:bookmarkEnd w:id="1"/>
      <w:bookmarkEnd w:id="2"/>
    </w:p>
    <w:p w:rsidR="009B633D" w:rsidRPr="006014DB" w:rsidP="009B633D" w14:paraId="571A447E" w14:textId="77777777"/>
    <w:p w:rsidR="009B633D" w:rsidP="006014DB" w14:paraId="25C280EC" w14:textId="77777777">
      <w:pPr>
        <w:pStyle w:val="Heading2"/>
        <w:spacing w:before="0" w:after="0"/>
        <w:rPr>
          <w:sz w:val="24"/>
          <w:szCs w:val="24"/>
        </w:rPr>
      </w:pPr>
      <w:bookmarkStart w:id="3" w:name="_Toc151782176"/>
      <w:bookmarkStart w:id="4" w:name="_Toc158526216"/>
      <w:r w:rsidRPr="006014DB">
        <w:rPr>
          <w:sz w:val="24"/>
          <w:szCs w:val="24"/>
        </w:rPr>
        <w:t xml:space="preserve">1. </w:t>
      </w:r>
      <w:bookmarkEnd w:id="3"/>
      <w:bookmarkEnd w:id="4"/>
      <w:r w:rsidRPr="006014DB" w:rsidR="006014DB">
        <w:rPr>
          <w:sz w:val="24"/>
          <w:szCs w:val="24"/>
        </w:rPr>
        <w:t>Circumstances that make the collection of information necessary</w:t>
      </w:r>
    </w:p>
    <w:p w:rsidR="006014DB" w:rsidP="006014DB" w14:paraId="31D8ADD5" w14:textId="77777777"/>
    <w:p w:rsidR="003330E5" w:rsidP="006014DB" w14:paraId="6091A4E3" w14:textId="77777777">
      <w:r>
        <w:t>About AHRQ:</w:t>
      </w:r>
    </w:p>
    <w:p w:rsidR="006014DB" w:rsidP="006014DB" w14:paraId="4E6F7081" w14:textId="77777777">
      <w:r>
        <w:t xml:space="preserve">The mission of the Agency for Healthcare Research and Quality (AHRQ) set out in its authorizing legislation, The Healthcare Research and Quality Act of 1999 (see </w:t>
      </w:r>
      <w:r w:rsidRPr="00A0703D" w:rsidR="00A0703D">
        <w:t>https://www.ahrq.gov/policymakers/hrqa99a.html</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P="00606400" w14:paraId="243BEF1D" w14:textId="77777777">
      <w:pPr>
        <w:tabs>
          <w:tab w:val="left" w:pos="360"/>
        </w:tabs>
      </w:pPr>
      <w:r>
        <w:tab/>
      </w:r>
    </w:p>
    <w:p w:rsidR="00606400" w:rsidP="00606400" w14:paraId="2A50F4BE" w14:textId="77777777">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P="00606400" w14:paraId="7EC9E241" w14:textId="77777777">
      <w:pPr>
        <w:tabs>
          <w:tab w:val="left" w:pos="360"/>
        </w:tabs>
        <w:ind w:left="360"/>
      </w:pPr>
    </w:p>
    <w:p w:rsidR="00325B9C" w:rsidP="00606400" w14:paraId="21F9D186" w14:textId="77777777">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rsidR="00B645ED" w:rsidP="00606400" w14:paraId="07E7C98A" w14:textId="77777777">
      <w:pPr>
        <w:tabs>
          <w:tab w:val="left" w:pos="360"/>
        </w:tabs>
        <w:ind w:left="360"/>
      </w:pPr>
    </w:p>
    <w:p w:rsidR="00B645ED" w:rsidP="00606400" w14:paraId="622B6E06" w14:textId="77777777">
      <w:pPr>
        <w:tabs>
          <w:tab w:val="left" w:pos="360"/>
        </w:tabs>
        <w:ind w:left="360"/>
      </w:pPr>
      <w:r>
        <w:t>3.</w:t>
      </w:r>
      <w:r>
        <w:tab/>
        <w:t>initiatives to advance private and public efforts to improve health care quality.</w:t>
      </w:r>
    </w:p>
    <w:p w:rsidR="00B645ED" w:rsidP="00B645ED" w14:paraId="3728D38B" w14:textId="77777777">
      <w:pPr>
        <w:tabs>
          <w:tab w:val="left" w:pos="360"/>
        </w:tabs>
      </w:pPr>
    </w:p>
    <w:p w:rsidR="008450C0" w:rsidP="00B645ED" w14:paraId="34483C89" w14:textId="77777777">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8450C0" w:rsidP="00B645ED" w14:paraId="524720B8" w14:textId="77777777">
      <w:pPr>
        <w:tabs>
          <w:tab w:val="left" w:pos="360"/>
        </w:tabs>
      </w:pPr>
    </w:p>
    <w:p w:rsidR="00FA6180" w:rsidRPr="00350129" w:rsidP="00B645ED" w14:paraId="0DBF2197" w14:textId="77777777">
      <w:pPr>
        <w:tabs>
          <w:tab w:val="left" w:pos="360"/>
        </w:tabs>
        <w:rPr>
          <w:b/>
          <w:bCs/>
        </w:rPr>
      </w:pPr>
      <w:r w:rsidRPr="00350129">
        <w:rPr>
          <w:b/>
          <w:bCs/>
        </w:rPr>
        <w:t>Summary of t</w:t>
      </w:r>
      <w:r w:rsidRPr="00350129">
        <w:rPr>
          <w:b/>
          <w:bCs/>
        </w:rPr>
        <w:t xml:space="preserve">his Information </w:t>
      </w:r>
      <w:r w:rsidRPr="00350129">
        <w:rPr>
          <w:b/>
          <w:bCs/>
        </w:rPr>
        <w:t>C</w:t>
      </w:r>
      <w:r w:rsidRPr="00350129">
        <w:rPr>
          <w:b/>
          <w:bCs/>
        </w:rPr>
        <w:t xml:space="preserve">ollection </w:t>
      </w:r>
      <w:r w:rsidRPr="00350129">
        <w:rPr>
          <w:b/>
          <w:bCs/>
        </w:rPr>
        <w:t>R</w:t>
      </w:r>
      <w:r w:rsidRPr="00350129">
        <w:rPr>
          <w:b/>
          <w:bCs/>
        </w:rPr>
        <w:t>equest (ICR</w:t>
      </w:r>
      <w:r w:rsidRPr="00350129" w:rsidR="00605649">
        <w:rPr>
          <w:b/>
          <w:bCs/>
        </w:rPr>
        <w:t>)</w:t>
      </w:r>
      <w:r w:rsidRPr="00350129">
        <w:rPr>
          <w:b/>
          <w:bCs/>
        </w:rPr>
        <w:t>:</w:t>
      </w:r>
    </w:p>
    <w:p w:rsidR="003A6983" w:rsidRPr="00E276E8" w:rsidP="003A6983" w14:paraId="3D811CC6" w14:textId="2319285C">
      <w:pPr>
        <w:tabs>
          <w:tab w:val="left" w:pos="360"/>
        </w:tabs>
      </w:pPr>
      <w:r>
        <w:t xml:space="preserve">This Information Collection Request (ICR) is for a revision to the Medical Expenditure Panel Survey – Household Component (MEPS-HC). These changes will be fielded in the Fall of 2026 and include making minor changes to questions in both the Core MEPS Interview and the </w:t>
      </w:r>
      <w:r w:rsidRPr="008B65E7">
        <w:t>Preventive Care</w:t>
      </w:r>
      <w:r>
        <w:t xml:space="preserve"> </w:t>
      </w:r>
      <w:r w:rsidRPr="005226E0">
        <w:t xml:space="preserve">Self-Administered Questionnaire </w:t>
      </w:r>
      <w:r>
        <w:t xml:space="preserve">(PSAQ) and removing the Burdens and Economic Impacts of Medical Care SAQ (ESAQ) and the Diabetes Care Survey (DCS). These changes are discussed in </w:t>
      </w:r>
      <w:r w:rsidR="00E355D5">
        <w:t>detail</w:t>
      </w:r>
      <w:r>
        <w:t xml:space="preserve"> starting on page </w:t>
      </w:r>
      <w:r w:rsidR="00CE6BC9">
        <w:t>8</w:t>
      </w:r>
      <w:r>
        <w:t>.</w:t>
      </w:r>
      <w:bookmarkStart w:id="5" w:name="_Hlk162955961"/>
      <w:r>
        <w:t xml:space="preserve"> </w:t>
      </w:r>
      <w:r w:rsidRPr="00E276E8">
        <w:t xml:space="preserve">The OMB Control Number for the MEPS-HC is 0935-0118 and the expiration date is </w:t>
      </w:r>
      <w:r>
        <w:t>9</w:t>
      </w:r>
      <w:r w:rsidRPr="00E276E8" w:rsidR="00342410">
        <w:t>/30/202</w:t>
      </w:r>
      <w:r>
        <w:t>6</w:t>
      </w:r>
      <w:r w:rsidRPr="00E276E8" w:rsidR="00342410">
        <w:t>. AHRQ requests a new expiration date, three years from approval of this ICR.</w:t>
      </w:r>
    </w:p>
    <w:p w:rsidR="00014647" w:rsidRPr="00014647" w:rsidP="00014647" w14:paraId="1D399B98" w14:textId="77777777">
      <w:pPr>
        <w:tabs>
          <w:tab w:val="left" w:pos="360"/>
        </w:tabs>
        <w:rPr>
          <w:i/>
          <w:iCs/>
        </w:rPr>
      </w:pPr>
    </w:p>
    <w:bookmarkEnd w:id="5"/>
    <w:p w:rsidR="00896FB5" w:rsidRPr="00896FB5" w:rsidP="00B645ED" w14:paraId="59F021E9" w14:textId="77777777">
      <w:pPr>
        <w:tabs>
          <w:tab w:val="left" w:pos="360"/>
        </w:tabs>
        <w:rPr>
          <w:iCs/>
        </w:rPr>
      </w:pPr>
      <w:r>
        <w:rPr>
          <w:iCs/>
        </w:rPr>
        <w:t>Project overview:</w:t>
      </w:r>
    </w:p>
    <w:p w:rsidR="00B77169" w:rsidP="00B645ED" w14:paraId="3AB96F40" w14:textId="5EE769A6">
      <w:pPr>
        <w:tabs>
          <w:tab w:val="left" w:pos="360"/>
        </w:tabs>
      </w:pPr>
      <w:bookmarkStart w:id="6" w:name="_Hlk216436272"/>
      <w:r w:rsidRPr="00B77169">
        <w:t>The Medical Expenditure Panel Survey, which began in 1996, is a set of large-scale surveys of families and individuals, their medical providers (doctors, hospitals, pharmacies, etc.), and employers across the United States. MEPS collects data on the specific health services that Americans use, how frequently they use them, the cost of these services, and how they are paid for, as well as data on the cost, scope, and breadth of health insurance held by and available to U.S. workers.</w:t>
      </w:r>
      <w:r>
        <w:t xml:space="preserve"> </w:t>
      </w:r>
      <w:r w:rsidRPr="00B77169">
        <w:t>The Medical Expenditure Panel Survey (MEPS) data have become the linchpin for economic health care use and expenditures models. These data are vital in estimating the impact of changes in financing, coverage, and reimbursement policy on the U.S. healthcare system.  No other survey provides the foundation for estimating the impact of changes in national policy on various segments of the US population.  These data continue to be essential for evaluating healthcare reform policies and analyzing the effect of tax code changes on healthcare expenditures and tax revenue.</w:t>
      </w:r>
    </w:p>
    <w:p w:rsidR="008C34F8" w:rsidP="00B645ED" w14:paraId="30AA0562" w14:textId="77777777">
      <w:pPr>
        <w:tabs>
          <w:tab w:val="left" w:pos="360"/>
        </w:tabs>
      </w:pPr>
    </w:p>
    <w:p w:rsidR="008C34F8" w:rsidP="008C34F8" w14:paraId="1A943149" w14:textId="77777777">
      <w:pPr>
        <w:tabs>
          <w:tab w:val="left" w:pos="360"/>
        </w:tabs>
      </w:pPr>
      <w:r w:rsidRPr="008C34F8">
        <w:t>The MEPS program is driven by the following statutory language:</w:t>
      </w:r>
    </w:p>
    <w:p w:rsidR="008C34F8" w:rsidRPr="008C34F8" w:rsidP="008C34F8" w14:paraId="2BAF94ED" w14:textId="77777777">
      <w:pPr>
        <w:tabs>
          <w:tab w:val="left" w:pos="360"/>
        </w:tabs>
      </w:pPr>
    </w:p>
    <w:p w:rsidR="008C34F8" w:rsidRPr="008C34F8" w:rsidP="008C34F8" w14:paraId="423377D0" w14:textId="77777777">
      <w:pPr>
        <w:tabs>
          <w:tab w:val="left" w:pos="360"/>
        </w:tabs>
        <w:rPr>
          <w:b/>
          <w:bCs/>
        </w:rPr>
      </w:pPr>
      <w:r w:rsidRPr="008C34F8">
        <w:rPr>
          <w:b/>
          <w:bCs/>
        </w:rPr>
        <w:t>Title 42§299b–2. Information on quality and cost of care</w:t>
      </w:r>
    </w:p>
    <w:p w:rsidR="008C34F8" w:rsidRPr="008C34F8" w:rsidP="008C34F8" w14:paraId="4B884C8A" w14:textId="77777777">
      <w:pPr>
        <w:tabs>
          <w:tab w:val="left" w:pos="360"/>
        </w:tabs>
        <w:rPr>
          <w:b/>
          <w:bCs/>
        </w:rPr>
      </w:pPr>
      <w:r w:rsidRPr="008C34F8">
        <w:rPr>
          <w:b/>
          <w:bCs/>
        </w:rPr>
        <w:t>(a) In general</w:t>
      </w:r>
    </w:p>
    <w:p w:rsidR="008C34F8" w:rsidRPr="008C34F8" w:rsidP="008C34F8" w14:paraId="46ED2C24" w14:textId="77777777">
      <w:pPr>
        <w:tabs>
          <w:tab w:val="left" w:pos="360"/>
        </w:tabs>
      </w:pPr>
      <w:r w:rsidRPr="008C34F8">
        <w:t>The Director shall—</w:t>
      </w:r>
    </w:p>
    <w:p w:rsidR="008C34F8" w:rsidRPr="008C34F8" w:rsidP="008C34F8" w14:paraId="13C32B09" w14:textId="77777777">
      <w:pPr>
        <w:tabs>
          <w:tab w:val="left" w:pos="360"/>
        </w:tabs>
      </w:pPr>
      <w:r w:rsidRPr="008C34F8">
        <w:t>conduct a survey to collect data on a nationally representative sample of the population on the cost, use and, for fiscal year 2001 and subsequent fiscal years, quality of health care, including the types of health care services Americans use, their access to health care services, frequency of use, how much is paid for the services used, the source of those payments, the types and costs of private health insurance, access, satisfaction, and quality of care for the general population including rural residents and also for populations identified in section 299(c) of this title; and</w:t>
      </w:r>
    </w:p>
    <w:p w:rsidR="008C34F8" w:rsidP="00B645ED" w14:paraId="7AA6BC77" w14:textId="77777777">
      <w:pPr>
        <w:tabs>
          <w:tab w:val="left" w:pos="360"/>
        </w:tabs>
      </w:pPr>
    </w:p>
    <w:p w:rsidR="00527BBD" w:rsidP="006014DB" w14:paraId="6E4326A2" w14:textId="2C6D73B8">
      <w:bookmarkStart w:id="7" w:name="_Hlk216436314"/>
      <w:bookmarkStart w:id="8" w:name="_Hlk216436300"/>
      <w:bookmarkEnd w:id="6"/>
      <w:r>
        <w:t>Consistent with this language, the main goals of the MEPS program are</w:t>
      </w:r>
      <w:r w:rsidR="00232282">
        <w:t xml:space="preserve">: </w:t>
      </w:r>
      <w:bookmarkEnd w:id="7"/>
    </w:p>
    <w:p w:rsidR="0071225B" w:rsidP="0071225B" w14:paraId="5D999289" w14:textId="571D9A07">
      <w:pPr>
        <w:tabs>
          <w:tab w:val="left" w:pos="360"/>
        </w:tabs>
        <w:ind w:left="360" w:hanging="360"/>
      </w:pPr>
      <w:bookmarkStart w:id="9" w:name="_Hlk216436318"/>
      <w:r>
        <w:t>1)</w:t>
      </w:r>
      <w:r>
        <w:tab/>
      </w:r>
      <w:r>
        <w:t>To produce nationally representative</w:t>
      </w:r>
      <w:r w:rsidR="003F4C19">
        <w:t xml:space="preserve"> data</w:t>
      </w:r>
      <w:r>
        <w:t xml:space="preserve"> estimates of health care use, expenditures, sources of payment, and health insurance coverage for the U.S. civilian noninstitutionalized population.</w:t>
      </w:r>
    </w:p>
    <w:p w:rsidR="00527BBD" w:rsidP="00527BBD" w14:paraId="761A382A" w14:textId="38BCF90F">
      <w:pPr>
        <w:tabs>
          <w:tab w:val="left" w:pos="360"/>
        </w:tabs>
        <w:ind w:left="360" w:hanging="360"/>
      </w:pPr>
      <w:r>
        <w:t>2)</w:t>
      </w:r>
      <w:r>
        <w:tab/>
        <w:t>To produce nationally representative</w:t>
      </w:r>
      <w:r w:rsidR="00D4350D">
        <w:t xml:space="preserve"> </w:t>
      </w:r>
      <w:r w:rsidR="00CB4504">
        <w:t xml:space="preserve">data </w:t>
      </w:r>
      <w:r>
        <w:t xml:space="preserve">estimates of respondents’ health status, </w:t>
      </w:r>
      <w:r w:rsidR="005A4693">
        <w:t>demographic and socio</w:t>
      </w:r>
      <w:r w:rsidR="0023391C">
        <w:t>-</w:t>
      </w:r>
      <w:r w:rsidR="005A4693">
        <w:t xml:space="preserve">economic characteristics, </w:t>
      </w:r>
      <w:r>
        <w:t xml:space="preserve">access to care, and </w:t>
      </w:r>
      <w:r w:rsidR="007D5810">
        <w:t xml:space="preserve">satisfaction </w:t>
      </w:r>
      <w:r>
        <w:t>with health care.</w:t>
      </w:r>
      <w:bookmarkEnd w:id="8"/>
      <w:bookmarkEnd w:id="9"/>
      <w:r>
        <w:tab/>
      </w:r>
    </w:p>
    <w:p w:rsidR="00232282" w:rsidP="00527BBD" w14:paraId="2E301F4D" w14:textId="77777777">
      <w:pPr>
        <w:tabs>
          <w:tab w:val="left" w:pos="360"/>
        </w:tabs>
        <w:ind w:left="360" w:hanging="360"/>
      </w:pPr>
    </w:p>
    <w:p w:rsidR="00A12E59" w:rsidRPr="00A12E59" w:rsidP="00A12E59" w14:paraId="697BA618" w14:textId="77777777">
      <w:pPr>
        <w:tabs>
          <w:tab w:val="left" w:pos="360"/>
        </w:tabs>
        <w:ind w:left="360" w:hanging="360"/>
      </w:pPr>
      <w:r w:rsidRPr="00A12E59">
        <w:t xml:space="preserve">The MEPS is designed to answer a very wide range of research questions.  These include: </w:t>
      </w:r>
    </w:p>
    <w:p w:rsidR="00A12E59" w:rsidRPr="00A12E59" w:rsidP="00A12E59" w14:paraId="479FDFA7" w14:textId="77777777">
      <w:pPr>
        <w:tabs>
          <w:tab w:val="left" w:pos="360"/>
        </w:tabs>
        <w:ind w:left="360" w:hanging="360"/>
      </w:pPr>
    </w:p>
    <w:p w:rsidR="00A12E59" w:rsidRPr="00A12E59" w:rsidP="00A12E59" w14:paraId="5B53E9F3" w14:textId="77777777">
      <w:pPr>
        <w:numPr>
          <w:ilvl w:val="0"/>
          <w:numId w:val="39"/>
        </w:numPr>
        <w:tabs>
          <w:tab w:val="left" w:pos="360"/>
        </w:tabs>
      </w:pPr>
      <w:r w:rsidRPr="00A12E59">
        <w:t xml:space="preserve">How do changes in federal and state health policies change health insurance coverage, health care use and expenditures, access to care, patient experiences and satisfaction with their care?  Specific policies studies include various Medicaid reforms, the SCHIP program, and state health insurance coverage mandates. </w:t>
      </w:r>
    </w:p>
    <w:p w:rsidR="00A12E59" w:rsidRPr="00A12E59" w:rsidP="00A12E59" w14:paraId="3D42F8C7" w14:textId="77777777">
      <w:pPr>
        <w:numPr>
          <w:ilvl w:val="0"/>
          <w:numId w:val="39"/>
        </w:numPr>
        <w:tabs>
          <w:tab w:val="left" w:pos="360"/>
        </w:tabs>
      </w:pPr>
      <w:r w:rsidRPr="00A12E59">
        <w:t xml:space="preserve">How have health care use and expenditures changed over time?  </w:t>
      </w:r>
    </w:p>
    <w:p w:rsidR="00A12E59" w:rsidRPr="00A12E59" w:rsidP="00A12E59" w14:paraId="4D4EBA8A" w14:textId="77777777">
      <w:pPr>
        <w:numPr>
          <w:ilvl w:val="0"/>
          <w:numId w:val="39"/>
        </w:numPr>
        <w:tabs>
          <w:tab w:val="left" w:pos="360"/>
        </w:tabs>
      </w:pPr>
      <w:r w:rsidRPr="00A12E59">
        <w:t>What chronic health conditions and other factors drive increases in health care expenditures?</w:t>
      </w:r>
    </w:p>
    <w:p w:rsidR="00A12E59" w:rsidRPr="00A12E59" w:rsidP="00A12E59" w14:paraId="60572E93" w14:textId="7BE3B263">
      <w:pPr>
        <w:numPr>
          <w:ilvl w:val="0"/>
          <w:numId w:val="39"/>
        </w:numPr>
        <w:tabs>
          <w:tab w:val="left" w:pos="360"/>
        </w:tabs>
      </w:pPr>
      <w:r w:rsidRPr="00A12E59">
        <w:t>How concentrated are health expenditures in the population and how are they distributed? What are the implications for high-deductible health plans, health savings accounts, and other innovations?</w:t>
      </w:r>
    </w:p>
    <w:p w:rsidR="00A12E59" w:rsidRPr="00A12E59" w:rsidP="00A12E59" w14:paraId="0BA2B391" w14:textId="77777777">
      <w:pPr>
        <w:numPr>
          <w:ilvl w:val="0"/>
          <w:numId w:val="39"/>
        </w:numPr>
        <w:tabs>
          <w:tab w:val="left" w:pos="360"/>
        </w:tabs>
      </w:pPr>
      <w:r w:rsidRPr="00A12E59">
        <w:t>What is the treated prevalence of childhood conditions (e.g., autism, ADHD, and asthma) and how do these conditions affect health care use and spending?</w:t>
      </w:r>
    </w:p>
    <w:p w:rsidR="00A12E59" w:rsidRPr="00A12E59" w:rsidP="00A12E59" w14:paraId="7BCF864F" w14:textId="77777777">
      <w:pPr>
        <w:numPr>
          <w:ilvl w:val="0"/>
          <w:numId w:val="39"/>
        </w:numPr>
        <w:tabs>
          <w:tab w:val="left" w:pos="360"/>
        </w:tabs>
      </w:pPr>
      <w:r w:rsidRPr="00A12E59">
        <w:t xml:space="preserve">Who uses telehealth and for which types of care?  </w:t>
      </w:r>
    </w:p>
    <w:p w:rsidR="00A12E59" w:rsidRPr="00A12E59" w:rsidP="00A12E59" w14:paraId="63606D39" w14:textId="77777777">
      <w:pPr>
        <w:numPr>
          <w:ilvl w:val="0"/>
          <w:numId w:val="39"/>
        </w:numPr>
        <w:tabs>
          <w:tab w:val="left" w:pos="360"/>
        </w:tabs>
      </w:pPr>
      <w:r w:rsidRPr="00A12E59">
        <w:t>What is the magnitude of the implicit tax subsidy for employer-sponsored health insurance coverage?</w:t>
      </w:r>
    </w:p>
    <w:p w:rsidR="00A12E59" w:rsidRPr="00A12E59" w:rsidP="00A12E59" w14:paraId="054B0C89" w14:textId="77777777">
      <w:pPr>
        <w:numPr>
          <w:ilvl w:val="0"/>
          <w:numId w:val="39"/>
        </w:numPr>
        <w:tabs>
          <w:tab w:val="left" w:pos="360"/>
        </w:tabs>
      </w:pPr>
      <w:r w:rsidRPr="00A12E59">
        <w:t>What is the distribution of out-of-pocket health spending in the population and who has high out-of-pocket burdens?</w:t>
      </w:r>
    </w:p>
    <w:p w:rsidR="00A12E59" w:rsidRPr="00A12E59" w:rsidP="00A12E59" w14:paraId="2B2C9BAB" w14:textId="77777777">
      <w:pPr>
        <w:numPr>
          <w:ilvl w:val="0"/>
          <w:numId w:val="39"/>
        </w:numPr>
        <w:tabs>
          <w:tab w:val="left" w:pos="360"/>
        </w:tabs>
      </w:pPr>
      <w:r w:rsidRPr="00A12E59">
        <w:t>What medications drive changes in prescription drug spending and who pays for these drugs?</w:t>
      </w:r>
    </w:p>
    <w:p w:rsidR="00A12E59" w:rsidRPr="00A12E59" w:rsidP="00A12E59" w14:paraId="695CB5ED" w14:textId="7F3AFFCD">
      <w:pPr>
        <w:numPr>
          <w:ilvl w:val="0"/>
          <w:numId w:val="39"/>
        </w:numPr>
        <w:tabs>
          <w:tab w:val="left" w:pos="360"/>
        </w:tabs>
      </w:pPr>
      <w:r w:rsidRPr="00A12E59">
        <w:t>What is the extent of potentially inappropriate medication prescribing? Which medications (e.g. opioids, antibiotics)? Which populations are at risk?</w:t>
      </w:r>
    </w:p>
    <w:p w:rsidR="00A12E59" w:rsidRPr="00A12E59" w:rsidP="00A12E59" w14:paraId="24BC37E4" w14:textId="77777777">
      <w:pPr>
        <w:numPr>
          <w:ilvl w:val="0"/>
          <w:numId w:val="39"/>
        </w:numPr>
        <w:tabs>
          <w:tab w:val="left" w:pos="360"/>
        </w:tabs>
      </w:pPr>
      <w:r w:rsidRPr="00A12E59">
        <w:t xml:space="preserve">How many Americans switch health insurance coverage during the year (including spells of uninsurance) and what are the implications for health care use and spending? </w:t>
      </w:r>
    </w:p>
    <w:p w:rsidR="00A12E59" w:rsidRPr="00A12E59" w:rsidP="00A12E59" w14:paraId="63B8E3CB" w14:textId="77777777">
      <w:pPr>
        <w:numPr>
          <w:ilvl w:val="0"/>
          <w:numId w:val="39"/>
        </w:numPr>
        <w:tabs>
          <w:tab w:val="left" w:pos="360"/>
        </w:tabs>
      </w:pPr>
      <w:r w:rsidRPr="00A12E59">
        <w:t>What are patient satisfaction and experiences with their health care and how do they vary across the American population (Adult Self-Administered Questionnaire)?</w:t>
      </w:r>
    </w:p>
    <w:p w:rsidR="00A12E59" w:rsidRPr="00A12E59" w:rsidP="00A12E59" w14:paraId="4707C4E7" w14:textId="77777777">
      <w:pPr>
        <w:numPr>
          <w:ilvl w:val="0"/>
          <w:numId w:val="39"/>
        </w:numPr>
        <w:tabs>
          <w:tab w:val="left" w:pos="360"/>
        </w:tabs>
      </w:pPr>
      <w:r w:rsidRPr="00A12E59">
        <w:t>What proportion of the population receives recommended preventive services, how is that distributed, and how do health policy changes impact preventive care use? (Adult Preventive Care Self-Administered Questionnaire)?</w:t>
      </w:r>
    </w:p>
    <w:p w:rsidR="00A12E59" w:rsidRPr="00A12E59" w:rsidP="00A12E59" w14:paraId="1019A9D0" w14:textId="77777777">
      <w:pPr>
        <w:numPr>
          <w:ilvl w:val="0"/>
          <w:numId w:val="39"/>
        </w:numPr>
        <w:tabs>
          <w:tab w:val="left" w:pos="360"/>
        </w:tabs>
      </w:pPr>
      <w:r w:rsidRPr="00A12E59">
        <w:t>What is the relationship between diet, exercise, and other health behaviors and health outcomes, healthcare use, and healthcare expenditures? (2026 Adult Preventive Care Self-Administered Questionnaire)?</w:t>
      </w:r>
    </w:p>
    <w:p w:rsidR="00232282" w:rsidRPr="00527BBD" w:rsidP="00527BBD" w14:paraId="4E402C35" w14:textId="77777777">
      <w:pPr>
        <w:tabs>
          <w:tab w:val="left" w:pos="360"/>
        </w:tabs>
        <w:ind w:left="360" w:hanging="360"/>
      </w:pPr>
    </w:p>
    <w:p w:rsidR="00527BBD" w:rsidP="006014DB" w14:paraId="2A594CD3" w14:textId="1F266FF3">
      <w:r>
        <w:t>To achieve the goals of this project the following data collections will be implemented</w:t>
      </w:r>
      <w:r w:rsidR="00982527">
        <w:t xml:space="preserve"> and </w:t>
      </w:r>
      <w:r w:rsidRPr="00982527" w:rsidR="00982527">
        <w:t>are currently approved by OMB</w:t>
      </w:r>
      <w:r>
        <w:t>:</w:t>
      </w:r>
    </w:p>
    <w:p w:rsidR="00982527" w:rsidP="006014DB" w14:paraId="56EC1424" w14:textId="77777777"/>
    <w:p w:rsidR="00982527" w:rsidP="00982527" w14:paraId="4CC77A1B" w14:textId="16C3DEC4">
      <w:r w:rsidRPr="00847CFD">
        <w:rPr>
          <w:b/>
          <w:bCs/>
        </w:rPr>
        <w:t>Household Component</w:t>
      </w:r>
      <w:r>
        <w:t xml:space="preserve"> – </w:t>
      </w:r>
      <w:r w:rsidRPr="00422B48" w:rsidR="00422B48">
        <w:t>The MEPS</w:t>
      </w:r>
      <w:r w:rsidR="00422B48">
        <w:t xml:space="preserve">-HC </w:t>
      </w:r>
      <w:r w:rsidRPr="00422B48" w:rsidR="00422B48">
        <w:t>collects data from a sample of families and individuals in communities across the United States, drawn from a nationally representative subsample of households that participated in the prior year's National Health Interview Survey (conducted by the National Center for Health Statistics).</w:t>
      </w:r>
      <w:r w:rsidR="00422B48">
        <w:t xml:space="preserve"> </w:t>
      </w:r>
      <w:r w:rsidRPr="00422B48" w:rsidR="00422B48">
        <w:t xml:space="preserve">Each year, the MEPS selects a new household sample, and those individuals are followed for two years.  Therefore, the entire annual MEPS household sample typically consists of two overlapping panels. </w:t>
      </w:r>
      <w:r>
        <w:t>The MEPS-HC consists of a core interview administered to all sampled households, supplemental interviews administered to selected individuals, permission forms and a validation interview:</w:t>
      </w:r>
    </w:p>
    <w:p w:rsidR="00982527" w:rsidRPr="00C30608" w:rsidP="00982527" w14:paraId="1BA4419E" w14:textId="77777777"/>
    <w:p w:rsidR="00982527" w:rsidP="00982527" w14:paraId="0775FBC8" w14:textId="77777777">
      <w:pPr>
        <w:numPr>
          <w:ilvl w:val="0"/>
          <w:numId w:val="27"/>
        </w:numPr>
        <w:tabs>
          <w:tab w:val="left" w:pos="360"/>
        </w:tabs>
      </w:pPr>
      <w:r w:rsidRPr="00847CFD">
        <w:rPr>
          <w:b/>
          <w:bCs/>
        </w:rPr>
        <w:t>Core MEPS</w:t>
      </w:r>
      <w:r>
        <w:rPr>
          <w:b/>
          <w:bCs/>
        </w:rPr>
        <w:t>-HC</w:t>
      </w:r>
      <w:r w:rsidRPr="00847CFD">
        <w:rPr>
          <w:b/>
          <w:bCs/>
        </w:rPr>
        <w:t xml:space="preserve"> Interview</w:t>
      </w:r>
      <w:r>
        <w:t xml:space="preserve"> – All sampled households are administered the Core MEPS interview which collects health, health insurance, and employment data on all household members. </w:t>
      </w:r>
      <w:r w:rsidRPr="00C30608">
        <w:t xml:space="preserve">All data for a sampled household are </w:t>
      </w:r>
      <w:r>
        <w:t xml:space="preserve">typically </w:t>
      </w:r>
      <w:r w:rsidRPr="00C30608">
        <w:t>reported by a single household respondent.</w:t>
      </w:r>
      <w:r>
        <w:t xml:space="preserve"> During the interview individual household members are identified to complete a self-administered questionnaire. The interview also determines which permission forms need to be signed. </w:t>
      </w:r>
      <w:r w:rsidRPr="00244D4B">
        <w:t>The MEPS-HC Core Interview questions are included in Attachment</w:t>
      </w:r>
      <w:r>
        <w:t>s</w:t>
      </w:r>
      <w:r w:rsidRPr="00244D4B">
        <w:t xml:space="preserve"> 1</w:t>
      </w:r>
      <w:r>
        <w:t xml:space="preserve"> to 47 and interviewer showcards used during the interview are in Attachment 48.</w:t>
      </w:r>
    </w:p>
    <w:p w:rsidR="00982527" w:rsidP="00982527" w14:paraId="5448CFAB" w14:textId="77777777">
      <w:pPr>
        <w:pStyle w:val="ListParagraph"/>
        <w:ind w:left="0"/>
      </w:pPr>
    </w:p>
    <w:p w:rsidR="00982527" w:rsidP="00982527" w14:paraId="0853ACD0" w14:textId="77777777">
      <w:pPr>
        <w:numPr>
          <w:ilvl w:val="0"/>
          <w:numId w:val="27"/>
        </w:numPr>
        <w:tabs>
          <w:tab w:val="left" w:pos="360"/>
        </w:tabs>
        <w:spacing w:after="240"/>
      </w:pPr>
      <w:bookmarkStart w:id="10" w:name="_Hlk168561838"/>
      <w:r w:rsidRPr="00847CFD">
        <w:rPr>
          <w:b/>
          <w:bCs/>
        </w:rPr>
        <w:t>Adult Self-Administered Questionnaire (Adult SAQ)</w:t>
      </w:r>
      <w:r w:rsidRPr="00847CFD">
        <w:t> </w:t>
      </w:r>
      <w:bookmarkEnd w:id="10"/>
      <w:r>
        <w:t>– Completed by all adults 18 and older in the household in rounds 2 and 4 in odd years. C</w:t>
      </w:r>
      <w:r w:rsidRPr="003B20AD">
        <w:t>ollects a variety of health status and health care quality measures of adults age 18 and older. The SAQ contains three measures of health status: the Veteran's RAND 12-item (VR-12)</w:t>
      </w:r>
      <w:r>
        <w:t>,</w:t>
      </w:r>
      <w:r w:rsidRPr="003B20AD">
        <w:t xml:space="preserve"> the Kessler Index (K6) of non-specific psychological distress, and the Patient Health Questionnaire (PHQ-2). The health care quality measures in the SAQ were taken from the health plan version of CAHPS®, an AHRQ-sponsored family of survey instruments designed to measure quality of care from the consumer's perspective.</w:t>
      </w:r>
      <w:r>
        <w:t xml:space="preserve"> </w:t>
      </w:r>
      <w:bookmarkStart w:id="11" w:name="_Hlk135218264"/>
      <w:r>
        <w:t xml:space="preserve">The Adult SAQ is </w:t>
      </w:r>
      <w:bookmarkEnd w:id="11"/>
      <w:r>
        <w:t>in Attachment 49.</w:t>
      </w:r>
    </w:p>
    <w:p w:rsidR="00982527" w:rsidP="00982527" w14:paraId="0D196B4D" w14:textId="77777777">
      <w:pPr>
        <w:numPr>
          <w:ilvl w:val="0"/>
          <w:numId w:val="27"/>
        </w:numPr>
        <w:tabs>
          <w:tab w:val="left" w:pos="360"/>
        </w:tabs>
      </w:pPr>
      <w:bookmarkStart w:id="12" w:name="_Hlk168562242"/>
      <w:r w:rsidRPr="00847CFD">
        <w:rPr>
          <w:b/>
          <w:bCs/>
        </w:rPr>
        <w:t>Preventive Care Self-Administered Questionnaire (PSAQ)</w:t>
      </w:r>
      <w:r>
        <w:rPr>
          <w:i/>
          <w:iCs/>
        </w:rPr>
        <w:t xml:space="preserve"> </w:t>
      </w:r>
      <w:bookmarkEnd w:id="12"/>
      <w:r>
        <w:rPr>
          <w:i/>
          <w:iCs/>
        </w:rPr>
        <w:t xml:space="preserve">- </w:t>
      </w:r>
      <w:r>
        <w:t>D</w:t>
      </w:r>
      <w:r w:rsidRPr="00ED29CD">
        <w:t xml:space="preserve">esigned to collect a variety of person-level preventive health care data for adults. It is distributed to all eligible adults 18 years and older </w:t>
      </w:r>
      <w:r>
        <w:t>in rounds 2 and 4 in even years</w:t>
      </w:r>
      <w:r w:rsidRPr="00ED29CD">
        <w:t xml:space="preserve">. </w:t>
      </w:r>
      <w:r>
        <w:t>In addition to questions about preventive care, t</w:t>
      </w:r>
      <w:r w:rsidRPr="00ED29CD">
        <w:t xml:space="preserve">he PSAQ </w:t>
      </w:r>
      <w:r>
        <w:t xml:space="preserve">also includes </w:t>
      </w:r>
      <w:r w:rsidRPr="00ED29CD">
        <w:t xml:space="preserve">supplemental items on alcohol use, </w:t>
      </w:r>
      <w:r>
        <w:t>tobacco use, sleep, diet, and exercise</w:t>
      </w:r>
      <w:r w:rsidRPr="00ED29CD">
        <w:t>.</w:t>
      </w:r>
      <w:r>
        <w:t xml:space="preserve"> The PSAQ is in Attachment 50.</w:t>
      </w:r>
    </w:p>
    <w:p w:rsidR="00982527" w:rsidP="00982527" w14:paraId="2336243E" w14:textId="77777777">
      <w:pPr>
        <w:pStyle w:val="ListParagraph"/>
      </w:pPr>
    </w:p>
    <w:p w:rsidR="00982527" w:rsidP="00982527" w14:paraId="6F192BFF" w14:textId="6BC3CA13">
      <w:pPr>
        <w:numPr>
          <w:ilvl w:val="0"/>
          <w:numId w:val="27"/>
        </w:numPr>
        <w:tabs>
          <w:tab w:val="left" w:pos="360"/>
        </w:tabs>
      </w:pPr>
      <w:bookmarkStart w:id="13" w:name="_Hlk170376530"/>
      <w:r w:rsidRPr="00F23AEA">
        <w:rPr>
          <w:b/>
          <w:bCs/>
        </w:rPr>
        <w:t xml:space="preserve">Authorization </w:t>
      </w:r>
      <w:r>
        <w:rPr>
          <w:b/>
          <w:bCs/>
        </w:rPr>
        <w:t>F</w:t>
      </w:r>
      <w:r w:rsidRPr="00F23AEA">
        <w:rPr>
          <w:b/>
          <w:bCs/>
        </w:rPr>
        <w:t>orms for the MEPS-MPC Provider and Pharmacy Survey</w:t>
      </w:r>
      <w:bookmarkEnd w:id="13"/>
      <w:r>
        <w:rPr>
          <w:bCs/>
        </w:rPr>
        <w:t xml:space="preserve"> </w:t>
      </w:r>
      <w:r w:rsidR="00E35965">
        <w:rPr>
          <w:bCs/>
        </w:rPr>
        <w:t>–</w:t>
      </w:r>
      <w:r w:rsidRPr="00F23AEA">
        <w:t xml:space="preserve"> </w:t>
      </w:r>
      <w:r w:rsidR="00E35965">
        <w:t xml:space="preserve">Household members provide </w:t>
      </w:r>
      <w:r w:rsidRPr="00F23AEA">
        <w:rPr>
          <w:bCs/>
        </w:rPr>
        <w:t>authorization</w:t>
      </w:r>
      <w:r w:rsidRPr="00F23AEA">
        <w:t xml:space="preserve"> to obtain supplemental information from their medical providers (hospitals, physicians, home health agencies and institutions) and pharmacies.</w:t>
      </w:r>
      <w:r>
        <w:t xml:space="preserve"> The forms are in Attachments 51 and 52.</w:t>
      </w:r>
    </w:p>
    <w:p w:rsidR="00982527" w:rsidP="00982527" w14:paraId="33B9CECC" w14:textId="77777777">
      <w:pPr>
        <w:pStyle w:val="ListParagraph"/>
      </w:pPr>
    </w:p>
    <w:p w:rsidR="00982527" w:rsidRPr="00DD65B5" w:rsidP="00982527" w14:paraId="7A3F3701" w14:textId="360787BF">
      <w:pPr>
        <w:pStyle w:val="ListParagraph"/>
        <w:numPr>
          <w:ilvl w:val="0"/>
          <w:numId w:val="27"/>
        </w:numPr>
        <w:rPr>
          <w:sz w:val="22"/>
          <w:szCs w:val="22"/>
        </w:rPr>
      </w:pPr>
      <w:bookmarkStart w:id="14" w:name="_Hlk170716922"/>
      <w:r w:rsidRPr="00DD65B5">
        <w:rPr>
          <w:b/>
          <w:bCs/>
        </w:rPr>
        <w:t>MEPS Validation Interview</w:t>
      </w:r>
      <w:r>
        <w:t xml:space="preserve"> - Each interviewer is required to have at least 15 percent of his/her caseload validated to ensure that Core questionnaire content was asked appropriately and procedures followed, for example the use of show cards. In excess of this requirement, 100% of MEPS completes undergo validation efforts. Over 50% of cases are validated through the use of </w:t>
      </w:r>
      <w:r>
        <w:t>Westat’s</w:t>
      </w:r>
      <w:r>
        <w:t xml:space="preserve"> Eagle system which tracks GPS coordinates, matching them to respondent addresses and interview times. Computer Assisted Recorded Interview (CARI) review accounts for roughly 40% of MEPS case validation where EAGLE is not appropriate (</w:t>
      </w:r>
      <w:r w:rsidRPr="006312CE" w:rsidR="00C44FA8">
        <w:t xml:space="preserve">computer assisted video interviewing </w:t>
      </w:r>
      <w:r w:rsidR="00C44FA8">
        <w:t>(</w:t>
      </w:r>
      <w:r>
        <w:t>CAVI</w:t>
      </w:r>
      <w:r w:rsidR="00C44FA8">
        <w:t>)</w:t>
      </w:r>
      <w:r>
        <w:t xml:space="preserve"> interviews) or is not valid or available. The audio and screen capture from numerous questions is evaluated to ensure an interviewer and a respondent</w:t>
      </w:r>
      <w:r w:rsidR="00B21463">
        <w:t xml:space="preserve"> follow</w:t>
      </w:r>
      <w:r w:rsidR="00D039FE">
        <w:t xml:space="preserve"> </w:t>
      </w:r>
      <w:r>
        <w:t xml:space="preserve">proper question administration and show card usage. For cases that cannot be validated using CARI or GPS, phone validations are conduced to ensure proper procedures and administration. Mail validations are used as a final measure when other types of validation have not resulted in a validated case. </w:t>
      </w:r>
    </w:p>
    <w:p w:rsidR="00982527" w:rsidP="00982527" w14:paraId="662E2BD4" w14:textId="77777777">
      <w:pPr>
        <w:pStyle w:val="ListParagraph"/>
      </w:pPr>
    </w:p>
    <w:p w:rsidR="00982527" w:rsidP="00982527" w14:paraId="145457A2" w14:textId="77777777">
      <w:pPr>
        <w:pStyle w:val="ListParagraph"/>
      </w:pPr>
      <w:r>
        <w:t>Home office and field management may also request that other cases be validated using any of the aforementioned methods throughout the field period. When an interviewer fails a validation all their work is subject to 100 percent telephone validation. Additionally, any case completed in less than 30 minutes is telephone validated.</w:t>
      </w:r>
      <w:bookmarkEnd w:id="14"/>
      <w:r>
        <w:t xml:space="preserve"> </w:t>
      </w:r>
      <w:r w:rsidRPr="00DD65B5">
        <w:rPr>
          <w:bCs/>
        </w:rPr>
        <w:t>See Attachment</w:t>
      </w:r>
      <w:r>
        <w:rPr>
          <w:bCs/>
        </w:rPr>
        <w:t>s</w:t>
      </w:r>
      <w:r w:rsidRPr="00DD65B5">
        <w:rPr>
          <w:bCs/>
        </w:rPr>
        <w:t xml:space="preserve"> 5</w:t>
      </w:r>
      <w:r>
        <w:rPr>
          <w:bCs/>
        </w:rPr>
        <w:t>3a and 53b</w:t>
      </w:r>
      <w:r w:rsidRPr="00DD65B5">
        <w:rPr>
          <w:bCs/>
        </w:rPr>
        <w:t>.</w:t>
      </w:r>
    </w:p>
    <w:p w:rsidR="00982527" w:rsidP="00982527" w14:paraId="02B29FBF" w14:textId="77777777">
      <w:pPr>
        <w:tabs>
          <w:tab w:val="left" w:pos="360"/>
        </w:tabs>
      </w:pPr>
    </w:p>
    <w:p w:rsidR="00982527" w:rsidP="00982527" w14:paraId="19A71737" w14:textId="42F216D9">
      <w:r w:rsidRPr="00847CFD">
        <w:rPr>
          <w:b/>
          <w:bCs/>
        </w:rPr>
        <w:t>Medical Provider Component</w:t>
      </w:r>
      <w:r>
        <w:rPr>
          <w:b/>
          <w:bCs/>
          <w:i/>
          <w:iCs/>
        </w:rPr>
        <w:t xml:space="preserve"> -</w:t>
      </w:r>
      <w:r>
        <w:t xml:space="preserve"> </w:t>
      </w:r>
      <w:r w:rsidRPr="00E35965" w:rsidR="00E35965">
        <w:t>The MEPS</w:t>
      </w:r>
      <w:r w:rsidR="00E35965">
        <w:t xml:space="preserve">-MPC </w:t>
      </w:r>
      <w:r w:rsidRPr="00E35965" w:rsidR="00E35965">
        <w:t xml:space="preserve">is a survey of medical providers, including office-based doctors, hospitals, </w:t>
      </w:r>
      <w:r w:rsidR="00C54B04">
        <w:t xml:space="preserve">home health care providers, </w:t>
      </w:r>
      <w:r w:rsidRPr="00E35965" w:rsidR="00E35965">
        <w:t>and pharmacies, that collects detailed data on the expenditures and sources of payment for the medical services provided to individuals sampled for the MEPS.  This component of MEPS is necessary because households often cannot accurately report payments made on their behalf for their medical care.</w:t>
      </w:r>
      <w:r w:rsidR="00E35965">
        <w:t xml:space="preserve"> </w:t>
      </w:r>
      <w:r w:rsidRPr="008E4339">
        <w:t>Upon completion of the household interview and obtaining permission from the household survey respondents, a sample of medical providers</w:t>
      </w:r>
      <w:r w:rsidR="00F23789">
        <w:t xml:space="preserve"> and pharmacies</w:t>
      </w:r>
      <w:r w:rsidRPr="008E4339">
        <w:t xml:space="preserve"> are contacted by telephone to obtain information that household respondents cannot accurately provide. </w:t>
      </w:r>
      <w:r w:rsidR="00E35965">
        <w:t>T</w:t>
      </w:r>
      <w:r w:rsidRPr="008E4339">
        <w:t>he MPC</w:t>
      </w:r>
      <w:r w:rsidR="00E35965">
        <w:t xml:space="preserve"> collects</w:t>
      </w:r>
      <w:r w:rsidRPr="008E4339">
        <w:t xml:space="preserve"> information on dates of visits, diagnosis and procedure codes, charges and payments</w:t>
      </w:r>
      <w:r w:rsidR="00780E4D">
        <w:t xml:space="preserve">, and for pharmacies: dates of fills, </w:t>
      </w:r>
      <w:r w:rsidR="00780E4D">
        <w:t>ndc</w:t>
      </w:r>
      <w:r w:rsidR="00780E4D">
        <w:t xml:space="preserve"> (or drug name, strength, dosage), quantity and days supplied, and payments.</w:t>
      </w:r>
      <w:r w:rsidRPr="008E4339">
        <w:t xml:space="preserve"> The MPC is not designed to yield national estimates. It is primarily used as an imputation source to supplement/replace household reported expenditure information.</w:t>
      </w:r>
      <w:r>
        <w:t xml:space="preserve"> This ICR does not include any changes to the MPC. The MPC includes data collections for specific types of health care providers, outlined below:</w:t>
      </w:r>
    </w:p>
    <w:p w:rsidR="00982527" w:rsidP="00982527" w14:paraId="3A324EA2" w14:textId="77777777"/>
    <w:p w:rsidR="00982527" w:rsidRPr="0019223E" w:rsidP="00982527" w14:paraId="36FF696E" w14:textId="77777777">
      <w:pPr>
        <w:numPr>
          <w:ilvl w:val="0"/>
          <w:numId w:val="28"/>
        </w:numPr>
      </w:pPr>
      <w:r w:rsidRPr="00AD104E">
        <w:t> </w:t>
      </w:r>
      <w:r w:rsidRPr="0019223E">
        <w:rPr>
          <w:b/>
          <w:bCs/>
        </w:rPr>
        <w:t>MPC Contact Guide/Screening Call.</w:t>
      </w:r>
      <w:r>
        <w:rPr>
          <w:b/>
          <w:bCs/>
        </w:rPr>
        <w:t xml:space="preserve"> </w:t>
      </w:r>
      <w:r w:rsidRPr="0019223E">
        <w:t>An initial screening call is placed to determine the type of facility, whether the practice or facility is in scope for the MEPS-MPC, the appropriate MEPS-MPC respondent and some details about the organization and availability of medical records and billing at the practice/facility.</w:t>
      </w:r>
      <w:r>
        <w:t xml:space="preserve"> </w:t>
      </w:r>
      <w:r w:rsidRPr="0019223E">
        <w:t>All hospitals, physician offices, home health agencies, institutions and pharmacies are screened by telephone.</w:t>
      </w:r>
      <w:r>
        <w:t xml:space="preserve"> </w:t>
      </w:r>
      <w:r w:rsidRPr="0019223E">
        <w:t>A unique screening instrument is used for each of the seven provider types in the MEPS-MPC, except for the two home care provider types which use the same screening form.</w:t>
      </w:r>
      <w:r>
        <w:t xml:space="preserve"> The Contact Guide is in Attachment 54.</w:t>
      </w:r>
    </w:p>
    <w:p w:rsidR="00982527" w:rsidP="00982527" w14:paraId="7F7C6CDC" w14:textId="77777777">
      <w:pPr>
        <w:ind w:left="720"/>
      </w:pPr>
    </w:p>
    <w:p w:rsidR="00982527" w:rsidRPr="00153FEA" w:rsidP="00982527" w14:paraId="63693433" w14:textId="2203C145">
      <w:pPr>
        <w:numPr>
          <w:ilvl w:val="0"/>
          <w:numId w:val="28"/>
        </w:numPr>
      </w:pPr>
      <w:bookmarkStart w:id="15" w:name="_Hlk170376882"/>
      <w:r w:rsidRPr="00847CFD">
        <w:rPr>
          <w:b/>
          <w:bCs/>
        </w:rPr>
        <w:t>Home Health Care Providers Event Form</w:t>
      </w:r>
      <w:r w:rsidRPr="0019223E">
        <w:rPr>
          <w:b/>
          <w:bCs/>
          <w:i/>
          <w:iCs/>
        </w:rPr>
        <w:t xml:space="preserve"> </w:t>
      </w:r>
      <w:bookmarkEnd w:id="15"/>
      <w:r>
        <w:t xml:space="preserve">– The MPC collects data from different types of home health care providers. This includes: 1) </w:t>
      </w:r>
      <w:r w:rsidRPr="00153FEA">
        <w:rPr>
          <w:b/>
          <w:bCs/>
        </w:rPr>
        <w:t>home health care agencies</w:t>
      </w:r>
      <w:r>
        <w:t xml:space="preserve"> that provide medical care services to household respondents. Information collected with this type of home health care </w:t>
      </w:r>
      <w:r w:rsidR="005016A0">
        <w:t>provider</w:t>
      </w:r>
      <w:r>
        <w:t xml:space="preserve"> includes types of personnel providing the care, hours or visits provided per month, and the charges and payments for services received</w:t>
      </w:r>
      <w:r w:rsidR="009326C4">
        <w:t xml:space="preserve"> and</w:t>
      </w:r>
      <w:r>
        <w:t xml:space="preserve"> 2) </w:t>
      </w:r>
      <w:r w:rsidRPr="00153FEA">
        <w:rPr>
          <w:b/>
          <w:bCs/>
        </w:rPr>
        <w:t>home care for non-health care providers</w:t>
      </w:r>
      <w:r>
        <w:t xml:space="preserve"> that focuses on collecting information about services provided in the respondent</w:t>
      </w:r>
      <w:r w:rsidR="005016A0">
        <w:t>’s</w:t>
      </w:r>
      <w:r>
        <w:t xml:space="preserve"> home by non-health care workers because of a medical condition (e.g., cleaning or yard work; transportation; shopping; or childcare). </w:t>
      </w:r>
      <w:bookmarkStart w:id="16" w:name="_Hlk147296566"/>
      <w:r>
        <w:t>The form</w:t>
      </w:r>
      <w:bookmarkEnd w:id="16"/>
      <w:r>
        <w:t>s are included in Attachments 55 and 56.</w:t>
      </w:r>
    </w:p>
    <w:p w:rsidR="00982527" w:rsidP="00982527" w14:paraId="5604612B" w14:textId="77777777"/>
    <w:p w:rsidR="00982527" w:rsidRPr="00753835" w:rsidP="00982527" w14:paraId="011083E5" w14:textId="2589507C">
      <w:pPr>
        <w:numPr>
          <w:ilvl w:val="0"/>
          <w:numId w:val="28"/>
        </w:numPr>
        <w:rPr>
          <w:i/>
          <w:iCs/>
        </w:rPr>
      </w:pPr>
      <w:r w:rsidRPr="00847CFD">
        <w:rPr>
          <w:b/>
          <w:bCs/>
        </w:rPr>
        <w:t>Office</w:t>
      </w:r>
      <w:r w:rsidRPr="00847CFD">
        <w:rPr>
          <w:b/>
          <w:bCs/>
        </w:rPr>
        <w:noBreakHyphen/>
        <w:t>Based Providers Event Form</w:t>
      </w:r>
      <w:r>
        <w:rPr>
          <w:b/>
          <w:bCs/>
          <w:i/>
          <w:iCs/>
        </w:rPr>
        <w:t xml:space="preserve"> </w:t>
      </w:r>
      <w:r w:rsidRPr="00F9443E">
        <w:rPr>
          <w:b/>
          <w:bCs/>
          <w:i/>
          <w:iCs/>
        </w:rPr>
        <w:t>–</w:t>
      </w:r>
      <w:r>
        <w:t xml:space="preserve"> The MPC collects data from office-based physicians, including Doctor of Medicine (MDs) and osteopathy (D</w:t>
      </w:r>
      <w:r w:rsidR="00CE6BC9">
        <w:t>o</w:t>
      </w:r>
      <w:r>
        <w:t>s</w:t>
      </w:r>
      <w:r w:rsidR="00CE6BC9">
        <w:t>)</w:t>
      </w:r>
      <w:r>
        <w:t>, as well as providers practicing under the care or supervision of an MD or DO (e.g., physician assistants and nurse practitioners working in clinics). Providers of care in private offices as well as staff</w:t>
      </w:r>
      <w:r w:rsidR="00786E26">
        <w:t>/group</w:t>
      </w:r>
      <w:r>
        <w:t xml:space="preserve"> model HMOs are included. The information collected includes </w:t>
      </w:r>
      <w:r w:rsidRPr="0031248B">
        <w:t>date of the visit, time spent with the provider, types of treatment and services received, types of medicine prescribed, expenditures, and sources of payment associated with the visit.</w:t>
      </w:r>
      <w:r>
        <w:t xml:space="preserve"> The form is in Attachment 57.</w:t>
      </w:r>
    </w:p>
    <w:p w:rsidR="00982527" w:rsidP="00982527" w14:paraId="71A0906D" w14:textId="77777777">
      <w:pPr>
        <w:ind w:left="360"/>
        <w:rPr>
          <w:b/>
          <w:bCs/>
          <w:i/>
          <w:iCs/>
        </w:rPr>
      </w:pPr>
    </w:p>
    <w:p w:rsidR="00982527" w:rsidP="00982527" w14:paraId="37D19432" w14:textId="31BC181C">
      <w:pPr>
        <w:numPr>
          <w:ilvl w:val="0"/>
          <w:numId w:val="28"/>
        </w:numPr>
      </w:pPr>
      <w:r w:rsidRPr="00847CFD">
        <w:rPr>
          <w:b/>
          <w:bCs/>
        </w:rPr>
        <w:t>Separately Billing Doctors Event Form</w:t>
      </w:r>
      <w:r w:rsidRPr="00D87123">
        <w:rPr>
          <w:b/>
          <w:bCs/>
          <w:i/>
          <w:iCs/>
        </w:rPr>
        <w:t xml:space="preserve"> </w:t>
      </w:r>
      <w:r w:rsidRPr="00F9443E">
        <w:rPr>
          <w:b/>
          <w:bCs/>
          <w:i/>
          <w:iCs/>
        </w:rPr>
        <w:t>–</w:t>
      </w:r>
      <w:r w:rsidRPr="00D87123">
        <w:rPr>
          <w:b/>
          <w:bCs/>
          <w:i/>
          <w:iCs/>
        </w:rPr>
        <w:t xml:space="preserve"> </w:t>
      </w:r>
      <w:r>
        <w:t xml:space="preserve">The MPC collects information from physicians identified by hospitals as providing care to household respondents during the course of an inpatient, outpatient, or emergency room care, but who </w:t>
      </w:r>
      <w:r w:rsidR="003D3596">
        <w:t xml:space="preserve">bill </w:t>
      </w:r>
      <w:r>
        <w:t>separately from the hospital itself. The information collected includes dates of visit, services provided, expenditures, and sources of payment. The form is in Attachment 58.</w:t>
      </w:r>
    </w:p>
    <w:p w:rsidR="00982527" w:rsidRPr="00D87123" w:rsidP="00982527" w14:paraId="7E2F0512" w14:textId="77777777">
      <w:pPr>
        <w:ind w:left="450"/>
        <w:rPr>
          <w:i/>
          <w:iCs/>
        </w:rPr>
      </w:pPr>
    </w:p>
    <w:p w:rsidR="00982527" w:rsidP="00982527" w14:paraId="6CE28B9B" w14:textId="68235E78">
      <w:pPr>
        <w:numPr>
          <w:ilvl w:val="0"/>
          <w:numId w:val="28"/>
        </w:numPr>
      </w:pPr>
      <w:r w:rsidRPr="00847CFD">
        <w:rPr>
          <w:b/>
          <w:bCs/>
        </w:rPr>
        <w:t>Hospital Event Form</w:t>
      </w:r>
      <w:r>
        <w:rPr>
          <w:b/>
          <w:bCs/>
          <w:i/>
          <w:iCs/>
        </w:rPr>
        <w:t xml:space="preserve"> </w:t>
      </w:r>
      <w:r w:rsidRPr="00F9443E">
        <w:rPr>
          <w:b/>
          <w:bCs/>
          <w:i/>
          <w:iCs/>
        </w:rPr>
        <w:t>–</w:t>
      </w:r>
      <w:r>
        <w:t xml:space="preserve"> The MPC collects information about hospital events, including inpatient stays, outpatient department, and emergency room visits. Hospital data are collected not only from the billing department, but the medical records and administrative departments as well. Medical records </w:t>
      </w:r>
      <w:r w:rsidR="00A82AC6">
        <w:t xml:space="preserve">departments </w:t>
      </w:r>
      <w:r>
        <w:t xml:space="preserve">are contacted to determine the doctors who treated the patient during a stay or visit. In many cases, the hospital administrative office also </w:t>
      </w:r>
      <w:r w:rsidR="005016A0">
        <w:t>has</w:t>
      </w:r>
      <w:r>
        <w:t xml:space="preserve"> to be contacted to determine whether the doctors identified by the medical records </w:t>
      </w:r>
      <w:r w:rsidR="000C18EC">
        <w:t>are billed</w:t>
      </w:r>
      <w:r>
        <w:t xml:space="preserve"> separately from the hospital itself. HMO hospitals are included as part of this data collection effort. The form is in Attachment 59.</w:t>
      </w:r>
    </w:p>
    <w:p w:rsidR="00982527" w:rsidRPr="00D87123" w:rsidP="00982527" w14:paraId="4A12B41E" w14:textId="77777777">
      <w:pPr>
        <w:pStyle w:val="ListParagraph"/>
        <w:tabs>
          <w:tab w:val="left" w:pos="720"/>
        </w:tabs>
        <w:rPr>
          <w:i/>
          <w:iCs/>
        </w:rPr>
      </w:pPr>
    </w:p>
    <w:p w:rsidR="00982527" w:rsidP="00982527" w14:paraId="4A94B1A6" w14:textId="77777777">
      <w:pPr>
        <w:numPr>
          <w:ilvl w:val="0"/>
          <w:numId w:val="28"/>
        </w:numPr>
      </w:pPr>
      <w:r w:rsidRPr="00847CFD">
        <w:rPr>
          <w:b/>
          <w:bCs/>
        </w:rPr>
        <w:t>Institutions (non-hospital) Event Form</w:t>
      </w:r>
      <w:r>
        <w:rPr>
          <w:b/>
          <w:bCs/>
          <w:i/>
          <w:iCs/>
        </w:rPr>
        <w:t xml:space="preserve"> </w:t>
      </w:r>
      <w:r w:rsidRPr="00F9443E">
        <w:rPr>
          <w:b/>
          <w:bCs/>
          <w:i/>
          <w:iCs/>
        </w:rPr>
        <w:t>–</w:t>
      </w:r>
      <w:r w:rsidRPr="002648E8">
        <w:t xml:space="preserve"> </w:t>
      </w:r>
      <w:r>
        <w:t>The MPC collects information on services and expenditures for household respondents who were admitted to a nursing home, rehabilitation center, or other non-hospital long-term health care facility. The form is in Attachment 60.</w:t>
      </w:r>
    </w:p>
    <w:p w:rsidR="00982527" w:rsidRPr="00CE4F63" w:rsidP="00982527" w14:paraId="45700379" w14:textId="77777777">
      <w:pPr>
        <w:tabs>
          <w:tab w:val="left" w:pos="720"/>
        </w:tabs>
        <w:rPr>
          <w:b/>
          <w:bCs/>
          <w:i/>
          <w:iCs/>
        </w:rPr>
      </w:pPr>
    </w:p>
    <w:p w:rsidR="00982527" w:rsidP="00982527" w14:paraId="75420E73" w14:textId="77777777">
      <w:pPr>
        <w:numPr>
          <w:ilvl w:val="0"/>
          <w:numId w:val="28"/>
        </w:numPr>
      </w:pPr>
      <w:r w:rsidRPr="00847CFD">
        <w:rPr>
          <w:b/>
          <w:bCs/>
        </w:rPr>
        <w:t>Pharmacies Event Form</w:t>
      </w:r>
      <w:r>
        <w:t xml:space="preserve"> </w:t>
      </w:r>
      <w:r w:rsidRPr="00F9443E">
        <w:rPr>
          <w:b/>
          <w:bCs/>
          <w:i/>
          <w:iCs/>
        </w:rPr>
        <w:t>–</w:t>
      </w:r>
      <w:r>
        <w:t xml:space="preserve"> The MPC collects information from both corporate and non-corporate pharmacies, including drug stores, grocery stores, discount stores, mail order, online, clinics, HMOs, and Hospitals. The information collected includes a patient profile of the household respondent that reflects a listing of prescriptions given to the respondent, and includes dates prescriptions filled, medicine name, other drug characteristics, and sources and amounts of payments made. The form is in Attachment 61.</w:t>
      </w:r>
    </w:p>
    <w:p w:rsidR="00982527" w:rsidP="006014DB" w14:paraId="595FD6FC" w14:textId="77777777"/>
    <w:p w:rsidR="00442493" w:rsidP="00442493" w14:paraId="65CAB0DC" w14:textId="77777777">
      <w:pPr>
        <w:rPr>
          <w:b/>
          <w:bCs/>
        </w:rPr>
      </w:pPr>
      <w:r w:rsidRPr="00C07220">
        <w:rPr>
          <w:b/>
          <w:bCs/>
        </w:rPr>
        <w:t xml:space="preserve">Proposed </w:t>
      </w:r>
      <w:r>
        <w:rPr>
          <w:b/>
          <w:bCs/>
        </w:rPr>
        <w:t>Revisions</w:t>
      </w:r>
      <w:r w:rsidRPr="00C07220">
        <w:rPr>
          <w:b/>
          <w:bCs/>
        </w:rPr>
        <w:t xml:space="preserve"> for the </w:t>
      </w:r>
      <w:r>
        <w:rPr>
          <w:b/>
          <w:bCs/>
        </w:rPr>
        <w:t xml:space="preserve">Fall </w:t>
      </w:r>
      <w:r w:rsidRPr="00C07220">
        <w:rPr>
          <w:b/>
          <w:bCs/>
        </w:rPr>
        <w:t>202</w:t>
      </w:r>
      <w:r>
        <w:rPr>
          <w:b/>
          <w:bCs/>
        </w:rPr>
        <w:t>6</w:t>
      </w:r>
      <w:r w:rsidRPr="00C07220">
        <w:rPr>
          <w:b/>
          <w:bCs/>
        </w:rPr>
        <w:t xml:space="preserve"> MEPS-HC</w:t>
      </w:r>
      <w:r>
        <w:rPr>
          <w:b/>
          <w:bCs/>
        </w:rPr>
        <w:t>:</w:t>
      </w:r>
    </w:p>
    <w:p w:rsidR="00442493" w:rsidP="00442493" w14:paraId="39EF2D27" w14:textId="055CA72C">
      <w:pPr>
        <w:numPr>
          <w:ilvl w:val="0"/>
          <w:numId w:val="33"/>
        </w:numPr>
      </w:pPr>
      <w:r w:rsidRPr="00847CFD">
        <w:rPr>
          <w:b/>
          <w:bCs/>
        </w:rPr>
        <w:t>MEPS</w:t>
      </w:r>
      <w:r>
        <w:rPr>
          <w:b/>
          <w:bCs/>
        </w:rPr>
        <w:t xml:space="preserve"> Core</w:t>
      </w:r>
      <w:r w:rsidRPr="00847CFD">
        <w:rPr>
          <w:b/>
          <w:bCs/>
        </w:rPr>
        <w:t xml:space="preserve"> Interview</w:t>
      </w:r>
      <w:r w:rsidRPr="00856F85">
        <w:t xml:space="preserve">- </w:t>
      </w:r>
      <w:r>
        <w:t>There are no major changes to the core interview. Minor changes to twenty-four questions are reflected in the attachments; the changes improve readability and respondents’ understanding of the questions and response options.</w:t>
      </w:r>
    </w:p>
    <w:p w:rsidR="00442493" w:rsidRPr="009C3540" w:rsidP="00442493" w14:paraId="658FA5E9" w14:textId="77777777">
      <w:pPr>
        <w:pStyle w:val="ListParagraph"/>
        <w:numPr>
          <w:ilvl w:val="0"/>
          <w:numId w:val="33"/>
        </w:numPr>
        <w:rPr>
          <w:b/>
          <w:bCs/>
        </w:rPr>
      </w:pPr>
      <w:r w:rsidRPr="00847CFD">
        <w:rPr>
          <w:b/>
          <w:bCs/>
        </w:rPr>
        <w:t>Preventive Care Self-Administered Questionnaire (PSAQ</w:t>
      </w:r>
      <w:r>
        <w:rPr>
          <w:b/>
          <w:bCs/>
        </w:rPr>
        <w:t>):</w:t>
      </w:r>
      <w:r w:rsidRPr="002001AA">
        <w:t xml:space="preserve"> </w:t>
      </w:r>
      <w:r>
        <w:t>The PSAQ will have the following changes for 2026:</w:t>
      </w:r>
    </w:p>
    <w:p w:rsidR="00442493" w:rsidRPr="0054660B" w:rsidP="00442493" w14:paraId="52DCD075" w14:textId="77777777">
      <w:pPr>
        <w:pStyle w:val="ListParagraph"/>
        <w:numPr>
          <w:ilvl w:val="1"/>
          <w:numId w:val="33"/>
        </w:numPr>
        <w:rPr>
          <w:b/>
          <w:bCs/>
        </w:rPr>
      </w:pPr>
      <w:r>
        <w:t>Removing four questions on counseling and treatment, one question about birth control, two questions about aspirin use, and two questions about gender.</w:t>
      </w:r>
    </w:p>
    <w:p w:rsidR="00442493" w:rsidRPr="0054660B" w:rsidP="00442493" w14:paraId="7C35F928" w14:textId="77777777">
      <w:pPr>
        <w:pStyle w:val="ListParagraph"/>
        <w:numPr>
          <w:ilvl w:val="1"/>
          <w:numId w:val="33"/>
        </w:numPr>
        <w:rPr>
          <w:b/>
          <w:bCs/>
        </w:rPr>
      </w:pPr>
      <w:r>
        <w:t>Reverting to the question used in the 2022 PSAQ about respondent sex.</w:t>
      </w:r>
    </w:p>
    <w:p w:rsidR="00442493" w:rsidRPr="0054660B" w:rsidP="00442493" w14:paraId="3DA47FDF" w14:textId="1947E695">
      <w:pPr>
        <w:pStyle w:val="ListParagraph"/>
        <w:numPr>
          <w:ilvl w:val="1"/>
          <w:numId w:val="33"/>
        </w:numPr>
        <w:rPr>
          <w:b/>
          <w:bCs/>
        </w:rPr>
      </w:pPr>
      <w:r>
        <w:t xml:space="preserve">Replacing two </w:t>
      </w:r>
      <w:r w:rsidR="005016A0">
        <w:t>exercise items</w:t>
      </w:r>
      <w:r>
        <w:t xml:space="preserve"> with five new items on exercise and strength training.</w:t>
      </w:r>
    </w:p>
    <w:p w:rsidR="00442493" w:rsidRPr="0054660B" w:rsidP="00442493" w14:paraId="6ACA7017" w14:textId="43239105">
      <w:pPr>
        <w:pStyle w:val="ListParagraph"/>
        <w:numPr>
          <w:ilvl w:val="1"/>
          <w:numId w:val="33"/>
        </w:numPr>
      </w:pPr>
      <w:r w:rsidRPr="0054660B">
        <w:t>Adding question</w:t>
      </w:r>
      <w:r>
        <w:t>s</w:t>
      </w:r>
      <w:r w:rsidRPr="0054660B">
        <w:t xml:space="preserve"> about</w:t>
      </w:r>
      <w:r>
        <w:t xml:space="preserve"> use of sleep medication, </w:t>
      </w:r>
      <w:r w:rsidR="00AA79AE">
        <w:t xml:space="preserve">trouble getting to sleep, </w:t>
      </w:r>
      <w:r>
        <w:t xml:space="preserve">screen time, use of wearable devices, self-assessed diet quality, fruit and vegetable consumption, meals eaten away from home, former smoking, and weight loss attempt. </w:t>
      </w:r>
    </w:p>
    <w:p w:rsidR="00442493" w:rsidP="00281755" w14:paraId="05E22C4F" w14:textId="415A43BE">
      <w:pPr>
        <w:pStyle w:val="ListParagraph"/>
        <w:numPr>
          <w:ilvl w:val="0"/>
          <w:numId w:val="33"/>
        </w:numPr>
      </w:pPr>
      <w:r w:rsidRPr="00442493">
        <w:rPr>
          <w:b/>
          <w:bCs/>
        </w:rPr>
        <w:t>Burdens and Economic Impacts of Medical Care Self-Administered Questionnaire (ESAQ) and Diabetes Care Supplement (DCS)</w:t>
      </w:r>
      <w:r>
        <w:t>: The ESAQ and DCS will be removed from the 2026 MEPS-HC.</w:t>
      </w:r>
    </w:p>
    <w:p w:rsidR="00442493" w:rsidP="00442493" w14:paraId="5A2D6A12" w14:textId="77777777"/>
    <w:p w:rsidR="00D529C2" w:rsidRPr="00E468EF" w:rsidP="00365A15" w14:paraId="27DFB48C" w14:textId="77777777">
      <w:r w:rsidRPr="00E468EF">
        <w:t>This study is being conducted by AHRQ through its contractor</w:t>
      </w:r>
      <w:r>
        <w:t>s</w:t>
      </w:r>
      <w:r w:rsidRPr="00E468EF">
        <w:t xml:space="preserve">, </w:t>
      </w:r>
      <w:r>
        <w:t>Westat for the MEPS-HC and RTI for the MEPS-MPC,</w:t>
      </w:r>
      <w:r w:rsidRPr="00E468EF">
        <w:t xml:space="preserve"> pursuant to AHRQ’s statutory authority to conduct and support research on health care and on systems for the delivery of such care, </w:t>
      </w:r>
      <w:r>
        <w:t xml:space="preserve">42 U.S.C. 299a(a)(1), and to conduct a survey on the cost, use, and quality of health care.  42 U.S.C. 299b-2.  </w:t>
      </w:r>
    </w:p>
    <w:p w:rsidR="009B633D" w:rsidRPr="00983636" w:rsidP="009B633D" w14:paraId="6A95F900" w14:textId="77777777">
      <w:pPr>
        <w:pStyle w:val="Heading2"/>
        <w:rPr>
          <w:sz w:val="24"/>
        </w:rPr>
      </w:pPr>
      <w:bookmarkStart w:id="17" w:name="_Toc151782177"/>
      <w:bookmarkStart w:id="18" w:name="_Toc158526217"/>
      <w:r w:rsidRPr="00983636">
        <w:rPr>
          <w:sz w:val="24"/>
        </w:rPr>
        <w:t>2. Purpose and Use of Information</w:t>
      </w:r>
      <w:bookmarkEnd w:id="17"/>
      <w:bookmarkEnd w:id="18"/>
    </w:p>
    <w:p w:rsidR="00E35965" w:rsidRPr="009B2EEA" w:rsidP="00E35965" w14:paraId="650241EA" w14:textId="77777777">
      <w:bookmarkStart w:id="19" w:name="_Toc151782178"/>
      <w:bookmarkStart w:id="20" w:name="_Toc158526218"/>
      <w:r w:rsidRPr="009B2EEA">
        <w:t>The MEPS is a multi-purpose survey.</w:t>
      </w:r>
      <w:r>
        <w:t xml:space="preserve"> </w:t>
      </w:r>
      <w:r w:rsidRPr="009B2EEA">
        <w:t>In addition to collecting data to yield annual estimates for a variety of measures related to health care use and expenditures, MEPS also provides estimates of measures related to health status, consumer assessment of health care, health insurance coverage, demographic characteristics, employment and access to health care indicators.</w:t>
      </w:r>
      <w:r>
        <w:t xml:space="preserve"> </w:t>
      </w:r>
      <w:r w:rsidRPr="009B2EEA">
        <w:t>Estimates can be provided for individuals, families and population subgroups of interest.</w:t>
      </w:r>
      <w:r>
        <w:t xml:space="preserve"> </w:t>
      </w:r>
      <w:r w:rsidRPr="009B2EEA">
        <w:t>Data obtained in this study are used to provide, among others, the following national estimates:</w:t>
      </w:r>
    </w:p>
    <w:p w:rsidR="00E35965" w:rsidRPr="009B2EEA" w:rsidP="00E35965" w14:paraId="22A79F14" w14:textId="77777777"/>
    <w:p w:rsidR="00E35965" w:rsidRPr="009B2EEA" w:rsidP="00E35965" w14:paraId="138E796A" w14:textId="77777777">
      <w:pPr>
        <w:widowControl w:val="0"/>
        <w:numPr>
          <w:ilvl w:val="0"/>
          <w:numId w:val="30"/>
        </w:numPr>
        <w:tabs>
          <w:tab w:val="left" w:pos="-1440"/>
        </w:tabs>
        <w:autoSpaceDE w:val="0"/>
        <w:autoSpaceDN w:val="0"/>
        <w:adjustRightInd w:val="0"/>
      </w:pPr>
      <w:r w:rsidRPr="009B2EEA">
        <w:t>annual estimates of health care use and expenditures for persons and families</w:t>
      </w:r>
    </w:p>
    <w:p w:rsidR="00E35965" w:rsidRPr="009B2EEA" w:rsidP="00E35965" w14:paraId="5BD4A55B" w14:textId="77777777">
      <w:pPr>
        <w:widowControl w:val="0"/>
        <w:numPr>
          <w:ilvl w:val="0"/>
          <w:numId w:val="30"/>
        </w:numPr>
        <w:tabs>
          <w:tab w:val="left" w:pos="-1440"/>
        </w:tabs>
        <w:autoSpaceDE w:val="0"/>
        <w:autoSpaceDN w:val="0"/>
        <w:adjustRightInd w:val="0"/>
      </w:pPr>
      <w:r w:rsidRPr="009B2EEA">
        <w:t>annual estimates of sources of payment for health care utilizations, including public programs such as Medicare and Medicaid, private insurance, and out of pocket payments</w:t>
      </w:r>
    </w:p>
    <w:p w:rsidR="00E35965" w:rsidRPr="009B2EEA" w:rsidP="00E35965" w14:paraId="07D889B3" w14:textId="77777777">
      <w:pPr>
        <w:widowControl w:val="0"/>
        <w:numPr>
          <w:ilvl w:val="0"/>
          <w:numId w:val="30"/>
        </w:numPr>
        <w:tabs>
          <w:tab w:val="left" w:pos="-1440"/>
        </w:tabs>
        <w:autoSpaceDE w:val="0"/>
        <w:autoSpaceDN w:val="0"/>
        <w:adjustRightInd w:val="0"/>
      </w:pPr>
      <w:r w:rsidRPr="009B2EEA">
        <w:t>annual estimates of health care use, expenditures, and sources of payment of persons and families by type of utilization including inpatient stay, ambulatory care, home health, dental care and prescribed medications</w:t>
      </w:r>
    </w:p>
    <w:p w:rsidR="00E35965" w:rsidRPr="009B2EEA" w:rsidP="00E35965" w14:paraId="19275240" w14:textId="77777777">
      <w:pPr>
        <w:widowControl w:val="0"/>
        <w:numPr>
          <w:ilvl w:val="0"/>
          <w:numId w:val="30"/>
        </w:numPr>
        <w:tabs>
          <w:tab w:val="left" w:pos="-1440"/>
        </w:tabs>
        <w:autoSpaceDE w:val="0"/>
        <w:autoSpaceDN w:val="0"/>
        <w:adjustRightInd w:val="0"/>
      </w:pPr>
      <w:r w:rsidRPr="009B2EEA">
        <w:t>the number and characteristics of the population eligible for public programs including the use of services and expenditures of the population(s) eligible for benefits under Medicare and Medicaid</w:t>
      </w:r>
    </w:p>
    <w:p w:rsidR="00E35965" w:rsidRPr="009B2EEA" w:rsidP="00E35965" w14:paraId="148B19E6" w14:textId="77777777">
      <w:pPr>
        <w:widowControl w:val="0"/>
        <w:numPr>
          <w:ilvl w:val="0"/>
          <w:numId w:val="30"/>
        </w:numPr>
        <w:tabs>
          <w:tab w:val="left" w:pos="-1440"/>
        </w:tabs>
        <w:autoSpaceDE w:val="0"/>
        <w:autoSpaceDN w:val="0"/>
        <w:adjustRightInd w:val="0"/>
      </w:pPr>
      <w:r w:rsidRPr="009B2EEA">
        <w:t>the number, characteristics, and use of services and expenditures of persons and families with various forms of insurance</w:t>
      </w:r>
    </w:p>
    <w:p w:rsidR="00E35965" w:rsidRPr="009B2EEA" w:rsidP="00E35965" w14:paraId="376D4C52" w14:textId="77777777">
      <w:pPr>
        <w:widowControl w:val="0"/>
        <w:numPr>
          <w:ilvl w:val="0"/>
          <w:numId w:val="30"/>
        </w:numPr>
        <w:tabs>
          <w:tab w:val="left" w:pos="-1440"/>
        </w:tabs>
        <w:autoSpaceDE w:val="0"/>
        <w:autoSpaceDN w:val="0"/>
        <w:adjustRightInd w:val="0"/>
      </w:pPr>
      <w:r w:rsidRPr="009B2EEA">
        <w:t>annual estimates of consumer satisfaction with health care, and indicators of health care quality for key conditions</w:t>
      </w:r>
    </w:p>
    <w:p w:rsidR="00E35965" w:rsidRPr="009B2EEA" w:rsidP="00E35965" w14:paraId="7715AF5E" w14:textId="77777777">
      <w:pPr>
        <w:widowControl w:val="0"/>
        <w:numPr>
          <w:ilvl w:val="0"/>
          <w:numId w:val="30"/>
        </w:numPr>
        <w:tabs>
          <w:tab w:val="left" w:pos="-1440"/>
        </w:tabs>
        <w:autoSpaceDE w:val="0"/>
        <w:autoSpaceDN w:val="0"/>
        <w:adjustRightInd w:val="0"/>
      </w:pPr>
      <w:r w:rsidRPr="009B2EEA">
        <w:t>annual estimates to track disparities in health care use and access</w:t>
      </w:r>
    </w:p>
    <w:p w:rsidR="00E35965" w:rsidRPr="009B2EEA" w:rsidP="00E35965" w14:paraId="15F5913A" w14:textId="77777777"/>
    <w:p w:rsidR="00E35965" w:rsidRPr="009B2EEA" w:rsidP="00E35965" w14:paraId="08D11D17" w14:textId="77777777">
      <w:r w:rsidRPr="009B2EEA">
        <w:t>In addition to national estimates, data collected in this ongoing longitudinal study are used to study the determinants of the use of services and expenditures, and changes in the access to and the provision of health care in relation to:</w:t>
      </w:r>
    </w:p>
    <w:p w:rsidR="00E35965" w:rsidRPr="009B2EEA" w:rsidP="00E35965" w14:paraId="5955A59D" w14:textId="77777777"/>
    <w:p w:rsidR="00E35965" w:rsidRPr="009B2EEA" w:rsidP="00E35965" w14:paraId="45BF62F5" w14:textId="77777777">
      <w:pPr>
        <w:widowControl w:val="0"/>
        <w:numPr>
          <w:ilvl w:val="0"/>
          <w:numId w:val="31"/>
        </w:numPr>
        <w:tabs>
          <w:tab w:val="left" w:pos="-1440"/>
        </w:tabs>
        <w:autoSpaceDE w:val="0"/>
        <w:autoSpaceDN w:val="0"/>
        <w:adjustRightInd w:val="0"/>
      </w:pPr>
      <w:r w:rsidRPr="009B2EEA">
        <w:t>socio-economic and demographic factors such as employment or income</w:t>
      </w:r>
    </w:p>
    <w:p w:rsidR="00E35965" w:rsidRPr="009B2EEA" w:rsidP="00E35965" w14:paraId="5A44328F" w14:textId="77777777">
      <w:pPr>
        <w:widowControl w:val="0"/>
        <w:numPr>
          <w:ilvl w:val="0"/>
          <w:numId w:val="31"/>
        </w:numPr>
        <w:tabs>
          <w:tab w:val="left" w:pos="-1440"/>
        </w:tabs>
        <w:autoSpaceDE w:val="0"/>
        <w:autoSpaceDN w:val="0"/>
        <w:adjustRightInd w:val="0"/>
      </w:pPr>
      <w:r w:rsidRPr="009B2EEA">
        <w:t>the health status and satisfaction with health care of individuals and families</w:t>
      </w:r>
    </w:p>
    <w:p w:rsidR="00E35965" w:rsidRPr="009B2EEA" w:rsidP="00E35965" w14:paraId="055484D3" w14:textId="77777777">
      <w:pPr>
        <w:widowControl w:val="0"/>
        <w:numPr>
          <w:ilvl w:val="0"/>
          <w:numId w:val="31"/>
        </w:numPr>
        <w:tabs>
          <w:tab w:val="left" w:pos="-1440"/>
        </w:tabs>
        <w:autoSpaceDE w:val="0"/>
        <w:autoSpaceDN w:val="0"/>
        <w:adjustRightInd w:val="0"/>
      </w:pPr>
      <w:r w:rsidRPr="009B2EEA">
        <w:t>the health needs and circumstances of specific subpopulation groups such as the elderly and children</w:t>
      </w:r>
    </w:p>
    <w:p w:rsidR="00E35965" w:rsidRPr="009B2EEA" w:rsidP="00E35965" w14:paraId="16784335" w14:textId="77777777"/>
    <w:p w:rsidR="00E35965" w:rsidRPr="009B2EEA" w:rsidP="00E35965" w14:paraId="1EB716B5" w14:textId="77777777">
      <w:r w:rsidRPr="009B2EEA">
        <w:t>To meet the need for national data on healthcare use, access, cost and quality, MEPS-HC collects information on:</w:t>
      </w:r>
    </w:p>
    <w:p w:rsidR="00E35965" w:rsidRPr="009B2EEA" w:rsidP="00E35965" w14:paraId="70EED80C" w14:textId="77777777"/>
    <w:p w:rsidR="00E35965" w:rsidRPr="009B2EEA" w:rsidP="00E35965" w14:paraId="15E32A57" w14:textId="77777777">
      <w:pPr>
        <w:widowControl w:val="0"/>
        <w:numPr>
          <w:ilvl w:val="0"/>
          <w:numId w:val="32"/>
        </w:numPr>
        <w:tabs>
          <w:tab w:val="left" w:pos="-1440"/>
        </w:tabs>
        <w:autoSpaceDE w:val="0"/>
        <w:autoSpaceDN w:val="0"/>
        <w:adjustRightInd w:val="0"/>
      </w:pPr>
      <w:r w:rsidRPr="009B2EEA">
        <w:t>access to care and barriers to receiving needed care</w:t>
      </w:r>
    </w:p>
    <w:p w:rsidR="00E35965" w:rsidRPr="009B2EEA" w:rsidP="00E35965" w14:paraId="46DC0753" w14:textId="77777777">
      <w:pPr>
        <w:widowControl w:val="0"/>
        <w:numPr>
          <w:ilvl w:val="0"/>
          <w:numId w:val="32"/>
        </w:numPr>
        <w:tabs>
          <w:tab w:val="left" w:pos="-1440"/>
        </w:tabs>
        <w:autoSpaceDE w:val="0"/>
        <w:autoSpaceDN w:val="0"/>
        <w:adjustRightInd w:val="0"/>
      </w:pPr>
      <w:r w:rsidRPr="009B2EEA">
        <w:t>satisfaction with usual providers</w:t>
      </w:r>
    </w:p>
    <w:p w:rsidR="00E35965" w:rsidRPr="009B2EEA" w:rsidP="00E35965" w14:paraId="0211CC14" w14:textId="77777777">
      <w:pPr>
        <w:widowControl w:val="0"/>
        <w:numPr>
          <w:ilvl w:val="0"/>
          <w:numId w:val="32"/>
        </w:numPr>
        <w:tabs>
          <w:tab w:val="left" w:pos="-1440"/>
        </w:tabs>
        <w:autoSpaceDE w:val="0"/>
        <w:autoSpaceDN w:val="0"/>
        <w:adjustRightInd w:val="0"/>
      </w:pPr>
      <w:r w:rsidRPr="009B2EEA">
        <w:t>health status and limitations in activities</w:t>
      </w:r>
    </w:p>
    <w:p w:rsidR="00E35965" w:rsidRPr="009B2EEA" w:rsidP="00E35965" w14:paraId="7FCED555" w14:textId="77777777">
      <w:pPr>
        <w:widowControl w:val="0"/>
        <w:numPr>
          <w:ilvl w:val="0"/>
          <w:numId w:val="32"/>
        </w:numPr>
        <w:tabs>
          <w:tab w:val="left" w:pos="-1440"/>
        </w:tabs>
        <w:autoSpaceDE w:val="0"/>
        <w:autoSpaceDN w:val="0"/>
        <w:adjustRightInd w:val="0"/>
      </w:pPr>
      <w:r w:rsidRPr="009B2EEA">
        <w:t>medical conditions for which health care was used</w:t>
      </w:r>
    </w:p>
    <w:p w:rsidR="00E35965" w:rsidRPr="009B2EEA" w:rsidP="00E35965" w14:paraId="3CDB1551" w14:textId="77777777">
      <w:pPr>
        <w:widowControl w:val="0"/>
        <w:numPr>
          <w:ilvl w:val="0"/>
          <w:numId w:val="32"/>
        </w:numPr>
        <w:tabs>
          <w:tab w:val="left" w:pos="-1440"/>
        </w:tabs>
        <w:autoSpaceDE w:val="0"/>
        <w:autoSpaceDN w:val="0"/>
        <w:adjustRightInd w:val="0"/>
      </w:pPr>
      <w:r w:rsidRPr="009B2EEA">
        <w:t>use, expense and payment (as well as insurance status of person receiving care) for health services</w:t>
      </w:r>
    </w:p>
    <w:p w:rsidR="00E35965" w:rsidRPr="009B2EEA" w:rsidP="00E35965" w14:paraId="3BCDA383" w14:textId="77777777"/>
    <w:p w:rsidR="00E35965" w:rsidRPr="009B2EEA" w:rsidP="00E35965" w14:paraId="5B069F52" w14:textId="038E1F04">
      <w:r w:rsidRPr="009B2EEA">
        <w:t>Given the twin problems of nonresponse and response error of some household reported data, information is collected directly from medical providers in the MEPS-MPC to improve the accuracy of expenditure estimates derived from the MEPS-HC.</w:t>
      </w:r>
      <w:r>
        <w:t xml:space="preserve"> </w:t>
      </w:r>
      <w:r w:rsidRPr="009B2EEA">
        <w:t xml:space="preserve">Because of their greater level of precision and detail, </w:t>
      </w:r>
      <w:r w:rsidR="00F24989">
        <w:t>MEPS</w:t>
      </w:r>
      <w:r w:rsidRPr="009B2EEA">
        <w:t xml:space="preserve"> also use</w:t>
      </w:r>
      <w:r w:rsidR="00F24989">
        <w:t>s</w:t>
      </w:r>
      <w:r w:rsidRPr="009B2EEA">
        <w:t xml:space="preserve"> MEPS-MPC data as the main source of imputations of missing expenditure data. Thus, the MEPS-MPC is designed to satisfy the following analytical objectives:</w:t>
      </w:r>
    </w:p>
    <w:p w:rsidR="00E35965" w:rsidRPr="009B2EEA" w:rsidP="00E35965" w14:paraId="281AF89D" w14:textId="77777777"/>
    <w:p w:rsidR="00E35965" w:rsidRPr="009B2EEA" w:rsidP="00E35965" w14:paraId="2DC06120" w14:textId="77777777">
      <w:pPr>
        <w:widowControl w:val="0"/>
        <w:numPr>
          <w:ilvl w:val="0"/>
          <w:numId w:val="29"/>
        </w:numPr>
        <w:autoSpaceDE w:val="0"/>
        <w:autoSpaceDN w:val="0"/>
        <w:adjustRightInd w:val="0"/>
      </w:pPr>
      <w:r w:rsidRPr="009B2EEA">
        <w:t>Serve as source data for household reported events with missing expenditure information</w:t>
      </w:r>
    </w:p>
    <w:p w:rsidR="00E35965" w:rsidRPr="009B2EEA" w:rsidP="00E35965" w14:paraId="485AC40B" w14:textId="77777777">
      <w:pPr>
        <w:widowControl w:val="0"/>
        <w:numPr>
          <w:ilvl w:val="0"/>
          <w:numId w:val="29"/>
        </w:numPr>
        <w:autoSpaceDE w:val="0"/>
        <w:autoSpaceDN w:val="0"/>
        <w:adjustRightInd w:val="0"/>
      </w:pPr>
      <w:r w:rsidRPr="009B2EEA">
        <w:t>Serve as an imputation source to reduce the level of bias in survey estimates of medical expenditures due to item nonresponse and less complete and less accurate household data</w:t>
      </w:r>
    </w:p>
    <w:p w:rsidR="00E35965" w:rsidRPr="009B2EEA" w:rsidP="00E35965" w14:paraId="5D1FB568" w14:textId="77777777">
      <w:pPr>
        <w:widowControl w:val="0"/>
        <w:numPr>
          <w:ilvl w:val="0"/>
          <w:numId w:val="29"/>
        </w:numPr>
        <w:autoSpaceDE w:val="0"/>
        <w:autoSpaceDN w:val="0"/>
        <w:adjustRightInd w:val="0"/>
      </w:pPr>
      <w:r w:rsidRPr="009B2EEA">
        <w:t>Serve as the primary data source for expenditure estimates of medical care provided by separately billing doctors in hospitals, emergency rooms, and outpatient departments, Medicaid recipients and expenditure estimates for pharmacies</w:t>
      </w:r>
    </w:p>
    <w:p w:rsidR="00E35965" w:rsidRPr="009B2EEA" w:rsidP="00E35965" w14:paraId="247F47B3" w14:textId="77777777">
      <w:pPr>
        <w:widowControl w:val="0"/>
        <w:numPr>
          <w:ilvl w:val="0"/>
          <w:numId w:val="29"/>
        </w:numPr>
        <w:autoSpaceDE w:val="0"/>
        <w:autoSpaceDN w:val="0"/>
        <w:adjustRightInd w:val="0"/>
      </w:pPr>
      <w:r w:rsidRPr="009B2EEA">
        <w:t>Allow for an examination of the level of agreement in reported expenditures from household respondents and medical providers</w:t>
      </w:r>
    </w:p>
    <w:p w:rsidR="00E35965" w:rsidRPr="009B2EEA" w:rsidP="00E35965" w14:paraId="41EE6D9A" w14:textId="77777777"/>
    <w:p w:rsidR="00E35965" w:rsidRPr="009B2EEA" w:rsidP="00E35965" w14:paraId="72EF8309" w14:textId="77777777">
      <w:r w:rsidRPr="009B2EEA">
        <w:t>For over thirty years, results from the MEPS and its predecessor surveys (the 1977 National Medical Care Expenditure Survey, the 1980 National Medical Care Utilization and Expenditure Survey and the 1987 National Medical Expenditure Survey) have been used by OMB, DHHS, Congress and a wide number of health services researchers to analyze health care use, expenses, and health policy.</w:t>
      </w:r>
    </w:p>
    <w:p w:rsidR="00E35965" w:rsidRPr="009B2EEA" w:rsidP="00E35965" w14:paraId="6982E528" w14:textId="77777777"/>
    <w:p w:rsidR="00E35965" w:rsidRPr="009B2EEA" w:rsidP="00E35965" w14:paraId="5D9E1728" w14:textId="77777777">
      <w:r w:rsidRPr="009B2EEA">
        <w:t>Major changes continue to take place in the health care delivery system.</w:t>
      </w:r>
      <w:r>
        <w:t xml:space="preserve"> </w:t>
      </w:r>
      <w:r w:rsidRPr="009B2EEA">
        <w:t>The MEPS is needed to provide information about the current state of the health care system as well as to track changes over time.</w:t>
      </w:r>
      <w:r>
        <w:t xml:space="preserve"> </w:t>
      </w:r>
      <w:r w:rsidRPr="009B2EEA">
        <w:t>The MEPS permits annual estimates of use of health care and expenditures and sources of payment for that health care.</w:t>
      </w:r>
      <w:r>
        <w:t xml:space="preserve"> </w:t>
      </w:r>
      <w:r w:rsidRPr="009B2EEA">
        <w:t>It also permits tracking individual change in employment, income, health insurance and health status over two years.</w:t>
      </w:r>
      <w:r>
        <w:t xml:space="preserve"> </w:t>
      </w:r>
      <w:r w:rsidRPr="009B2EEA">
        <w:t>The use of the National Health Interview Survey (NHIS) as a sampling frame expands the MEPS analytic capacity by providing another data point for comparisons over time.</w:t>
      </w:r>
    </w:p>
    <w:p w:rsidR="009B633D" w:rsidRPr="00983636" w:rsidP="009B633D" w14:paraId="02061553" w14:textId="77777777">
      <w:pPr>
        <w:pStyle w:val="Heading2"/>
        <w:rPr>
          <w:sz w:val="24"/>
        </w:rPr>
      </w:pPr>
      <w:r w:rsidRPr="00983636">
        <w:rPr>
          <w:sz w:val="24"/>
        </w:rPr>
        <w:t>3. Use of Improved Information Technology</w:t>
      </w:r>
      <w:bookmarkEnd w:id="19"/>
      <w:bookmarkEnd w:id="20"/>
    </w:p>
    <w:p w:rsidR="00E35965" w:rsidP="00E35965" w14:paraId="06355AEB" w14:textId="09138B16">
      <w:pPr>
        <w:pStyle w:val="Heading2"/>
        <w:rPr>
          <w:rFonts w:ascii="Times New Roman" w:hAnsi="Times New Roman" w:cs="Times New Roman"/>
          <w:b w:val="0"/>
          <w:bCs w:val="0"/>
          <w:i w:val="0"/>
          <w:iCs w:val="0"/>
          <w:sz w:val="24"/>
          <w:szCs w:val="24"/>
        </w:rPr>
      </w:pPr>
      <w:r w:rsidRPr="006312CE">
        <w:rPr>
          <w:rFonts w:ascii="Times New Roman" w:hAnsi="Times New Roman" w:cs="Times New Roman"/>
          <w:b w:val="0"/>
          <w:bCs w:val="0"/>
          <w:i w:val="0"/>
          <w:iCs w:val="0"/>
          <w:sz w:val="24"/>
          <w:szCs w:val="24"/>
          <w:u w:val="single"/>
        </w:rPr>
        <w:t>MEPS-HC:</w:t>
      </w:r>
      <w:r>
        <w:rPr>
          <w:rFonts w:ascii="Times New Roman" w:hAnsi="Times New Roman" w:cs="Times New Roman"/>
          <w:b w:val="0"/>
          <w:bCs w:val="0"/>
          <w:i w:val="0"/>
          <w:iCs w:val="0"/>
          <w:sz w:val="24"/>
          <w:szCs w:val="24"/>
        </w:rPr>
        <w:br/>
        <w:t>The MEPS-HC u</w:t>
      </w:r>
      <w:r w:rsidRPr="006312CE">
        <w:rPr>
          <w:rFonts w:ascii="Times New Roman" w:hAnsi="Times New Roman" w:cs="Times New Roman"/>
          <w:b w:val="0"/>
          <w:bCs w:val="0"/>
          <w:i w:val="0"/>
          <w:iCs w:val="0"/>
          <w:sz w:val="24"/>
          <w:szCs w:val="24"/>
        </w:rPr>
        <w:t>s</w:t>
      </w:r>
      <w:r>
        <w:rPr>
          <w:rFonts w:ascii="Times New Roman" w:hAnsi="Times New Roman" w:cs="Times New Roman"/>
          <w:b w:val="0"/>
          <w:bCs w:val="0"/>
          <w:i w:val="0"/>
          <w:iCs w:val="0"/>
          <w:sz w:val="24"/>
          <w:szCs w:val="24"/>
        </w:rPr>
        <w:t>es</w:t>
      </w:r>
      <w:r w:rsidRPr="006312CE">
        <w:rPr>
          <w:rFonts w:ascii="Times New Roman" w:hAnsi="Times New Roman" w:cs="Times New Roman"/>
          <w:b w:val="0"/>
          <w:bCs w:val="0"/>
          <w:i w:val="0"/>
          <w:iCs w:val="0"/>
          <w:sz w:val="24"/>
          <w:szCs w:val="24"/>
        </w:rPr>
        <w:t xml:space="preserve"> a combination of computer assisted personal interviewing (CAPI)</w:t>
      </w:r>
      <w:r>
        <w:rPr>
          <w:rFonts w:ascii="Times New Roman" w:hAnsi="Times New Roman" w:cs="Times New Roman"/>
          <w:b w:val="0"/>
          <w:bCs w:val="0"/>
          <w:i w:val="0"/>
          <w:iCs w:val="0"/>
          <w:sz w:val="24"/>
          <w:szCs w:val="24"/>
        </w:rPr>
        <w:t>,</w:t>
      </w:r>
      <w:r w:rsidRPr="006312CE">
        <w:rPr>
          <w:rFonts w:ascii="Times New Roman" w:hAnsi="Times New Roman" w:cs="Times New Roman"/>
          <w:b w:val="0"/>
          <w:bCs w:val="0"/>
          <w:i w:val="0"/>
          <w:iCs w:val="0"/>
          <w:sz w:val="24"/>
          <w:szCs w:val="24"/>
        </w:rPr>
        <w:t xml:space="preserve"> computer assisted video interviewing (CAVI)</w:t>
      </w:r>
      <w:r>
        <w:rPr>
          <w:rFonts w:ascii="Times New Roman" w:hAnsi="Times New Roman" w:cs="Times New Roman"/>
          <w:b w:val="0"/>
          <w:bCs w:val="0"/>
          <w:i w:val="0"/>
          <w:iCs w:val="0"/>
          <w:sz w:val="24"/>
          <w:szCs w:val="24"/>
        </w:rPr>
        <w:t>,</w:t>
      </w:r>
      <w:r w:rsidRPr="006312CE">
        <w:rPr>
          <w:rFonts w:ascii="Times New Roman" w:hAnsi="Times New Roman" w:cs="Times New Roman"/>
          <w:b w:val="0"/>
          <w:bCs w:val="0"/>
          <w:i w:val="0"/>
          <w:iCs w:val="0"/>
          <w:sz w:val="24"/>
          <w:szCs w:val="24"/>
        </w:rPr>
        <w:t xml:space="preserve"> and self-administered paper and web questionnaires.</w:t>
      </w:r>
      <w:r>
        <w:rPr>
          <w:rFonts w:ascii="Times New Roman" w:hAnsi="Times New Roman" w:cs="Times New Roman"/>
          <w:b w:val="0"/>
          <w:bCs w:val="0"/>
          <w:i w:val="0"/>
          <w:iCs w:val="0"/>
          <w:sz w:val="24"/>
          <w:szCs w:val="24"/>
        </w:rPr>
        <w:t xml:space="preserve"> Use of </w:t>
      </w:r>
      <w:r w:rsidRPr="006312CE">
        <w:rPr>
          <w:rFonts w:ascii="Times New Roman" w:hAnsi="Times New Roman" w:cs="Times New Roman"/>
          <w:b w:val="0"/>
          <w:bCs w:val="0"/>
          <w:i w:val="0"/>
          <w:iCs w:val="0"/>
          <w:sz w:val="24"/>
          <w:szCs w:val="24"/>
        </w:rPr>
        <w:t xml:space="preserve">CAVI </w:t>
      </w:r>
      <w:r>
        <w:rPr>
          <w:rFonts w:ascii="Times New Roman" w:hAnsi="Times New Roman" w:cs="Times New Roman"/>
          <w:b w:val="0"/>
          <w:bCs w:val="0"/>
          <w:i w:val="0"/>
          <w:iCs w:val="0"/>
          <w:sz w:val="24"/>
          <w:szCs w:val="24"/>
        </w:rPr>
        <w:t>for the MEPS-HC began in 2022</w:t>
      </w:r>
      <w:r w:rsidRPr="006312CE">
        <w:rPr>
          <w:rFonts w:ascii="Times New Roman" w:hAnsi="Times New Roman" w:cs="Times New Roman"/>
          <w:b w:val="0"/>
          <w:bCs w:val="0"/>
          <w:i w:val="0"/>
          <w:iCs w:val="0"/>
          <w:sz w:val="24"/>
          <w:szCs w:val="24"/>
        </w:rPr>
        <w:t xml:space="preserve"> and offers the best of both telephone and in-person interviewing, while offering opportunities for cost savings and more accurate reporting.</w:t>
      </w:r>
      <w:r>
        <w:rPr>
          <w:rFonts w:ascii="Times New Roman" w:hAnsi="Times New Roman" w:cs="Times New Roman"/>
          <w:b w:val="0"/>
          <w:bCs w:val="0"/>
          <w:i w:val="0"/>
          <w:iCs w:val="0"/>
          <w:sz w:val="24"/>
          <w:szCs w:val="24"/>
        </w:rPr>
        <w:t xml:space="preserve"> In 2022, the MEPS-HC began collecting signatures for authorization forms using one of three modes. Respondents can sign the form electronically, at the time of the in-person interview; sign electronically via </w:t>
      </w:r>
      <w:r w:rsidR="00EF4DDE">
        <w:rPr>
          <w:rFonts w:ascii="Times New Roman" w:hAnsi="Times New Roman" w:cs="Times New Roman"/>
          <w:b w:val="0"/>
          <w:bCs w:val="0"/>
          <w:i w:val="0"/>
          <w:iCs w:val="0"/>
          <w:sz w:val="24"/>
          <w:szCs w:val="24"/>
        </w:rPr>
        <w:t>Docusign</w:t>
      </w:r>
      <w:r>
        <w:rPr>
          <w:rFonts w:ascii="Times New Roman" w:hAnsi="Times New Roman" w:cs="Times New Roman"/>
          <w:b w:val="0"/>
          <w:bCs w:val="0"/>
          <w:i w:val="0"/>
          <w:iCs w:val="0"/>
          <w:sz w:val="24"/>
          <w:szCs w:val="24"/>
        </w:rPr>
        <w:t xml:space="preserve"> when the eligible respondent was not available in person and an email or textable cell phone number was available; or sign on traditional hard copy paper authorization forms. Beginning in 2023, the MEPS-HC allowed two modes for completion of self-administered questionnaires, web and paper. A web survey is requested if an email or textable cell is available for the adult; otherwise, a paper survey is offered for completion. More recently, a machine learning pipeline reviews recordings from computer-assisted recorded interviewing (CARI) to both validate that there are two speakers and evaluate for proper question administration. Results from the pipeline help prioritize cases for human review.</w:t>
      </w:r>
    </w:p>
    <w:p w:rsidR="00E35965" w:rsidP="00E35965" w14:paraId="47ED9FFE" w14:textId="00BACE1D">
      <w:pPr>
        <w:pStyle w:val="Heading2"/>
        <w:rPr>
          <w:rFonts w:ascii="Times New Roman" w:hAnsi="Times New Roman" w:cs="Times New Roman"/>
          <w:b w:val="0"/>
          <w:bCs w:val="0"/>
          <w:i w:val="0"/>
          <w:iCs w:val="0"/>
          <w:sz w:val="24"/>
          <w:szCs w:val="24"/>
        </w:rPr>
      </w:pPr>
      <w:r w:rsidRPr="006312CE">
        <w:rPr>
          <w:rFonts w:ascii="Times New Roman" w:hAnsi="Times New Roman" w:cs="Times New Roman"/>
          <w:b w:val="0"/>
          <w:bCs w:val="0"/>
          <w:i w:val="0"/>
          <w:iCs w:val="0"/>
          <w:sz w:val="24"/>
          <w:szCs w:val="24"/>
          <w:u w:val="single"/>
        </w:rPr>
        <w:t>MEPS-MPC:</w:t>
      </w:r>
      <w:r>
        <w:rPr>
          <w:rFonts w:ascii="Times New Roman" w:hAnsi="Times New Roman" w:cs="Times New Roman"/>
          <w:b w:val="0"/>
          <w:bCs w:val="0"/>
          <w:i w:val="0"/>
          <w:iCs w:val="0"/>
          <w:sz w:val="24"/>
          <w:szCs w:val="24"/>
        </w:rPr>
        <w:br/>
      </w:r>
      <w:r w:rsidRPr="009F2794">
        <w:rPr>
          <w:rFonts w:ascii="Times New Roman" w:hAnsi="Times New Roman" w:cs="Times New Roman"/>
          <w:b w:val="0"/>
          <w:bCs w:val="0"/>
          <w:i w:val="0"/>
          <w:iCs w:val="0"/>
          <w:sz w:val="24"/>
          <w:szCs w:val="24"/>
        </w:rPr>
        <w:t>The mode of administration for the MEPS-MPC (including the pharmacy component) varies based on the preferences of the provider and includes phone interviews, mail</w:t>
      </w:r>
      <w:r w:rsidR="00B9788A">
        <w:rPr>
          <w:rFonts w:ascii="Times New Roman" w:hAnsi="Times New Roman" w:cs="Times New Roman"/>
          <w:b w:val="0"/>
          <w:bCs w:val="0"/>
          <w:i w:val="0"/>
          <w:iCs w:val="0"/>
          <w:sz w:val="24"/>
          <w:szCs w:val="24"/>
        </w:rPr>
        <w:t>, fax,</w:t>
      </w:r>
      <w:r w:rsidRPr="009F2794">
        <w:rPr>
          <w:rFonts w:ascii="Times New Roman" w:hAnsi="Times New Roman" w:cs="Times New Roman"/>
          <w:b w:val="0"/>
          <w:bCs w:val="0"/>
          <w:i w:val="0"/>
          <w:iCs w:val="0"/>
          <w:sz w:val="24"/>
          <w:szCs w:val="24"/>
        </w:rPr>
        <w:t xml:space="preserve"> and electronic submission of information.</w:t>
      </w:r>
      <w:r>
        <w:rPr>
          <w:rFonts w:ascii="Times New Roman" w:hAnsi="Times New Roman" w:cs="Times New Roman"/>
          <w:b w:val="0"/>
          <w:bCs w:val="0"/>
          <w:i w:val="0"/>
          <w:iCs w:val="0"/>
          <w:sz w:val="24"/>
          <w:szCs w:val="24"/>
        </w:rPr>
        <w:t xml:space="preserve"> </w:t>
      </w:r>
      <w:r w:rsidRPr="009F2794">
        <w:rPr>
          <w:rFonts w:ascii="Times New Roman" w:hAnsi="Times New Roman" w:cs="Times New Roman"/>
          <w:b w:val="0"/>
          <w:bCs w:val="0"/>
          <w:i w:val="0"/>
          <w:iCs w:val="0"/>
          <w:sz w:val="24"/>
          <w:szCs w:val="24"/>
        </w:rPr>
        <w:t>Starting with the 2009 MEPS-MPC data collection, a computer-assisted system was developed for both interviewing and record abstraction. This Integrated Data Collection System (IDCS) supported the effort to recruit providers by telephone and to interview medical records and billing staffs of medical facilities. For providers that prefer to send hard copy records, the IDCS is used to abstract information from medical records and patient accounts.</w:t>
      </w:r>
      <w:r>
        <w:rPr>
          <w:rFonts w:ascii="Times New Roman" w:hAnsi="Times New Roman" w:cs="Times New Roman"/>
          <w:b w:val="0"/>
          <w:bCs w:val="0"/>
          <w:i w:val="0"/>
          <w:iCs w:val="0"/>
          <w:sz w:val="24"/>
          <w:szCs w:val="24"/>
        </w:rPr>
        <w:t xml:space="preserve"> </w:t>
      </w:r>
      <w:r w:rsidRPr="009F2794">
        <w:rPr>
          <w:rFonts w:ascii="Times New Roman" w:hAnsi="Times New Roman" w:cs="Times New Roman"/>
          <w:b w:val="0"/>
          <w:bCs w:val="0"/>
          <w:i w:val="0"/>
          <w:iCs w:val="0"/>
          <w:sz w:val="24"/>
          <w:szCs w:val="24"/>
        </w:rPr>
        <w:t>The IDCS consists of two main systems: 1) a Web component in ASP.Net in which the MEPS-MPC forms (Contact Guides and Event Forms) are programmed for either data entry either during telephone calls or record abstraction and 2) a Case Management System (CMS) that manages the medical providers and associated forms for call scheduling, contact information, appointment times, and event/status information</w:t>
      </w:r>
      <w:r w:rsidR="00B9788A">
        <w:rPr>
          <w:rFonts w:ascii="Times New Roman" w:hAnsi="Times New Roman" w:cs="Times New Roman"/>
          <w:b w:val="0"/>
          <w:bCs w:val="0"/>
          <w:i w:val="0"/>
          <w:iCs w:val="0"/>
          <w:sz w:val="24"/>
          <w:szCs w:val="24"/>
        </w:rPr>
        <w:t xml:space="preserve">. </w:t>
      </w:r>
    </w:p>
    <w:p w:rsidR="00BB59EA" w:rsidP="009B633D" w14:paraId="0DADD16C" w14:textId="77777777">
      <w:pPr>
        <w:jc w:val="both"/>
        <w:rPr>
          <w:i/>
        </w:rPr>
      </w:pPr>
    </w:p>
    <w:p w:rsidR="00552600" w:rsidRPr="00552600" w:rsidP="00944C66" w14:paraId="1D2ED282" w14:textId="77777777">
      <w:pPr>
        <w:jc w:val="both"/>
        <w:rPr>
          <w:iCs/>
        </w:rPr>
      </w:pPr>
      <w:r>
        <w:rPr>
          <w:iCs/>
        </w:rPr>
        <w:t>Table 1</w:t>
      </w:r>
      <w:r w:rsidR="00944C66">
        <w:rPr>
          <w:iCs/>
        </w:rPr>
        <w:t>. P</w:t>
      </w:r>
      <w:r>
        <w:rPr>
          <w:iCs/>
        </w:rPr>
        <w:t>ercent of respondent</w:t>
      </w:r>
      <w:r w:rsidR="00D309D0">
        <w:rPr>
          <w:iCs/>
        </w:rPr>
        <w:t>s</w:t>
      </w:r>
      <w:r>
        <w:rPr>
          <w:iCs/>
        </w:rPr>
        <w:t xml:space="preserve"> </w:t>
      </w:r>
      <w:r w:rsidR="00D309D0">
        <w:rPr>
          <w:iCs/>
        </w:rPr>
        <w:t>expected to</w:t>
      </w:r>
      <w:r>
        <w:rPr>
          <w:iCs/>
        </w:rPr>
        <w:t xml:space="preserve"> report their data electronically</w:t>
      </w:r>
      <w:r w:rsidR="00A102A4">
        <w:rPr>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2430"/>
      </w:tblGrid>
      <w:tr w14:paraId="0A498FC2" w14:textId="77777777" w:rsidTr="00BB59E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778" w:type="dxa"/>
          </w:tcPr>
          <w:p w:rsidR="00552600" w:rsidRPr="009555F3" w:rsidP="00BB59EA" w14:paraId="284E86B7" w14:textId="77777777">
            <w:pPr>
              <w:jc w:val="center"/>
              <w:rPr>
                <w:iCs/>
              </w:rPr>
            </w:pPr>
            <w:r w:rsidRPr="009555F3">
              <w:rPr>
                <w:iCs/>
              </w:rPr>
              <w:t>Data Collection</w:t>
            </w:r>
          </w:p>
        </w:tc>
        <w:tc>
          <w:tcPr>
            <w:tcW w:w="2430" w:type="dxa"/>
          </w:tcPr>
          <w:p w:rsidR="00552600" w:rsidRPr="009555F3" w:rsidP="00BB59EA" w14:paraId="6792EAE0" w14:textId="77777777">
            <w:pPr>
              <w:jc w:val="center"/>
              <w:rPr>
                <w:iCs/>
              </w:rPr>
            </w:pPr>
            <w:r w:rsidRPr="009555F3">
              <w:rPr>
                <w:iCs/>
              </w:rPr>
              <w:t>Percent</w:t>
            </w:r>
          </w:p>
        </w:tc>
      </w:tr>
      <w:tr w14:paraId="6FB0C326" w14:textId="77777777" w:rsidTr="00BB59EA">
        <w:tblPrEx>
          <w:tblW w:w="0" w:type="auto"/>
          <w:tblLook w:val="04A0"/>
        </w:tblPrEx>
        <w:tc>
          <w:tcPr>
            <w:tcW w:w="5778" w:type="dxa"/>
          </w:tcPr>
          <w:p w:rsidR="00552600" w:rsidRPr="009555F3" w:rsidP="009555F3" w14:paraId="431CCD09" w14:textId="5110A4F4">
            <w:pPr>
              <w:jc w:val="both"/>
              <w:rPr>
                <w:iCs/>
              </w:rPr>
            </w:pPr>
            <w:r w:rsidRPr="009555F3">
              <w:rPr>
                <w:iCs/>
              </w:rPr>
              <w:t xml:space="preserve">1. </w:t>
            </w:r>
            <w:r w:rsidR="00E35965">
              <w:rPr>
                <w:iCs/>
              </w:rPr>
              <w:t>MEPS-HC Core Interview (CAVI)</w:t>
            </w:r>
          </w:p>
        </w:tc>
        <w:tc>
          <w:tcPr>
            <w:tcW w:w="2430" w:type="dxa"/>
          </w:tcPr>
          <w:p w:rsidR="00552600" w:rsidRPr="009555F3" w:rsidP="00441E1E" w14:paraId="42F297A7" w14:textId="582DE7CA">
            <w:pPr>
              <w:jc w:val="center"/>
              <w:rPr>
                <w:iCs/>
              </w:rPr>
            </w:pPr>
            <w:r>
              <w:rPr>
                <w:iCs/>
              </w:rPr>
              <w:t>35%</w:t>
            </w:r>
          </w:p>
        </w:tc>
      </w:tr>
      <w:tr w14:paraId="0BAC69E6" w14:textId="77777777" w:rsidTr="00BB59EA">
        <w:tblPrEx>
          <w:tblW w:w="0" w:type="auto"/>
          <w:tblLook w:val="04A0"/>
        </w:tblPrEx>
        <w:tc>
          <w:tcPr>
            <w:tcW w:w="5778" w:type="dxa"/>
          </w:tcPr>
          <w:p w:rsidR="00552600" w:rsidRPr="009555F3" w:rsidP="009555F3" w14:paraId="6B3B6EB4" w14:textId="7C7DB06C">
            <w:pPr>
              <w:jc w:val="both"/>
              <w:rPr>
                <w:iCs/>
              </w:rPr>
            </w:pPr>
            <w:r w:rsidRPr="009555F3">
              <w:rPr>
                <w:iCs/>
              </w:rPr>
              <w:t>2.</w:t>
            </w:r>
            <w:r w:rsidR="00E35965">
              <w:rPr>
                <w:iCs/>
              </w:rPr>
              <w:t xml:space="preserve"> MEPS-HC SAQs</w:t>
            </w:r>
            <w:r w:rsidR="00441E1E">
              <w:rPr>
                <w:iCs/>
              </w:rPr>
              <w:t xml:space="preserve"> (web)</w:t>
            </w:r>
          </w:p>
        </w:tc>
        <w:tc>
          <w:tcPr>
            <w:tcW w:w="2430" w:type="dxa"/>
          </w:tcPr>
          <w:p w:rsidR="00552600" w:rsidRPr="009555F3" w:rsidP="00441E1E" w14:paraId="6212F0CA" w14:textId="35D23C6B">
            <w:pPr>
              <w:jc w:val="center"/>
              <w:rPr>
                <w:iCs/>
              </w:rPr>
            </w:pPr>
            <w:r>
              <w:rPr>
                <w:iCs/>
              </w:rPr>
              <w:t>85%</w:t>
            </w:r>
          </w:p>
        </w:tc>
      </w:tr>
      <w:tr w14:paraId="74C48126" w14:textId="77777777" w:rsidTr="00BB59EA">
        <w:tblPrEx>
          <w:tblW w:w="0" w:type="auto"/>
          <w:tblLook w:val="04A0"/>
        </w:tblPrEx>
        <w:tc>
          <w:tcPr>
            <w:tcW w:w="5778" w:type="dxa"/>
          </w:tcPr>
          <w:p w:rsidR="00E35965" w:rsidRPr="009555F3" w:rsidP="009555F3" w14:paraId="3535E483" w14:textId="7BA4E881">
            <w:pPr>
              <w:jc w:val="both"/>
              <w:rPr>
                <w:iCs/>
              </w:rPr>
            </w:pPr>
            <w:r>
              <w:rPr>
                <w:iCs/>
              </w:rPr>
              <w:t>3. MEPS-HC Authorization Forms</w:t>
            </w:r>
            <w:r w:rsidR="00441E1E">
              <w:rPr>
                <w:iCs/>
              </w:rPr>
              <w:t xml:space="preserve"> (eSig or Docusign)</w:t>
            </w:r>
          </w:p>
        </w:tc>
        <w:tc>
          <w:tcPr>
            <w:tcW w:w="2430" w:type="dxa"/>
          </w:tcPr>
          <w:p w:rsidR="00E35965" w:rsidRPr="009555F3" w:rsidP="00441E1E" w14:paraId="6F8C4F20" w14:textId="54185DAC">
            <w:pPr>
              <w:jc w:val="center"/>
              <w:rPr>
                <w:iCs/>
              </w:rPr>
            </w:pPr>
            <w:r>
              <w:rPr>
                <w:iCs/>
              </w:rPr>
              <w:t>99%</w:t>
            </w:r>
          </w:p>
        </w:tc>
      </w:tr>
      <w:tr w14:paraId="79E44A7C" w14:textId="77777777" w:rsidTr="00BB59EA">
        <w:tblPrEx>
          <w:tblW w:w="0" w:type="auto"/>
          <w:tblLook w:val="04A0"/>
        </w:tblPrEx>
        <w:tc>
          <w:tcPr>
            <w:tcW w:w="5778" w:type="dxa"/>
          </w:tcPr>
          <w:p w:rsidR="00E35965" w:rsidP="009555F3" w14:paraId="24849E4B" w14:textId="731FD22B">
            <w:pPr>
              <w:jc w:val="both"/>
              <w:rPr>
                <w:iCs/>
              </w:rPr>
            </w:pPr>
            <w:r>
              <w:rPr>
                <w:iCs/>
              </w:rPr>
              <w:t>4. MEPS-MPC</w:t>
            </w:r>
          </w:p>
        </w:tc>
        <w:tc>
          <w:tcPr>
            <w:tcW w:w="2430" w:type="dxa"/>
          </w:tcPr>
          <w:p w:rsidR="00E35965" w:rsidRPr="009555F3" w:rsidP="00441E1E" w14:paraId="0EB96855" w14:textId="10560FE6">
            <w:pPr>
              <w:jc w:val="center"/>
              <w:rPr>
                <w:iCs/>
              </w:rPr>
            </w:pPr>
            <w:r>
              <w:rPr>
                <w:iCs/>
              </w:rPr>
              <w:t>5.2%</w:t>
            </w:r>
          </w:p>
        </w:tc>
      </w:tr>
    </w:tbl>
    <w:p w:rsidR="00B00969" w:rsidRPr="00B00969" w:rsidP="009B633D" w14:paraId="70676156" w14:textId="77777777">
      <w:pPr>
        <w:jc w:val="both"/>
        <w:rPr>
          <w:iCs/>
        </w:rPr>
      </w:pPr>
    </w:p>
    <w:p w:rsidR="009B633D" w:rsidP="009B633D" w14:paraId="490E16B4" w14:textId="77777777">
      <w:pPr>
        <w:pStyle w:val="Heading2"/>
        <w:rPr>
          <w:sz w:val="24"/>
        </w:rPr>
      </w:pPr>
      <w:bookmarkStart w:id="21" w:name="_Toc151782179"/>
      <w:bookmarkStart w:id="22" w:name="_Toc158526219"/>
      <w:r w:rsidRPr="00983636">
        <w:rPr>
          <w:sz w:val="24"/>
        </w:rPr>
        <w:t>4. Efforts to Identify Duplication</w:t>
      </w:r>
      <w:bookmarkEnd w:id="21"/>
      <w:bookmarkEnd w:id="22"/>
    </w:p>
    <w:p w:rsidR="00D11983" w:rsidRPr="00E90423" w:rsidP="00D11983" w14:paraId="649005FE" w14:textId="77777777">
      <w:pPr>
        <w:spacing w:before="100" w:beforeAutospacing="1" w:after="100" w:afterAutospacing="1"/>
      </w:pPr>
      <w:bookmarkStart w:id="23" w:name="_Toc151782180"/>
      <w:bookmarkStart w:id="24" w:name="_Toc158526220"/>
      <w:r w:rsidRPr="00E90423">
        <w:t>There is no other survey that is now or has been recently conducted that will meet all of the objectives of the MEPS.</w:t>
      </w:r>
      <w:r>
        <w:t xml:space="preserve"> </w:t>
      </w:r>
      <w:r w:rsidRPr="00E90423">
        <w:t>Some federal surveys do collect health insurance information from households (SIPP, NHIS); however, these surveys do not collect the depth of information on health care use and expenses available in the MEPS.</w:t>
      </w:r>
      <w:r>
        <w:t xml:space="preserve"> </w:t>
      </w:r>
      <w:r w:rsidRPr="00E90423">
        <w:t>Moreover, MEPS is the only survey which links information collected from households with information collected from medical providers to inform the estimation of expenditures.</w:t>
      </w:r>
    </w:p>
    <w:p w:rsidR="009B633D" w:rsidRPr="00983636" w:rsidP="009B633D" w14:paraId="21729414" w14:textId="77777777">
      <w:pPr>
        <w:pStyle w:val="Heading2"/>
        <w:rPr>
          <w:sz w:val="24"/>
        </w:rPr>
      </w:pPr>
      <w:r w:rsidRPr="00983636">
        <w:rPr>
          <w:sz w:val="24"/>
        </w:rPr>
        <w:t>5. Involvement of Small Entities</w:t>
      </w:r>
      <w:bookmarkEnd w:id="23"/>
      <w:bookmarkEnd w:id="24"/>
    </w:p>
    <w:p w:rsidR="00D11983" w:rsidRPr="00E90423" w:rsidP="00D11983" w14:paraId="53FF3A65" w14:textId="77777777">
      <w:pPr>
        <w:spacing w:before="100" w:beforeAutospacing="1" w:after="100" w:afterAutospacing="1"/>
        <w:rPr>
          <w:i/>
        </w:rPr>
      </w:pPr>
      <w:bookmarkStart w:id="25" w:name="_Toc151782181"/>
      <w:bookmarkStart w:id="26" w:name="_Toc158526221"/>
      <w:r w:rsidRPr="00E90423">
        <w:t>The MEPS-HC collects information only from households. The MEPS-MPC will survey medical facilities, physicians, and pharmacies. Some of the MPC respondents may be small businesses. The MEPS-MPC instrument and procedures used to collect data are designed to minimize the burden on all respondents.</w:t>
      </w:r>
      <w:r>
        <w:t xml:space="preserve"> </w:t>
      </w:r>
    </w:p>
    <w:p w:rsidR="009B633D" w:rsidRPr="00983636" w:rsidP="009B633D" w14:paraId="4CD25753" w14:textId="77777777">
      <w:pPr>
        <w:pStyle w:val="Heading2"/>
        <w:rPr>
          <w:sz w:val="24"/>
        </w:rPr>
      </w:pPr>
      <w:r w:rsidRPr="00983636">
        <w:rPr>
          <w:sz w:val="24"/>
        </w:rPr>
        <w:t>6. Consequences if Information Collected Less Frequently</w:t>
      </w:r>
      <w:bookmarkEnd w:id="25"/>
      <w:bookmarkEnd w:id="26"/>
    </w:p>
    <w:p w:rsidR="00442493" w:rsidP="00442493" w14:paraId="6B3ECDC1" w14:textId="77777777">
      <w:bookmarkStart w:id="27" w:name="_Toc151782182"/>
      <w:bookmarkStart w:id="28" w:name="_Toc158526222"/>
      <w:r w:rsidRPr="007F2F36">
        <w:t>The design of the MEPS-HC in which households are contacted 5 times over the course of 2 years enables the gathering of medical use data at the event level and permits the estimation of expenditures and payments for persons by event type.</w:t>
      </w:r>
      <w:r>
        <w:t xml:space="preserve"> </w:t>
      </w:r>
      <w:r w:rsidRPr="007F2F36">
        <w:t>Reducing the number of rounds in which the data are collected would hamper the availability and quality of information due to long recall periods.</w:t>
      </w:r>
      <w:r>
        <w:t xml:space="preserve"> </w:t>
      </w:r>
    </w:p>
    <w:p w:rsidR="00442493" w:rsidRPr="007F2F36" w:rsidP="00442493" w14:paraId="6368532E" w14:textId="77777777"/>
    <w:p w:rsidR="00442493" w:rsidRPr="007F2F36" w:rsidP="00442493" w14:paraId="344C0578" w14:textId="77777777">
      <w:r w:rsidRPr="007F2F36">
        <w:t>MEPS-MPC respondents are contacted at least once during the calendar year for the preceding data collection year.</w:t>
      </w:r>
      <w:r>
        <w:t xml:space="preserve"> </w:t>
      </w:r>
      <w:r w:rsidRPr="007F2F36">
        <w:t>Sometimes a follow up contact is necessary to clarify ambiguous or collect missing information.</w:t>
      </w:r>
      <w:r>
        <w:t xml:space="preserve"> </w:t>
      </w:r>
      <w:r w:rsidRPr="007F2F36">
        <w:t xml:space="preserve">Contacts on a less frequent basis than the envisioned timetable jeopardizes the access of the study to information from records that could otherwise be destroyed or archived. </w:t>
      </w:r>
    </w:p>
    <w:p w:rsidR="009B633D" w:rsidP="009B633D" w14:paraId="7FC4D86E" w14:textId="77777777">
      <w:pPr>
        <w:pStyle w:val="Heading2"/>
        <w:rPr>
          <w:sz w:val="24"/>
        </w:rPr>
      </w:pPr>
      <w:r w:rsidRPr="00412C6F">
        <w:rPr>
          <w:sz w:val="24"/>
        </w:rPr>
        <w:t>7. Special Circumstances</w:t>
      </w:r>
      <w:bookmarkEnd w:id="27"/>
      <w:bookmarkEnd w:id="28"/>
    </w:p>
    <w:p w:rsidR="009B633D" w:rsidP="009B633D" w14:paraId="6CBEEB10" w14:textId="77777777">
      <w:pPr>
        <w:spacing w:before="120"/>
      </w:pPr>
      <w:r w:rsidRPr="004F03D2">
        <w:t>This request is consistent with the general information collection guid</w:t>
      </w:r>
      <w:r>
        <w:t>elines of 5 CFR 1320.5(d)(2).  No special circumstances apply.</w:t>
      </w:r>
    </w:p>
    <w:p w:rsidR="004E3A1B" w:rsidRPr="00350129" w:rsidP="00350129" w14:paraId="734CC636" w14:textId="77777777">
      <w:pPr>
        <w:pStyle w:val="Heading2"/>
        <w:rPr>
          <w:sz w:val="24"/>
          <w:szCs w:val="24"/>
        </w:rPr>
      </w:pPr>
      <w:bookmarkStart w:id="29" w:name="_Toc151782183"/>
      <w:bookmarkStart w:id="30" w:name="_Toc158526223"/>
      <w:r w:rsidRPr="00412C6F">
        <w:rPr>
          <w:sz w:val="24"/>
        </w:rPr>
        <w:t>8.</w:t>
      </w:r>
      <w:r w:rsidRPr="004E3A1B">
        <w:rPr>
          <w:sz w:val="24"/>
          <w:szCs w:val="24"/>
        </w:rPr>
        <w:t xml:space="preserve"> </w:t>
      </w:r>
      <w:bookmarkEnd w:id="29"/>
      <w:bookmarkEnd w:id="30"/>
      <w:r w:rsidRPr="004E3A1B">
        <w:rPr>
          <w:sz w:val="24"/>
          <w:szCs w:val="24"/>
        </w:rPr>
        <w:t>Federal Register Notice and Outside Consultations</w:t>
      </w:r>
    </w:p>
    <w:p w:rsidR="00131443" w:rsidP="004E3A1B" w14:paraId="635CFA21" w14:textId="77777777">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rsidR="00A14204" w:rsidP="00DB3058" w14:paraId="030C2475" w14:textId="46C348BE">
      <w:bookmarkStart w:id="31" w:name="OLE_LINK3"/>
      <w:bookmarkStart w:id="32" w:name="OLE_LINK4"/>
      <w:r>
        <w:t xml:space="preserve">As required by </w:t>
      </w:r>
      <w:r w:rsidR="0037771B">
        <w:t>5 CFR 1320.8(d), n</w:t>
      </w:r>
      <w:r w:rsidRPr="007B4120" w:rsidR="009374DF">
        <w:t xml:space="preserve">otice was published in the Federal Register on </w:t>
      </w:r>
      <w:r w:rsidR="004A791A">
        <w:t>December 30, 2025 (</w:t>
      </w:r>
      <w:r w:rsidR="004A791A">
        <w:rPr>
          <w:i/>
        </w:rPr>
        <w:t>90, 61150)</w:t>
      </w:r>
      <w:r w:rsidRPr="007B4120" w:rsidR="009374DF">
        <w:t xml:space="preserve"> for 60 days</w:t>
      </w:r>
      <w:r w:rsidR="00016560">
        <w:t xml:space="preserve"> </w:t>
      </w:r>
      <w:r w:rsidR="00620B93">
        <w:t>(see A</w:t>
      </w:r>
      <w:r w:rsidR="00EE4455">
        <w:t xml:space="preserve">ttachment </w:t>
      </w:r>
      <w:r w:rsidRPr="00442493" w:rsidR="00442493">
        <w:rPr>
          <w:iCs/>
        </w:rPr>
        <w:t>62</w:t>
      </w:r>
      <w:r w:rsidR="00016560">
        <w:t>)</w:t>
      </w:r>
      <w:r w:rsidR="009374DF">
        <w:t xml:space="preserve">.  </w:t>
      </w:r>
      <w:bookmarkEnd w:id="31"/>
      <w:bookmarkEnd w:id="32"/>
      <w:r w:rsidR="004A791A">
        <w:t>AHRQ received</w:t>
      </w:r>
      <w:r w:rsidR="00B8389C">
        <w:t xml:space="preserve"> </w:t>
      </w:r>
      <w:r w:rsidR="002B5C24">
        <w:t>three sets of comments</w:t>
      </w:r>
      <w:r w:rsidR="00511E83">
        <w:t xml:space="preserve"> in all</w:t>
      </w:r>
      <w:r w:rsidR="002B5C24">
        <w:t xml:space="preserve">. </w:t>
      </w:r>
      <w:r w:rsidR="004D31CE">
        <w:t>T</w:t>
      </w:r>
      <w:r w:rsidR="00F51075">
        <w:t>he</w:t>
      </w:r>
      <w:r w:rsidR="00423CA2">
        <w:t xml:space="preserve"> Bureau of Economic Analys</w:t>
      </w:r>
      <w:r w:rsidR="00F51075">
        <w:t xml:space="preserve">is </w:t>
      </w:r>
      <w:r w:rsidR="009E09A0">
        <w:t xml:space="preserve">sent a strong letter of support. The American Academy of Sleep Medicine </w:t>
      </w:r>
      <w:r w:rsidR="00F03CC8">
        <w:t>supported</w:t>
      </w:r>
      <w:r w:rsidRPr="004673DD" w:rsidR="004673DD">
        <w:t xml:space="preserve"> inclusion of questions addressing sleep medication use and difficulty sleeping</w:t>
      </w:r>
      <w:r w:rsidR="004804B0">
        <w:t xml:space="preserve"> and </w:t>
      </w:r>
      <w:r w:rsidR="004D31CE">
        <w:t xml:space="preserve">provided </w:t>
      </w:r>
      <w:r w:rsidR="009A1E67">
        <w:t xml:space="preserve">suggestions for additional questions. </w:t>
      </w:r>
      <w:r w:rsidRPr="00BD28FC" w:rsidR="00BD28FC">
        <w:t xml:space="preserve">AHRQ will evaluate the </w:t>
      </w:r>
      <w:r w:rsidR="00BD28FC">
        <w:t>suitability</w:t>
      </w:r>
      <w:r w:rsidRPr="00BD28FC" w:rsidR="00BD28FC">
        <w:t xml:space="preserve"> of these questions for future inclusion in the MEPS. </w:t>
      </w:r>
    </w:p>
    <w:p w:rsidR="00A14204" w:rsidP="00DB3058" w14:paraId="076FABAB" w14:textId="77777777"/>
    <w:p w:rsidR="001C2215" w:rsidP="00DB3058" w14:paraId="43E1895E" w14:textId="18755D6C">
      <w:r>
        <w:t>Finally, t</w:t>
      </w:r>
      <w:r w:rsidR="00A342B4">
        <w:t xml:space="preserve">he </w:t>
      </w:r>
      <w:r w:rsidR="00C164BA">
        <w:t xml:space="preserve">IPUMS </w:t>
      </w:r>
      <w:r w:rsidR="008812D4">
        <w:t>Center for Data Integration</w:t>
      </w:r>
      <w:r w:rsidR="00C164BA">
        <w:t xml:space="preserve"> at the University of Minnesota </w:t>
      </w:r>
      <w:r w:rsidR="00DB3058">
        <w:t xml:space="preserve">expressed </w:t>
      </w:r>
      <w:r w:rsidRPr="00157FCB" w:rsidR="00DB3058">
        <w:t>support of the continuation of MEPS data colle</w:t>
      </w:r>
      <w:r w:rsidR="00DB3058">
        <w:t>ction</w:t>
      </w:r>
      <w:r w:rsidR="00DF5BCE">
        <w:t xml:space="preserve"> </w:t>
      </w:r>
      <w:r w:rsidR="00E86579">
        <w:t xml:space="preserve">and </w:t>
      </w:r>
      <w:r w:rsidR="00BA5B5D">
        <w:t>concerns about the elimination of the questions on sexual orientation and gender identi</w:t>
      </w:r>
      <w:r w:rsidR="00C05CAB">
        <w:t xml:space="preserve">ty and birth control; </w:t>
      </w:r>
      <w:r w:rsidR="00ED0FA0">
        <w:t xml:space="preserve">removal of the </w:t>
      </w:r>
      <w:r w:rsidRPr="00065CD4" w:rsidR="00065CD4">
        <w:t>Burdens and Economic Impacts of Medical Care Self-Administered Questionnaire (ESAQ)</w:t>
      </w:r>
      <w:r w:rsidR="00065CD4">
        <w:t xml:space="preserve">; and </w:t>
      </w:r>
      <w:r w:rsidR="00617C87">
        <w:t>removal of the Diabetes Care Supplement</w:t>
      </w:r>
      <w:r w:rsidR="00BB7931">
        <w:t xml:space="preserve"> (DCS)</w:t>
      </w:r>
      <w:r w:rsidR="00617C87">
        <w:t xml:space="preserve">. </w:t>
      </w:r>
      <w:r w:rsidRPr="000542FF" w:rsidR="000542FF">
        <w:t xml:space="preserve">The sexual orientation and gender identity questions were previously removed from MEPS pursuant to Executive Order 14168. AHRQ continues to propose dropping the single question on counseling on birth control given the limited space available on the PSAQ in favor of questions reflecting current MAHA priorities. The ESAQ was a one-time supplement funded by the Office of the Secretary Patient-Centered Outcomes Research Trust Fund. ESAQ data will be released in August 2026 on the </w:t>
      </w:r>
      <w:r w:rsidR="00324242">
        <w:t xml:space="preserve">public use </w:t>
      </w:r>
      <w:r w:rsidRPr="000542FF" w:rsidR="000542FF">
        <w:t xml:space="preserve">2024 MEPS </w:t>
      </w:r>
      <w:r w:rsidR="00324242">
        <w:t xml:space="preserve">Full Year Consolidated File </w:t>
      </w:r>
      <w:r w:rsidRPr="000542FF" w:rsidR="000542FF">
        <w:t>as previously planned.</w:t>
      </w:r>
      <w:r w:rsidR="00CD0FDD">
        <w:t xml:space="preserve"> </w:t>
      </w:r>
      <w:r w:rsidRPr="000542FF" w:rsidR="000542FF">
        <w:t xml:space="preserve">AHRQ continues to propose removal of the </w:t>
      </w:r>
      <w:r w:rsidR="000542FF">
        <w:t xml:space="preserve">current </w:t>
      </w:r>
      <w:r w:rsidRPr="000542FF" w:rsidR="000542FF">
        <w:t>Diabetes Care Supplement. The DCS in its current form is costly to field and process</w:t>
      </w:r>
      <w:r w:rsidR="00843E39">
        <w:t>,</w:t>
      </w:r>
      <w:r w:rsidRPr="000542FF" w:rsidR="000542FF">
        <w:t xml:space="preserve"> outdated</w:t>
      </w:r>
      <w:r w:rsidR="00233B44">
        <w:t xml:space="preserve"> (</w:t>
      </w:r>
      <w:r w:rsidRPr="000542FF" w:rsidR="000542FF">
        <w:t xml:space="preserve">having been </w:t>
      </w:r>
      <w:r w:rsidR="00E37E41">
        <w:t xml:space="preserve">last </w:t>
      </w:r>
      <w:r w:rsidR="00843E39">
        <w:t>revised</w:t>
      </w:r>
      <w:r w:rsidRPr="000542FF" w:rsidR="000542FF">
        <w:t xml:space="preserve"> in 2008</w:t>
      </w:r>
      <w:r w:rsidR="00B455DD">
        <w:t>)</w:t>
      </w:r>
      <w:r w:rsidR="00843E39">
        <w:t>,</w:t>
      </w:r>
      <w:r w:rsidR="00B455DD">
        <w:t xml:space="preserve"> and</w:t>
      </w:r>
      <w:r w:rsidR="00512470">
        <w:t xml:space="preserve"> contains </w:t>
      </w:r>
      <w:r w:rsidR="007308EF">
        <w:t xml:space="preserve">several questions </w:t>
      </w:r>
      <w:r w:rsidR="00AB568C">
        <w:t>where respondent recall is questionable.</w:t>
      </w:r>
      <w:r w:rsidR="009E4343">
        <w:t xml:space="preserve"> </w:t>
      </w:r>
      <w:r w:rsidRPr="000542FF" w:rsidR="000542FF">
        <w:t>AHRQ will consider a shortened, updated version of the DCS as well as topical modules on care for other chronic conditions for future inclusion in the MEPS</w:t>
      </w:r>
      <w:r w:rsidR="000D5126">
        <w:t xml:space="preserve"> on a periodic basis</w:t>
      </w:r>
      <w:r w:rsidRPr="000542FF" w:rsidR="000542FF">
        <w:t>.</w:t>
      </w:r>
      <w:r w:rsidR="00F05700">
        <w:t xml:space="preserve"> The MEPS </w:t>
      </w:r>
      <w:r w:rsidR="00E471CC">
        <w:t>continues</w:t>
      </w:r>
      <w:r w:rsidR="00F05700">
        <w:t xml:space="preserve"> to collect </w:t>
      </w:r>
      <w:r w:rsidR="00342167">
        <w:t>detailed</w:t>
      </w:r>
      <w:r w:rsidR="00F05700">
        <w:t xml:space="preserve"> information about </w:t>
      </w:r>
      <w:r w:rsidR="00E471CC">
        <w:t>health care utilization and spending related to diabetes</w:t>
      </w:r>
      <w:r w:rsidR="00342167">
        <w:t xml:space="preserve"> care management</w:t>
      </w:r>
      <w:r w:rsidR="00E471CC">
        <w:t>, including specific medications</w:t>
      </w:r>
      <w:r w:rsidR="00342167">
        <w:t xml:space="preserve">.  </w:t>
      </w:r>
    </w:p>
    <w:p w:rsidR="009B633D" w:rsidRPr="00412C6F" w:rsidP="009B633D" w14:paraId="7926AB3E" w14:textId="77777777">
      <w:pPr>
        <w:pStyle w:val="Heading2"/>
        <w:rPr>
          <w:sz w:val="24"/>
        </w:rPr>
      </w:pPr>
      <w:r>
        <w:rPr>
          <w:sz w:val="24"/>
        </w:rPr>
        <w:t xml:space="preserve">8.b.  </w:t>
      </w:r>
      <w:r w:rsidRPr="004E3A1B">
        <w:rPr>
          <w:sz w:val="24"/>
          <w:szCs w:val="24"/>
        </w:rPr>
        <w:t>Outside Consultations</w:t>
      </w:r>
    </w:p>
    <w:p w:rsidR="00442493" w:rsidRPr="0006539E" w:rsidP="00442493" w14:paraId="71E6F9A8" w14:textId="77777777">
      <w:bookmarkStart w:id="33" w:name="_Toc457285506"/>
      <w:bookmarkStart w:id="34" w:name="_Toc58725294"/>
      <w:bookmarkStart w:id="35" w:name="_Toc151782184"/>
      <w:bookmarkStart w:id="36" w:name="_Toc158526224"/>
      <w:r w:rsidRPr="0006539E">
        <w:t>Individuals or groups outside the Agency consulted about the MEPS project over the last several years are listed below:</w:t>
      </w:r>
    </w:p>
    <w:p w:rsidR="00442493" w:rsidP="00442493" w14:paraId="45048D07" w14:textId="77777777"/>
    <w:p w:rsidR="00442493" w:rsidRPr="0006539E" w:rsidP="00442493" w14:paraId="5AA32E11" w14:textId="77777777">
      <w:pPr>
        <w:rPr>
          <w:b/>
        </w:rPr>
      </w:pPr>
      <w:r w:rsidRPr="0006539E">
        <w:rPr>
          <w:b/>
        </w:rPr>
        <w:t>Table 1.</w:t>
      </w:r>
      <w:r>
        <w:rPr>
          <w:b/>
        </w:rPr>
        <w:t xml:space="preserve"> </w:t>
      </w:r>
      <w:r w:rsidRPr="0006539E">
        <w:rPr>
          <w:b/>
        </w:rPr>
        <w:t>MEPS Consultants</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7"/>
        <w:gridCol w:w="6300"/>
      </w:tblGrid>
      <w:tr w14:paraId="0814D043" w14:textId="77777777" w:rsidTr="003A7F4E">
        <w:tblPrEx>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27" w:type="dxa"/>
          </w:tcPr>
          <w:p w:rsidR="00442493" w:rsidRPr="0006539E" w:rsidP="00155618" w14:paraId="412B2AED" w14:textId="77777777">
            <w:pPr>
              <w:rPr>
                <w:b/>
              </w:rPr>
            </w:pPr>
            <w:r w:rsidRPr="0006539E">
              <w:rPr>
                <w:b/>
              </w:rPr>
              <w:t>Name</w:t>
            </w:r>
          </w:p>
        </w:tc>
        <w:tc>
          <w:tcPr>
            <w:tcW w:w="6300" w:type="dxa"/>
          </w:tcPr>
          <w:p w:rsidR="00442493" w:rsidRPr="0006539E" w:rsidP="00155618" w14:paraId="301A9D64" w14:textId="77777777">
            <w:pPr>
              <w:rPr>
                <w:b/>
              </w:rPr>
            </w:pPr>
            <w:r w:rsidRPr="0006539E">
              <w:rPr>
                <w:b/>
              </w:rPr>
              <w:t>Affiliation</w:t>
            </w:r>
          </w:p>
        </w:tc>
      </w:tr>
      <w:tr w14:paraId="13D8352F" w14:textId="77777777" w:rsidTr="003A7F4E">
        <w:tblPrEx>
          <w:tblW w:w="9427" w:type="dxa"/>
          <w:tblInd w:w="108" w:type="dxa"/>
          <w:tblLook w:val="04A0"/>
        </w:tblPrEx>
        <w:tc>
          <w:tcPr>
            <w:tcW w:w="3127" w:type="dxa"/>
          </w:tcPr>
          <w:p w:rsidR="00442493" w:rsidRPr="0006539E" w:rsidP="00155618" w14:paraId="7F4E216E" w14:textId="618FBB24">
            <w:r>
              <w:t>Joel Cohen</w:t>
            </w:r>
            <w:r w:rsidRPr="0006539E">
              <w:t>, PhD</w:t>
            </w:r>
          </w:p>
        </w:tc>
        <w:tc>
          <w:tcPr>
            <w:tcW w:w="6300" w:type="dxa"/>
          </w:tcPr>
          <w:p w:rsidR="00442493" w:rsidRPr="0006539E" w:rsidP="00155618" w14:paraId="736564C8" w14:textId="77777777">
            <w:r w:rsidRPr="0006539E">
              <w:t>Independent Consultant</w:t>
            </w:r>
          </w:p>
        </w:tc>
      </w:tr>
      <w:tr w14:paraId="748C3991" w14:textId="77777777" w:rsidTr="003A7F4E">
        <w:tblPrEx>
          <w:tblW w:w="9427" w:type="dxa"/>
          <w:tblInd w:w="108" w:type="dxa"/>
          <w:tblLook w:val="04A0"/>
        </w:tblPrEx>
        <w:tc>
          <w:tcPr>
            <w:tcW w:w="3127" w:type="dxa"/>
          </w:tcPr>
          <w:p w:rsidR="005E0508" w:rsidRPr="0006539E" w:rsidP="00155618" w14:paraId="2989D05D" w14:textId="1AC743E9">
            <w:pPr>
              <w:rPr>
                <w:color w:val="000000"/>
              </w:rPr>
            </w:pPr>
            <w:r>
              <w:rPr>
                <w:color w:val="000000"/>
              </w:rPr>
              <w:t>Carlos Blanco, PhD</w:t>
            </w:r>
          </w:p>
        </w:tc>
        <w:tc>
          <w:tcPr>
            <w:tcW w:w="6300" w:type="dxa"/>
          </w:tcPr>
          <w:p w:rsidR="005E0508" w:rsidRPr="0006539E" w:rsidP="00155618" w14:paraId="270B38BC" w14:textId="49B8B0EB">
            <w:pPr>
              <w:rPr>
                <w:color w:val="000000"/>
              </w:rPr>
            </w:pPr>
            <w:r>
              <w:rPr>
                <w:color w:val="000000"/>
              </w:rPr>
              <w:t>National Institute of Drug Abuse</w:t>
            </w:r>
          </w:p>
        </w:tc>
      </w:tr>
      <w:tr w14:paraId="2595B5C6" w14:textId="77777777" w:rsidTr="003A7F4E">
        <w:tblPrEx>
          <w:tblW w:w="9427" w:type="dxa"/>
          <w:tblInd w:w="108" w:type="dxa"/>
          <w:tblLook w:val="04A0"/>
        </w:tblPrEx>
        <w:tc>
          <w:tcPr>
            <w:tcW w:w="3127" w:type="dxa"/>
          </w:tcPr>
          <w:p w:rsidR="005E0508" w:rsidRPr="0006539E" w:rsidP="00155618" w14:paraId="2E4E7FD4" w14:textId="0247B039">
            <w:pPr>
              <w:rPr>
                <w:color w:val="000000"/>
              </w:rPr>
            </w:pPr>
            <w:r>
              <w:rPr>
                <w:color w:val="000000"/>
              </w:rPr>
              <w:t>Stephen Blumberg, PhD</w:t>
            </w:r>
          </w:p>
        </w:tc>
        <w:tc>
          <w:tcPr>
            <w:tcW w:w="6300" w:type="dxa"/>
          </w:tcPr>
          <w:p w:rsidR="005E0508" w:rsidP="00155618" w14:paraId="636ADC97" w14:textId="77777777">
            <w:pPr>
              <w:rPr>
                <w:color w:val="000000"/>
              </w:rPr>
            </w:pPr>
            <w:r>
              <w:rPr>
                <w:color w:val="000000"/>
              </w:rPr>
              <w:t>Centers for Disease Control and Prevention</w:t>
            </w:r>
          </w:p>
          <w:p w:rsidR="00B441F5" w:rsidRPr="0006539E" w:rsidP="00155618" w14:paraId="148AA2D6" w14:textId="62C95F98">
            <w:pPr>
              <w:rPr>
                <w:color w:val="000000"/>
              </w:rPr>
            </w:pPr>
            <w:r>
              <w:rPr>
                <w:color w:val="000000"/>
              </w:rPr>
              <w:t>National Center for Health Statistics</w:t>
            </w:r>
          </w:p>
        </w:tc>
      </w:tr>
      <w:tr w14:paraId="0094D7DF" w14:textId="77777777" w:rsidTr="003A7F4E">
        <w:tblPrEx>
          <w:tblW w:w="9427" w:type="dxa"/>
          <w:tblInd w:w="108" w:type="dxa"/>
          <w:tblLook w:val="04A0"/>
        </w:tblPrEx>
        <w:tc>
          <w:tcPr>
            <w:tcW w:w="3127" w:type="dxa"/>
          </w:tcPr>
          <w:p w:rsidR="003A7F4E" w:rsidP="003A7F4E" w14:paraId="1BA71ABB" w14:textId="2D80B1BE">
            <w:pPr>
              <w:rPr>
                <w:color w:val="000000"/>
              </w:rPr>
            </w:pPr>
            <w:r>
              <w:rPr>
                <w:color w:val="000000"/>
              </w:rPr>
              <w:t>Kosali Simon, PhD</w:t>
            </w:r>
          </w:p>
        </w:tc>
        <w:tc>
          <w:tcPr>
            <w:tcW w:w="6300" w:type="dxa"/>
          </w:tcPr>
          <w:p w:rsidR="003A7F4E" w:rsidP="003A7F4E" w14:paraId="74B9378B" w14:textId="3D2FA2B6">
            <w:pPr>
              <w:rPr>
                <w:color w:val="000000"/>
              </w:rPr>
            </w:pPr>
            <w:r>
              <w:rPr>
                <w:color w:val="000000"/>
              </w:rPr>
              <w:t>Indiana University</w:t>
            </w:r>
          </w:p>
        </w:tc>
      </w:tr>
      <w:tr w14:paraId="02E712A5" w14:textId="77777777" w:rsidTr="003A7F4E">
        <w:tblPrEx>
          <w:tblW w:w="9427" w:type="dxa"/>
          <w:tblInd w:w="108" w:type="dxa"/>
          <w:tblLook w:val="04A0"/>
        </w:tblPrEx>
        <w:tc>
          <w:tcPr>
            <w:tcW w:w="3127" w:type="dxa"/>
          </w:tcPr>
          <w:p w:rsidR="003A7F4E" w:rsidP="003A7F4E" w14:paraId="0F331327" w14:textId="6782050B">
            <w:pPr>
              <w:rPr>
                <w:color w:val="000000"/>
              </w:rPr>
            </w:pPr>
            <w:r>
              <w:rPr>
                <w:color w:val="000000"/>
              </w:rPr>
              <w:t>Thomas Buchmueller, PhD</w:t>
            </w:r>
          </w:p>
        </w:tc>
        <w:tc>
          <w:tcPr>
            <w:tcW w:w="6300" w:type="dxa"/>
          </w:tcPr>
          <w:p w:rsidR="003A7F4E" w:rsidP="003A7F4E" w14:paraId="3572745E" w14:textId="02086A8A">
            <w:pPr>
              <w:rPr>
                <w:color w:val="000000"/>
              </w:rPr>
            </w:pPr>
            <w:r>
              <w:rPr>
                <w:color w:val="000000"/>
              </w:rPr>
              <w:t>University of Michigan, Ross School of Business</w:t>
            </w:r>
          </w:p>
        </w:tc>
      </w:tr>
      <w:tr w14:paraId="1EA77044" w14:textId="77777777" w:rsidTr="003A7F4E">
        <w:tblPrEx>
          <w:tblW w:w="9427" w:type="dxa"/>
          <w:tblInd w:w="108" w:type="dxa"/>
          <w:tblLook w:val="04A0"/>
        </w:tblPrEx>
        <w:tc>
          <w:tcPr>
            <w:tcW w:w="3127" w:type="dxa"/>
          </w:tcPr>
          <w:p w:rsidR="003A7F4E" w:rsidP="003A7F4E" w14:paraId="662EA3DE" w14:textId="17EBE70F">
            <w:pPr>
              <w:rPr>
                <w:color w:val="000000"/>
              </w:rPr>
            </w:pPr>
            <w:r>
              <w:rPr>
                <w:color w:val="000000"/>
              </w:rPr>
              <w:t>Katherine G. Abraham, PhD</w:t>
            </w:r>
          </w:p>
        </w:tc>
        <w:tc>
          <w:tcPr>
            <w:tcW w:w="6300" w:type="dxa"/>
          </w:tcPr>
          <w:p w:rsidR="003A7F4E" w:rsidP="003A7F4E" w14:paraId="2651794E" w14:textId="500BE365">
            <w:pPr>
              <w:rPr>
                <w:color w:val="000000"/>
              </w:rPr>
            </w:pPr>
            <w:r>
              <w:rPr>
                <w:color w:val="000000"/>
              </w:rPr>
              <w:t>Committee on National Statistics and University of Maryland</w:t>
            </w:r>
          </w:p>
        </w:tc>
      </w:tr>
      <w:tr w14:paraId="6AC7436B" w14:textId="77777777" w:rsidTr="003A7F4E">
        <w:tblPrEx>
          <w:tblW w:w="9427" w:type="dxa"/>
          <w:tblInd w:w="108" w:type="dxa"/>
          <w:tblLook w:val="04A0"/>
        </w:tblPrEx>
        <w:tc>
          <w:tcPr>
            <w:tcW w:w="3127" w:type="dxa"/>
          </w:tcPr>
          <w:p w:rsidR="003A7F4E" w:rsidP="003A7F4E" w14:paraId="59563F0B" w14:textId="620B43DF">
            <w:pPr>
              <w:rPr>
                <w:color w:val="000000"/>
              </w:rPr>
            </w:pPr>
            <w:r>
              <w:rPr>
                <w:color w:val="000000"/>
              </w:rPr>
              <w:t xml:space="preserve">Jonaki Bose, </w:t>
            </w:r>
            <w:r w:rsidR="00EF4DDE">
              <w:rPr>
                <w:color w:val="000000"/>
              </w:rPr>
              <w:t>M. Sc</w:t>
            </w:r>
          </w:p>
        </w:tc>
        <w:tc>
          <w:tcPr>
            <w:tcW w:w="6300" w:type="dxa"/>
          </w:tcPr>
          <w:p w:rsidR="003A7F4E" w:rsidP="003A7F4E" w14:paraId="1C576F46" w14:textId="77777777">
            <w:pPr>
              <w:rPr>
                <w:color w:val="000000"/>
              </w:rPr>
            </w:pPr>
            <w:r>
              <w:rPr>
                <w:color w:val="000000"/>
              </w:rPr>
              <w:t>Centers for Disease Control and Prevention</w:t>
            </w:r>
          </w:p>
          <w:p w:rsidR="003A7F4E" w:rsidP="003A7F4E" w14:paraId="5CBD71E5" w14:textId="6154948A">
            <w:pPr>
              <w:rPr>
                <w:color w:val="000000"/>
              </w:rPr>
            </w:pPr>
            <w:r>
              <w:rPr>
                <w:color w:val="000000"/>
              </w:rPr>
              <w:t>National Center for Health Statistics</w:t>
            </w:r>
          </w:p>
        </w:tc>
      </w:tr>
      <w:tr w14:paraId="73498CD9" w14:textId="77777777" w:rsidTr="003A7F4E">
        <w:tblPrEx>
          <w:tblW w:w="9427" w:type="dxa"/>
          <w:tblInd w:w="108" w:type="dxa"/>
          <w:tblLook w:val="04A0"/>
        </w:tblPrEx>
        <w:tc>
          <w:tcPr>
            <w:tcW w:w="3127" w:type="dxa"/>
          </w:tcPr>
          <w:p w:rsidR="003A7F4E" w:rsidRPr="0006539E" w:rsidP="003A7F4E" w14:paraId="258E578C" w14:textId="04D3503F">
            <w:pPr>
              <w:rPr>
                <w:color w:val="000000"/>
              </w:rPr>
            </w:pPr>
            <w:r>
              <w:rPr>
                <w:color w:val="000000"/>
              </w:rPr>
              <w:t>Abe C. Dunn, PhD</w:t>
            </w:r>
          </w:p>
        </w:tc>
        <w:tc>
          <w:tcPr>
            <w:tcW w:w="6300" w:type="dxa"/>
          </w:tcPr>
          <w:p w:rsidR="003A7F4E" w:rsidRPr="0006539E" w:rsidP="003A7F4E" w14:paraId="60C150E7" w14:textId="39BA39C2">
            <w:pPr>
              <w:rPr>
                <w:color w:val="000000"/>
              </w:rPr>
            </w:pPr>
            <w:r>
              <w:rPr>
                <w:color w:val="000000"/>
              </w:rPr>
              <w:t>Bureau of Economic Analysis, U.S. Department of Commerce</w:t>
            </w:r>
          </w:p>
        </w:tc>
      </w:tr>
      <w:tr w14:paraId="38B7B047" w14:textId="77777777" w:rsidTr="003A7F4E">
        <w:tblPrEx>
          <w:tblW w:w="9427" w:type="dxa"/>
          <w:tblInd w:w="108" w:type="dxa"/>
          <w:tblLook w:val="04A0"/>
        </w:tblPrEx>
        <w:tc>
          <w:tcPr>
            <w:tcW w:w="3127" w:type="dxa"/>
          </w:tcPr>
          <w:p w:rsidR="003A7F4E" w:rsidRPr="0006539E" w:rsidP="003A7F4E" w14:paraId="69117456" w14:textId="38469C25">
            <w:pPr>
              <w:rPr>
                <w:color w:val="000000"/>
              </w:rPr>
            </w:pPr>
            <w:r>
              <w:rPr>
                <w:color w:val="000000"/>
              </w:rPr>
              <w:t>Todd Wagner, PhD</w:t>
            </w:r>
          </w:p>
        </w:tc>
        <w:tc>
          <w:tcPr>
            <w:tcW w:w="6300" w:type="dxa"/>
          </w:tcPr>
          <w:p w:rsidR="003A7F4E" w:rsidRPr="0006539E" w:rsidP="003A7F4E" w14:paraId="5DA9087E" w14:textId="07E11B06">
            <w:pPr>
              <w:rPr>
                <w:color w:val="000000"/>
              </w:rPr>
            </w:pPr>
            <w:r>
              <w:rPr>
                <w:color w:val="000000"/>
              </w:rPr>
              <w:t>Health Economics Research Center, Department of Veterans Affairs and Stanford University</w:t>
            </w:r>
          </w:p>
        </w:tc>
      </w:tr>
      <w:tr w14:paraId="5075BBC8" w14:textId="77777777" w:rsidTr="003A7F4E">
        <w:tblPrEx>
          <w:tblW w:w="9427" w:type="dxa"/>
          <w:tblInd w:w="108" w:type="dxa"/>
          <w:tblLook w:val="04A0"/>
        </w:tblPrEx>
        <w:tc>
          <w:tcPr>
            <w:tcW w:w="3127" w:type="dxa"/>
          </w:tcPr>
          <w:p w:rsidR="003A7F4E" w:rsidRPr="0006539E" w:rsidP="003A7F4E" w14:paraId="7C9F946A" w14:textId="3FB9D21E">
            <w:pPr>
              <w:rPr>
                <w:color w:val="000000"/>
              </w:rPr>
            </w:pPr>
            <w:r>
              <w:rPr>
                <w:color w:val="000000"/>
              </w:rPr>
              <w:t>Lynn Blewett, PhD</w:t>
            </w:r>
          </w:p>
        </w:tc>
        <w:tc>
          <w:tcPr>
            <w:tcW w:w="6300" w:type="dxa"/>
          </w:tcPr>
          <w:p w:rsidR="003A7F4E" w:rsidRPr="0006539E" w:rsidP="003A7F4E" w14:paraId="110D90B9" w14:textId="7885EAC2">
            <w:pPr>
              <w:rPr>
                <w:color w:val="000000"/>
              </w:rPr>
            </w:pPr>
            <w:r>
              <w:rPr>
                <w:color w:val="000000"/>
              </w:rPr>
              <w:t>University of Minnesota, IPUMS Health Surveys</w:t>
            </w:r>
          </w:p>
        </w:tc>
      </w:tr>
    </w:tbl>
    <w:p w:rsidR="004E5950" w:rsidP="0037771B" w14:paraId="04D50836" w14:textId="77777777">
      <w:pPr>
        <w:spacing w:after="240"/>
        <w:rPr>
          <w:i/>
        </w:rPr>
      </w:pPr>
    </w:p>
    <w:p w:rsidR="003B2FCC" w:rsidRPr="00B9788A" w:rsidP="0037771B" w14:paraId="1C82576A" w14:textId="35190A50">
      <w:pPr>
        <w:spacing w:after="240"/>
        <w:rPr>
          <w:iCs/>
        </w:rPr>
      </w:pPr>
      <w:r w:rsidRPr="00B9788A">
        <w:rPr>
          <w:iCs/>
        </w:rPr>
        <w:t>AHRQ</w:t>
      </w:r>
      <w:r w:rsidRPr="00B9788A" w:rsidR="0037771B">
        <w:rPr>
          <w:iCs/>
        </w:rPr>
        <w:t xml:space="preserve"> consult</w:t>
      </w:r>
      <w:r w:rsidRPr="00B9788A">
        <w:rPr>
          <w:iCs/>
        </w:rPr>
        <w:t>s</w:t>
      </w:r>
      <w:r w:rsidRPr="00B9788A" w:rsidR="0037771B">
        <w:rPr>
          <w:iCs/>
        </w:rPr>
        <w:t xml:space="preserve"> with persons outside the agency</w:t>
      </w:r>
      <w:r w:rsidRPr="00B9788A">
        <w:rPr>
          <w:iCs/>
        </w:rPr>
        <w:t xml:space="preserve">, including within HHS, </w:t>
      </w:r>
      <w:r w:rsidRPr="00B9788A" w:rsidR="0037771B">
        <w:rPr>
          <w:iCs/>
        </w:rPr>
        <w:t xml:space="preserve">to obtain their views on the availability of data, frequency of collection, the clarity of instructions and recordkeeping, disclosure, or reporting format (if any), and on the data elements to be recorded, disclosed, or reported. </w:t>
      </w:r>
      <w:r w:rsidRPr="00B9788A">
        <w:rPr>
          <w:iCs/>
        </w:rPr>
        <w:t>These consultations include:</w:t>
      </w:r>
      <w:r w:rsidRPr="00B9788A" w:rsidR="0037771B">
        <w:rPr>
          <w:iCs/>
        </w:rPr>
        <w:br/>
      </w:r>
    </w:p>
    <w:p w:rsidR="00115661" w:rsidRPr="00B9788A" w:rsidP="00115661" w14:paraId="6E7085D2" w14:textId="77777777">
      <w:pPr>
        <w:numPr>
          <w:ilvl w:val="0"/>
          <w:numId w:val="38"/>
        </w:numPr>
        <w:spacing w:after="240"/>
        <w:rPr>
          <w:iCs/>
        </w:rPr>
      </w:pPr>
      <w:r w:rsidRPr="00B9788A">
        <w:rPr>
          <w:iCs/>
        </w:rPr>
        <w:t>Ongoing consultations with other agencies in the department through the HHS Data Council</w:t>
      </w:r>
    </w:p>
    <w:p w:rsidR="00115661" w:rsidRPr="00B9788A" w:rsidP="00115661" w14:paraId="6DCABD33" w14:textId="77777777">
      <w:pPr>
        <w:numPr>
          <w:ilvl w:val="0"/>
          <w:numId w:val="38"/>
        </w:numPr>
        <w:spacing w:after="240"/>
        <w:rPr>
          <w:iCs/>
        </w:rPr>
      </w:pPr>
      <w:r w:rsidRPr="00B9788A">
        <w:rPr>
          <w:iCs/>
        </w:rPr>
        <w:t>Regular discussions with staff from NCHS on sample design and disclosure issues.  All MEPS data elements appearing on the MEPS Public Use Files are reviewed and cleared by the NCHS Data Review Board</w:t>
      </w:r>
    </w:p>
    <w:p w:rsidR="00115661" w:rsidRPr="00B9788A" w:rsidP="00115661" w14:paraId="15C94DBC" w14:textId="77777777">
      <w:pPr>
        <w:numPr>
          <w:ilvl w:val="0"/>
          <w:numId w:val="38"/>
        </w:numPr>
        <w:spacing w:after="240"/>
        <w:rPr>
          <w:iCs/>
        </w:rPr>
      </w:pPr>
      <w:r w:rsidRPr="00B9788A">
        <w:rPr>
          <w:iCs/>
        </w:rPr>
        <w:t>Regular consultations with staff from the IPUMS-MEPS Health Surveys team at the University of Minnesota on data availability, data elements, reporting formats, and other issues.  The IPUMS-MEPS project is a major disseminator of MEPS data (with support from the NIH)</w:t>
      </w:r>
    </w:p>
    <w:p w:rsidR="00115661" w:rsidRPr="00B9788A" w:rsidP="00115661" w14:paraId="66B7D0AE" w14:textId="77777777">
      <w:pPr>
        <w:numPr>
          <w:ilvl w:val="0"/>
          <w:numId w:val="38"/>
        </w:numPr>
        <w:spacing w:after="240"/>
        <w:rPr>
          <w:iCs/>
        </w:rPr>
      </w:pPr>
      <w:r w:rsidRPr="00B9788A">
        <w:rPr>
          <w:iCs/>
        </w:rPr>
        <w:t xml:space="preserve">Regular participation in monthly meetings of the MEPS Working Group organized by the National Cancer Institute, which has sponsored several supplemental MEPS self-administered questionnaires most recently in 2024.  </w:t>
      </w:r>
    </w:p>
    <w:p w:rsidR="00115661" w:rsidRPr="00B9788A" w:rsidP="00115661" w14:paraId="34CD8392" w14:textId="65379C26">
      <w:pPr>
        <w:numPr>
          <w:ilvl w:val="0"/>
          <w:numId w:val="38"/>
        </w:numPr>
        <w:spacing w:after="240"/>
        <w:rPr>
          <w:iCs/>
        </w:rPr>
      </w:pPr>
      <w:r w:rsidRPr="00B9788A">
        <w:rPr>
          <w:iCs/>
        </w:rPr>
        <w:t xml:space="preserve">Panel Session “Modernization of the Medical Expenditure Panel Survey (MEPS)” at the 2024 </w:t>
      </w:r>
      <w:r w:rsidRPr="00B9788A" w:rsidR="00EF4DDE">
        <w:rPr>
          <w:iCs/>
        </w:rPr>
        <w:t>Academy Health</w:t>
      </w:r>
      <w:r w:rsidRPr="00B9788A">
        <w:rPr>
          <w:iCs/>
        </w:rPr>
        <w:t xml:space="preserve"> Annual Research Meeting where AHRQ solicited ideas through formal presentations by long-time MEPS users Kosali Simon, Indiana University, and Thomas Buchmueller, U. of Michigan Ross School of Business and from audience members.  </w:t>
      </w:r>
    </w:p>
    <w:p w:rsidR="007D20DE" w:rsidP="00B9788A" w14:paraId="13E2BDE1" w14:textId="3B3F0255">
      <w:pPr>
        <w:rPr>
          <w:iCs/>
        </w:rPr>
      </w:pPr>
      <w:r w:rsidRPr="00B9788A">
        <w:rPr>
          <w:iCs/>
        </w:rPr>
        <w:t xml:space="preserve">There are no unresolved </w:t>
      </w:r>
      <w:r w:rsidRPr="00B9788A">
        <w:t>issues</w:t>
      </w:r>
      <w:r w:rsidRPr="00B9788A">
        <w:rPr>
          <w:iCs/>
        </w:rPr>
        <w:t xml:space="preserve"> </w:t>
      </w:r>
      <w:r w:rsidR="00B9788A">
        <w:rPr>
          <w:iCs/>
        </w:rPr>
        <w:t>from these consultations</w:t>
      </w:r>
      <w:r w:rsidRPr="00B9788A">
        <w:rPr>
          <w:iCs/>
        </w:rPr>
        <w:t>.</w:t>
      </w:r>
    </w:p>
    <w:p w:rsidR="00B9788A" w:rsidRPr="00B9788A" w:rsidP="00B9788A" w14:paraId="076AD2B3" w14:textId="77777777">
      <w:pPr>
        <w:rPr>
          <w:iCs/>
        </w:rPr>
      </w:pPr>
    </w:p>
    <w:p w:rsidR="0038217D" w:rsidRPr="0038217D" w:rsidP="0038217D" w14:paraId="450AF96A" w14:textId="77777777">
      <w:pPr>
        <w:pStyle w:val="Heading2"/>
        <w:rPr>
          <w:sz w:val="24"/>
        </w:rPr>
      </w:pPr>
      <w:r w:rsidRPr="00412C6F">
        <w:t>9. Payments/Gifts to Respondents</w:t>
      </w:r>
      <w:bookmarkEnd w:id="33"/>
      <w:bookmarkEnd w:id="34"/>
      <w:bookmarkEnd w:id="35"/>
      <w:bookmarkEnd w:id="36"/>
    </w:p>
    <w:p w:rsidR="00B915F1" w:rsidRPr="00825DA9" w:rsidP="00442493" w14:paraId="506BE36A" w14:textId="27EC0774">
      <w:pPr>
        <w:rPr>
          <w:i/>
        </w:rPr>
      </w:pPr>
      <w:r w:rsidRPr="0006539E">
        <w:t xml:space="preserve">MEPS-HC respondents will be offered a monetary gift as a token of appreciation for their participation in the MEPS. A gift has been offered to respondents at the end of each round since the inception of MEPS in 1996; the current amount of $50 per round has been in place since 2011 (OMB approval obtained January 26, </w:t>
      </w:r>
      <w:r w:rsidRPr="0006539E" w:rsidR="00EF4DDE">
        <w:t>2010,</w:t>
      </w:r>
      <w:r w:rsidRPr="0006539E">
        <w:t xml:space="preserve"> version 1).</w:t>
      </w:r>
      <w:r>
        <w:t xml:space="preserve"> </w:t>
      </w:r>
      <w:r w:rsidRPr="0006539E">
        <w:t>For household respondents, participation includes not only time being interviewed but also keeping track of their medical events and expenditures between interviews.</w:t>
      </w:r>
      <w:r>
        <w:t xml:space="preserve"> </w:t>
      </w:r>
      <w:r w:rsidRPr="0006539E">
        <w:t>Household respondents will be informed of the gift at the first in-person contact and all eligible respondents will be given the same amount.</w:t>
      </w:r>
    </w:p>
    <w:p w:rsidR="009B633D" w:rsidRPr="00412C6F" w:rsidP="009B633D" w14:paraId="560041E2" w14:textId="77777777">
      <w:pPr>
        <w:pStyle w:val="Heading2"/>
        <w:rPr>
          <w:sz w:val="24"/>
        </w:rPr>
      </w:pPr>
      <w:bookmarkStart w:id="37" w:name="_Toc151782185"/>
      <w:bookmarkStart w:id="38" w:name="_Toc158526225"/>
      <w:r w:rsidRPr="00412C6F">
        <w:rPr>
          <w:sz w:val="24"/>
        </w:rPr>
        <w:t>10. Assurance of Confidentiality</w:t>
      </w:r>
      <w:bookmarkEnd w:id="37"/>
      <w:bookmarkEnd w:id="38"/>
    </w:p>
    <w:p w:rsidR="008F0B8B" w:rsidP="008F0B8B" w14:paraId="62EC55EA" w14:textId="6EBDCB09">
      <w:pPr>
        <w:autoSpaceDE w:val="0"/>
        <w:autoSpaceDN w:val="0"/>
        <w:adjustRightInd w:val="0"/>
      </w:pPr>
      <w:bookmarkStart w:id="39" w:name="_Hlk150381190"/>
      <w:bookmarkStart w:id="40" w:name="_Hlk167291276"/>
      <w:r w:rsidRPr="009041D3">
        <w:t>Data will be kept private to the extent allowed by law</w:t>
      </w:r>
      <w:r>
        <w:t xml:space="preserve">. </w:t>
      </w:r>
      <w:bookmarkEnd w:id="39"/>
      <w:bookmarkEnd w:id="40"/>
      <w:r w:rsidRPr="00012921" w:rsidR="00012921">
        <w:t>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w:t>
      </w:r>
      <w:r w:rsidR="00012921">
        <w:t>.</w:t>
      </w:r>
      <w:r>
        <w:t xml:space="preserve"> </w:t>
      </w:r>
      <w:r w:rsidRPr="0006539E" w:rsidR="00442493">
        <w:t>This research project will be carried out in compliance with these confidentiality statutes.</w:t>
      </w:r>
    </w:p>
    <w:p w:rsidR="008F0B8B" w:rsidP="008F0B8B" w14:paraId="1FA8D18B" w14:textId="77777777">
      <w:pPr>
        <w:autoSpaceDE w:val="0"/>
        <w:autoSpaceDN w:val="0"/>
        <w:adjustRightInd w:val="0"/>
      </w:pPr>
    </w:p>
    <w:p w:rsidR="009A5B10" w:rsidP="008F0B8B" w14:paraId="3AA7A266" w14:textId="0B37025D">
      <w:pPr>
        <w:autoSpaceDE w:val="0"/>
        <w:autoSpaceDN w:val="0"/>
        <w:adjustRightInd w:val="0"/>
      </w:pPr>
      <w:r>
        <w:t>Information that can directly identify the respondent, such as name</w:t>
      </w:r>
      <w:r w:rsidR="00442493">
        <w:t xml:space="preserve"> and contact information</w:t>
      </w:r>
      <w:r>
        <w:t xml:space="preserve"> </w:t>
      </w:r>
      <w:r w:rsidRPr="00442493">
        <w:rPr>
          <w:iCs/>
        </w:rPr>
        <w:t>will</w:t>
      </w:r>
      <w:r w:rsidRPr="00B825D0" w:rsidR="005B2955">
        <w:t xml:space="preserve"> </w:t>
      </w:r>
      <w:r>
        <w:t>be collected.</w:t>
      </w:r>
      <w:r w:rsidR="00B92941">
        <w:t xml:space="preserve"> </w:t>
      </w:r>
      <w:r w:rsidR="00583906">
        <w:t xml:space="preserve">MEPS contractors </w:t>
      </w:r>
      <w:r w:rsidRPr="00583906" w:rsidR="00583906">
        <w:t xml:space="preserve">develop and operate all </w:t>
      </w:r>
      <w:r w:rsidR="00583906">
        <w:t xml:space="preserve">information </w:t>
      </w:r>
      <w:r w:rsidRPr="00583906" w:rsidR="00583906">
        <w:t>systems in conformance with the standards set forth by the Federal Information Security Management Act (FISMA) and National Institute of Standards and Technology (NIST) Special Publication (SP) 800-37, Guide for the Security Certification and Accreditation of Federal Information Systems.</w:t>
      </w:r>
      <w:r w:rsidR="00583906">
        <w:t xml:space="preserve"> </w:t>
      </w:r>
      <w:r>
        <w:t>Field interviewer laptops remove interview data after transmission of a completed survey. Hard copy materials are kept locked in secure areas and are destroyed</w:t>
      </w:r>
      <w:r w:rsidR="00E94C7C">
        <w:t xml:space="preserve"> as soon as they are no longer needed.</w:t>
      </w:r>
    </w:p>
    <w:p w:rsidR="009A5B10" w:rsidP="008F0B8B" w14:paraId="592CC0D1" w14:textId="77777777">
      <w:pPr>
        <w:autoSpaceDE w:val="0"/>
        <w:autoSpaceDN w:val="0"/>
        <w:adjustRightInd w:val="0"/>
      </w:pPr>
    </w:p>
    <w:p w:rsidR="00F952FA" w:rsidRPr="00DB49A0" w:rsidP="008F0B8B" w14:paraId="7AC29030" w14:textId="15CD0587">
      <w:pPr>
        <w:autoSpaceDE w:val="0"/>
        <w:autoSpaceDN w:val="0"/>
        <w:adjustRightInd w:val="0"/>
        <w:rPr>
          <w:i/>
          <w:szCs w:val="22"/>
        </w:rPr>
      </w:pPr>
      <w:r>
        <w:t>All contractor staff sign an affidavit that outlines the importance of confidentiality, individual responsibilities, and the applicable laws and penalties for unauthorized disclosure. Data collection staff are subject to background checks, receive extensive training about confidentiality and data security, and are monitored by supervisors. Project staff complete annual data security training.</w:t>
      </w:r>
      <w:r>
        <w:t xml:space="preserve"> </w:t>
      </w:r>
      <w:r w:rsidR="00FD1595">
        <w:t xml:space="preserve">The Data Security Plan (see Appendix A) provides </w:t>
      </w:r>
      <w:r w:rsidR="003467A9">
        <w:t>additional information about the security procedures implemented for MEPS</w:t>
      </w:r>
      <w:r w:rsidR="007C3B68">
        <w:t>, including the safe transmission of data and its confidentiality requirements.</w:t>
      </w:r>
    </w:p>
    <w:p w:rsidR="00442493" w:rsidRPr="001B234D" w:rsidP="00442493" w14:paraId="0BAB1A22" w14:textId="768DEBC1">
      <w:pPr>
        <w:spacing w:before="100" w:beforeAutospacing="1" w:after="100" w:afterAutospacing="1"/>
      </w:pPr>
      <w:bookmarkStart w:id="41" w:name="_Toc151782186"/>
      <w:bookmarkStart w:id="42" w:name="_Toc158526226"/>
      <w:r>
        <w:t xml:space="preserve">In accordance with 5 CFR § 1320.8(b)(3) the following Privacy Act statement is printed on the MEPS data collection forms. </w:t>
      </w:r>
      <w:r w:rsidRPr="00232656">
        <w:t xml:space="preserve">This survey is authorized under 42 U.S.C. 299a. </w:t>
      </w:r>
      <w:r w:rsidRPr="006D3A15">
        <w:t xml:space="preserve">Privacy is protected by the Privacy Act and Section 308(d) of the Public Health Service Act [42 U.S.C. 299c-3(c) and 42 U.S.C. 242m(d)]. </w:t>
      </w:r>
      <w:r>
        <w:t>T</w:t>
      </w:r>
      <w:r w:rsidRPr="00232656">
        <w:t xml:space="preserve">he confidentiality of your responses to this survey is protected by Section 944(c) of the Public Health Service Act [42 U.S.C. 299c-3(c) and 42 U.S.C. 242m(d)]. Information that could identify you will not be disclosed unless you have consented to that disclosure. </w:t>
      </w:r>
      <w:r w:rsidR="000C18EC">
        <w:t xml:space="preserve">The estimated time to complete each form in the survey is </w:t>
      </w:r>
      <w:r w:rsidRPr="000C18EC" w:rsidR="000C18EC">
        <w:t>shown in Exhibit 1 for each form</w:t>
      </w:r>
      <w:r w:rsidR="000C18EC">
        <w:t>.</w:t>
      </w:r>
      <w:r w:rsidRPr="000C18EC" w:rsidR="000C18EC">
        <w:t xml:space="preserve"> </w:t>
      </w:r>
      <w:r w:rsidRPr="00232656">
        <w:t>An agency may not conduct or sponsor, and a person is not required to respond to, a collection of information unless it displays a currently valid OMB control number.</w:t>
      </w:r>
      <w:r>
        <w:t xml:space="preserve"> </w:t>
      </w:r>
      <w:r w:rsidRPr="006D3A15">
        <w:t xml:space="preserve">This information collection is </w:t>
      </w:r>
      <w:r>
        <w:t xml:space="preserve">voluntary. </w:t>
      </w:r>
      <w:r w:rsidRPr="00232656">
        <w:t>The data</w:t>
      </w:r>
      <w:r>
        <w:t xml:space="preserve"> you</w:t>
      </w:r>
      <w:r w:rsidRPr="00232656">
        <w:t xml:space="preserve"> provide will help AHRQ’s mission to produce evidence to make health care safer, higher quality, more accessible, equitable, and affordable.</w:t>
      </w:r>
      <w:r>
        <w:t xml:space="preserve"> </w:t>
      </w:r>
      <w:r w:rsidRPr="00232656">
        <w:t>Send comments regarding this burden estimate or any other aspect of this collection of information, including suggestions for reducing this burden, to: AHRQ Reports Clearance Officer Attention: PRA, Paperwork Reduction Project (OMB control number 0935-0118</w:t>
      </w:r>
      <w:r w:rsidRPr="00232656" w:rsidR="00CF5137">
        <w:t>) Email</w:t>
      </w:r>
      <w:r w:rsidR="000C18EC">
        <w:t>:</w:t>
      </w:r>
      <w:r>
        <w:t xml:space="preserve"> REPORTSCLEARANCEOFFICER@ahrq.hhs.gov</w:t>
      </w:r>
      <w:r w:rsidRPr="00232656">
        <w:t>.</w:t>
      </w:r>
    </w:p>
    <w:p w:rsidR="009B633D" w:rsidRPr="00412C6F" w:rsidP="009B633D" w14:paraId="6E1E9D40" w14:textId="77777777">
      <w:pPr>
        <w:pStyle w:val="Heading2"/>
        <w:rPr>
          <w:sz w:val="24"/>
        </w:rPr>
      </w:pPr>
      <w:r w:rsidRPr="00412C6F">
        <w:rPr>
          <w:sz w:val="24"/>
        </w:rPr>
        <w:t>11. Questions of a Sensitive Nature</w:t>
      </w:r>
      <w:bookmarkEnd w:id="41"/>
      <w:bookmarkEnd w:id="42"/>
    </w:p>
    <w:p w:rsidR="00E80D41" w:rsidP="00E80D41" w14:paraId="1880D11B" w14:textId="2241951D">
      <w:r w:rsidRPr="0006539E">
        <w:t>The MEPS questionnaires for the Household Component include questions on income</w:t>
      </w:r>
      <w:r>
        <w:t xml:space="preserve"> </w:t>
      </w:r>
      <w:r w:rsidRPr="0006539E">
        <w:t>and medical conditions that some respondents may perceive as sensitive.</w:t>
      </w:r>
      <w:r w:rsidR="00D93D3B">
        <w:t xml:space="preserve"> These questions are necessary for MEPS to meet the goals described in section 1.</w:t>
      </w:r>
    </w:p>
    <w:p w:rsidR="00E80D41" w:rsidP="00E80D41" w14:paraId="3D076E83" w14:textId="77777777">
      <w:pPr>
        <w:rPr>
          <w:i/>
        </w:rPr>
      </w:pPr>
    </w:p>
    <w:p w:rsidR="009B633D" w:rsidRPr="00412C6F" w:rsidP="009B633D" w14:paraId="1BAB0594" w14:textId="77777777">
      <w:pPr>
        <w:pStyle w:val="Heading2"/>
        <w:rPr>
          <w:sz w:val="24"/>
        </w:rPr>
      </w:pPr>
      <w:bookmarkStart w:id="43" w:name="_Toc151782187"/>
      <w:bookmarkStart w:id="44" w:name="_Toc158526227"/>
      <w:r w:rsidRPr="00412C6F">
        <w:rPr>
          <w:sz w:val="24"/>
        </w:rPr>
        <w:t>12. Estimates of Annualized Burden Hours and Costs</w:t>
      </w:r>
      <w:bookmarkEnd w:id="43"/>
      <w:bookmarkEnd w:id="44"/>
    </w:p>
    <w:p w:rsidR="00E80D41" w:rsidP="00E80D41" w14:paraId="3DC4E256" w14:textId="77777777">
      <w:pPr>
        <w:tabs>
          <w:tab w:val="left" w:pos="0"/>
        </w:tabs>
        <w:rPr>
          <w:bCs/>
        </w:rPr>
      </w:pPr>
      <w:bookmarkStart w:id="45" w:name="_Hlk216436717"/>
      <w:r w:rsidRPr="00442DD5">
        <w:rPr>
          <w:bCs/>
        </w:rPr>
        <w:t>Exhibit 1 shows the estimated annualized burden hours for the respondents' time to participate in the MEPS-HC and the MEPS-MPC</w:t>
      </w:r>
      <w:r>
        <w:rPr>
          <w:bCs/>
        </w:rPr>
        <w:t>.</w:t>
      </w:r>
    </w:p>
    <w:p w:rsidR="00E80D41" w:rsidP="00E80D41" w14:paraId="69AFA720" w14:textId="77777777">
      <w:pPr>
        <w:tabs>
          <w:tab w:val="left" w:pos="0"/>
        </w:tabs>
        <w:rPr>
          <w:bCs/>
        </w:rPr>
      </w:pPr>
    </w:p>
    <w:p w:rsidR="00E80D41" w:rsidRPr="00446831" w:rsidP="00E80D41" w14:paraId="205EA85E" w14:textId="77777777">
      <w:pPr>
        <w:tabs>
          <w:tab w:val="left" w:pos="0"/>
        </w:tabs>
        <w:rPr>
          <w:b/>
        </w:rPr>
      </w:pPr>
      <w:r w:rsidRPr="00446831">
        <w:rPr>
          <w:b/>
          <w:i/>
          <w:iCs/>
        </w:rPr>
        <w:t>MEPS-HC:</w:t>
      </w:r>
    </w:p>
    <w:p w:rsidR="00E80D41" w:rsidRPr="008B65E7" w:rsidP="00E80D41" w14:paraId="6A6DE015" w14:textId="77777777">
      <w:pPr>
        <w:pStyle w:val="ListParagraph"/>
        <w:numPr>
          <w:ilvl w:val="0"/>
          <w:numId w:val="36"/>
        </w:numPr>
        <w:tabs>
          <w:tab w:val="left" w:pos="0"/>
        </w:tabs>
        <w:rPr>
          <w:bCs/>
        </w:rPr>
      </w:pPr>
      <w:r w:rsidRPr="008B65E7">
        <w:rPr>
          <w:bCs/>
          <w:i/>
          <w:iCs/>
        </w:rPr>
        <w:t>MEPS-HC Core Interview</w:t>
      </w:r>
      <w:r w:rsidRPr="008B65E7">
        <w:rPr>
          <w:bCs/>
        </w:rPr>
        <w:t xml:space="preserve"> - completed by 10,350 "family level" respondents. Since the MEPS-HC typically consists of 5 rounds of interviewing covering a full two years of data, the annual average number of responses per respondent is 2.5 responses per year. The MEPS-HC core requires an average response time of 87 minutes to administer.</w:t>
      </w:r>
    </w:p>
    <w:p w:rsidR="00E80D41" w:rsidRPr="008B65E7" w:rsidP="00E80D41" w14:paraId="143A7FD7" w14:textId="5045F149">
      <w:pPr>
        <w:pStyle w:val="ListParagraph"/>
        <w:numPr>
          <w:ilvl w:val="0"/>
          <w:numId w:val="36"/>
        </w:numPr>
        <w:tabs>
          <w:tab w:val="left" w:pos="0"/>
        </w:tabs>
        <w:rPr>
          <w:bCs/>
        </w:rPr>
      </w:pPr>
      <w:r w:rsidRPr="008B65E7">
        <w:rPr>
          <w:bCs/>
          <w:i/>
          <w:iCs/>
        </w:rPr>
        <w:t>Adult SAQ</w:t>
      </w:r>
      <w:r w:rsidRPr="008B65E7">
        <w:rPr>
          <w:bCs/>
        </w:rPr>
        <w:t xml:space="preserve"> - completed once during the 2-year panel, in rounds 2 and 4 during odd numbered years, making the annualized average 0.5 times per year. The Adult SAQ will be completed by 12,395 adults and </w:t>
      </w:r>
      <w:r w:rsidRPr="008B65E7" w:rsidR="00EF4DDE">
        <w:rPr>
          <w:bCs/>
        </w:rPr>
        <w:t>require</w:t>
      </w:r>
      <w:r w:rsidR="00A842BF">
        <w:rPr>
          <w:bCs/>
        </w:rPr>
        <w:t>s</w:t>
      </w:r>
      <w:r w:rsidRPr="008B65E7">
        <w:rPr>
          <w:bCs/>
        </w:rPr>
        <w:t xml:space="preserve"> an average of 7 minutes to complete.</w:t>
      </w:r>
    </w:p>
    <w:p w:rsidR="00E80D41" w:rsidRPr="008B65E7" w:rsidP="00E80D41" w14:paraId="23471866" w14:textId="77777777">
      <w:pPr>
        <w:pStyle w:val="ListParagraph"/>
        <w:numPr>
          <w:ilvl w:val="0"/>
          <w:numId w:val="36"/>
        </w:numPr>
        <w:tabs>
          <w:tab w:val="left" w:pos="0"/>
        </w:tabs>
        <w:rPr>
          <w:bCs/>
          <w:i/>
          <w:iCs/>
        </w:rPr>
      </w:pPr>
      <w:r w:rsidRPr="008B65E7">
        <w:rPr>
          <w:bCs/>
          <w:i/>
          <w:iCs/>
        </w:rPr>
        <w:t>PSAQ</w:t>
      </w:r>
      <w:r w:rsidRPr="008B65E7">
        <w:rPr>
          <w:bCs/>
        </w:rPr>
        <w:t xml:space="preserve"> - completed once during the 2-year panel, in rounds 2 and 4 during even numbered years, making the annualized average 0.5 times per year. The PSAQ will be completed by 12,395 adults and requires an average of 7 minutes to complete.</w:t>
      </w:r>
    </w:p>
    <w:p w:rsidR="00E80D41" w:rsidRPr="008B65E7" w:rsidP="00E80D41" w14:paraId="797FCADB" w14:textId="77777777">
      <w:pPr>
        <w:pStyle w:val="ListParagraph"/>
        <w:numPr>
          <w:ilvl w:val="0"/>
          <w:numId w:val="36"/>
        </w:numPr>
        <w:tabs>
          <w:tab w:val="left" w:pos="0"/>
        </w:tabs>
        <w:rPr>
          <w:bCs/>
          <w:i/>
          <w:iCs/>
        </w:rPr>
      </w:pPr>
      <w:r w:rsidRPr="008B65E7">
        <w:rPr>
          <w:bCs/>
          <w:i/>
          <w:iCs/>
        </w:rPr>
        <w:t>Authorization forms for the MEPS-MPC and Pharmacy Survey</w:t>
      </w:r>
      <w:r w:rsidRPr="008B65E7">
        <w:rPr>
          <w:bCs/>
        </w:rPr>
        <w:t xml:space="preserve"> - completed by 17,388 individual respondents. Each respondent will complete an average of 3.6 forms each year, with each form requiring an average of 3 minutes to complete. </w:t>
      </w:r>
    </w:p>
    <w:p w:rsidR="00E80D41" w:rsidRPr="0082479F" w:rsidP="00E80D41" w14:paraId="3696308A" w14:textId="77777777">
      <w:pPr>
        <w:pStyle w:val="ListParagraph"/>
        <w:numPr>
          <w:ilvl w:val="0"/>
          <w:numId w:val="36"/>
        </w:numPr>
        <w:tabs>
          <w:tab w:val="left" w:pos="0"/>
        </w:tabs>
        <w:rPr>
          <w:bCs/>
        </w:rPr>
      </w:pPr>
      <w:r w:rsidRPr="008B65E7">
        <w:rPr>
          <w:bCs/>
          <w:i/>
          <w:iCs/>
        </w:rPr>
        <w:t>Validation interview</w:t>
      </w:r>
      <w:r w:rsidRPr="008B65E7">
        <w:rPr>
          <w:bCs/>
        </w:rPr>
        <w:t xml:space="preserve"> - conducted with approximately 1,491 respondents each year and requires 5 minutes to complete.</w:t>
      </w:r>
      <w:r w:rsidRPr="0082479F">
        <w:rPr>
          <w:bCs/>
          <w:i/>
          <w:iCs/>
        </w:rPr>
        <w:br/>
      </w:r>
    </w:p>
    <w:p w:rsidR="00E80D41" w:rsidRPr="0082479F" w:rsidP="00E80D41" w14:paraId="3AD0F713" w14:textId="77777777">
      <w:pPr>
        <w:tabs>
          <w:tab w:val="left" w:pos="0"/>
        </w:tabs>
        <w:rPr>
          <w:rStyle w:val="Strong"/>
          <w:b w:val="0"/>
          <w:i/>
          <w:iCs/>
        </w:rPr>
      </w:pPr>
      <w:r w:rsidRPr="0082479F">
        <w:rPr>
          <w:bCs/>
        </w:rPr>
        <w:t xml:space="preserve">The total </w:t>
      </w:r>
      <w:r>
        <w:rPr>
          <w:bCs/>
        </w:rPr>
        <w:t xml:space="preserve">annual </w:t>
      </w:r>
      <w:r w:rsidRPr="0082479F">
        <w:rPr>
          <w:bCs/>
        </w:rPr>
        <w:t xml:space="preserve">burden hours for the respondent’s time to participate in the MEPS-HC is estimated to be </w:t>
      </w:r>
      <w:r>
        <w:rPr>
          <w:bCs/>
        </w:rPr>
        <w:t>42,219</w:t>
      </w:r>
      <w:r w:rsidRPr="0082479F">
        <w:rPr>
          <w:bCs/>
        </w:rPr>
        <w:t xml:space="preserve"> hours.</w:t>
      </w:r>
    </w:p>
    <w:p w:rsidR="00E80D41" w:rsidP="00E80D41" w14:paraId="7DA35EAD" w14:textId="77777777">
      <w:pPr>
        <w:rPr>
          <w:rStyle w:val="Strong"/>
          <w:bCs w:val="0"/>
          <w:iCs/>
        </w:rPr>
      </w:pPr>
    </w:p>
    <w:p w:rsidR="00E80D41" w:rsidRPr="00D902DA" w:rsidP="00E80D41" w14:paraId="7F741DB0" w14:textId="77777777">
      <w:pPr>
        <w:rPr>
          <w:bCs/>
          <w:iCs/>
        </w:rPr>
      </w:pPr>
      <w:r w:rsidRPr="00D902DA">
        <w:rPr>
          <w:b/>
          <w:iCs/>
        </w:rPr>
        <w:t>MEPS-MPC:</w:t>
      </w:r>
    </w:p>
    <w:p w:rsidR="00E80D41" w:rsidRPr="00D902DA" w:rsidP="00E80D41" w14:paraId="24A3D91B" w14:textId="77777777">
      <w:pPr>
        <w:numPr>
          <w:ilvl w:val="0"/>
          <w:numId w:val="35"/>
        </w:numPr>
        <w:rPr>
          <w:b/>
          <w:iCs/>
        </w:rPr>
      </w:pPr>
      <w:r w:rsidRPr="00D902DA">
        <w:rPr>
          <w:bCs/>
          <w:i/>
        </w:rPr>
        <w:t>Contact Guide/Screening Call</w:t>
      </w:r>
      <w:r w:rsidRPr="00D902DA">
        <w:rPr>
          <w:bCs/>
          <w:iCs/>
        </w:rPr>
        <w:t xml:space="preserve"> - conducted with </w:t>
      </w:r>
      <w:r>
        <w:rPr>
          <w:bCs/>
          <w:iCs/>
        </w:rPr>
        <w:t>36,370</w:t>
      </w:r>
      <w:r w:rsidRPr="00D902DA">
        <w:rPr>
          <w:bCs/>
          <w:iCs/>
        </w:rPr>
        <w:t xml:space="preserve"> providers and pharmacies each year and requires 5 minutes to complete. </w:t>
      </w:r>
    </w:p>
    <w:p w:rsidR="00E80D41" w:rsidRPr="00D902DA" w:rsidP="00E80D41" w14:paraId="3CCCB780" w14:textId="7ACA9BEA">
      <w:pPr>
        <w:numPr>
          <w:ilvl w:val="0"/>
          <w:numId w:val="35"/>
        </w:numPr>
        <w:rPr>
          <w:b/>
          <w:iCs/>
        </w:rPr>
      </w:pPr>
      <w:r w:rsidRPr="00D902DA">
        <w:rPr>
          <w:bCs/>
          <w:i/>
        </w:rPr>
        <w:t>Home Health Care Providers Event Form</w:t>
      </w:r>
      <w:r w:rsidRPr="00D902DA">
        <w:rPr>
          <w:bCs/>
          <w:iCs/>
        </w:rPr>
        <w:t xml:space="preserve"> - completed by </w:t>
      </w:r>
      <w:r>
        <w:rPr>
          <w:bCs/>
          <w:iCs/>
        </w:rPr>
        <w:t xml:space="preserve">505 </w:t>
      </w:r>
      <w:r w:rsidRPr="00D902DA">
        <w:rPr>
          <w:bCs/>
          <w:iCs/>
        </w:rPr>
        <w:t>providers, with each provider completing an average of 5</w:t>
      </w:r>
      <w:r>
        <w:rPr>
          <w:bCs/>
          <w:iCs/>
        </w:rPr>
        <w:t>.66</w:t>
      </w:r>
      <w:r w:rsidRPr="00D902DA">
        <w:rPr>
          <w:bCs/>
          <w:iCs/>
        </w:rPr>
        <w:t xml:space="preserve"> form</w:t>
      </w:r>
      <w:r w:rsidR="00B92AAA">
        <w:rPr>
          <w:bCs/>
          <w:iCs/>
        </w:rPr>
        <w:t>s</w:t>
      </w:r>
      <w:r w:rsidRPr="00D902DA">
        <w:rPr>
          <w:bCs/>
          <w:iCs/>
        </w:rPr>
        <w:t xml:space="preserve"> and each form requiring 3 minutes to complete. </w:t>
      </w:r>
    </w:p>
    <w:p w:rsidR="00E80D41" w:rsidRPr="00D902DA" w:rsidP="00E80D41" w14:paraId="14A88969" w14:textId="7FCB2214">
      <w:pPr>
        <w:numPr>
          <w:ilvl w:val="0"/>
          <w:numId w:val="35"/>
        </w:numPr>
        <w:rPr>
          <w:b/>
          <w:iCs/>
        </w:rPr>
      </w:pPr>
      <w:r w:rsidRPr="00D902DA">
        <w:rPr>
          <w:bCs/>
          <w:i/>
        </w:rPr>
        <w:t>Office-based Providers Event Form</w:t>
      </w:r>
      <w:r w:rsidRPr="00D902DA">
        <w:rPr>
          <w:bCs/>
          <w:iCs/>
        </w:rPr>
        <w:t xml:space="preserve"> - completed by </w:t>
      </w:r>
      <w:r>
        <w:rPr>
          <w:bCs/>
          <w:iCs/>
        </w:rPr>
        <w:t xml:space="preserve">8,074 </w:t>
      </w:r>
      <w:r w:rsidRPr="00D902DA">
        <w:rPr>
          <w:bCs/>
          <w:iCs/>
        </w:rPr>
        <w:t xml:space="preserve">providers. Each provider will complete an average of </w:t>
      </w:r>
      <w:r>
        <w:rPr>
          <w:bCs/>
          <w:iCs/>
        </w:rPr>
        <w:t>3.58</w:t>
      </w:r>
      <w:r w:rsidRPr="00D902DA">
        <w:rPr>
          <w:bCs/>
          <w:iCs/>
        </w:rPr>
        <w:t xml:space="preserve"> </w:t>
      </w:r>
      <w:r w:rsidRPr="00D902DA" w:rsidR="00FF02D0">
        <w:rPr>
          <w:bCs/>
          <w:iCs/>
        </w:rPr>
        <w:t>forms,</w:t>
      </w:r>
      <w:r w:rsidRPr="00D902DA">
        <w:rPr>
          <w:bCs/>
          <w:iCs/>
        </w:rPr>
        <w:t xml:space="preserve"> and each form requires 3 minutes to complete. </w:t>
      </w:r>
    </w:p>
    <w:p w:rsidR="00E80D41" w:rsidRPr="00D902DA" w:rsidP="00E80D41" w14:paraId="20AC47CE" w14:textId="77777777">
      <w:pPr>
        <w:numPr>
          <w:ilvl w:val="0"/>
          <w:numId w:val="35"/>
        </w:numPr>
        <w:rPr>
          <w:b/>
          <w:iCs/>
        </w:rPr>
      </w:pPr>
      <w:r w:rsidRPr="00D902DA">
        <w:rPr>
          <w:bCs/>
          <w:i/>
        </w:rPr>
        <w:t>Separately Billing Doctors Event Form</w:t>
      </w:r>
      <w:r w:rsidRPr="00D902DA">
        <w:rPr>
          <w:bCs/>
          <w:iCs/>
        </w:rPr>
        <w:t xml:space="preserve"> - will be completed by </w:t>
      </w:r>
      <w:r>
        <w:rPr>
          <w:bCs/>
          <w:iCs/>
        </w:rPr>
        <w:t xml:space="preserve">5,574 </w:t>
      </w:r>
      <w:r w:rsidRPr="00D902DA">
        <w:rPr>
          <w:bCs/>
          <w:iCs/>
        </w:rPr>
        <w:t>providers, with each provider completing 1.</w:t>
      </w:r>
      <w:r>
        <w:rPr>
          <w:bCs/>
          <w:iCs/>
        </w:rPr>
        <w:t>13</w:t>
      </w:r>
      <w:r w:rsidRPr="00D902DA">
        <w:rPr>
          <w:bCs/>
          <w:iCs/>
        </w:rPr>
        <w:t xml:space="preserve"> forms on average, and each form requiring 3 minutes to complete. </w:t>
      </w:r>
    </w:p>
    <w:p w:rsidR="00E80D41" w:rsidRPr="00D902DA" w:rsidP="00E80D41" w14:paraId="0C4B6854" w14:textId="77777777">
      <w:pPr>
        <w:numPr>
          <w:ilvl w:val="0"/>
          <w:numId w:val="35"/>
        </w:numPr>
        <w:rPr>
          <w:b/>
          <w:iCs/>
        </w:rPr>
      </w:pPr>
      <w:r w:rsidRPr="00D902DA">
        <w:rPr>
          <w:bCs/>
          <w:i/>
        </w:rPr>
        <w:t>Hospital Event Form</w:t>
      </w:r>
      <w:r w:rsidRPr="00D902DA">
        <w:rPr>
          <w:bCs/>
          <w:iCs/>
        </w:rPr>
        <w:t xml:space="preserve"> - completed by </w:t>
      </w:r>
      <w:r>
        <w:rPr>
          <w:bCs/>
          <w:iCs/>
        </w:rPr>
        <w:t xml:space="preserve">3,482 </w:t>
      </w:r>
      <w:r w:rsidRPr="00D902DA">
        <w:rPr>
          <w:bCs/>
          <w:iCs/>
        </w:rPr>
        <w:t xml:space="preserve">hospitals or HMOs. Each hospital or HMO will complete </w:t>
      </w:r>
      <w:r>
        <w:rPr>
          <w:bCs/>
          <w:iCs/>
        </w:rPr>
        <w:t>5.64</w:t>
      </w:r>
      <w:r w:rsidRPr="00D902DA">
        <w:rPr>
          <w:bCs/>
          <w:iCs/>
        </w:rPr>
        <w:t xml:space="preserve"> forms on average, with each form requiring 3 minutes to complete. </w:t>
      </w:r>
    </w:p>
    <w:p w:rsidR="00E80D41" w:rsidRPr="00D902DA" w:rsidP="00E80D41" w14:paraId="43EE24B9" w14:textId="432DE0CD">
      <w:pPr>
        <w:numPr>
          <w:ilvl w:val="0"/>
          <w:numId w:val="35"/>
        </w:numPr>
        <w:rPr>
          <w:b/>
          <w:iCs/>
        </w:rPr>
      </w:pPr>
      <w:r w:rsidRPr="00D902DA">
        <w:rPr>
          <w:bCs/>
          <w:i/>
        </w:rPr>
        <w:t>Institutions (non-hospital) Event Form</w:t>
      </w:r>
      <w:r w:rsidRPr="00D902DA">
        <w:rPr>
          <w:bCs/>
          <w:iCs/>
        </w:rPr>
        <w:t xml:space="preserve"> - completed by </w:t>
      </w:r>
      <w:r>
        <w:rPr>
          <w:bCs/>
          <w:iCs/>
        </w:rPr>
        <w:t>103</w:t>
      </w:r>
      <w:r w:rsidR="007D0840">
        <w:rPr>
          <w:bCs/>
          <w:iCs/>
        </w:rPr>
        <w:t xml:space="preserve"> </w:t>
      </w:r>
      <w:r w:rsidRPr="00D902DA">
        <w:rPr>
          <w:bCs/>
          <w:iCs/>
        </w:rPr>
        <w:t>institutions, with each institution completing 1.</w:t>
      </w:r>
      <w:r>
        <w:rPr>
          <w:bCs/>
          <w:iCs/>
        </w:rPr>
        <w:t>25</w:t>
      </w:r>
      <w:r w:rsidRPr="00D902DA">
        <w:rPr>
          <w:bCs/>
          <w:iCs/>
        </w:rPr>
        <w:t xml:space="preserve"> forms on average, and each form requiring 3 minutes to complete. </w:t>
      </w:r>
    </w:p>
    <w:p w:rsidR="00E80D41" w:rsidRPr="00D902DA" w:rsidP="00E80D41" w14:paraId="2203AE9E" w14:textId="58E7CA4D">
      <w:pPr>
        <w:numPr>
          <w:ilvl w:val="0"/>
          <w:numId w:val="35"/>
        </w:numPr>
        <w:rPr>
          <w:b/>
          <w:iCs/>
        </w:rPr>
      </w:pPr>
      <w:r w:rsidRPr="00D902DA">
        <w:rPr>
          <w:bCs/>
          <w:i/>
        </w:rPr>
        <w:t>Pharmacy Event Form</w:t>
      </w:r>
      <w:r w:rsidRPr="00D902DA">
        <w:rPr>
          <w:bCs/>
          <w:iCs/>
        </w:rPr>
        <w:t xml:space="preserve"> - completed by </w:t>
      </w:r>
      <w:r>
        <w:rPr>
          <w:bCs/>
          <w:iCs/>
        </w:rPr>
        <w:t>2,008</w:t>
      </w:r>
      <w:r w:rsidRPr="00D902DA">
        <w:rPr>
          <w:bCs/>
          <w:iCs/>
        </w:rPr>
        <w:t xml:space="preserve"> pharmacies. Each pharmacy will complete </w:t>
      </w:r>
      <w:r>
        <w:rPr>
          <w:bCs/>
          <w:iCs/>
        </w:rPr>
        <w:t>21.</w:t>
      </w:r>
      <w:r w:rsidR="007F65AE">
        <w:rPr>
          <w:bCs/>
          <w:iCs/>
        </w:rPr>
        <w:t>1</w:t>
      </w:r>
      <w:r>
        <w:rPr>
          <w:bCs/>
          <w:iCs/>
        </w:rPr>
        <w:t>5</w:t>
      </w:r>
      <w:r w:rsidRPr="00D902DA">
        <w:rPr>
          <w:bCs/>
          <w:iCs/>
        </w:rPr>
        <w:t xml:space="preserve"> forms on average, with each form requiring 3 minutes to complete. </w:t>
      </w:r>
    </w:p>
    <w:p w:rsidR="00E80D41" w:rsidRPr="00D902DA" w:rsidP="00E80D41" w14:paraId="024E9BF9" w14:textId="77777777">
      <w:pPr>
        <w:rPr>
          <w:bCs/>
        </w:rPr>
      </w:pPr>
    </w:p>
    <w:p w:rsidR="00E80D41" w:rsidRPr="00D902DA" w:rsidP="00E80D41" w14:paraId="1CC25841" w14:textId="2EE7532D">
      <w:pPr>
        <w:rPr>
          <w:b/>
          <w:iCs/>
        </w:rPr>
      </w:pPr>
      <w:r w:rsidRPr="008B65E7">
        <w:rPr>
          <w:bCs/>
        </w:rPr>
        <w:t xml:space="preserve">The total burden hours for the respondent’s time to participate in the MEPS-MPC is estimated to be </w:t>
      </w:r>
      <w:r w:rsidR="001B5599">
        <w:rPr>
          <w:bCs/>
          <w:iCs/>
        </w:rPr>
        <w:t>8,045</w:t>
      </w:r>
      <w:r w:rsidRPr="008B65E7">
        <w:rPr>
          <w:bCs/>
        </w:rPr>
        <w:t xml:space="preserve"> hours. The total annual burden hours for the MEPS-HC and MPC </w:t>
      </w:r>
      <w:r w:rsidRPr="008B65E7" w:rsidR="00EF4DDE">
        <w:rPr>
          <w:bCs/>
        </w:rPr>
        <w:t>are</w:t>
      </w:r>
      <w:r w:rsidRPr="008B65E7">
        <w:rPr>
          <w:bCs/>
        </w:rPr>
        <w:t xml:space="preserve"> estimated to be </w:t>
      </w:r>
      <w:r w:rsidR="001B5599">
        <w:rPr>
          <w:bCs/>
          <w:iCs/>
        </w:rPr>
        <w:t>50,264</w:t>
      </w:r>
      <w:r w:rsidRPr="008B65E7">
        <w:rPr>
          <w:bCs/>
        </w:rPr>
        <w:t xml:space="preserve"> hours.</w:t>
      </w:r>
    </w:p>
    <w:p w:rsidR="00E80D41" w:rsidP="00E80D41" w14:paraId="66C08350" w14:textId="77777777">
      <w:pPr>
        <w:rPr>
          <w:rStyle w:val="Strong"/>
          <w:b w:val="0"/>
          <w:iCs/>
        </w:rPr>
      </w:pPr>
    </w:p>
    <w:p w:rsidR="00E80D41" w:rsidRPr="00093C26" w:rsidP="00E80D41" w14:paraId="027A92C5" w14:textId="77777777">
      <w:pPr>
        <w:keepNext/>
        <w:rPr>
          <w:bCs/>
          <w:iCs/>
        </w:rPr>
      </w:pPr>
      <w:bookmarkStart w:id="46" w:name="_Hlk161994993"/>
      <w:bookmarkStart w:id="47" w:name="_Hlk161144034"/>
      <w:bookmarkStart w:id="48" w:name="_Hlk161995855"/>
      <w:r w:rsidRPr="00093C26">
        <w:rPr>
          <w:b/>
          <w:bCs/>
          <w:iCs/>
        </w:rPr>
        <w:t>Exhibit 1.</w:t>
      </w:r>
      <w:r>
        <w:rPr>
          <w:b/>
          <w:bCs/>
          <w:iCs/>
        </w:rPr>
        <w:t xml:space="preserve"> MEPS-HC and MPC e</w:t>
      </w:r>
      <w:r w:rsidRPr="00093C26">
        <w:rPr>
          <w:b/>
          <w:bCs/>
          <w:iCs/>
        </w:rPr>
        <w:t>stimated annualized</w:t>
      </w:r>
      <w:r>
        <w:rPr>
          <w:b/>
          <w:bCs/>
          <w:iCs/>
        </w:rPr>
        <w:t xml:space="preserve"> respondents and </w:t>
      </w:r>
      <w:r w:rsidRPr="00093C26">
        <w:rPr>
          <w:b/>
          <w:bCs/>
          <w:iCs/>
        </w:rPr>
        <w:t>burden hours</w:t>
      </w:r>
      <w:r>
        <w:rPr>
          <w:b/>
          <w:bCs/>
          <w:iCs/>
        </w:rPr>
        <w:t>, 2026 to 2028</w:t>
      </w:r>
    </w:p>
    <w:tbl>
      <w:tblPr>
        <w:tblW w:w="8928" w:type="dxa"/>
        <w:tblLayout w:type="fixed"/>
        <w:tblCellMar>
          <w:left w:w="0" w:type="dxa"/>
          <w:right w:w="0" w:type="dxa"/>
        </w:tblCellMar>
        <w:tblLook w:val="0000"/>
      </w:tblPr>
      <w:tblGrid>
        <w:gridCol w:w="3888"/>
        <w:gridCol w:w="1530"/>
        <w:gridCol w:w="1530"/>
        <w:gridCol w:w="990"/>
        <w:gridCol w:w="990"/>
      </w:tblGrid>
      <w:tr w14:paraId="107BEE0D" w14:textId="77777777" w:rsidTr="00155618">
        <w:tblPrEx>
          <w:tblW w:w="8928" w:type="dxa"/>
          <w:tblLayout w:type="fixed"/>
          <w:tblCellMar>
            <w:left w:w="0" w:type="dxa"/>
            <w:right w:w="0" w:type="dxa"/>
          </w:tblCellMar>
          <w:tblLook w:val="0000"/>
        </w:tblPrEx>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bookmarkEnd w:id="46"/>
          <w:p w:rsidR="00E80D41" w:rsidRPr="008B65E7" w:rsidP="00155618" w14:paraId="335D48F6" w14:textId="77777777">
            <w:pPr>
              <w:keepNext/>
              <w:rPr>
                <w:bCs/>
                <w:iCs/>
              </w:rPr>
            </w:pPr>
            <w:r w:rsidRPr="008B65E7">
              <w:rPr>
                <w:bCs/>
                <w:iCs/>
              </w:rPr>
              <w:t>Form Name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1CC4E475" w14:textId="77777777">
            <w:pPr>
              <w:keepNext/>
              <w:jc w:val="center"/>
              <w:rPr>
                <w:bCs/>
                <w:iCs/>
                <w:vertAlign w:val="superscript"/>
              </w:rPr>
            </w:pPr>
            <w:r w:rsidRPr="008B65E7">
              <w:rPr>
                <w:bCs/>
                <w:iCs/>
              </w:rPr>
              <w:t xml:space="preserve">Number of </w:t>
            </w:r>
            <w:r w:rsidRPr="008B65E7">
              <w:rPr>
                <w:bCs/>
                <w:iCs/>
              </w:rPr>
              <w:t>Respondents</w:t>
            </w:r>
            <w:r w:rsidRPr="008B65E7">
              <w:rPr>
                <w:bCs/>
                <w:iCs/>
                <w:vertAlign w:val="superscript"/>
              </w:rPr>
              <w:t>a</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487D13E0" w14:textId="77777777">
            <w:pPr>
              <w:keepNext/>
              <w:jc w:val="center"/>
              <w:rPr>
                <w:bCs/>
                <w:iCs/>
              </w:rPr>
            </w:pPr>
            <w:r w:rsidRPr="008B65E7">
              <w:rPr>
                <w:bCs/>
                <w:iCs/>
              </w:rPr>
              <w:t>Number of responses per respondent</w:t>
            </w:r>
          </w:p>
        </w:tc>
        <w:tc>
          <w:tcPr>
            <w:tcW w:w="990" w:type="dxa"/>
            <w:tcBorders>
              <w:top w:val="single" w:sz="8" w:space="0" w:color="auto"/>
              <w:left w:val="nil"/>
              <w:bottom w:val="single" w:sz="8" w:space="0" w:color="auto"/>
              <w:right w:val="single" w:sz="8" w:space="0" w:color="auto"/>
            </w:tcBorders>
            <w:vAlign w:val="center"/>
          </w:tcPr>
          <w:p w:rsidR="00E80D41" w:rsidRPr="008B65E7" w:rsidP="00155618" w14:paraId="01705B22" w14:textId="77777777">
            <w:pPr>
              <w:keepNext/>
              <w:jc w:val="center"/>
              <w:rPr>
                <w:bCs/>
                <w:iCs/>
              </w:rPr>
            </w:pPr>
            <w:r w:rsidRPr="008B65E7">
              <w:rPr>
                <w:bCs/>
                <w:iCs/>
              </w:rPr>
              <w:t>Hours per response</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4E64EA43" w14:textId="77777777">
            <w:pPr>
              <w:keepNext/>
              <w:jc w:val="center"/>
              <w:rPr>
                <w:bCs/>
                <w:iCs/>
              </w:rPr>
            </w:pPr>
            <w:r w:rsidRPr="008B65E7">
              <w:rPr>
                <w:bCs/>
                <w:iCs/>
              </w:rPr>
              <w:t>Total Burden hours</w:t>
            </w:r>
          </w:p>
        </w:tc>
      </w:tr>
      <w:tr w14:paraId="1EF777BA" w14:textId="77777777" w:rsidTr="00155618">
        <w:tblPrEx>
          <w:tblW w:w="8928" w:type="dxa"/>
          <w:tblLayout w:type="fixed"/>
          <w:tblCellMar>
            <w:left w:w="0" w:type="dxa"/>
            <w:right w:w="0" w:type="dxa"/>
          </w:tblCellMar>
          <w:tblLook w:val="0000"/>
        </w:tblPrEx>
        <w:tc>
          <w:tcPr>
            <w:tcW w:w="8928"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E80D41" w:rsidRPr="008B65E7" w:rsidP="00155618" w14:paraId="7D682244" w14:textId="77777777">
            <w:pPr>
              <w:keepNext/>
              <w:rPr>
                <w:bCs/>
                <w:iCs/>
              </w:rPr>
            </w:pPr>
            <w:r w:rsidRPr="008B65E7">
              <w:rPr>
                <w:b/>
                <w:bCs/>
                <w:iCs/>
              </w:rPr>
              <w:t>MEPS-HC</w:t>
            </w:r>
          </w:p>
        </w:tc>
      </w:tr>
      <w:tr w14:paraId="110A3458" w14:textId="77777777" w:rsidTr="00155618">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16B8D923" w14:textId="77777777">
            <w:pPr>
              <w:keepNext/>
              <w:rPr>
                <w:bCs/>
                <w:iCs/>
              </w:rPr>
            </w:pPr>
            <w:r w:rsidRPr="008B65E7">
              <w:rPr>
                <w:bCs/>
                <w:iCs/>
              </w:rPr>
              <w:t xml:space="preserve">1. </w:t>
            </w:r>
            <w:bookmarkStart w:id="49" w:name="_Hlk170375754"/>
            <w:r w:rsidRPr="008B65E7">
              <w:rPr>
                <w:bCs/>
                <w:iCs/>
              </w:rPr>
              <w:t>MEPS-HC Core Interview</w:t>
            </w:r>
            <w:bookmarkEnd w:id="49"/>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4C6EE0E4" w14:textId="77777777">
            <w:pPr>
              <w:keepNext/>
              <w:jc w:val="right"/>
              <w:rPr>
                <w:bCs/>
                <w:iCs/>
                <w:vertAlign w:val="superscript"/>
              </w:rPr>
            </w:pPr>
            <w:r w:rsidRPr="008B65E7">
              <w:rPr>
                <w:bCs/>
                <w:iCs/>
              </w:rPr>
              <w:t>10,350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54B6681D" w14:textId="77777777">
            <w:pPr>
              <w:keepNext/>
              <w:jc w:val="center"/>
              <w:rPr>
                <w:bCs/>
                <w:iCs/>
              </w:rPr>
            </w:pPr>
            <w:r w:rsidRPr="008B65E7">
              <w:rPr>
                <w:bCs/>
                <w:iCs/>
              </w:rPr>
              <w:t>2.5</w:t>
            </w:r>
          </w:p>
        </w:tc>
        <w:tc>
          <w:tcPr>
            <w:tcW w:w="990" w:type="dxa"/>
            <w:tcBorders>
              <w:top w:val="nil"/>
              <w:left w:val="nil"/>
              <w:bottom w:val="single" w:sz="8" w:space="0" w:color="auto"/>
              <w:right w:val="single" w:sz="8" w:space="0" w:color="auto"/>
            </w:tcBorders>
            <w:vAlign w:val="center"/>
          </w:tcPr>
          <w:p w:rsidR="00E80D41" w:rsidRPr="008B65E7" w:rsidP="00155618" w14:paraId="74C4FFD7" w14:textId="77777777">
            <w:pPr>
              <w:keepNext/>
              <w:jc w:val="center"/>
              <w:rPr>
                <w:bCs/>
                <w:iCs/>
              </w:rPr>
            </w:pPr>
            <w:r w:rsidRPr="008B65E7">
              <w:rPr>
                <w:bCs/>
                <w:iCs/>
              </w:rPr>
              <w:t>87/60</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4497DD1B" w14:textId="77777777">
            <w:pPr>
              <w:keepNext/>
              <w:jc w:val="right"/>
              <w:rPr>
                <w:bCs/>
                <w:iCs/>
              </w:rPr>
            </w:pPr>
            <w:r w:rsidRPr="008B65E7">
              <w:rPr>
                <w:bCs/>
                <w:iCs/>
              </w:rPr>
              <w:t>37,519</w:t>
            </w:r>
          </w:p>
        </w:tc>
      </w:tr>
      <w:tr w14:paraId="2A1F8232" w14:textId="77777777" w:rsidTr="00155618">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4F86DE26" w14:textId="77777777">
            <w:pPr>
              <w:keepNext/>
              <w:rPr>
                <w:bCs/>
                <w:iCs/>
              </w:rPr>
            </w:pPr>
            <w:r w:rsidRPr="008B65E7">
              <w:rPr>
                <w:bCs/>
                <w:iCs/>
              </w:rPr>
              <w:t>2. Adult SAQ</w:t>
            </w:r>
            <w:r w:rsidRPr="008B65E7">
              <w:rPr>
                <w:bCs/>
                <w:iCs/>
                <w:vertAlign w:val="superscript"/>
              </w:rPr>
              <w:t>*</w:t>
            </w:r>
            <w:r w:rsidRPr="008B65E7">
              <w:rPr>
                <w:bCs/>
                <w:iCs/>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04052AE7" w14:textId="77777777">
            <w:pPr>
              <w:keepNext/>
              <w:jc w:val="right"/>
              <w:rPr>
                <w:bCs/>
                <w:iCs/>
                <w:vertAlign w:val="superscript"/>
              </w:rPr>
            </w:pPr>
            <w:r w:rsidRPr="008B65E7">
              <w:rPr>
                <w:bCs/>
                <w:iCs/>
              </w:rPr>
              <w:t>12,395</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554BA440" w14:textId="77777777">
            <w:pPr>
              <w:keepNext/>
              <w:jc w:val="center"/>
              <w:rPr>
                <w:bCs/>
                <w:iCs/>
              </w:rPr>
            </w:pPr>
            <w:r w:rsidRPr="008B65E7">
              <w:rPr>
                <w:bCs/>
                <w:iCs/>
              </w:rPr>
              <w:t>0.5</w:t>
            </w:r>
          </w:p>
        </w:tc>
        <w:tc>
          <w:tcPr>
            <w:tcW w:w="990" w:type="dxa"/>
            <w:tcBorders>
              <w:top w:val="nil"/>
              <w:left w:val="nil"/>
              <w:bottom w:val="single" w:sz="8" w:space="0" w:color="auto"/>
              <w:right w:val="single" w:sz="8" w:space="0" w:color="auto"/>
            </w:tcBorders>
            <w:vAlign w:val="center"/>
          </w:tcPr>
          <w:p w:rsidR="00E80D41" w:rsidRPr="008B65E7" w:rsidP="00155618" w14:paraId="51E91E44" w14:textId="77777777">
            <w:pPr>
              <w:keepNext/>
              <w:jc w:val="center"/>
              <w:rPr>
                <w:bCs/>
                <w:iCs/>
              </w:rPr>
            </w:pPr>
            <w:r w:rsidRPr="008B65E7">
              <w:rPr>
                <w:bCs/>
                <w:iCs/>
              </w:rPr>
              <w:t>7/60</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773AE992" w14:textId="77777777">
            <w:pPr>
              <w:keepNext/>
              <w:jc w:val="right"/>
              <w:rPr>
                <w:bCs/>
                <w:iCs/>
              </w:rPr>
            </w:pPr>
            <w:r w:rsidRPr="008B65E7">
              <w:rPr>
                <w:bCs/>
                <w:iCs/>
              </w:rPr>
              <w:t>723</w:t>
            </w:r>
          </w:p>
        </w:tc>
      </w:tr>
      <w:tr w14:paraId="5E353EDD" w14:textId="77777777" w:rsidTr="00155618">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15D29142" w14:textId="77777777">
            <w:pPr>
              <w:keepNext/>
              <w:rPr>
                <w:bCs/>
                <w:iCs/>
                <w:vertAlign w:val="superscript"/>
              </w:rPr>
            </w:pPr>
            <w:r w:rsidRPr="008B65E7">
              <w:rPr>
                <w:bCs/>
                <w:iCs/>
              </w:rPr>
              <w:t>3. Preventive Care SAQ (PSAQ)</w:t>
            </w:r>
            <w:r w:rsidRPr="008B65E7">
              <w:rPr>
                <w:bCs/>
                <w:iCs/>
                <w:vertAlign w:val="superscript"/>
              </w:rPr>
              <w:t>**</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4A1B4354" w14:textId="77777777">
            <w:pPr>
              <w:keepNext/>
              <w:jc w:val="right"/>
              <w:rPr>
                <w:bCs/>
                <w:iCs/>
                <w:vertAlign w:val="superscript"/>
              </w:rPr>
            </w:pPr>
            <w:r w:rsidRPr="008B65E7">
              <w:rPr>
                <w:bCs/>
                <w:iCs/>
              </w:rPr>
              <w:t>12,395</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12F2C9C1" w14:textId="77777777">
            <w:pPr>
              <w:keepNext/>
              <w:jc w:val="center"/>
              <w:rPr>
                <w:bCs/>
                <w:iCs/>
              </w:rPr>
            </w:pPr>
            <w:r w:rsidRPr="008B65E7">
              <w:rPr>
                <w:bCs/>
                <w:iCs/>
              </w:rPr>
              <w:t>0.5</w:t>
            </w:r>
          </w:p>
        </w:tc>
        <w:tc>
          <w:tcPr>
            <w:tcW w:w="990" w:type="dxa"/>
            <w:tcBorders>
              <w:top w:val="nil"/>
              <w:left w:val="nil"/>
              <w:bottom w:val="single" w:sz="8" w:space="0" w:color="auto"/>
              <w:right w:val="single" w:sz="8" w:space="0" w:color="auto"/>
            </w:tcBorders>
            <w:vAlign w:val="center"/>
          </w:tcPr>
          <w:p w:rsidR="00E80D41" w:rsidRPr="008B65E7" w:rsidP="00155618" w14:paraId="0732BB99" w14:textId="77777777">
            <w:pPr>
              <w:keepNext/>
              <w:jc w:val="center"/>
              <w:rPr>
                <w:bCs/>
                <w:iCs/>
              </w:rPr>
            </w:pPr>
            <w:r w:rsidRPr="008B65E7">
              <w:rPr>
                <w:bCs/>
                <w:iCs/>
              </w:rPr>
              <w:t>7/60</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40537ED3" w14:textId="77777777">
            <w:pPr>
              <w:keepNext/>
              <w:jc w:val="right"/>
              <w:rPr>
                <w:bCs/>
                <w:iCs/>
              </w:rPr>
            </w:pPr>
            <w:r w:rsidRPr="008B65E7">
              <w:rPr>
                <w:bCs/>
                <w:iCs/>
              </w:rPr>
              <w:t>723</w:t>
            </w:r>
          </w:p>
        </w:tc>
      </w:tr>
      <w:tr w14:paraId="66E8703A" w14:textId="77777777" w:rsidTr="00155618">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3BB998CD" w14:textId="77777777">
            <w:pPr>
              <w:keepNext/>
              <w:rPr>
                <w:bCs/>
                <w:iCs/>
              </w:rPr>
            </w:pPr>
            <w:r w:rsidRPr="008B65E7">
              <w:rPr>
                <w:bCs/>
                <w:iCs/>
              </w:rPr>
              <w:t>4. Authorization forms for the MEPS-</w:t>
            </w:r>
          </w:p>
          <w:p w:rsidR="00E80D41" w:rsidRPr="008B65E7" w:rsidP="00155618" w14:paraId="5A27B541" w14:textId="77777777">
            <w:pPr>
              <w:keepNext/>
              <w:rPr>
                <w:bCs/>
                <w:iCs/>
              </w:rPr>
            </w:pPr>
            <w:r w:rsidRPr="008B65E7">
              <w:rPr>
                <w:bCs/>
                <w:iCs/>
              </w:rPr>
              <w:t xml:space="preserve"> MPC Provider and Pharmacy Survey</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40617513" w14:textId="77777777">
            <w:pPr>
              <w:keepNext/>
              <w:jc w:val="right"/>
              <w:rPr>
                <w:bCs/>
                <w:iCs/>
                <w:vertAlign w:val="superscript"/>
              </w:rPr>
            </w:pPr>
            <w:r w:rsidRPr="008B65E7">
              <w:rPr>
                <w:bCs/>
                <w:iCs/>
              </w:rPr>
              <w:t>17,388</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75D53A68" w14:textId="77777777">
            <w:pPr>
              <w:keepNext/>
              <w:jc w:val="center"/>
              <w:rPr>
                <w:bCs/>
                <w:iCs/>
              </w:rPr>
            </w:pPr>
            <w:r w:rsidRPr="008B65E7">
              <w:rPr>
                <w:bCs/>
                <w:iCs/>
              </w:rPr>
              <w:t>3.6</w:t>
            </w:r>
          </w:p>
        </w:tc>
        <w:tc>
          <w:tcPr>
            <w:tcW w:w="990" w:type="dxa"/>
            <w:tcBorders>
              <w:top w:val="nil"/>
              <w:left w:val="nil"/>
              <w:bottom w:val="single" w:sz="8" w:space="0" w:color="auto"/>
              <w:right w:val="single" w:sz="8" w:space="0" w:color="auto"/>
            </w:tcBorders>
            <w:vAlign w:val="center"/>
          </w:tcPr>
          <w:p w:rsidR="00E80D41" w:rsidRPr="008B65E7" w:rsidP="00155618" w14:paraId="102EA630" w14:textId="77777777">
            <w:pPr>
              <w:keepNext/>
              <w:jc w:val="center"/>
              <w:rPr>
                <w:bCs/>
                <w:iCs/>
              </w:rPr>
            </w:pPr>
            <w:r w:rsidRPr="008B65E7">
              <w:rPr>
                <w:bCs/>
                <w:iCs/>
              </w:rPr>
              <w:t>3/60</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68AA4365" w14:textId="77777777">
            <w:pPr>
              <w:keepNext/>
              <w:jc w:val="right"/>
              <w:rPr>
                <w:bCs/>
                <w:iCs/>
              </w:rPr>
            </w:pPr>
            <w:r w:rsidRPr="008B65E7">
              <w:rPr>
                <w:bCs/>
                <w:iCs/>
              </w:rPr>
              <w:t>3,130</w:t>
            </w:r>
          </w:p>
        </w:tc>
      </w:tr>
      <w:tr w14:paraId="661542AF" w14:textId="77777777" w:rsidTr="00155618">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7E26488B" w14:textId="77777777">
            <w:pPr>
              <w:keepNext/>
              <w:rPr>
                <w:bCs/>
                <w:iCs/>
              </w:rPr>
            </w:pPr>
            <w:r w:rsidRPr="008B65E7">
              <w:rPr>
                <w:bCs/>
                <w:iCs/>
              </w:rPr>
              <w:t>5. MEPS Validation Interview</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1DB9F6C8" w14:textId="77777777">
            <w:pPr>
              <w:keepNext/>
              <w:jc w:val="right"/>
              <w:rPr>
                <w:bCs/>
                <w:iCs/>
                <w:vertAlign w:val="superscript"/>
              </w:rPr>
            </w:pPr>
            <w:r w:rsidRPr="008B65E7">
              <w:rPr>
                <w:bCs/>
                <w:iCs/>
              </w:rPr>
              <w:t>1,491</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023D1AEC" w14:textId="77777777">
            <w:pPr>
              <w:keepNext/>
              <w:jc w:val="center"/>
              <w:rPr>
                <w:bCs/>
                <w:iCs/>
              </w:rPr>
            </w:pPr>
            <w:r w:rsidRPr="008B65E7">
              <w:rPr>
                <w:bCs/>
                <w:iCs/>
              </w:rPr>
              <w:t>1</w:t>
            </w:r>
          </w:p>
        </w:tc>
        <w:tc>
          <w:tcPr>
            <w:tcW w:w="990" w:type="dxa"/>
            <w:tcBorders>
              <w:top w:val="nil"/>
              <w:left w:val="nil"/>
              <w:bottom w:val="single" w:sz="8" w:space="0" w:color="auto"/>
              <w:right w:val="single" w:sz="8" w:space="0" w:color="auto"/>
            </w:tcBorders>
            <w:vAlign w:val="center"/>
          </w:tcPr>
          <w:p w:rsidR="00E80D41" w:rsidRPr="008B65E7" w:rsidP="00155618" w14:paraId="7D3E6F0D" w14:textId="77777777">
            <w:pPr>
              <w:keepNext/>
              <w:jc w:val="center"/>
              <w:rPr>
                <w:bCs/>
                <w:iCs/>
              </w:rPr>
            </w:pPr>
            <w:r w:rsidRPr="008B65E7">
              <w:rPr>
                <w:bCs/>
                <w:iCs/>
              </w:rPr>
              <w:t>5/60</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5F374314" w14:textId="77777777">
            <w:pPr>
              <w:keepNext/>
              <w:jc w:val="right"/>
              <w:rPr>
                <w:bCs/>
                <w:iCs/>
              </w:rPr>
            </w:pPr>
            <w:r w:rsidRPr="008B65E7">
              <w:rPr>
                <w:bCs/>
                <w:iCs/>
              </w:rPr>
              <w:t>124</w:t>
            </w:r>
          </w:p>
        </w:tc>
      </w:tr>
      <w:tr w14:paraId="191EB110" w14:textId="77777777" w:rsidTr="00155618">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58AC2D68" w14:textId="77777777">
            <w:pPr>
              <w:keepNext/>
              <w:rPr>
                <w:bCs/>
                <w:iCs/>
              </w:rPr>
            </w:pPr>
            <w:r w:rsidRPr="008B65E7">
              <w:rPr>
                <w:bCs/>
                <w:iCs/>
              </w:rPr>
              <w:t>Subtotal for the MEPS-HC</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6056D5F5" w14:textId="6809363E">
            <w:pPr>
              <w:keepNext/>
              <w:jc w:val="right"/>
              <w:rPr>
                <w:bCs/>
                <w:iCs/>
              </w:rPr>
            </w:pPr>
            <w:r>
              <w:rPr>
                <w:bCs/>
                <w:iCs/>
              </w:rPr>
              <w:t>54,019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7E5AF669" w14:textId="77777777">
            <w:pPr>
              <w:keepNext/>
              <w:jc w:val="center"/>
              <w:rPr>
                <w:bCs/>
                <w:iCs/>
              </w:rPr>
            </w:pPr>
            <w:r w:rsidRPr="008B65E7">
              <w:rPr>
                <w:bCs/>
                <w:iCs/>
              </w:rPr>
              <w:t>--</w:t>
            </w:r>
          </w:p>
        </w:tc>
        <w:tc>
          <w:tcPr>
            <w:tcW w:w="990" w:type="dxa"/>
            <w:tcBorders>
              <w:top w:val="nil"/>
              <w:left w:val="nil"/>
              <w:bottom w:val="single" w:sz="8" w:space="0" w:color="auto"/>
              <w:right w:val="single" w:sz="8" w:space="0" w:color="auto"/>
            </w:tcBorders>
            <w:vAlign w:val="center"/>
          </w:tcPr>
          <w:p w:rsidR="00E80D41" w:rsidRPr="008B65E7" w:rsidP="00155618" w14:paraId="02AC1541" w14:textId="77777777">
            <w:pPr>
              <w:keepNext/>
              <w:jc w:val="center"/>
              <w:rPr>
                <w:bCs/>
                <w:iCs/>
              </w:rPr>
            </w:pPr>
            <w:r w:rsidRPr="008B65E7">
              <w:rPr>
                <w:bCs/>
                <w:iCs/>
              </w:rPr>
              <w:t>--</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1EB822E0" w14:textId="77777777">
            <w:pPr>
              <w:keepNext/>
              <w:jc w:val="right"/>
              <w:rPr>
                <w:bCs/>
                <w:iCs/>
              </w:rPr>
            </w:pPr>
            <w:r w:rsidRPr="008B65E7">
              <w:rPr>
                <w:bCs/>
                <w:iCs/>
              </w:rPr>
              <w:t>42,219</w:t>
            </w:r>
          </w:p>
        </w:tc>
      </w:tr>
      <w:tr w14:paraId="211533C5" w14:textId="77777777" w:rsidTr="00155618">
        <w:tblPrEx>
          <w:tblW w:w="8928" w:type="dxa"/>
          <w:tblLayout w:type="fixed"/>
          <w:tblCellMar>
            <w:left w:w="0" w:type="dxa"/>
            <w:right w:w="0" w:type="dxa"/>
          </w:tblCellMar>
          <w:tblLook w:val="0000"/>
        </w:tblPrEx>
        <w:tc>
          <w:tcPr>
            <w:tcW w:w="8928"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E80D41" w:rsidRPr="008B65E7" w:rsidP="00155618" w14:paraId="497B7A72" w14:textId="77777777">
            <w:pPr>
              <w:keepNext/>
              <w:rPr>
                <w:b/>
                <w:bCs/>
                <w:iCs/>
              </w:rPr>
            </w:pPr>
            <w:r w:rsidRPr="008B65E7">
              <w:rPr>
                <w:b/>
                <w:bCs/>
                <w:iCs/>
              </w:rPr>
              <w:t>MEPS-MPC</w:t>
            </w:r>
          </w:p>
        </w:tc>
      </w:tr>
      <w:tr w14:paraId="54191BCA" w14:textId="77777777" w:rsidTr="00155618">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456FC390" w14:textId="77777777">
            <w:pPr>
              <w:keepNext/>
              <w:rPr>
                <w:bCs/>
                <w:iCs/>
                <w:vertAlign w:val="superscript"/>
              </w:rPr>
            </w:pPr>
            <w:r w:rsidRPr="008B65E7">
              <w:rPr>
                <w:bCs/>
              </w:rPr>
              <w:t>1. Contact Guide/Screening Call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6BAE5196" w14:textId="77777777">
            <w:pPr>
              <w:keepNext/>
              <w:jc w:val="right"/>
              <w:rPr>
                <w:bCs/>
                <w:iCs/>
              </w:rPr>
            </w:pPr>
            <w:r w:rsidRPr="008B65E7">
              <w:rPr>
                <w:bCs/>
                <w:iCs/>
              </w:rPr>
              <w:t>36,370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197CE560" w14:textId="77777777">
            <w:pPr>
              <w:keepNext/>
              <w:jc w:val="center"/>
              <w:rPr>
                <w:bCs/>
                <w:iCs/>
              </w:rPr>
            </w:pPr>
            <w:r w:rsidRPr="008B65E7">
              <w:rPr>
                <w:bCs/>
                <w:iCs/>
              </w:rPr>
              <w:t>1</w:t>
            </w:r>
          </w:p>
        </w:tc>
        <w:tc>
          <w:tcPr>
            <w:tcW w:w="990" w:type="dxa"/>
            <w:tcBorders>
              <w:top w:val="nil"/>
              <w:left w:val="nil"/>
              <w:bottom w:val="single" w:sz="8" w:space="0" w:color="auto"/>
              <w:right w:val="single" w:sz="8" w:space="0" w:color="auto"/>
            </w:tcBorders>
            <w:vAlign w:val="center"/>
          </w:tcPr>
          <w:p w:rsidR="00E80D41" w:rsidRPr="008B65E7" w:rsidP="00155618" w14:paraId="67784D58" w14:textId="77777777">
            <w:pPr>
              <w:keepNext/>
              <w:jc w:val="center"/>
              <w:rPr>
                <w:bCs/>
                <w:iCs/>
              </w:rPr>
            </w:pPr>
            <w:r w:rsidRPr="008B65E7">
              <w:rPr>
                <w:bCs/>
                <w:iCs/>
              </w:rPr>
              <w:t>5/60</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0D3C0F06" w14:textId="77777777">
            <w:pPr>
              <w:keepNext/>
              <w:jc w:val="right"/>
              <w:rPr>
                <w:bCs/>
                <w:iCs/>
              </w:rPr>
            </w:pPr>
            <w:r w:rsidRPr="008B65E7">
              <w:rPr>
                <w:bCs/>
                <w:iCs/>
              </w:rPr>
              <w:t>3,031</w:t>
            </w:r>
          </w:p>
        </w:tc>
      </w:tr>
      <w:tr w14:paraId="4E3843B9" w14:textId="77777777" w:rsidTr="00155618">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624C0094" w14:textId="77777777">
            <w:pPr>
              <w:keepNext/>
              <w:rPr>
                <w:bCs/>
                <w:iCs/>
              </w:rPr>
            </w:pPr>
            <w:r w:rsidRPr="008B65E7">
              <w:rPr>
                <w:bCs/>
              </w:rPr>
              <w:t>2. Home Health Care Providers Event Form</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E80D41" w:rsidRPr="008B65E7" w:rsidP="00155618" w14:paraId="18BF12B2" w14:textId="77777777">
            <w:pPr>
              <w:keepNext/>
              <w:jc w:val="right"/>
              <w:rPr>
                <w:bCs/>
                <w:iCs/>
              </w:rPr>
            </w:pPr>
            <w:r w:rsidRPr="008B65E7">
              <w:rPr>
                <w:bCs/>
                <w:iCs/>
              </w:rPr>
              <w:t>505</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753D03D6" w14:textId="77777777">
            <w:pPr>
              <w:keepNext/>
              <w:jc w:val="center"/>
              <w:rPr>
                <w:bCs/>
                <w:iCs/>
              </w:rPr>
            </w:pPr>
            <w:r w:rsidRPr="008B65E7">
              <w:rPr>
                <w:bCs/>
                <w:iCs/>
              </w:rPr>
              <w:t>5.66</w:t>
            </w:r>
          </w:p>
        </w:tc>
        <w:tc>
          <w:tcPr>
            <w:tcW w:w="990" w:type="dxa"/>
            <w:tcBorders>
              <w:top w:val="nil"/>
              <w:left w:val="nil"/>
              <w:bottom w:val="single" w:sz="8" w:space="0" w:color="auto"/>
              <w:right w:val="single" w:sz="8" w:space="0" w:color="auto"/>
            </w:tcBorders>
            <w:vAlign w:val="center"/>
          </w:tcPr>
          <w:p w:rsidR="00E80D41" w:rsidRPr="008B65E7" w:rsidP="00155618" w14:paraId="40C92C64" w14:textId="77777777">
            <w:pPr>
              <w:keepNext/>
              <w:jc w:val="center"/>
              <w:rPr>
                <w:bCs/>
                <w:iCs/>
              </w:rPr>
            </w:pPr>
            <w:r w:rsidRPr="008B65E7">
              <w:rPr>
                <w:bCs/>
                <w:iCs/>
              </w:rPr>
              <w:t>3/60</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00B8D7B7" w14:textId="77777777">
            <w:pPr>
              <w:keepNext/>
              <w:jc w:val="right"/>
              <w:rPr>
                <w:bCs/>
                <w:iCs/>
              </w:rPr>
            </w:pPr>
            <w:r w:rsidRPr="008B65E7">
              <w:rPr>
                <w:bCs/>
                <w:iCs/>
              </w:rPr>
              <w:t>143</w:t>
            </w:r>
          </w:p>
        </w:tc>
      </w:tr>
      <w:tr w14:paraId="6FAA377A" w14:textId="77777777" w:rsidTr="00155618">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5F8AEB8B" w14:textId="77777777">
            <w:pPr>
              <w:keepNext/>
              <w:rPr>
                <w:bCs/>
                <w:iCs/>
              </w:rPr>
            </w:pPr>
            <w:r w:rsidRPr="008B65E7">
              <w:rPr>
                <w:bCs/>
              </w:rPr>
              <w:t>3. Office</w:t>
            </w:r>
            <w:r w:rsidRPr="008B65E7">
              <w:rPr>
                <w:bCs/>
              </w:rPr>
              <w:noBreakHyphen/>
              <w:t>based Providers Event Form</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E80D41" w:rsidRPr="008B65E7" w:rsidP="00155618" w14:paraId="6F7B28E8" w14:textId="28F9B724">
            <w:pPr>
              <w:keepNext/>
              <w:jc w:val="right"/>
              <w:rPr>
                <w:bCs/>
                <w:iCs/>
              </w:rPr>
            </w:pPr>
            <w:r w:rsidRPr="008B65E7">
              <w:rPr>
                <w:bCs/>
                <w:iCs/>
              </w:rPr>
              <w:t>8</w:t>
            </w:r>
            <w:r w:rsidR="00353B32">
              <w:rPr>
                <w:bCs/>
                <w:iCs/>
              </w:rPr>
              <w:t>,</w:t>
            </w:r>
            <w:r w:rsidRPr="008B65E7">
              <w:rPr>
                <w:bCs/>
                <w:iCs/>
              </w:rPr>
              <w:t>074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62DD3E52" w14:textId="77777777">
            <w:pPr>
              <w:keepNext/>
              <w:jc w:val="center"/>
              <w:rPr>
                <w:bCs/>
                <w:iCs/>
              </w:rPr>
            </w:pPr>
            <w:r w:rsidRPr="008B65E7">
              <w:rPr>
                <w:bCs/>
                <w:iCs/>
              </w:rPr>
              <w:t>3.58</w:t>
            </w:r>
          </w:p>
        </w:tc>
        <w:tc>
          <w:tcPr>
            <w:tcW w:w="990" w:type="dxa"/>
            <w:tcBorders>
              <w:top w:val="nil"/>
              <w:left w:val="nil"/>
              <w:bottom w:val="single" w:sz="8" w:space="0" w:color="auto"/>
              <w:right w:val="single" w:sz="8" w:space="0" w:color="auto"/>
            </w:tcBorders>
            <w:vAlign w:val="center"/>
          </w:tcPr>
          <w:p w:rsidR="00E80D41" w:rsidRPr="008B65E7" w:rsidP="00155618" w14:paraId="5CACBB4F" w14:textId="77777777">
            <w:pPr>
              <w:keepNext/>
              <w:jc w:val="center"/>
              <w:rPr>
                <w:bCs/>
                <w:iCs/>
              </w:rPr>
            </w:pPr>
            <w:r w:rsidRPr="008B65E7">
              <w:rPr>
                <w:bCs/>
                <w:iCs/>
              </w:rPr>
              <w:t>3/60</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699AB8A3" w14:textId="1B95343E">
            <w:pPr>
              <w:keepNext/>
              <w:jc w:val="right"/>
              <w:rPr>
                <w:bCs/>
                <w:iCs/>
              </w:rPr>
            </w:pPr>
            <w:r w:rsidRPr="008B65E7">
              <w:rPr>
                <w:bCs/>
                <w:iCs/>
              </w:rPr>
              <w:t>1</w:t>
            </w:r>
            <w:r w:rsidR="00B87CE6">
              <w:rPr>
                <w:bCs/>
                <w:iCs/>
              </w:rPr>
              <w:t>,</w:t>
            </w:r>
            <w:r w:rsidRPr="008B65E7">
              <w:rPr>
                <w:bCs/>
                <w:iCs/>
              </w:rPr>
              <w:t>445</w:t>
            </w:r>
          </w:p>
        </w:tc>
      </w:tr>
      <w:tr w14:paraId="795EF1E4" w14:textId="77777777" w:rsidTr="00155618">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701F4398" w14:textId="77777777">
            <w:pPr>
              <w:keepNext/>
              <w:rPr>
                <w:bCs/>
              </w:rPr>
            </w:pPr>
            <w:r w:rsidRPr="008B65E7">
              <w:rPr>
                <w:bCs/>
              </w:rPr>
              <w:t>4. Separately Billing Doctors Event</w:t>
            </w:r>
          </w:p>
          <w:p w:rsidR="00E80D41" w:rsidRPr="008B65E7" w:rsidP="00155618" w14:paraId="7A711D38" w14:textId="77777777">
            <w:pPr>
              <w:keepNext/>
              <w:rPr>
                <w:bCs/>
                <w:iCs/>
              </w:rPr>
            </w:pPr>
            <w:r w:rsidRPr="008B65E7">
              <w:rPr>
                <w:bCs/>
              </w:rPr>
              <w:t xml:space="preserve"> Form</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E80D41" w:rsidRPr="008B65E7" w:rsidP="00155618" w14:paraId="607AE90C" w14:textId="77777777">
            <w:pPr>
              <w:keepNext/>
              <w:jc w:val="right"/>
            </w:pPr>
          </w:p>
          <w:p w:rsidR="00E80D41" w:rsidRPr="008B65E7" w:rsidP="00155618" w14:paraId="664B6D5D" w14:textId="77777777">
            <w:pPr>
              <w:keepNext/>
              <w:jc w:val="right"/>
              <w:rPr>
                <w:bCs/>
              </w:rPr>
            </w:pPr>
            <w:r w:rsidRPr="008B65E7">
              <w:t>5,574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76AF7A39" w14:textId="77777777">
            <w:pPr>
              <w:keepNext/>
              <w:jc w:val="center"/>
              <w:rPr>
                <w:bCs/>
                <w:iCs/>
              </w:rPr>
            </w:pPr>
          </w:p>
          <w:p w:rsidR="00E80D41" w:rsidRPr="008B65E7" w:rsidP="00155618" w14:paraId="44F0DD0F" w14:textId="77777777">
            <w:pPr>
              <w:keepNext/>
              <w:jc w:val="center"/>
              <w:rPr>
                <w:bCs/>
                <w:iCs/>
              </w:rPr>
            </w:pPr>
            <w:r w:rsidRPr="008B65E7">
              <w:rPr>
                <w:bCs/>
                <w:iCs/>
              </w:rPr>
              <w:t>1.13</w:t>
            </w:r>
          </w:p>
        </w:tc>
        <w:tc>
          <w:tcPr>
            <w:tcW w:w="990" w:type="dxa"/>
            <w:tcBorders>
              <w:top w:val="nil"/>
              <w:left w:val="nil"/>
              <w:bottom w:val="single" w:sz="8" w:space="0" w:color="auto"/>
              <w:right w:val="single" w:sz="8" w:space="0" w:color="auto"/>
            </w:tcBorders>
            <w:vAlign w:val="center"/>
          </w:tcPr>
          <w:p w:rsidR="00E80D41" w:rsidRPr="008B65E7" w:rsidP="00155618" w14:paraId="675D6821" w14:textId="77777777">
            <w:pPr>
              <w:keepNext/>
              <w:jc w:val="center"/>
              <w:rPr>
                <w:bCs/>
                <w:iCs/>
              </w:rPr>
            </w:pPr>
          </w:p>
          <w:p w:rsidR="00E80D41" w:rsidRPr="008B65E7" w:rsidP="00155618" w14:paraId="0570B879" w14:textId="77777777">
            <w:pPr>
              <w:keepNext/>
              <w:jc w:val="center"/>
              <w:rPr>
                <w:bCs/>
                <w:iCs/>
              </w:rPr>
            </w:pPr>
            <w:r w:rsidRPr="008B65E7">
              <w:rPr>
                <w:bCs/>
                <w:iCs/>
              </w:rPr>
              <w:t>3/60</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50619E72" w14:textId="77777777">
            <w:pPr>
              <w:keepNext/>
              <w:jc w:val="right"/>
              <w:rPr>
                <w:bCs/>
                <w:iCs/>
              </w:rPr>
            </w:pPr>
          </w:p>
          <w:p w:rsidR="00E80D41" w:rsidRPr="008B65E7" w:rsidP="00155618" w14:paraId="4C0866DC" w14:textId="77777777">
            <w:pPr>
              <w:keepNext/>
              <w:jc w:val="right"/>
              <w:rPr>
                <w:bCs/>
                <w:iCs/>
              </w:rPr>
            </w:pPr>
            <w:r w:rsidRPr="008B65E7">
              <w:rPr>
                <w:bCs/>
                <w:iCs/>
              </w:rPr>
              <w:t>315</w:t>
            </w:r>
          </w:p>
        </w:tc>
      </w:tr>
      <w:tr w14:paraId="3E7AA9AF" w14:textId="77777777" w:rsidTr="00155618">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4A72AE37" w14:textId="77777777">
            <w:pPr>
              <w:keepNext/>
              <w:rPr>
                <w:bCs/>
              </w:rPr>
            </w:pPr>
            <w:r w:rsidRPr="008B65E7">
              <w:rPr>
                <w:bCs/>
              </w:rPr>
              <w:t xml:space="preserve">5. Hospitals &amp; HMOs (Hospital </w:t>
            </w:r>
          </w:p>
          <w:p w:rsidR="00E80D41" w:rsidRPr="008B65E7" w:rsidP="00155618" w14:paraId="2C924D85" w14:textId="77777777">
            <w:pPr>
              <w:keepNext/>
              <w:rPr>
                <w:bCs/>
                <w:iCs/>
              </w:rPr>
            </w:pPr>
            <w:r w:rsidRPr="008B65E7">
              <w:rPr>
                <w:bCs/>
              </w:rPr>
              <w:t xml:space="preserve"> Event Form)</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E80D41" w:rsidRPr="008B65E7" w:rsidP="00155618" w14:paraId="03B4C37B" w14:textId="77777777">
            <w:pPr>
              <w:keepNext/>
              <w:jc w:val="right"/>
            </w:pPr>
          </w:p>
          <w:p w:rsidR="00E80D41" w:rsidRPr="008B65E7" w:rsidP="00155618" w14:paraId="48BC0932" w14:textId="77777777">
            <w:pPr>
              <w:keepNext/>
              <w:jc w:val="right"/>
              <w:rPr>
                <w:bCs/>
                <w:iCs/>
              </w:rPr>
            </w:pPr>
            <w:r w:rsidRPr="008B65E7">
              <w:t>3,482</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70B98FE3" w14:textId="77777777">
            <w:pPr>
              <w:keepNext/>
              <w:jc w:val="center"/>
              <w:rPr>
                <w:bCs/>
                <w:iCs/>
              </w:rPr>
            </w:pPr>
          </w:p>
          <w:p w:rsidR="00E80D41" w:rsidRPr="008B65E7" w:rsidP="00155618" w14:paraId="19D1F7AB" w14:textId="77777777">
            <w:pPr>
              <w:keepNext/>
              <w:jc w:val="center"/>
              <w:rPr>
                <w:bCs/>
                <w:iCs/>
              </w:rPr>
            </w:pPr>
            <w:r w:rsidRPr="008B65E7">
              <w:rPr>
                <w:bCs/>
                <w:iCs/>
              </w:rPr>
              <w:t>5.64</w:t>
            </w:r>
          </w:p>
        </w:tc>
        <w:tc>
          <w:tcPr>
            <w:tcW w:w="990" w:type="dxa"/>
            <w:tcBorders>
              <w:top w:val="nil"/>
              <w:left w:val="nil"/>
              <w:bottom w:val="single" w:sz="8" w:space="0" w:color="auto"/>
              <w:right w:val="single" w:sz="8" w:space="0" w:color="auto"/>
            </w:tcBorders>
            <w:vAlign w:val="center"/>
          </w:tcPr>
          <w:p w:rsidR="00E80D41" w:rsidRPr="008B65E7" w:rsidP="00155618" w14:paraId="27172CDF" w14:textId="77777777">
            <w:pPr>
              <w:keepNext/>
              <w:jc w:val="center"/>
              <w:rPr>
                <w:bCs/>
                <w:iCs/>
              </w:rPr>
            </w:pPr>
          </w:p>
          <w:p w:rsidR="00E80D41" w:rsidRPr="008B65E7" w:rsidP="00155618" w14:paraId="3F212102" w14:textId="77777777">
            <w:pPr>
              <w:keepNext/>
              <w:jc w:val="center"/>
              <w:rPr>
                <w:bCs/>
                <w:iCs/>
              </w:rPr>
            </w:pPr>
            <w:r w:rsidRPr="008B65E7">
              <w:rPr>
                <w:bCs/>
                <w:iCs/>
              </w:rPr>
              <w:t>3/60</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74FC13D4" w14:textId="77777777">
            <w:pPr>
              <w:keepNext/>
              <w:jc w:val="right"/>
              <w:rPr>
                <w:bCs/>
                <w:iCs/>
              </w:rPr>
            </w:pPr>
          </w:p>
          <w:p w:rsidR="00E80D41" w:rsidRPr="008B65E7" w:rsidP="00155618" w14:paraId="05919E83" w14:textId="4472CC41">
            <w:pPr>
              <w:keepNext/>
              <w:jc w:val="right"/>
              <w:rPr>
                <w:bCs/>
                <w:iCs/>
              </w:rPr>
            </w:pPr>
            <w:r>
              <w:rPr>
                <w:bCs/>
                <w:iCs/>
              </w:rPr>
              <w:t>982</w:t>
            </w:r>
          </w:p>
        </w:tc>
      </w:tr>
      <w:tr w14:paraId="70602AAB" w14:textId="77777777" w:rsidTr="00155618">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02CC6ADB" w14:textId="77777777">
            <w:pPr>
              <w:keepNext/>
              <w:rPr>
                <w:bCs/>
              </w:rPr>
            </w:pPr>
            <w:r w:rsidRPr="008B65E7">
              <w:rPr>
                <w:bCs/>
              </w:rPr>
              <w:t>6. Institutions (non-hospital) Event</w:t>
            </w:r>
          </w:p>
          <w:p w:rsidR="00E80D41" w:rsidRPr="008B65E7" w:rsidP="00155618" w14:paraId="772C0396" w14:textId="77777777">
            <w:pPr>
              <w:keepNext/>
              <w:rPr>
                <w:bCs/>
                <w:iCs/>
              </w:rPr>
            </w:pPr>
            <w:r w:rsidRPr="008B65E7">
              <w:rPr>
                <w:bCs/>
              </w:rPr>
              <w:t xml:space="preserve"> Form </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E80D41" w:rsidRPr="008B65E7" w:rsidP="00155618" w14:paraId="6E927BE4" w14:textId="77777777">
            <w:pPr>
              <w:keepNext/>
              <w:jc w:val="right"/>
            </w:pPr>
          </w:p>
          <w:p w:rsidR="00E80D41" w:rsidRPr="008B65E7" w:rsidP="00155618" w14:paraId="04A7C80D" w14:textId="77777777">
            <w:pPr>
              <w:keepNext/>
              <w:jc w:val="right"/>
              <w:rPr>
                <w:bCs/>
                <w:iCs/>
              </w:rPr>
            </w:pPr>
            <w:r w:rsidRPr="008B65E7">
              <w:rPr>
                <w:bCs/>
                <w:iCs/>
              </w:rPr>
              <w:t>103</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33B255B1" w14:textId="77777777">
            <w:pPr>
              <w:keepNext/>
              <w:jc w:val="center"/>
              <w:rPr>
                <w:bCs/>
                <w:iCs/>
              </w:rPr>
            </w:pPr>
          </w:p>
          <w:p w:rsidR="00E80D41" w:rsidRPr="008B65E7" w:rsidP="00155618" w14:paraId="5B8E3F44" w14:textId="77777777">
            <w:pPr>
              <w:keepNext/>
              <w:jc w:val="center"/>
              <w:rPr>
                <w:bCs/>
                <w:iCs/>
              </w:rPr>
            </w:pPr>
            <w:r w:rsidRPr="008B65E7">
              <w:rPr>
                <w:bCs/>
                <w:iCs/>
              </w:rPr>
              <w:t>1.25</w:t>
            </w:r>
          </w:p>
        </w:tc>
        <w:tc>
          <w:tcPr>
            <w:tcW w:w="990" w:type="dxa"/>
            <w:tcBorders>
              <w:top w:val="nil"/>
              <w:left w:val="nil"/>
              <w:bottom w:val="single" w:sz="8" w:space="0" w:color="auto"/>
              <w:right w:val="single" w:sz="8" w:space="0" w:color="auto"/>
            </w:tcBorders>
            <w:vAlign w:val="center"/>
          </w:tcPr>
          <w:p w:rsidR="00E80D41" w:rsidRPr="008B65E7" w:rsidP="00155618" w14:paraId="7B1DF6FB" w14:textId="77777777">
            <w:pPr>
              <w:keepNext/>
              <w:jc w:val="center"/>
              <w:rPr>
                <w:bCs/>
                <w:iCs/>
              </w:rPr>
            </w:pPr>
          </w:p>
          <w:p w:rsidR="00E80D41" w:rsidRPr="008B65E7" w:rsidP="00155618" w14:paraId="4798EEDF" w14:textId="77777777">
            <w:pPr>
              <w:keepNext/>
              <w:jc w:val="center"/>
              <w:rPr>
                <w:bCs/>
                <w:iCs/>
              </w:rPr>
            </w:pPr>
            <w:r w:rsidRPr="008B65E7">
              <w:rPr>
                <w:bCs/>
                <w:iCs/>
              </w:rPr>
              <w:t>3/60</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5110CC3C" w14:textId="77777777">
            <w:pPr>
              <w:keepNext/>
              <w:jc w:val="right"/>
              <w:rPr>
                <w:bCs/>
                <w:iCs/>
              </w:rPr>
            </w:pPr>
          </w:p>
          <w:p w:rsidR="00E80D41" w:rsidRPr="008B65E7" w:rsidP="00155618" w14:paraId="0C77F0DE" w14:textId="77777777">
            <w:pPr>
              <w:keepNext/>
              <w:jc w:val="right"/>
              <w:rPr>
                <w:bCs/>
                <w:iCs/>
              </w:rPr>
            </w:pPr>
            <w:r w:rsidRPr="008B65E7">
              <w:rPr>
                <w:bCs/>
                <w:iCs/>
              </w:rPr>
              <w:t>6</w:t>
            </w:r>
          </w:p>
        </w:tc>
      </w:tr>
      <w:tr w14:paraId="7732789E" w14:textId="77777777" w:rsidTr="00155618">
        <w:tblPrEx>
          <w:tblW w:w="8928"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3451E0E7" w14:textId="77777777">
            <w:pPr>
              <w:keepNext/>
              <w:rPr>
                <w:bCs/>
                <w:iCs/>
              </w:rPr>
            </w:pPr>
            <w:bookmarkStart w:id="50" w:name="_Hlk144961387"/>
            <w:r w:rsidRPr="008B65E7">
              <w:rPr>
                <w:bCs/>
              </w:rPr>
              <w:t>7. Pharmacies Event Form</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E80D41" w:rsidRPr="008B65E7" w:rsidP="00155618" w14:paraId="442DBE48" w14:textId="77777777">
            <w:pPr>
              <w:keepNext/>
              <w:jc w:val="right"/>
              <w:rPr>
                <w:bCs/>
                <w:iCs/>
              </w:rPr>
            </w:pPr>
            <w:r w:rsidRPr="008B65E7">
              <w:t>2,008</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29E9AB1F" w14:textId="77777777">
            <w:pPr>
              <w:keepNext/>
              <w:jc w:val="center"/>
              <w:rPr>
                <w:bCs/>
                <w:iCs/>
              </w:rPr>
            </w:pPr>
            <w:r w:rsidRPr="008B65E7">
              <w:rPr>
                <w:bCs/>
                <w:iCs/>
              </w:rPr>
              <w:t>21.15</w:t>
            </w:r>
          </w:p>
        </w:tc>
        <w:tc>
          <w:tcPr>
            <w:tcW w:w="990" w:type="dxa"/>
            <w:tcBorders>
              <w:top w:val="nil"/>
              <w:left w:val="nil"/>
              <w:bottom w:val="single" w:sz="8" w:space="0" w:color="auto"/>
              <w:right w:val="single" w:sz="8" w:space="0" w:color="auto"/>
            </w:tcBorders>
            <w:vAlign w:val="center"/>
          </w:tcPr>
          <w:p w:rsidR="00E80D41" w:rsidRPr="008B65E7" w:rsidP="00155618" w14:paraId="04568B5F" w14:textId="77777777">
            <w:pPr>
              <w:keepNext/>
              <w:jc w:val="center"/>
              <w:rPr>
                <w:bCs/>
                <w:iCs/>
              </w:rPr>
            </w:pPr>
            <w:r w:rsidRPr="008B65E7">
              <w:rPr>
                <w:bCs/>
                <w:iCs/>
              </w:rPr>
              <w:t>3/60</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072D7D74" w14:textId="4601E79E">
            <w:pPr>
              <w:keepNext/>
              <w:jc w:val="right"/>
              <w:rPr>
                <w:bCs/>
                <w:iCs/>
              </w:rPr>
            </w:pPr>
            <w:r w:rsidRPr="008B65E7">
              <w:rPr>
                <w:bCs/>
                <w:iCs/>
              </w:rPr>
              <w:t>2</w:t>
            </w:r>
            <w:r w:rsidR="00B87CE6">
              <w:rPr>
                <w:bCs/>
                <w:iCs/>
              </w:rPr>
              <w:t>,</w:t>
            </w:r>
            <w:r w:rsidRPr="008B65E7">
              <w:rPr>
                <w:bCs/>
                <w:iCs/>
              </w:rPr>
              <w:t>123</w:t>
            </w:r>
          </w:p>
        </w:tc>
      </w:tr>
      <w:bookmarkEnd w:id="50"/>
      <w:tr w14:paraId="1D7D680F" w14:textId="77777777" w:rsidTr="00155618">
        <w:tblPrEx>
          <w:tblW w:w="8928" w:type="dxa"/>
          <w:tblLayout w:type="fixed"/>
          <w:tblCellMar>
            <w:left w:w="0" w:type="dxa"/>
            <w:right w:w="0" w:type="dxa"/>
          </w:tblCellMar>
          <w:tblLook w:val="0000"/>
        </w:tblPrEx>
        <w:tc>
          <w:tcPr>
            <w:tcW w:w="388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E80D41" w:rsidRPr="008B65E7" w:rsidP="00155618" w14:paraId="664A4F6A" w14:textId="77777777">
            <w:pPr>
              <w:keepNext/>
              <w:rPr>
                <w:bCs/>
                <w:iCs/>
              </w:rPr>
            </w:pPr>
            <w:r w:rsidRPr="008B65E7">
              <w:rPr>
                <w:bCs/>
              </w:rPr>
              <w:t>Subtotal for the MEPS-MPC</w:t>
            </w:r>
          </w:p>
        </w:tc>
        <w:tc>
          <w:tcPr>
            <w:tcW w:w="1530" w:type="dxa"/>
            <w:tcBorders>
              <w:top w:val="nil"/>
              <w:left w:val="nil"/>
              <w:bottom w:val="single" w:sz="4" w:space="0" w:color="auto"/>
              <w:right w:val="single" w:sz="8" w:space="0" w:color="auto"/>
            </w:tcBorders>
            <w:tcMar>
              <w:top w:w="0" w:type="dxa"/>
              <w:left w:w="108" w:type="dxa"/>
              <w:bottom w:w="0" w:type="dxa"/>
              <w:right w:w="108" w:type="dxa"/>
            </w:tcMar>
          </w:tcPr>
          <w:p w:rsidR="00E80D41" w:rsidRPr="008B65E7" w:rsidP="00155618" w14:paraId="4BD585D3" w14:textId="0312AA64">
            <w:pPr>
              <w:keepNext/>
              <w:jc w:val="right"/>
              <w:rPr>
                <w:bCs/>
                <w:iCs/>
              </w:rPr>
            </w:pPr>
            <w:r w:rsidRPr="008B65E7">
              <w:rPr>
                <w:bCs/>
                <w:iCs/>
              </w:rPr>
              <w:t>56,</w:t>
            </w:r>
            <w:r w:rsidR="001B5599">
              <w:rPr>
                <w:bCs/>
                <w:iCs/>
              </w:rPr>
              <w:t>116</w:t>
            </w:r>
          </w:p>
        </w:tc>
        <w:tc>
          <w:tcPr>
            <w:tcW w:w="1530" w:type="dxa"/>
            <w:tcBorders>
              <w:top w:val="nil"/>
              <w:left w:val="nil"/>
              <w:bottom w:val="single" w:sz="4" w:space="0" w:color="auto"/>
              <w:right w:val="single" w:sz="8" w:space="0" w:color="auto"/>
            </w:tcBorders>
            <w:tcMar>
              <w:top w:w="0" w:type="dxa"/>
              <w:left w:w="108" w:type="dxa"/>
              <w:bottom w:w="0" w:type="dxa"/>
              <w:right w:w="108" w:type="dxa"/>
            </w:tcMar>
            <w:vAlign w:val="center"/>
          </w:tcPr>
          <w:p w:rsidR="00E80D41" w:rsidRPr="008B65E7" w:rsidP="00155618" w14:paraId="597BD434" w14:textId="77777777">
            <w:pPr>
              <w:keepNext/>
              <w:jc w:val="center"/>
              <w:rPr>
                <w:bCs/>
                <w:iCs/>
              </w:rPr>
            </w:pPr>
            <w:r w:rsidRPr="008B65E7">
              <w:rPr>
                <w:bCs/>
                <w:iCs/>
              </w:rPr>
              <w:t>--</w:t>
            </w:r>
          </w:p>
        </w:tc>
        <w:tc>
          <w:tcPr>
            <w:tcW w:w="990" w:type="dxa"/>
            <w:tcBorders>
              <w:top w:val="nil"/>
              <w:left w:val="nil"/>
              <w:bottom w:val="single" w:sz="4" w:space="0" w:color="auto"/>
              <w:right w:val="single" w:sz="8" w:space="0" w:color="auto"/>
            </w:tcBorders>
            <w:vAlign w:val="center"/>
          </w:tcPr>
          <w:p w:rsidR="00E80D41" w:rsidRPr="008B65E7" w:rsidP="00155618" w14:paraId="7E88C5F3" w14:textId="77777777">
            <w:pPr>
              <w:keepNext/>
              <w:jc w:val="center"/>
              <w:rPr>
                <w:bCs/>
                <w:iCs/>
              </w:rPr>
            </w:pPr>
            <w:r w:rsidRPr="008B65E7">
              <w:rPr>
                <w:bCs/>
                <w:iCs/>
              </w:rPr>
              <w:t>--</w:t>
            </w:r>
          </w:p>
        </w:tc>
        <w:tc>
          <w:tcPr>
            <w:tcW w:w="9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E80D41" w:rsidRPr="008B65E7" w:rsidP="00155618" w14:paraId="601EED2B" w14:textId="7E1F6A75">
            <w:pPr>
              <w:keepNext/>
              <w:jc w:val="right"/>
              <w:rPr>
                <w:bCs/>
                <w:iCs/>
              </w:rPr>
            </w:pPr>
            <w:r>
              <w:rPr>
                <w:bCs/>
                <w:iCs/>
              </w:rPr>
              <w:t>8,045</w:t>
            </w:r>
          </w:p>
        </w:tc>
      </w:tr>
      <w:tr w14:paraId="2D767947" w14:textId="77777777" w:rsidTr="00155618">
        <w:tblPrEx>
          <w:tblW w:w="8928" w:type="dxa"/>
          <w:tblLayout w:type="fixed"/>
          <w:tblCellMar>
            <w:left w:w="0" w:type="dxa"/>
            <w:right w:w="0" w:type="dxa"/>
          </w:tblCellMar>
          <w:tblLook w:val="0000"/>
        </w:tblPrEx>
        <w:tc>
          <w:tcPr>
            <w:tcW w:w="38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6F0DCE54" w14:textId="77777777">
            <w:pPr>
              <w:keepNext/>
              <w:rPr>
                <w:bCs/>
              </w:rPr>
            </w:pPr>
            <w:r w:rsidRPr="008B65E7">
              <w:rPr>
                <w:bCs/>
              </w:rPr>
              <w:t>GRAND TOTAL</w:t>
            </w:r>
          </w:p>
        </w:tc>
        <w:tc>
          <w:tcPr>
            <w:tcW w:w="153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80D41" w:rsidRPr="008B65E7" w:rsidP="00155618" w14:paraId="7FB16645" w14:textId="2AAB6207">
            <w:pPr>
              <w:keepNext/>
              <w:jc w:val="right"/>
              <w:rPr>
                <w:bCs/>
              </w:rPr>
            </w:pPr>
            <w:r>
              <w:rPr>
                <w:bCs/>
              </w:rPr>
              <w:t>110,135</w:t>
            </w:r>
          </w:p>
        </w:tc>
        <w:tc>
          <w:tcPr>
            <w:tcW w:w="15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80D41" w:rsidRPr="008B65E7" w:rsidP="00155618" w14:paraId="53AD6BB6" w14:textId="77777777">
            <w:pPr>
              <w:keepNext/>
              <w:jc w:val="center"/>
              <w:rPr>
                <w:bCs/>
              </w:rPr>
            </w:pPr>
          </w:p>
        </w:tc>
        <w:tc>
          <w:tcPr>
            <w:tcW w:w="990" w:type="dxa"/>
            <w:tcBorders>
              <w:top w:val="single" w:sz="4" w:space="0" w:color="auto"/>
              <w:left w:val="nil"/>
              <w:bottom w:val="single" w:sz="8" w:space="0" w:color="auto"/>
              <w:right w:val="single" w:sz="8" w:space="0" w:color="auto"/>
            </w:tcBorders>
            <w:vAlign w:val="center"/>
          </w:tcPr>
          <w:p w:rsidR="00E80D41" w:rsidRPr="008B65E7" w:rsidP="00155618" w14:paraId="3F0A0EB1" w14:textId="77777777">
            <w:pPr>
              <w:keepNext/>
              <w:jc w:val="center"/>
              <w:rPr>
                <w:bCs/>
              </w:rPr>
            </w:pPr>
          </w:p>
        </w:tc>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D41" w:rsidRPr="008B65E7" w:rsidP="00155618" w14:paraId="7FE27384" w14:textId="0BDC5E5E">
            <w:pPr>
              <w:keepNext/>
              <w:jc w:val="right"/>
              <w:rPr>
                <w:bCs/>
              </w:rPr>
            </w:pPr>
            <w:r>
              <w:rPr>
                <w:bCs/>
              </w:rPr>
              <w:t>50,264</w:t>
            </w:r>
          </w:p>
        </w:tc>
      </w:tr>
    </w:tbl>
    <w:p w:rsidR="00E80D41" w:rsidRPr="005C3AC5" w:rsidP="00E80D41" w14:paraId="3517690B" w14:textId="77777777">
      <w:pPr>
        <w:keepNext/>
        <w:rPr>
          <w:bCs/>
          <w:iCs/>
          <w:sz w:val="22"/>
          <w:szCs w:val="22"/>
        </w:rPr>
      </w:pPr>
      <w:r w:rsidRPr="005C3AC5">
        <w:rPr>
          <w:bCs/>
          <w:iCs/>
          <w:sz w:val="22"/>
          <w:szCs w:val="22"/>
          <w:vertAlign w:val="superscript"/>
        </w:rPr>
        <w:t>*</w:t>
      </w:r>
      <w:r w:rsidRPr="005C3AC5">
        <w:rPr>
          <w:bCs/>
          <w:iCs/>
          <w:sz w:val="22"/>
          <w:szCs w:val="22"/>
        </w:rPr>
        <w:t xml:space="preserve"> The Adult SAQ is completed once every two years, on the odd numbered years.</w:t>
      </w:r>
    </w:p>
    <w:p w:rsidR="00E80D41" w:rsidP="00E80D41" w14:paraId="5E259313" w14:textId="77777777">
      <w:pPr>
        <w:keepNext/>
        <w:rPr>
          <w:bCs/>
          <w:iCs/>
          <w:sz w:val="22"/>
          <w:szCs w:val="22"/>
        </w:rPr>
      </w:pPr>
      <w:r w:rsidRPr="005C3AC5">
        <w:rPr>
          <w:bCs/>
          <w:iCs/>
          <w:sz w:val="22"/>
          <w:szCs w:val="22"/>
          <w:vertAlign w:val="superscript"/>
        </w:rPr>
        <w:t>**</w:t>
      </w:r>
      <w:r w:rsidRPr="005C3AC5">
        <w:rPr>
          <w:bCs/>
          <w:iCs/>
          <w:sz w:val="22"/>
          <w:szCs w:val="22"/>
        </w:rPr>
        <w:t xml:space="preserve"> The PSAQ is completed once every two years, on the even numbered years</w:t>
      </w:r>
      <w:r>
        <w:rPr>
          <w:bCs/>
          <w:iCs/>
          <w:sz w:val="22"/>
          <w:szCs w:val="22"/>
        </w:rPr>
        <w:t>.</w:t>
      </w:r>
      <w:bookmarkEnd w:id="47"/>
    </w:p>
    <w:p w:rsidR="00E80D41" w:rsidRPr="00BB1DB7" w:rsidP="00E80D41" w14:paraId="62883610" w14:textId="77777777">
      <w:pPr>
        <w:rPr>
          <w:bCs/>
          <w:iCs/>
          <w:sz w:val="22"/>
          <w:szCs w:val="22"/>
        </w:rPr>
      </w:pPr>
      <w:r>
        <w:rPr>
          <w:bCs/>
          <w:iCs/>
          <w:sz w:val="22"/>
          <w:szCs w:val="22"/>
          <w:vertAlign w:val="superscript"/>
        </w:rPr>
        <w:t>a</w:t>
      </w:r>
      <w:r>
        <w:rPr>
          <w:bCs/>
          <w:iCs/>
          <w:sz w:val="22"/>
          <w:szCs w:val="22"/>
        </w:rPr>
        <w:t xml:space="preserve"> See the Supporting Statement Part B, Table 1 and Table 3, for information on the sample size</w:t>
      </w:r>
      <w:r>
        <w:rPr>
          <w:bCs/>
          <w:iCs/>
          <w:sz w:val="22"/>
          <w:szCs w:val="22"/>
        </w:rPr>
        <w:br/>
        <w:t xml:space="preserve"> and number of respondents.</w:t>
      </w:r>
    </w:p>
    <w:bookmarkEnd w:id="48"/>
    <w:p w:rsidR="00E80D41" w:rsidP="00E80D41" w14:paraId="27D48E2A" w14:textId="77777777">
      <w:pPr>
        <w:tabs>
          <w:tab w:val="left" w:pos="0"/>
        </w:tabs>
        <w:rPr>
          <w:bCs/>
        </w:rPr>
      </w:pPr>
    </w:p>
    <w:p w:rsidR="00E80D41" w:rsidRPr="00716E58" w:rsidP="00E80D41" w14:paraId="285D433E" w14:textId="7FA5868A">
      <w:pPr>
        <w:rPr>
          <w:rStyle w:val="Strong"/>
          <w:b w:val="0"/>
          <w:iCs/>
        </w:rPr>
      </w:pPr>
      <w:r w:rsidRPr="00165FC9">
        <w:rPr>
          <w:bCs/>
        </w:rPr>
        <w:t xml:space="preserve">Exhibit 2 shows the estimated annual cost burden associated with the respondents' time to </w:t>
      </w:r>
      <w:r w:rsidRPr="00464CA9">
        <w:rPr>
          <w:bCs/>
        </w:rPr>
        <w:t>participate in this information collection.</w:t>
      </w:r>
      <w:r>
        <w:rPr>
          <w:bCs/>
        </w:rPr>
        <w:t xml:space="preserve"> </w:t>
      </w:r>
      <w:r w:rsidRPr="00464CA9">
        <w:rPr>
          <w:bCs/>
        </w:rPr>
        <w:t>The annual cost burden for the MEPS-HC is</w:t>
      </w:r>
      <w:r w:rsidRPr="00165FC9">
        <w:rPr>
          <w:bCs/>
        </w:rPr>
        <w:t xml:space="preserve"> estimated to be </w:t>
      </w:r>
      <w:r w:rsidRPr="003153DC">
        <w:rPr>
          <w:bCs/>
          <w:iCs/>
        </w:rPr>
        <w:t>$</w:t>
      </w:r>
      <w:r w:rsidR="0006354E">
        <w:rPr>
          <w:bCs/>
          <w:iCs/>
        </w:rPr>
        <w:t>2,757,</w:t>
      </w:r>
      <w:r w:rsidR="005E5C71">
        <w:rPr>
          <w:bCs/>
          <w:iCs/>
        </w:rPr>
        <w:t>745</w:t>
      </w:r>
      <w:r w:rsidRPr="003153DC" w:rsidR="005E5C71">
        <w:rPr>
          <w:bCs/>
        </w:rPr>
        <w:t xml:space="preserve"> </w:t>
      </w:r>
      <w:r w:rsidRPr="003153DC">
        <w:rPr>
          <w:bCs/>
        </w:rPr>
        <w:t xml:space="preserve">and the annual cost burden for the MEPS-MPC is estimated to be </w:t>
      </w:r>
      <w:r w:rsidRPr="003153DC">
        <w:rPr>
          <w:color w:val="000000"/>
        </w:rPr>
        <w:t>$</w:t>
      </w:r>
      <w:r w:rsidR="005E5C71">
        <w:rPr>
          <w:color w:val="000000"/>
        </w:rPr>
        <w:t>350,960</w:t>
      </w:r>
      <w:r w:rsidRPr="003153DC">
        <w:rPr>
          <w:bCs/>
        </w:rPr>
        <w:t xml:space="preserve">. The total annual cost burden for the MEPS-HC and MPC is estimated to be </w:t>
      </w:r>
      <w:r w:rsidRPr="003153DC">
        <w:rPr>
          <w:bCs/>
          <w:iCs/>
        </w:rPr>
        <w:t>$</w:t>
      </w:r>
      <w:r w:rsidR="0006354E">
        <w:rPr>
          <w:bCs/>
          <w:iCs/>
        </w:rPr>
        <w:t>3,</w:t>
      </w:r>
      <w:r w:rsidR="005E5C71">
        <w:rPr>
          <w:bCs/>
          <w:iCs/>
        </w:rPr>
        <w:t>108,705</w:t>
      </w:r>
      <w:r w:rsidRPr="003153DC">
        <w:rPr>
          <w:bCs/>
        </w:rPr>
        <w:t>.</w:t>
      </w:r>
    </w:p>
    <w:p w:rsidR="00E80D41" w:rsidP="00E80D41" w14:paraId="1CE97A64" w14:textId="77777777">
      <w:pPr>
        <w:rPr>
          <w:bCs/>
          <w:iCs/>
        </w:rPr>
      </w:pPr>
    </w:p>
    <w:p w:rsidR="00E80D41" w:rsidRPr="00093C26" w:rsidP="00E80D41" w14:paraId="44091223" w14:textId="77777777">
      <w:pPr>
        <w:keepNext/>
        <w:rPr>
          <w:bCs/>
          <w:iCs/>
        </w:rPr>
      </w:pPr>
      <w:r w:rsidRPr="00093C26">
        <w:rPr>
          <w:b/>
          <w:bCs/>
          <w:iCs/>
        </w:rPr>
        <w:t xml:space="preserve">Exhibit </w:t>
      </w:r>
      <w:r>
        <w:rPr>
          <w:b/>
          <w:bCs/>
          <w:iCs/>
        </w:rPr>
        <w:t>2</w:t>
      </w:r>
      <w:r w:rsidRPr="00093C26">
        <w:rPr>
          <w:b/>
          <w:bCs/>
          <w:iCs/>
        </w:rPr>
        <w:t>.</w:t>
      </w:r>
      <w:r>
        <w:rPr>
          <w:b/>
          <w:bCs/>
          <w:iCs/>
        </w:rPr>
        <w:t xml:space="preserve"> </w:t>
      </w:r>
      <w:r w:rsidRPr="005622E0">
        <w:rPr>
          <w:b/>
          <w:bCs/>
        </w:rPr>
        <w:t>Estimated annualized cost burden</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94"/>
        <w:gridCol w:w="989"/>
        <w:gridCol w:w="1345"/>
        <w:gridCol w:w="1503"/>
        <w:gridCol w:w="1321"/>
      </w:tblGrid>
      <w:tr w14:paraId="261EE252" w14:textId="77777777" w:rsidTr="006C54DC">
        <w:tblPrEx>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c>
          <w:tcPr>
            <w:tcW w:w="3894" w:type="dxa"/>
            <w:tcMar>
              <w:top w:w="0" w:type="dxa"/>
              <w:left w:w="108" w:type="dxa"/>
              <w:bottom w:w="0" w:type="dxa"/>
              <w:right w:w="108" w:type="dxa"/>
            </w:tcMar>
            <w:vAlign w:val="center"/>
          </w:tcPr>
          <w:p w:rsidR="006C54DC" w:rsidRPr="009A296B" w:rsidP="00155618" w14:paraId="2B09B151" w14:textId="77777777">
            <w:pPr>
              <w:keepNext/>
              <w:rPr>
                <w:bCs/>
                <w:iCs/>
                <w:sz w:val="22"/>
                <w:szCs w:val="22"/>
              </w:rPr>
            </w:pPr>
            <w:r w:rsidRPr="009A296B">
              <w:rPr>
                <w:bCs/>
                <w:iCs/>
                <w:sz w:val="22"/>
                <w:szCs w:val="22"/>
              </w:rPr>
              <w:t>Form Name</w:t>
            </w:r>
          </w:p>
        </w:tc>
        <w:tc>
          <w:tcPr>
            <w:tcW w:w="989" w:type="dxa"/>
            <w:tcMar>
              <w:top w:w="0" w:type="dxa"/>
              <w:left w:w="108" w:type="dxa"/>
              <w:bottom w:w="0" w:type="dxa"/>
              <w:right w:w="108" w:type="dxa"/>
            </w:tcMar>
            <w:vAlign w:val="center"/>
          </w:tcPr>
          <w:p w:rsidR="006C54DC" w:rsidRPr="009A296B" w:rsidP="00155618" w14:paraId="2DE439C8" w14:textId="77777777">
            <w:pPr>
              <w:keepNext/>
              <w:jc w:val="center"/>
              <w:rPr>
                <w:bCs/>
                <w:iCs/>
                <w:sz w:val="22"/>
                <w:szCs w:val="22"/>
              </w:rPr>
            </w:pPr>
            <w:r w:rsidRPr="009A296B">
              <w:rPr>
                <w:bCs/>
                <w:iCs/>
                <w:sz w:val="22"/>
                <w:szCs w:val="22"/>
              </w:rPr>
              <w:t>Total burden hours</w:t>
            </w:r>
          </w:p>
        </w:tc>
        <w:tc>
          <w:tcPr>
            <w:tcW w:w="1345" w:type="dxa"/>
            <w:vAlign w:val="center"/>
          </w:tcPr>
          <w:p w:rsidR="006C54DC" w:rsidRPr="009A296B" w:rsidP="00155618" w14:paraId="278980D4" w14:textId="3BF923B8">
            <w:pPr>
              <w:keepNext/>
              <w:jc w:val="center"/>
              <w:rPr>
                <w:bCs/>
                <w:iCs/>
                <w:sz w:val="22"/>
                <w:szCs w:val="22"/>
              </w:rPr>
            </w:pPr>
            <w:r w:rsidRPr="009A296B">
              <w:rPr>
                <w:bCs/>
                <w:iCs/>
                <w:sz w:val="22"/>
                <w:szCs w:val="22"/>
              </w:rPr>
              <w:t>Average hourly wage rate</w:t>
            </w:r>
            <w:r>
              <w:rPr>
                <w:bCs/>
                <w:iCs/>
                <w:sz w:val="22"/>
                <w:szCs w:val="22"/>
              </w:rPr>
              <w:t>*</w:t>
            </w:r>
          </w:p>
        </w:tc>
        <w:tc>
          <w:tcPr>
            <w:tcW w:w="1503" w:type="dxa"/>
          </w:tcPr>
          <w:p w:rsidR="006C54DC" w:rsidRPr="006C54DC" w:rsidP="006C54DC" w14:paraId="113010D7" w14:textId="77777777">
            <w:pPr>
              <w:jc w:val="center"/>
              <w:rPr>
                <w:color w:val="000000"/>
                <w:sz w:val="22"/>
                <w:szCs w:val="22"/>
              </w:rPr>
            </w:pPr>
            <w:r w:rsidRPr="006C54DC">
              <w:rPr>
                <w:color w:val="000000"/>
                <w:sz w:val="22"/>
                <w:szCs w:val="22"/>
              </w:rPr>
              <w:t xml:space="preserve">Adjusted </w:t>
            </w:r>
          </w:p>
          <w:p w:rsidR="006C54DC" w:rsidRPr="006C54DC" w:rsidP="006C54DC" w14:paraId="55601BAD" w14:textId="7C02D4E7">
            <w:pPr>
              <w:keepNext/>
              <w:jc w:val="center"/>
              <w:rPr>
                <w:bCs/>
                <w:iCs/>
                <w:sz w:val="22"/>
                <w:szCs w:val="22"/>
              </w:rPr>
            </w:pPr>
            <w:r w:rsidRPr="006C54DC">
              <w:rPr>
                <w:color w:val="000000"/>
                <w:sz w:val="22"/>
                <w:szCs w:val="22"/>
              </w:rPr>
              <w:t>Hourly Wage Rate**</w:t>
            </w:r>
          </w:p>
        </w:tc>
        <w:tc>
          <w:tcPr>
            <w:tcW w:w="1321" w:type="dxa"/>
            <w:tcMar>
              <w:top w:w="0" w:type="dxa"/>
              <w:left w:w="108" w:type="dxa"/>
              <w:bottom w:w="0" w:type="dxa"/>
              <w:right w:w="108" w:type="dxa"/>
            </w:tcMar>
            <w:vAlign w:val="center"/>
          </w:tcPr>
          <w:p w:rsidR="006C54DC" w:rsidRPr="009A296B" w:rsidP="00155618" w14:paraId="61201051" w14:textId="195E6547">
            <w:pPr>
              <w:keepNext/>
              <w:jc w:val="center"/>
              <w:rPr>
                <w:bCs/>
                <w:iCs/>
                <w:sz w:val="22"/>
                <w:szCs w:val="22"/>
              </w:rPr>
            </w:pPr>
            <w:r w:rsidRPr="009A296B">
              <w:rPr>
                <w:bCs/>
                <w:iCs/>
                <w:sz w:val="22"/>
                <w:szCs w:val="22"/>
              </w:rPr>
              <w:t>Total cost burden</w:t>
            </w:r>
          </w:p>
        </w:tc>
      </w:tr>
      <w:tr w14:paraId="1F376F11" w14:textId="77777777" w:rsidTr="006C54DC">
        <w:tblPrEx>
          <w:tblW w:w="9052" w:type="dxa"/>
          <w:tblLayout w:type="fixed"/>
          <w:tblCellMar>
            <w:left w:w="0" w:type="dxa"/>
            <w:right w:w="0" w:type="dxa"/>
          </w:tblCellMar>
          <w:tblLook w:val="0000"/>
        </w:tblPrEx>
        <w:tc>
          <w:tcPr>
            <w:tcW w:w="9052" w:type="dxa"/>
            <w:gridSpan w:val="5"/>
            <w:shd w:val="clear" w:color="auto" w:fill="BFBFBF" w:themeFill="background1" w:themeFillShade="BF"/>
            <w:tcMar>
              <w:top w:w="0" w:type="dxa"/>
              <w:left w:w="108" w:type="dxa"/>
              <w:bottom w:w="0" w:type="dxa"/>
              <w:right w:w="108" w:type="dxa"/>
            </w:tcMar>
            <w:vAlign w:val="center"/>
          </w:tcPr>
          <w:p w:rsidR="006C54DC" w:rsidRPr="006C54DC" w:rsidP="006C54DC" w14:paraId="68730298" w14:textId="1E42B000">
            <w:pPr>
              <w:keepNext/>
              <w:rPr>
                <w:bCs/>
                <w:iCs/>
              </w:rPr>
            </w:pPr>
            <w:r w:rsidRPr="006C54DC">
              <w:rPr>
                <w:bCs/>
                <w:iCs/>
              </w:rPr>
              <w:t>MEPS-HC</w:t>
            </w:r>
          </w:p>
        </w:tc>
      </w:tr>
      <w:tr w14:paraId="6603CF60" w14:textId="77777777" w:rsidTr="006C54DC">
        <w:tblPrEx>
          <w:tblW w:w="9052" w:type="dxa"/>
          <w:tblLayout w:type="fixed"/>
          <w:tblCellMar>
            <w:left w:w="0" w:type="dxa"/>
            <w:right w:w="0" w:type="dxa"/>
          </w:tblCellMar>
          <w:tblLook w:val="0000"/>
        </w:tblPrEx>
        <w:tc>
          <w:tcPr>
            <w:tcW w:w="3894" w:type="dxa"/>
            <w:tcMar>
              <w:top w:w="0" w:type="dxa"/>
              <w:left w:w="108" w:type="dxa"/>
              <w:bottom w:w="0" w:type="dxa"/>
              <w:right w:w="108" w:type="dxa"/>
            </w:tcMar>
            <w:vAlign w:val="center"/>
          </w:tcPr>
          <w:p w:rsidR="006C54DC" w:rsidRPr="00093C26" w:rsidP="006C54DC" w14:paraId="22F466E8" w14:textId="77777777">
            <w:pPr>
              <w:keepNext/>
              <w:rPr>
                <w:bCs/>
                <w:iCs/>
              </w:rPr>
            </w:pPr>
            <w:r>
              <w:rPr>
                <w:bCs/>
                <w:iCs/>
              </w:rPr>
              <w:t xml:space="preserve">1. </w:t>
            </w:r>
            <w:r w:rsidRPr="00093C26">
              <w:rPr>
                <w:bCs/>
                <w:iCs/>
              </w:rPr>
              <w:t>MEPS-HC Core Interview</w:t>
            </w:r>
          </w:p>
        </w:tc>
        <w:tc>
          <w:tcPr>
            <w:tcW w:w="989" w:type="dxa"/>
            <w:tcMar>
              <w:top w:w="0" w:type="dxa"/>
              <w:left w:w="108" w:type="dxa"/>
              <w:bottom w:w="0" w:type="dxa"/>
              <w:right w:w="108" w:type="dxa"/>
            </w:tcMar>
            <w:vAlign w:val="center"/>
          </w:tcPr>
          <w:p w:rsidR="006C54DC" w:rsidRPr="00093C26" w:rsidP="006C54DC" w14:paraId="151CA5E7" w14:textId="77777777">
            <w:pPr>
              <w:keepNext/>
              <w:jc w:val="right"/>
              <w:rPr>
                <w:bCs/>
                <w:iCs/>
              </w:rPr>
            </w:pPr>
            <w:r>
              <w:rPr>
                <w:bCs/>
                <w:iCs/>
              </w:rPr>
              <w:t>37,519</w:t>
            </w:r>
          </w:p>
        </w:tc>
        <w:tc>
          <w:tcPr>
            <w:tcW w:w="1345" w:type="dxa"/>
            <w:vAlign w:val="center"/>
          </w:tcPr>
          <w:p w:rsidR="006C54DC" w:rsidRPr="00F20D31" w:rsidP="006C54DC" w14:paraId="07155DAC" w14:textId="17D98A36">
            <w:pPr>
              <w:keepNext/>
              <w:jc w:val="center"/>
              <w:rPr>
                <w:bCs/>
                <w:iCs/>
                <w:vertAlign w:val="superscript"/>
              </w:rPr>
            </w:pPr>
            <w:r w:rsidRPr="00F20D31">
              <w:rPr>
                <w:bCs/>
                <w:iCs/>
              </w:rPr>
              <w:t>$3</w:t>
            </w:r>
            <w:r>
              <w:rPr>
                <w:bCs/>
                <w:iCs/>
              </w:rPr>
              <w:t>2</w:t>
            </w:r>
            <w:r w:rsidRPr="00F20D31">
              <w:rPr>
                <w:bCs/>
                <w:iCs/>
              </w:rPr>
              <w:t>.</w:t>
            </w:r>
            <w:r>
              <w:rPr>
                <w:bCs/>
                <w:iCs/>
              </w:rPr>
              <w:t>66</w:t>
            </w:r>
            <w:r>
              <w:rPr>
                <w:bCs/>
                <w:iCs/>
                <w:vertAlign w:val="superscript"/>
              </w:rPr>
              <w:t>a</w:t>
            </w:r>
          </w:p>
        </w:tc>
        <w:tc>
          <w:tcPr>
            <w:tcW w:w="1503" w:type="dxa"/>
          </w:tcPr>
          <w:p w:rsidR="006C54DC" w:rsidRPr="00F20D31" w:rsidP="006C54DC" w14:paraId="4EE8B699" w14:textId="48A8C3B8">
            <w:pPr>
              <w:keepNext/>
              <w:jc w:val="center"/>
              <w:rPr>
                <w:bCs/>
                <w:iCs/>
              </w:rPr>
            </w:pPr>
            <w:r>
              <w:t>$</w:t>
            </w:r>
            <w:r w:rsidRPr="00CA38D4">
              <w:t>65.32</w:t>
            </w:r>
          </w:p>
        </w:tc>
        <w:tc>
          <w:tcPr>
            <w:tcW w:w="1321" w:type="dxa"/>
            <w:tcMar>
              <w:top w:w="0" w:type="dxa"/>
              <w:left w:w="108" w:type="dxa"/>
              <w:bottom w:w="0" w:type="dxa"/>
              <w:right w:w="108" w:type="dxa"/>
            </w:tcMar>
            <w:vAlign w:val="center"/>
          </w:tcPr>
          <w:p w:rsidR="006C54DC" w:rsidRPr="00F20D31" w:rsidP="006C54DC" w14:paraId="59B73F4A" w14:textId="58F8A037">
            <w:pPr>
              <w:keepNext/>
              <w:jc w:val="right"/>
              <w:rPr>
                <w:bCs/>
                <w:iCs/>
              </w:rPr>
            </w:pPr>
            <w:r>
              <w:rPr>
                <w:color w:val="000000"/>
              </w:rPr>
              <w:t>$2,450,</w:t>
            </w:r>
            <w:r w:rsidR="00D75372">
              <w:rPr>
                <w:color w:val="000000"/>
              </w:rPr>
              <w:t xml:space="preserve">741 </w:t>
            </w:r>
          </w:p>
        </w:tc>
      </w:tr>
      <w:tr w14:paraId="17F5AAB4" w14:textId="77777777" w:rsidTr="006C54DC">
        <w:tblPrEx>
          <w:tblW w:w="9052" w:type="dxa"/>
          <w:tblLayout w:type="fixed"/>
          <w:tblCellMar>
            <w:left w:w="0" w:type="dxa"/>
            <w:right w:w="0" w:type="dxa"/>
          </w:tblCellMar>
          <w:tblLook w:val="0000"/>
        </w:tblPrEx>
        <w:tc>
          <w:tcPr>
            <w:tcW w:w="3894" w:type="dxa"/>
            <w:tcMar>
              <w:top w:w="0" w:type="dxa"/>
              <w:left w:w="108" w:type="dxa"/>
              <w:bottom w:w="0" w:type="dxa"/>
              <w:right w:w="108" w:type="dxa"/>
            </w:tcMar>
            <w:vAlign w:val="center"/>
          </w:tcPr>
          <w:p w:rsidR="006C54DC" w:rsidRPr="00093C26" w:rsidP="006C54DC" w14:paraId="3B377961" w14:textId="77777777">
            <w:pPr>
              <w:keepNext/>
              <w:rPr>
                <w:bCs/>
                <w:iCs/>
              </w:rPr>
            </w:pPr>
            <w:r>
              <w:rPr>
                <w:bCs/>
                <w:iCs/>
              </w:rPr>
              <w:t xml:space="preserve">2. </w:t>
            </w:r>
            <w:r w:rsidRPr="00093C26">
              <w:rPr>
                <w:bCs/>
                <w:iCs/>
              </w:rPr>
              <w:t>Adult SAQ</w:t>
            </w:r>
            <w:r>
              <w:rPr>
                <w:bCs/>
                <w:iCs/>
                <w:vertAlign w:val="superscript"/>
              </w:rPr>
              <w:t>*</w:t>
            </w:r>
            <w:r>
              <w:rPr>
                <w:bCs/>
                <w:iCs/>
              </w:rPr>
              <w:t xml:space="preserve"> </w:t>
            </w:r>
          </w:p>
        </w:tc>
        <w:tc>
          <w:tcPr>
            <w:tcW w:w="989" w:type="dxa"/>
            <w:tcMar>
              <w:top w:w="0" w:type="dxa"/>
              <w:left w:w="108" w:type="dxa"/>
              <w:bottom w:w="0" w:type="dxa"/>
              <w:right w:w="108" w:type="dxa"/>
            </w:tcMar>
            <w:vAlign w:val="center"/>
          </w:tcPr>
          <w:p w:rsidR="006C54DC" w:rsidRPr="00093C26" w:rsidP="006C54DC" w14:paraId="5A386078" w14:textId="77777777">
            <w:pPr>
              <w:keepNext/>
              <w:jc w:val="right"/>
              <w:rPr>
                <w:bCs/>
                <w:iCs/>
              </w:rPr>
            </w:pPr>
            <w:r>
              <w:rPr>
                <w:bCs/>
                <w:iCs/>
              </w:rPr>
              <w:t>723</w:t>
            </w:r>
          </w:p>
        </w:tc>
        <w:tc>
          <w:tcPr>
            <w:tcW w:w="1345" w:type="dxa"/>
            <w:vAlign w:val="center"/>
          </w:tcPr>
          <w:p w:rsidR="006C54DC" w:rsidRPr="00F20D31" w:rsidP="006C54DC" w14:paraId="3FD9BA74" w14:textId="537AD75D">
            <w:pPr>
              <w:keepNext/>
              <w:jc w:val="center"/>
              <w:rPr>
                <w:bCs/>
                <w:iCs/>
              </w:rPr>
            </w:pPr>
            <w:r w:rsidRPr="00F20D31">
              <w:rPr>
                <w:bCs/>
                <w:iCs/>
              </w:rPr>
              <w:t>$3</w:t>
            </w:r>
            <w:r>
              <w:rPr>
                <w:bCs/>
                <w:iCs/>
              </w:rPr>
              <w:t>2</w:t>
            </w:r>
            <w:r w:rsidRPr="00F20D31">
              <w:rPr>
                <w:bCs/>
                <w:iCs/>
              </w:rPr>
              <w:t>.</w:t>
            </w:r>
            <w:r>
              <w:rPr>
                <w:bCs/>
                <w:iCs/>
              </w:rPr>
              <w:t>66</w:t>
            </w:r>
            <w:r>
              <w:rPr>
                <w:bCs/>
                <w:iCs/>
                <w:vertAlign w:val="superscript"/>
              </w:rPr>
              <w:t>a</w:t>
            </w:r>
          </w:p>
        </w:tc>
        <w:tc>
          <w:tcPr>
            <w:tcW w:w="1503" w:type="dxa"/>
          </w:tcPr>
          <w:p w:rsidR="006C54DC" w:rsidRPr="00F20D31" w:rsidP="006C54DC" w14:paraId="56C34EFD" w14:textId="0D6956B8">
            <w:pPr>
              <w:keepNext/>
              <w:jc w:val="center"/>
              <w:rPr>
                <w:bCs/>
                <w:iCs/>
              </w:rPr>
            </w:pPr>
            <w:r>
              <w:t>$</w:t>
            </w:r>
            <w:r w:rsidRPr="00CA38D4">
              <w:t>65.32</w:t>
            </w:r>
          </w:p>
        </w:tc>
        <w:tc>
          <w:tcPr>
            <w:tcW w:w="1321" w:type="dxa"/>
            <w:tcMar>
              <w:top w:w="0" w:type="dxa"/>
              <w:left w:w="108" w:type="dxa"/>
              <w:bottom w:w="0" w:type="dxa"/>
              <w:right w:w="108" w:type="dxa"/>
            </w:tcMar>
            <w:vAlign w:val="center"/>
          </w:tcPr>
          <w:p w:rsidR="006C54DC" w:rsidRPr="00F20D31" w:rsidP="006C54DC" w14:paraId="1ED2CC55" w14:textId="31A9074A">
            <w:pPr>
              <w:keepNext/>
              <w:jc w:val="right"/>
              <w:rPr>
                <w:bCs/>
                <w:iCs/>
              </w:rPr>
            </w:pPr>
            <w:r>
              <w:rPr>
                <w:color w:val="000000"/>
              </w:rPr>
              <w:t xml:space="preserve">$47,226 </w:t>
            </w:r>
          </w:p>
        </w:tc>
      </w:tr>
      <w:tr w14:paraId="6963925B" w14:textId="77777777" w:rsidTr="006C54DC">
        <w:tblPrEx>
          <w:tblW w:w="9052" w:type="dxa"/>
          <w:tblLayout w:type="fixed"/>
          <w:tblCellMar>
            <w:left w:w="0" w:type="dxa"/>
            <w:right w:w="0" w:type="dxa"/>
          </w:tblCellMar>
          <w:tblLook w:val="0000"/>
        </w:tblPrEx>
        <w:tc>
          <w:tcPr>
            <w:tcW w:w="3894" w:type="dxa"/>
            <w:tcMar>
              <w:top w:w="0" w:type="dxa"/>
              <w:left w:w="108" w:type="dxa"/>
              <w:bottom w:w="0" w:type="dxa"/>
              <w:right w:w="108" w:type="dxa"/>
            </w:tcMar>
            <w:vAlign w:val="center"/>
          </w:tcPr>
          <w:p w:rsidR="006C54DC" w:rsidRPr="00093C26" w:rsidP="006C54DC" w14:paraId="46A27C5A" w14:textId="77777777">
            <w:pPr>
              <w:keepNext/>
              <w:rPr>
                <w:bCs/>
                <w:iCs/>
              </w:rPr>
            </w:pPr>
            <w:r>
              <w:rPr>
                <w:bCs/>
                <w:iCs/>
              </w:rPr>
              <w:t>3. Preventive Care SAQ (PSAQ)</w:t>
            </w:r>
            <w:r>
              <w:rPr>
                <w:bCs/>
                <w:iCs/>
                <w:vertAlign w:val="superscript"/>
              </w:rPr>
              <w:t>**</w:t>
            </w:r>
          </w:p>
        </w:tc>
        <w:tc>
          <w:tcPr>
            <w:tcW w:w="989" w:type="dxa"/>
            <w:tcMar>
              <w:top w:w="0" w:type="dxa"/>
              <w:left w:w="108" w:type="dxa"/>
              <w:bottom w:w="0" w:type="dxa"/>
              <w:right w:w="108" w:type="dxa"/>
            </w:tcMar>
            <w:vAlign w:val="center"/>
          </w:tcPr>
          <w:p w:rsidR="006C54DC" w:rsidRPr="00093C26" w:rsidP="006C54DC" w14:paraId="6289750A" w14:textId="77777777">
            <w:pPr>
              <w:keepNext/>
              <w:jc w:val="right"/>
              <w:rPr>
                <w:bCs/>
                <w:iCs/>
              </w:rPr>
            </w:pPr>
            <w:r>
              <w:rPr>
                <w:bCs/>
                <w:iCs/>
              </w:rPr>
              <w:t>723</w:t>
            </w:r>
          </w:p>
        </w:tc>
        <w:tc>
          <w:tcPr>
            <w:tcW w:w="1345" w:type="dxa"/>
            <w:vAlign w:val="center"/>
          </w:tcPr>
          <w:p w:rsidR="006C54DC" w:rsidRPr="00F20D31" w:rsidP="006C54DC" w14:paraId="4E5BF37F" w14:textId="12E0BFEE">
            <w:pPr>
              <w:keepNext/>
              <w:jc w:val="center"/>
              <w:rPr>
                <w:bCs/>
                <w:iCs/>
              </w:rPr>
            </w:pPr>
            <w:r w:rsidRPr="00F20D31">
              <w:rPr>
                <w:bCs/>
                <w:iCs/>
              </w:rPr>
              <w:t>$3</w:t>
            </w:r>
            <w:r>
              <w:rPr>
                <w:bCs/>
                <w:iCs/>
              </w:rPr>
              <w:t>2</w:t>
            </w:r>
            <w:r w:rsidRPr="00F20D31">
              <w:rPr>
                <w:bCs/>
                <w:iCs/>
              </w:rPr>
              <w:t>.</w:t>
            </w:r>
            <w:r>
              <w:rPr>
                <w:bCs/>
                <w:iCs/>
              </w:rPr>
              <w:t>66</w:t>
            </w:r>
            <w:r>
              <w:rPr>
                <w:bCs/>
                <w:iCs/>
                <w:vertAlign w:val="superscript"/>
              </w:rPr>
              <w:t>a</w:t>
            </w:r>
          </w:p>
        </w:tc>
        <w:tc>
          <w:tcPr>
            <w:tcW w:w="1503" w:type="dxa"/>
          </w:tcPr>
          <w:p w:rsidR="006C54DC" w:rsidRPr="00F20D31" w:rsidP="006C54DC" w14:paraId="0763AD76" w14:textId="1D308166">
            <w:pPr>
              <w:keepNext/>
              <w:jc w:val="center"/>
              <w:rPr>
                <w:bCs/>
                <w:iCs/>
              </w:rPr>
            </w:pPr>
            <w:r>
              <w:t>$</w:t>
            </w:r>
            <w:r w:rsidRPr="00CA38D4">
              <w:t>65.32</w:t>
            </w:r>
          </w:p>
        </w:tc>
        <w:tc>
          <w:tcPr>
            <w:tcW w:w="1321" w:type="dxa"/>
            <w:tcMar>
              <w:top w:w="0" w:type="dxa"/>
              <w:left w:w="108" w:type="dxa"/>
              <w:bottom w:w="0" w:type="dxa"/>
              <w:right w:w="108" w:type="dxa"/>
            </w:tcMar>
            <w:vAlign w:val="center"/>
          </w:tcPr>
          <w:p w:rsidR="006C54DC" w:rsidRPr="00F20D31" w:rsidP="006C54DC" w14:paraId="38993A6F" w14:textId="7E4B7D2E">
            <w:pPr>
              <w:keepNext/>
              <w:jc w:val="right"/>
              <w:rPr>
                <w:bCs/>
                <w:iCs/>
              </w:rPr>
            </w:pPr>
            <w:r>
              <w:rPr>
                <w:color w:val="000000"/>
              </w:rPr>
              <w:t xml:space="preserve">$47,226 </w:t>
            </w:r>
          </w:p>
        </w:tc>
      </w:tr>
      <w:tr w14:paraId="1A6A1326" w14:textId="77777777" w:rsidTr="006C54DC">
        <w:tblPrEx>
          <w:tblW w:w="9052" w:type="dxa"/>
          <w:tblLayout w:type="fixed"/>
          <w:tblCellMar>
            <w:left w:w="0" w:type="dxa"/>
            <w:right w:w="0" w:type="dxa"/>
          </w:tblCellMar>
          <w:tblLook w:val="0000"/>
        </w:tblPrEx>
        <w:tc>
          <w:tcPr>
            <w:tcW w:w="3894" w:type="dxa"/>
            <w:tcMar>
              <w:top w:w="0" w:type="dxa"/>
              <w:left w:w="108" w:type="dxa"/>
              <w:bottom w:w="0" w:type="dxa"/>
              <w:right w:w="108" w:type="dxa"/>
            </w:tcMar>
            <w:vAlign w:val="center"/>
          </w:tcPr>
          <w:p w:rsidR="006C54DC" w:rsidP="006C54DC" w14:paraId="2BF2ABB0" w14:textId="77777777">
            <w:pPr>
              <w:keepNext/>
              <w:rPr>
                <w:bCs/>
                <w:iCs/>
              </w:rPr>
            </w:pPr>
            <w:r>
              <w:rPr>
                <w:bCs/>
                <w:iCs/>
              </w:rPr>
              <w:t xml:space="preserve">4. </w:t>
            </w:r>
            <w:r w:rsidRPr="00093C26">
              <w:rPr>
                <w:bCs/>
                <w:iCs/>
              </w:rPr>
              <w:t>Authorization forms for the MEPS-</w:t>
            </w:r>
          </w:p>
          <w:p w:rsidR="006C54DC" w:rsidRPr="00093C26" w:rsidP="006C54DC" w14:paraId="17B157BB" w14:textId="77777777">
            <w:pPr>
              <w:keepNext/>
              <w:rPr>
                <w:bCs/>
                <w:iCs/>
              </w:rPr>
            </w:pPr>
            <w:r>
              <w:rPr>
                <w:bCs/>
                <w:iCs/>
              </w:rPr>
              <w:t xml:space="preserve"> </w:t>
            </w:r>
            <w:r w:rsidRPr="00093C26">
              <w:rPr>
                <w:bCs/>
                <w:iCs/>
              </w:rPr>
              <w:t>MPC Provider and Pharmacy Survey</w:t>
            </w:r>
          </w:p>
        </w:tc>
        <w:tc>
          <w:tcPr>
            <w:tcW w:w="989" w:type="dxa"/>
            <w:tcMar>
              <w:top w:w="0" w:type="dxa"/>
              <w:left w:w="108" w:type="dxa"/>
              <w:bottom w:w="0" w:type="dxa"/>
              <w:right w:w="108" w:type="dxa"/>
            </w:tcMar>
            <w:vAlign w:val="center"/>
          </w:tcPr>
          <w:p w:rsidR="006C54DC" w:rsidP="006C54DC" w14:paraId="097F5DC7" w14:textId="77777777">
            <w:pPr>
              <w:keepNext/>
              <w:jc w:val="right"/>
              <w:rPr>
                <w:bCs/>
                <w:iCs/>
              </w:rPr>
            </w:pPr>
            <w:r>
              <w:rPr>
                <w:bCs/>
                <w:iCs/>
              </w:rPr>
              <w:t>3,130</w:t>
            </w:r>
          </w:p>
        </w:tc>
        <w:tc>
          <w:tcPr>
            <w:tcW w:w="1345" w:type="dxa"/>
            <w:vAlign w:val="center"/>
          </w:tcPr>
          <w:p w:rsidR="006C54DC" w:rsidRPr="00F20D31" w:rsidP="006C54DC" w14:paraId="763D61A6" w14:textId="6A966285">
            <w:pPr>
              <w:keepNext/>
              <w:jc w:val="center"/>
              <w:rPr>
                <w:bCs/>
                <w:iCs/>
              </w:rPr>
            </w:pPr>
            <w:r w:rsidRPr="00F20D31">
              <w:rPr>
                <w:bCs/>
                <w:iCs/>
              </w:rPr>
              <w:t>$3</w:t>
            </w:r>
            <w:r>
              <w:rPr>
                <w:bCs/>
                <w:iCs/>
              </w:rPr>
              <w:t>2</w:t>
            </w:r>
            <w:r w:rsidRPr="00F20D31">
              <w:rPr>
                <w:bCs/>
                <w:iCs/>
              </w:rPr>
              <w:t>.</w:t>
            </w:r>
            <w:r>
              <w:rPr>
                <w:bCs/>
                <w:iCs/>
              </w:rPr>
              <w:t>66</w:t>
            </w:r>
            <w:r>
              <w:rPr>
                <w:bCs/>
                <w:iCs/>
                <w:vertAlign w:val="superscript"/>
              </w:rPr>
              <w:t>a</w:t>
            </w:r>
          </w:p>
        </w:tc>
        <w:tc>
          <w:tcPr>
            <w:tcW w:w="1503" w:type="dxa"/>
          </w:tcPr>
          <w:p w:rsidR="006C54DC" w:rsidRPr="00F20D31" w:rsidP="006C54DC" w14:paraId="6DCB3ABA" w14:textId="68E0F481">
            <w:pPr>
              <w:keepNext/>
              <w:jc w:val="center"/>
              <w:rPr>
                <w:bCs/>
                <w:iCs/>
              </w:rPr>
            </w:pPr>
            <w:r>
              <w:t>$</w:t>
            </w:r>
            <w:r w:rsidRPr="00CA38D4">
              <w:t>65.32</w:t>
            </w:r>
          </w:p>
        </w:tc>
        <w:tc>
          <w:tcPr>
            <w:tcW w:w="1321" w:type="dxa"/>
            <w:tcMar>
              <w:top w:w="0" w:type="dxa"/>
              <w:left w:w="108" w:type="dxa"/>
              <w:bottom w:w="0" w:type="dxa"/>
              <w:right w:w="108" w:type="dxa"/>
            </w:tcMar>
            <w:vAlign w:val="center"/>
          </w:tcPr>
          <w:p w:rsidR="006C54DC" w:rsidRPr="00F20D31" w:rsidP="006C54DC" w14:paraId="2BD80CA6" w14:textId="05B027D8">
            <w:pPr>
              <w:jc w:val="right"/>
              <w:rPr>
                <w:bCs/>
                <w:iCs/>
              </w:rPr>
            </w:pPr>
            <w:r w:rsidRPr="006C54DC">
              <w:rPr>
                <w:bCs/>
                <w:iCs/>
              </w:rPr>
              <w:t>$204,</w:t>
            </w:r>
            <w:r w:rsidRPr="006C54DC" w:rsidR="00D75372">
              <w:rPr>
                <w:bCs/>
                <w:iCs/>
              </w:rPr>
              <w:t>4</w:t>
            </w:r>
            <w:r w:rsidR="00D75372">
              <w:rPr>
                <w:bCs/>
                <w:iCs/>
              </w:rPr>
              <w:t>52</w:t>
            </w:r>
          </w:p>
        </w:tc>
      </w:tr>
      <w:tr w14:paraId="4A4796E4" w14:textId="77777777" w:rsidTr="006C54DC">
        <w:tblPrEx>
          <w:tblW w:w="9052" w:type="dxa"/>
          <w:tblLayout w:type="fixed"/>
          <w:tblCellMar>
            <w:left w:w="0" w:type="dxa"/>
            <w:right w:w="0" w:type="dxa"/>
          </w:tblCellMar>
          <w:tblLook w:val="0000"/>
        </w:tblPrEx>
        <w:tc>
          <w:tcPr>
            <w:tcW w:w="3894" w:type="dxa"/>
            <w:tcMar>
              <w:top w:w="0" w:type="dxa"/>
              <w:left w:w="108" w:type="dxa"/>
              <w:bottom w:w="0" w:type="dxa"/>
              <w:right w:w="108" w:type="dxa"/>
            </w:tcMar>
            <w:vAlign w:val="center"/>
          </w:tcPr>
          <w:p w:rsidR="006C54DC" w:rsidRPr="00093C26" w:rsidP="006C54DC" w14:paraId="726D6049" w14:textId="77777777">
            <w:pPr>
              <w:keepNext/>
              <w:rPr>
                <w:bCs/>
                <w:iCs/>
              </w:rPr>
            </w:pPr>
            <w:r>
              <w:rPr>
                <w:bCs/>
                <w:iCs/>
              </w:rPr>
              <w:t xml:space="preserve">5. </w:t>
            </w:r>
            <w:r w:rsidRPr="00093C26">
              <w:rPr>
                <w:bCs/>
                <w:iCs/>
              </w:rPr>
              <w:t>MEPS Validation Interview</w:t>
            </w:r>
          </w:p>
        </w:tc>
        <w:tc>
          <w:tcPr>
            <w:tcW w:w="989" w:type="dxa"/>
            <w:tcMar>
              <w:top w:w="0" w:type="dxa"/>
              <w:left w:w="108" w:type="dxa"/>
              <w:bottom w:w="0" w:type="dxa"/>
              <w:right w:w="108" w:type="dxa"/>
            </w:tcMar>
            <w:vAlign w:val="center"/>
          </w:tcPr>
          <w:p w:rsidR="006C54DC" w:rsidRPr="00093C26" w:rsidP="006C54DC" w14:paraId="6913B54C" w14:textId="77777777">
            <w:pPr>
              <w:keepNext/>
              <w:jc w:val="right"/>
              <w:rPr>
                <w:bCs/>
                <w:iCs/>
              </w:rPr>
            </w:pPr>
            <w:r>
              <w:rPr>
                <w:bCs/>
                <w:iCs/>
              </w:rPr>
              <w:t>124</w:t>
            </w:r>
          </w:p>
        </w:tc>
        <w:tc>
          <w:tcPr>
            <w:tcW w:w="1345" w:type="dxa"/>
            <w:vAlign w:val="center"/>
          </w:tcPr>
          <w:p w:rsidR="006C54DC" w:rsidRPr="00F20D31" w:rsidP="006C54DC" w14:paraId="341F0A4A" w14:textId="2C42DA3A">
            <w:pPr>
              <w:keepNext/>
              <w:jc w:val="center"/>
              <w:rPr>
                <w:bCs/>
                <w:iCs/>
              </w:rPr>
            </w:pPr>
            <w:r w:rsidRPr="00F20D31">
              <w:rPr>
                <w:bCs/>
                <w:iCs/>
              </w:rPr>
              <w:t>$3</w:t>
            </w:r>
            <w:r>
              <w:rPr>
                <w:bCs/>
                <w:iCs/>
              </w:rPr>
              <w:t>2</w:t>
            </w:r>
            <w:r w:rsidRPr="00F20D31">
              <w:rPr>
                <w:bCs/>
                <w:iCs/>
              </w:rPr>
              <w:t>.</w:t>
            </w:r>
            <w:r>
              <w:rPr>
                <w:bCs/>
                <w:iCs/>
              </w:rPr>
              <w:t>66</w:t>
            </w:r>
            <w:r>
              <w:rPr>
                <w:bCs/>
                <w:iCs/>
                <w:vertAlign w:val="superscript"/>
              </w:rPr>
              <w:t>a</w:t>
            </w:r>
          </w:p>
        </w:tc>
        <w:tc>
          <w:tcPr>
            <w:tcW w:w="1503" w:type="dxa"/>
          </w:tcPr>
          <w:p w:rsidR="006C54DC" w:rsidRPr="00F20D31" w:rsidP="006C54DC" w14:paraId="0ADCB495" w14:textId="1910D986">
            <w:pPr>
              <w:keepNext/>
              <w:jc w:val="center"/>
              <w:rPr>
                <w:bCs/>
                <w:iCs/>
              </w:rPr>
            </w:pPr>
            <w:r>
              <w:t>$</w:t>
            </w:r>
            <w:r w:rsidRPr="00CA38D4">
              <w:t>65.32</w:t>
            </w:r>
          </w:p>
        </w:tc>
        <w:tc>
          <w:tcPr>
            <w:tcW w:w="1321" w:type="dxa"/>
            <w:tcMar>
              <w:top w:w="0" w:type="dxa"/>
              <w:left w:w="108" w:type="dxa"/>
              <w:bottom w:w="0" w:type="dxa"/>
              <w:right w:w="108" w:type="dxa"/>
            </w:tcMar>
            <w:vAlign w:val="center"/>
          </w:tcPr>
          <w:p w:rsidR="006C54DC" w:rsidRPr="00F20D31" w:rsidP="006C54DC" w14:paraId="25DA7F05" w14:textId="4E2CC6C7">
            <w:pPr>
              <w:keepNext/>
              <w:jc w:val="right"/>
              <w:rPr>
                <w:bCs/>
                <w:iCs/>
              </w:rPr>
            </w:pPr>
            <w:r>
              <w:rPr>
                <w:color w:val="000000"/>
              </w:rPr>
              <w:t>$8,</w:t>
            </w:r>
            <w:r w:rsidR="00D75372">
              <w:rPr>
                <w:color w:val="000000"/>
              </w:rPr>
              <w:t xml:space="preserve">100 </w:t>
            </w:r>
          </w:p>
        </w:tc>
      </w:tr>
      <w:tr w14:paraId="292D43B1" w14:textId="77777777" w:rsidTr="006C54DC">
        <w:tblPrEx>
          <w:tblW w:w="9052" w:type="dxa"/>
          <w:tblLayout w:type="fixed"/>
          <w:tblCellMar>
            <w:left w:w="0" w:type="dxa"/>
            <w:right w:w="0" w:type="dxa"/>
          </w:tblCellMar>
          <w:tblLook w:val="0000"/>
        </w:tblPrEx>
        <w:tc>
          <w:tcPr>
            <w:tcW w:w="3894" w:type="dxa"/>
            <w:tcMar>
              <w:top w:w="0" w:type="dxa"/>
              <w:left w:w="108" w:type="dxa"/>
              <w:bottom w:w="0" w:type="dxa"/>
              <w:right w:w="108" w:type="dxa"/>
            </w:tcMar>
            <w:vAlign w:val="center"/>
          </w:tcPr>
          <w:p w:rsidR="006C54DC" w:rsidRPr="00093C26" w:rsidP="006C54DC" w14:paraId="37748BE2" w14:textId="77777777">
            <w:pPr>
              <w:keepNext/>
              <w:rPr>
                <w:bCs/>
                <w:iCs/>
              </w:rPr>
            </w:pPr>
            <w:r w:rsidRPr="00093C26">
              <w:rPr>
                <w:bCs/>
                <w:iCs/>
              </w:rPr>
              <w:t>Subtotal for the MEPS-HC</w:t>
            </w:r>
          </w:p>
        </w:tc>
        <w:tc>
          <w:tcPr>
            <w:tcW w:w="989" w:type="dxa"/>
            <w:tcMar>
              <w:top w:w="0" w:type="dxa"/>
              <w:left w:w="108" w:type="dxa"/>
              <w:bottom w:w="0" w:type="dxa"/>
              <w:right w:w="108" w:type="dxa"/>
            </w:tcMar>
            <w:vAlign w:val="center"/>
          </w:tcPr>
          <w:p w:rsidR="006C54DC" w:rsidRPr="00093C26" w:rsidP="006C54DC" w14:paraId="0D273BE4" w14:textId="77777777">
            <w:pPr>
              <w:keepNext/>
              <w:jc w:val="right"/>
              <w:rPr>
                <w:bCs/>
                <w:iCs/>
              </w:rPr>
            </w:pPr>
            <w:r>
              <w:rPr>
                <w:bCs/>
                <w:iCs/>
              </w:rPr>
              <w:t>42,219</w:t>
            </w:r>
          </w:p>
        </w:tc>
        <w:tc>
          <w:tcPr>
            <w:tcW w:w="1345" w:type="dxa"/>
            <w:vAlign w:val="center"/>
          </w:tcPr>
          <w:p w:rsidR="006C54DC" w:rsidRPr="00F20D31" w:rsidP="006C54DC" w14:paraId="353144B0" w14:textId="77777777">
            <w:pPr>
              <w:keepNext/>
              <w:jc w:val="center"/>
              <w:rPr>
                <w:bCs/>
                <w:iCs/>
              </w:rPr>
            </w:pPr>
            <w:r w:rsidRPr="00F20D31">
              <w:rPr>
                <w:bCs/>
                <w:iCs/>
              </w:rPr>
              <w:t>--</w:t>
            </w:r>
          </w:p>
        </w:tc>
        <w:tc>
          <w:tcPr>
            <w:tcW w:w="1503" w:type="dxa"/>
          </w:tcPr>
          <w:p w:rsidR="006C54DC" w:rsidRPr="00F20D31" w:rsidP="006C54DC" w14:paraId="6DEF8CA9" w14:textId="77777777">
            <w:pPr>
              <w:keepNext/>
              <w:jc w:val="center"/>
              <w:rPr>
                <w:bCs/>
                <w:iCs/>
              </w:rPr>
            </w:pPr>
          </w:p>
        </w:tc>
        <w:tc>
          <w:tcPr>
            <w:tcW w:w="1321" w:type="dxa"/>
            <w:tcMar>
              <w:top w:w="0" w:type="dxa"/>
              <w:left w:w="108" w:type="dxa"/>
              <w:bottom w:w="0" w:type="dxa"/>
              <w:right w:w="108" w:type="dxa"/>
            </w:tcMar>
            <w:vAlign w:val="center"/>
          </w:tcPr>
          <w:p w:rsidR="006C54DC" w:rsidRPr="00F20D31" w:rsidP="006C54DC" w14:paraId="3E24E9E1" w14:textId="1386E31D">
            <w:pPr>
              <w:keepNext/>
              <w:jc w:val="right"/>
              <w:rPr>
                <w:bCs/>
                <w:iCs/>
              </w:rPr>
            </w:pPr>
            <w:r>
              <w:rPr>
                <w:color w:val="000000"/>
              </w:rPr>
              <w:t>$2,757,</w:t>
            </w:r>
            <w:r w:rsidR="00D75372">
              <w:rPr>
                <w:color w:val="000000"/>
              </w:rPr>
              <w:t>745</w:t>
            </w:r>
          </w:p>
        </w:tc>
      </w:tr>
      <w:tr w14:paraId="7942DADE" w14:textId="77777777" w:rsidTr="006C54DC">
        <w:tblPrEx>
          <w:tblW w:w="9052" w:type="dxa"/>
          <w:tblLayout w:type="fixed"/>
          <w:tblCellMar>
            <w:left w:w="0" w:type="dxa"/>
            <w:right w:w="0" w:type="dxa"/>
          </w:tblCellMar>
          <w:tblLook w:val="0000"/>
        </w:tblPrEx>
        <w:tc>
          <w:tcPr>
            <w:tcW w:w="9052" w:type="dxa"/>
            <w:gridSpan w:val="5"/>
            <w:shd w:val="clear" w:color="auto" w:fill="BFBFBF" w:themeFill="background1" w:themeFillShade="BF"/>
            <w:tcMar>
              <w:top w:w="0" w:type="dxa"/>
              <w:left w:w="108" w:type="dxa"/>
              <w:bottom w:w="0" w:type="dxa"/>
              <w:right w:w="108" w:type="dxa"/>
            </w:tcMar>
            <w:vAlign w:val="center"/>
          </w:tcPr>
          <w:p w:rsidR="006C54DC" w:rsidRPr="00F20D31" w:rsidP="006C54DC" w14:paraId="118D6AB2" w14:textId="102538B0">
            <w:pPr>
              <w:keepNext/>
              <w:rPr>
                <w:bCs/>
                <w:iCs/>
              </w:rPr>
            </w:pPr>
            <w:r>
              <w:rPr>
                <w:bCs/>
                <w:iCs/>
              </w:rPr>
              <w:t>MEPS-MPC</w:t>
            </w:r>
          </w:p>
        </w:tc>
      </w:tr>
      <w:tr w14:paraId="7C3768F5" w14:textId="77777777" w:rsidTr="00190EEE">
        <w:tblPrEx>
          <w:tblW w:w="9052" w:type="dxa"/>
          <w:tblLayout w:type="fixed"/>
          <w:tblCellMar>
            <w:left w:w="0" w:type="dxa"/>
            <w:right w:w="0" w:type="dxa"/>
          </w:tblCellMar>
          <w:tblLook w:val="0000"/>
        </w:tblPrEx>
        <w:tc>
          <w:tcPr>
            <w:tcW w:w="3894" w:type="dxa"/>
            <w:tcMar>
              <w:top w:w="0" w:type="dxa"/>
              <w:left w:w="108" w:type="dxa"/>
              <w:bottom w:w="0" w:type="dxa"/>
              <w:right w:w="108" w:type="dxa"/>
            </w:tcMar>
            <w:vAlign w:val="center"/>
          </w:tcPr>
          <w:p w:rsidR="00E134E2" w:rsidRPr="00093C26" w:rsidP="00E134E2" w14:paraId="23D9BFFA" w14:textId="77777777">
            <w:pPr>
              <w:keepNext/>
              <w:rPr>
                <w:bCs/>
                <w:iCs/>
                <w:vertAlign w:val="superscript"/>
              </w:rPr>
            </w:pPr>
            <w:r>
              <w:rPr>
                <w:bCs/>
              </w:rPr>
              <w:t xml:space="preserve">1. </w:t>
            </w:r>
            <w:r w:rsidRPr="00442DD5">
              <w:rPr>
                <w:bCs/>
              </w:rPr>
              <w:t>Contact Guide/Screening Call</w:t>
            </w:r>
          </w:p>
        </w:tc>
        <w:tc>
          <w:tcPr>
            <w:tcW w:w="989" w:type="dxa"/>
            <w:tcMar>
              <w:top w:w="0" w:type="dxa"/>
              <w:left w:w="108" w:type="dxa"/>
              <w:bottom w:w="0" w:type="dxa"/>
              <w:right w:w="108" w:type="dxa"/>
            </w:tcMar>
            <w:vAlign w:val="center"/>
          </w:tcPr>
          <w:p w:rsidR="00E134E2" w:rsidRPr="00093C26" w:rsidP="00E134E2" w14:paraId="73A6A319" w14:textId="77777777">
            <w:pPr>
              <w:keepNext/>
              <w:jc w:val="center"/>
              <w:rPr>
                <w:bCs/>
                <w:iCs/>
              </w:rPr>
            </w:pPr>
            <w:r>
              <w:rPr>
                <w:bCs/>
                <w:iCs/>
              </w:rPr>
              <w:t>3,031</w:t>
            </w:r>
          </w:p>
        </w:tc>
        <w:tc>
          <w:tcPr>
            <w:tcW w:w="1345" w:type="dxa"/>
            <w:vAlign w:val="center"/>
          </w:tcPr>
          <w:p w:rsidR="00E134E2" w:rsidRPr="00F20D31" w:rsidP="00E134E2" w14:paraId="5ACBE8A5" w14:textId="23E8A741">
            <w:pPr>
              <w:keepNext/>
              <w:jc w:val="center"/>
              <w:rPr>
                <w:bCs/>
                <w:iCs/>
                <w:vertAlign w:val="superscript"/>
              </w:rPr>
            </w:pPr>
            <w:r w:rsidRPr="00F20D31">
              <w:rPr>
                <w:bCs/>
                <w:iCs/>
              </w:rPr>
              <w:t>$2</w:t>
            </w:r>
            <w:r>
              <w:rPr>
                <w:bCs/>
                <w:iCs/>
              </w:rPr>
              <w:t>1</w:t>
            </w:r>
            <w:r w:rsidRPr="00F20D31">
              <w:rPr>
                <w:bCs/>
                <w:iCs/>
              </w:rPr>
              <w:t>.</w:t>
            </w:r>
            <w:r>
              <w:rPr>
                <w:bCs/>
                <w:iCs/>
              </w:rPr>
              <w:t>91</w:t>
            </w:r>
            <w:r>
              <w:rPr>
                <w:bCs/>
                <w:iCs/>
                <w:vertAlign w:val="superscript"/>
              </w:rPr>
              <w:t>b</w:t>
            </w:r>
          </w:p>
        </w:tc>
        <w:tc>
          <w:tcPr>
            <w:tcW w:w="1503" w:type="dxa"/>
            <w:vAlign w:val="center"/>
          </w:tcPr>
          <w:p w:rsidR="00E134E2" w:rsidRPr="00F20D31" w:rsidP="00E134E2" w14:paraId="755601B7" w14:textId="208418F8">
            <w:pPr>
              <w:keepNext/>
              <w:jc w:val="center"/>
              <w:rPr>
                <w:color w:val="000000"/>
              </w:rPr>
            </w:pPr>
            <w:r>
              <w:rPr>
                <w:color w:val="000000"/>
              </w:rPr>
              <w:t>$43.82</w:t>
            </w:r>
          </w:p>
        </w:tc>
        <w:tc>
          <w:tcPr>
            <w:tcW w:w="1321" w:type="dxa"/>
            <w:tcMar>
              <w:top w:w="0" w:type="dxa"/>
              <w:left w:w="108" w:type="dxa"/>
              <w:bottom w:w="0" w:type="dxa"/>
              <w:right w:w="108" w:type="dxa"/>
            </w:tcMar>
            <w:vAlign w:val="center"/>
          </w:tcPr>
          <w:p w:rsidR="00E134E2" w:rsidRPr="00F20D31" w:rsidP="00E134E2" w14:paraId="5BA8F7CD" w14:textId="5BB8D6AC">
            <w:pPr>
              <w:keepNext/>
              <w:jc w:val="center"/>
              <w:rPr>
                <w:bCs/>
                <w:iCs/>
              </w:rPr>
            </w:pPr>
            <w:r>
              <w:rPr>
                <w:color w:val="000000"/>
              </w:rPr>
              <w:t xml:space="preserve">$132,818 </w:t>
            </w:r>
          </w:p>
        </w:tc>
      </w:tr>
      <w:tr w14:paraId="22AE72A4" w14:textId="77777777" w:rsidTr="00190EEE">
        <w:tblPrEx>
          <w:tblW w:w="9052" w:type="dxa"/>
          <w:tblLayout w:type="fixed"/>
          <w:tblCellMar>
            <w:left w:w="0" w:type="dxa"/>
            <w:right w:w="0" w:type="dxa"/>
          </w:tblCellMar>
          <w:tblLook w:val="0000"/>
        </w:tblPrEx>
        <w:tc>
          <w:tcPr>
            <w:tcW w:w="3894" w:type="dxa"/>
            <w:tcMar>
              <w:top w:w="0" w:type="dxa"/>
              <w:left w:w="108" w:type="dxa"/>
              <w:bottom w:w="0" w:type="dxa"/>
              <w:right w:w="108" w:type="dxa"/>
            </w:tcMar>
            <w:vAlign w:val="center"/>
          </w:tcPr>
          <w:p w:rsidR="00E134E2" w:rsidRPr="00093C26" w:rsidP="00E134E2" w14:paraId="74C27803" w14:textId="77777777">
            <w:pPr>
              <w:keepNext/>
              <w:rPr>
                <w:bCs/>
                <w:iCs/>
              </w:rPr>
            </w:pPr>
            <w:r>
              <w:rPr>
                <w:bCs/>
              </w:rPr>
              <w:t xml:space="preserve">2. </w:t>
            </w:r>
            <w:r w:rsidRPr="00442DD5">
              <w:rPr>
                <w:bCs/>
              </w:rPr>
              <w:t xml:space="preserve">Home </w:t>
            </w:r>
            <w:r>
              <w:rPr>
                <w:bCs/>
              </w:rPr>
              <w:t>Health C</w:t>
            </w:r>
            <w:r w:rsidRPr="00442DD5">
              <w:rPr>
                <w:bCs/>
              </w:rPr>
              <w:t xml:space="preserve">are </w:t>
            </w:r>
            <w:r>
              <w:rPr>
                <w:bCs/>
              </w:rPr>
              <w:t>P</w:t>
            </w:r>
            <w:r w:rsidRPr="00442DD5">
              <w:rPr>
                <w:bCs/>
              </w:rPr>
              <w:t xml:space="preserve">roviders </w:t>
            </w:r>
            <w:r>
              <w:rPr>
                <w:bCs/>
              </w:rPr>
              <w:t>Event Form</w:t>
            </w:r>
          </w:p>
        </w:tc>
        <w:tc>
          <w:tcPr>
            <w:tcW w:w="989" w:type="dxa"/>
            <w:tcMar>
              <w:top w:w="0" w:type="dxa"/>
              <w:left w:w="108" w:type="dxa"/>
              <w:bottom w:w="0" w:type="dxa"/>
              <w:right w:w="108" w:type="dxa"/>
            </w:tcMar>
            <w:vAlign w:val="center"/>
          </w:tcPr>
          <w:p w:rsidR="00E134E2" w:rsidRPr="00093C26" w:rsidP="00E134E2" w14:paraId="6382F26A" w14:textId="77777777">
            <w:pPr>
              <w:keepNext/>
              <w:jc w:val="center"/>
              <w:rPr>
                <w:bCs/>
                <w:iCs/>
              </w:rPr>
            </w:pPr>
            <w:r>
              <w:rPr>
                <w:bCs/>
                <w:iCs/>
              </w:rPr>
              <w:t>143</w:t>
            </w:r>
          </w:p>
        </w:tc>
        <w:tc>
          <w:tcPr>
            <w:tcW w:w="1345" w:type="dxa"/>
            <w:vAlign w:val="center"/>
          </w:tcPr>
          <w:p w:rsidR="00E134E2" w:rsidRPr="00F20D31" w:rsidP="00E134E2" w14:paraId="319AB8EE" w14:textId="72602D28">
            <w:pPr>
              <w:keepNext/>
              <w:jc w:val="center"/>
              <w:rPr>
                <w:bCs/>
                <w:iCs/>
              </w:rPr>
            </w:pPr>
            <w:r w:rsidRPr="00F20D31">
              <w:rPr>
                <w:bCs/>
                <w:iCs/>
              </w:rPr>
              <w:t>$2</w:t>
            </w:r>
            <w:r>
              <w:rPr>
                <w:bCs/>
                <w:iCs/>
              </w:rPr>
              <w:t>1</w:t>
            </w:r>
            <w:r w:rsidRPr="00F20D31">
              <w:rPr>
                <w:bCs/>
                <w:iCs/>
              </w:rPr>
              <w:t>.</w:t>
            </w:r>
            <w:r>
              <w:rPr>
                <w:bCs/>
                <w:iCs/>
              </w:rPr>
              <w:t>91</w:t>
            </w:r>
            <w:r>
              <w:rPr>
                <w:bCs/>
                <w:iCs/>
                <w:vertAlign w:val="superscript"/>
              </w:rPr>
              <w:t>b</w:t>
            </w:r>
          </w:p>
        </w:tc>
        <w:tc>
          <w:tcPr>
            <w:tcW w:w="1503" w:type="dxa"/>
            <w:vAlign w:val="center"/>
          </w:tcPr>
          <w:p w:rsidR="00E134E2" w:rsidP="00E134E2" w14:paraId="548A0E1F" w14:textId="06BEB472">
            <w:pPr>
              <w:keepNext/>
              <w:jc w:val="center"/>
              <w:rPr>
                <w:color w:val="000000"/>
              </w:rPr>
            </w:pPr>
            <w:r>
              <w:rPr>
                <w:color w:val="000000"/>
              </w:rPr>
              <w:t>$43.82</w:t>
            </w:r>
          </w:p>
        </w:tc>
        <w:tc>
          <w:tcPr>
            <w:tcW w:w="1321" w:type="dxa"/>
            <w:tcMar>
              <w:top w:w="0" w:type="dxa"/>
              <w:left w:w="108" w:type="dxa"/>
              <w:bottom w:w="0" w:type="dxa"/>
              <w:right w:w="108" w:type="dxa"/>
            </w:tcMar>
            <w:vAlign w:val="center"/>
          </w:tcPr>
          <w:p w:rsidR="00E134E2" w:rsidRPr="00F20D31" w:rsidP="00E134E2" w14:paraId="17B555EF" w14:textId="0BC6D0FA">
            <w:pPr>
              <w:keepNext/>
              <w:jc w:val="center"/>
              <w:rPr>
                <w:bCs/>
                <w:iCs/>
              </w:rPr>
            </w:pPr>
            <w:r>
              <w:rPr>
                <w:color w:val="000000"/>
              </w:rPr>
              <w:t>$</w:t>
            </w:r>
            <w:r w:rsidR="00FC776C">
              <w:rPr>
                <w:color w:val="000000"/>
              </w:rPr>
              <w:t>6,266</w:t>
            </w:r>
            <w:r>
              <w:rPr>
                <w:color w:val="000000"/>
              </w:rPr>
              <w:t xml:space="preserve"> </w:t>
            </w:r>
          </w:p>
        </w:tc>
      </w:tr>
      <w:tr w14:paraId="49A4CEA3" w14:textId="77777777" w:rsidTr="00190EEE">
        <w:tblPrEx>
          <w:tblW w:w="9052" w:type="dxa"/>
          <w:tblLayout w:type="fixed"/>
          <w:tblCellMar>
            <w:left w:w="0" w:type="dxa"/>
            <w:right w:w="0" w:type="dxa"/>
          </w:tblCellMar>
          <w:tblLook w:val="0000"/>
        </w:tblPrEx>
        <w:tc>
          <w:tcPr>
            <w:tcW w:w="3894" w:type="dxa"/>
            <w:tcMar>
              <w:top w:w="0" w:type="dxa"/>
              <w:left w:w="108" w:type="dxa"/>
              <w:bottom w:w="0" w:type="dxa"/>
              <w:right w:w="108" w:type="dxa"/>
            </w:tcMar>
            <w:vAlign w:val="center"/>
          </w:tcPr>
          <w:p w:rsidR="00E134E2" w:rsidRPr="00093C26" w:rsidP="00E134E2" w14:paraId="1970B5A1" w14:textId="77777777">
            <w:pPr>
              <w:keepNext/>
              <w:rPr>
                <w:bCs/>
                <w:iCs/>
              </w:rPr>
            </w:pPr>
            <w:r>
              <w:rPr>
                <w:bCs/>
              </w:rPr>
              <w:t xml:space="preserve">3. </w:t>
            </w:r>
            <w:r w:rsidRPr="00442DD5">
              <w:rPr>
                <w:bCs/>
              </w:rPr>
              <w:t>Office</w:t>
            </w:r>
            <w:r w:rsidRPr="00442DD5">
              <w:rPr>
                <w:bCs/>
              </w:rPr>
              <w:noBreakHyphen/>
              <w:t xml:space="preserve">based </w:t>
            </w:r>
            <w:r>
              <w:rPr>
                <w:bCs/>
              </w:rPr>
              <w:t>P</w:t>
            </w:r>
            <w:r w:rsidRPr="00442DD5">
              <w:rPr>
                <w:bCs/>
              </w:rPr>
              <w:t xml:space="preserve">roviders </w:t>
            </w:r>
            <w:r>
              <w:rPr>
                <w:bCs/>
              </w:rPr>
              <w:t>Event Form</w:t>
            </w:r>
          </w:p>
        </w:tc>
        <w:tc>
          <w:tcPr>
            <w:tcW w:w="989" w:type="dxa"/>
            <w:tcMar>
              <w:top w:w="0" w:type="dxa"/>
              <w:left w:w="108" w:type="dxa"/>
              <w:bottom w:w="0" w:type="dxa"/>
              <w:right w:w="108" w:type="dxa"/>
            </w:tcMar>
            <w:vAlign w:val="center"/>
          </w:tcPr>
          <w:p w:rsidR="00E134E2" w:rsidRPr="00093C26" w:rsidP="00E134E2" w14:paraId="13F48FDF" w14:textId="77777777">
            <w:pPr>
              <w:keepNext/>
              <w:jc w:val="center"/>
              <w:rPr>
                <w:bCs/>
                <w:iCs/>
              </w:rPr>
            </w:pPr>
            <w:r>
              <w:rPr>
                <w:bCs/>
                <w:iCs/>
              </w:rPr>
              <w:t>1,445</w:t>
            </w:r>
          </w:p>
        </w:tc>
        <w:tc>
          <w:tcPr>
            <w:tcW w:w="1345" w:type="dxa"/>
            <w:vAlign w:val="center"/>
          </w:tcPr>
          <w:p w:rsidR="00E134E2" w:rsidRPr="00F20D31" w:rsidP="00E134E2" w14:paraId="28402233" w14:textId="29254257">
            <w:pPr>
              <w:keepNext/>
              <w:jc w:val="center"/>
              <w:rPr>
                <w:bCs/>
                <w:iCs/>
              </w:rPr>
            </w:pPr>
            <w:r w:rsidRPr="00F20D31">
              <w:rPr>
                <w:bCs/>
                <w:iCs/>
              </w:rPr>
              <w:t>$2</w:t>
            </w:r>
            <w:r>
              <w:rPr>
                <w:bCs/>
                <w:iCs/>
              </w:rPr>
              <w:t>1</w:t>
            </w:r>
            <w:r w:rsidRPr="00F20D31">
              <w:rPr>
                <w:bCs/>
                <w:iCs/>
              </w:rPr>
              <w:t>.</w:t>
            </w:r>
            <w:r>
              <w:rPr>
                <w:bCs/>
                <w:iCs/>
              </w:rPr>
              <w:t>91</w:t>
            </w:r>
            <w:r>
              <w:rPr>
                <w:bCs/>
                <w:iCs/>
                <w:vertAlign w:val="superscript"/>
              </w:rPr>
              <w:t>b</w:t>
            </w:r>
          </w:p>
        </w:tc>
        <w:tc>
          <w:tcPr>
            <w:tcW w:w="1503" w:type="dxa"/>
            <w:vAlign w:val="center"/>
          </w:tcPr>
          <w:p w:rsidR="00E134E2" w:rsidP="00E134E2" w14:paraId="46E1650D" w14:textId="5D1D1E6D">
            <w:pPr>
              <w:keepNext/>
              <w:jc w:val="center"/>
              <w:rPr>
                <w:color w:val="000000"/>
              </w:rPr>
            </w:pPr>
            <w:r>
              <w:rPr>
                <w:color w:val="000000"/>
              </w:rPr>
              <w:t>$43.82</w:t>
            </w:r>
          </w:p>
        </w:tc>
        <w:tc>
          <w:tcPr>
            <w:tcW w:w="1321" w:type="dxa"/>
            <w:tcMar>
              <w:top w:w="0" w:type="dxa"/>
              <w:left w:w="108" w:type="dxa"/>
              <w:bottom w:w="0" w:type="dxa"/>
              <w:right w:w="108" w:type="dxa"/>
            </w:tcMar>
            <w:vAlign w:val="center"/>
          </w:tcPr>
          <w:p w:rsidR="00E134E2" w:rsidRPr="00F20D31" w:rsidP="00E134E2" w14:paraId="3F6CBD3E" w14:textId="4DB61F0E">
            <w:pPr>
              <w:keepNext/>
              <w:jc w:val="center"/>
              <w:rPr>
                <w:bCs/>
                <w:iCs/>
              </w:rPr>
            </w:pPr>
            <w:r>
              <w:rPr>
                <w:color w:val="000000"/>
              </w:rPr>
              <w:t xml:space="preserve">$63,320 </w:t>
            </w:r>
          </w:p>
        </w:tc>
      </w:tr>
      <w:tr w14:paraId="3D7868F4" w14:textId="77777777" w:rsidTr="00190EEE">
        <w:tblPrEx>
          <w:tblW w:w="9052" w:type="dxa"/>
          <w:tblLayout w:type="fixed"/>
          <w:tblCellMar>
            <w:left w:w="0" w:type="dxa"/>
            <w:right w:w="0" w:type="dxa"/>
          </w:tblCellMar>
          <w:tblLook w:val="0000"/>
        </w:tblPrEx>
        <w:tc>
          <w:tcPr>
            <w:tcW w:w="3894" w:type="dxa"/>
            <w:tcMar>
              <w:top w:w="0" w:type="dxa"/>
              <w:left w:w="108" w:type="dxa"/>
              <w:bottom w:w="0" w:type="dxa"/>
              <w:right w:w="108" w:type="dxa"/>
            </w:tcMar>
            <w:vAlign w:val="center"/>
          </w:tcPr>
          <w:p w:rsidR="00E134E2" w:rsidP="00E134E2" w14:paraId="52981842" w14:textId="77777777">
            <w:pPr>
              <w:keepNext/>
              <w:rPr>
                <w:bCs/>
              </w:rPr>
            </w:pPr>
            <w:r>
              <w:rPr>
                <w:bCs/>
              </w:rPr>
              <w:t xml:space="preserve">4. </w:t>
            </w:r>
            <w:r w:rsidRPr="00442DD5">
              <w:rPr>
                <w:bCs/>
              </w:rPr>
              <w:t xml:space="preserve">Separately </w:t>
            </w:r>
            <w:r>
              <w:rPr>
                <w:bCs/>
              </w:rPr>
              <w:t>Billing Doctors Event</w:t>
            </w:r>
          </w:p>
          <w:p w:rsidR="00E134E2" w:rsidRPr="00093C26" w:rsidP="00E134E2" w14:paraId="2FE77C09" w14:textId="77777777">
            <w:pPr>
              <w:keepNext/>
              <w:rPr>
                <w:bCs/>
                <w:iCs/>
              </w:rPr>
            </w:pPr>
            <w:r>
              <w:rPr>
                <w:bCs/>
              </w:rPr>
              <w:t xml:space="preserve"> Form</w:t>
            </w:r>
          </w:p>
        </w:tc>
        <w:tc>
          <w:tcPr>
            <w:tcW w:w="989" w:type="dxa"/>
            <w:tcMar>
              <w:top w:w="0" w:type="dxa"/>
              <w:left w:w="108" w:type="dxa"/>
              <w:bottom w:w="0" w:type="dxa"/>
              <w:right w:w="108" w:type="dxa"/>
            </w:tcMar>
            <w:vAlign w:val="center"/>
          </w:tcPr>
          <w:p w:rsidR="00E134E2" w:rsidRPr="00093C26" w:rsidP="00E134E2" w14:paraId="5E8E39DD" w14:textId="77777777">
            <w:pPr>
              <w:keepNext/>
              <w:jc w:val="center"/>
              <w:rPr>
                <w:bCs/>
                <w:iCs/>
              </w:rPr>
            </w:pPr>
            <w:r>
              <w:rPr>
                <w:bCs/>
                <w:iCs/>
              </w:rPr>
              <w:t>315</w:t>
            </w:r>
          </w:p>
        </w:tc>
        <w:tc>
          <w:tcPr>
            <w:tcW w:w="1345" w:type="dxa"/>
            <w:vAlign w:val="center"/>
          </w:tcPr>
          <w:p w:rsidR="00E134E2" w:rsidRPr="00F20D31" w:rsidP="00E134E2" w14:paraId="114EAFE6" w14:textId="3ED4636B">
            <w:pPr>
              <w:keepNext/>
              <w:jc w:val="center"/>
              <w:rPr>
                <w:bCs/>
                <w:iCs/>
              </w:rPr>
            </w:pPr>
            <w:r w:rsidRPr="00F20D31">
              <w:rPr>
                <w:bCs/>
                <w:iCs/>
              </w:rPr>
              <w:t>$2</w:t>
            </w:r>
            <w:r>
              <w:rPr>
                <w:bCs/>
                <w:iCs/>
              </w:rPr>
              <w:t>1</w:t>
            </w:r>
            <w:r w:rsidRPr="00F20D31">
              <w:rPr>
                <w:bCs/>
                <w:iCs/>
              </w:rPr>
              <w:t>.</w:t>
            </w:r>
            <w:r>
              <w:rPr>
                <w:bCs/>
                <w:iCs/>
              </w:rPr>
              <w:t>91</w:t>
            </w:r>
            <w:r>
              <w:rPr>
                <w:bCs/>
                <w:iCs/>
                <w:vertAlign w:val="superscript"/>
              </w:rPr>
              <w:t>b</w:t>
            </w:r>
          </w:p>
        </w:tc>
        <w:tc>
          <w:tcPr>
            <w:tcW w:w="1503" w:type="dxa"/>
            <w:vAlign w:val="center"/>
          </w:tcPr>
          <w:p w:rsidR="00E134E2" w:rsidP="00E134E2" w14:paraId="09C720D6" w14:textId="41253176">
            <w:pPr>
              <w:keepNext/>
              <w:jc w:val="center"/>
              <w:rPr>
                <w:color w:val="000000"/>
              </w:rPr>
            </w:pPr>
            <w:r>
              <w:rPr>
                <w:color w:val="000000"/>
              </w:rPr>
              <w:t>$43.82</w:t>
            </w:r>
          </w:p>
        </w:tc>
        <w:tc>
          <w:tcPr>
            <w:tcW w:w="1321" w:type="dxa"/>
            <w:tcMar>
              <w:top w:w="0" w:type="dxa"/>
              <w:left w:w="108" w:type="dxa"/>
              <w:bottom w:w="0" w:type="dxa"/>
              <w:right w:w="108" w:type="dxa"/>
            </w:tcMar>
            <w:vAlign w:val="center"/>
          </w:tcPr>
          <w:p w:rsidR="00E134E2" w:rsidRPr="00F20D31" w:rsidP="00E134E2" w14:paraId="12BED184" w14:textId="423A8D75">
            <w:pPr>
              <w:keepNext/>
              <w:jc w:val="center"/>
              <w:rPr>
                <w:bCs/>
                <w:iCs/>
              </w:rPr>
            </w:pPr>
            <w:r>
              <w:rPr>
                <w:color w:val="000000"/>
              </w:rPr>
              <w:t xml:space="preserve">$13,803 </w:t>
            </w:r>
          </w:p>
        </w:tc>
      </w:tr>
      <w:tr w14:paraId="482B9BCF" w14:textId="77777777" w:rsidTr="00190EEE">
        <w:tblPrEx>
          <w:tblW w:w="9052" w:type="dxa"/>
          <w:tblLayout w:type="fixed"/>
          <w:tblCellMar>
            <w:left w:w="0" w:type="dxa"/>
            <w:right w:w="0" w:type="dxa"/>
          </w:tblCellMar>
          <w:tblLook w:val="0000"/>
        </w:tblPrEx>
        <w:tc>
          <w:tcPr>
            <w:tcW w:w="3894" w:type="dxa"/>
            <w:tcMar>
              <w:top w:w="0" w:type="dxa"/>
              <w:left w:w="108" w:type="dxa"/>
              <w:bottom w:w="0" w:type="dxa"/>
              <w:right w:w="108" w:type="dxa"/>
            </w:tcMar>
            <w:vAlign w:val="center"/>
          </w:tcPr>
          <w:p w:rsidR="00E134E2" w:rsidP="00E134E2" w14:paraId="4F5F34BA" w14:textId="77777777">
            <w:pPr>
              <w:keepNext/>
              <w:rPr>
                <w:bCs/>
              </w:rPr>
            </w:pPr>
            <w:r>
              <w:rPr>
                <w:bCs/>
              </w:rPr>
              <w:t xml:space="preserve">5. </w:t>
            </w:r>
            <w:r w:rsidRPr="00442DD5">
              <w:rPr>
                <w:bCs/>
              </w:rPr>
              <w:t>Hospitals</w:t>
            </w:r>
            <w:r>
              <w:rPr>
                <w:bCs/>
              </w:rPr>
              <w:t xml:space="preserve"> &amp; HMOs (Hospital </w:t>
            </w:r>
          </w:p>
          <w:p w:rsidR="00E134E2" w:rsidRPr="00093C26" w:rsidP="00E134E2" w14:paraId="1276A67B" w14:textId="77777777">
            <w:pPr>
              <w:keepNext/>
              <w:rPr>
                <w:bCs/>
                <w:iCs/>
              </w:rPr>
            </w:pPr>
            <w:r>
              <w:rPr>
                <w:bCs/>
              </w:rPr>
              <w:t xml:space="preserve"> Event Form)</w:t>
            </w:r>
          </w:p>
        </w:tc>
        <w:tc>
          <w:tcPr>
            <w:tcW w:w="989" w:type="dxa"/>
            <w:tcMar>
              <w:top w:w="0" w:type="dxa"/>
              <w:left w:w="108" w:type="dxa"/>
              <w:bottom w:w="0" w:type="dxa"/>
              <w:right w:w="108" w:type="dxa"/>
            </w:tcMar>
            <w:vAlign w:val="center"/>
          </w:tcPr>
          <w:p w:rsidR="00E134E2" w:rsidRPr="00093C26" w:rsidP="00E134E2" w14:paraId="6CDD672A" w14:textId="3BF257AF">
            <w:pPr>
              <w:keepNext/>
              <w:jc w:val="center"/>
              <w:rPr>
                <w:bCs/>
                <w:iCs/>
              </w:rPr>
            </w:pPr>
            <w:r>
              <w:rPr>
                <w:bCs/>
                <w:iCs/>
              </w:rPr>
              <w:t>982</w:t>
            </w:r>
          </w:p>
        </w:tc>
        <w:tc>
          <w:tcPr>
            <w:tcW w:w="1345" w:type="dxa"/>
            <w:vAlign w:val="center"/>
          </w:tcPr>
          <w:p w:rsidR="00E134E2" w:rsidRPr="00F20D31" w:rsidP="00E134E2" w14:paraId="04CBB617" w14:textId="38101C1B">
            <w:pPr>
              <w:keepNext/>
              <w:jc w:val="center"/>
              <w:rPr>
                <w:bCs/>
                <w:iCs/>
              </w:rPr>
            </w:pPr>
            <w:r w:rsidRPr="00F20D31">
              <w:rPr>
                <w:bCs/>
                <w:iCs/>
              </w:rPr>
              <w:t>$2</w:t>
            </w:r>
            <w:r>
              <w:rPr>
                <w:bCs/>
                <w:iCs/>
              </w:rPr>
              <w:t>1</w:t>
            </w:r>
            <w:r w:rsidRPr="00F20D31">
              <w:rPr>
                <w:bCs/>
                <w:iCs/>
              </w:rPr>
              <w:t>.</w:t>
            </w:r>
            <w:r>
              <w:rPr>
                <w:bCs/>
                <w:iCs/>
              </w:rPr>
              <w:t>91</w:t>
            </w:r>
            <w:r>
              <w:rPr>
                <w:bCs/>
                <w:iCs/>
                <w:vertAlign w:val="superscript"/>
              </w:rPr>
              <w:t>b</w:t>
            </w:r>
          </w:p>
        </w:tc>
        <w:tc>
          <w:tcPr>
            <w:tcW w:w="1503" w:type="dxa"/>
            <w:vAlign w:val="center"/>
          </w:tcPr>
          <w:p w:rsidR="00E134E2" w:rsidP="00E134E2" w14:paraId="2E7AF36F" w14:textId="4AE74AFE">
            <w:pPr>
              <w:keepNext/>
              <w:jc w:val="center"/>
              <w:rPr>
                <w:color w:val="000000"/>
              </w:rPr>
            </w:pPr>
            <w:r>
              <w:rPr>
                <w:color w:val="000000"/>
              </w:rPr>
              <w:t>$43.82</w:t>
            </w:r>
          </w:p>
        </w:tc>
        <w:tc>
          <w:tcPr>
            <w:tcW w:w="1321" w:type="dxa"/>
            <w:tcMar>
              <w:top w:w="0" w:type="dxa"/>
              <w:left w:w="108" w:type="dxa"/>
              <w:bottom w:w="0" w:type="dxa"/>
              <w:right w:w="108" w:type="dxa"/>
            </w:tcMar>
            <w:vAlign w:val="center"/>
          </w:tcPr>
          <w:p w:rsidR="00E134E2" w:rsidRPr="00F20D31" w:rsidP="00E134E2" w14:paraId="16153F57" w14:textId="5B1A9BAE">
            <w:pPr>
              <w:keepNext/>
              <w:jc w:val="center"/>
              <w:rPr>
                <w:bCs/>
                <w:iCs/>
              </w:rPr>
            </w:pPr>
            <w:r>
              <w:rPr>
                <w:color w:val="000000"/>
              </w:rPr>
              <w:t>$</w:t>
            </w:r>
            <w:r w:rsidR="009A3BE6">
              <w:rPr>
                <w:color w:val="000000"/>
              </w:rPr>
              <w:t>43,031</w:t>
            </w:r>
            <w:r>
              <w:rPr>
                <w:color w:val="000000"/>
              </w:rPr>
              <w:t xml:space="preserve"> </w:t>
            </w:r>
          </w:p>
        </w:tc>
      </w:tr>
      <w:tr w14:paraId="2B984EAF" w14:textId="77777777" w:rsidTr="00190EEE">
        <w:tblPrEx>
          <w:tblW w:w="9052" w:type="dxa"/>
          <w:tblLayout w:type="fixed"/>
          <w:tblCellMar>
            <w:left w:w="0" w:type="dxa"/>
            <w:right w:w="0" w:type="dxa"/>
          </w:tblCellMar>
          <w:tblLook w:val="0000"/>
        </w:tblPrEx>
        <w:tc>
          <w:tcPr>
            <w:tcW w:w="3894" w:type="dxa"/>
            <w:tcMar>
              <w:top w:w="0" w:type="dxa"/>
              <w:left w:w="108" w:type="dxa"/>
              <w:bottom w:w="0" w:type="dxa"/>
              <w:right w:w="108" w:type="dxa"/>
            </w:tcMar>
            <w:vAlign w:val="center"/>
          </w:tcPr>
          <w:p w:rsidR="00E134E2" w:rsidP="00E134E2" w14:paraId="4C053EAC" w14:textId="77777777">
            <w:pPr>
              <w:keepNext/>
              <w:rPr>
                <w:bCs/>
              </w:rPr>
            </w:pPr>
            <w:r>
              <w:rPr>
                <w:bCs/>
              </w:rPr>
              <w:t xml:space="preserve">6. </w:t>
            </w:r>
            <w:r w:rsidRPr="00442DD5">
              <w:rPr>
                <w:bCs/>
              </w:rPr>
              <w:t xml:space="preserve">Institutions (non-hospital) </w:t>
            </w:r>
            <w:r>
              <w:rPr>
                <w:bCs/>
              </w:rPr>
              <w:t>Event</w:t>
            </w:r>
          </w:p>
          <w:p w:rsidR="00E134E2" w:rsidRPr="00093C26" w:rsidP="00E134E2" w14:paraId="00422A99" w14:textId="77777777">
            <w:pPr>
              <w:keepNext/>
              <w:rPr>
                <w:bCs/>
                <w:iCs/>
              </w:rPr>
            </w:pPr>
            <w:r>
              <w:rPr>
                <w:bCs/>
              </w:rPr>
              <w:t xml:space="preserve"> Form</w:t>
            </w:r>
            <w:r w:rsidRPr="00442DD5">
              <w:rPr>
                <w:bCs/>
              </w:rPr>
              <w:t xml:space="preserve"> </w:t>
            </w:r>
          </w:p>
        </w:tc>
        <w:tc>
          <w:tcPr>
            <w:tcW w:w="989" w:type="dxa"/>
            <w:tcMar>
              <w:top w:w="0" w:type="dxa"/>
              <w:left w:w="108" w:type="dxa"/>
              <w:bottom w:w="0" w:type="dxa"/>
              <w:right w:w="108" w:type="dxa"/>
            </w:tcMar>
            <w:vAlign w:val="center"/>
          </w:tcPr>
          <w:p w:rsidR="00E134E2" w:rsidRPr="00093C26" w:rsidP="00E134E2" w14:paraId="0568E875" w14:textId="77777777">
            <w:pPr>
              <w:keepNext/>
              <w:jc w:val="center"/>
              <w:rPr>
                <w:bCs/>
                <w:iCs/>
              </w:rPr>
            </w:pPr>
            <w:r>
              <w:rPr>
                <w:bCs/>
                <w:iCs/>
              </w:rPr>
              <w:t>6</w:t>
            </w:r>
          </w:p>
        </w:tc>
        <w:tc>
          <w:tcPr>
            <w:tcW w:w="1345" w:type="dxa"/>
            <w:vAlign w:val="center"/>
          </w:tcPr>
          <w:p w:rsidR="00E134E2" w:rsidRPr="00F20D31" w:rsidP="00E134E2" w14:paraId="24AA7ED0" w14:textId="6283D6C2">
            <w:pPr>
              <w:keepNext/>
              <w:jc w:val="center"/>
              <w:rPr>
                <w:bCs/>
                <w:iCs/>
              </w:rPr>
            </w:pPr>
            <w:r w:rsidRPr="00F20D31">
              <w:rPr>
                <w:bCs/>
                <w:iCs/>
              </w:rPr>
              <w:t>$2</w:t>
            </w:r>
            <w:r>
              <w:rPr>
                <w:bCs/>
                <w:iCs/>
              </w:rPr>
              <w:t>1</w:t>
            </w:r>
            <w:r w:rsidRPr="00F20D31">
              <w:rPr>
                <w:bCs/>
                <w:iCs/>
              </w:rPr>
              <w:t>.</w:t>
            </w:r>
            <w:r>
              <w:rPr>
                <w:bCs/>
                <w:iCs/>
              </w:rPr>
              <w:t>91</w:t>
            </w:r>
            <w:r>
              <w:rPr>
                <w:bCs/>
                <w:iCs/>
                <w:vertAlign w:val="superscript"/>
              </w:rPr>
              <w:t>b</w:t>
            </w:r>
          </w:p>
        </w:tc>
        <w:tc>
          <w:tcPr>
            <w:tcW w:w="1503" w:type="dxa"/>
            <w:vAlign w:val="center"/>
          </w:tcPr>
          <w:p w:rsidR="00E134E2" w:rsidP="00E134E2" w14:paraId="621BE23A" w14:textId="2634C4EC">
            <w:pPr>
              <w:keepNext/>
              <w:jc w:val="center"/>
              <w:rPr>
                <w:color w:val="000000"/>
              </w:rPr>
            </w:pPr>
            <w:r>
              <w:rPr>
                <w:color w:val="000000"/>
              </w:rPr>
              <w:t>$43.82</w:t>
            </w:r>
          </w:p>
        </w:tc>
        <w:tc>
          <w:tcPr>
            <w:tcW w:w="1321" w:type="dxa"/>
            <w:tcMar>
              <w:top w:w="0" w:type="dxa"/>
              <w:left w:w="108" w:type="dxa"/>
              <w:bottom w:w="0" w:type="dxa"/>
              <w:right w:w="108" w:type="dxa"/>
            </w:tcMar>
            <w:vAlign w:val="center"/>
          </w:tcPr>
          <w:p w:rsidR="00E134E2" w:rsidRPr="00F20D31" w:rsidP="00E134E2" w14:paraId="3BCFBD27" w14:textId="366ABEAE">
            <w:pPr>
              <w:keepNext/>
              <w:jc w:val="center"/>
              <w:rPr>
                <w:bCs/>
                <w:iCs/>
              </w:rPr>
            </w:pPr>
            <w:r>
              <w:rPr>
                <w:color w:val="000000"/>
              </w:rPr>
              <w:t xml:space="preserve">$263 </w:t>
            </w:r>
          </w:p>
        </w:tc>
      </w:tr>
      <w:tr w14:paraId="77341B6E" w14:textId="77777777" w:rsidTr="006C54DC">
        <w:tblPrEx>
          <w:tblW w:w="9052" w:type="dxa"/>
          <w:tblLayout w:type="fixed"/>
          <w:tblCellMar>
            <w:left w:w="0" w:type="dxa"/>
            <w:right w:w="0" w:type="dxa"/>
          </w:tblCellMar>
          <w:tblLook w:val="0000"/>
        </w:tblPrEx>
        <w:tc>
          <w:tcPr>
            <w:tcW w:w="3894" w:type="dxa"/>
            <w:tcMar>
              <w:top w:w="0" w:type="dxa"/>
              <w:left w:w="108" w:type="dxa"/>
              <w:bottom w:w="0" w:type="dxa"/>
              <w:right w:w="108" w:type="dxa"/>
            </w:tcMar>
            <w:vAlign w:val="center"/>
          </w:tcPr>
          <w:p w:rsidR="00E134E2" w:rsidRPr="00093C26" w:rsidP="00E134E2" w14:paraId="0D0F52B7" w14:textId="77777777">
            <w:pPr>
              <w:keepNext/>
              <w:rPr>
                <w:bCs/>
                <w:iCs/>
              </w:rPr>
            </w:pPr>
            <w:r>
              <w:rPr>
                <w:bCs/>
              </w:rPr>
              <w:t xml:space="preserve">7. </w:t>
            </w:r>
            <w:r w:rsidRPr="00442DD5">
              <w:rPr>
                <w:bCs/>
              </w:rPr>
              <w:t xml:space="preserve">Pharmacies </w:t>
            </w:r>
            <w:r>
              <w:rPr>
                <w:bCs/>
              </w:rPr>
              <w:t>Event Form</w:t>
            </w:r>
          </w:p>
        </w:tc>
        <w:tc>
          <w:tcPr>
            <w:tcW w:w="989" w:type="dxa"/>
            <w:tcMar>
              <w:top w:w="0" w:type="dxa"/>
              <w:left w:w="108" w:type="dxa"/>
              <w:bottom w:w="0" w:type="dxa"/>
              <w:right w:w="108" w:type="dxa"/>
            </w:tcMar>
            <w:vAlign w:val="center"/>
          </w:tcPr>
          <w:p w:rsidR="00E134E2" w:rsidRPr="00093C26" w:rsidP="00E134E2" w14:paraId="1FE4E05E" w14:textId="77777777">
            <w:pPr>
              <w:keepNext/>
              <w:jc w:val="center"/>
              <w:rPr>
                <w:bCs/>
                <w:iCs/>
              </w:rPr>
            </w:pPr>
            <w:r>
              <w:rPr>
                <w:bCs/>
                <w:iCs/>
              </w:rPr>
              <w:t>2,123</w:t>
            </w:r>
          </w:p>
        </w:tc>
        <w:tc>
          <w:tcPr>
            <w:tcW w:w="1345" w:type="dxa"/>
            <w:vAlign w:val="center"/>
          </w:tcPr>
          <w:p w:rsidR="00E134E2" w:rsidRPr="00F20D31" w:rsidP="00E134E2" w14:paraId="2A803E3B" w14:textId="5742B432">
            <w:pPr>
              <w:keepNext/>
              <w:jc w:val="center"/>
              <w:rPr>
                <w:bCs/>
                <w:iCs/>
              </w:rPr>
            </w:pPr>
            <w:r w:rsidRPr="00F20D31">
              <w:rPr>
                <w:bCs/>
                <w:iCs/>
              </w:rPr>
              <w:t>$2</w:t>
            </w:r>
            <w:r>
              <w:rPr>
                <w:bCs/>
                <w:iCs/>
              </w:rPr>
              <w:t>1</w:t>
            </w:r>
            <w:r w:rsidRPr="00F20D31">
              <w:rPr>
                <w:bCs/>
                <w:iCs/>
              </w:rPr>
              <w:t>.</w:t>
            </w:r>
            <w:r>
              <w:rPr>
                <w:bCs/>
                <w:iCs/>
              </w:rPr>
              <w:t>54</w:t>
            </w:r>
            <w:r>
              <w:rPr>
                <w:bCs/>
                <w:iCs/>
                <w:vertAlign w:val="superscript"/>
              </w:rPr>
              <w:t>c</w:t>
            </w:r>
          </w:p>
        </w:tc>
        <w:tc>
          <w:tcPr>
            <w:tcW w:w="1503" w:type="dxa"/>
          </w:tcPr>
          <w:p w:rsidR="00E134E2" w:rsidP="00E134E2" w14:paraId="62CCB2D4" w14:textId="624D7958">
            <w:pPr>
              <w:keepNext/>
              <w:jc w:val="center"/>
              <w:rPr>
                <w:color w:val="000000"/>
              </w:rPr>
            </w:pPr>
            <w:r>
              <w:rPr>
                <w:color w:val="000000"/>
              </w:rPr>
              <w:t>$43.08</w:t>
            </w:r>
          </w:p>
        </w:tc>
        <w:tc>
          <w:tcPr>
            <w:tcW w:w="1321" w:type="dxa"/>
            <w:tcMar>
              <w:top w:w="0" w:type="dxa"/>
              <w:left w:w="108" w:type="dxa"/>
              <w:bottom w:w="0" w:type="dxa"/>
              <w:right w:w="108" w:type="dxa"/>
            </w:tcMar>
            <w:vAlign w:val="center"/>
          </w:tcPr>
          <w:p w:rsidR="00E134E2" w:rsidRPr="00F20D31" w:rsidP="00E134E2" w14:paraId="14E02D3C" w14:textId="07BB5F50">
            <w:pPr>
              <w:keepNext/>
              <w:jc w:val="center"/>
              <w:rPr>
                <w:bCs/>
                <w:iCs/>
              </w:rPr>
            </w:pPr>
            <w:r>
              <w:rPr>
                <w:color w:val="000000"/>
              </w:rPr>
              <w:t xml:space="preserve">$91,459 </w:t>
            </w:r>
          </w:p>
        </w:tc>
      </w:tr>
      <w:tr w14:paraId="786F0995" w14:textId="77777777" w:rsidTr="006C54DC">
        <w:tblPrEx>
          <w:tblW w:w="9052" w:type="dxa"/>
          <w:tblLayout w:type="fixed"/>
          <w:tblCellMar>
            <w:left w:w="0" w:type="dxa"/>
            <w:right w:w="0" w:type="dxa"/>
          </w:tblCellMar>
          <w:tblLook w:val="0000"/>
        </w:tblPrEx>
        <w:trPr>
          <w:trHeight w:val="358"/>
        </w:trPr>
        <w:tc>
          <w:tcPr>
            <w:tcW w:w="3894" w:type="dxa"/>
            <w:tcMar>
              <w:top w:w="0" w:type="dxa"/>
              <w:left w:w="108" w:type="dxa"/>
              <w:bottom w:w="0" w:type="dxa"/>
              <w:right w:w="108" w:type="dxa"/>
            </w:tcMar>
            <w:vAlign w:val="center"/>
          </w:tcPr>
          <w:p w:rsidR="00E134E2" w:rsidRPr="00093C26" w:rsidP="00E134E2" w14:paraId="250D337D" w14:textId="77777777">
            <w:pPr>
              <w:keepNext/>
              <w:rPr>
                <w:bCs/>
                <w:iCs/>
              </w:rPr>
            </w:pPr>
            <w:r w:rsidRPr="00442DD5">
              <w:rPr>
                <w:bCs/>
              </w:rPr>
              <w:t>Subtotal for the MEPS-MPC</w:t>
            </w:r>
          </w:p>
        </w:tc>
        <w:tc>
          <w:tcPr>
            <w:tcW w:w="989" w:type="dxa"/>
            <w:tcMar>
              <w:top w:w="0" w:type="dxa"/>
              <w:left w:w="108" w:type="dxa"/>
              <w:bottom w:w="0" w:type="dxa"/>
              <w:right w:w="108" w:type="dxa"/>
            </w:tcMar>
            <w:vAlign w:val="center"/>
          </w:tcPr>
          <w:p w:rsidR="00E134E2" w:rsidRPr="00093C26" w:rsidP="00E134E2" w14:paraId="067D04E0" w14:textId="27183AFD">
            <w:pPr>
              <w:keepNext/>
              <w:jc w:val="center"/>
              <w:rPr>
                <w:bCs/>
                <w:iCs/>
              </w:rPr>
            </w:pPr>
            <w:r>
              <w:rPr>
                <w:bCs/>
                <w:iCs/>
              </w:rPr>
              <w:t>8,045</w:t>
            </w:r>
          </w:p>
        </w:tc>
        <w:tc>
          <w:tcPr>
            <w:tcW w:w="1345" w:type="dxa"/>
            <w:vAlign w:val="center"/>
          </w:tcPr>
          <w:p w:rsidR="00E134E2" w:rsidRPr="00F20D31" w:rsidP="00E134E2" w14:paraId="0530BD47" w14:textId="77777777">
            <w:pPr>
              <w:keepNext/>
              <w:jc w:val="center"/>
              <w:rPr>
                <w:bCs/>
                <w:iCs/>
                <w:vertAlign w:val="superscript"/>
              </w:rPr>
            </w:pPr>
            <w:r w:rsidRPr="00F20D31">
              <w:rPr>
                <w:bCs/>
                <w:iCs/>
              </w:rPr>
              <w:t>--</w:t>
            </w:r>
          </w:p>
        </w:tc>
        <w:tc>
          <w:tcPr>
            <w:tcW w:w="1503" w:type="dxa"/>
          </w:tcPr>
          <w:p w:rsidR="00E134E2" w:rsidP="00E134E2" w14:paraId="1CD2EA62" w14:textId="77777777">
            <w:pPr>
              <w:keepNext/>
              <w:jc w:val="center"/>
              <w:rPr>
                <w:color w:val="000000"/>
              </w:rPr>
            </w:pPr>
          </w:p>
        </w:tc>
        <w:tc>
          <w:tcPr>
            <w:tcW w:w="1321" w:type="dxa"/>
            <w:tcMar>
              <w:top w:w="0" w:type="dxa"/>
              <w:left w:w="108" w:type="dxa"/>
              <w:bottom w:w="0" w:type="dxa"/>
              <w:right w:w="108" w:type="dxa"/>
            </w:tcMar>
            <w:vAlign w:val="center"/>
          </w:tcPr>
          <w:p w:rsidR="00E134E2" w:rsidRPr="00F20D31" w:rsidP="00E134E2" w14:paraId="39D9ED3D" w14:textId="62C27A39">
            <w:pPr>
              <w:keepNext/>
              <w:jc w:val="center"/>
              <w:rPr>
                <w:bCs/>
                <w:iCs/>
              </w:rPr>
            </w:pPr>
            <w:r>
              <w:rPr>
                <w:color w:val="000000"/>
              </w:rPr>
              <w:t>$</w:t>
            </w:r>
            <w:r w:rsidR="00F03B67">
              <w:rPr>
                <w:color w:val="000000"/>
              </w:rPr>
              <w:t>3</w:t>
            </w:r>
            <w:r w:rsidR="005C0E18">
              <w:rPr>
                <w:color w:val="000000"/>
              </w:rPr>
              <w:t>50,960</w:t>
            </w:r>
            <w:r>
              <w:rPr>
                <w:color w:val="000000"/>
              </w:rPr>
              <w:t xml:space="preserve"> </w:t>
            </w:r>
          </w:p>
        </w:tc>
      </w:tr>
      <w:tr w14:paraId="76E987B1" w14:textId="77777777" w:rsidTr="006C54DC">
        <w:tblPrEx>
          <w:tblW w:w="9052" w:type="dxa"/>
          <w:tblLayout w:type="fixed"/>
          <w:tblCellMar>
            <w:left w:w="0" w:type="dxa"/>
            <w:right w:w="0" w:type="dxa"/>
          </w:tblCellMar>
          <w:tblLook w:val="0000"/>
        </w:tblPrEx>
        <w:tc>
          <w:tcPr>
            <w:tcW w:w="3894" w:type="dxa"/>
            <w:tcMar>
              <w:top w:w="0" w:type="dxa"/>
              <w:left w:w="108" w:type="dxa"/>
              <w:bottom w:w="0" w:type="dxa"/>
              <w:right w:w="108" w:type="dxa"/>
            </w:tcMar>
            <w:vAlign w:val="center"/>
          </w:tcPr>
          <w:p w:rsidR="00E134E2" w:rsidRPr="00093C26" w:rsidP="00E134E2" w14:paraId="56CFA3D2" w14:textId="77777777">
            <w:pPr>
              <w:keepNext/>
              <w:rPr>
                <w:bCs/>
                <w:iCs/>
              </w:rPr>
            </w:pPr>
            <w:r w:rsidRPr="00093C26">
              <w:rPr>
                <w:b/>
                <w:bCs/>
                <w:iCs/>
              </w:rPr>
              <w:t>Grand Total</w:t>
            </w:r>
          </w:p>
        </w:tc>
        <w:tc>
          <w:tcPr>
            <w:tcW w:w="989" w:type="dxa"/>
            <w:tcMar>
              <w:top w:w="0" w:type="dxa"/>
              <w:left w:w="108" w:type="dxa"/>
              <w:bottom w:w="0" w:type="dxa"/>
              <w:right w:w="108" w:type="dxa"/>
            </w:tcMar>
            <w:vAlign w:val="center"/>
          </w:tcPr>
          <w:p w:rsidR="00E134E2" w:rsidRPr="00093C26" w:rsidP="00E134E2" w14:paraId="76CC9184" w14:textId="1DE1BD6A">
            <w:pPr>
              <w:keepNext/>
              <w:jc w:val="center"/>
              <w:rPr>
                <w:bCs/>
                <w:iCs/>
              </w:rPr>
            </w:pPr>
            <w:r>
              <w:rPr>
                <w:bCs/>
                <w:iCs/>
              </w:rPr>
              <w:t>50,264</w:t>
            </w:r>
          </w:p>
        </w:tc>
        <w:tc>
          <w:tcPr>
            <w:tcW w:w="1345" w:type="dxa"/>
            <w:vAlign w:val="center"/>
          </w:tcPr>
          <w:p w:rsidR="00E134E2" w:rsidRPr="00F20D31" w:rsidP="00E134E2" w14:paraId="20F77A2E" w14:textId="77777777">
            <w:pPr>
              <w:keepNext/>
              <w:jc w:val="center"/>
              <w:rPr>
                <w:bCs/>
                <w:iCs/>
              </w:rPr>
            </w:pPr>
            <w:r w:rsidRPr="00F20D31">
              <w:rPr>
                <w:bCs/>
                <w:iCs/>
              </w:rPr>
              <w:t>--</w:t>
            </w:r>
          </w:p>
        </w:tc>
        <w:tc>
          <w:tcPr>
            <w:tcW w:w="1503" w:type="dxa"/>
          </w:tcPr>
          <w:p w:rsidR="00E134E2" w:rsidRPr="00F20D31" w:rsidP="00E134E2" w14:paraId="771B5361" w14:textId="77777777">
            <w:pPr>
              <w:keepNext/>
              <w:jc w:val="center"/>
              <w:rPr>
                <w:bCs/>
                <w:iCs/>
              </w:rPr>
            </w:pPr>
          </w:p>
        </w:tc>
        <w:tc>
          <w:tcPr>
            <w:tcW w:w="1321" w:type="dxa"/>
            <w:tcMar>
              <w:top w:w="0" w:type="dxa"/>
              <w:left w:w="108" w:type="dxa"/>
              <w:bottom w:w="0" w:type="dxa"/>
              <w:right w:w="108" w:type="dxa"/>
            </w:tcMar>
            <w:vAlign w:val="center"/>
          </w:tcPr>
          <w:p w:rsidR="00E134E2" w:rsidRPr="00F20D31" w:rsidP="00E134E2" w14:paraId="5116E8B0" w14:textId="0513D447">
            <w:pPr>
              <w:keepNext/>
              <w:jc w:val="center"/>
              <w:rPr>
                <w:bCs/>
                <w:iCs/>
              </w:rPr>
            </w:pPr>
            <w:r>
              <w:rPr>
                <w:color w:val="000000"/>
              </w:rPr>
              <w:t>$3,</w:t>
            </w:r>
            <w:r w:rsidR="00157486">
              <w:rPr>
                <w:color w:val="000000"/>
              </w:rPr>
              <w:t>108,705</w:t>
            </w:r>
            <w:r>
              <w:rPr>
                <w:color w:val="000000"/>
              </w:rPr>
              <w:t xml:space="preserve"> </w:t>
            </w:r>
          </w:p>
        </w:tc>
      </w:tr>
    </w:tbl>
    <w:p w:rsidR="006C54DC" w:rsidRPr="006C54DC" w:rsidP="006C54DC" w14:paraId="74E09B81" w14:textId="4D41104E">
      <w:pPr>
        <w:tabs>
          <w:tab w:val="left" w:pos="180"/>
        </w:tabs>
        <w:ind w:left="180" w:hanging="180"/>
        <w:rPr>
          <w:color w:val="000000"/>
          <w:sz w:val="22"/>
          <w:szCs w:val="22"/>
        </w:rPr>
      </w:pPr>
      <w:r w:rsidRPr="006C54DC">
        <w:rPr>
          <w:color w:val="000000"/>
          <w:sz w:val="22"/>
          <w:szCs w:val="22"/>
        </w:rPr>
        <w:t>*</w:t>
      </w:r>
      <w:r w:rsidRPr="006C54DC">
        <w:rPr>
          <w:color w:val="000000"/>
          <w:sz w:val="22"/>
          <w:szCs w:val="22"/>
        </w:rPr>
        <w:tab/>
        <w:t>National Compensation Survey: Occupational wages in the United States May 202</w:t>
      </w:r>
      <w:r>
        <w:rPr>
          <w:color w:val="000000"/>
          <w:sz w:val="22"/>
          <w:szCs w:val="22"/>
        </w:rPr>
        <w:t>4</w:t>
      </w:r>
      <w:r w:rsidRPr="006C54DC">
        <w:rPr>
          <w:color w:val="000000"/>
          <w:sz w:val="22"/>
          <w:szCs w:val="22"/>
        </w:rPr>
        <w:t>, “U.S. Department of Labor, Bureau of Labor Statistics.”</w:t>
      </w:r>
    </w:p>
    <w:p w:rsidR="006C54DC" w:rsidRPr="006C54DC" w:rsidP="006C54DC" w14:paraId="67BA9B4C" w14:textId="77777777">
      <w:pPr>
        <w:tabs>
          <w:tab w:val="left" w:pos="180"/>
        </w:tabs>
        <w:ind w:left="180" w:hanging="180"/>
        <w:rPr>
          <w:sz w:val="22"/>
          <w:szCs w:val="22"/>
          <w:highlight w:val="yellow"/>
        </w:rPr>
      </w:pPr>
      <w:r w:rsidRPr="006C54DC">
        <w:rPr>
          <w:sz w:val="22"/>
          <w:szCs w:val="22"/>
        </w:rPr>
        <w:t>**</w:t>
      </w:r>
      <w:r w:rsidRPr="006C54DC">
        <w:rPr>
          <w:color w:val="000000"/>
          <w:sz w:val="22"/>
          <w:szCs w:val="22"/>
        </w:rPr>
        <w:t xml:space="preserve"> The Adjusted Hourly Rate was estimated at 200% of the hourly wage.</w:t>
      </w:r>
    </w:p>
    <w:p w:rsidR="00E80D41" w:rsidRPr="006C54DC" w:rsidP="00E80D41" w14:paraId="780796BF" w14:textId="1ED5BF69">
      <w:pPr>
        <w:keepNext/>
        <w:tabs>
          <w:tab w:val="left" w:pos="0"/>
        </w:tabs>
        <w:rPr>
          <w:bCs/>
          <w:sz w:val="22"/>
          <w:szCs w:val="22"/>
        </w:rPr>
      </w:pPr>
      <w:r w:rsidRPr="006C54DC">
        <w:rPr>
          <w:bCs/>
          <w:sz w:val="22"/>
          <w:szCs w:val="22"/>
          <w:vertAlign w:val="superscript"/>
        </w:rPr>
        <w:t>a</w:t>
      </w:r>
      <w:r w:rsidRPr="006C54DC">
        <w:rPr>
          <w:bCs/>
          <w:sz w:val="22"/>
          <w:szCs w:val="22"/>
        </w:rPr>
        <w:t xml:space="preserve"> Mean hourly wage for All Occupations (00-0000)</w:t>
      </w:r>
    </w:p>
    <w:p w:rsidR="00E80D41" w:rsidRPr="006C54DC" w:rsidP="00E80D41" w14:paraId="562F0A8E" w14:textId="353E479A">
      <w:pPr>
        <w:keepNext/>
        <w:tabs>
          <w:tab w:val="left" w:pos="0"/>
        </w:tabs>
        <w:rPr>
          <w:bCs/>
          <w:sz w:val="22"/>
          <w:szCs w:val="22"/>
        </w:rPr>
      </w:pPr>
      <w:r w:rsidRPr="006C54DC">
        <w:rPr>
          <w:bCs/>
          <w:sz w:val="22"/>
          <w:szCs w:val="22"/>
          <w:vertAlign w:val="superscript"/>
        </w:rPr>
        <w:t>b</w:t>
      </w:r>
      <w:r w:rsidRPr="006C54DC">
        <w:rPr>
          <w:bCs/>
          <w:sz w:val="22"/>
          <w:szCs w:val="22"/>
        </w:rPr>
        <w:t xml:space="preserve"> Mean hourly wage for Medical Secretaries (43-6013)</w:t>
      </w:r>
    </w:p>
    <w:p w:rsidR="00FC109D" w:rsidRPr="006C54DC" w:rsidP="006C54DC" w14:paraId="72CCB314" w14:textId="541B688F">
      <w:pPr>
        <w:tabs>
          <w:tab w:val="left" w:pos="0"/>
        </w:tabs>
        <w:rPr>
          <w:bCs/>
          <w:sz w:val="22"/>
          <w:szCs w:val="22"/>
        </w:rPr>
      </w:pPr>
      <w:r w:rsidRPr="006C54DC">
        <w:rPr>
          <w:bCs/>
          <w:sz w:val="22"/>
          <w:szCs w:val="22"/>
          <w:vertAlign w:val="superscript"/>
        </w:rPr>
        <w:t>c</w:t>
      </w:r>
      <w:r w:rsidRPr="006C54DC" w:rsidR="00E80D41">
        <w:rPr>
          <w:bCs/>
          <w:sz w:val="22"/>
          <w:szCs w:val="22"/>
          <w:vertAlign w:val="superscript"/>
        </w:rPr>
        <w:t xml:space="preserve"> </w:t>
      </w:r>
      <w:r w:rsidRPr="006C54DC" w:rsidR="00E80D41">
        <w:rPr>
          <w:bCs/>
          <w:sz w:val="22"/>
          <w:szCs w:val="22"/>
        </w:rPr>
        <w:t>Mean hourly wage for Pharmacy Technicians (29-2052)</w:t>
      </w:r>
    </w:p>
    <w:bookmarkEnd w:id="45"/>
    <w:p w:rsidR="009B3622" w:rsidRPr="009B3622" w:rsidP="0006354E" w14:paraId="3697CCC7" w14:textId="751E0C05">
      <w:pPr>
        <w:rPr>
          <w:b/>
        </w:rPr>
      </w:pPr>
    </w:p>
    <w:p w:rsidR="009B633D" w:rsidRPr="00412C6F" w:rsidP="009B633D" w14:paraId="7897B2D9" w14:textId="2C605929">
      <w:pPr>
        <w:pStyle w:val="Heading2"/>
        <w:rPr>
          <w:sz w:val="24"/>
        </w:rPr>
      </w:pPr>
      <w:bookmarkStart w:id="51" w:name="_Toc151782188"/>
      <w:bookmarkStart w:id="52" w:name="_Toc158526228"/>
      <w:r w:rsidRPr="00412C6F">
        <w:rPr>
          <w:sz w:val="24"/>
        </w:rPr>
        <w:t>13. Estimates of Annualized Respondent Capital and Maintenance Costs</w:t>
      </w:r>
      <w:bookmarkEnd w:id="51"/>
      <w:bookmarkEnd w:id="52"/>
    </w:p>
    <w:p w:rsidR="00E14FC3" w:rsidP="00C205C8" w14:paraId="6EB536C0" w14:textId="73E7A7B1">
      <w:pPr>
        <w:spacing w:before="120"/>
      </w:pPr>
      <w:r w:rsidRPr="006C45D0">
        <w:t xml:space="preserve">Capital and maintenance costs include the purchase of </w:t>
      </w:r>
      <w:r w:rsidRPr="006C45D0" w:rsidR="00C205C8">
        <w:t xml:space="preserve">equipment, </w:t>
      </w:r>
      <w:r w:rsidRPr="006C45D0">
        <w:t>computer</w:t>
      </w:r>
      <w:r w:rsidRPr="006C45D0" w:rsidR="00C205C8">
        <w:t>s or computer software or services, or storage facilities for records, as a result of complying with this data collection.</w:t>
      </w:r>
      <w:r w:rsidRPr="00A65884" w:rsidR="00C205C8">
        <w:rPr>
          <w:i/>
        </w:rPr>
        <w:t xml:space="preserve"> </w:t>
      </w:r>
      <w:r w:rsidR="00C205C8">
        <w:t>T</w:t>
      </w:r>
      <w:r w:rsidR="0080612B">
        <w:t>here are no direct costs to respondents other than their time to participate in the study.</w:t>
      </w:r>
    </w:p>
    <w:p w:rsidR="009B633D" w:rsidRPr="00412C6F" w:rsidP="009B633D" w14:paraId="6A327D15" w14:textId="77777777">
      <w:pPr>
        <w:pStyle w:val="Heading2"/>
        <w:rPr>
          <w:sz w:val="24"/>
        </w:rPr>
      </w:pPr>
      <w:bookmarkStart w:id="53" w:name="_Toc58725299"/>
      <w:bookmarkStart w:id="54" w:name="_Toc151782189"/>
      <w:bookmarkStart w:id="55" w:name="_Toc158526229"/>
      <w:r w:rsidRPr="00412C6F">
        <w:rPr>
          <w:sz w:val="24"/>
        </w:rPr>
        <w:t xml:space="preserve">14. Estimates of </w:t>
      </w:r>
      <w:r w:rsidR="00DA79B5">
        <w:rPr>
          <w:sz w:val="24"/>
        </w:rPr>
        <w:t xml:space="preserve">Total and </w:t>
      </w:r>
      <w:r w:rsidRPr="00412C6F">
        <w:rPr>
          <w:sz w:val="24"/>
        </w:rPr>
        <w:t>Annualized Cost to the Government</w:t>
      </w:r>
      <w:bookmarkEnd w:id="53"/>
      <w:bookmarkEnd w:id="54"/>
      <w:bookmarkEnd w:id="55"/>
    </w:p>
    <w:p w:rsidR="0006354E" w:rsidRPr="00490E59" w:rsidP="0006354E" w14:paraId="391A039C" w14:textId="3BAC3647">
      <w:bookmarkStart w:id="56" w:name="_Toc151782190"/>
      <w:bookmarkStart w:id="57" w:name="_Toc158526230"/>
      <w:r>
        <w:t>Exhibit 3 shows the remuneration paid to providers</w:t>
      </w:r>
      <w:r w:rsidR="009B494E">
        <w:t xml:space="preserve"> is estimated to be </w:t>
      </w:r>
      <w:r w:rsidR="00761C28">
        <w:t>$</w:t>
      </w:r>
      <w:r w:rsidR="00A2681E">
        <w:t>313</w:t>
      </w:r>
      <w:r w:rsidR="00761C28">
        <w:t>,848</w:t>
      </w:r>
      <w:r>
        <w:t xml:space="preserve">. </w:t>
      </w:r>
      <w:r w:rsidRPr="00490E59">
        <w:t>Exhibit 4 shows the total and annualized</w:t>
      </w:r>
      <w:r>
        <w:t xml:space="preserve"> </w:t>
      </w:r>
      <w:r w:rsidRPr="00490E59">
        <w:t>cost</w:t>
      </w:r>
      <w:r>
        <w:t>s</w:t>
      </w:r>
      <w:r w:rsidRPr="00490E59">
        <w:t xml:space="preserve"> associated with the design and data collection of the MEPS-HC and MEPS-MPC is estimated to be $</w:t>
      </w:r>
      <w:r w:rsidRPr="007260D6">
        <w:t>61,197,703</w:t>
      </w:r>
      <w:r>
        <w:t xml:space="preserve"> </w:t>
      </w:r>
      <w:r w:rsidRPr="00490E59">
        <w:t xml:space="preserve">in each of the three years covered by this </w:t>
      </w:r>
      <w:r>
        <w:t>ICR</w:t>
      </w:r>
      <w:r w:rsidRPr="00490E59">
        <w:t>.</w:t>
      </w:r>
      <w:r>
        <w:t xml:space="preserve"> </w:t>
      </w:r>
      <w:r w:rsidRPr="00490E59">
        <w:t>Exhibit 5 show</w:t>
      </w:r>
      <w:r w:rsidR="00B9788A">
        <w:t>s</w:t>
      </w:r>
      <w:r w:rsidRPr="00490E59">
        <w:t xml:space="preserve"> the annualized cost of MEPS-HC and MEPS-MPC oversight</w:t>
      </w:r>
      <w:r w:rsidR="00761C28">
        <w:t xml:space="preserve"> to be </w:t>
      </w:r>
      <w:r w:rsidR="00761C28">
        <w:rPr>
          <w:color w:val="000000"/>
        </w:rPr>
        <w:t>$2,385,688</w:t>
      </w:r>
      <w:r w:rsidR="00B9788A">
        <w:t xml:space="preserve">. The </w:t>
      </w:r>
      <w:r w:rsidR="009B494E">
        <w:t>sum of the totals in the three exhibi</w:t>
      </w:r>
      <w:r w:rsidR="00761C28">
        <w:t>ts is the</w:t>
      </w:r>
      <w:r w:rsidR="009B494E">
        <w:t xml:space="preserve"> </w:t>
      </w:r>
      <w:r w:rsidR="00B9788A">
        <w:t xml:space="preserve">total annualized cost to the government </w:t>
      </w:r>
      <w:r w:rsidR="00761C28">
        <w:t xml:space="preserve">of </w:t>
      </w:r>
      <w:r w:rsidR="00545C2C">
        <w:t>$63,897,</w:t>
      </w:r>
      <w:r w:rsidR="00022472">
        <w:t>239</w:t>
      </w:r>
      <w:r w:rsidR="00545C2C">
        <w:t>.</w:t>
      </w:r>
    </w:p>
    <w:p w:rsidR="0006354E" w:rsidP="0006354E" w14:paraId="36093A0F" w14:textId="77777777">
      <w:pPr>
        <w:rPr>
          <w:b/>
          <w:bCs/>
          <w:color w:val="000000"/>
        </w:rPr>
      </w:pPr>
    </w:p>
    <w:p w:rsidR="0006354E" w:rsidP="0006354E" w14:paraId="1B0528BE" w14:textId="77777777">
      <w:pPr>
        <w:keepNext/>
        <w:rPr>
          <w:b/>
        </w:rPr>
      </w:pPr>
      <w:r w:rsidRPr="005622E0">
        <w:rPr>
          <w:b/>
        </w:rPr>
        <w:t>Exhibit 3.</w:t>
      </w:r>
      <w:r>
        <w:rPr>
          <w:b/>
        </w:rPr>
        <w:t xml:space="preserve"> </w:t>
      </w:r>
      <w:r w:rsidRPr="005622E0">
        <w:rPr>
          <w:b/>
        </w:rPr>
        <w:t xml:space="preserve">Total and Average </w:t>
      </w:r>
      <w:r>
        <w:rPr>
          <w:b/>
        </w:rPr>
        <w:t xml:space="preserve">Annual </w:t>
      </w:r>
      <w:r w:rsidRPr="005622E0">
        <w:rPr>
          <w:b/>
        </w:rPr>
        <w:t>Remuneration by Provider Type for the MEPS-MPC</w:t>
      </w:r>
    </w:p>
    <w:tbl>
      <w:tblPr>
        <w:tblW w:w="8730" w:type="dxa"/>
        <w:tblInd w:w="-10" w:type="dxa"/>
        <w:tblLayout w:type="fixed"/>
        <w:tblCellMar>
          <w:left w:w="0" w:type="dxa"/>
          <w:right w:w="0" w:type="dxa"/>
        </w:tblCellMar>
        <w:tblLook w:val="04A0"/>
      </w:tblPr>
      <w:tblGrid>
        <w:gridCol w:w="4230"/>
        <w:gridCol w:w="1530"/>
        <w:gridCol w:w="1260"/>
        <w:gridCol w:w="1710"/>
      </w:tblGrid>
      <w:tr w14:paraId="45AC3D6F" w14:textId="77777777" w:rsidTr="00A504C7">
        <w:tblPrEx>
          <w:tblW w:w="8730" w:type="dxa"/>
          <w:tblInd w:w="-10" w:type="dxa"/>
          <w:tblLayout w:type="fixed"/>
          <w:tblCellMar>
            <w:left w:w="0" w:type="dxa"/>
            <w:right w:w="0" w:type="dxa"/>
          </w:tblCellMar>
          <w:tblLook w:val="04A0"/>
        </w:tblPrEx>
        <w:tc>
          <w:tcPr>
            <w:tcW w:w="4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54E" w:rsidRPr="00A504C7" w:rsidP="00155618" w14:paraId="2FF8CBF4" w14:textId="77777777">
            <w:pPr>
              <w:keepNext/>
              <w:rPr>
                <w:rFonts w:cs="Calibri"/>
                <w:b/>
                <w:bCs/>
                <w:sz w:val="22"/>
                <w:szCs w:val="22"/>
              </w:rPr>
            </w:pPr>
            <w:r w:rsidRPr="00A504C7">
              <w:rPr>
                <w:rFonts w:cs="Calibri"/>
                <w:b/>
                <w:bCs/>
              </w:rPr>
              <w:t>Provider Type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354E" w:rsidRPr="00A504C7" w:rsidP="00155618" w14:paraId="76B51BB1" w14:textId="77777777">
            <w:pPr>
              <w:keepNext/>
              <w:jc w:val="center"/>
              <w:rPr>
                <w:rFonts w:cs="Calibri"/>
                <w:b/>
                <w:bCs/>
              </w:rPr>
            </w:pPr>
            <w:r w:rsidRPr="00A504C7">
              <w:rPr>
                <w:rFonts w:cs="Calibri"/>
                <w:b/>
                <w:bCs/>
              </w:rPr>
              <w:t>Number of Records with Payment</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354E" w:rsidRPr="00A504C7" w:rsidP="00155618" w14:paraId="1CF43D27" w14:textId="77777777">
            <w:pPr>
              <w:keepNext/>
              <w:jc w:val="center"/>
              <w:rPr>
                <w:rFonts w:cs="Calibri"/>
                <w:b/>
                <w:bCs/>
              </w:rPr>
            </w:pPr>
            <w:r w:rsidRPr="00A504C7">
              <w:rPr>
                <w:rFonts w:cs="Calibri"/>
                <w:b/>
                <w:bCs/>
              </w:rPr>
              <w:t>Average Payment</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354E" w:rsidRPr="00A504C7" w:rsidP="00155618" w14:paraId="60DAD1B7" w14:textId="77777777">
            <w:pPr>
              <w:keepNext/>
              <w:jc w:val="center"/>
              <w:rPr>
                <w:rFonts w:cs="Calibri"/>
                <w:b/>
                <w:bCs/>
              </w:rPr>
            </w:pPr>
            <w:r w:rsidRPr="00A504C7">
              <w:rPr>
                <w:rFonts w:cs="Calibri"/>
                <w:b/>
                <w:bCs/>
              </w:rPr>
              <w:t>Total Remuneration</w:t>
            </w:r>
          </w:p>
        </w:tc>
      </w:tr>
      <w:tr w14:paraId="3520F84A" w14:textId="77777777" w:rsidTr="00A504C7">
        <w:tblPrEx>
          <w:tblW w:w="8730" w:type="dxa"/>
          <w:tblInd w:w="-10" w:type="dxa"/>
          <w:tblLayout w:type="fixed"/>
          <w:tblCellMar>
            <w:left w:w="0" w:type="dxa"/>
            <w:right w:w="0" w:type="dxa"/>
          </w:tblCellMar>
          <w:tblLook w:val="04A0"/>
        </w:tblPrEx>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354E" w:rsidRPr="00D902DA" w:rsidP="00155618" w14:paraId="7BBDB100" w14:textId="77777777">
            <w:pPr>
              <w:keepNext/>
              <w:rPr>
                <w:rFonts w:cs="Calibri"/>
              </w:rPr>
            </w:pPr>
            <w:r w:rsidRPr="00D902DA">
              <w:rPr>
                <w:rFonts w:cs="Calibri"/>
              </w:rPr>
              <w:t>Hospital</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373C397F" w14:textId="77777777">
            <w:pPr>
              <w:keepNext/>
              <w:jc w:val="right"/>
              <w:rPr>
                <w:rFonts w:cs="Calibri"/>
              </w:rPr>
            </w:pPr>
            <w:r>
              <w:rPr>
                <w:rFonts w:cs="Calibri"/>
              </w:rPr>
              <w:t>737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1C769794" w14:textId="77777777">
            <w:pPr>
              <w:keepNext/>
              <w:jc w:val="right"/>
              <w:rPr>
                <w:rFonts w:cs="Calibri"/>
              </w:rPr>
            </w:pPr>
            <w:r>
              <w:rPr>
                <w:rFonts w:cs="Calibri"/>
              </w:rPr>
              <w:t>$42.42</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0CA1C576" w14:textId="06CFE667">
            <w:pPr>
              <w:keepNext/>
              <w:jc w:val="right"/>
              <w:rPr>
                <w:rFonts w:cs="Calibri"/>
              </w:rPr>
            </w:pPr>
            <w:r>
              <w:rPr>
                <w:rFonts w:cs="Calibri"/>
              </w:rPr>
              <w:t>$31,26</w:t>
            </w:r>
            <w:r w:rsidR="005A1734">
              <w:rPr>
                <w:rFonts w:cs="Calibri"/>
              </w:rPr>
              <w:t>4</w:t>
            </w:r>
          </w:p>
        </w:tc>
      </w:tr>
      <w:tr w14:paraId="27BF1D4D" w14:textId="77777777" w:rsidTr="00A504C7">
        <w:tblPrEx>
          <w:tblW w:w="8730" w:type="dxa"/>
          <w:tblInd w:w="-10" w:type="dxa"/>
          <w:tblLayout w:type="fixed"/>
          <w:tblCellMar>
            <w:left w:w="0" w:type="dxa"/>
            <w:right w:w="0" w:type="dxa"/>
          </w:tblCellMar>
          <w:tblLook w:val="04A0"/>
        </w:tblPrEx>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54E" w:rsidRPr="00D902DA" w:rsidP="00155618" w14:paraId="4CE2001B" w14:textId="77777777">
            <w:pPr>
              <w:keepNext/>
              <w:rPr>
                <w:rFonts w:cs="Calibri"/>
              </w:rPr>
            </w:pPr>
            <w:r w:rsidRPr="00D902DA">
              <w:rPr>
                <w:rFonts w:cs="Calibri"/>
              </w:rPr>
              <w:t>Office Based Providers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152AE1C1" w14:textId="77777777">
            <w:pPr>
              <w:keepNext/>
              <w:jc w:val="right"/>
              <w:rPr>
                <w:rFonts w:cs="Calibri"/>
              </w:rPr>
            </w:pPr>
            <w:r>
              <w:rPr>
                <w:rFonts w:cs="Calibri"/>
              </w:rPr>
              <w:t>395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292369B4" w14:textId="77777777">
            <w:pPr>
              <w:keepNext/>
              <w:jc w:val="right"/>
              <w:rPr>
                <w:rFonts w:cs="Calibri"/>
              </w:rPr>
            </w:pPr>
            <w:r>
              <w:rPr>
                <w:rFonts w:cs="Calibri"/>
              </w:rPr>
              <w:t>$29.12</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4E9AE7E5" w14:textId="67BB2CC0">
            <w:pPr>
              <w:keepNext/>
              <w:jc w:val="right"/>
              <w:rPr>
                <w:rFonts w:cs="Calibri"/>
              </w:rPr>
            </w:pPr>
            <w:r>
              <w:rPr>
                <w:rFonts w:cs="Calibri"/>
              </w:rPr>
              <w:t>$11,50</w:t>
            </w:r>
            <w:r w:rsidR="00874151">
              <w:rPr>
                <w:rFonts w:cs="Calibri"/>
              </w:rPr>
              <w:t>2</w:t>
            </w:r>
          </w:p>
        </w:tc>
      </w:tr>
      <w:tr w14:paraId="6DA37434" w14:textId="77777777" w:rsidTr="00A504C7">
        <w:tblPrEx>
          <w:tblW w:w="8730" w:type="dxa"/>
          <w:tblInd w:w="-10" w:type="dxa"/>
          <w:tblLayout w:type="fixed"/>
          <w:tblCellMar>
            <w:left w:w="0" w:type="dxa"/>
            <w:right w:w="0" w:type="dxa"/>
          </w:tblCellMar>
          <w:tblLook w:val="04A0"/>
        </w:tblPrEx>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54E" w:rsidRPr="00D902DA" w:rsidP="00155618" w14:paraId="69D3D608" w14:textId="77777777">
            <w:pPr>
              <w:keepNext/>
              <w:rPr>
                <w:rFonts w:cs="Calibri"/>
              </w:rPr>
            </w:pPr>
            <w:r w:rsidRPr="00D902DA">
              <w:rPr>
                <w:rFonts w:cs="Calibri"/>
              </w:rPr>
              <w:t>Institutions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7EC6E08C" w14:textId="77777777">
            <w:pPr>
              <w:keepNext/>
              <w:jc w:val="right"/>
              <w:rPr>
                <w:rFonts w:cs="Calibri"/>
              </w:rPr>
            </w:pPr>
            <w:r>
              <w:rPr>
                <w:rFonts w:cs="Calibri"/>
              </w:rPr>
              <w:t>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2EA14D6D" w14:textId="77777777">
            <w:pPr>
              <w:keepNext/>
              <w:jc w:val="right"/>
              <w:rPr>
                <w:rFonts w:cs="Calibri"/>
              </w:rPr>
            </w:pPr>
            <w:r>
              <w:rPr>
                <w:rFonts w:cs="Calibri"/>
              </w:rPr>
              <w:t>$95.67</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7D241E18" w14:textId="77777777">
            <w:pPr>
              <w:keepNext/>
              <w:jc w:val="right"/>
              <w:rPr>
                <w:rFonts w:cs="Calibri"/>
              </w:rPr>
            </w:pPr>
            <w:r>
              <w:rPr>
                <w:rFonts w:cs="Calibri"/>
              </w:rPr>
              <w:t>$287</w:t>
            </w:r>
          </w:p>
        </w:tc>
      </w:tr>
      <w:tr w14:paraId="3182B612" w14:textId="77777777" w:rsidTr="00A504C7">
        <w:tblPrEx>
          <w:tblW w:w="8730" w:type="dxa"/>
          <w:tblInd w:w="-10" w:type="dxa"/>
          <w:tblLayout w:type="fixed"/>
          <w:tblCellMar>
            <w:left w:w="0" w:type="dxa"/>
            <w:right w:w="0" w:type="dxa"/>
          </w:tblCellMar>
          <w:tblLook w:val="04A0"/>
        </w:tblPrEx>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54E" w:rsidRPr="00D902DA" w:rsidP="00155618" w14:paraId="32ADE7E7" w14:textId="77777777">
            <w:pPr>
              <w:keepNext/>
              <w:rPr>
                <w:rFonts w:cs="Calibri"/>
              </w:rPr>
            </w:pPr>
            <w:r w:rsidRPr="00D902DA">
              <w:rPr>
                <w:rFonts w:cs="Calibri"/>
              </w:rPr>
              <w:t>Home Care Provider (Health Care Providers)</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54E" w:rsidRPr="00D902DA" w:rsidP="00155618" w14:paraId="54A649E1" w14:textId="77777777">
            <w:pPr>
              <w:keepNext/>
              <w:jc w:val="right"/>
              <w:rPr>
                <w:rFonts w:cs="Calibri"/>
              </w:rPr>
            </w:pPr>
            <w:r w:rsidRPr="00D902DA">
              <w:rPr>
                <w:rFonts w:cs="Calibri"/>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54E" w:rsidRPr="00D902DA" w:rsidP="00155618" w14:paraId="0A6D2917" w14:textId="77777777">
            <w:pPr>
              <w:keepNext/>
              <w:jc w:val="right"/>
              <w:rPr>
                <w:rFonts w:cs="Calibri"/>
              </w:rPr>
            </w:pPr>
            <w:r>
              <w:rPr>
                <w:rFonts w:cs="Calibri"/>
              </w:rPr>
              <w:t>$2</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54E" w:rsidRPr="00D902DA" w:rsidP="00155618" w14:paraId="18CDFD7F" w14:textId="77777777">
            <w:pPr>
              <w:keepNext/>
              <w:jc w:val="right"/>
              <w:rPr>
                <w:rFonts w:cs="Calibri"/>
              </w:rPr>
            </w:pPr>
            <w:r w:rsidRPr="00D902DA">
              <w:rPr>
                <w:rFonts w:cs="Calibri"/>
              </w:rPr>
              <w:t>$2</w:t>
            </w:r>
          </w:p>
        </w:tc>
      </w:tr>
      <w:tr w14:paraId="25875F56" w14:textId="77777777" w:rsidTr="00A504C7">
        <w:tblPrEx>
          <w:tblW w:w="8730" w:type="dxa"/>
          <w:tblInd w:w="-10" w:type="dxa"/>
          <w:tblLayout w:type="fixed"/>
          <w:tblCellMar>
            <w:left w:w="0" w:type="dxa"/>
            <w:right w:w="0" w:type="dxa"/>
          </w:tblCellMar>
          <w:tblLook w:val="04A0"/>
        </w:tblPrEx>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54E" w:rsidRPr="00D902DA" w:rsidP="00155618" w14:paraId="7E8FAE92" w14:textId="77777777">
            <w:pPr>
              <w:keepNext/>
              <w:rPr>
                <w:rFonts w:cs="Calibri"/>
              </w:rPr>
            </w:pPr>
            <w:r w:rsidRPr="00D902DA">
              <w:rPr>
                <w:rFonts w:cs="Calibri"/>
              </w:rPr>
              <w:t>Home Care Provider (Non-Health Care Providers)</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54E" w:rsidRPr="00D902DA" w:rsidP="00155618" w14:paraId="692915AA" w14:textId="77777777">
            <w:pPr>
              <w:keepNext/>
              <w:jc w:val="right"/>
              <w:rPr>
                <w:rFonts w:cs="Calibri"/>
              </w:rPr>
            </w:pPr>
            <w:r w:rsidRPr="00D902DA">
              <w:rPr>
                <w:rFonts w:cs="Calibri"/>
              </w:rPr>
              <w:t>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54E" w:rsidRPr="00D902DA" w:rsidP="00155618" w14:paraId="68311A0F" w14:textId="77777777">
            <w:pPr>
              <w:keepNext/>
              <w:jc w:val="right"/>
              <w:rPr>
                <w:rFonts w:cs="Calibri"/>
              </w:rPr>
            </w:pPr>
            <w:r w:rsidRPr="00D902DA">
              <w:rPr>
                <w:rFonts w:cs="Calibri"/>
              </w:rPr>
              <w:t>$0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354E" w:rsidRPr="00D902DA" w:rsidP="00155618" w14:paraId="3EC1A297" w14:textId="77777777">
            <w:pPr>
              <w:keepNext/>
              <w:jc w:val="right"/>
              <w:rPr>
                <w:rFonts w:cs="Calibri"/>
              </w:rPr>
            </w:pPr>
            <w:r w:rsidRPr="00D902DA">
              <w:rPr>
                <w:rFonts w:cs="Calibri"/>
              </w:rPr>
              <w:t>$0</w:t>
            </w:r>
          </w:p>
        </w:tc>
      </w:tr>
      <w:tr w14:paraId="698D3282" w14:textId="77777777" w:rsidTr="00A504C7">
        <w:tblPrEx>
          <w:tblW w:w="8730" w:type="dxa"/>
          <w:tblInd w:w="-10" w:type="dxa"/>
          <w:tblLayout w:type="fixed"/>
          <w:tblCellMar>
            <w:left w:w="0" w:type="dxa"/>
            <w:right w:w="0" w:type="dxa"/>
          </w:tblCellMar>
          <w:tblLook w:val="04A0"/>
        </w:tblPrEx>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54E" w:rsidRPr="00D902DA" w:rsidP="00155618" w14:paraId="55612FF8" w14:textId="77777777">
            <w:pPr>
              <w:keepNext/>
              <w:rPr>
                <w:rFonts w:cs="Calibri"/>
              </w:rPr>
            </w:pPr>
            <w:r w:rsidRPr="00D902DA">
              <w:rPr>
                <w:rFonts w:cs="Calibri"/>
              </w:rPr>
              <w:t>Pharmacy</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0C7A331C" w14:textId="623360F9">
            <w:pPr>
              <w:keepNext/>
              <w:jc w:val="right"/>
              <w:rPr>
                <w:rFonts w:cs="Calibri"/>
              </w:rPr>
            </w:pPr>
            <w:r>
              <w:rPr>
                <w:rFonts w:cs="Calibri"/>
              </w:rPr>
              <w:t>8</w:t>
            </w:r>
            <w:r w:rsidR="001E16FE">
              <w:rPr>
                <w:rFonts w:cs="Calibri"/>
              </w:rPr>
              <w:t>,</w:t>
            </w:r>
            <w:r>
              <w:rPr>
                <w:rFonts w:cs="Calibri"/>
              </w:rPr>
              <w:t>345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47076FDF" w14:textId="77777777">
            <w:pPr>
              <w:keepNext/>
              <w:jc w:val="right"/>
              <w:rPr>
                <w:rFonts w:cs="Calibri"/>
              </w:rPr>
            </w:pPr>
            <w:r>
              <w:rPr>
                <w:rFonts w:cs="Calibri"/>
              </w:rPr>
              <w:t>$31.66</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035B886B" w14:textId="1A33949A">
            <w:pPr>
              <w:keepNext/>
              <w:jc w:val="right"/>
              <w:rPr>
                <w:rFonts w:cs="Calibri"/>
              </w:rPr>
            </w:pPr>
            <w:r>
              <w:rPr>
                <w:rFonts w:cs="Calibri"/>
              </w:rPr>
              <w:t>$264</w:t>
            </w:r>
            <w:r w:rsidR="001E16FE">
              <w:rPr>
                <w:rFonts w:cs="Calibri"/>
              </w:rPr>
              <w:t>,</w:t>
            </w:r>
            <w:r w:rsidR="001165AA">
              <w:rPr>
                <w:rFonts w:cs="Calibri"/>
              </w:rPr>
              <w:t>203</w:t>
            </w:r>
          </w:p>
        </w:tc>
      </w:tr>
      <w:tr w14:paraId="7CB55CB7" w14:textId="77777777" w:rsidTr="00A504C7">
        <w:tblPrEx>
          <w:tblW w:w="8730" w:type="dxa"/>
          <w:tblInd w:w="-10" w:type="dxa"/>
          <w:tblLayout w:type="fixed"/>
          <w:tblCellMar>
            <w:left w:w="0" w:type="dxa"/>
            <w:right w:w="0" w:type="dxa"/>
          </w:tblCellMar>
          <w:tblLook w:val="04A0"/>
        </w:tblPrEx>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54E" w:rsidRPr="00D902DA" w:rsidP="00155618" w14:paraId="68D7838F" w14:textId="77777777">
            <w:pPr>
              <w:keepNext/>
              <w:rPr>
                <w:rFonts w:cs="Calibri"/>
              </w:rPr>
            </w:pPr>
            <w:r w:rsidRPr="00D902DA">
              <w:rPr>
                <w:rFonts w:cs="Calibri"/>
              </w:rPr>
              <w:t>Separately Billing Doctors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2EDEF917" w14:textId="77777777">
            <w:pPr>
              <w:keepNext/>
              <w:jc w:val="right"/>
              <w:rPr>
                <w:rFonts w:cs="Calibri"/>
              </w:rPr>
            </w:pPr>
            <w:r>
              <w:rPr>
                <w:rFonts w:cs="Calibri"/>
              </w:rPr>
              <w:t>137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3B06AFA9" w14:textId="77777777">
            <w:pPr>
              <w:keepNext/>
              <w:jc w:val="right"/>
              <w:rPr>
                <w:rFonts w:cs="Calibri"/>
              </w:rPr>
            </w:pPr>
            <w:r>
              <w:rPr>
                <w:rFonts w:cs="Calibri"/>
              </w:rPr>
              <w:t>$48.10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0A8DCB1A" w14:textId="77777777">
            <w:pPr>
              <w:keepNext/>
              <w:jc w:val="right"/>
              <w:rPr>
                <w:rFonts w:cs="Calibri"/>
              </w:rPr>
            </w:pPr>
            <w:r>
              <w:rPr>
                <w:rFonts w:cs="Calibri"/>
              </w:rPr>
              <w:t>$6,590</w:t>
            </w:r>
          </w:p>
        </w:tc>
      </w:tr>
      <w:tr w14:paraId="4C6104E8" w14:textId="77777777" w:rsidTr="00A504C7">
        <w:tblPrEx>
          <w:tblW w:w="8730" w:type="dxa"/>
          <w:tblInd w:w="-10" w:type="dxa"/>
          <w:tblLayout w:type="fixed"/>
          <w:tblCellMar>
            <w:left w:w="0" w:type="dxa"/>
            <w:right w:w="0" w:type="dxa"/>
          </w:tblCellMar>
          <w:tblLook w:val="04A0"/>
        </w:tblPrEx>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54E" w:rsidRPr="00D902DA" w:rsidP="00155618" w14:paraId="54B2C221" w14:textId="77777777">
            <w:pPr>
              <w:rPr>
                <w:rFonts w:cs="Calibri"/>
              </w:rPr>
            </w:pPr>
            <w:r w:rsidRPr="00D902DA">
              <w:rPr>
                <w:rFonts w:cs="Calibri"/>
              </w:rPr>
              <w:t xml:space="preserve">Total MPC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68CE4A52" w14:textId="0896E533">
            <w:pPr>
              <w:jc w:val="right"/>
              <w:rPr>
                <w:rFonts w:cs="Calibri"/>
              </w:rPr>
            </w:pPr>
            <w:r>
              <w:rPr>
                <w:rFonts w:cs="Calibri"/>
              </w:rPr>
              <w:t>9</w:t>
            </w:r>
            <w:r w:rsidR="00537732">
              <w:rPr>
                <w:rFonts w:cs="Calibri"/>
              </w:rPr>
              <w:t>,</w:t>
            </w:r>
            <w:r>
              <w:rPr>
                <w:rFonts w:cs="Calibri"/>
              </w:rPr>
              <w:t>618</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6354E" w:rsidRPr="00D902DA" w:rsidP="00155618" w14:paraId="4D061FED" w14:textId="77777777">
            <w:pPr>
              <w:jc w:val="center"/>
              <w:rPr>
                <w:rFonts w:cs="Calibri"/>
              </w:rPr>
            </w:pPr>
            <w:r w:rsidRPr="00D902DA">
              <w:rPr>
                <w:rFonts w:cs="Calibri"/>
              </w:rPr>
              <w:t>---</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06354E" w:rsidRPr="00D902DA" w:rsidP="00155618" w14:paraId="7F03B5C3" w14:textId="0B7CF0B3">
            <w:pPr>
              <w:jc w:val="right"/>
              <w:rPr>
                <w:rFonts w:cs="Calibri"/>
              </w:rPr>
            </w:pPr>
            <w:r w:rsidRPr="006665B8">
              <w:rPr>
                <w:rFonts w:cs="Calibri"/>
              </w:rPr>
              <w:t>$313</w:t>
            </w:r>
            <w:r>
              <w:rPr>
                <w:rFonts w:cs="Calibri"/>
              </w:rPr>
              <w:t>,</w:t>
            </w:r>
            <w:r w:rsidRPr="006665B8" w:rsidR="00AB077C">
              <w:rPr>
                <w:rFonts w:cs="Calibri"/>
              </w:rPr>
              <w:t>8</w:t>
            </w:r>
            <w:r w:rsidR="00AB077C">
              <w:rPr>
                <w:rFonts w:cs="Calibri"/>
              </w:rPr>
              <w:t>48</w:t>
            </w:r>
          </w:p>
        </w:tc>
      </w:tr>
    </w:tbl>
    <w:p w:rsidR="0006354E" w:rsidP="0006354E" w14:paraId="410616EA" w14:textId="77777777">
      <w:pPr>
        <w:rPr>
          <w:b/>
          <w:bCs/>
          <w:color w:val="000000"/>
        </w:rPr>
      </w:pPr>
      <w:bookmarkStart w:id="58" w:name="_Hlk205991541"/>
    </w:p>
    <w:p w:rsidR="0006354E" w:rsidP="0006354E" w14:paraId="21A9F8A9" w14:textId="42DE324D">
      <w:pPr>
        <w:keepNext/>
        <w:rPr>
          <w:b/>
        </w:rPr>
      </w:pPr>
      <w:r w:rsidRPr="00490E59">
        <w:rPr>
          <w:b/>
          <w:bCs/>
          <w:color w:val="000000"/>
        </w:rPr>
        <w:t>Exhibit 4.</w:t>
      </w:r>
      <w:r>
        <w:rPr>
          <w:b/>
          <w:bCs/>
          <w:color w:val="000000"/>
        </w:rPr>
        <w:t xml:space="preserve"> </w:t>
      </w:r>
      <w:r w:rsidRPr="00490E59">
        <w:rPr>
          <w:b/>
          <w:bCs/>
          <w:color w:val="000000"/>
        </w:rPr>
        <w:t>Estimated Total and Annualized Cost</w:t>
      </w:r>
      <w:r>
        <w:rPr>
          <w:b/>
          <w:bCs/>
          <w:color w:val="000000"/>
        </w:rPr>
        <w:t xml:space="preserve"> for</w:t>
      </w:r>
      <w:r w:rsidR="00007289">
        <w:rPr>
          <w:b/>
          <w:bCs/>
          <w:color w:val="000000"/>
        </w:rPr>
        <w:t xml:space="preserve"> Design and</w:t>
      </w:r>
      <w:r>
        <w:rPr>
          <w:b/>
          <w:bCs/>
          <w:color w:val="000000"/>
        </w:rPr>
        <w:t xml:space="preserve"> Data Collection </w:t>
      </w:r>
    </w:p>
    <w:tbl>
      <w:tblPr>
        <w:tblW w:w="0" w:type="auto"/>
        <w:tblInd w:w="-10" w:type="dxa"/>
        <w:tblCellMar>
          <w:left w:w="0" w:type="dxa"/>
          <w:right w:w="0" w:type="dxa"/>
        </w:tblCellMar>
        <w:tblLook w:val="0000"/>
      </w:tblPr>
      <w:tblGrid>
        <w:gridCol w:w="3870"/>
        <w:gridCol w:w="1536"/>
        <w:gridCol w:w="1416"/>
      </w:tblGrid>
      <w:tr w14:paraId="4EEC39B7" w14:textId="77777777" w:rsidTr="00155618">
        <w:tblPrEx>
          <w:tblW w:w="0" w:type="auto"/>
          <w:tblInd w:w="-10" w:type="dxa"/>
          <w:tblCellMar>
            <w:left w:w="0" w:type="dxa"/>
            <w:right w:w="0" w:type="dxa"/>
          </w:tblCellMar>
          <w:tblLook w:val="0000"/>
        </w:tblPrEx>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6354E" w:rsidRPr="005622E0" w:rsidP="00155618" w14:paraId="10B52338" w14:textId="77777777">
            <w:pPr>
              <w:keepNext/>
              <w:rPr>
                <w:b/>
              </w:rPr>
            </w:pPr>
            <w:r w:rsidRPr="005622E0">
              <w:rPr>
                <w:b/>
                <w:color w:val="000000"/>
              </w:rPr>
              <w:t xml:space="preserve">Cost Component </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6354E" w:rsidRPr="005622E0" w:rsidP="00155618" w14:paraId="1014DB30" w14:textId="77777777">
            <w:pPr>
              <w:keepNext/>
              <w:jc w:val="center"/>
              <w:rPr>
                <w:b/>
              </w:rPr>
            </w:pPr>
            <w:r w:rsidRPr="005622E0">
              <w:rPr>
                <w:b/>
              </w:rPr>
              <w:t>Total Cost</w:t>
            </w:r>
          </w:p>
        </w:tc>
        <w:tc>
          <w:tcPr>
            <w:tcW w:w="1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6354E" w:rsidRPr="005622E0" w:rsidP="00155618" w14:paraId="0B296AA0" w14:textId="77777777">
            <w:pPr>
              <w:keepNext/>
              <w:jc w:val="center"/>
              <w:rPr>
                <w:b/>
              </w:rPr>
            </w:pPr>
            <w:r w:rsidRPr="005622E0">
              <w:rPr>
                <w:b/>
              </w:rPr>
              <w:t>Annualized Cost</w:t>
            </w:r>
          </w:p>
        </w:tc>
      </w:tr>
      <w:tr w14:paraId="455FB43D" w14:textId="77777777" w:rsidTr="00155618">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354E" w:rsidRPr="005622E0" w:rsidP="00155618" w14:paraId="576F0728" w14:textId="77777777">
            <w:pPr>
              <w:keepNext/>
            </w:pPr>
            <w:r w:rsidRPr="005622E0">
              <w:t>Sampling Activities</w:t>
            </w:r>
          </w:p>
        </w:tc>
        <w:tc>
          <w:tcPr>
            <w:tcW w:w="1536" w:type="dxa"/>
            <w:tcBorders>
              <w:top w:val="nil"/>
              <w:left w:val="nil"/>
              <w:bottom w:val="single" w:sz="8" w:space="0" w:color="auto"/>
              <w:right w:val="single" w:sz="8" w:space="0" w:color="auto"/>
            </w:tcBorders>
            <w:tcMar>
              <w:top w:w="0" w:type="dxa"/>
              <w:left w:w="108" w:type="dxa"/>
              <w:bottom w:w="0" w:type="dxa"/>
              <w:right w:w="108" w:type="dxa"/>
            </w:tcMar>
          </w:tcPr>
          <w:p w:rsidR="0006354E" w:rsidRPr="005622E0" w:rsidP="00155618" w14:paraId="59727607" w14:textId="77777777">
            <w:pPr>
              <w:keepNext/>
              <w:jc w:val="right"/>
            </w:pPr>
            <w:r w:rsidRPr="00853237">
              <w:t>$</w:t>
            </w:r>
            <w:r>
              <w:t>3,819</w:t>
            </w:r>
            <w:r w:rsidRPr="00853237">
              <w:t xml:space="preserve">,729 </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06354E" w:rsidRPr="005622E0" w:rsidP="00155618" w14:paraId="1726C4FC" w14:textId="77777777">
            <w:pPr>
              <w:keepNext/>
              <w:jc w:val="right"/>
            </w:pPr>
            <w:r w:rsidRPr="00853237">
              <w:t>$</w:t>
            </w:r>
            <w:r>
              <w:t>1,</w:t>
            </w:r>
            <w:r w:rsidRPr="00853237">
              <w:t>2</w:t>
            </w:r>
            <w:r>
              <w:t>7</w:t>
            </w:r>
            <w:r w:rsidRPr="00853237">
              <w:t xml:space="preserve">3,243 </w:t>
            </w:r>
          </w:p>
        </w:tc>
      </w:tr>
      <w:tr w14:paraId="6445D2FB" w14:textId="77777777" w:rsidTr="00155618">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354E" w:rsidRPr="005622E0" w:rsidP="00155618" w14:paraId="039266F3" w14:textId="77777777">
            <w:pPr>
              <w:keepNext/>
            </w:pPr>
            <w:r w:rsidRPr="003952B0">
              <w:t>Instrumentation and Sample Management System</w:t>
            </w:r>
          </w:p>
        </w:tc>
        <w:tc>
          <w:tcPr>
            <w:tcW w:w="1536" w:type="dxa"/>
            <w:tcBorders>
              <w:top w:val="nil"/>
              <w:left w:val="nil"/>
              <w:bottom w:val="single" w:sz="8" w:space="0" w:color="auto"/>
              <w:right w:val="single" w:sz="8" w:space="0" w:color="auto"/>
            </w:tcBorders>
            <w:tcMar>
              <w:top w:w="0" w:type="dxa"/>
              <w:left w:w="108" w:type="dxa"/>
              <w:bottom w:w="0" w:type="dxa"/>
              <w:right w:w="108" w:type="dxa"/>
            </w:tcMar>
          </w:tcPr>
          <w:p w:rsidR="0006354E" w:rsidP="00155618" w14:paraId="22842323" w14:textId="77777777">
            <w:pPr>
              <w:keepNext/>
              <w:jc w:val="right"/>
            </w:pPr>
            <w:r w:rsidRPr="00853237">
              <w:t xml:space="preserve">$13,286,430 </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06354E" w:rsidRPr="005622E0" w:rsidP="00155618" w14:paraId="4244CBA8" w14:textId="77777777">
            <w:pPr>
              <w:keepNext/>
              <w:jc w:val="right"/>
            </w:pPr>
            <w:r w:rsidRPr="00853237">
              <w:t xml:space="preserve">$4,428,810 </w:t>
            </w:r>
          </w:p>
        </w:tc>
      </w:tr>
      <w:tr w14:paraId="2B3ACC68" w14:textId="77777777" w:rsidTr="00155618">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354E" w:rsidRPr="005622E0" w:rsidP="00155618" w14:paraId="65BBD70D" w14:textId="77777777">
            <w:pPr>
              <w:keepNext/>
            </w:pPr>
            <w:r w:rsidRPr="005622E0">
              <w:t>Interviewer Recruitment and Training</w:t>
            </w:r>
          </w:p>
        </w:tc>
        <w:tc>
          <w:tcPr>
            <w:tcW w:w="1536" w:type="dxa"/>
            <w:tcBorders>
              <w:top w:val="nil"/>
              <w:left w:val="nil"/>
              <w:bottom w:val="single" w:sz="8" w:space="0" w:color="auto"/>
              <w:right w:val="single" w:sz="8" w:space="0" w:color="auto"/>
            </w:tcBorders>
            <w:tcMar>
              <w:top w:w="0" w:type="dxa"/>
              <w:left w:w="108" w:type="dxa"/>
              <w:bottom w:w="0" w:type="dxa"/>
              <w:right w:w="108" w:type="dxa"/>
            </w:tcMar>
          </w:tcPr>
          <w:p w:rsidR="0006354E" w:rsidRPr="005622E0" w:rsidP="00155618" w14:paraId="7235EED4" w14:textId="77777777">
            <w:pPr>
              <w:keepNext/>
              <w:jc w:val="right"/>
            </w:pPr>
            <w:r w:rsidRPr="00853237">
              <w:t xml:space="preserve">$12,679,518 </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06354E" w:rsidRPr="005622E0" w:rsidP="00155618" w14:paraId="1A182471" w14:textId="77777777">
            <w:pPr>
              <w:keepNext/>
              <w:jc w:val="right"/>
            </w:pPr>
            <w:r w:rsidRPr="00853237">
              <w:t xml:space="preserve">$4,226,506 </w:t>
            </w:r>
          </w:p>
        </w:tc>
      </w:tr>
      <w:tr w14:paraId="56894BA9" w14:textId="77777777" w:rsidTr="00155618">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354E" w:rsidRPr="005622E0" w:rsidP="00155618" w14:paraId="09C084F5" w14:textId="77777777">
            <w:pPr>
              <w:keepNext/>
            </w:pPr>
            <w:r w:rsidRPr="005622E0">
              <w:t>Data Collection Activities</w:t>
            </w:r>
          </w:p>
        </w:tc>
        <w:tc>
          <w:tcPr>
            <w:tcW w:w="1536" w:type="dxa"/>
            <w:tcBorders>
              <w:top w:val="nil"/>
              <w:left w:val="nil"/>
              <w:bottom w:val="single" w:sz="8" w:space="0" w:color="auto"/>
              <w:right w:val="single" w:sz="8" w:space="0" w:color="auto"/>
            </w:tcBorders>
            <w:tcMar>
              <w:top w:w="0" w:type="dxa"/>
              <w:left w:w="108" w:type="dxa"/>
              <w:bottom w:w="0" w:type="dxa"/>
              <w:right w:w="108" w:type="dxa"/>
            </w:tcMar>
          </w:tcPr>
          <w:p w:rsidR="0006354E" w:rsidRPr="005622E0" w:rsidP="00155618" w14:paraId="39B94FF2" w14:textId="77777777">
            <w:pPr>
              <w:keepNext/>
              <w:jc w:val="right"/>
            </w:pPr>
            <w:r w:rsidRPr="00853237">
              <w:t xml:space="preserve">$95,614,227 </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06354E" w:rsidRPr="005622E0" w:rsidP="00155618" w14:paraId="153CBF73" w14:textId="77777777">
            <w:pPr>
              <w:keepNext/>
              <w:jc w:val="right"/>
            </w:pPr>
            <w:r w:rsidRPr="00853237">
              <w:t xml:space="preserve">$31,871,409 </w:t>
            </w:r>
          </w:p>
        </w:tc>
      </w:tr>
      <w:tr w14:paraId="3FE1742A" w14:textId="77777777" w:rsidTr="00155618">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354E" w:rsidRPr="005622E0" w:rsidP="00155618" w14:paraId="6C2864AA" w14:textId="77777777">
            <w:pPr>
              <w:keepNext/>
            </w:pPr>
            <w:r w:rsidRPr="005622E0">
              <w:t>Data Processing</w:t>
            </w:r>
          </w:p>
        </w:tc>
        <w:tc>
          <w:tcPr>
            <w:tcW w:w="1536" w:type="dxa"/>
            <w:tcBorders>
              <w:top w:val="nil"/>
              <w:left w:val="nil"/>
              <w:bottom w:val="single" w:sz="8" w:space="0" w:color="auto"/>
              <w:right w:val="single" w:sz="8" w:space="0" w:color="auto"/>
            </w:tcBorders>
            <w:tcMar>
              <w:top w:w="0" w:type="dxa"/>
              <w:left w:w="108" w:type="dxa"/>
              <w:bottom w:w="0" w:type="dxa"/>
              <w:right w:w="108" w:type="dxa"/>
            </w:tcMar>
          </w:tcPr>
          <w:p w:rsidR="0006354E" w:rsidRPr="005622E0" w:rsidP="00155618" w14:paraId="64AAB887" w14:textId="77777777">
            <w:pPr>
              <w:keepNext/>
              <w:jc w:val="right"/>
            </w:pPr>
            <w:r w:rsidRPr="00853237">
              <w:t xml:space="preserve">$25,619,760 </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06354E" w:rsidRPr="005622E0" w:rsidP="00155618" w14:paraId="04760D1B" w14:textId="77777777">
            <w:pPr>
              <w:keepNext/>
              <w:jc w:val="right"/>
            </w:pPr>
            <w:r w:rsidRPr="00853237">
              <w:t xml:space="preserve">$8,539,920 </w:t>
            </w:r>
          </w:p>
        </w:tc>
      </w:tr>
      <w:tr w14:paraId="17DE9C14" w14:textId="77777777" w:rsidTr="00155618">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354E" w:rsidRPr="005622E0" w:rsidP="00155618" w14:paraId="4732414E" w14:textId="77777777">
            <w:pPr>
              <w:keepNext/>
            </w:pPr>
            <w:r w:rsidRPr="005622E0">
              <w:t>Production of Public Use Data Files</w:t>
            </w:r>
          </w:p>
        </w:tc>
        <w:tc>
          <w:tcPr>
            <w:tcW w:w="1536" w:type="dxa"/>
            <w:tcBorders>
              <w:top w:val="nil"/>
              <w:left w:val="nil"/>
              <w:bottom w:val="single" w:sz="8" w:space="0" w:color="auto"/>
              <w:right w:val="single" w:sz="8" w:space="0" w:color="auto"/>
            </w:tcBorders>
            <w:tcMar>
              <w:top w:w="0" w:type="dxa"/>
              <w:left w:w="108" w:type="dxa"/>
              <w:bottom w:w="0" w:type="dxa"/>
              <w:right w:w="108" w:type="dxa"/>
            </w:tcMar>
          </w:tcPr>
          <w:p w:rsidR="0006354E" w:rsidRPr="005622E0" w:rsidP="00155618" w14:paraId="6E002334" w14:textId="77777777">
            <w:pPr>
              <w:keepNext/>
              <w:jc w:val="right"/>
            </w:pPr>
            <w:r w:rsidRPr="00853237">
              <w:t xml:space="preserve">$23,495,043 </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06354E" w:rsidRPr="005622E0" w:rsidP="00155618" w14:paraId="165361E0" w14:textId="77777777">
            <w:pPr>
              <w:keepNext/>
              <w:jc w:val="right"/>
            </w:pPr>
            <w:r w:rsidRPr="00853237">
              <w:t xml:space="preserve">$7,831,681 </w:t>
            </w:r>
          </w:p>
        </w:tc>
      </w:tr>
      <w:tr w14:paraId="4B617AD3" w14:textId="77777777" w:rsidTr="00155618">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6354E" w:rsidRPr="005622E0" w:rsidP="00155618" w14:paraId="52166C9A" w14:textId="77777777">
            <w:pPr>
              <w:keepNext/>
            </w:pPr>
            <w:r w:rsidRPr="005622E0">
              <w:t>Project Management</w:t>
            </w:r>
          </w:p>
        </w:tc>
        <w:tc>
          <w:tcPr>
            <w:tcW w:w="1536" w:type="dxa"/>
            <w:tcBorders>
              <w:top w:val="nil"/>
              <w:left w:val="nil"/>
              <w:bottom w:val="single" w:sz="8" w:space="0" w:color="auto"/>
              <w:right w:val="single" w:sz="8" w:space="0" w:color="auto"/>
            </w:tcBorders>
            <w:tcMar>
              <w:top w:w="0" w:type="dxa"/>
              <w:left w:w="108" w:type="dxa"/>
              <w:bottom w:w="0" w:type="dxa"/>
              <w:right w:w="108" w:type="dxa"/>
            </w:tcMar>
          </w:tcPr>
          <w:p w:rsidR="0006354E" w:rsidRPr="005622E0" w:rsidP="00155618" w14:paraId="415138C5" w14:textId="77777777">
            <w:pPr>
              <w:keepNext/>
              <w:jc w:val="right"/>
            </w:pPr>
            <w:r w:rsidRPr="00853237">
              <w:t xml:space="preserve">$9,078,402 </w:t>
            </w:r>
          </w:p>
        </w:tc>
        <w:tc>
          <w:tcPr>
            <w:tcW w:w="1416" w:type="dxa"/>
            <w:tcBorders>
              <w:top w:val="nil"/>
              <w:left w:val="nil"/>
              <w:bottom w:val="single" w:sz="8" w:space="0" w:color="auto"/>
              <w:right w:val="single" w:sz="8" w:space="0" w:color="auto"/>
            </w:tcBorders>
            <w:tcMar>
              <w:top w:w="0" w:type="dxa"/>
              <w:left w:w="108" w:type="dxa"/>
              <w:bottom w:w="0" w:type="dxa"/>
              <w:right w:w="108" w:type="dxa"/>
            </w:tcMar>
          </w:tcPr>
          <w:p w:rsidR="0006354E" w:rsidRPr="005622E0" w:rsidP="00155618" w14:paraId="63FBBBD3" w14:textId="77777777">
            <w:pPr>
              <w:keepNext/>
              <w:jc w:val="right"/>
            </w:pPr>
            <w:r w:rsidRPr="00853237">
              <w:t xml:space="preserve">$3,026,134 </w:t>
            </w:r>
          </w:p>
        </w:tc>
      </w:tr>
      <w:tr w14:paraId="08596BA4" w14:textId="77777777" w:rsidTr="00155618">
        <w:tblPrEx>
          <w:tblW w:w="0" w:type="auto"/>
          <w:tblInd w:w="-10" w:type="dxa"/>
          <w:tblCellMar>
            <w:left w:w="0" w:type="dxa"/>
            <w:right w:w="0" w:type="dxa"/>
          </w:tblCellMar>
          <w:tblLook w:val="0000"/>
        </w:tblPrEx>
        <w:tc>
          <w:tcPr>
            <w:tcW w:w="38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06354E" w:rsidRPr="005622E0" w:rsidP="00155618" w14:paraId="75B1BD14" w14:textId="77777777">
            <w:r w:rsidRPr="005622E0">
              <w:rPr>
                <w:b/>
                <w:bCs/>
                <w:color w:val="000000"/>
              </w:rPr>
              <w:t>Total</w:t>
            </w:r>
          </w:p>
        </w:tc>
        <w:tc>
          <w:tcPr>
            <w:tcW w:w="153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06354E" w:rsidRPr="005622E0" w:rsidP="00155618" w14:paraId="3EAF8C98" w14:textId="77777777">
            <w:pPr>
              <w:jc w:val="right"/>
            </w:pPr>
            <w:r w:rsidRPr="00853237">
              <w:t>$18</w:t>
            </w:r>
            <w:r>
              <w:t>3</w:t>
            </w:r>
            <w:r w:rsidRPr="00853237">
              <w:t>,</w:t>
            </w:r>
            <w:r>
              <w:t>59</w:t>
            </w:r>
            <w:r w:rsidRPr="00853237">
              <w:t>3,109</w:t>
            </w:r>
          </w:p>
        </w:tc>
        <w:tc>
          <w:tcPr>
            <w:tcW w:w="141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06354E" w:rsidRPr="005622E0" w:rsidP="00155618" w14:paraId="6FB18572" w14:textId="77777777">
            <w:pPr>
              <w:jc w:val="right"/>
            </w:pPr>
            <w:r w:rsidRPr="00853237">
              <w:t>$6</w:t>
            </w:r>
            <w:r>
              <w:t>1</w:t>
            </w:r>
            <w:r w:rsidRPr="00853237">
              <w:t>,1</w:t>
            </w:r>
            <w:r>
              <w:t>9</w:t>
            </w:r>
            <w:r w:rsidRPr="00853237">
              <w:t>7,703</w:t>
            </w:r>
          </w:p>
        </w:tc>
      </w:tr>
      <w:bookmarkEnd w:id="58"/>
    </w:tbl>
    <w:p w:rsidR="0006354E" w:rsidP="0006354E" w14:paraId="6983248E" w14:textId="77777777">
      <w:pPr>
        <w:rPr>
          <w:b/>
        </w:rPr>
      </w:pPr>
    </w:p>
    <w:p w:rsidR="00D20C47" w:rsidRPr="00DA79B5" w:rsidP="00D20C47" w14:paraId="1F0C59E6" w14:textId="210AFD59">
      <w:pPr>
        <w:ind w:firstLine="90"/>
        <w:rPr>
          <w:b/>
        </w:rPr>
      </w:pPr>
      <w:r w:rsidRPr="00DA79B5">
        <w:rPr>
          <w:b/>
        </w:rPr>
        <w:t xml:space="preserve">Exhibit </w:t>
      </w:r>
      <w:r w:rsidR="00B9788A">
        <w:rPr>
          <w:b/>
        </w:rPr>
        <w:t>5</w:t>
      </w:r>
      <w:r w:rsidR="00224249">
        <w:rPr>
          <w:b/>
        </w:rPr>
        <w:t xml:space="preserve">. </w:t>
      </w:r>
      <w:r w:rsidR="009F3AD5">
        <w:rPr>
          <w:b/>
        </w:rPr>
        <w:t xml:space="preserve">Annualized Cost to </w:t>
      </w:r>
      <w:r w:rsidR="00583906">
        <w:rPr>
          <w:b/>
        </w:rPr>
        <w:t>AHRQ for MEPS-HC and MPC oversight</w:t>
      </w:r>
    </w:p>
    <w:tbl>
      <w:tblPr>
        <w:tblW w:w="42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61"/>
        <w:gridCol w:w="1256"/>
        <w:gridCol w:w="1394"/>
        <w:gridCol w:w="1307"/>
        <w:gridCol w:w="2223"/>
      </w:tblGrid>
      <w:tr w14:paraId="59D6B233" w14:textId="77777777" w:rsidTr="00583906">
        <w:tblPrEx>
          <w:tblW w:w="42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38" w:type="pct"/>
          </w:tcPr>
          <w:p w:rsidR="009F3AD5" w:rsidP="000C41AB" w14:paraId="37E18ED4" w14:textId="77777777">
            <w:r w:rsidRPr="001F708A">
              <w:rPr>
                <w:b/>
              </w:rPr>
              <w:t>AHRQ Position</w:t>
            </w:r>
          </w:p>
        </w:tc>
        <w:tc>
          <w:tcPr>
            <w:tcW w:w="847" w:type="pct"/>
          </w:tcPr>
          <w:p w:rsidR="009F3AD5" w:rsidRPr="00E83207" w:rsidP="000C41AB" w14:paraId="63313B09" w14:textId="6015D94C">
            <w:pPr>
              <w:rPr>
                <w:b/>
                <w:bCs/>
              </w:rPr>
            </w:pPr>
            <w:r w:rsidRPr="00E83207">
              <w:rPr>
                <w:b/>
                <w:bCs/>
              </w:rPr>
              <w:t>Estimated Hours</w:t>
            </w:r>
          </w:p>
        </w:tc>
        <w:tc>
          <w:tcPr>
            <w:tcW w:w="968" w:type="pct"/>
          </w:tcPr>
          <w:p w:rsidR="009F3AD5" w:rsidRPr="001F708A" w:rsidP="000C41AB" w14:paraId="72B2AC85" w14:textId="77777777">
            <w:pPr>
              <w:rPr>
                <w:b/>
              </w:rPr>
            </w:pPr>
            <w:r>
              <w:rPr>
                <w:b/>
              </w:rPr>
              <w:t>Hourly Rate</w:t>
            </w:r>
          </w:p>
        </w:tc>
        <w:tc>
          <w:tcPr>
            <w:tcW w:w="907" w:type="pct"/>
            <w:vAlign w:val="center"/>
          </w:tcPr>
          <w:p w:rsidR="009F3AD5" w:rsidRPr="001F708A" w:rsidP="00E84CE9" w14:paraId="4B916BDE" w14:textId="77777777">
            <w:pPr>
              <w:jc w:val="center"/>
              <w:rPr>
                <w:b/>
              </w:rPr>
            </w:pPr>
            <w:r>
              <w:rPr>
                <w:b/>
              </w:rPr>
              <w:t>Adjusted Hourly Rate</w:t>
            </w:r>
          </w:p>
        </w:tc>
        <w:tc>
          <w:tcPr>
            <w:tcW w:w="1540" w:type="pct"/>
          </w:tcPr>
          <w:p w:rsidR="009F3AD5" w:rsidP="000C41AB" w14:paraId="24E3FFBD" w14:textId="77777777">
            <w:r w:rsidRPr="001F708A">
              <w:rPr>
                <w:b/>
              </w:rPr>
              <w:t>Annualized Cos</w:t>
            </w:r>
            <w:r>
              <w:rPr>
                <w:b/>
              </w:rPr>
              <w:t>t</w:t>
            </w:r>
          </w:p>
        </w:tc>
      </w:tr>
      <w:tr w14:paraId="4B33CF6D" w14:textId="77777777" w:rsidTr="00583906">
        <w:tblPrEx>
          <w:tblW w:w="4200" w:type="pct"/>
          <w:tblLook w:val="04A0"/>
        </w:tblPrEx>
        <w:tc>
          <w:tcPr>
            <w:tcW w:w="738" w:type="pct"/>
          </w:tcPr>
          <w:p w:rsidR="00583906" w:rsidP="00583906" w14:paraId="1C7F45BE" w14:textId="77777777">
            <w:r>
              <w:t>GS15/5</w:t>
            </w:r>
          </w:p>
        </w:tc>
        <w:tc>
          <w:tcPr>
            <w:tcW w:w="847" w:type="pct"/>
            <w:vAlign w:val="center"/>
          </w:tcPr>
          <w:p w:rsidR="00583906" w:rsidP="00583906" w14:paraId="59A33D20" w14:textId="2AB80F49">
            <w:pPr>
              <w:jc w:val="right"/>
            </w:pPr>
            <w:r>
              <w:rPr>
                <w:color w:val="000000"/>
              </w:rPr>
              <w:t>3,384</w:t>
            </w:r>
          </w:p>
        </w:tc>
        <w:tc>
          <w:tcPr>
            <w:tcW w:w="968" w:type="pct"/>
            <w:vAlign w:val="center"/>
          </w:tcPr>
          <w:p w:rsidR="00583906" w:rsidP="00583906" w14:paraId="666CC9D1" w14:textId="382BBCB5">
            <w:pPr>
              <w:jc w:val="center"/>
            </w:pPr>
            <w:r>
              <w:rPr>
                <w:color w:val="000000"/>
              </w:rPr>
              <w:t>$91.32</w:t>
            </w:r>
          </w:p>
        </w:tc>
        <w:tc>
          <w:tcPr>
            <w:tcW w:w="907" w:type="pct"/>
            <w:vAlign w:val="center"/>
          </w:tcPr>
          <w:p w:rsidR="00583906" w:rsidP="00583906" w14:paraId="768744EB" w14:textId="0DCAA087">
            <w:pPr>
              <w:jc w:val="center"/>
            </w:pPr>
            <w:r>
              <w:rPr>
                <w:color w:val="000000"/>
              </w:rPr>
              <w:t>$182.64</w:t>
            </w:r>
          </w:p>
        </w:tc>
        <w:tc>
          <w:tcPr>
            <w:tcW w:w="1540" w:type="pct"/>
            <w:vAlign w:val="center"/>
          </w:tcPr>
          <w:p w:rsidR="00583906" w:rsidP="00583906" w14:paraId="3E6BDE16" w14:textId="771D1AD1">
            <w:pPr>
              <w:jc w:val="right"/>
            </w:pPr>
            <w:r>
              <w:rPr>
                <w:color w:val="000000"/>
              </w:rPr>
              <w:t xml:space="preserve"> $ 618,0</w:t>
            </w:r>
            <w:r w:rsidR="00DC0DC1">
              <w:rPr>
                <w:color w:val="000000"/>
              </w:rPr>
              <w:t>54</w:t>
            </w:r>
            <w:r>
              <w:rPr>
                <w:color w:val="000000"/>
              </w:rPr>
              <w:t xml:space="preserve"> </w:t>
            </w:r>
          </w:p>
        </w:tc>
      </w:tr>
      <w:tr w14:paraId="4F0C079C" w14:textId="77777777" w:rsidTr="00583906">
        <w:tblPrEx>
          <w:tblW w:w="4200" w:type="pct"/>
          <w:tblLook w:val="04A0"/>
        </w:tblPrEx>
        <w:trPr>
          <w:trHeight w:val="286"/>
        </w:trPr>
        <w:tc>
          <w:tcPr>
            <w:tcW w:w="738" w:type="pct"/>
          </w:tcPr>
          <w:p w:rsidR="00583906" w:rsidP="00583906" w14:paraId="1DA975D8" w14:textId="77777777">
            <w:r>
              <w:t>GS14/5</w:t>
            </w:r>
          </w:p>
        </w:tc>
        <w:tc>
          <w:tcPr>
            <w:tcW w:w="847" w:type="pct"/>
            <w:vAlign w:val="center"/>
          </w:tcPr>
          <w:p w:rsidR="00583906" w:rsidP="00583906" w14:paraId="091AB2DE" w14:textId="722F24C8">
            <w:pPr>
              <w:jc w:val="right"/>
            </w:pPr>
            <w:r>
              <w:rPr>
                <w:color w:val="000000"/>
              </w:rPr>
              <w:t>5,020</w:t>
            </w:r>
          </w:p>
        </w:tc>
        <w:tc>
          <w:tcPr>
            <w:tcW w:w="968" w:type="pct"/>
            <w:vAlign w:val="center"/>
          </w:tcPr>
          <w:p w:rsidR="00583906" w:rsidRPr="00914816" w:rsidP="00583906" w14:paraId="604CA87E" w14:textId="24698F97">
            <w:pPr>
              <w:jc w:val="center"/>
            </w:pPr>
            <w:r>
              <w:rPr>
                <w:color w:val="000000"/>
              </w:rPr>
              <w:t>$77.64</w:t>
            </w:r>
          </w:p>
        </w:tc>
        <w:tc>
          <w:tcPr>
            <w:tcW w:w="907" w:type="pct"/>
            <w:vAlign w:val="center"/>
          </w:tcPr>
          <w:p w:rsidR="00583906" w:rsidRPr="00914816" w:rsidP="00583906" w14:paraId="77E8CC4D" w14:textId="6C4FC450">
            <w:pPr>
              <w:jc w:val="center"/>
            </w:pPr>
            <w:r>
              <w:rPr>
                <w:color w:val="000000"/>
              </w:rPr>
              <w:t>$155.28</w:t>
            </w:r>
          </w:p>
        </w:tc>
        <w:tc>
          <w:tcPr>
            <w:tcW w:w="1540" w:type="pct"/>
            <w:vAlign w:val="center"/>
          </w:tcPr>
          <w:p w:rsidR="00583906" w:rsidRPr="00914816" w:rsidP="00583906" w14:paraId="38F2A0B5" w14:textId="518882AE">
            <w:pPr>
              <w:jc w:val="right"/>
            </w:pPr>
            <w:r>
              <w:rPr>
                <w:color w:val="000000"/>
              </w:rPr>
              <w:t xml:space="preserve"> $779,</w:t>
            </w:r>
            <w:r w:rsidR="00857D63">
              <w:rPr>
                <w:color w:val="000000"/>
              </w:rPr>
              <w:t xml:space="preserve">506 </w:t>
            </w:r>
          </w:p>
        </w:tc>
      </w:tr>
      <w:tr w14:paraId="4153C2E4" w14:textId="77777777" w:rsidTr="00583906">
        <w:tblPrEx>
          <w:tblW w:w="4200" w:type="pct"/>
          <w:tblLook w:val="04A0"/>
        </w:tblPrEx>
        <w:tc>
          <w:tcPr>
            <w:tcW w:w="738" w:type="pct"/>
          </w:tcPr>
          <w:p w:rsidR="00583906" w:rsidP="00583906" w14:paraId="1B8CCCEE" w14:textId="77777777">
            <w:r>
              <w:t>GS13/5</w:t>
            </w:r>
          </w:p>
        </w:tc>
        <w:tc>
          <w:tcPr>
            <w:tcW w:w="847" w:type="pct"/>
            <w:vAlign w:val="center"/>
          </w:tcPr>
          <w:p w:rsidR="00583906" w:rsidP="00583906" w14:paraId="039E9776" w14:textId="15A2EE84">
            <w:pPr>
              <w:jc w:val="right"/>
            </w:pPr>
            <w:r>
              <w:rPr>
                <w:color w:val="000000"/>
              </w:rPr>
              <w:t>7,520</w:t>
            </w:r>
          </w:p>
        </w:tc>
        <w:tc>
          <w:tcPr>
            <w:tcW w:w="968" w:type="pct"/>
            <w:vAlign w:val="center"/>
          </w:tcPr>
          <w:p w:rsidR="00583906" w:rsidP="00583906" w14:paraId="76254AE7" w14:textId="4E18C40C">
            <w:pPr>
              <w:jc w:val="center"/>
            </w:pPr>
            <w:r>
              <w:rPr>
                <w:color w:val="000000"/>
              </w:rPr>
              <w:t>$65.70</w:t>
            </w:r>
          </w:p>
        </w:tc>
        <w:tc>
          <w:tcPr>
            <w:tcW w:w="907" w:type="pct"/>
            <w:vAlign w:val="center"/>
          </w:tcPr>
          <w:p w:rsidR="00583906" w:rsidP="00583906" w14:paraId="0FB7733C" w14:textId="74F0E883">
            <w:pPr>
              <w:jc w:val="center"/>
            </w:pPr>
            <w:r>
              <w:rPr>
                <w:color w:val="000000"/>
              </w:rPr>
              <w:t>$131.40</w:t>
            </w:r>
          </w:p>
        </w:tc>
        <w:tc>
          <w:tcPr>
            <w:tcW w:w="1540" w:type="pct"/>
            <w:vAlign w:val="center"/>
          </w:tcPr>
          <w:p w:rsidR="00583906" w:rsidP="00583906" w14:paraId="0BCC8D42" w14:textId="75DBF94C">
            <w:pPr>
              <w:jc w:val="right"/>
            </w:pPr>
            <w:r>
              <w:rPr>
                <w:color w:val="000000"/>
              </w:rPr>
              <w:t xml:space="preserve"> $988,</w:t>
            </w:r>
            <w:r w:rsidR="0087061E">
              <w:rPr>
                <w:color w:val="000000"/>
              </w:rPr>
              <w:t xml:space="preserve">128 </w:t>
            </w:r>
          </w:p>
        </w:tc>
      </w:tr>
      <w:tr w14:paraId="5CF8DE9E" w14:textId="77777777" w:rsidTr="00583906">
        <w:tblPrEx>
          <w:tblW w:w="4200" w:type="pct"/>
          <w:tblLook w:val="04A0"/>
        </w:tblPrEx>
        <w:tc>
          <w:tcPr>
            <w:tcW w:w="738" w:type="pct"/>
          </w:tcPr>
          <w:p w:rsidR="00583906" w:rsidP="00583906" w14:paraId="45687B38" w14:textId="77777777">
            <w:r>
              <w:t>Total</w:t>
            </w:r>
          </w:p>
        </w:tc>
        <w:tc>
          <w:tcPr>
            <w:tcW w:w="847" w:type="pct"/>
            <w:vAlign w:val="center"/>
          </w:tcPr>
          <w:p w:rsidR="00583906" w:rsidP="00583906" w14:paraId="544BFDBE" w14:textId="26A4FA1F">
            <w:pPr>
              <w:jc w:val="right"/>
            </w:pPr>
            <w:r>
              <w:rPr>
                <w:color w:val="000000"/>
              </w:rPr>
              <w:t>15,924</w:t>
            </w:r>
          </w:p>
        </w:tc>
        <w:tc>
          <w:tcPr>
            <w:tcW w:w="968" w:type="pct"/>
            <w:vAlign w:val="center"/>
          </w:tcPr>
          <w:p w:rsidR="00583906" w:rsidP="00583906" w14:paraId="0252392B" w14:textId="5914DD21">
            <w:pPr>
              <w:jc w:val="center"/>
            </w:pPr>
          </w:p>
        </w:tc>
        <w:tc>
          <w:tcPr>
            <w:tcW w:w="907" w:type="pct"/>
            <w:vAlign w:val="center"/>
          </w:tcPr>
          <w:p w:rsidR="00583906" w:rsidP="00583906" w14:paraId="2767E39D" w14:textId="1074186D">
            <w:pPr>
              <w:jc w:val="center"/>
            </w:pPr>
          </w:p>
        </w:tc>
        <w:tc>
          <w:tcPr>
            <w:tcW w:w="1540" w:type="pct"/>
            <w:vAlign w:val="center"/>
          </w:tcPr>
          <w:p w:rsidR="00583906" w:rsidP="00583906" w14:paraId="5793D255" w14:textId="2C037B6E">
            <w:pPr>
              <w:jc w:val="right"/>
            </w:pPr>
            <w:r>
              <w:rPr>
                <w:color w:val="000000"/>
              </w:rPr>
              <w:t xml:space="preserve"> $2,385,</w:t>
            </w:r>
            <w:r w:rsidR="00407D30">
              <w:rPr>
                <w:color w:val="000000"/>
              </w:rPr>
              <w:t xml:space="preserve">688 </w:t>
            </w:r>
          </w:p>
        </w:tc>
      </w:tr>
    </w:tbl>
    <w:p w:rsidR="00012FB9" w:rsidP="002E4EDD" w14:paraId="52814823" w14:textId="77777777">
      <w:pPr>
        <w:rPr>
          <w:rStyle w:val="Hyperlink"/>
          <w:rFonts w:ascii="Calibri" w:hAnsi="Calibri"/>
          <w:sz w:val="22"/>
          <w:szCs w:val="22"/>
        </w:rPr>
      </w:pPr>
      <w:r>
        <w:rPr>
          <w:rFonts w:ascii="Calibri" w:hAnsi="Calibri"/>
          <w:color w:val="000000"/>
          <w:sz w:val="20"/>
          <w:szCs w:val="22"/>
        </w:rPr>
        <w:t>Annual salaries based on 20</w:t>
      </w:r>
      <w:r w:rsidR="00406816">
        <w:rPr>
          <w:rFonts w:ascii="Calibri" w:hAnsi="Calibri"/>
          <w:color w:val="000000"/>
          <w:sz w:val="20"/>
          <w:szCs w:val="22"/>
        </w:rPr>
        <w:t>2</w:t>
      </w:r>
      <w:r>
        <w:rPr>
          <w:rFonts w:ascii="Calibri" w:hAnsi="Calibri"/>
          <w:color w:val="000000"/>
          <w:sz w:val="20"/>
          <w:szCs w:val="22"/>
        </w:rPr>
        <w:t>5</w:t>
      </w:r>
      <w:r w:rsidRPr="000C6156">
        <w:rPr>
          <w:rFonts w:ascii="Calibri" w:hAnsi="Calibri"/>
          <w:color w:val="000000"/>
          <w:sz w:val="20"/>
          <w:szCs w:val="22"/>
        </w:rPr>
        <w:t xml:space="preserve"> OPM Pay Schedule for Washington/DC area:</w:t>
      </w:r>
      <w:r w:rsidRPr="000C6156">
        <w:rPr>
          <w:rFonts w:ascii="Calibri" w:hAnsi="Calibri"/>
          <w:sz w:val="22"/>
          <w:szCs w:val="22"/>
        </w:rPr>
        <w:t xml:space="preserve"> </w:t>
      </w:r>
      <w:hyperlink r:id="rId9" w:history="1">
        <w:r w:rsidRPr="00406816" w:rsidR="00406816">
          <w:rPr>
            <w:rStyle w:val="Hyperlink"/>
            <w:rFonts w:ascii="Calibri" w:hAnsi="Calibri"/>
            <w:sz w:val="22"/>
            <w:szCs w:val="22"/>
          </w:rPr>
          <w:t>http://www.opm.gov/policy-data-oversight/pay-leave/salaries-wages/salary-tables/pdf/2025/DCB.pdf</w:t>
        </w:r>
      </w:hyperlink>
    </w:p>
    <w:p w:rsidR="00FD4CF5" w:rsidRPr="00FD4CF5" w:rsidP="002E4EDD" w14:paraId="53AB5D14" w14:textId="3999CC64">
      <w:pPr>
        <w:rPr>
          <w:rFonts w:ascii="Calibri" w:hAnsi="Calibri"/>
          <w:sz w:val="22"/>
          <w:szCs w:val="22"/>
        </w:rPr>
      </w:pPr>
      <w:r w:rsidRPr="00FD4CF5">
        <w:rPr>
          <w:rFonts w:ascii="Calibri" w:hAnsi="Calibri"/>
          <w:sz w:val="22"/>
          <w:szCs w:val="22"/>
        </w:rPr>
        <w:t>** The Adjusted Hourly Rate was estimated at 200% of the hourly wage</w:t>
      </w:r>
    </w:p>
    <w:p w:rsidR="009B633D" w:rsidRPr="00412C6F" w:rsidP="009B633D" w14:paraId="44B94067" w14:textId="77777777">
      <w:pPr>
        <w:pStyle w:val="Heading2"/>
        <w:rPr>
          <w:sz w:val="24"/>
        </w:rPr>
      </w:pPr>
      <w:r w:rsidRPr="00412C6F">
        <w:rPr>
          <w:sz w:val="24"/>
        </w:rPr>
        <w:t xml:space="preserve">15. Changes </w:t>
      </w:r>
      <w:bookmarkEnd w:id="56"/>
      <w:bookmarkEnd w:id="57"/>
      <w:r w:rsidRPr="000A5A8E" w:rsidR="00224249">
        <w:rPr>
          <w:sz w:val="24"/>
        </w:rPr>
        <w:t>to Collection of Information Requirements, Burden, and Collection of Information Instruments</w:t>
      </w:r>
    </w:p>
    <w:p w:rsidR="0006354E" w:rsidRPr="00A235BE" w:rsidP="0006354E" w14:paraId="698C9D70" w14:textId="14F6789F">
      <w:pPr>
        <w:pStyle w:val="Heading2"/>
        <w:rPr>
          <w:rFonts w:ascii="Times New Roman" w:hAnsi="Times New Roman" w:cs="Times New Roman"/>
          <w:b w:val="0"/>
          <w:bCs w:val="0"/>
          <w:i w:val="0"/>
          <w:iCs w:val="0"/>
          <w:sz w:val="24"/>
        </w:rPr>
      </w:pPr>
      <w:bookmarkStart w:id="59" w:name="_Toc151782191"/>
      <w:bookmarkStart w:id="60" w:name="_Toc158526231"/>
      <w:r w:rsidRPr="00A235BE">
        <w:rPr>
          <w:rFonts w:ascii="Times New Roman" w:hAnsi="Times New Roman" w:cs="Times New Roman"/>
          <w:b w:val="0"/>
          <w:bCs w:val="0"/>
          <w:i w:val="0"/>
          <w:iCs w:val="0"/>
          <w:sz w:val="24"/>
        </w:rPr>
        <w:t xml:space="preserve">The burden estimate for the MEPS-HC and MPC is reduced by </w:t>
      </w:r>
      <w:r>
        <w:rPr>
          <w:rFonts w:ascii="Times New Roman" w:hAnsi="Times New Roman" w:cs="Times New Roman"/>
          <w:b w:val="0"/>
          <w:bCs w:val="0"/>
          <w:i w:val="0"/>
          <w:iCs w:val="0"/>
          <w:sz w:val="24"/>
        </w:rPr>
        <w:t>1</w:t>
      </w:r>
      <w:r w:rsidR="00022472">
        <w:rPr>
          <w:rFonts w:ascii="Times New Roman" w:hAnsi="Times New Roman" w:cs="Times New Roman"/>
          <w:b w:val="0"/>
          <w:bCs w:val="0"/>
          <w:i w:val="0"/>
          <w:iCs w:val="0"/>
          <w:sz w:val="24"/>
        </w:rPr>
        <w:t>7</w:t>
      </w:r>
      <w:r>
        <w:rPr>
          <w:rFonts w:ascii="Times New Roman" w:hAnsi="Times New Roman" w:cs="Times New Roman"/>
          <w:b w:val="0"/>
          <w:bCs w:val="0"/>
          <w:i w:val="0"/>
          <w:iCs w:val="0"/>
          <w:sz w:val="24"/>
        </w:rPr>
        <w:t>,2</w:t>
      </w:r>
      <w:r w:rsidR="00022472">
        <w:rPr>
          <w:rFonts w:ascii="Times New Roman" w:hAnsi="Times New Roman" w:cs="Times New Roman"/>
          <w:b w:val="0"/>
          <w:bCs w:val="0"/>
          <w:i w:val="0"/>
          <w:iCs w:val="0"/>
          <w:sz w:val="24"/>
        </w:rPr>
        <w:t>25</w:t>
      </w:r>
      <w:r w:rsidRPr="00A235BE">
        <w:rPr>
          <w:rFonts w:ascii="Times New Roman" w:hAnsi="Times New Roman" w:cs="Times New Roman"/>
          <w:b w:val="0"/>
          <w:bCs w:val="0"/>
          <w:i w:val="0"/>
          <w:iCs w:val="0"/>
          <w:sz w:val="24"/>
        </w:rPr>
        <w:t xml:space="preserve"> hours</w:t>
      </w:r>
      <w:r>
        <w:rPr>
          <w:rFonts w:ascii="Times New Roman" w:hAnsi="Times New Roman" w:cs="Times New Roman"/>
          <w:b w:val="0"/>
          <w:bCs w:val="0"/>
          <w:i w:val="0"/>
          <w:iCs w:val="0"/>
          <w:sz w:val="24"/>
        </w:rPr>
        <w:t xml:space="preserve"> </w:t>
      </w:r>
      <w:r w:rsidR="00761C28">
        <w:rPr>
          <w:rFonts w:ascii="Times New Roman" w:hAnsi="Times New Roman" w:cs="Times New Roman"/>
          <w:b w:val="0"/>
          <w:bCs w:val="0"/>
          <w:i w:val="0"/>
          <w:iCs w:val="0"/>
          <w:sz w:val="24"/>
        </w:rPr>
        <w:t xml:space="preserve">from 67,489 hours previously approved to 50,264 hours </w:t>
      </w:r>
      <w:r>
        <w:rPr>
          <w:rFonts w:ascii="Times New Roman" w:hAnsi="Times New Roman" w:cs="Times New Roman"/>
          <w:b w:val="0"/>
          <w:bCs w:val="0"/>
          <w:i w:val="0"/>
          <w:iCs w:val="0"/>
          <w:sz w:val="24"/>
        </w:rPr>
        <w:t xml:space="preserve">in this ICR. This reduction comes </w:t>
      </w:r>
      <w:r w:rsidR="00F67EBF">
        <w:rPr>
          <w:rFonts w:ascii="Times New Roman" w:hAnsi="Times New Roman" w:cs="Times New Roman"/>
          <w:b w:val="0"/>
          <w:bCs w:val="0"/>
          <w:i w:val="0"/>
          <w:iCs w:val="0"/>
          <w:sz w:val="24"/>
        </w:rPr>
        <w:t>from removal of the ESAQ (1,348 hours) and the DCS (70 hours); reductions in the MEPS-HC responding sample size due to continued post-pandemic response rate challenges</w:t>
      </w:r>
      <w:r w:rsidR="00F67EBF">
        <w:rPr>
          <w:rFonts w:ascii="Times New Roman" w:hAnsi="Times New Roman" w:cs="Times New Roman"/>
          <w:b w:val="0"/>
          <w:bCs w:val="0"/>
          <w:i w:val="0"/>
          <w:iCs w:val="0"/>
          <w:sz w:val="24"/>
        </w:rPr>
        <w:t xml:space="preserve"> </w:t>
      </w:r>
      <w:r w:rsidR="00F67EBF">
        <w:rPr>
          <w:rFonts w:ascii="Times New Roman" w:hAnsi="Times New Roman" w:cs="Times New Roman"/>
          <w:b w:val="0"/>
          <w:bCs w:val="0"/>
          <w:i w:val="0"/>
          <w:iCs w:val="0"/>
          <w:sz w:val="24"/>
        </w:rPr>
        <w:t>contributing to fewer responses to the core interview and SAQs (8,178 hours); and subsequent reductions in the MEPS-MPC sample, which comes from the MEPS-HC plus lower pharmacies event form response rates (7,629 hours)</w:t>
      </w:r>
      <w:r>
        <w:rPr>
          <w:rFonts w:ascii="Times New Roman" w:hAnsi="Times New Roman" w:cs="Times New Roman"/>
          <w:b w:val="0"/>
          <w:bCs w:val="0"/>
          <w:i w:val="0"/>
          <w:iCs w:val="0"/>
          <w:sz w:val="24"/>
        </w:rPr>
        <w:t>.</w:t>
      </w:r>
      <w:r w:rsidRPr="00A235BE">
        <w:rPr>
          <w:rFonts w:ascii="Times New Roman" w:hAnsi="Times New Roman" w:cs="Times New Roman"/>
          <w:b w:val="0"/>
          <w:bCs w:val="0"/>
          <w:i w:val="0"/>
          <w:iCs w:val="0"/>
          <w:sz w:val="24"/>
        </w:rPr>
        <w:t xml:space="preserve"> </w:t>
      </w:r>
    </w:p>
    <w:p w:rsidR="009B633D" w:rsidRPr="00412C6F" w:rsidP="009B633D" w14:paraId="3EABCDF8" w14:textId="77777777">
      <w:pPr>
        <w:pStyle w:val="Heading2"/>
        <w:rPr>
          <w:sz w:val="24"/>
        </w:rPr>
      </w:pPr>
      <w:r w:rsidRPr="00412C6F">
        <w:rPr>
          <w:sz w:val="24"/>
        </w:rPr>
        <w:t>16. Time Schedule, Publication and Analysis Plans</w:t>
      </w:r>
      <w:bookmarkEnd w:id="59"/>
      <w:bookmarkEnd w:id="60"/>
    </w:p>
    <w:p w:rsidR="0006354E" w:rsidRPr="00825B3C" w:rsidP="00E84673" w14:paraId="59A7B177" w14:textId="31EFBCF3">
      <w:bookmarkStart w:id="61" w:name="_Toc151782192"/>
      <w:r w:rsidRPr="00825B3C">
        <w:t>Data collected from the MEPS will be used in a variety of descriptive analysis.</w:t>
      </w:r>
      <w:r>
        <w:t xml:space="preserve"> AHRQs’</w:t>
      </w:r>
      <w:r w:rsidRPr="00825B3C">
        <w:t xml:space="preserve"> website </w:t>
      </w:r>
      <w:hyperlink r:id="rId10" w:history="1">
        <w:r w:rsidRPr="00B64EBB" w:rsidR="00300041">
          <w:rPr>
            <w:rStyle w:val="Hyperlink"/>
          </w:rPr>
          <w:t>https://meps.ahrq.gov/mepsweb/</w:t>
        </w:r>
      </w:hyperlink>
      <w:r w:rsidRPr="00825B3C">
        <w:t xml:space="preserve"> contains examples of publications.</w:t>
      </w:r>
      <w:r>
        <w:t xml:space="preserve"> </w:t>
      </w:r>
      <w:r w:rsidRPr="00825B3C">
        <w:t>Those publications include statistical briefs, research findings, chartbooks, and journal articles.</w:t>
      </w:r>
      <w:r>
        <w:t xml:space="preserve"> </w:t>
      </w:r>
      <w:r w:rsidRPr="00825B3C">
        <w:t>In addition, tabular data is presented on the website</w:t>
      </w:r>
      <w:r>
        <w:t xml:space="preserve">. </w:t>
      </w:r>
      <w:r w:rsidRPr="00825B3C">
        <w:t>Special analytic reports will be issued on an ad-hoc basis, and other analyses will be presented at annual meetings of professional associations and in professional journals.</w:t>
      </w:r>
    </w:p>
    <w:p w:rsidR="0006354E" w:rsidRPr="00825B3C" w:rsidP="0006354E" w14:paraId="115004B0" w14:textId="77777777"/>
    <w:p w:rsidR="0006354E" w:rsidRPr="0006354E" w:rsidP="00B9788A" w14:paraId="3EA84D3B" w14:textId="1FFFDCF2">
      <w:pPr>
        <w:rPr>
          <w:iCs/>
        </w:rPr>
      </w:pPr>
      <w:r w:rsidRPr="00825B3C">
        <w:t xml:space="preserve">To the extent possible, given our commitment to respondent confidentiality, </w:t>
      </w:r>
      <w:r w:rsidR="00FF02D0">
        <w:t xml:space="preserve">AHRQ </w:t>
      </w:r>
      <w:r w:rsidRPr="00825B3C" w:rsidR="00FF02D0">
        <w:t>endeavors</w:t>
      </w:r>
      <w:r w:rsidRPr="00825B3C">
        <w:t xml:space="preserve"> to release public use files from this project as soon as possible.</w:t>
      </w:r>
      <w:r>
        <w:t xml:space="preserve"> </w:t>
      </w:r>
      <w:r w:rsidR="00583906">
        <w:t>Collection for each data year ends in June of the following year, when MPC collection also occurs. Public use files are then released by August of the next year after completion of data processing, editing, variable construction, imputation, documentation, and disclosure review.</w:t>
      </w:r>
    </w:p>
    <w:p w:rsidR="009B633D" w:rsidRPr="00424E6E" w:rsidP="009B633D" w14:paraId="65FC7AA7" w14:textId="77777777">
      <w:pPr>
        <w:pStyle w:val="Heading2"/>
        <w:rPr>
          <w:sz w:val="24"/>
        </w:rPr>
      </w:pPr>
      <w:bookmarkStart w:id="62" w:name="_Toc151782196"/>
      <w:bookmarkStart w:id="63" w:name="_Toc158526232"/>
      <w:bookmarkEnd w:id="61"/>
      <w:r w:rsidRPr="00424E6E">
        <w:rPr>
          <w:sz w:val="24"/>
        </w:rPr>
        <w:t>17. Exemption for Display of Expiration Date</w:t>
      </w:r>
      <w:bookmarkEnd w:id="62"/>
      <w:bookmarkEnd w:id="63"/>
    </w:p>
    <w:p w:rsidR="009B633D" w:rsidP="009B633D" w14:paraId="21FA35CE" w14:textId="77777777">
      <w:r w:rsidRPr="004F03D2">
        <w:t>AHRQ does not seek this exemption</w:t>
      </w:r>
      <w:r>
        <w:t>.</w:t>
      </w:r>
    </w:p>
    <w:p w:rsidR="0006559D" w:rsidP="009B633D" w14:paraId="16EEF136" w14:textId="77777777"/>
    <w:p w:rsidR="004178EA" w:rsidP="0006354E" w14:paraId="3C62FFDE" w14:textId="70210AF8">
      <w:pPr>
        <w:pStyle w:val="NormalWeb"/>
        <w:spacing w:before="0" w:beforeAutospacing="0" w:after="0" w:afterAutospacing="0"/>
        <w:rPr>
          <w:rFonts w:ascii="Arial" w:hAnsi="Arial" w:cs="Arial"/>
          <w:bCs/>
        </w:rPr>
      </w:pPr>
      <w:r>
        <w:rPr>
          <w:rFonts w:ascii="Arial" w:hAnsi="Arial" w:cs="Arial"/>
          <w:bCs/>
        </w:rPr>
        <w:t>Appendix A – Data Security Plan</w:t>
      </w:r>
    </w:p>
    <w:p w:rsidR="0006354E" w:rsidP="0006354E" w14:paraId="279955C6" w14:textId="7EA934FE">
      <w:pPr>
        <w:pStyle w:val="NormalWeb"/>
        <w:spacing w:before="0" w:beforeAutospacing="0" w:after="0" w:afterAutospacing="0"/>
        <w:rPr>
          <w:rFonts w:ascii="Arial" w:hAnsi="Arial" w:cs="Arial"/>
          <w:bCs/>
        </w:rPr>
      </w:pPr>
      <w:r w:rsidRPr="007E3A03">
        <w:rPr>
          <w:rFonts w:ascii="Arial" w:hAnsi="Arial" w:cs="Arial"/>
          <w:bCs/>
        </w:rPr>
        <w:t xml:space="preserve">Attachment 1 </w:t>
      </w:r>
      <w:r>
        <w:rPr>
          <w:rFonts w:ascii="Arial" w:hAnsi="Arial" w:cs="Arial"/>
          <w:bCs/>
        </w:rPr>
        <w:t>–</w:t>
      </w:r>
      <w:r w:rsidRPr="007E3A03">
        <w:rPr>
          <w:rFonts w:ascii="Arial" w:hAnsi="Arial" w:cs="Arial"/>
          <w:bCs/>
        </w:rPr>
        <w:t xml:space="preserve"> Access to Care</w:t>
      </w:r>
      <w:r>
        <w:rPr>
          <w:rFonts w:ascii="Arial" w:hAnsi="Arial" w:cs="Arial"/>
          <w:bCs/>
        </w:rPr>
        <w:br/>
      </w:r>
      <w:r w:rsidRPr="007E3A03">
        <w:rPr>
          <w:rFonts w:ascii="Arial" w:hAnsi="Arial" w:cs="Arial"/>
          <w:bCs/>
        </w:rPr>
        <w:t xml:space="preserve">Attachment 2 </w:t>
      </w:r>
      <w:r>
        <w:rPr>
          <w:rFonts w:ascii="Arial" w:hAnsi="Arial" w:cs="Arial"/>
          <w:bCs/>
        </w:rPr>
        <w:t>–</w:t>
      </w:r>
      <w:r w:rsidRPr="007E3A03">
        <w:rPr>
          <w:rFonts w:ascii="Arial" w:hAnsi="Arial" w:cs="Arial"/>
          <w:bCs/>
        </w:rPr>
        <w:t xml:space="preserve"> Additional Healthcare Questions</w:t>
      </w:r>
      <w:r>
        <w:rPr>
          <w:rFonts w:ascii="Arial" w:hAnsi="Arial" w:cs="Arial"/>
          <w:bCs/>
        </w:rPr>
        <w:br/>
      </w:r>
      <w:r w:rsidRPr="007E3A03">
        <w:rPr>
          <w:rFonts w:ascii="Arial" w:hAnsi="Arial" w:cs="Arial"/>
          <w:bCs/>
        </w:rPr>
        <w:t xml:space="preserve">Attachment 3 </w:t>
      </w:r>
      <w:r>
        <w:rPr>
          <w:rFonts w:ascii="Arial" w:hAnsi="Arial" w:cs="Arial"/>
          <w:bCs/>
        </w:rPr>
        <w:t>–</w:t>
      </w:r>
      <w:r w:rsidRPr="007E3A03">
        <w:rPr>
          <w:rFonts w:ascii="Arial" w:hAnsi="Arial" w:cs="Arial"/>
          <w:bCs/>
        </w:rPr>
        <w:t xml:space="preserve"> Assets</w:t>
      </w:r>
      <w:r>
        <w:rPr>
          <w:rFonts w:ascii="Arial" w:hAnsi="Arial" w:cs="Arial"/>
          <w:bCs/>
        </w:rPr>
        <w:br/>
      </w:r>
      <w:r w:rsidRPr="007E3A03">
        <w:rPr>
          <w:rFonts w:ascii="Arial" w:hAnsi="Arial" w:cs="Arial"/>
          <w:bCs/>
        </w:rPr>
        <w:t xml:space="preserve">Attachment 4 </w:t>
      </w:r>
      <w:r>
        <w:rPr>
          <w:rFonts w:ascii="Arial" w:hAnsi="Arial" w:cs="Arial"/>
          <w:bCs/>
        </w:rPr>
        <w:t>–</w:t>
      </w:r>
      <w:r w:rsidRPr="007E3A03">
        <w:rPr>
          <w:rFonts w:ascii="Arial" w:hAnsi="Arial" w:cs="Arial"/>
          <w:bCs/>
        </w:rPr>
        <w:t xml:space="preserve"> Calendar Section</w:t>
      </w:r>
      <w:r>
        <w:rPr>
          <w:rFonts w:ascii="Arial" w:hAnsi="Arial" w:cs="Arial"/>
          <w:bCs/>
        </w:rPr>
        <w:br/>
      </w:r>
      <w:r w:rsidRPr="007E3A03">
        <w:rPr>
          <w:rFonts w:ascii="Arial" w:hAnsi="Arial" w:cs="Arial"/>
          <w:bCs/>
        </w:rPr>
        <w:t xml:space="preserve">Attachment 5 </w:t>
      </w:r>
      <w:r>
        <w:rPr>
          <w:rFonts w:ascii="Arial" w:hAnsi="Arial" w:cs="Arial"/>
          <w:bCs/>
        </w:rPr>
        <w:t>–</w:t>
      </w:r>
      <w:r w:rsidRPr="007E3A03">
        <w:rPr>
          <w:rFonts w:ascii="Arial" w:hAnsi="Arial" w:cs="Arial"/>
          <w:bCs/>
        </w:rPr>
        <w:t xml:space="preserve"> Closing Section</w:t>
      </w:r>
      <w:r>
        <w:rPr>
          <w:rFonts w:ascii="Arial" w:hAnsi="Arial" w:cs="Arial"/>
          <w:bCs/>
        </w:rPr>
        <w:br/>
      </w:r>
      <w:r w:rsidRPr="007E3A03">
        <w:rPr>
          <w:rFonts w:ascii="Arial" w:hAnsi="Arial" w:cs="Arial"/>
          <w:bCs/>
        </w:rPr>
        <w:t xml:space="preserve">Attachment 6 </w:t>
      </w:r>
      <w:r>
        <w:rPr>
          <w:rFonts w:ascii="Arial" w:hAnsi="Arial" w:cs="Arial"/>
          <w:bCs/>
        </w:rPr>
        <w:t>–</w:t>
      </w:r>
      <w:r w:rsidRPr="007E3A03">
        <w:rPr>
          <w:rFonts w:ascii="Arial" w:hAnsi="Arial" w:cs="Arial"/>
          <w:bCs/>
        </w:rPr>
        <w:t xml:space="preserve"> Contacting Module Section</w:t>
      </w:r>
      <w:r>
        <w:rPr>
          <w:rFonts w:ascii="Arial" w:hAnsi="Arial" w:cs="Arial"/>
          <w:bCs/>
        </w:rPr>
        <w:br/>
      </w:r>
      <w:r w:rsidRPr="007E3A03">
        <w:rPr>
          <w:rFonts w:ascii="Arial" w:hAnsi="Arial" w:cs="Arial"/>
          <w:bCs/>
        </w:rPr>
        <w:t xml:space="preserve">Attachment 7 </w:t>
      </w:r>
      <w:r>
        <w:rPr>
          <w:rFonts w:ascii="Arial" w:hAnsi="Arial" w:cs="Arial"/>
          <w:bCs/>
        </w:rPr>
        <w:t>–</w:t>
      </w:r>
      <w:r w:rsidRPr="007E3A03">
        <w:rPr>
          <w:rFonts w:ascii="Arial" w:hAnsi="Arial" w:cs="Arial"/>
          <w:bCs/>
        </w:rPr>
        <w:t xml:space="preserve"> Charge Payment Section</w:t>
      </w:r>
      <w:r>
        <w:rPr>
          <w:rFonts w:ascii="Arial" w:hAnsi="Arial" w:cs="Arial"/>
          <w:bCs/>
        </w:rPr>
        <w:br/>
      </w:r>
      <w:r w:rsidRPr="007E3A03">
        <w:rPr>
          <w:rFonts w:ascii="Arial" w:hAnsi="Arial" w:cs="Arial"/>
          <w:bCs/>
        </w:rPr>
        <w:t xml:space="preserve">Attachment 8 </w:t>
      </w:r>
      <w:r>
        <w:rPr>
          <w:rFonts w:ascii="Arial" w:hAnsi="Arial" w:cs="Arial"/>
          <w:bCs/>
        </w:rPr>
        <w:t>–</w:t>
      </w:r>
      <w:r w:rsidRPr="007E3A03">
        <w:rPr>
          <w:rFonts w:ascii="Arial" w:hAnsi="Arial" w:cs="Arial"/>
          <w:bCs/>
        </w:rPr>
        <w:t xml:space="preserve"> Child Preventive Health Section</w:t>
      </w:r>
      <w:r>
        <w:rPr>
          <w:rFonts w:ascii="Arial" w:hAnsi="Arial" w:cs="Arial"/>
          <w:bCs/>
        </w:rPr>
        <w:br/>
      </w:r>
      <w:r w:rsidRPr="007E3A03">
        <w:rPr>
          <w:rFonts w:ascii="Arial" w:hAnsi="Arial" w:cs="Arial"/>
          <w:bCs/>
        </w:rPr>
        <w:t xml:space="preserve">Attachment 9 </w:t>
      </w:r>
      <w:r>
        <w:rPr>
          <w:rFonts w:ascii="Arial" w:hAnsi="Arial" w:cs="Arial"/>
          <w:bCs/>
        </w:rPr>
        <w:t>–</w:t>
      </w:r>
      <w:r w:rsidRPr="007E3A03">
        <w:rPr>
          <w:rFonts w:ascii="Arial" w:hAnsi="Arial" w:cs="Arial"/>
          <w:bCs/>
        </w:rPr>
        <w:t xml:space="preserve"> Dental Visit Section</w:t>
      </w:r>
      <w:r>
        <w:rPr>
          <w:rFonts w:ascii="Arial" w:hAnsi="Arial" w:cs="Arial"/>
          <w:bCs/>
        </w:rPr>
        <w:br/>
      </w:r>
      <w:r w:rsidRPr="007E3A03">
        <w:rPr>
          <w:rFonts w:ascii="Arial" w:hAnsi="Arial" w:cs="Arial"/>
          <w:bCs/>
        </w:rPr>
        <w:t xml:space="preserve">Attachment 10 </w:t>
      </w:r>
      <w:r>
        <w:rPr>
          <w:rFonts w:ascii="Arial" w:hAnsi="Arial" w:cs="Arial"/>
          <w:bCs/>
        </w:rPr>
        <w:t>–</w:t>
      </w:r>
      <w:r w:rsidRPr="007E3A03">
        <w:rPr>
          <w:rFonts w:ascii="Arial" w:hAnsi="Arial" w:cs="Arial"/>
          <w:bCs/>
        </w:rPr>
        <w:t xml:space="preserve"> Event Driver Section</w:t>
      </w:r>
      <w:r>
        <w:rPr>
          <w:rFonts w:ascii="Arial" w:hAnsi="Arial" w:cs="Arial"/>
          <w:bCs/>
        </w:rPr>
        <w:br/>
      </w:r>
      <w:r w:rsidRPr="007E3A03">
        <w:rPr>
          <w:rFonts w:ascii="Arial" w:hAnsi="Arial" w:cs="Arial"/>
          <w:bCs/>
        </w:rPr>
        <w:t xml:space="preserve">Attachment 11 </w:t>
      </w:r>
      <w:r>
        <w:rPr>
          <w:rFonts w:ascii="Arial" w:hAnsi="Arial" w:cs="Arial"/>
          <w:bCs/>
        </w:rPr>
        <w:t>–</w:t>
      </w:r>
      <w:r w:rsidRPr="007E3A03">
        <w:rPr>
          <w:rFonts w:ascii="Arial" w:hAnsi="Arial" w:cs="Arial"/>
          <w:bCs/>
        </w:rPr>
        <w:t xml:space="preserve"> Event Enumeration Section</w:t>
      </w:r>
      <w:r>
        <w:rPr>
          <w:rFonts w:ascii="Arial" w:hAnsi="Arial" w:cs="Arial"/>
          <w:bCs/>
        </w:rPr>
        <w:br/>
      </w:r>
      <w:r w:rsidRPr="007E3A03">
        <w:rPr>
          <w:rFonts w:ascii="Arial" w:hAnsi="Arial" w:cs="Arial"/>
          <w:bCs/>
        </w:rPr>
        <w:t>Attachment 12 -- Event Follow-Up Section</w:t>
      </w:r>
      <w:r>
        <w:rPr>
          <w:rFonts w:ascii="Arial" w:hAnsi="Arial" w:cs="Arial"/>
          <w:bCs/>
        </w:rPr>
        <w:br/>
      </w:r>
      <w:r w:rsidRPr="007E3A03">
        <w:rPr>
          <w:rFonts w:ascii="Arial" w:hAnsi="Arial" w:cs="Arial"/>
          <w:bCs/>
        </w:rPr>
        <w:t>Attachment 13 -- Employment Section</w:t>
      </w:r>
      <w:r>
        <w:rPr>
          <w:rFonts w:ascii="Arial" w:hAnsi="Arial" w:cs="Arial"/>
          <w:bCs/>
        </w:rPr>
        <w:br/>
      </w:r>
      <w:r w:rsidRPr="007E3A03">
        <w:rPr>
          <w:rFonts w:ascii="Arial" w:hAnsi="Arial" w:cs="Arial"/>
          <w:bCs/>
        </w:rPr>
        <w:t>Attachment 14 -- Employment Driver Section</w:t>
      </w:r>
      <w:r>
        <w:rPr>
          <w:rFonts w:ascii="Arial" w:hAnsi="Arial" w:cs="Arial"/>
          <w:bCs/>
        </w:rPr>
        <w:br/>
      </w:r>
      <w:r w:rsidRPr="007E3A03">
        <w:rPr>
          <w:rFonts w:ascii="Arial" w:hAnsi="Arial" w:cs="Arial"/>
          <w:bCs/>
        </w:rPr>
        <w:t xml:space="preserve">Attachment 15 </w:t>
      </w:r>
      <w:r>
        <w:rPr>
          <w:rFonts w:ascii="Arial" w:hAnsi="Arial" w:cs="Arial"/>
          <w:bCs/>
        </w:rPr>
        <w:t>--</w:t>
      </w:r>
      <w:r w:rsidRPr="007E3A03">
        <w:rPr>
          <w:rFonts w:ascii="Arial" w:hAnsi="Arial" w:cs="Arial"/>
          <w:bCs/>
        </w:rPr>
        <w:t xml:space="preserve"> Emergency Room Section</w:t>
      </w:r>
      <w:r>
        <w:rPr>
          <w:rFonts w:ascii="Arial" w:hAnsi="Arial" w:cs="Arial"/>
          <w:bCs/>
        </w:rPr>
        <w:br/>
      </w:r>
      <w:r w:rsidRPr="007E3A03">
        <w:rPr>
          <w:rFonts w:ascii="Arial" w:hAnsi="Arial" w:cs="Arial"/>
          <w:bCs/>
        </w:rPr>
        <w:t>Attachment 16 -- Event Roster Section</w:t>
      </w:r>
      <w:r>
        <w:rPr>
          <w:rFonts w:ascii="Arial" w:hAnsi="Arial" w:cs="Arial"/>
          <w:bCs/>
        </w:rPr>
        <w:br/>
      </w:r>
      <w:r w:rsidRPr="007E3A03">
        <w:rPr>
          <w:rFonts w:ascii="Arial" w:hAnsi="Arial" w:cs="Arial"/>
          <w:bCs/>
        </w:rPr>
        <w:t>Attachment 17 -- Employment Wages Section</w:t>
      </w:r>
      <w:r>
        <w:rPr>
          <w:rFonts w:ascii="Arial" w:hAnsi="Arial" w:cs="Arial"/>
          <w:bCs/>
        </w:rPr>
        <w:br/>
      </w:r>
      <w:r w:rsidRPr="007E3A03">
        <w:rPr>
          <w:rFonts w:ascii="Arial" w:hAnsi="Arial" w:cs="Arial"/>
          <w:bCs/>
        </w:rPr>
        <w:t>Attachment 18 -- Flat Fee Section</w:t>
      </w:r>
      <w:r>
        <w:rPr>
          <w:rFonts w:ascii="Arial" w:hAnsi="Arial" w:cs="Arial"/>
          <w:bCs/>
        </w:rPr>
        <w:br/>
      </w:r>
      <w:r w:rsidRPr="007E3A03">
        <w:rPr>
          <w:rFonts w:ascii="Arial" w:hAnsi="Arial" w:cs="Arial"/>
          <w:bCs/>
        </w:rPr>
        <w:t>Attachment 19 -- Food Security Section</w:t>
      </w:r>
      <w:r>
        <w:rPr>
          <w:rFonts w:ascii="Arial" w:hAnsi="Arial" w:cs="Arial"/>
          <w:bCs/>
        </w:rPr>
        <w:br/>
        <w:t>Attachment 20 -- Financial Well-Being Section</w:t>
      </w:r>
      <w:r>
        <w:rPr>
          <w:rFonts w:ascii="Arial" w:hAnsi="Arial" w:cs="Arial"/>
          <w:bCs/>
        </w:rPr>
        <w:br/>
      </w:r>
      <w:r w:rsidRPr="007E3A03">
        <w:rPr>
          <w:rFonts w:ascii="Arial" w:hAnsi="Arial" w:cs="Arial"/>
          <w:bCs/>
        </w:rPr>
        <w:t>Attachment 2</w:t>
      </w:r>
      <w:r>
        <w:rPr>
          <w:rFonts w:ascii="Arial" w:hAnsi="Arial" w:cs="Arial"/>
          <w:bCs/>
        </w:rPr>
        <w:t>1</w:t>
      </w:r>
      <w:r w:rsidRPr="007E3A03">
        <w:rPr>
          <w:rFonts w:ascii="Arial" w:hAnsi="Arial" w:cs="Arial"/>
          <w:bCs/>
        </w:rPr>
        <w:t xml:space="preserve"> -- Global Section</w:t>
      </w:r>
      <w:r>
        <w:rPr>
          <w:rFonts w:ascii="Arial" w:hAnsi="Arial" w:cs="Arial"/>
          <w:bCs/>
        </w:rPr>
        <w:br/>
      </w:r>
      <w:r w:rsidRPr="007E3A03">
        <w:rPr>
          <w:rFonts w:ascii="Arial" w:hAnsi="Arial" w:cs="Arial"/>
          <w:bCs/>
        </w:rPr>
        <w:t>Attachment 2</w:t>
      </w:r>
      <w:r>
        <w:rPr>
          <w:rFonts w:ascii="Arial" w:hAnsi="Arial" w:cs="Arial"/>
          <w:bCs/>
        </w:rPr>
        <w:t>2</w:t>
      </w:r>
      <w:r w:rsidRPr="007E3A03">
        <w:rPr>
          <w:rFonts w:ascii="Arial" w:hAnsi="Arial" w:cs="Arial"/>
          <w:bCs/>
        </w:rPr>
        <w:t xml:space="preserve"> -</w:t>
      </w:r>
      <w:r>
        <w:rPr>
          <w:rFonts w:ascii="Arial" w:hAnsi="Arial" w:cs="Arial"/>
          <w:bCs/>
        </w:rPr>
        <w:t>-</w:t>
      </w:r>
      <w:r w:rsidRPr="007E3A03">
        <w:rPr>
          <w:rFonts w:ascii="Arial" w:hAnsi="Arial" w:cs="Arial"/>
          <w:bCs/>
        </w:rPr>
        <w:t xml:space="preserve"> Health Status Section</w:t>
      </w:r>
      <w:r>
        <w:rPr>
          <w:rFonts w:ascii="Arial" w:hAnsi="Arial" w:cs="Arial"/>
          <w:bCs/>
        </w:rPr>
        <w:br/>
      </w:r>
      <w:r w:rsidRPr="007E3A03">
        <w:rPr>
          <w:rFonts w:ascii="Arial" w:hAnsi="Arial" w:cs="Arial"/>
          <w:bCs/>
        </w:rPr>
        <w:t>Attachment 2</w:t>
      </w:r>
      <w:r>
        <w:rPr>
          <w:rFonts w:ascii="Arial" w:hAnsi="Arial" w:cs="Arial"/>
          <w:bCs/>
        </w:rPr>
        <w:t>3</w:t>
      </w:r>
      <w:r w:rsidRPr="007E3A03">
        <w:rPr>
          <w:rFonts w:ascii="Arial" w:hAnsi="Arial" w:cs="Arial"/>
          <w:bCs/>
        </w:rPr>
        <w:t xml:space="preserve"> -- Home Health Section</w:t>
      </w:r>
      <w:r>
        <w:rPr>
          <w:rFonts w:ascii="Arial" w:hAnsi="Arial" w:cs="Arial"/>
          <w:bCs/>
        </w:rPr>
        <w:br/>
      </w:r>
      <w:r w:rsidRPr="007E3A03">
        <w:rPr>
          <w:rFonts w:ascii="Arial" w:hAnsi="Arial" w:cs="Arial"/>
          <w:bCs/>
        </w:rPr>
        <w:t>Attachment 2</w:t>
      </w:r>
      <w:r>
        <w:rPr>
          <w:rFonts w:ascii="Arial" w:hAnsi="Arial" w:cs="Arial"/>
          <w:bCs/>
        </w:rPr>
        <w:t>4</w:t>
      </w:r>
      <w:r w:rsidRPr="007E3A03">
        <w:rPr>
          <w:rFonts w:ascii="Arial" w:hAnsi="Arial" w:cs="Arial"/>
          <w:bCs/>
        </w:rPr>
        <w:t xml:space="preserve"> -- Health Insurance Detail Section</w:t>
      </w:r>
      <w:r>
        <w:rPr>
          <w:rFonts w:ascii="Arial" w:hAnsi="Arial" w:cs="Arial"/>
          <w:bCs/>
        </w:rPr>
        <w:br/>
      </w:r>
      <w:r w:rsidRPr="007E3A03">
        <w:rPr>
          <w:rFonts w:ascii="Arial" w:hAnsi="Arial" w:cs="Arial"/>
          <w:bCs/>
        </w:rPr>
        <w:t>Attachment 2</w:t>
      </w:r>
      <w:r>
        <w:rPr>
          <w:rFonts w:ascii="Arial" w:hAnsi="Arial" w:cs="Arial"/>
          <w:bCs/>
        </w:rPr>
        <w:t>5</w:t>
      </w:r>
      <w:r w:rsidRPr="007E3A03">
        <w:rPr>
          <w:rFonts w:ascii="Arial" w:hAnsi="Arial" w:cs="Arial"/>
          <w:bCs/>
        </w:rPr>
        <w:t xml:space="preserve"> -- Time Period Covered Detail Section</w:t>
      </w:r>
      <w:r>
        <w:rPr>
          <w:rFonts w:ascii="Arial" w:hAnsi="Arial" w:cs="Arial"/>
          <w:bCs/>
        </w:rPr>
        <w:br/>
      </w:r>
      <w:r w:rsidRPr="008B0704">
        <w:rPr>
          <w:rFonts w:ascii="Arial" w:hAnsi="Arial" w:cs="Arial"/>
          <w:bCs/>
        </w:rPr>
        <w:t>Attachment 2</w:t>
      </w:r>
      <w:r>
        <w:rPr>
          <w:rFonts w:ascii="Arial" w:hAnsi="Arial" w:cs="Arial"/>
          <w:bCs/>
        </w:rPr>
        <w:t>6</w:t>
      </w:r>
      <w:r w:rsidRPr="008B0704">
        <w:rPr>
          <w:rFonts w:ascii="Arial" w:hAnsi="Arial" w:cs="Arial"/>
          <w:bCs/>
        </w:rPr>
        <w:t xml:space="preserve"> -- Hospital Stay Section</w:t>
      </w:r>
      <w:r>
        <w:rPr>
          <w:rFonts w:ascii="Arial" w:hAnsi="Arial" w:cs="Arial"/>
          <w:bCs/>
        </w:rPr>
        <w:br/>
      </w:r>
      <w:r w:rsidRPr="008B0704">
        <w:rPr>
          <w:rFonts w:ascii="Arial" w:hAnsi="Arial" w:cs="Arial"/>
          <w:bCs/>
        </w:rPr>
        <w:t>Attachment 2</w:t>
      </w:r>
      <w:r>
        <w:rPr>
          <w:rFonts w:ascii="Arial" w:hAnsi="Arial" w:cs="Arial"/>
          <w:bCs/>
        </w:rPr>
        <w:t>7</w:t>
      </w:r>
      <w:r w:rsidRPr="008B0704">
        <w:rPr>
          <w:rFonts w:ascii="Arial" w:hAnsi="Arial" w:cs="Arial"/>
          <w:bCs/>
        </w:rPr>
        <w:t xml:space="preserve"> -- Health Insurance Section</w:t>
      </w:r>
      <w:r>
        <w:rPr>
          <w:rFonts w:ascii="Arial" w:hAnsi="Arial" w:cs="Arial"/>
          <w:bCs/>
        </w:rPr>
        <w:br/>
      </w:r>
      <w:r w:rsidRPr="008B0704">
        <w:rPr>
          <w:rFonts w:ascii="Arial" w:hAnsi="Arial" w:cs="Arial"/>
          <w:bCs/>
        </w:rPr>
        <w:t>Attachment 2</w:t>
      </w:r>
      <w:r>
        <w:rPr>
          <w:rFonts w:ascii="Arial" w:hAnsi="Arial" w:cs="Arial"/>
          <w:bCs/>
        </w:rPr>
        <w:t>8</w:t>
      </w:r>
      <w:r w:rsidRPr="008B0704">
        <w:rPr>
          <w:rFonts w:ascii="Arial" w:hAnsi="Arial" w:cs="Arial"/>
          <w:bCs/>
        </w:rPr>
        <w:t xml:space="preserve"> -- Institutional Care Stay Section</w:t>
      </w:r>
      <w:r>
        <w:rPr>
          <w:rFonts w:ascii="Arial" w:hAnsi="Arial" w:cs="Arial"/>
          <w:bCs/>
        </w:rPr>
        <w:br/>
      </w:r>
      <w:r w:rsidRPr="008B0704">
        <w:rPr>
          <w:rFonts w:ascii="Arial" w:hAnsi="Arial" w:cs="Arial"/>
          <w:bCs/>
        </w:rPr>
        <w:t>Attachment 2</w:t>
      </w:r>
      <w:r>
        <w:rPr>
          <w:rFonts w:ascii="Arial" w:hAnsi="Arial" w:cs="Arial"/>
          <w:bCs/>
        </w:rPr>
        <w:t>9</w:t>
      </w:r>
      <w:r w:rsidRPr="008B0704">
        <w:rPr>
          <w:rFonts w:ascii="Arial" w:hAnsi="Arial" w:cs="Arial"/>
          <w:bCs/>
        </w:rPr>
        <w:t xml:space="preserve"> -- Income Section</w:t>
      </w:r>
      <w:r>
        <w:rPr>
          <w:rFonts w:ascii="Arial" w:hAnsi="Arial" w:cs="Arial"/>
          <w:bCs/>
        </w:rPr>
        <w:br/>
        <w:t>Attachment 30 – Managed Care Section</w:t>
      </w:r>
      <w:r>
        <w:rPr>
          <w:rFonts w:ascii="Arial" w:hAnsi="Arial" w:cs="Arial"/>
          <w:bCs/>
        </w:rPr>
        <w:br/>
      </w:r>
      <w:r w:rsidRPr="008B0704">
        <w:rPr>
          <w:rFonts w:ascii="Arial" w:hAnsi="Arial" w:cs="Arial"/>
          <w:bCs/>
        </w:rPr>
        <w:t>Attachment 3</w:t>
      </w:r>
      <w:r>
        <w:rPr>
          <w:rFonts w:ascii="Arial" w:hAnsi="Arial" w:cs="Arial"/>
          <w:bCs/>
        </w:rPr>
        <w:t>1</w:t>
      </w:r>
      <w:r w:rsidRPr="008B0704">
        <w:rPr>
          <w:rFonts w:ascii="Arial" w:hAnsi="Arial" w:cs="Arial"/>
          <w:bCs/>
        </w:rPr>
        <w:t xml:space="preserve"> -- Medical Visit Section</w:t>
      </w:r>
      <w:r>
        <w:rPr>
          <w:rFonts w:ascii="Arial" w:hAnsi="Arial" w:cs="Arial"/>
          <w:bCs/>
        </w:rPr>
        <w:br/>
      </w:r>
      <w:r w:rsidRPr="008B0704">
        <w:rPr>
          <w:rFonts w:ascii="Arial" w:hAnsi="Arial" w:cs="Arial"/>
          <w:bCs/>
        </w:rPr>
        <w:t>Attachment 3</w:t>
      </w:r>
      <w:r>
        <w:rPr>
          <w:rFonts w:ascii="Arial" w:hAnsi="Arial" w:cs="Arial"/>
          <w:bCs/>
        </w:rPr>
        <w:t>2</w:t>
      </w:r>
      <w:r w:rsidRPr="008B0704">
        <w:rPr>
          <w:rFonts w:ascii="Arial" w:hAnsi="Arial" w:cs="Arial"/>
          <w:bCs/>
        </w:rPr>
        <w:t xml:space="preserve"> -- Old </w:t>
      </w:r>
      <w:r w:rsidRPr="008B0704">
        <w:rPr>
          <w:rFonts w:ascii="Arial" w:hAnsi="Arial" w:cs="Arial"/>
          <w:bCs/>
        </w:rPr>
        <w:t>Empl</w:t>
      </w:r>
      <w:r w:rsidRPr="008B0704">
        <w:rPr>
          <w:rFonts w:ascii="Arial" w:hAnsi="Arial" w:cs="Arial"/>
          <w:bCs/>
        </w:rPr>
        <w:t>-Priv Related Ins Section</w:t>
      </w:r>
      <w:r>
        <w:rPr>
          <w:rFonts w:ascii="Arial" w:hAnsi="Arial" w:cs="Arial"/>
          <w:bCs/>
        </w:rPr>
        <w:br/>
      </w:r>
      <w:r w:rsidRPr="008B0704">
        <w:rPr>
          <w:rFonts w:ascii="Arial" w:hAnsi="Arial" w:cs="Arial"/>
          <w:bCs/>
        </w:rPr>
        <w:t>Attachment 3</w:t>
      </w:r>
      <w:r>
        <w:rPr>
          <w:rFonts w:ascii="Arial" w:hAnsi="Arial" w:cs="Arial"/>
          <w:bCs/>
        </w:rPr>
        <w:t>3</w:t>
      </w:r>
      <w:r w:rsidRPr="008B0704">
        <w:rPr>
          <w:rFonts w:ascii="Arial" w:hAnsi="Arial" w:cs="Arial"/>
          <w:bCs/>
        </w:rPr>
        <w:t xml:space="preserve"> -- Off Path Navigation Section</w:t>
      </w:r>
      <w:r>
        <w:rPr>
          <w:rFonts w:ascii="Arial" w:hAnsi="Arial" w:cs="Arial"/>
          <w:bCs/>
        </w:rPr>
        <w:br/>
      </w:r>
      <w:r w:rsidRPr="008B0704">
        <w:rPr>
          <w:rFonts w:ascii="Arial" w:hAnsi="Arial" w:cs="Arial"/>
          <w:bCs/>
        </w:rPr>
        <w:t>Attachment 3</w:t>
      </w:r>
      <w:r>
        <w:rPr>
          <w:rFonts w:ascii="Arial" w:hAnsi="Arial" w:cs="Arial"/>
          <w:bCs/>
        </w:rPr>
        <w:t>4</w:t>
      </w:r>
      <w:r w:rsidRPr="008B0704">
        <w:rPr>
          <w:rFonts w:ascii="Arial" w:hAnsi="Arial" w:cs="Arial"/>
          <w:bCs/>
        </w:rPr>
        <w:t xml:space="preserve"> -- Other Medical Expenses Section</w:t>
      </w:r>
      <w:r>
        <w:rPr>
          <w:rFonts w:ascii="Arial" w:hAnsi="Arial" w:cs="Arial"/>
          <w:bCs/>
        </w:rPr>
        <w:br/>
      </w:r>
      <w:r w:rsidRPr="008B0704">
        <w:rPr>
          <w:rFonts w:ascii="Arial" w:hAnsi="Arial" w:cs="Arial"/>
          <w:bCs/>
        </w:rPr>
        <w:t>Attachment 3</w:t>
      </w:r>
      <w:r>
        <w:rPr>
          <w:rFonts w:ascii="Arial" w:hAnsi="Arial" w:cs="Arial"/>
          <w:bCs/>
        </w:rPr>
        <w:t>5</w:t>
      </w:r>
      <w:r w:rsidRPr="008B0704">
        <w:rPr>
          <w:rFonts w:ascii="Arial" w:hAnsi="Arial" w:cs="Arial"/>
          <w:bCs/>
        </w:rPr>
        <w:t xml:space="preserve"> -- Outpatient Department Section</w:t>
      </w:r>
      <w:r>
        <w:rPr>
          <w:rFonts w:ascii="Arial" w:hAnsi="Arial" w:cs="Arial"/>
          <w:bCs/>
        </w:rPr>
        <w:br/>
      </w:r>
      <w:r w:rsidRPr="008B0704">
        <w:rPr>
          <w:rFonts w:ascii="Arial" w:hAnsi="Arial" w:cs="Arial"/>
          <w:bCs/>
        </w:rPr>
        <w:t>Attachment 3</w:t>
      </w:r>
      <w:r>
        <w:rPr>
          <w:rFonts w:ascii="Arial" w:hAnsi="Arial" w:cs="Arial"/>
          <w:bCs/>
        </w:rPr>
        <w:t>6</w:t>
      </w:r>
      <w:r w:rsidRPr="008B0704">
        <w:rPr>
          <w:rFonts w:ascii="Arial" w:hAnsi="Arial" w:cs="Arial"/>
          <w:bCs/>
        </w:rPr>
        <w:t xml:space="preserve"> -- Priority Condition Enumeration Section</w:t>
      </w:r>
      <w:r>
        <w:rPr>
          <w:rFonts w:ascii="Arial" w:hAnsi="Arial" w:cs="Arial"/>
          <w:bCs/>
        </w:rPr>
        <w:br/>
      </w:r>
      <w:r w:rsidRPr="008B0704">
        <w:rPr>
          <w:rFonts w:ascii="Arial" w:hAnsi="Arial" w:cs="Arial"/>
          <w:bCs/>
        </w:rPr>
        <w:t>Attachment 3</w:t>
      </w:r>
      <w:r>
        <w:rPr>
          <w:rFonts w:ascii="Arial" w:hAnsi="Arial" w:cs="Arial"/>
          <w:bCs/>
        </w:rPr>
        <w:t>7</w:t>
      </w:r>
      <w:r w:rsidRPr="008B0704">
        <w:rPr>
          <w:rFonts w:ascii="Arial" w:hAnsi="Arial" w:cs="Arial"/>
          <w:bCs/>
        </w:rPr>
        <w:t xml:space="preserve"> -- Prescribed Medicines Section</w:t>
      </w:r>
      <w:r>
        <w:rPr>
          <w:rFonts w:ascii="Arial" w:hAnsi="Arial" w:cs="Arial"/>
          <w:bCs/>
        </w:rPr>
        <w:br/>
      </w:r>
      <w:r w:rsidRPr="008B0704">
        <w:rPr>
          <w:rFonts w:ascii="Arial" w:hAnsi="Arial" w:cs="Arial"/>
          <w:bCs/>
        </w:rPr>
        <w:t>Attachment 3</w:t>
      </w:r>
      <w:r>
        <w:rPr>
          <w:rFonts w:ascii="Arial" w:hAnsi="Arial" w:cs="Arial"/>
          <w:bCs/>
        </w:rPr>
        <w:t>8</w:t>
      </w:r>
      <w:r w:rsidRPr="008B0704">
        <w:rPr>
          <w:rFonts w:ascii="Arial" w:hAnsi="Arial" w:cs="Arial"/>
          <w:bCs/>
        </w:rPr>
        <w:t xml:space="preserve"> -- Provider Probes Section</w:t>
      </w:r>
      <w:r>
        <w:rPr>
          <w:rFonts w:ascii="Arial" w:hAnsi="Arial" w:cs="Arial"/>
          <w:bCs/>
        </w:rPr>
        <w:br/>
      </w:r>
      <w:r w:rsidRPr="008B0704">
        <w:rPr>
          <w:rFonts w:ascii="Arial" w:hAnsi="Arial" w:cs="Arial"/>
          <w:bCs/>
        </w:rPr>
        <w:t>Attachment 3</w:t>
      </w:r>
      <w:r>
        <w:rPr>
          <w:rFonts w:ascii="Arial" w:hAnsi="Arial" w:cs="Arial"/>
          <w:bCs/>
        </w:rPr>
        <w:t>9</w:t>
      </w:r>
      <w:r w:rsidRPr="008B0704">
        <w:rPr>
          <w:rFonts w:ascii="Arial" w:hAnsi="Arial" w:cs="Arial"/>
          <w:bCs/>
        </w:rPr>
        <w:t xml:space="preserve"> -- Old Public Related Insurance Section</w:t>
      </w:r>
      <w:r>
        <w:rPr>
          <w:rFonts w:ascii="Arial" w:hAnsi="Arial" w:cs="Arial"/>
          <w:bCs/>
        </w:rPr>
        <w:br/>
      </w:r>
      <w:r w:rsidRPr="008B0704">
        <w:rPr>
          <w:rFonts w:ascii="Arial" w:hAnsi="Arial" w:cs="Arial"/>
          <w:bCs/>
        </w:rPr>
        <w:t xml:space="preserve">Attachment </w:t>
      </w:r>
      <w:r>
        <w:rPr>
          <w:rFonts w:ascii="Arial" w:hAnsi="Arial" w:cs="Arial"/>
          <w:bCs/>
        </w:rPr>
        <w:t>40</w:t>
      </w:r>
      <w:r w:rsidRPr="008B0704">
        <w:rPr>
          <w:rFonts w:ascii="Arial" w:hAnsi="Arial" w:cs="Arial"/>
          <w:bCs/>
        </w:rPr>
        <w:t xml:space="preserve"> -- Provider Roster Section</w:t>
      </w:r>
      <w:r>
        <w:rPr>
          <w:rFonts w:ascii="Arial" w:hAnsi="Arial" w:cs="Arial"/>
          <w:bCs/>
        </w:rPr>
        <w:br/>
      </w:r>
      <w:r w:rsidRPr="008B0704">
        <w:rPr>
          <w:rFonts w:ascii="Arial" w:hAnsi="Arial" w:cs="Arial"/>
          <w:bCs/>
        </w:rPr>
        <w:t>Attachment 4</w:t>
      </w:r>
      <w:r>
        <w:rPr>
          <w:rFonts w:ascii="Arial" w:hAnsi="Arial" w:cs="Arial"/>
          <w:bCs/>
        </w:rPr>
        <w:t>1</w:t>
      </w:r>
      <w:r w:rsidRPr="008B0704">
        <w:rPr>
          <w:rFonts w:ascii="Arial" w:hAnsi="Arial" w:cs="Arial"/>
          <w:bCs/>
        </w:rPr>
        <w:t xml:space="preserve"> -- Quality Supplement Section</w:t>
      </w:r>
      <w:r>
        <w:rPr>
          <w:rFonts w:ascii="Arial" w:hAnsi="Arial" w:cs="Arial"/>
          <w:bCs/>
        </w:rPr>
        <w:br/>
      </w:r>
      <w:r w:rsidRPr="008B0704">
        <w:rPr>
          <w:rFonts w:ascii="Arial" w:hAnsi="Arial" w:cs="Arial"/>
          <w:bCs/>
        </w:rPr>
        <w:t>Attachment 4</w:t>
      </w:r>
      <w:r>
        <w:rPr>
          <w:rFonts w:ascii="Arial" w:hAnsi="Arial" w:cs="Arial"/>
          <w:bCs/>
        </w:rPr>
        <w:t>2</w:t>
      </w:r>
      <w:r w:rsidRPr="008B0704">
        <w:rPr>
          <w:rFonts w:ascii="Arial" w:hAnsi="Arial" w:cs="Arial"/>
          <w:bCs/>
        </w:rPr>
        <w:t xml:space="preserve"> -- </w:t>
      </w:r>
      <w:r w:rsidRPr="008B0704">
        <w:rPr>
          <w:rFonts w:ascii="Arial" w:hAnsi="Arial" w:cs="Arial"/>
          <w:bCs/>
        </w:rPr>
        <w:t>Reenumeration</w:t>
      </w:r>
      <w:r w:rsidRPr="008B0704">
        <w:rPr>
          <w:rFonts w:ascii="Arial" w:hAnsi="Arial" w:cs="Arial"/>
          <w:bCs/>
        </w:rPr>
        <w:t xml:space="preserve"> A Section</w:t>
      </w:r>
      <w:r>
        <w:rPr>
          <w:rFonts w:ascii="Arial" w:hAnsi="Arial" w:cs="Arial"/>
          <w:bCs/>
        </w:rPr>
        <w:br/>
      </w:r>
      <w:r w:rsidRPr="008B0704">
        <w:rPr>
          <w:rFonts w:ascii="Arial" w:hAnsi="Arial" w:cs="Arial"/>
          <w:bCs/>
        </w:rPr>
        <w:t>Attachment 4</w:t>
      </w:r>
      <w:r>
        <w:rPr>
          <w:rFonts w:ascii="Arial" w:hAnsi="Arial" w:cs="Arial"/>
          <w:bCs/>
        </w:rPr>
        <w:t>3</w:t>
      </w:r>
      <w:r w:rsidRPr="008B0704">
        <w:rPr>
          <w:rFonts w:ascii="Arial" w:hAnsi="Arial" w:cs="Arial"/>
          <w:bCs/>
        </w:rPr>
        <w:t xml:space="preserve"> -- </w:t>
      </w:r>
      <w:r w:rsidRPr="008B0704">
        <w:rPr>
          <w:rFonts w:ascii="Arial" w:hAnsi="Arial" w:cs="Arial"/>
          <w:bCs/>
        </w:rPr>
        <w:t>Reenumeration</w:t>
      </w:r>
      <w:r w:rsidRPr="008B0704">
        <w:rPr>
          <w:rFonts w:ascii="Arial" w:hAnsi="Arial" w:cs="Arial"/>
          <w:bCs/>
        </w:rPr>
        <w:t xml:space="preserve"> B Section</w:t>
      </w:r>
      <w:r>
        <w:rPr>
          <w:rFonts w:ascii="Arial" w:hAnsi="Arial" w:cs="Arial"/>
          <w:bCs/>
        </w:rPr>
        <w:br/>
      </w:r>
      <w:r w:rsidRPr="008B0704">
        <w:rPr>
          <w:rFonts w:ascii="Arial" w:hAnsi="Arial" w:cs="Arial"/>
          <w:bCs/>
        </w:rPr>
        <w:t>Attachment 4</w:t>
      </w:r>
      <w:r>
        <w:rPr>
          <w:rFonts w:ascii="Arial" w:hAnsi="Arial" w:cs="Arial"/>
          <w:bCs/>
        </w:rPr>
        <w:t>4</w:t>
      </w:r>
      <w:r w:rsidRPr="008B0704">
        <w:rPr>
          <w:rFonts w:ascii="Arial" w:hAnsi="Arial" w:cs="Arial"/>
          <w:bCs/>
        </w:rPr>
        <w:t xml:space="preserve"> -- Respondent Forms Section</w:t>
      </w:r>
      <w:r>
        <w:rPr>
          <w:rFonts w:ascii="Arial" w:hAnsi="Arial" w:cs="Arial"/>
          <w:bCs/>
        </w:rPr>
        <w:br/>
      </w:r>
      <w:r w:rsidRPr="008B0704">
        <w:rPr>
          <w:rFonts w:ascii="Arial" w:hAnsi="Arial" w:cs="Arial"/>
          <w:bCs/>
        </w:rPr>
        <w:t>Attachment 4</w:t>
      </w:r>
      <w:r>
        <w:rPr>
          <w:rFonts w:ascii="Arial" w:hAnsi="Arial" w:cs="Arial"/>
          <w:bCs/>
        </w:rPr>
        <w:t>5</w:t>
      </w:r>
      <w:r w:rsidRPr="008B0704">
        <w:rPr>
          <w:rFonts w:ascii="Arial" w:hAnsi="Arial" w:cs="Arial"/>
          <w:bCs/>
        </w:rPr>
        <w:t xml:space="preserve"> -- Review of Employment Section</w:t>
      </w:r>
      <w:r>
        <w:rPr>
          <w:rFonts w:ascii="Arial" w:hAnsi="Arial" w:cs="Arial"/>
          <w:bCs/>
        </w:rPr>
        <w:br/>
      </w:r>
      <w:r w:rsidRPr="008B0704">
        <w:rPr>
          <w:rFonts w:ascii="Arial" w:hAnsi="Arial" w:cs="Arial"/>
          <w:bCs/>
        </w:rPr>
        <w:t>Attachment 4</w:t>
      </w:r>
      <w:r>
        <w:rPr>
          <w:rFonts w:ascii="Arial" w:hAnsi="Arial" w:cs="Arial"/>
          <w:bCs/>
        </w:rPr>
        <w:t>6</w:t>
      </w:r>
      <w:r w:rsidRPr="008B0704">
        <w:rPr>
          <w:rFonts w:ascii="Arial" w:hAnsi="Arial" w:cs="Arial"/>
          <w:bCs/>
        </w:rPr>
        <w:t xml:space="preserve"> -- Start-Restart Section</w:t>
      </w:r>
      <w:r>
        <w:rPr>
          <w:rFonts w:ascii="Arial" w:hAnsi="Arial" w:cs="Arial"/>
          <w:bCs/>
        </w:rPr>
        <w:br/>
      </w:r>
      <w:r w:rsidRPr="008B0704">
        <w:rPr>
          <w:rFonts w:ascii="Arial" w:hAnsi="Arial" w:cs="Arial"/>
          <w:bCs/>
        </w:rPr>
        <w:t>Attachment 4</w:t>
      </w:r>
      <w:r>
        <w:rPr>
          <w:rFonts w:ascii="Arial" w:hAnsi="Arial" w:cs="Arial"/>
          <w:bCs/>
        </w:rPr>
        <w:t>7</w:t>
      </w:r>
      <w:r w:rsidRPr="008B0704">
        <w:rPr>
          <w:rFonts w:ascii="Arial" w:hAnsi="Arial" w:cs="Arial"/>
          <w:bCs/>
        </w:rPr>
        <w:t xml:space="preserve"> -- Telehealth Section</w:t>
      </w:r>
      <w:r>
        <w:rPr>
          <w:rFonts w:ascii="Arial" w:hAnsi="Arial" w:cs="Arial"/>
          <w:bCs/>
        </w:rPr>
        <w:br/>
      </w:r>
      <w:r w:rsidRPr="008B0704">
        <w:rPr>
          <w:rFonts w:ascii="Arial" w:hAnsi="Arial" w:cs="Arial"/>
          <w:bCs/>
        </w:rPr>
        <w:t>Attachment 4</w:t>
      </w:r>
      <w:r>
        <w:rPr>
          <w:rFonts w:ascii="Arial" w:hAnsi="Arial" w:cs="Arial"/>
          <w:bCs/>
        </w:rPr>
        <w:t>8</w:t>
      </w:r>
      <w:r w:rsidRPr="008B0704">
        <w:rPr>
          <w:rFonts w:ascii="Arial" w:hAnsi="Arial" w:cs="Arial"/>
          <w:bCs/>
        </w:rPr>
        <w:t xml:space="preserve"> -</w:t>
      </w:r>
      <w:r>
        <w:rPr>
          <w:rFonts w:ascii="Arial" w:hAnsi="Arial" w:cs="Arial"/>
          <w:bCs/>
        </w:rPr>
        <w:t>-</w:t>
      </w:r>
      <w:r w:rsidRPr="008B0704">
        <w:rPr>
          <w:rFonts w:ascii="Arial" w:hAnsi="Arial" w:cs="Arial"/>
          <w:bCs/>
        </w:rPr>
        <w:t xml:space="preserve"> MEPS-HC Show Cards</w:t>
      </w:r>
      <w:r>
        <w:rPr>
          <w:rFonts w:ascii="Arial" w:hAnsi="Arial" w:cs="Arial"/>
          <w:bCs/>
        </w:rPr>
        <w:br/>
      </w:r>
      <w:r w:rsidRPr="008B0704">
        <w:rPr>
          <w:rFonts w:ascii="Arial" w:hAnsi="Arial" w:cs="Arial"/>
          <w:bCs/>
        </w:rPr>
        <w:t>Attachment 4</w:t>
      </w:r>
      <w:r>
        <w:rPr>
          <w:rFonts w:ascii="Arial" w:hAnsi="Arial" w:cs="Arial"/>
          <w:bCs/>
        </w:rPr>
        <w:t>9</w:t>
      </w:r>
      <w:r w:rsidRPr="008B0704">
        <w:rPr>
          <w:rFonts w:ascii="Arial" w:hAnsi="Arial" w:cs="Arial"/>
          <w:bCs/>
        </w:rPr>
        <w:t xml:space="preserve"> -- Adult SAQ</w:t>
      </w:r>
      <w:r>
        <w:rPr>
          <w:rFonts w:ascii="Arial" w:hAnsi="Arial" w:cs="Arial"/>
          <w:bCs/>
        </w:rPr>
        <w:br/>
      </w:r>
      <w:r w:rsidRPr="009F4074">
        <w:rPr>
          <w:rFonts w:ascii="Arial" w:hAnsi="Arial" w:cs="Arial"/>
          <w:bCs/>
        </w:rPr>
        <w:t xml:space="preserve">Attachment </w:t>
      </w:r>
      <w:r>
        <w:rPr>
          <w:rFonts w:ascii="Arial" w:hAnsi="Arial" w:cs="Arial"/>
          <w:bCs/>
        </w:rPr>
        <w:t>50</w:t>
      </w:r>
      <w:r w:rsidRPr="009F4074">
        <w:rPr>
          <w:rFonts w:ascii="Arial" w:hAnsi="Arial" w:cs="Arial"/>
          <w:bCs/>
        </w:rPr>
        <w:t xml:space="preserve"> </w:t>
      </w:r>
      <w:r>
        <w:rPr>
          <w:rFonts w:ascii="Arial" w:hAnsi="Arial" w:cs="Arial"/>
          <w:bCs/>
        </w:rPr>
        <w:t>–</w:t>
      </w:r>
      <w:r w:rsidRPr="009F4074">
        <w:rPr>
          <w:rFonts w:ascii="Arial" w:hAnsi="Arial" w:cs="Arial"/>
          <w:bCs/>
        </w:rPr>
        <w:t xml:space="preserve"> PSAQ</w:t>
      </w:r>
      <w:r>
        <w:rPr>
          <w:rFonts w:ascii="Arial" w:hAnsi="Arial" w:cs="Arial"/>
          <w:bCs/>
        </w:rPr>
        <w:br/>
      </w:r>
      <w:r w:rsidRPr="009F4074">
        <w:rPr>
          <w:rFonts w:ascii="Arial" w:hAnsi="Arial" w:cs="Arial"/>
          <w:bCs/>
        </w:rPr>
        <w:t>Attachment 5</w:t>
      </w:r>
      <w:r>
        <w:rPr>
          <w:rFonts w:ascii="Arial" w:hAnsi="Arial" w:cs="Arial"/>
          <w:bCs/>
        </w:rPr>
        <w:t>1</w:t>
      </w:r>
      <w:r w:rsidRPr="009F4074">
        <w:rPr>
          <w:rFonts w:ascii="Arial" w:hAnsi="Arial" w:cs="Arial"/>
          <w:bCs/>
        </w:rPr>
        <w:t xml:space="preserve"> -- Permission Form for Medical Providers</w:t>
      </w:r>
      <w:r>
        <w:rPr>
          <w:rFonts w:ascii="Arial" w:hAnsi="Arial" w:cs="Arial"/>
          <w:bCs/>
        </w:rPr>
        <w:br/>
      </w:r>
      <w:r w:rsidRPr="009F4074">
        <w:rPr>
          <w:rFonts w:ascii="Arial" w:hAnsi="Arial" w:cs="Arial"/>
          <w:bCs/>
        </w:rPr>
        <w:t>Attachment 5</w:t>
      </w:r>
      <w:r>
        <w:rPr>
          <w:rFonts w:ascii="Arial" w:hAnsi="Arial" w:cs="Arial"/>
          <w:bCs/>
        </w:rPr>
        <w:t>2</w:t>
      </w:r>
      <w:r w:rsidRPr="009F4074">
        <w:rPr>
          <w:rFonts w:ascii="Arial" w:hAnsi="Arial" w:cs="Arial"/>
          <w:bCs/>
        </w:rPr>
        <w:t xml:space="preserve"> -- Permission Form for Pharmacies</w:t>
      </w:r>
      <w:r>
        <w:rPr>
          <w:rFonts w:ascii="Arial" w:hAnsi="Arial" w:cs="Arial"/>
          <w:bCs/>
        </w:rPr>
        <w:br/>
      </w:r>
      <w:r w:rsidRPr="00101522">
        <w:rPr>
          <w:rFonts w:ascii="Arial" w:hAnsi="Arial" w:cs="Arial"/>
          <w:bCs/>
        </w:rPr>
        <w:t>Attachment 5</w:t>
      </w:r>
      <w:r>
        <w:rPr>
          <w:rFonts w:ascii="Arial" w:hAnsi="Arial" w:cs="Arial"/>
          <w:bCs/>
        </w:rPr>
        <w:t>3</w:t>
      </w:r>
      <w:r w:rsidRPr="00101522">
        <w:rPr>
          <w:rFonts w:ascii="Arial" w:hAnsi="Arial" w:cs="Arial"/>
          <w:bCs/>
        </w:rPr>
        <w:t>a -- Validation Letter</w:t>
      </w:r>
      <w:r>
        <w:rPr>
          <w:rFonts w:ascii="Arial" w:hAnsi="Arial" w:cs="Arial"/>
          <w:bCs/>
        </w:rPr>
        <w:br/>
      </w:r>
      <w:r w:rsidRPr="00101522">
        <w:rPr>
          <w:rFonts w:ascii="Arial" w:hAnsi="Arial" w:cs="Arial"/>
          <w:bCs/>
        </w:rPr>
        <w:t>Attachment 5</w:t>
      </w:r>
      <w:r>
        <w:rPr>
          <w:rFonts w:ascii="Arial" w:hAnsi="Arial" w:cs="Arial"/>
          <w:bCs/>
        </w:rPr>
        <w:t>3</w:t>
      </w:r>
      <w:r w:rsidRPr="00101522">
        <w:rPr>
          <w:rFonts w:ascii="Arial" w:hAnsi="Arial" w:cs="Arial"/>
          <w:bCs/>
        </w:rPr>
        <w:t>b -- Phone Validation Form</w:t>
      </w:r>
      <w:r>
        <w:rPr>
          <w:rFonts w:ascii="Arial" w:hAnsi="Arial" w:cs="Arial"/>
          <w:bCs/>
        </w:rPr>
        <w:br/>
      </w:r>
      <w:r w:rsidRPr="009F4074">
        <w:rPr>
          <w:rFonts w:ascii="Arial" w:hAnsi="Arial" w:cs="Arial"/>
          <w:bCs/>
        </w:rPr>
        <w:t>Attachment 5</w:t>
      </w:r>
      <w:r>
        <w:rPr>
          <w:rFonts w:ascii="Arial" w:hAnsi="Arial" w:cs="Arial"/>
          <w:bCs/>
        </w:rPr>
        <w:t>4</w:t>
      </w:r>
      <w:r w:rsidRPr="009F4074">
        <w:rPr>
          <w:rFonts w:ascii="Arial" w:hAnsi="Arial" w:cs="Arial"/>
          <w:bCs/>
        </w:rPr>
        <w:t xml:space="preserve"> -- MPC Contact Guide &amp; Screening Call</w:t>
      </w:r>
      <w:r>
        <w:rPr>
          <w:rFonts w:ascii="Arial" w:hAnsi="Arial" w:cs="Arial"/>
          <w:bCs/>
        </w:rPr>
        <w:br/>
      </w:r>
      <w:r w:rsidRPr="00945884">
        <w:rPr>
          <w:rFonts w:ascii="Arial" w:hAnsi="Arial" w:cs="Arial"/>
          <w:bCs/>
        </w:rPr>
        <w:t>Attachment 5</w:t>
      </w:r>
      <w:r>
        <w:rPr>
          <w:rFonts w:ascii="Arial" w:hAnsi="Arial" w:cs="Arial"/>
          <w:bCs/>
        </w:rPr>
        <w:t>5</w:t>
      </w:r>
      <w:r w:rsidRPr="00945884">
        <w:rPr>
          <w:rFonts w:ascii="Arial" w:hAnsi="Arial" w:cs="Arial"/>
          <w:bCs/>
        </w:rPr>
        <w:t xml:space="preserve"> -- Home Healthcare for Healthcare Providers</w:t>
      </w:r>
      <w:r>
        <w:rPr>
          <w:rFonts w:ascii="Arial" w:hAnsi="Arial" w:cs="Arial"/>
          <w:bCs/>
        </w:rPr>
        <w:br/>
      </w:r>
      <w:r w:rsidRPr="00945884">
        <w:rPr>
          <w:rFonts w:ascii="Arial" w:hAnsi="Arial" w:cs="Arial"/>
          <w:bCs/>
        </w:rPr>
        <w:t>Attachment 5</w:t>
      </w:r>
      <w:r>
        <w:rPr>
          <w:rFonts w:ascii="Arial" w:hAnsi="Arial" w:cs="Arial"/>
          <w:bCs/>
        </w:rPr>
        <w:t>6</w:t>
      </w:r>
      <w:r w:rsidRPr="00945884">
        <w:rPr>
          <w:rFonts w:ascii="Arial" w:hAnsi="Arial" w:cs="Arial"/>
          <w:bCs/>
        </w:rPr>
        <w:t xml:space="preserve"> -- Home Healthcare for Non-healthcare Providers</w:t>
      </w:r>
      <w:r>
        <w:rPr>
          <w:rFonts w:ascii="Arial" w:hAnsi="Arial" w:cs="Arial"/>
          <w:bCs/>
        </w:rPr>
        <w:br/>
      </w:r>
      <w:r w:rsidRPr="00945884">
        <w:rPr>
          <w:rFonts w:ascii="Arial" w:hAnsi="Arial" w:cs="Arial"/>
          <w:bCs/>
        </w:rPr>
        <w:t>Attachment 5</w:t>
      </w:r>
      <w:r>
        <w:rPr>
          <w:rFonts w:ascii="Arial" w:hAnsi="Arial" w:cs="Arial"/>
          <w:bCs/>
        </w:rPr>
        <w:t>7</w:t>
      </w:r>
      <w:r w:rsidRPr="00945884">
        <w:rPr>
          <w:rFonts w:ascii="Arial" w:hAnsi="Arial" w:cs="Arial"/>
          <w:bCs/>
        </w:rPr>
        <w:t xml:space="preserve"> -- Office Based Provider Event Form</w:t>
      </w:r>
      <w:r>
        <w:rPr>
          <w:rFonts w:ascii="Arial" w:hAnsi="Arial" w:cs="Arial"/>
          <w:bCs/>
        </w:rPr>
        <w:br/>
      </w:r>
      <w:r w:rsidRPr="00945884">
        <w:rPr>
          <w:rFonts w:ascii="Arial" w:hAnsi="Arial" w:cs="Arial"/>
          <w:bCs/>
        </w:rPr>
        <w:t>Attachment 5</w:t>
      </w:r>
      <w:r>
        <w:rPr>
          <w:rFonts w:ascii="Arial" w:hAnsi="Arial" w:cs="Arial"/>
          <w:bCs/>
        </w:rPr>
        <w:t>8</w:t>
      </w:r>
      <w:r w:rsidRPr="00945884">
        <w:rPr>
          <w:rFonts w:ascii="Arial" w:hAnsi="Arial" w:cs="Arial"/>
          <w:bCs/>
        </w:rPr>
        <w:t xml:space="preserve"> -- Separately Billing Doctors Event Form</w:t>
      </w:r>
      <w:r>
        <w:rPr>
          <w:rFonts w:ascii="Arial" w:hAnsi="Arial" w:cs="Arial"/>
          <w:bCs/>
        </w:rPr>
        <w:br/>
      </w:r>
      <w:r w:rsidRPr="00945884">
        <w:rPr>
          <w:rFonts w:ascii="Arial" w:hAnsi="Arial" w:cs="Arial"/>
          <w:bCs/>
        </w:rPr>
        <w:t xml:space="preserve">Attachment </w:t>
      </w:r>
      <w:r>
        <w:rPr>
          <w:rFonts w:ascii="Arial" w:hAnsi="Arial" w:cs="Arial"/>
          <w:bCs/>
        </w:rPr>
        <w:t>59</w:t>
      </w:r>
      <w:r w:rsidRPr="00945884">
        <w:rPr>
          <w:rFonts w:ascii="Arial" w:hAnsi="Arial" w:cs="Arial"/>
          <w:bCs/>
        </w:rPr>
        <w:t xml:space="preserve"> -- Hospital Event Form</w:t>
      </w:r>
      <w:r>
        <w:rPr>
          <w:rFonts w:ascii="Arial" w:hAnsi="Arial" w:cs="Arial"/>
          <w:bCs/>
        </w:rPr>
        <w:br/>
      </w:r>
      <w:r w:rsidRPr="00945884">
        <w:rPr>
          <w:rFonts w:ascii="Arial" w:hAnsi="Arial" w:cs="Arial"/>
          <w:bCs/>
        </w:rPr>
        <w:t>Attachment 6</w:t>
      </w:r>
      <w:r>
        <w:rPr>
          <w:rFonts w:ascii="Arial" w:hAnsi="Arial" w:cs="Arial"/>
          <w:bCs/>
        </w:rPr>
        <w:t>0</w:t>
      </w:r>
      <w:r w:rsidRPr="00945884">
        <w:rPr>
          <w:rFonts w:ascii="Arial" w:hAnsi="Arial" w:cs="Arial"/>
          <w:bCs/>
        </w:rPr>
        <w:t xml:space="preserve"> -- Institutions (non-hospital) Event Form</w:t>
      </w:r>
      <w:r>
        <w:rPr>
          <w:rFonts w:ascii="Arial" w:hAnsi="Arial" w:cs="Arial"/>
          <w:bCs/>
        </w:rPr>
        <w:br/>
      </w:r>
      <w:r w:rsidRPr="00945884">
        <w:rPr>
          <w:rFonts w:ascii="Arial" w:hAnsi="Arial" w:cs="Arial"/>
          <w:bCs/>
        </w:rPr>
        <w:t>Attachment 6</w:t>
      </w:r>
      <w:r>
        <w:rPr>
          <w:rFonts w:ascii="Arial" w:hAnsi="Arial" w:cs="Arial"/>
          <w:bCs/>
        </w:rPr>
        <w:t>1</w:t>
      </w:r>
      <w:r w:rsidRPr="00945884">
        <w:rPr>
          <w:rFonts w:ascii="Arial" w:hAnsi="Arial" w:cs="Arial"/>
          <w:bCs/>
        </w:rPr>
        <w:t xml:space="preserve"> -- Pharmacies Event Form</w:t>
      </w:r>
      <w:r>
        <w:rPr>
          <w:rFonts w:ascii="Arial" w:hAnsi="Arial" w:cs="Arial"/>
          <w:bCs/>
        </w:rPr>
        <w:br/>
        <w:t>Attachment 62 – Federal Register Notice</w:t>
      </w:r>
    </w:p>
    <w:p w:rsidR="00ED6F5D" w:rsidRPr="00535B56" w:rsidP="003852DA" w14:paraId="246C70FB" w14:textId="77777777">
      <w:pPr>
        <w:pStyle w:val="EndnoteText"/>
        <w:tabs>
          <w:tab w:val="left" w:pos="360"/>
          <w:tab w:val="left" w:pos="720"/>
          <w:tab w:val="left" w:pos="1080"/>
          <w:tab w:val="left" w:pos="4680"/>
          <w:tab w:val="left" w:pos="5940"/>
        </w:tabs>
        <w:rPr>
          <w:sz w:val="24"/>
          <w:szCs w:val="24"/>
        </w:rPr>
      </w:pPr>
    </w:p>
    <w:sectPr w:rsidSect="009B633D">
      <w:footerReference w:type="even" r:id="rId11"/>
      <w:footerReference w:type="default" r:id="rId12"/>
      <w:endnotePr>
        <w:numFmt w:val="decimal"/>
      </w:endnotePr>
      <w:pgSz w:w="12240" w:h="15840"/>
      <w:pgMar w:top="1440" w:right="1800" w:bottom="1260" w:left="180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643" w:rsidP="009B633D" w14:paraId="607A4BA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73643" w14:paraId="4EB4F3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643" w:rsidP="009B633D" w14:paraId="06E990E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0951">
      <w:rPr>
        <w:rStyle w:val="PageNumber"/>
        <w:noProof/>
      </w:rPr>
      <w:t>- 12 -</w:t>
    </w:r>
    <w:r>
      <w:rPr>
        <w:rStyle w:val="PageNumber"/>
      </w:rPr>
      <w:fldChar w:fldCharType="end"/>
    </w:r>
  </w:p>
  <w:p w:rsidR="00673643" w14:paraId="496850B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00130"/>
    <w:multiLevelType w:val="hybridMultilevel"/>
    <w:tmpl w:val="5B74F158"/>
    <w:lvl w:ilvl="0">
      <w:start w:val="0"/>
      <w:numFmt w:val="bullet"/>
      <w:lvlText w:val=""/>
      <w:lvlJc w:val="left"/>
      <w:pPr>
        <w:ind w:left="245" w:hanging="246"/>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715" w:hanging="246"/>
      </w:pPr>
      <w:rPr>
        <w:rFonts w:hint="default"/>
        <w:lang w:val="en-US" w:eastAsia="en-US" w:bidi="ar-SA"/>
      </w:rPr>
    </w:lvl>
    <w:lvl w:ilvl="2">
      <w:start w:val="0"/>
      <w:numFmt w:val="bullet"/>
      <w:lvlText w:val="•"/>
      <w:lvlJc w:val="left"/>
      <w:pPr>
        <w:ind w:left="1190" w:hanging="246"/>
      </w:pPr>
      <w:rPr>
        <w:rFonts w:hint="default"/>
        <w:lang w:val="en-US" w:eastAsia="en-US" w:bidi="ar-SA"/>
      </w:rPr>
    </w:lvl>
    <w:lvl w:ilvl="3">
      <w:start w:val="0"/>
      <w:numFmt w:val="bullet"/>
      <w:lvlText w:val="•"/>
      <w:lvlJc w:val="left"/>
      <w:pPr>
        <w:ind w:left="1665" w:hanging="246"/>
      </w:pPr>
      <w:rPr>
        <w:rFonts w:hint="default"/>
        <w:lang w:val="en-US" w:eastAsia="en-US" w:bidi="ar-SA"/>
      </w:rPr>
    </w:lvl>
    <w:lvl w:ilvl="4">
      <w:start w:val="0"/>
      <w:numFmt w:val="bullet"/>
      <w:lvlText w:val="•"/>
      <w:lvlJc w:val="left"/>
      <w:pPr>
        <w:ind w:left="2140" w:hanging="246"/>
      </w:pPr>
      <w:rPr>
        <w:rFonts w:hint="default"/>
        <w:lang w:val="en-US" w:eastAsia="en-US" w:bidi="ar-SA"/>
      </w:rPr>
    </w:lvl>
    <w:lvl w:ilvl="5">
      <w:start w:val="0"/>
      <w:numFmt w:val="bullet"/>
      <w:lvlText w:val="•"/>
      <w:lvlJc w:val="left"/>
      <w:pPr>
        <w:ind w:left="2616" w:hanging="246"/>
      </w:pPr>
      <w:rPr>
        <w:rFonts w:hint="default"/>
        <w:lang w:val="en-US" w:eastAsia="en-US" w:bidi="ar-SA"/>
      </w:rPr>
    </w:lvl>
    <w:lvl w:ilvl="6">
      <w:start w:val="0"/>
      <w:numFmt w:val="bullet"/>
      <w:lvlText w:val="•"/>
      <w:lvlJc w:val="left"/>
      <w:pPr>
        <w:ind w:left="3091" w:hanging="246"/>
      </w:pPr>
      <w:rPr>
        <w:rFonts w:hint="default"/>
        <w:lang w:val="en-US" w:eastAsia="en-US" w:bidi="ar-SA"/>
      </w:rPr>
    </w:lvl>
    <w:lvl w:ilvl="7">
      <w:start w:val="0"/>
      <w:numFmt w:val="bullet"/>
      <w:lvlText w:val="•"/>
      <w:lvlJc w:val="left"/>
      <w:pPr>
        <w:ind w:left="3566" w:hanging="246"/>
      </w:pPr>
      <w:rPr>
        <w:rFonts w:hint="default"/>
        <w:lang w:val="en-US" w:eastAsia="en-US" w:bidi="ar-SA"/>
      </w:rPr>
    </w:lvl>
    <w:lvl w:ilvl="8">
      <w:start w:val="0"/>
      <w:numFmt w:val="bullet"/>
      <w:lvlText w:val="•"/>
      <w:lvlJc w:val="left"/>
      <w:pPr>
        <w:ind w:left="4041" w:hanging="246"/>
      </w:pPr>
      <w:rPr>
        <w:rFonts w:hint="default"/>
        <w:lang w:val="en-US" w:eastAsia="en-US" w:bidi="ar-SA"/>
      </w:rPr>
    </w:lvl>
  </w:abstractNum>
  <w:abstractNum w:abstractNumId="1">
    <w:nsid w:val="09466B0E"/>
    <w:multiLevelType w:val="hybridMultilevel"/>
    <w:tmpl w:val="13367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628C1"/>
    <w:multiLevelType w:val="hybridMultilevel"/>
    <w:tmpl w:val="556A2638"/>
    <w:lvl w:ilvl="0">
      <w:start w:val="0"/>
      <w:numFmt w:val="bullet"/>
      <w:lvlText w:val=""/>
      <w:lvlJc w:val="left"/>
      <w:pPr>
        <w:ind w:left="223" w:hanging="224"/>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286" w:hanging="224"/>
      </w:pPr>
      <w:rPr>
        <w:rFonts w:hint="default"/>
        <w:lang w:val="en-US" w:eastAsia="en-US" w:bidi="ar-SA"/>
      </w:rPr>
    </w:lvl>
    <w:lvl w:ilvl="2">
      <w:start w:val="0"/>
      <w:numFmt w:val="bullet"/>
      <w:lvlText w:val="•"/>
      <w:lvlJc w:val="left"/>
      <w:pPr>
        <w:ind w:left="353" w:hanging="224"/>
      </w:pPr>
      <w:rPr>
        <w:rFonts w:hint="default"/>
        <w:lang w:val="en-US" w:eastAsia="en-US" w:bidi="ar-SA"/>
      </w:rPr>
    </w:lvl>
    <w:lvl w:ilvl="3">
      <w:start w:val="0"/>
      <w:numFmt w:val="bullet"/>
      <w:lvlText w:val="•"/>
      <w:lvlJc w:val="left"/>
      <w:pPr>
        <w:ind w:left="420" w:hanging="224"/>
      </w:pPr>
      <w:rPr>
        <w:rFonts w:hint="default"/>
        <w:lang w:val="en-US" w:eastAsia="en-US" w:bidi="ar-SA"/>
      </w:rPr>
    </w:lvl>
    <w:lvl w:ilvl="4">
      <w:start w:val="0"/>
      <w:numFmt w:val="bullet"/>
      <w:lvlText w:val="•"/>
      <w:lvlJc w:val="left"/>
      <w:pPr>
        <w:ind w:left="487" w:hanging="224"/>
      </w:pPr>
      <w:rPr>
        <w:rFonts w:hint="default"/>
        <w:lang w:val="en-US" w:eastAsia="en-US" w:bidi="ar-SA"/>
      </w:rPr>
    </w:lvl>
    <w:lvl w:ilvl="5">
      <w:start w:val="0"/>
      <w:numFmt w:val="bullet"/>
      <w:lvlText w:val="•"/>
      <w:lvlJc w:val="left"/>
      <w:pPr>
        <w:ind w:left="554" w:hanging="224"/>
      </w:pPr>
      <w:rPr>
        <w:rFonts w:hint="default"/>
        <w:lang w:val="en-US" w:eastAsia="en-US" w:bidi="ar-SA"/>
      </w:rPr>
    </w:lvl>
    <w:lvl w:ilvl="6">
      <w:start w:val="0"/>
      <w:numFmt w:val="bullet"/>
      <w:lvlText w:val="•"/>
      <w:lvlJc w:val="left"/>
      <w:pPr>
        <w:ind w:left="620" w:hanging="224"/>
      </w:pPr>
      <w:rPr>
        <w:rFonts w:hint="default"/>
        <w:lang w:val="en-US" w:eastAsia="en-US" w:bidi="ar-SA"/>
      </w:rPr>
    </w:lvl>
    <w:lvl w:ilvl="7">
      <w:start w:val="0"/>
      <w:numFmt w:val="bullet"/>
      <w:lvlText w:val="•"/>
      <w:lvlJc w:val="left"/>
      <w:pPr>
        <w:ind w:left="687" w:hanging="224"/>
      </w:pPr>
      <w:rPr>
        <w:rFonts w:hint="default"/>
        <w:lang w:val="en-US" w:eastAsia="en-US" w:bidi="ar-SA"/>
      </w:rPr>
    </w:lvl>
    <w:lvl w:ilvl="8">
      <w:start w:val="0"/>
      <w:numFmt w:val="bullet"/>
      <w:lvlText w:val="•"/>
      <w:lvlJc w:val="left"/>
      <w:pPr>
        <w:ind w:left="754" w:hanging="224"/>
      </w:pPr>
      <w:rPr>
        <w:rFonts w:hint="default"/>
        <w:lang w:val="en-US" w:eastAsia="en-US" w:bidi="ar-SA"/>
      </w:rPr>
    </w:lvl>
  </w:abstractNum>
  <w:abstractNum w:abstractNumId="5">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A9406F"/>
    <w:multiLevelType w:val="hybridMultilevel"/>
    <w:tmpl w:val="3E2ECB84"/>
    <w:lvl w:ilvl="0">
      <w:start w:val="0"/>
      <w:numFmt w:val="bullet"/>
      <w:lvlText w:val=""/>
      <w:lvlJc w:val="left"/>
      <w:pPr>
        <w:ind w:left="245" w:hanging="246"/>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735" w:hanging="246"/>
      </w:pPr>
      <w:rPr>
        <w:rFonts w:hint="default"/>
        <w:lang w:val="en-US" w:eastAsia="en-US" w:bidi="ar-SA"/>
      </w:rPr>
    </w:lvl>
    <w:lvl w:ilvl="2">
      <w:start w:val="0"/>
      <w:numFmt w:val="bullet"/>
      <w:lvlText w:val="•"/>
      <w:lvlJc w:val="left"/>
      <w:pPr>
        <w:ind w:left="1231" w:hanging="246"/>
      </w:pPr>
      <w:rPr>
        <w:rFonts w:hint="default"/>
        <w:lang w:val="en-US" w:eastAsia="en-US" w:bidi="ar-SA"/>
      </w:rPr>
    </w:lvl>
    <w:lvl w:ilvl="3">
      <w:start w:val="0"/>
      <w:numFmt w:val="bullet"/>
      <w:lvlText w:val="•"/>
      <w:lvlJc w:val="left"/>
      <w:pPr>
        <w:ind w:left="1727" w:hanging="246"/>
      </w:pPr>
      <w:rPr>
        <w:rFonts w:hint="default"/>
        <w:lang w:val="en-US" w:eastAsia="en-US" w:bidi="ar-SA"/>
      </w:rPr>
    </w:lvl>
    <w:lvl w:ilvl="4">
      <w:start w:val="0"/>
      <w:numFmt w:val="bullet"/>
      <w:lvlText w:val="•"/>
      <w:lvlJc w:val="left"/>
      <w:pPr>
        <w:ind w:left="2223" w:hanging="246"/>
      </w:pPr>
      <w:rPr>
        <w:rFonts w:hint="default"/>
        <w:lang w:val="en-US" w:eastAsia="en-US" w:bidi="ar-SA"/>
      </w:rPr>
    </w:lvl>
    <w:lvl w:ilvl="5">
      <w:start w:val="0"/>
      <w:numFmt w:val="bullet"/>
      <w:lvlText w:val="•"/>
      <w:lvlJc w:val="left"/>
      <w:pPr>
        <w:ind w:left="2719" w:hanging="246"/>
      </w:pPr>
      <w:rPr>
        <w:rFonts w:hint="default"/>
        <w:lang w:val="en-US" w:eastAsia="en-US" w:bidi="ar-SA"/>
      </w:rPr>
    </w:lvl>
    <w:lvl w:ilvl="6">
      <w:start w:val="0"/>
      <w:numFmt w:val="bullet"/>
      <w:lvlText w:val="•"/>
      <w:lvlJc w:val="left"/>
      <w:pPr>
        <w:ind w:left="3214" w:hanging="246"/>
      </w:pPr>
      <w:rPr>
        <w:rFonts w:hint="default"/>
        <w:lang w:val="en-US" w:eastAsia="en-US" w:bidi="ar-SA"/>
      </w:rPr>
    </w:lvl>
    <w:lvl w:ilvl="7">
      <w:start w:val="0"/>
      <w:numFmt w:val="bullet"/>
      <w:lvlText w:val="•"/>
      <w:lvlJc w:val="left"/>
      <w:pPr>
        <w:ind w:left="3710" w:hanging="246"/>
      </w:pPr>
      <w:rPr>
        <w:rFonts w:hint="default"/>
        <w:lang w:val="en-US" w:eastAsia="en-US" w:bidi="ar-SA"/>
      </w:rPr>
    </w:lvl>
    <w:lvl w:ilvl="8">
      <w:start w:val="0"/>
      <w:numFmt w:val="bullet"/>
      <w:lvlText w:val="•"/>
      <w:lvlJc w:val="left"/>
      <w:pPr>
        <w:ind w:left="4206" w:hanging="246"/>
      </w:pPr>
      <w:rPr>
        <w:rFonts w:hint="default"/>
        <w:lang w:val="en-US" w:eastAsia="en-US" w:bidi="ar-SA"/>
      </w:rPr>
    </w:lvl>
  </w:abstractNum>
  <w:abstractNum w:abstractNumId="7">
    <w:nsid w:val="16155C71"/>
    <w:multiLevelType w:val="hybridMultilevel"/>
    <w:tmpl w:val="D0561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E5970BB"/>
    <w:multiLevelType w:val="hybridMultilevel"/>
    <w:tmpl w:val="0B2CDE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E0442E"/>
    <w:multiLevelType w:val="hybridMultilevel"/>
    <w:tmpl w:val="B364774E"/>
    <w:lvl w:ilvl="0">
      <w:start w:val="0"/>
      <w:numFmt w:val="bullet"/>
      <w:lvlText w:val=""/>
      <w:lvlJc w:val="left"/>
      <w:pPr>
        <w:ind w:left="223" w:hanging="224"/>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296" w:hanging="224"/>
      </w:pPr>
      <w:rPr>
        <w:rFonts w:hint="default"/>
        <w:lang w:val="en-US" w:eastAsia="en-US" w:bidi="ar-SA"/>
      </w:rPr>
    </w:lvl>
    <w:lvl w:ilvl="2">
      <w:start w:val="0"/>
      <w:numFmt w:val="bullet"/>
      <w:lvlText w:val="•"/>
      <w:lvlJc w:val="left"/>
      <w:pPr>
        <w:ind w:left="373" w:hanging="224"/>
      </w:pPr>
      <w:rPr>
        <w:rFonts w:hint="default"/>
        <w:lang w:val="en-US" w:eastAsia="en-US" w:bidi="ar-SA"/>
      </w:rPr>
    </w:lvl>
    <w:lvl w:ilvl="3">
      <w:start w:val="0"/>
      <w:numFmt w:val="bullet"/>
      <w:lvlText w:val="•"/>
      <w:lvlJc w:val="left"/>
      <w:pPr>
        <w:ind w:left="450" w:hanging="224"/>
      </w:pPr>
      <w:rPr>
        <w:rFonts w:hint="default"/>
        <w:lang w:val="en-US" w:eastAsia="en-US" w:bidi="ar-SA"/>
      </w:rPr>
    </w:lvl>
    <w:lvl w:ilvl="4">
      <w:start w:val="0"/>
      <w:numFmt w:val="bullet"/>
      <w:lvlText w:val="•"/>
      <w:lvlJc w:val="left"/>
      <w:pPr>
        <w:ind w:left="526" w:hanging="224"/>
      </w:pPr>
      <w:rPr>
        <w:rFonts w:hint="default"/>
        <w:lang w:val="en-US" w:eastAsia="en-US" w:bidi="ar-SA"/>
      </w:rPr>
    </w:lvl>
    <w:lvl w:ilvl="5">
      <w:start w:val="0"/>
      <w:numFmt w:val="bullet"/>
      <w:lvlText w:val="•"/>
      <w:lvlJc w:val="left"/>
      <w:pPr>
        <w:ind w:left="603" w:hanging="224"/>
      </w:pPr>
      <w:rPr>
        <w:rFonts w:hint="default"/>
        <w:lang w:val="en-US" w:eastAsia="en-US" w:bidi="ar-SA"/>
      </w:rPr>
    </w:lvl>
    <w:lvl w:ilvl="6">
      <w:start w:val="0"/>
      <w:numFmt w:val="bullet"/>
      <w:lvlText w:val="•"/>
      <w:lvlJc w:val="left"/>
      <w:pPr>
        <w:ind w:left="680" w:hanging="224"/>
      </w:pPr>
      <w:rPr>
        <w:rFonts w:hint="default"/>
        <w:lang w:val="en-US" w:eastAsia="en-US" w:bidi="ar-SA"/>
      </w:rPr>
    </w:lvl>
    <w:lvl w:ilvl="7">
      <w:start w:val="0"/>
      <w:numFmt w:val="bullet"/>
      <w:lvlText w:val="•"/>
      <w:lvlJc w:val="left"/>
      <w:pPr>
        <w:ind w:left="757" w:hanging="224"/>
      </w:pPr>
      <w:rPr>
        <w:rFonts w:hint="default"/>
        <w:lang w:val="en-US" w:eastAsia="en-US" w:bidi="ar-SA"/>
      </w:rPr>
    </w:lvl>
    <w:lvl w:ilvl="8">
      <w:start w:val="0"/>
      <w:numFmt w:val="bullet"/>
      <w:lvlText w:val="•"/>
      <w:lvlJc w:val="left"/>
      <w:pPr>
        <w:ind w:left="833" w:hanging="224"/>
      </w:pPr>
      <w:rPr>
        <w:rFonts w:hint="default"/>
        <w:lang w:val="en-US" w:eastAsia="en-US" w:bidi="ar-SA"/>
      </w:rPr>
    </w:lvl>
  </w:abstractNum>
  <w:abstractNum w:abstractNumId="11">
    <w:nsid w:val="26820351"/>
    <w:multiLevelType w:val="hybridMultilevel"/>
    <w:tmpl w:val="B408265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EB478E"/>
    <w:multiLevelType w:val="hybridMultilevel"/>
    <w:tmpl w:val="8CA059A8"/>
    <w:lvl w:ilvl="0">
      <w:start w:val="0"/>
      <w:numFmt w:val="bullet"/>
      <w:lvlText w:val=""/>
      <w:lvlJc w:val="left"/>
      <w:pPr>
        <w:ind w:left="413" w:hanging="27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086" w:hanging="270"/>
      </w:pPr>
      <w:rPr>
        <w:rFonts w:hint="default"/>
        <w:lang w:val="en-US" w:eastAsia="en-US" w:bidi="ar-SA"/>
      </w:rPr>
    </w:lvl>
    <w:lvl w:ilvl="2">
      <w:start w:val="0"/>
      <w:numFmt w:val="bullet"/>
      <w:lvlText w:val="•"/>
      <w:lvlJc w:val="left"/>
      <w:pPr>
        <w:ind w:left="1752" w:hanging="270"/>
      </w:pPr>
      <w:rPr>
        <w:rFonts w:hint="default"/>
        <w:lang w:val="en-US" w:eastAsia="en-US" w:bidi="ar-SA"/>
      </w:rPr>
    </w:lvl>
    <w:lvl w:ilvl="3">
      <w:start w:val="0"/>
      <w:numFmt w:val="bullet"/>
      <w:lvlText w:val="•"/>
      <w:lvlJc w:val="left"/>
      <w:pPr>
        <w:ind w:left="2418" w:hanging="270"/>
      </w:pPr>
      <w:rPr>
        <w:rFonts w:hint="default"/>
        <w:lang w:val="en-US" w:eastAsia="en-US" w:bidi="ar-SA"/>
      </w:rPr>
    </w:lvl>
    <w:lvl w:ilvl="4">
      <w:start w:val="0"/>
      <w:numFmt w:val="bullet"/>
      <w:lvlText w:val="•"/>
      <w:lvlJc w:val="left"/>
      <w:pPr>
        <w:ind w:left="3084" w:hanging="270"/>
      </w:pPr>
      <w:rPr>
        <w:rFonts w:hint="default"/>
        <w:lang w:val="en-US" w:eastAsia="en-US" w:bidi="ar-SA"/>
      </w:rPr>
    </w:lvl>
    <w:lvl w:ilvl="5">
      <w:start w:val="0"/>
      <w:numFmt w:val="bullet"/>
      <w:lvlText w:val="•"/>
      <w:lvlJc w:val="left"/>
      <w:pPr>
        <w:ind w:left="3751" w:hanging="270"/>
      </w:pPr>
      <w:rPr>
        <w:rFonts w:hint="default"/>
        <w:lang w:val="en-US" w:eastAsia="en-US" w:bidi="ar-SA"/>
      </w:rPr>
    </w:lvl>
    <w:lvl w:ilvl="6">
      <w:start w:val="0"/>
      <w:numFmt w:val="bullet"/>
      <w:lvlText w:val="•"/>
      <w:lvlJc w:val="left"/>
      <w:pPr>
        <w:ind w:left="4417" w:hanging="270"/>
      </w:pPr>
      <w:rPr>
        <w:rFonts w:hint="default"/>
        <w:lang w:val="en-US" w:eastAsia="en-US" w:bidi="ar-SA"/>
      </w:rPr>
    </w:lvl>
    <w:lvl w:ilvl="7">
      <w:start w:val="0"/>
      <w:numFmt w:val="bullet"/>
      <w:lvlText w:val="•"/>
      <w:lvlJc w:val="left"/>
      <w:pPr>
        <w:ind w:left="5083" w:hanging="270"/>
      </w:pPr>
      <w:rPr>
        <w:rFonts w:hint="default"/>
        <w:lang w:val="en-US" w:eastAsia="en-US" w:bidi="ar-SA"/>
      </w:rPr>
    </w:lvl>
    <w:lvl w:ilvl="8">
      <w:start w:val="0"/>
      <w:numFmt w:val="bullet"/>
      <w:lvlText w:val="•"/>
      <w:lvlJc w:val="left"/>
      <w:pPr>
        <w:ind w:left="5749" w:hanging="270"/>
      </w:pPr>
      <w:rPr>
        <w:rFonts w:hint="default"/>
        <w:lang w:val="en-US" w:eastAsia="en-US" w:bidi="ar-SA"/>
      </w:rPr>
    </w:lvl>
  </w:abstractNum>
  <w:abstractNum w:abstractNumId="14">
    <w:nsid w:val="343F22ED"/>
    <w:multiLevelType w:val="hybridMultilevel"/>
    <w:tmpl w:val="3A58910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3A4D54E7"/>
    <w:multiLevelType w:val="hybridMultilevel"/>
    <w:tmpl w:val="DF2889EC"/>
    <w:lvl w:ilvl="0">
      <w:start w:val="0"/>
      <w:numFmt w:val="bullet"/>
      <w:lvlText w:val=""/>
      <w:lvlJc w:val="left"/>
      <w:pPr>
        <w:ind w:left="245" w:hanging="246"/>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791" w:hanging="246"/>
      </w:pPr>
      <w:rPr>
        <w:rFonts w:hint="default"/>
        <w:lang w:val="en-US" w:eastAsia="en-US" w:bidi="ar-SA"/>
      </w:rPr>
    </w:lvl>
    <w:lvl w:ilvl="2">
      <w:start w:val="0"/>
      <w:numFmt w:val="bullet"/>
      <w:lvlText w:val="•"/>
      <w:lvlJc w:val="left"/>
      <w:pPr>
        <w:ind w:left="1343" w:hanging="246"/>
      </w:pPr>
      <w:rPr>
        <w:rFonts w:hint="default"/>
        <w:lang w:val="en-US" w:eastAsia="en-US" w:bidi="ar-SA"/>
      </w:rPr>
    </w:lvl>
    <w:lvl w:ilvl="3">
      <w:start w:val="0"/>
      <w:numFmt w:val="bullet"/>
      <w:lvlText w:val="•"/>
      <w:lvlJc w:val="left"/>
      <w:pPr>
        <w:ind w:left="1894" w:hanging="246"/>
      </w:pPr>
      <w:rPr>
        <w:rFonts w:hint="default"/>
        <w:lang w:val="en-US" w:eastAsia="en-US" w:bidi="ar-SA"/>
      </w:rPr>
    </w:lvl>
    <w:lvl w:ilvl="4">
      <w:start w:val="0"/>
      <w:numFmt w:val="bullet"/>
      <w:lvlText w:val="•"/>
      <w:lvlJc w:val="left"/>
      <w:pPr>
        <w:ind w:left="2446" w:hanging="246"/>
      </w:pPr>
      <w:rPr>
        <w:rFonts w:hint="default"/>
        <w:lang w:val="en-US" w:eastAsia="en-US" w:bidi="ar-SA"/>
      </w:rPr>
    </w:lvl>
    <w:lvl w:ilvl="5">
      <w:start w:val="0"/>
      <w:numFmt w:val="bullet"/>
      <w:lvlText w:val="•"/>
      <w:lvlJc w:val="left"/>
      <w:pPr>
        <w:ind w:left="2997" w:hanging="246"/>
      </w:pPr>
      <w:rPr>
        <w:rFonts w:hint="default"/>
        <w:lang w:val="en-US" w:eastAsia="en-US" w:bidi="ar-SA"/>
      </w:rPr>
    </w:lvl>
    <w:lvl w:ilvl="6">
      <w:start w:val="0"/>
      <w:numFmt w:val="bullet"/>
      <w:lvlText w:val="•"/>
      <w:lvlJc w:val="left"/>
      <w:pPr>
        <w:ind w:left="3549" w:hanging="246"/>
      </w:pPr>
      <w:rPr>
        <w:rFonts w:hint="default"/>
        <w:lang w:val="en-US" w:eastAsia="en-US" w:bidi="ar-SA"/>
      </w:rPr>
    </w:lvl>
    <w:lvl w:ilvl="7">
      <w:start w:val="0"/>
      <w:numFmt w:val="bullet"/>
      <w:lvlText w:val="•"/>
      <w:lvlJc w:val="left"/>
      <w:pPr>
        <w:ind w:left="4101" w:hanging="246"/>
      </w:pPr>
      <w:rPr>
        <w:rFonts w:hint="default"/>
        <w:lang w:val="en-US" w:eastAsia="en-US" w:bidi="ar-SA"/>
      </w:rPr>
    </w:lvl>
    <w:lvl w:ilvl="8">
      <w:start w:val="0"/>
      <w:numFmt w:val="bullet"/>
      <w:lvlText w:val="•"/>
      <w:lvlJc w:val="left"/>
      <w:pPr>
        <w:ind w:left="4652" w:hanging="246"/>
      </w:pPr>
      <w:rPr>
        <w:rFonts w:hint="default"/>
        <w:lang w:val="en-US" w:eastAsia="en-US" w:bidi="ar-SA"/>
      </w:rPr>
    </w:lvl>
  </w:abstractNum>
  <w:abstractNum w:abstractNumId="16">
    <w:nsid w:val="3CBB01B4"/>
    <w:multiLevelType w:val="hybridMultilevel"/>
    <w:tmpl w:val="37B6C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12219A"/>
    <w:multiLevelType w:val="hybridMultilevel"/>
    <w:tmpl w:val="06F2D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3F510A"/>
    <w:multiLevelType w:val="hybridMultilevel"/>
    <w:tmpl w:val="6FCE8E54"/>
    <w:lvl w:ilvl="0">
      <w:start w:val="0"/>
      <w:numFmt w:val="bullet"/>
      <w:lvlText w:val=""/>
      <w:lvlJc w:val="left"/>
      <w:pPr>
        <w:ind w:left="413" w:hanging="27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902" w:hanging="270"/>
      </w:pPr>
      <w:rPr>
        <w:rFonts w:hint="default"/>
        <w:lang w:val="en-US" w:eastAsia="en-US" w:bidi="ar-SA"/>
      </w:rPr>
    </w:lvl>
    <w:lvl w:ilvl="2">
      <w:start w:val="0"/>
      <w:numFmt w:val="bullet"/>
      <w:lvlText w:val="•"/>
      <w:lvlJc w:val="left"/>
      <w:pPr>
        <w:ind w:left="1384" w:hanging="270"/>
      </w:pPr>
      <w:rPr>
        <w:rFonts w:hint="default"/>
        <w:lang w:val="en-US" w:eastAsia="en-US" w:bidi="ar-SA"/>
      </w:rPr>
    </w:lvl>
    <w:lvl w:ilvl="3">
      <w:start w:val="0"/>
      <w:numFmt w:val="bullet"/>
      <w:lvlText w:val="•"/>
      <w:lvlJc w:val="left"/>
      <w:pPr>
        <w:ind w:left="1867" w:hanging="270"/>
      </w:pPr>
      <w:rPr>
        <w:rFonts w:hint="default"/>
        <w:lang w:val="en-US" w:eastAsia="en-US" w:bidi="ar-SA"/>
      </w:rPr>
    </w:lvl>
    <w:lvl w:ilvl="4">
      <w:start w:val="0"/>
      <w:numFmt w:val="bullet"/>
      <w:lvlText w:val="•"/>
      <w:lvlJc w:val="left"/>
      <w:pPr>
        <w:ind w:left="2349" w:hanging="270"/>
      </w:pPr>
      <w:rPr>
        <w:rFonts w:hint="default"/>
        <w:lang w:val="en-US" w:eastAsia="en-US" w:bidi="ar-SA"/>
      </w:rPr>
    </w:lvl>
    <w:lvl w:ilvl="5">
      <w:start w:val="0"/>
      <w:numFmt w:val="bullet"/>
      <w:lvlText w:val="•"/>
      <w:lvlJc w:val="left"/>
      <w:pPr>
        <w:ind w:left="2832" w:hanging="270"/>
      </w:pPr>
      <w:rPr>
        <w:rFonts w:hint="default"/>
        <w:lang w:val="en-US" w:eastAsia="en-US" w:bidi="ar-SA"/>
      </w:rPr>
    </w:lvl>
    <w:lvl w:ilvl="6">
      <w:start w:val="0"/>
      <w:numFmt w:val="bullet"/>
      <w:lvlText w:val="•"/>
      <w:lvlJc w:val="left"/>
      <w:pPr>
        <w:ind w:left="3314" w:hanging="270"/>
      </w:pPr>
      <w:rPr>
        <w:rFonts w:hint="default"/>
        <w:lang w:val="en-US" w:eastAsia="en-US" w:bidi="ar-SA"/>
      </w:rPr>
    </w:lvl>
    <w:lvl w:ilvl="7">
      <w:start w:val="0"/>
      <w:numFmt w:val="bullet"/>
      <w:lvlText w:val="•"/>
      <w:lvlJc w:val="left"/>
      <w:pPr>
        <w:ind w:left="3796" w:hanging="270"/>
      </w:pPr>
      <w:rPr>
        <w:rFonts w:hint="default"/>
        <w:lang w:val="en-US" w:eastAsia="en-US" w:bidi="ar-SA"/>
      </w:rPr>
    </w:lvl>
    <w:lvl w:ilvl="8">
      <w:start w:val="0"/>
      <w:numFmt w:val="bullet"/>
      <w:lvlText w:val="•"/>
      <w:lvlJc w:val="left"/>
      <w:pPr>
        <w:ind w:left="4279" w:hanging="270"/>
      </w:pPr>
      <w:rPr>
        <w:rFonts w:hint="default"/>
        <w:lang w:val="en-US" w:eastAsia="en-US" w:bidi="ar-SA"/>
      </w:rPr>
    </w:lvl>
  </w:abstractNum>
  <w:abstractNum w:abstractNumId="19">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0EB0AD7"/>
    <w:multiLevelType w:val="hybridMultilevel"/>
    <w:tmpl w:val="F11C64AC"/>
    <w:lvl w:ilvl="0">
      <w:start w:val="1"/>
      <w:numFmt w:val="decimal"/>
      <w:lvlText w:val="%1."/>
      <w:lvlJc w:val="left"/>
      <w:pPr>
        <w:ind w:left="720" w:hanging="360"/>
      </w:pPr>
      <w:rPr>
        <w:rFont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450B5D"/>
    <w:multiLevelType w:val="hybridMultilevel"/>
    <w:tmpl w:val="16BEDF8C"/>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8">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C171E7"/>
    <w:multiLevelType w:val="hybridMultilevel"/>
    <w:tmpl w:val="5CF0D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D445F7"/>
    <w:multiLevelType w:val="hybridMultilevel"/>
    <w:tmpl w:val="C720CF44"/>
    <w:lvl w:ilvl="0">
      <w:start w:val="0"/>
      <w:numFmt w:val="bullet"/>
      <w:lvlText w:val=""/>
      <w:lvlJc w:val="left"/>
      <w:pPr>
        <w:ind w:left="245" w:hanging="246"/>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740" w:hanging="246"/>
      </w:pPr>
      <w:rPr>
        <w:rFonts w:hint="default"/>
        <w:lang w:val="en-US" w:eastAsia="en-US" w:bidi="ar-SA"/>
      </w:rPr>
    </w:lvl>
    <w:lvl w:ilvl="2">
      <w:start w:val="0"/>
      <w:numFmt w:val="bullet"/>
      <w:lvlText w:val="•"/>
      <w:lvlJc w:val="left"/>
      <w:pPr>
        <w:ind w:left="1240" w:hanging="246"/>
      </w:pPr>
      <w:rPr>
        <w:rFonts w:hint="default"/>
        <w:lang w:val="en-US" w:eastAsia="en-US" w:bidi="ar-SA"/>
      </w:rPr>
    </w:lvl>
    <w:lvl w:ilvl="3">
      <w:start w:val="0"/>
      <w:numFmt w:val="bullet"/>
      <w:lvlText w:val="•"/>
      <w:lvlJc w:val="left"/>
      <w:pPr>
        <w:ind w:left="1741" w:hanging="246"/>
      </w:pPr>
      <w:rPr>
        <w:rFonts w:hint="default"/>
        <w:lang w:val="en-US" w:eastAsia="en-US" w:bidi="ar-SA"/>
      </w:rPr>
    </w:lvl>
    <w:lvl w:ilvl="4">
      <w:start w:val="0"/>
      <w:numFmt w:val="bullet"/>
      <w:lvlText w:val="•"/>
      <w:lvlJc w:val="left"/>
      <w:pPr>
        <w:ind w:left="2241" w:hanging="246"/>
      </w:pPr>
      <w:rPr>
        <w:rFonts w:hint="default"/>
        <w:lang w:val="en-US" w:eastAsia="en-US" w:bidi="ar-SA"/>
      </w:rPr>
    </w:lvl>
    <w:lvl w:ilvl="5">
      <w:start w:val="0"/>
      <w:numFmt w:val="bullet"/>
      <w:lvlText w:val="•"/>
      <w:lvlJc w:val="left"/>
      <w:pPr>
        <w:ind w:left="2741" w:hanging="246"/>
      </w:pPr>
      <w:rPr>
        <w:rFonts w:hint="default"/>
        <w:lang w:val="en-US" w:eastAsia="en-US" w:bidi="ar-SA"/>
      </w:rPr>
    </w:lvl>
    <w:lvl w:ilvl="6">
      <w:start w:val="0"/>
      <w:numFmt w:val="bullet"/>
      <w:lvlText w:val="•"/>
      <w:lvlJc w:val="left"/>
      <w:pPr>
        <w:ind w:left="3241" w:hanging="246"/>
      </w:pPr>
      <w:rPr>
        <w:rFonts w:hint="default"/>
        <w:lang w:val="en-US" w:eastAsia="en-US" w:bidi="ar-SA"/>
      </w:rPr>
    </w:lvl>
    <w:lvl w:ilvl="7">
      <w:start w:val="0"/>
      <w:numFmt w:val="bullet"/>
      <w:lvlText w:val="•"/>
      <w:lvlJc w:val="left"/>
      <w:pPr>
        <w:ind w:left="3742" w:hanging="246"/>
      </w:pPr>
      <w:rPr>
        <w:rFonts w:hint="default"/>
        <w:lang w:val="en-US" w:eastAsia="en-US" w:bidi="ar-SA"/>
      </w:rPr>
    </w:lvl>
    <w:lvl w:ilvl="8">
      <w:start w:val="0"/>
      <w:numFmt w:val="bullet"/>
      <w:lvlText w:val="•"/>
      <w:lvlJc w:val="left"/>
      <w:pPr>
        <w:ind w:left="4242" w:hanging="246"/>
      </w:pPr>
      <w:rPr>
        <w:rFonts w:hint="default"/>
        <w:lang w:val="en-US" w:eastAsia="en-US" w:bidi="ar-SA"/>
      </w:rPr>
    </w:lvl>
  </w:abstractNum>
  <w:abstractNum w:abstractNumId="31">
    <w:nsid w:val="61B05EA6"/>
    <w:multiLevelType w:val="hybridMultilevel"/>
    <w:tmpl w:val="31D2D6D8"/>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61BE73A6"/>
    <w:multiLevelType w:val="hybridMultilevel"/>
    <w:tmpl w:val="FEFA6BF6"/>
    <w:lvl w:ilvl="0">
      <w:start w:val="0"/>
      <w:numFmt w:val="bullet"/>
      <w:lvlText w:val=""/>
      <w:lvlJc w:val="left"/>
      <w:pPr>
        <w:ind w:left="245" w:hanging="246"/>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521" w:hanging="246"/>
      </w:pPr>
      <w:rPr>
        <w:rFonts w:hint="default"/>
        <w:lang w:val="en-US" w:eastAsia="en-US" w:bidi="ar-SA"/>
      </w:rPr>
    </w:lvl>
    <w:lvl w:ilvl="2">
      <w:start w:val="0"/>
      <w:numFmt w:val="bullet"/>
      <w:lvlText w:val="•"/>
      <w:lvlJc w:val="left"/>
      <w:pPr>
        <w:ind w:left="803" w:hanging="246"/>
      </w:pPr>
      <w:rPr>
        <w:rFonts w:hint="default"/>
        <w:lang w:val="en-US" w:eastAsia="en-US" w:bidi="ar-SA"/>
      </w:rPr>
    </w:lvl>
    <w:lvl w:ilvl="3">
      <w:start w:val="0"/>
      <w:numFmt w:val="bullet"/>
      <w:lvlText w:val="•"/>
      <w:lvlJc w:val="left"/>
      <w:pPr>
        <w:ind w:left="1085" w:hanging="246"/>
      </w:pPr>
      <w:rPr>
        <w:rFonts w:hint="default"/>
        <w:lang w:val="en-US" w:eastAsia="en-US" w:bidi="ar-SA"/>
      </w:rPr>
    </w:lvl>
    <w:lvl w:ilvl="4">
      <w:start w:val="0"/>
      <w:numFmt w:val="bullet"/>
      <w:lvlText w:val="•"/>
      <w:lvlJc w:val="left"/>
      <w:pPr>
        <w:ind w:left="1367" w:hanging="246"/>
      </w:pPr>
      <w:rPr>
        <w:rFonts w:hint="default"/>
        <w:lang w:val="en-US" w:eastAsia="en-US" w:bidi="ar-SA"/>
      </w:rPr>
    </w:lvl>
    <w:lvl w:ilvl="5">
      <w:start w:val="0"/>
      <w:numFmt w:val="bullet"/>
      <w:lvlText w:val="•"/>
      <w:lvlJc w:val="left"/>
      <w:pPr>
        <w:ind w:left="1649" w:hanging="246"/>
      </w:pPr>
      <w:rPr>
        <w:rFonts w:hint="default"/>
        <w:lang w:val="en-US" w:eastAsia="en-US" w:bidi="ar-SA"/>
      </w:rPr>
    </w:lvl>
    <w:lvl w:ilvl="6">
      <w:start w:val="0"/>
      <w:numFmt w:val="bullet"/>
      <w:lvlText w:val="•"/>
      <w:lvlJc w:val="left"/>
      <w:pPr>
        <w:ind w:left="1931" w:hanging="246"/>
      </w:pPr>
      <w:rPr>
        <w:rFonts w:hint="default"/>
        <w:lang w:val="en-US" w:eastAsia="en-US" w:bidi="ar-SA"/>
      </w:rPr>
    </w:lvl>
    <w:lvl w:ilvl="7">
      <w:start w:val="0"/>
      <w:numFmt w:val="bullet"/>
      <w:lvlText w:val="•"/>
      <w:lvlJc w:val="left"/>
      <w:pPr>
        <w:ind w:left="2213" w:hanging="246"/>
      </w:pPr>
      <w:rPr>
        <w:rFonts w:hint="default"/>
        <w:lang w:val="en-US" w:eastAsia="en-US" w:bidi="ar-SA"/>
      </w:rPr>
    </w:lvl>
    <w:lvl w:ilvl="8">
      <w:start w:val="0"/>
      <w:numFmt w:val="bullet"/>
      <w:lvlText w:val="•"/>
      <w:lvlJc w:val="left"/>
      <w:pPr>
        <w:ind w:left="2495" w:hanging="246"/>
      </w:pPr>
      <w:rPr>
        <w:rFonts w:hint="default"/>
        <w:lang w:val="en-US" w:eastAsia="en-US" w:bidi="ar-SA"/>
      </w:rPr>
    </w:lvl>
  </w:abstractNum>
  <w:abstractNum w:abstractNumId="33">
    <w:nsid w:val="624A77AD"/>
    <w:multiLevelType w:val="hybridMultilevel"/>
    <w:tmpl w:val="EF94B6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3352E7E"/>
    <w:multiLevelType w:val="hybridMultilevel"/>
    <w:tmpl w:val="C8B4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6C01B3C"/>
    <w:multiLevelType w:val="hybridMultilevel"/>
    <w:tmpl w:val="1DD6F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38">
    <w:nsid w:val="7E113479"/>
    <w:multiLevelType w:val="hybridMultilevel"/>
    <w:tmpl w:val="91921BF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num w:numId="1" w16cid:durableId="694578842">
    <w:abstractNumId w:val="8"/>
  </w:num>
  <w:num w:numId="2" w16cid:durableId="7769507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351673">
    <w:abstractNumId w:val="37"/>
  </w:num>
  <w:num w:numId="4" w16cid:durableId="1340617802">
    <w:abstractNumId w:val="33"/>
  </w:num>
  <w:num w:numId="5" w16cid:durableId="758719658">
    <w:abstractNumId w:val="27"/>
  </w:num>
  <w:num w:numId="6" w16cid:durableId="686636688">
    <w:abstractNumId w:val="19"/>
  </w:num>
  <w:num w:numId="7" w16cid:durableId="1475293129">
    <w:abstractNumId w:val="25"/>
  </w:num>
  <w:num w:numId="8" w16cid:durableId="1591423687">
    <w:abstractNumId w:val="20"/>
  </w:num>
  <w:num w:numId="9" w16cid:durableId="1169562523">
    <w:abstractNumId w:val="28"/>
  </w:num>
  <w:num w:numId="10" w16cid:durableId="889347514">
    <w:abstractNumId w:val="12"/>
  </w:num>
  <w:num w:numId="11" w16cid:durableId="1802770628">
    <w:abstractNumId w:val="2"/>
  </w:num>
  <w:num w:numId="12" w16cid:durableId="1269966514">
    <w:abstractNumId w:val="24"/>
  </w:num>
  <w:num w:numId="13" w16cid:durableId="1179346452">
    <w:abstractNumId w:val="3"/>
  </w:num>
  <w:num w:numId="14" w16cid:durableId="1291088762">
    <w:abstractNumId w:val="5"/>
  </w:num>
  <w:num w:numId="15" w16cid:durableId="1697266242">
    <w:abstractNumId w:val="21"/>
  </w:num>
  <w:num w:numId="16" w16cid:durableId="823161337">
    <w:abstractNumId w:val="36"/>
  </w:num>
  <w:num w:numId="17" w16cid:durableId="1167787334">
    <w:abstractNumId w:val="38"/>
  </w:num>
  <w:num w:numId="18" w16cid:durableId="513303156">
    <w:abstractNumId w:val="4"/>
  </w:num>
  <w:num w:numId="19" w16cid:durableId="1166625063">
    <w:abstractNumId w:val="32"/>
  </w:num>
  <w:num w:numId="20" w16cid:durableId="477379160">
    <w:abstractNumId w:val="30"/>
  </w:num>
  <w:num w:numId="21" w16cid:durableId="2048751803">
    <w:abstractNumId w:val="0"/>
  </w:num>
  <w:num w:numId="22" w16cid:durableId="1663074214">
    <w:abstractNumId w:val="6"/>
  </w:num>
  <w:num w:numId="23" w16cid:durableId="1504929782">
    <w:abstractNumId w:val="15"/>
  </w:num>
  <w:num w:numId="24" w16cid:durableId="330111195">
    <w:abstractNumId w:val="10"/>
  </w:num>
  <w:num w:numId="25" w16cid:durableId="1195926890">
    <w:abstractNumId w:val="13"/>
  </w:num>
  <w:num w:numId="26" w16cid:durableId="1527325476">
    <w:abstractNumId w:val="18"/>
  </w:num>
  <w:num w:numId="27" w16cid:durableId="1979725773">
    <w:abstractNumId w:val="9"/>
  </w:num>
  <w:num w:numId="28" w16cid:durableId="1448231569">
    <w:abstractNumId w:val="26"/>
  </w:num>
  <w:num w:numId="29" w16cid:durableId="1063525721">
    <w:abstractNumId w:val="31"/>
  </w:num>
  <w:num w:numId="30" w16cid:durableId="2030447312">
    <w:abstractNumId w:val="29"/>
  </w:num>
  <w:num w:numId="31" w16cid:durableId="1298295298">
    <w:abstractNumId w:val="16"/>
  </w:num>
  <w:num w:numId="32" w16cid:durableId="675419629">
    <w:abstractNumId w:val="17"/>
  </w:num>
  <w:num w:numId="33" w16cid:durableId="244002330">
    <w:abstractNumId w:val="35"/>
  </w:num>
  <w:num w:numId="34" w16cid:durableId="843594508">
    <w:abstractNumId w:val="1"/>
  </w:num>
  <w:num w:numId="35" w16cid:durableId="1361858790">
    <w:abstractNumId w:val="23"/>
  </w:num>
  <w:num w:numId="36" w16cid:durableId="1818179574">
    <w:abstractNumId w:val="11"/>
  </w:num>
  <w:num w:numId="37" w16cid:durableId="411197525">
    <w:abstractNumId w:val="14"/>
  </w:num>
  <w:num w:numId="38" w16cid:durableId="129399454">
    <w:abstractNumId w:val="34"/>
  </w:num>
  <w:num w:numId="39" w16cid:durableId="582645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74"/>
    <w:rsid w:val="0000139B"/>
    <w:rsid w:val="00007289"/>
    <w:rsid w:val="00011E85"/>
    <w:rsid w:val="00012921"/>
    <w:rsid w:val="00012FB9"/>
    <w:rsid w:val="00014647"/>
    <w:rsid w:val="00015AAF"/>
    <w:rsid w:val="00016560"/>
    <w:rsid w:val="00022472"/>
    <w:rsid w:val="00024FEE"/>
    <w:rsid w:val="00027DAD"/>
    <w:rsid w:val="00033301"/>
    <w:rsid w:val="00037998"/>
    <w:rsid w:val="00043473"/>
    <w:rsid w:val="00045959"/>
    <w:rsid w:val="00046359"/>
    <w:rsid w:val="000542FF"/>
    <w:rsid w:val="0006207D"/>
    <w:rsid w:val="0006354E"/>
    <w:rsid w:val="00064C1A"/>
    <w:rsid w:val="0006539E"/>
    <w:rsid w:val="0006559D"/>
    <w:rsid w:val="00065CD4"/>
    <w:rsid w:val="00073BCB"/>
    <w:rsid w:val="00074B31"/>
    <w:rsid w:val="000769F7"/>
    <w:rsid w:val="000779A9"/>
    <w:rsid w:val="00082047"/>
    <w:rsid w:val="0008224D"/>
    <w:rsid w:val="00093166"/>
    <w:rsid w:val="00093AC5"/>
    <w:rsid w:val="00093C26"/>
    <w:rsid w:val="00094648"/>
    <w:rsid w:val="000A016A"/>
    <w:rsid w:val="000A140E"/>
    <w:rsid w:val="000A3475"/>
    <w:rsid w:val="000A5A8E"/>
    <w:rsid w:val="000B02D3"/>
    <w:rsid w:val="000B1DEF"/>
    <w:rsid w:val="000B39E1"/>
    <w:rsid w:val="000B5683"/>
    <w:rsid w:val="000B78CB"/>
    <w:rsid w:val="000C0F55"/>
    <w:rsid w:val="000C18EC"/>
    <w:rsid w:val="000C30FB"/>
    <w:rsid w:val="000C3E6C"/>
    <w:rsid w:val="000C41AB"/>
    <w:rsid w:val="000C6156"/>
    <w:rsid w:val="000C69C0"/>
    <w:rsid w:val="000C6C66"/>
    <w:rsid w:val="000D429E"/>
    <w:rsid w:val="000D5126"/>
    <w:rsid w:val="000E01D1"/>
    <w:rsid w:val="000E0E20"/>
    <w:rsid w:val="000E4300"/>
    <w:rsid w:val="000F1328"/>
    <w:rsid w:val="000F2B59"/>
    <w:rsid w:val="00101522"/>
    <w:rsid w:val="00112DF2"/>
    <w:rsid w:val="001140D9"/>
    <w:rsid w:val="00115661"/>
    <w:rsid w:val="00116059"/>
    <w:rsid w:val="001165A0"/>
    <w:rsid w:val="001165AA"/>
    <w:rsid w:val="00120A0C"/>
    <w:rsid w:val="00124917"/>
    <w:rsid w:val="001301AA"/>
    <w:rsid w:val="00131443"/>
    <w:rsid w:val="00131834"/>
    <w:rsid w:val="00153FEA"/>
    <w:rsid w:val="00155618"/>
    <w:rsid w:val="00157486"/>
    <w:rsid w:val="00157FCB"/>
    <w:rsid w:val="001656D0"/>
    <w:rsid w:val="00165FC9"/>
    <w:rsid w:val="00166A69"/>
    <w:rsid w:val="00181266"/>
    <w:rsid w:val="001822AD"/>
    <w:rsid w:val="001868E0"/>
    <w:rsid w:val="00186CDA"/>
    <w:rsid w:val="00187A50"/>
    <w:rsid w:val="0019223E"/>
    <w:rsid w:val="00195218"/>
    <w:rsid w:val="0019672B"/>
    <w:rsid w:val="001A28C0"/>
    <w:rsid w:val="001A2B1D"/>
    <w:rsid w:val="001A3B08"/>
    <w:rsid w:val="001B1C61"/>
    <w:rsid w:val="001B234D"/>
    <w:rsid w:val="001B5599"/>
    <w:rsid w:val="001B7E8A"/>
    <w:rsid w:val="001C03A0"/>
    <w:rsid w:val="001C2215"/>
    <w:rsid w:val="001C4AA9"/>
    <w:rsid w:val="001C59E4"/>
    <w:rsid w:val="001C5FB7"/>
    <w:rsid w:val="001D0454"/>
    <w:rsid w:val="001D2B6E"/>
    <w:rsid w:val="001D69FD"/>
    <w:rsid w:val="001E16FE"/>
    <w:rsid w:val="001E63C6"/>
    <w:rsid w:val="001F3E6D"/>
    <w:rsid w:val="001F58A6"/>
    <w:rsid w:val="001F708A"/>
    <w:rsid w:val="002001AA"/>
    <w:rsid w:val="002001DC"/>
    <w:rsid w:val="00211E70"/>
    <w:rsid w:val="00212F36"/>
    <w:rsid w:val="0021687B"/>
    <w:rsid w:val="0022366A"/>
    <w:rsid w:val="00224034"/>
    <w:rsid w:val="00224249"/>
    <w:rsid w:val="00230062"/>
    <w:rsid w:val="00232282"/>
    <w:rsid w:val="00232656"/>
    <w:rsid w:val="0023391C"/>
    <w:rsid w:val="00233B44"/>
    <w:rsid w:val="00244D4B"/>
    <w:rsid w:val="00250903"/>
    <w:rsid w:val="00250F9E"/>
    <w:rsid w:val="00251249"/>
    <w:rsid w:val="002565A5"/>
    <w:rsid w:val="0026424E"/>
    <w:rsid w:val="002648E8"/>
    <w:rsid w:val="00272E29"/>
    <w:rsid w:val="00276B0C"/>
    <w:rsid w:val="00281755"/>
    <w:rsid w:val="00291B73"/>
    <w:rsid w:val="0029734C"/>
    <w:rsid w:val="002B382B"/>
    <w:rsid w:val="002B5C24"/>
    <w:rsid w:val="002B7635"/>
    <w:rsid w:val="002C061F"/>
    <w:rsid w:val="002C5E92"/>
    <w:rsid w:val="002D0E1C"/>
    <w:rsid w:val="002E0C77"/>
    <w:rsid w:val="002E4EDD"/>
    <w:rsid w:val="002E54EF"/>
    <w:rsid w:val="002E7978"/>
    <w:rsid w:val="002F3143"/>
    <w:rsid w:val="002F4DE8"/>
    <w:rsid w:val="00300041"/>
    <w:rsid w:val="003027A4"/>
    <w:rsid w:val="00302850"/>
    <w:rsid w:val="00303D83"/>
    <w:rsid w:val="00304FCC"/>
    <w:rsid w:val="0031248B"/>
    <w:rsid w:val="003131A7"/>
    <w:rsid w:val="00314D1A"/>
    <w:rsid w:val="003153DC"/>
    <w:rsid w:val="00324242"/>
    <w:rsid w:val="00325B9C"/>
    <w:rsid w:val="00325CE6"/>
    <w:rsid w:val="003270FA"/>
    <w:rsid w:val="00330523"/>
    <w:rsid w:val="003308D6"/>
    <w:rsid w:val="003314E4"/>
    <w:rsid w:val="003330E5"/>
    <w:rsid w:val="00340D97"/>
    <w:rsid w:val="00342167"/>
    <w:rsid w:val="00342410"/>
    <w:rsid w:val="0034325D"/>
    <w:rsid w:val="00346386"/>
    <w:rsid w:val="003467A9"/>
    <w:rsid w:val="00350129"/>
    <w:rsid w:val="00350E4E"/>
    <w:rsid w:val="00351DFD"/>
    <w:rsid w:val="00353B32"/>
    <w:rsid w:val="00361F52"/>
    <w:rsid w:val="00363DD6"/>
    <w:rsid w:val="00365A15"/>
    <w:rsid w:val="00365B7B"/>
    <w:rsid w:val="00367551"/>
    <w:rsid w:val="0037254D"/>
    <w:rsid w:val="0037427A"/>
    <w:rsid w:val="00377301"/>
    <w:rsid w:val="0037771B"/>
    <w:rsid w:val="00377D80"/>
    <w:rsid w:val="0038217D"/>
    <w:rsid w:val="00383823"/>
    <w:rsid w:val="003852DA"/>
    <w:rsid w:val="0038648B"/>
    <w:rsid w:val="00387C0C"/>
    <w:rsid w:val="003952B0"/>
    <w:rsid w:val="003A0672"/>
    <w:rsid w:val="003A3D39"/>
    <w:rsid w:val="003A6983"/>
    <w:rsid w:val="003A7F4E"/>
    <w:rsid w:val="003B20AD"/>
    <w:rsid w:val="003B2951"/>
    <w:rsid w:val="003B2FCC"/>
    <w:rsid w:val="003B5859"/>
    <w:rsid w:val="003B6B41"/>
    <w:rsid w:val="003C60BD"/>
    <w:rsid w:val="003D03CC"/>
    <w:rsid w:val="003D21A7"/>
    <w:rsid w:val="003D3596"/>
    <w:rsid w:val="003D3937"/>
    <w:rsid w:val="003D73D8"/>
    <w:rsid w:val="003D784C"/>
    <w:rsid w:val="003D7908"/>
    <w:rsid w:val="003E2801"/>
    <w:rsid w:val="003E2948"/>
    <w:rsid w:val="003E7047"/>
    <w:rsid w:val="003F4C19"/>
    <w:rsid w:val="003F5921"/>
    <w:rsid w:val="00401766"/>
    <w:rsid w:val="00403376"/>
    <w:rsid w:val="00406816"/>
    <w:rsid w:val="00407D30"/>
    <w:rsid w:val="00412C6F"/>
    <w:rsid w:val="004131BC"/>
    <w:rsid w:val="00413763"/>
    <w:rsid w:val="00414C80"/>
    <w:rsid w:val="004155E1"/>
    <w:rsid w:val="00416844"/>
    <w:rsid w:val="00417674"/>
    <w:rsid w:val="004178EA"/>
    <w:rsid w:val="00422B48"/>
    <w:rsid w:val="00423CA2"/>
    <w:rsid w:val="00423E8F"/>
    <w:rsid w:val="00424E6E"/>
    <w:rsid w:val="004256A3"/>
    <w:rsid w:val="00425974"/>
    <w:rsid w:val="00425CCA"/>
    <w:rsid w:val="00432061"/>
    <w:rsid w:val="0043596B"/>
    <w:rsid w:val="00441D39"/>
    <w:rsid w:val="00441E1E"/>
    <w:rsid w:val="00442493"/>
    <w:rsid w:val="00442DD5"/>
    <w:rsid w:val="004438E9"/>
    <w:rsid w:val="00446831"/>
    <w:rsid w:val="0044769A"/>
    <w:rsid w:val="00450538"/>
    <w:rsid w:val="00450CD5"/>
    <w:rsid w:val="00452268"/>
    <w:rsid w:val="00456179"/>
    <w:rsid w:val="00460CFC"/>
    <w:rsid w:val="00462BE3"/>
    <w:rsid w:val="00464CA9"/>
    <w:rsid w:val="004670C2"/>
    <w:rsid w:val="00467163"/>
    <w:rsid w:val="004673DD"/>
    <w:rsid w:val="004740D4"/>
    <w:rsid w:val="0047504D"/>
    <w:rsid w:val="00476677"/>
    <w:rsid w:val="004804B0"/>
    <w:rsid w:val="00480523"/>
    <w:rsid w:val="004811AD"/>
    <w:rsid w:val="00482381"/>
    <w:rsid w:val="00486319"/>
    <w:rsid w:val="00486F6B"/>
    <w:rsid w:val="00490E59"/>
    <w:rsid w:val="00490F5B"/>
    <w:rsid w:val="00492F5F"/>
    <w:rsid w:val="004956FC"/>
    <w:rsid w:val="004A624D"/>
    <w:rsid w:val="004A791A"/>
    <w:rsid w:val="004C0255"/>
    <w:rsid w:val="004C3BA7"/>
    <w:rsid w:val="004C4A74"/>
    <w:rsid w:val="004D211F"/>
    <w:rsid w:val="004D25F3"/>
    <w:rsid w:val="004D31CE"/>
    <w:rsid w:val="004D73FE"/>
    <w:rsid w:val="004E16F6"/>
    <w:rsid w:val="004E3A1B"/>
    <w:rsid w:val="004E5950"/>
    <w:rsid w:val="004F03D2"/>
    <w:rsid w:val="00501308"/>
    <w:rsid w:val="005016A0"/>
    <w:rsid w:val="00510909"/>
    <w:rsid w:val="00510D01"/>
    <w:rsid w:val="00511E83"/>
    <w:rsid w:val="00512470"/>
    <w:rsid w:val="005173A3"/>
    <w:rsid w:val="00520CE0"/>
    <w:rsid w:val="005226E0"/>
    <w:rsid w:val="005267D6"/>
    <w:rsid w:val="00527BBD"/>
    <w:rsid w:val="00531857"/>
    <w:rsid w:val="0053414D"/>
    <w:rsid w:val="00535B56"/>
    <w:rsid w:val="00537732"/>
    <w:rsid w:val="00545C2C"/>
    <w:rsid w:val="0054660B"/>
    <w:rsid w:val="0055165E"/>
    <w:rsid w:val="00552600"/>
    <w:rsid w:val="00554684"/>
    <w:rsid w:val="005559C6"/>
    <w:rsid w:val="00556066"/>
    <w:rsid w:val="005622E0"/>
    <w:rsid w:val="0056238F"/>
    <w:rsid w:val="00572365"/>
    <w:rsid w:val="005751BA"/>
    <w:rsid w:val="00581FD2"/>
    <w:rsid w:val="00583906"/>
    <w:rsid w:val="0059189B"/>
    <w:rsid w:val="00593E67"/>
    <w:rsid w:val="005A1734"/>
    <w:rsid w:val="005A4693"/>
    <w:rsid w:val="005B2955"/>
    <w:rsid w:val="005B3A78"/>
    <w:rsid w:val="005B3C01"/>
    <w:rsid w:val="005B62CF"/>
    <w:rsid w:val="005B6FAA"/>
    <w:rsid w:val="005B715B"/>
    <w:rsid w:val="005C0E18"/>
    <w:rsid w:val="005C3AC5"/>
    <w:rsid w:val="005D14CD"/>
    <w:rsid w:val="005D4805"/>
    <w:rsid w:val="005D521B"/>
    <w:rsid w:val="005E0508"/>
    <w:rsid w:val="005E49B8"/>
    <w:rsid w:val="005E5C71"/>
    <w:rsid w:val="005F177F"/>
    <w:rsid w:val="005F4B12"/>
    <w:rsid w:val="005F7383"/>
    <w:rsid w:val="0060047D"/>
    <w:rsid w:val="006014DB"/>
    <w:rsid w:val="00604437"/>
    <w:rsid w:val="00605649"/>
    <w:rsid w:val="00606400"/>
    <w:rsid w:val="006126A3"/>
    <w:rsid w:val="00612A99"/>
    <w:rsid w:val="00613C05"/>
    <w:rsid w:val="00613E56"/>
    <w:rsid w:val="00616393"/>
    <w:rsid w:val="006164CA"/>
    <w:rsid w:val="00616711"/>
    <w:rsid w:val="00617C87"/>
    <w:rsid w:val="00620B93"/>
    <w:rsid w:val="00620F67"/>
    <w:rsid w:val="00624C82"/>
    <w:rsid w:val="006253CA"/>
    <w:rsid w:val="00625C1B"/>
    <w:rsid w:val="00626D1D"/>
    <w:rsid w:val="006312CE"/>
    <w:rsid w:val="00631C81"/>
    <w:rsid w:val="00634B85"/>
    <w:rsid w:val="00635119"/>
    <w:rsid w:val="00636A0C"/>
    <w:rsid w:val="0064323E"/>
    <w:rsid w:val="0065033E"/>
    <w:rsid w:val="00655A17"/>
    <w:rsid w:val="006665B8"/>
    <w:rsid w:val="0066714E"/>
    <w:rsid w:val="00670353"/>
    <w:rsid w:val="00671746"/>
    <w:rsid w:val="0067297E"/>
    <w:rsid w:val="00673146"/>
    <w:rsid w:val="00673643"/>
    <w:rsid w:val="00675FFC"/>
    <w:rsid w:val="00677A0B"/>
    <w:rsid w:val="006857E7"/>
    <w:rsid w:val="00686BA9"/>
    <w:rsid w:val="006A28E1"/>
    <w:rsid w:val="006A4D4E"/>
    <w:rsid w:val="006A5ABC"/>
    <w:rsid w:val="006C45D0"/>
    <w:rsid w:val="006C46A6"/>
    <w:rsid w:val="006C4D98"/>
    <w:rsid w:val="006C54DC"/>
    <w:rsid w:val="006D1C5E"/>
    <w:rsid w:val="006D2E54"/>
    <w:rsid w:val="006D30CD"/>
    <w:rsid w:val="006D3A15"/>
    <w:rsid w:val="006E1177"/>
    <w:rsid w:val="006F017C"/>
    <w:rsid w:val="006F33C7"/>
    <w:rsid w:val="0070072D"/>
    <w:rsid w:val="00703573"/>
    <w:rsid w:val="00706580"/>
    <w:rsid w:val="007109B1"/>
    <w:rsid w:val="00710C91"/>
    <w:rsid w:val="0071225B"/>
    <w:rsid w:val="00716E58"/>
    <w:rsid w:val="007208E0"/>
    <w:rsid w:val="00720E6D"/>
    <w:rsid w:val="00723075"/>
    <w:rsid w:val="00725326"/>
    <w:rsid w:val="007260D6"/>
    <w:rsid w:val="007308EF"/>
    <w:rsid w:val="00733323"/>
    <w:rsid w:val="00744417"/>
    <w:rsid w:val="00744D19"/>
    <w:rsid w:val="00747A7E"/>
    <w:rsid w:val="00747D2F"/>
    <w:rsid w:val="00752EA8"/>
    <w:rsid w:val="007530B2"/>
    <w:rsid w:val="00753835"/>
    <w:rsid w:val="00756179"/>
    <w:rsid w:val="0076165A"/>
    <w:rsid w:val="00761C28"/>
    <w:rsid w:val="00765D1A"/>
    <w:rsid w:val="00766C2D"/>
    <w:rsid w:val="007700A7"/>
    <w:rsid w:val="007721F3"/>
    <w:rsid w:val="00776654"/>
    <w:rsid w:val="00777D08"/>
    <w:rsid w:val="00780E4D"/>
    <w:rsid w:val="007845AA"/>
    <w:rsid w:val="00786E26"/>
    <w:rsid w:val="007910BF"/>
    <w:rsid w:val="00795134"/>
    <w:rsid w:val="00795CF7"/>
    <w:rsid w:val="0079613F"/>
    <w:rsid w:val="007A020F"/>
    <w:rsid w:val="007A06CE"/>
    <w:rsid w:val="007A15A4"/>
    <w:rsid w:val="007A265C"/>
    <w:rsid w:val="007A7079"/>
    <w:rsid w:val="007B0CF3"/>
    <w:rsid w:val="007B3041"/>
    <w:rsid w:val="007B3A8E"/>
    <w:rsid w:val="007B4120"/>
    <w:rsid w:val="007B582E"/>
    <w:rsid w:val="007C1ECB"/>
    <w:rsid w:val="007C3B68"/>
    <w:rsid w:val="007C77DF"/>
    <w:rsid w:val="007D0840"/>
    <w:rsid w:val="007D20DE"/>
    <w:rsid w:val="007D335B"/>
    <w:rsid w:val="007D4F9F"/>
    <w:rsid w:val="007D5810"/>
    <w:rsid w:val="007E0430"/>
    <w:rsid w:val="007E3A03"/>
    <w:rsid w:val="007E4359"/>
    <w:rsid w:val="007E5065"/>
    <w:rsid w:val="007E7DE1"/>
    <w:rsid w:val="007F2F36"/>
    <w:rsid w:val="007F65AE"/>
    <w:rsid w:val="00802420"/>
    <w:rsid w:val="008040D9"/>
    <w:rsid w:val="00804A1B"/>
    <w:rsid w:val="0080612B"/>
    <w:rsid w:val="00810AA5"/>
    <w:rsid w:val="00811735"/>
    <w:rsid w:val="00815046"/>
    <w:rsid w:val="00815FD9"/>
    <w:rsid w:val="00817DA0"/>
    <w:rsid w:val="0082479F"/>
    <w:rsid w:val="00825B3C"/>
    <w:rsid w:val="00825DA9"/>
    <w:rsid w:val="0083145C"/>
    <w:rsid w:val="008314F4"/>
    <w:rsid w:val="00836279"/>
    <w:rsid w:val="00841047"/>
    <w:rsid w:val="00843E39"/>
    <w:rsid w:val="008450C0"/>
    <w:rsid w:val="00847CFD"/>
    <w:rsid w:val="00853237"/>
    <w:rsid w:val="00856F85"/>
    <w:rsid w:val="008573ED"/>
    <w:rsid w:val="00857D63"/>
    <w:rsid w:val="00861E61"/>
    <w:rsid w:val="0087061E"/>
    <w:rsid w:val="00873F74"/>
    <w:rsid w:val="00874151"/>
    <w:rsid w:val="00880DFE"/>
    <w:rsid w:val="008812D4"/>
    <w:rsid w:val="008817BF"/>
    <w:rsid w:val="00887E17"/>
    <w:rsid w:val="00887F65"/>
    <w:rsid w:val="00892655"/>
    <w:rsid w:val="0089491E"/>
    <w:rsid w:val="00896FB5"/>
    <w:rsid w:val="008A0156"/>
    <w:rsid w:val="008A14AC"/>
    <w:rsid w:val="008A2583"/>
    <w:rsid w:val="008A30B9"/>
    <w:rsid w:val="008A5BB3"/>
    <w:rsid w:val="008A5BF2"/>
    <w:rsid w:val="008B0704"/>
    <w:rsid w:val="008B0F4C"/>
    <w:rsid w:val="008B57ED"/>
    <w:rsid w:val="008B593F"/>
    <w:rsid w:val="008B65E7"/>
    <w:rsid w:val="008C12F9"/>
    <w:rsid w:val="008C34F8"/>
    <w:rsid w:val="008C580E"/>
    <w:rsid w:val="008C5DDF"/>
    <w:rsid w:val="008D028E"/>
    <w:rsid w:val="008D5523"/>
    <w:rsid w:val="008E10A8"/>
    <w:rsid w:val="008E1239"/>
    <w:rsid w:val="008E38F2"/>
    <w:rsid w:val="008E4339"/>
    <w:rsid w:val="008E4FC9"/>
    <w:rsid w:val="008E567E"/>
    <w:rsid w:val="008F0B8B"/>
    <w:rsid w:val="00900703"/>
    <w:rsid w:val="009041D3"/>
    <w:rsid w:val="00904CC3"/>
    <w:rsid w:val="00904F33"/>
    <w:rsid w:val="00911CBB"/>
    <w:rsid w:val="00914816"/>
    <w:rsid w:val="0091585D"/>
    <w:rsid w:val="00916A9A"/>
    <w:rsid w:val="0091705E"/>
    <w:rsid w:val="00931D0B"/>
    <w:rsid w:val="009326C4"/>
    <w:rsid w:val="009374DF"/>
    <w:rsid w:val="00944C66"/>
    <w:rsid w:val="00945884"/>
    <w:rsid w:val="00953ED6"/>
    <w:rsid w:val="00955553"/>
    <w:rsid w:val="009555F3"/>
    <w:rsid w:val="0095773A"/>
    <w:rsid w:val="0096664A"/>
    <w:rsid w:val="009746A1"/>
    <w:rsid w:val="009800AF"/>
    <w:rsid w:val="00982527"/>
    <w:rsid w:val="00983636"/>
    <w:rsid w:val="00992C52"/>
    <w:rsid w:val="009943E2"/>
    <w:rsid w:val="009943E4"/>
    <w:rsid w:val="00994C16"/>
    <w:rsid w:val="0099646C"/>
    <w:rsid w:val="009A1E67"/>
    <w:rsid w:val="009A237A"/>
    <w:rsid w:val="009A296B"/>
    <w:rsid w:val="009A3BE6"/>
    <w:rsid w:val="009A49A7"/>
    <w:rsid w:val="009A5707"/>
    <w:rsid w:val="009A5B10"/>
    <w:rsid w:val="009A6C36"/>
    <w:rsid w:val="009A6E6E"/>
    <w:rsid w:val="009B1523"/>
    <w:rsid w:val="009B2EEA"/>
    <w:rsid w:val="009B3622"/>
    <w:rsid w:val="009B494E"/>
    <w:rsid w:val="009B633D"/>
    <w:rsid w:val="009C3540"/>
    <w:rsid w:val="009C4881"/>
    <w:rsid w:val="009C6C9E"/>
    <w:rsid w:val="009D3DBB"/>
    <w:rsid w:val="009D6774"/>
    <w:rsid w:val="009D78AD"/>
    <w:rsid w:val="009D7C2B"/>
    <w:rsid w:val="009D7FB6"/>
    <w:rsid w:val="009E09A0"/>
    <w:rsid w:val="009E218F"/>
    <w:rsid w:val="009E4343"/>
    <w:rsid w:val="009E5C4E"/>
    <w:rsid w:val="009F2794"/>
    <w:rsid w:val="009F299E"/>
    <w:rsid w:val="009F3A97"/>
    <w:rsid w:val="009F3AD5"/>
    <w:rsid w:val="009F4074"/>
    <w:rsid w:val="009F43EA"/>
    <w:rsid w:val="009F597D"/>
    <w:rsid w:val="00A0703D"/>
    <w:rsid w:val="00A102A4"/>
    <w:rsid w:val="00A10A2C"/>
    <w:rsid w:val="00A1128F"/>
    <w:rsid w:val="00A12E59"/>
    <w:rsid w:val="00A13D8D"/>
    <w:rsid w:val="00A14204"/>
    <w:rsid w:val="00A15D49"/>
    <w:rsid w:val="00A228C0"/>
    <w:rsid w:val="00A22CA5"/>
    <w:rsid w:val="00A235BE"/>
    <w:rsid w:val="00A23F56"/>
    <w:rsid w:val="00A2486F"/>
    <w:rsid w:val="00A2681E"/>
    <w:rsid w:val="00A30D9A"/>
    <w:rsid w:val="00A33FA8"/>
    <w:rsid w:val="00A342B4"/>
    <w:rsid w:val="00A44855"/>
    <w:rsid w:val="00A4694A"/>
    <w:rsid w:val="00A504C7"/>
    <w:rsid w:val="00A51870"/>
    <w:rsid w:val="00A54A00"/>
    <w:rsid w:val="00A64E80"/>
    <w:rsid w:val="00A65884"/>
    <w:rsid w:val="00A73C40"/>
    <w:rsid w:val="00A74197"/>
    <w:rsid w:val="00A74E0A"/>
    <w:rsid w:val="00A777E1"/>
    <w:rsid w:val="00A82AC6"/>
    <w:rsid w:val="00A835E4"/>
    <w:rsid w:val="00A842BF"/>
    <w:rsid w:val="00A864F8"/>
    <w:rsid w:val="00A90245"/>
    <w:rsid w:val="00A905D8"/>
    <w:rsid w:val="00A9066A"/>
    <w:rsid w:val="00A91710"/>
    <w:rsid w:val="00A94219"/>
    <w:rsid w:val="00AA0B6B"/>
    <w:rsid w:val="00AA1DDC"/>
    <w:rsid w:val="00AA20BD"/>
    <w:rsid w:val="00AA3986"/>
    <w:rsid w:val="00AA3F0B"/>
    <w:rsid w:val="00AA788A"/>
    <w:rsid w:val="00AA79AE"/>
    <w:rsid w:val="00AB077C"/>
    <w:rsid w:val="00AB1EB8"/>
    <w:rsid w:val="00AB47F0"/>
    <w:rsid w:val="00AB568C"/>
    <w:rsid w:val="00AC3BE6"/>
    <w:rsid w:val="00AD104E"/>
    <w:rsid w:val="00AD6516"/>
    <w:rsid w:val="00AE3EF6"/>
    <w:rsid w:val="00AE4702"/>
    <w:rsid w:val="00AF0084"/>
    <w:rsid w:val="00AF0F1F"/>
    <w:rsid w:val="00AF1D9C"/>
    <w:rsid w:val="00B00969"/>
    <w:rsid w:val="00B16672"/>
    <w:rsid w:val="00B21463"/>
    <w:rsid w:val="00B238AD"/>
    <w:rsid w:val="00B257FE"/>
    <w:rsid w:val="00B3371F"/>
    <w:rsid w:val="00B35A58"/>
    <w:rsid w:val="00B35FFC"/>
    <w:rsid w:val="00B441F5"/>
    <w:rsid w:val="00B443C9"/>
    <w:rsid w:val="00B455DD"/>
    <w:rsid w:val="00B52533"/>
    <w:rsid w:val="00B5666F"/>
    <w:rsid w:val="00B56D05"/>
    <w:rsid w:val="00B61FEB"/>
    <w:rsid w:val="00B645ED"/>
    <w:rsid w:val="00B64EBB"/>
    <w:rsid w:val="00B6776A"/>
    <w:rsid w:val="00B720EC"/>
    <w:rsid w:val="00B73582"/>
    <w:rsid w:val="00B762E0"/>
    <w:rsid w:val="00B77169"/>
    <w:rsid w:val="00B825D0"/>
    <w:rsid w:val="00B830F5"/>
    <w:rsid w:val="00B8389C"/>
    <w:rsid w:val="00B83929"/>
    <w:rsid w:val="00B8538C"/>
    <w:rsid w:val="00B86383"/>
    <w:rsid w:val="00B87CE6"/>
    <w:rsid w:val="00B915F1"/>
    <w:rsid w:val="00B92941"/>
    <w:rsid w:val="00B92AAA"/>
    <w:rsid w:val="00B95389"/>
    <w:rsid w:val="00B9788A"/>
    <w:rsid w:val="00BA3359"/>
    <w:rsid w:val="00BA3E0A"/>
    <w:rsid w:val="00BA3F72"/>
    <w:rsid w:val="00BA5B5D"/>
    <w:rsid w:val="00BA6B37"/>
    <w:rsid w:val="00BA7DEC"/>
    <w:rsid w:val="00BB1C2F"/>
    <w:rsid w:val="00BB1DB7"/>
    <w:rsid w:val="00BB2479"/>
    <w:rsid w:val="00BB35E7"/>
    <w:rsid w:val="00BB59EA"/>
    <w:rsid w:val="00BB7136"/>
    <w:rsid w:val="00BB7931"/>
    <w:rsid w:val="00BC2760"/>
    <w:rsid w:val="00BC2E2E"/>
    <w:rsid w:val="00BD28FC"/>
    <w:rsid w:val="00BD356A"/>
    <w:rsid w:val="00BD357C"/>
    <w:rsid w:val="00BE0430"/>
    <w:rsid w:val="00BF735E"/>
    <w:rsid w:val="00C05CAB"/>
    <w:rsid w:val="00C0644C"/>
    <w:rsid w:val="00C07220"/>
    <w:rsid w:val="00C14017"/>
    <w:rsid w:val="00C163C6"/>
    <w:rsid w:val="00C164BA"/>
    <w:rsid w:val="00C205C8"/>
    <w:rsid w:val="00C27063"/>
    <w:rsid w:val="00C30608"/>
    <w:rsid w:val="00C4006D"/>
    <w:rsid w:val="00C407FA"/>
    <w:rsid w:val="00C44FA8"/>
    <w:rsid w:val="00C46919"/>
    <w:rsid w:val="00C46C81"/>
    <w:rsid w:val="00C507A8"/>
    <w:rsid w:val="00C54B04"/>
    <w:rsid w:val="00C63904"/>
    <w:rsid w:val="00C6540F"/>
    <w:rsid w:val="00C65B05"/>
    <w:rsid w:val="00C73F08"/>
    <w:rsid w:val="00C76154"/>
    <w:rsid w:val="00C77433"/>
    <w:rsid w:val="00C84911"/>
    <w:rsid w:val="00C8715A"/>
    <w:rsid w:val="00C929D4"/>
    <w:rsid w:val="00C933ED"/>
    <w:rsid w:val="00C948FA"/>
    <w:rsid w:val="00C96919"/>
    <w:rsid w:val="00CA136B"/>
    <w:rsid w:val="00CA17C6"/>
    <w:rsid w:val="00CA2BC8"/>
    <w:rsid w:val="00CA2DE5"/>
    <w:rsid w:val="00CA38D4"/>
    <w:rsid w:val="00CA7470"/>
    <w:rsid w:val="00CB2869"/>
    <w:rsid w:val="00CB4504"/>
    <w:rsid w:val="00CC2FEA"/>
    <w:rsid w:val="00CC7A6D"/>
    <w:rsid w:val="00CD0FDD"/>
    <w:rsid w:val="00CD655B"/>
    <w:rsid w:val="00CE02BB"/>
    <w:rsid w:val="00CE464E"/>
    <w:rsid w:val="00CE4F63"/>
    <w:rsid w:val="00CE6BC9"/>
    <w:rsid w:val="00CF3861"/>
    <w:rsid w:val="00CF5137"/>
    <w:rsid w:val="00CF7FC2"/>
    <w:rsid w:val="00D0226D"/>
    <w:rsid w:val="00D02C2A"/>
    <w:rsid w:val="00D039FE"/>
    <w:rsid w:val="00D06029"/>
    <w:rsid w:val="00D0660C"/>
    <w:rsid w:val="00D06BA9"/>
    <w:rsid w:val="00D11271"/>
    <w:rsid w:val="00D11983"/>
    <w:rsid w:val="00D150A9"/>
    <w:rsid w:val="00D20C47"/>
    <w:rsid w:val="00D20F55"/>
    <w:rsid w:val="00D23255"/>
    <w:rsid w:val="00D2521F"/>
    <w:rsid w:val="00D27D52"/>
    <w:rsid w:val="00D309D0"/>
    <w:rsid w:val="00D30FEE"/>
    <w:rsid w:val="00D367A5"/>
    <w:rsid w:val="00D3744E"/>
    <w:rsid w:val="00D4350D"/>
    <w:rsid w:val="00D44020"/>
    <w:rsid w:val="00D44D4E"/>
    <w:rsid w:val="00D45412"/>
    <w:rsid w:val="00D474B5"/>
    <w:rsid w:val="00D529C2"/>
    <w:rsid w:val="00D543D5"/>
    <w:rsid w:val="00D557DC"/>
    <w:rsid w:val="00D61625"/>
    <w:rsid w:val="00D66E74"/>
    <w:rsid w:val="00D71264"/>
    <w:rsid w:val="00D75372"/>
    <w:rsid w:val="00D8404C"/>
    <w:rsid w:val="00D87123"/>
    <w:rsid w:val="00D878EA"/>
    <w:rsid w:val="00D902DA"/>
    <w:rsid w:val="00D93D3B"/>
    <w:rsid w:val="00DA097F"/>
    <w:rsid w:val="00DA1AF9"/>
    <w:rsid w:val="00DA264F"/>
    <w:rsid w:val="00DA3E7C"/>
    <w:rsid w:val="00DA6BD6"/>
    <w:rsid w:val="00DA73A3"/>
    <w:rsid w:val="00DA79B5"/>
    <w:rsid w:val="00DB3058"/>
    <w:rsid w:val="00DB3948"/>
    <w:rsid w:val="00DB3CE2"/>
    <w:rsid w:val="00DB49A0"/>
    <w:rsid w:val="00DB49EE"/>
    <w:rsid w:val="00DB51E5"/>
    <w:rsid w:val="00DC0DC1"/>
    <w:rsid w:val="00DD0A49"/>
    <w:rsid w:val="00DD65B5"/>
    <w:rsid w:val="00DE2561"/>
    <w:rsid w:val="00DE2E04"/>
    <w:rsid w:val="00DF2C6F"/>
    <w:rsid w:val="00DF4F3C"/>
    <w:rsid w:val="00DF4F6F"/>
    <w:rsid w:val="00DF5BCE"/>
    <w:rsid w:val="00DF6260"/>
    <w:rsid w:val="00DF7C37"/>
    <w:rsid w:val="00E076A3"/>
    <w:rsid w:val="00E07EB3"/>
    <w:rsid w:val="00E134E2"/>
    <w:rsid w:val="00E1455E"/>
    <w:rsid w:val="00E14FC3"/>
    <w:rsid w:val="00E1518B"/>
    <w:rsid w:val="00E15BB0"/>
    <w:rsid w:val="00E168F8"/>
    <w:rsid w:val="00E22F3F"/>
    <w:rsid w:val="00E2592B"/>
    <w:rsid w:val="00E276E8"/>
    <w:rsid w:val="00E329EE"/>
    <w:rsid w:val="00E355D5"/>
    <w:rsid w:val="00E35965"/>
    <w:rsid w:val="00E359E1"/>
    <w:rsid w:val="00E37E41"/>
    <w:rsid w:val="00E43EBB"/>
    <w:rsid w:val="00E451D7"/>
    <w:rsid w:val="00E45A0A"/>
    <w:rsid w:val="00E468EF"/>
    <w:rsid w:val="00E471CC"/>
    <w:rsid w:val="00E47851"/>
    <w:rsid w:val="00E504DD"/>
    <w:rsid w:val="00E52235"/>
    <w:rsid w:val="00E530A4"/>
    <w:rsid w:val="00E56716"/>
    <w:rsid w:val="00E56FB3"/>
    <w:rsid w:val="00E706B3"/>
    <w:rsid w:val="00E72255"/>
    <w:rsid w:val="00E7422B"/>
    <w:rsid w:val="00E771C3"/>
    <w:rsid w:val="00E77A8A"/>
    <w:rsid w:val="00E80D41"/>
    <w:rsid w:val="00E83207"/>
    <w:rsid w:val="00E84673"/>
    <w:rsid w:val="00E84786"/>
    <w:rsid w:val="00E84CE9"/>
    <w:rsid w:val="00E86579"/>
    <w:rsid w:val="00E90423"/>
    <w:rsid w:val="00E91D13"/>
    <w:rsid w:val="00E94C7C"/>
    <w:rsid w:val="00E97584"/>
    <w:rsid w:val="00E97797"/>
    <w:rsid w:val="00EA608F"/>
    <w:rsid w:val="00EB58F3"/>
    <w:rsid w:val="00EC2C17"/>
    <w:rsid w:val="00ED0EBB"/>
    <w:rsid w:val="00ED0FA0"/>
    <w:rsid w:val="00ED29CD"/>
    <w:rsid w:val="00ED6F5D"/>
    <w:rsid w:val="00ED76B2"/>
    <w:rsid w:val="00EE134F"/>
    <w:rsid w:val="00EE3352"/>
    <w:rsid w:val="00EE4455"/>
    <w:rsid w:val="00EE7F4D"/>
    <w:rsid w:val="00EF02EB"/>
    <w:rsid w:val="00EF4DDE"/>
    <w:rsid w:val="00F00EF3"/>
    <w:rsid w:val="00F03B67"/>
    <w:rsid w:val="00F03CC8"/>
    <w:rsid w:val="00F04055"/>
    <w:rsid w:val="00F05700"/>
    <w:rsid w:val="00F122B9"/>
    <w:rsid w:val="00F141A6"/>
    <w:rsid w:val="00F20D31"/>
    <w:rsid w:val="00F21CD9"/>
    <w:rsid w:val="00F22750"/>
    <w:rsid w:val="00F23789"/>
    <w:rsid w:val="00F23AEA"/>
    <w:rsid w:val="00F24989"/>
    <w:rsid w:val="00F272EB"/>
    <w:rsid w:val="00F30951"/>
    <w:rsid w:val="00F30BD9"/>
    <w:rsid w:val="00F3207F"/>
    <w:rsid w:val="00F32A4F"/>
    <w:rsid w:val="00F339AC"/>
    <w:rsid w:val="00F3541A"/>
    <w:rsid w:val="00F42C1E"/>
    <w:rsid w:val="00F4505C"/>
    <w:rsid w:val="00F46275"/>
    <w:rsid w:val="00F51075"/>
    <w:rsid w:val="00F5665F"/>
    <w:rsid w:val="00F60007"/>
    <w:rsid w:val="00F60488"/>
    <w:rsid w:val="00F631B6"/>
    <w:rsid w:val="00F63BC0"/>
    <w:rsid w:val="00F640FB"/>
    <w:rsid w:val="00F6634D"/>
    <w:rsid w:val="00F66EED"/>
    <w:rsid w:val="00F67EBF"/>
    <w:rsid w:val="00F70715"/>
    <w:rsid w:val="00F719B8"/>
    <w:rsid w:val="00F71DB8"/>
    <w:rsid w:val="00F75AF2"/>
    <w:rsid w:val="00F80B49"/>
    <w:rsid w:val="00F86CD4"/>
    <w:rsid w:val="00F90D0A"/>
    <w:rsid w:val="00F93485"/>
    <w:rsid w:val="00F9443E"/>
    <w:rsid w:val="00F94B00"/>
    <w:rsid w:val="00F952C1"/>
    <w:rsid w:val="00F952FA"/>
    <w:rsid w:val="00F97574"/>
    <w:rsid w:val="00FA0040"/>
    <w:rsid w:val="00FA03AD"/>
    <w:rsid w:val="00FA1357"/>
    <w:rsid w:val="00FA2E89"/>
    <w:rsid w:val="00FA4AA1"/>
    <w:rsid w:val="00FA6180"/>
    <w:rsid w:val="00FB0233"/>
    <w:rsid w:val="00FB0826"/>
    <w:rsid w:val="00FB4230"/>
    <w:rsid w:val="00FB4BFF"/>
    <w:rsid w:val="00FB6500"/>
    <w:rsid w:val="00FC109D"/>
    <w:rsid w:val="00FC12EB"/>
    <w:rsid w:val="00FC1410"/>
    <w:rsid w:val="00FC18A1"/>
    <w:rsid w:val="00FC3E5E"/>
    <w:rsid w:val="00FC430C"/>
    <w:rsid w:val="00FC7332"/>
    <w:rsid w:val="00FC776C"/>
    <w:rsid w:val="00FD127D"/>
    <w:rsid w:val="00FD1595"/>
    <w:rsid w:val="00FD1D9C"/>
    <w:rsid w:val="00FD3CD0"/>
    <w:rsid w:val="00FD4CF5"/>
    <w:rsid w:val="00FE0D9B"/>
    <w:rsid w:val="00FE3401"/>
    <w:rsid w:val="00FE7A6B"/>
    <w:rsid w:val="00FF02D0"/>
    <w:rsid w:val="00FF2A90"/>
    <w:rsid w:val="00FF42BD"/>
    <w:rsid w:val="00FF7037"/>
  </w:rsids>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5B0C93"/>
  <w15:chartTrackingRefBased/>
  <w15:docId w15:val="{9965E655-AE8F-4CEA-B041-1E6E109E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3"/>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Revision">
    <w:name w:val="Revision"/>
    <w:hidden/>
    <w:uiPriority w:val="99"/>
    <w:semiHidden/>
    <w:rsid w:val="00A0703D"/>
    <w:rPr>
      <w:sz w:val="24"/>
      <w:szCs w:val="24"/>
    </w:rPr>
  </w:style>
  <w:style w:type="paragraph" w:customStyle="1" w:styleId="Default">
    <w:name w:val="Default"/>
    <w:rsid w:val="00810AA5"/>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810AA5"/>
    <w:pPr>
      <w:spacing w:after="120"/>
    </w:pPr>
  </w:style>
  <w:style w:type="character" w:customStyle="1" w:styleId="BodyTextChar">
    <w:name w:val="Body Text Char"/>
    <w:link w:val="BodyText"/>
    <w:rsid w:val="00810AA5"/>
    <w:rPr>
      <w:sz w:val="24"/>
      <w:szCs w:val="24"/>
    </w:rPr>
  </w:style>
  <w:style w:type="character" w:styleId="UnresolvedMention">
    <w:name w:val="Unresolved Mention"/>
    <w:uiPriority w:val="99"/>
    <w:semiHidden/>
    <w:unhideWhenUsed/>
    <w:rsid w:val="00116059"/>
    <w:rPr>
      <w:color w:val="605E5C"/>
      <w:shd w:val="clear" w:color="auto" w:fill="E1DFDD"/>
    </w:rPr>
  </w:style>
  <w:style w:type="character" w:customStyle="1" w:styleId="EndnoteTextChar">
    <w:name w:val="Endnote Text Char"/>
    <w:basedOn w:val="DefaultParagraphFont"/>
    <w:link w:val="EndnoteText"/>
    <w:semiHidden/>
    <w:rsid w:val="0006559D"/>
  </w:style>
  <w:style w:type="paragraph" w:styleId="ListParagraph">
    <w:name w:val="List Paragraph"/>
    <w:basedOn w:val="Normal"/>
    <w:uiPriority w:val="34"/>
    <w:qFormat/>
    <w:rsid w:val="0098252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eps.ahrq.gov/mepsweb/"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opm.gov/policy-data-oversight/pay-leave/salaries-wages/salary-tables/pdf/2025/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b34640c-b230-4aea-83bd-19c0811e10f6"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5" ma:contentTypeDescription="Create a new document." ma:contentTypeScope="" ma:versionID="91db337d71fef02b7620dabc79283853">
  <xsd:schema xmlns:xsd="http://www.w3.org/2001/XMLSchema" xmlns:xs="http://www.w3.org/2001/XMLSchema" xmlns:p="http://schemas.microsoft.com/office/2006/metadata/properties" xmlns:ns1="http://schemas.microsoft.com/sharepoint/v3" xmlns:ns3="ab34640c-b230-4aea-83bd-19c0811e10f6" targetNamespace="http://schemas.microsoft.com/office/2006/metadata/properties" ma:root="true" ma:fieldsID="93cb75d4d687205401933ae8a396f373" ns1:_="" ns3:_="">
    <xsd:import namespace="http://schemas.microsoft.com/sharepoint/v3"/>
    <xsd:import namespace="ab34640c-b230-4aea-83bd-19c0811e10f6"/>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470EA-EC38-4BAD-90A7-5DF8C412D9B7}">
  <ds:schemaRefs>
    <ds:schemaRef ds:uri="http://schemas.openxmlformats.org/officeDocument/2006/bibliography"/>
  </ds:schemaRefs>
</ds:datastoreItem>
</file>

<file path=customXml/itemProps2.xml><?xml version="1.0" encoding="utf-8"?>
<ds:datastoreItem xmlns:ds="http://schemas.openxmlformats.org/officeDocument/2006/customXml" ds:itemID="{CB0350FF-D217-471C-ADC2-96C0147B2958}">
  <ds:schemaRefs>
    <ds:schemaRef ds:uri="http://schemas.microsoft.com/sharepoint/v3/contenttype/forms"/>
  </ds:schemaRefs>
</ds:datastoreItem>
</file>

<file path=customXml/itemProps3.xml><?xml version="1.0" encoding="utf-8"?>
<ds:datastoreItem xmlns:ds="http://schemas.openxmlformats.org/officeDocument/2006/customXml" ds:itemID="{848416BC-880B-4A15-A8DC-7B33871D865C}">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ab34640c-b230-4aea-83bd-19c0811e10f6"/>
    <ds:schemaRef ds:uri="http://schemas.microsoft.com/office/infopath/2007/PartnerControls"/>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AA5BE61-C818-4D8A-99C0-75FBC9E6B7A5}">
  <ds:schemaRefs>
    <ds:schemaRef ds:uri="http://schemas.microsoft.com/office/2006/metadata/longProperties"/>
  </ds:schemaRefs>
</ds:datastoreItem>
</file>

<file path=customXml/itemProps5.xml><?xml version="1.0" encoding="utf-8"?>
<ds:datastoreItem xmlns:ds="http://schemas.openxmlformats.org/officeDocument/2006/customXml" ds:itemID="{AFB0CA48-A54A-48F6-B479-81E3AF35E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34640c-b230-4aea-83bd-19c0811e1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7395</Words>
  <Characters>42158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49455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Shofer, Margie (AHRQ/CQuIPS)</cp:lastModifiedBy>
  <cp:revision>2</cp:revision>
  <cp:lastPrinted>2011-07-06T18:06:00Z</cp:lastPrinted>
  <dcterms:created xsi:type="dcterms:W3CDTF">2026-03-12T20:23:00Z</dcterms:created>
  <dcterms:modified xsi:type="dcterms:W3CDTF">2026-03-12T20:23:00Z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
  </property>
  <property fmtid="{D5CDD505-2E9C-101B-9397-08002B2CF9AE}" pid="3" name="Code">
    <vt:lpwstr/>
  </property>
  <property fmtid="{D5CDD505-2E9C-101B-9397-08002B2CF9AE}" pid="4" name="ContentTypeId">
    <vt:lpwstr>0x010100F739878A7DC3234E8458710E85AF48B5</vt:lpwstr>
  </property>
  <property fmtid="{D5CDD505-2E9C-101B-9397-08002B2CF9AE}" pid="5" name="Description0">
    <vt:lpwstr/>
  </property>
  <property fmtid="{D5CDD505-2E9C-101B-9397-08002B2CF9AE}" pid="6" name="display_urn:schemas-microsoft-com:office:office#Author">
    <vt:lpwstr>Robinson, Ian T. (AHRQ/OMS) (CTR)</vt:lpwstr>
  </property>
  <property fmtid="{D5CDD505-2E9C-101B-9397-08002B2CF9AE}" pid="7" name="display_urn:schemas-microsoft-com:office:office#Editor">
    <vt:lpwstr>Robinson, Ian T. (AHRQ/OMS) (CTR)</vt:lpwstr>
  </property>
  <property fmtid="{D5CDD505-2E9C-101B-9397-08002B2CF9AE}" pid="8" name="Document Type">
    <vt:lpwstr>General</vt:lpwstr>
  </property>
  <property fmtid="{D5CDD505-2E9C-101B-9397-08002B2CF9AE}" pid="9" name="Order">
    <vt:lpwstr>2000.00000000000</vt:lpwstr>
  </property>
  <property fmtid="{D5CDD505-2E9C-101B-9397-08002B2CF9AE}" pid="10" name="Revision Date">
    <vt:lpwstr/>
  </property>
  <property fmtid="{D5CDD505-2E9C-101B-9397-08002B2CF9AE}" pid="11" name="SharedWithUsers">
    <vt:lpwstr/>
  </property>
  <property fmtid="{D5CDD505-2E9C-101B-9397-08002B2CF9AE}" pid="12" name="Title">
    <vt:lpwstr>OMB Clearance Application</vt:lpwstr>
  </property>
</Properties>
</file>