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4A23" w:rsidRPr="005A2EC8" w:rsidP="00374A23" w14:paraId="4C7231C7" w14:textId="77777777">
      <w:pPr>
        <w:pStyle w:val="Title"/>
        <w:rPr>
          <w:rFonts w:cs="Arial"/>
        </w:rPr>
      </w:pPr>
      <w:r w:rsidRPr="006E7A66">
        <w:t xml:space="preserve">Poison </w:t>
      </w:r>
      <w:r w:rsidRPr="0049525A">
        <w:t xml:space="preserve">Center Collaborations for </w:t>
      </w:r>
      <w:r w:rsidRPr="005B6B6E">
        <w:t xml:space="preserve">Public Health </w:t>
      </w:r>
      <w:r w:rsidRPr="005A2EC8">
        <w:t>Emergencies</w:t>
      </w:r>
    </w:p>
    <w:p w:rsidR="00CF1081" w:rsidP="00CF1081" w14:paraId="4E295593" w14:textId="77777777">
      <w:pPr>
        <w:jc w:val="center"/>
        <w:rPr>
          <w:rFonts w:asciiTheme="majorHAnsi" w:hAnsiTheme="majorHAnsi"/>
          <w:b/>
          <w:sz w:val="24"/>
        </w:rPr>
      </w:pPr>
    </w:p>
    <w:p w:rsidR="003B1FD7" w:rsidRPr="00F3119B" w:rsidP="003B1FD7" w14:paraId="2FA49307" w14:textId="768441E2">
      <w:pPr>
        <w:pStyle w:val="Title"/>
        <w:rPr>
          <w:sz w:val="44"/>
          <w:szCs w:val="44"/>
        </w:rPr>
      </w:pPr>
      <w:r w:rsidRPr="00F3119B">
        <w:rPr>
          <w:sz w:val="44"/>
          <w:szCs w:val="44"/>
        </w:rPr>
        <w:t>OMB Control No. 0920-</w:t>
      </w:r>
      <w:r w:rsidRPr="00F3119B" w:rsidR="00802607">
        <w:rPr>
          <w:sz w:val="44"/>
          <w:szCs w:val="44"/>
        </w:rPr>
        <w:t xml:space="preserve">1166 </w:t>
      </w:r>
    </w:p>
    <w:p w:rsidR="00F3119B" w:rsidRPr="004F6CAA" w:rsidP="00F3119B" w14:paraId="2148ECB0" w14:textId="4EA454F6">
      <w:pPr>
        <w:rPr>
          <w:rFonts w:asciiTheme="majorHAnsi" w:hAnsiTheme="majorHAnsi"/>
          <w:sz w:val="36"/>
          <w:szCs w:val="36"/>
        </w:rPr>
      </w:pPr>
      <w:r w:rsidRPr="004F6CAA">
        <w:rPr>
          <w:rFonts w:asciiTheme="majorHAnsi" w:hAnsiTheme="majorHAnsi"/>
          <w:sz w:val="36"/>
          <w:szCs w:val="36"/>
        </w:rPr>
        <w:t>(expiration date 0</w:t>
      </w:r>
      <w:r w:rsidR="004F6CAA">
        <w:rPr>
          <w:rFonts w:asciiTheme="majorHAnsi" w:hAnsiTheme="majorHAnsi"/>
          <w:sz w:val="36"/>
          <w:szCs w:val="36"/>
        </w:rPr>
        <w:t>4</w:t>
      </w:r>
      <w:r w:rsidRPr="004F6CAA">
        <w:rPr>
          <w:rFonts w:asciiTheme="majorHAnsi" w:hAnsiTheme="majorHAnsi"/>
          <w:sz w:val="36"/>
          <w:szCs w:val="36"/>
        </w:rPr>
        <w:t>/</w:t>
      </w:r>
      <w:r w:rsidR="004F6CAA">
        <w:rPr>
          <w:rFonts w:asciiTheme="majorHAnsi" w:hAnsiTheme="majorHAnsi"/>
          <w:sz w:val="36"/>
          <w:szCs w:val="36"/>
        </w:rPr>
        <w:t>30</w:t>
      </w:r>
      <w:r w:rsidRPr="004F6CAA">
        <w:rPr>
          <w:rFonts w:asciiTheme="majorHAnsi" w:hAnsiTheme="majorHAnsi"/>
          <w:sz w:val="36"/>
          <w:szCs w:val="36"/>
        </w:rPr>
        <w:t>/202</w:t>
      </w:r>
      <w:r w:rsidR="002D55D4">
        <w:rPr>
          <w:rFonts w:asciiTheme="majorHAnsi" w:hAnsiTheme="majorHAnsi"/>
          <w:sz w:val="36"/>
          <w:szCs w:val="36"/>
        </w:rPr>
        <w:t>6</w:t>
      </w:r>
      <w:r w:rsidRPr="004F6CAA">
        <w:rPr>
          <w:rFonts w:asciiTheme="majorHAnsi" w:hAnsiTheme="majorHAnsi"/>
          <w:sz w:val="36"/>
          <w:szCs w:val="36"/>
        </w:rPr>
        <w:t>)</w:t>
      </w:r>
    </w:p>
    <w:p w:rsidR="00F3119B" w:rsidRPr="004F6CAA" w:rsidP="004F6CAA" w14:paraId="4AE07DDA" w14:textId="77777777"/>
    <w:p w:rsidR="003B1FD7" w:rsidRPr="004B6E5F" w:rsidP="003B1FD7" w14:paraId="57A94B5C" w14:textId="27064B1D">
      <w:pPr>
        <w:pStyle w:val="Title"/>
        <w:rPr>
          <w:sz w:val="44"/>
          <w:szCs w:val="44"/>
        </w:rPr>
      </w:pPr>
      <w:r>
        <w:rPr>
          <w:sz w:val="44"/>
          <w:szCs w:val="44"/>
        </w:rPr>
        <w:t>Revision</w:t>
      </w:r>
      <w:r w:rsidR="00F3119B">
        <w:rPr>
          <w:sz w:val="44"/>
          <w:szCs w:val="44"/>
        </w:rPr>
        <w:t xml:space="preserve"> of a </w:t>
      </w:r>
      <w:r w:rsidRPr="004B6E5F">
        <w:rPr>
          <w:sz w:val="44"/>
          <w:szCs w:val="44"/>
        </w:rPr>
        <w:t>Generic Clearance</w:t>
      </w:r>
    </w:p>
    <w:p w:rsidR="003B1FD7" w:rsidRPr="009E679C" w:rsidP="003B1FD7" w14:paraId="2C947DC6" w14:textId="77777777">
      <w:pPr>
        <w:pStyle w:val="Title"/>
        <w:rPr>
          <w:sz w:val="44"/>
          <w:szCs w:val="44"/>
        </w:rPr>
      </w:pPr>
    </w:p>
    <w:p w:rsidR="003B1FD7" w:rsidP="003B1FD7" w14:paraId="57A9D90A" w14:textId="7C5231F6">
      <w:pPr>
        <w:pStyle w:val="Title"/>
        <w:rPr>
          <w:sz w:val="44"/>
          <w:szCs w:val="44"/>
        </w:rPr>
      </w:pPr>
      <w:r w:rsidRPr="009E679C">
        <w:rPr>
          <w:sz w:val="44"/>
          <w:szCs w:val="44"/>
        </w:rPr>
        <w:t xml:space="preserve">Supporting Statement Part </w:t>
      </w:r>
      <w:r w:rsidR="00786E82">
        <w:rPr>
          <w:sz w:val="44"/>
          <w:szCs w:val="44"/>
        </w:rPr>
        <w:t>B</w:t>
      </w:r>
      <w:r w:rsidRPr="009E679C">
        <w:rPr>
          <w:sz w:val="44"/>
          <w:szCs w:val="44"/>
        </w:rPr>
        <w:t xml:space="preserve"> – </w:t>
      </w:r>
    </w:p>
    <w:p w:rsidR="0011120B" w:rsidRPr="004F6CAA" w:rsidP="0011120B" w14:paraId="3BF19E4D" w14:textId="77777777">
      <w:pPr>
        <w:pStyle w:val="Subtitle"/>
        <w:rPr>
          <w:rFonts w:ascii="Cambria" w:hAnsi="Cambria"/>
          <w:color w:val="auto"/>
          <w:sz w:val="36"/>
          <w:szCs w:val="36"/>
        </w:rPr>
      </w:pPr>
      <w:r w:rsidRPr="004F6CAA">
        <w:rPr>
          <w:rFonts w:ascii="Cambria" w:hAnsi="Cambria"/>
          <w:color w:val="auto"/>
          <w:sz w:val="36"/>
          <w:szCs w:val="36"/>
        </w:rPr>
        <w:t>Collections of Information Employing Statistical Methods</w:t>
      </w:r>
    </w:p>
    <w:p w:rsidR="0011120B" w:rsidRPr="004F6CAA" w:rsidP="004F6CAA" w14:paraId="7853A519" w14:textId="77777777"/>
    <w:p w:rsidR="003B1FD7" w:rsidRPr="009E679C" w:rsidP="003B1FD7" w14:paraId="29F832BF" w14:textId="38CBD1B0">
      <w:pPr>
        <w:pStyle w:val="Title"/>
        <w:rPr>
          <w:sz w:val="44"/>
          <w:szCs w:val="44"/>
        </w:rPr>
      </w:pPr>
      <w:r>
        <w:rPr>
          <w:sz w:val="44"/>
          <w:szCs w:val="44"/>
        </w:rPr>
        <w:t xml:space="preserve">March </w:t>
      </w:r>
      <w:r w:rsidR="004F6CAA">
        <w:rPr>
          <w:sz w:val="44"/>
          <w:szCs w:val="44"/>
        </w:rPr>
        <w:t>202</w:t>
      </w:r>
      <w:r>
        <w:rPr>
          <w:sz w:val="44"/>
          <w:szCs w:val="44"/>
        </w:rPr>
        <w:t>6</w:t>
      </w:r>
    </w:p>
    <w:p w:rsidR="005F4FB3" w:rsidRPr="00544117" w:rsidP="00CF1081" w14:paraId="5B0B7BE3" w14:textId="77777777">
      <w:pPr>
        <w:jc w:val="center"/>
        <w:rPr>
          <w:rFonts w:asciiTheme="majorHAnsi" w:hAnsiTheme="majorHAnsi"/>
          <w:b/>
          <w:sz w:val="24"/>
        </w:rPr>
      </w:pPr>
    </w:p>
    <w:p w:rsidR="00CF1081" w:rsidRPr="00544117" w:rsidP="00CF1081" w14:paraId="22C4CC49" w14:textId="77777777">
      <w:pPr>
        <w:rPr>
          <w:rFonts w:asciiTheme="majorHAnsi" w:hAnsiTheme="majorHAnsi"/>
          <w:sz w:val="24"/>
        </w:rPr>
      </w:pPr>
    </w:p>
    <w:p w:rsidR="00CF1081" w:rsidRPr="00544117" w:rsidP="00CF1081" w14:paraId="72DDC4DD" w14:textId="77777777">
      <w:pPr>
        <w:rPr>
          <w:rFonts w:asciiTheme="majorHAnsi" w:hAnsiTheme="majorHAnsi"/>
          <w:b/>
          <w:sz w:val="32"/>
          <w:szCs w:val="28"/>
        </w:rPr>
      </w:pPr>
    </w:p>
    <w:p w:rsidR="00CF1081" w:rsidRPr="00544117" w:rsidP="00CF1081" w14:paraId="40D642E7" w14:textId="77777777">
      <w:pPr>
        <w:rPr>
          <w:rFonts w:asciiTheme="majorHAnsi" w:hAnsiTheme="majorHAnsi"/>
          <w:b/>
          <w:sz w:val="32"/>
          <w:szCs w:val="28"/>
        </w:rPr>
      </w:pPr>
    </w:p>
    <w:p w:rsidR="00AE1B86" w:rsidP="00CF1081" w14:paraId="55FE5FB1" w14:textId="77777777">
      <w:pPr>
        <w:rPr>
          <w:rFonts w:asciiTheme="majorHAnsi" w:hAnsiTheme="majorHAnsi"/>
          <w:b/>
          <w:sz w:val="32"/>
          <w:szCs w:val="28"/>
        </w:rPr>
      </w:pPr>
    </w:p>
    <w:p w:rsidR="00AE1B86" w:rsidP="00CF1081" w14:paraId="1AA9EA30" w14:textId="77777777">
      <w:pPr>
        <w:rPr>
          <w:rFonts w:asciiTheme="majorHAnsi" w:hAnsiTheme="majorHAnsi"/>
          <w:b/>
          <w:sz w:val="32"/>
          <w:szCs w:val="28"/>
        </w:rPr>
      </w:pPr>
    </w:p>
    <w:p w:rsidR="00CF1081" w:rsidRPr="0078276C" w:rsidP="00CF1081" w14:paraId="76D1720E" w14:textId="1BFD2E76">
      <w:pPr>
        <w:rPr>
          <w:rFonts w:asciiTheme="majorHAnsi" w:hAnsiTheme="majorHAnsi"/>
          <w:b/>
          <w:sz w:val="24"/>
          <w:szCs w:val="24"/>
        </w:rPr>
      </w:pPr>
      <w:r w:rsidRPr="0078276C">
        <w:rPr>
          <w:rFonts w:asciiTheme="majorHAnsi" w:hAnsiTheme="majorHAnsi"/>
          <w:b/>
          <w:sz w:val="24"/>
          <w:szCs w:val="24"/>
        </w:rPr>
        <w:t>Project Officer</w:t>
      </w:r>
    </w:p>
    <w:p w:rsidR="00CF1081" w:rsidRPr="0078276C" w:rsidP="00CF1081" w14:paraId="5C1170A1" w14:textId="3D1819E1">
      <w:pPr>
        <w:pStyle w:val="NoSpacing"/>
        <w:spacing w:line="276" w:lineRule="auto"/>
        <w:rPr>
          <w:rFonts w:asciiTheme="majorHAnsi" w:hAnsiTheme="majorHAnsi"/>
          <w:sz w:val="24"/>
          <w:szCs w:val="24"/>
        </w:rPr>
      </w:pPr>
      <w:r>
        <w:rPr>
          <w:rFonts w:asciiTheme="majorHAnsi" w:hAnsiTheme="majorHAnsi"/>
          <w:sz w:val="24"/>
          <w:szCs w:val="24"/>
        </w:rPr>
        <w:t>Amy Helene Schnall, DrPH</w:t>
      </w:r>
    </w:p>
    <w:p w:rsidR="00CF1081" w:rsidRPr="0078276C" w:rsidP="00CF1081" w14:paraId="241ABFE9" w14:textId="77777777">
      <w:pPr>
        <w:pStyle w:val="NoSpacing"/>
        <w:spacing w:line="276" w:lineRule="auto"/>
        <w:rPr>
          <w:rFonts w:asciiTheme="majorHAnsi" w:hAnsiTheme="majorHAnsi"/>
          <w:sz w:val="24"/>
          <w:szCs w:val="24"/>
        </w:rPr>
      </w:pPr>
      <w:bookmarkStart w:id="0" w:name="_Toc331406326"/>
      <w:r w:rsidRPr="0078276C">
        <w:rPr>
          <w:rFonts w:asciiTheme="majorHAnsi" w:hAnsiTheme="majorHAnsi"/>
          <w:sz w:val="24"/>
          <w:szCs w:val="24"/>
        </w:rPr>
        <w:t>National Center for E</w:t>
      </w:r>
      <w:bookmarkEnd w:id="0"/>
      <w:r w:rsidRPr="0078276C">
        <w:rPr>
          <w:rFonts w:asciiTheme="majorHAnsi" w:hAnsiTheme="majorHAnsi"/>
          <w:sz w:val="24"/>
          <w:szCs w:val="24"/>
        </w:rPr>
        <w:t>nvironmental Health</w:t>
      </w:r>
    </w:p>
    <w:p w:rsidR="00CF1081" w:rsidRPr="0078276C" w:rsidP="00CF1081" w14:paraId="314104F1" w14:textId="77777777">
      <w:pPr>
        <w:pStyle w:val="NoSpacing"/>
        <w:spacing w:line="276" w:lineRule="auto"/>
        <w:rPr>
          <w:rFonts w:asciiTheme="majorHAnsi" w:hAnsiTheme="majorHAnsi"/>
          <w:sz w:val="24"/>
          <w:szCs w:val="24"/>
        </w:rPr>
      </w:pPr>
      <w:bookmarkStart w:id="1" w:name="_Toc331406327"/>
      <w:r w:rsidRPr="0078276C">
        <w:rPr>
          <w:rFonts w:asciiTheme="majorHAnsi" w:hAnsiTheme="majorHAnsi"/>
          <w:sz w:val="24"/>
          <w:szCs w:val="24"/>
        </w:rPr>
        <w:t>Centers for Disease Control and Prevention</w:t>
      </w:r>
      <w:bookmarkEnd w:id="1"/>
    </w:p>
    <w:p w:rsidR="00CF1081" w:rsidRPr="0078276C" w:rsidP="00CF1081" w14:paraId="26676D57" w14:textId="39E29D29">
      <w:pPr>
        <w:pStyle w:val="NoSpacing"/>
        <w:spacing w:line="276" w:lineRule="auto"/>
        <w:rPr>
          <w:rFonts w:asciiTheme="majorHAnsi" w:hAnsiTheme="majorHAnsi"/>
          <w:sz w:val="24"/>
          <w:szCs w:val="24"/>
        </w:rPr>
      </w:pPr>
      <w:r w:rsidRPr="0078276C">
        <w:rPr>
          <w:rFonts w:asciiTheme="majorHAnsi" w:hAnsiTheme="majorHAnsi"/>
          <w:sz w:val="24"/>
          <w:szCs w:val="24"/>
        </w:rPr>
        <w:t>4770 Buford Highway NE</w:t>
      </w:r>
    </w:p>
    <w:p w:rsidR="00CF1081" w:rsidRPr="0078276C" w:rsidP="00CF1081" w14:paraId="68DA69A3" w14:textId="77777777">
      <w:pPr>
        <w:pStyle w:val="NoSpacing"/>
        <w:spacing w:line="276" w:lineRule="auto"/>
        <w:rPr>
          <w:rFonts w:asciiTheme="majorHAnsi" w:hAnsiTheme="majorHAnsi"/>
          <w:sz w:val="24"/>
          <w:szCs w:val="24"/>
        </w:rPr>
      </w:pPr>
      <w:bookmarkStart w:id="2" w:name="_Toc331406329"/>
      <w:r w:rsidRPr="0078276C">
        <w:rPr>
          <w:rFonts w:asciiTheme="majorHAnsi" w:hAnsiTheme="majorHAnsi"/>
          <w:sz w:val="24"/>
          <w:szCs w:val="24"/>
        </w:rPr>
        <w:t>Atlanta, Georgia 303</w:t>
      </w:r>
      <w:bookmarkEnd w:id="2"/>
      <w:r w:rsidRPr="0078276C">
        <w:rPr>
          <w:rFonts w:asciiTheme="majorHAnsi" w:hAnsiTheme="majorHAnsi"/>
          <w:sz w:val="24"/>
          <w:szCs w:val="24"/>
        </w:rPr>
        <w:t>41</w:t>
      </w:r>
    </w:p>
    <w:p w:rsidR="00CF1081" w:rsidRPr="0078276C" w:rsidP="00CF1081" w14:paraId="1E13738D" w14:textId="68367AC8">
      <w:pPr>
        <w:pStyle w:val="NoSpacing"/>
        <w:spacing w:line="276" w:lineRule="auto"/>
        <w:rPr>
          <w:rFonts w:asciiTheme="majorHAnsi" w:hAnsiTheme="majorHAnsi"/>
          <w:sz w:val="24"/>
          <w:szCs w:val="24"/>
        </w:rPr>
      </w:pPr>
      <w:bookmarkStart w:id="3" w:name="_Toc331406330"/>
      <w:r w:rsidRPr="0078276C">
        <w:rPr>
          <w:rFonts w:asciiTheme="majorHAnsi" w:hAnsiTheme="majorHAnsi"/>
          <w:sz w:val="24"/>
          <w:szCs w:val="24"/>
        </w:rPr>
        <w:t xml:space="preserve">Phone: (770) </w:t>
      </w:r>
      <w:bookmarkEnd w:id="3"/>
      <w:r w:rsidRPr="0078276C">
        <w:rPr>
          <w:rFonts w:asciiTheme="majorHAnsi" w:hAnsiTheme="majorHAnsi"/>
          <w:sz w:val="24"/>
          <w:szCs w:val="24"/>
        </w:rPr>
        <w:t>488-</w:t>
      </w:r>
      <w:r w:rsidR="004F6CAA">
        <w:rPr>
          <w:rFonts w:asciiTheme="majorHAnsi" w:hAnsiTheme="majorHAnsi"/>
          <w:sz w:val="24"/>
          <w:szCs w:val="24"/>
        </w:rPr>
        <w:t>3422</w:t>
      </w:r>
    </w:p>
    <w:p w:rsidR="00CF1081" w:rsidP="00CF1081" w14:paraId="41CE16EF" w14:textId="661B054C">
      <w:pPr>
        <w:pStyle w:val="NoSpacing"/>
        <w:spacing w:line="276" w:lineRule="auto"/>
        <w:rPr>
          <w:rFonts w:asciiTheme="majorHAnsi" w:hAnsiTheme="majorHAnsi"/>
          <w:sz w:val="24"/>
          <w:szCs w:val="24"/>
        </w:rPr>
      </w:pPr>
      <w:bookmarkStart w:id="4" w:name="_Toc331406331"/>
      <w:r w:rsidRPr="0078276C">
        <w:rPr>
          <w:rFonts w:asciiTheme="majorHAnsi" w:hAnsiTheme="majorHAnsi"/>
          <w:sz w:val="24"/>
          <w:szCs w:val="24"/>
        </w:rPr>
        <w:t xml:space="preserve">Email: </w:t>
      </w:r>
      <w:bookmarkEnd w:id="4"/>
      <w:hyperlink r:id="rId8" w:history="1">
        <w:r w:rsidRPr="001109C5" w:rsidR="004F6CAA">
          <w:rPr>
            <w:rStyle w:val="Hyperlink"/>
            <w:rFonts w:asciiTheme="majorHAnsi" w:hAnsiTheme="majorHAnsi"/>
            <w:sz w:val="24"/>
            <w:szCs w:val="24"/>
          </w:rPr>
          <w:t>GHU5@cdc.gov</w:t>
        </w:r>
      </w:hyperlink>
      <w:r w:rsidR="004F6CAA">
        <w:rPr>
          <w:rFonts w:asciiTheme="majorHAnsi" w:hAnsiTheme="majorHAnsi"/>
          <w:sz w:val="24"/>
          <w:szCs w:val="24"/>
        </w:rPr>
        <w:t xml:space="preserve"> </w:t>
      </w:r>
    </w:p>
    <w:p w:rsidR="004F6CAA" w:rsidRPr="0078276C" w:rsidP="00CF1081" w14:paraId="35A70F33" w14:textId="77777777">
      <w:pPr>
        <w:pStyle w:val="NoSpacing"/>
        <w:spacing w:line="276" w:lineRule="auto"/>
        <w:rPr>
          <w:rFonts w:asciiTheme="majorHAnsi" w:hAnsiTheme="majorHAnsi"/>
          <w:sz w:val="24"/>
          <w:szCs w:val="24"/>
        </w:rPr>
      </w:pPr>
    </w:p>
    <w:p w:rsidR="00AD5C2A" w:rsidRPr="009F7622" w:rsidP="009F7622" w14:paraId="372F391A" w14:textId="7031F802">
      <w:pPr>
        <w:rPr>
          <w:sz w:val="28"/>
        </w:rPr>
      </w:pPr>
      <w:r w:rsidRPr="009F7622">
        <w:rPr>
          <w:rFonts w:asciiTheme="majorHAnsi" w:hAnsiTheme="majorHAnsi"/>
          <w:sz w:val="28"/>
        </w:rPr>
        <w:t>Table of Contents</w:t>
      </w:r>
    </w:p>
    <w:sdt>
      <w:sdtPr>
        <w:rPr>
          <w:rFonts w:asciiTheme="minorHAnsi" w:eastAsiaTheme="minorHAnsi" w:hAnsiTheme="minorHAnsi" w:cstheme="minorBidi"/>
          <w:b/>
          <w:bCs/>
          <w:smallCaps/>
          <w:sz w:val="22"/>
          <w:szCs w:val="22"/>
        </w:rPr>
        <w:id w:val="347615539"/>
        <w:docPartObj>
          <w:docPartGallery w:val="Table of Contents"/>
          <w:docPartUnique/>
        </w:docPartObj>
      </w:sdtPr>
      <w:sdtEndPr>
        <w:rPr>
          <w:rFonts w:eastAsiaTheme="minorEastAsia"/>
          <w:b w:val="0"/>
          <w:bCs w:val="0"/>
          <w:smallCaps w:val="0"/>
          <w:noProof/>
        </w:rPr>
      </w:sdtEndPr>
      <w:sdtContent>
        <w:p w:rsidR="00802516" w14:paraId="317003E7" w14:textId="5B9BCD97">
          <w:pPr>
            <w:pStyle w:val="TOC1"/>
            <w:rPr>
              <w:rFonts w:asciiTheme="minorHAnsi" w:eastAsiaTheme="minorEastAsia" w:hAnsiTheme="minorHAnsi" w:cstheme="minorBidi"/>
              <w:noProof/>
              <w:sz w:val="22"/>
              <w:szCs w:val="22"/>
            </w:rPr>
          </w:pPr>
          <w:r w:rsidRPr="007C478E">
            <w:rPr>
              <w:rFonts w:eastAsiaTheme="minorEastAsia"/>
            </w:rPr>
            <w:fldChar w:fldCharType="begin"/>
          </w:r>
          <w:r w:rsidRPr="00395CF4">
            <w:instrText xml:space="preserve"> TOC \o "1-3" \h \z \u </w:instrText>
          </w:r>
          <w:r w:rsidRPr="007C478E">
            <w:fldChar w:fldCharType="separate"/>
          </w:r>
          <w:hyperlink w:anchor="_Toc452631059" w:history="1">
            <w:r w:rsidRPr="007A0F98">
              <w:rPr>
                <w:rStyle w:val="Hyperlink"/>
                <w:rFonts w:asciiTheme="majorHAnsi" w:eastAsiaTheme="majorEastAsia" w:hAnsiTheme="majorHAnsi" w:cstheme="majorBidi"/>
                <w:bCs/>
                <w:noProof/>
                <w:lang w:eastAsia="zh-CN"/>
              </w:rPr>
              <w:t>B.1. Respondent Universe and Sampling Methods</w:t>
            </w:r>
            <w:r>
              <w:rPr>
                <w:noProof/>
                <w:webHidden/>
              </w:rPr>
              <w:tab/>
            </w:r>
            <w:r>
              <w:rPr>
                <w:noProof/>
                <w:webHidden/>
              </w:rPr>
              <w:fldChar w:fldCharType="begin"/>
            </w:r>
            <w:r>
              <w:rPr>
                <w:noProof/>
                <w:webHidden/>
              </w:rPr>
              <w:instrText xml:space="preserve"> PAGEREF _Toc452631059 \h </w:instrText>
            </w:r>
            <w:r>
              <w:rPr>
                <w:noProof/>
                <w:webHidden/>
              </w:rPr>
              <w:fldChar w:fldCharType="separate"/>
            </w:r>
            <w:r>
              <w:rPr>
                <w:noProof/>
                <w:webHidden/>
              </w:rPr>
              <w:t>3</w:t>
            </w:r>
            <w:r>
              <w:rPr>
                <w:noProof/>
                <w:webHidden/>
              </w:rPr>
              <w:fldChar w:fldCharType="end"/>
            </w:r>
          </w:hyperlink>
        </w:p>
        <w:p w:rsidR="00802516" w14:paraId="31528E9C" w14:textId="57F4DDFF">
          <w:pPr>
            <w:pStyle w:val="TOC1"/>
            <w:rPr>
              <w:rFonts w:asciiTheme="minorHAnsi" w:eastAsiaTheme="minorEastAsia" w:hAnsiTheme="minorHAnsi" w:cstheme="minorBidi"/>
              <w:noProof/>
              <w:sz w:val="22"/>
              <w:szCs w:val="22"/>
            </w:rPr>
          </w:pPr>
          <w:hyperlink w:anchor="_Toc452631060" w:history="1">
            <w:r w:rsidRPr="007A0F98">
              <w:rPr>
                <w:rStyle w:val="Hyperlink"/>
                <w:rFonts w:asciiTheme="majorHAnsi" w:hAnsiTheme="majorHAnsi"/>
                <w:noProof/>
              </w:rPr>
              <w:t>B.2. Procedures for the Collection of Information</w:t>
            </w:r>
            <w:r>
              <w:rPr>
                <w:noProof/>
                <w:webHidden/>
              </w:rPr>
              <w:tab/>
            </w:r>
            <w:r>
              <w:rPr>
                <w:noProof/>
                <w:webHidden/>
              </w:rPr>
              <w:fldChar w:fldCharType="begin"/>
            </w:r>
            <w:r>
              <w:rPr>
                <w:noProof/>
                <w:webHidden/>
              </w:rPr>
              <w:instrText xml:space="preserve"> PAGEREF _Toc452631060 \h </w:instrText>
            </w:r>
            <w:r>
              <w:rPr>
                <w:noProof/>
                <w:webHidden/>
              </w:rPr>
              <w:fldChar w:fldCharType="separate"/>
            </w:r>
            <w:r>
              <w:rPr>
                <w:noProof/>
                <w:webHidden/>
              </w:rPr>
              <w:t>4</w:t>
            </w:r>
            <w:r>
              <w:rPr>
                <w:noProof/>
                <w:webHidden/>
              </w:rPr>
              <w:fldChar w:fldCharType="end"/>
            </w:r>
          </w:hyperlink>
        </w:p>
        <w:p w:rsidR="00802516" w14:paraId="4735BA68" w14:textId="67BAB93E">
          <w:pPr>
            <w:pStyle w:val="TOC1"/>
            <w:rPr>
              <w:rFonts w:asciiTheme="minorHAnsi" w:eastAsiaTheme="minorEastAsia" w:hAnsiTheme="minorHAnsi" w:cstheme="minorBidi"/>
              <w:noProof/>
              <w:sz w:val="22"/>
              <w:szCs w:val="22"/>
            </w:rPr>
          </w:pPr>
          <w:hyperlink w:anchor="_Toc452631061" w:history="1">
            <w:r w:rsidRPr="007A0F98">
              <w:rPr>
                <w:rStyle w:val="Hyperlink"/>
                <w:rFonts w:asciiTheme="majorHAnsi" w:hAnsiTheme="majorHAnsi"/>
                <w:noProof/>
              </w:rPr>
              <w:t>B.3. Methods to Maximize Response Rates and Deal with Nonresponse</w:t>
            </w:r>
            <w:r>
              <w:rPr>
                <w:noProof/>
                <w:webHidden/>
              </w:rPr>
              <w:tab/>
            </w:r>
            <w:r>
              <w:rPr>
                <w:noProof/>
                <w:webHidden/>
              </w:rPr>
              <w:fldChar w:fldCharType="begin"/>
            </w:r>
            <w:r>
              <w:rPr>
                <w:noProof/>
                <w:webHidden/>
              </w:rPr>
              <w:instrText xml:space="preserve"> PAGEREF _Toc452631061 \h </w:instrText>
            </w:r>
            <w:r>
              <w:rPr>
                <w:noProof/>
                <w:webHidden/>
              </w:rPr>
              <w:fldChar w:fldCharType="separate"/>
            </w:r>
            <w:r>
              <w:rPr>
                <w:noProof/>
                <w:webHidden/>
              </w:rPr>
              <w:t>5</w:t>
            </w:r>
            <w:r>
              <w:rPr>
                <w:noProof/>
                <w:webHidden/>
              </w:rPr>
              <w:fldChar w:fldCharType="end"/>
            </w:r>
          </w:hyperlink>
        </w:p>
        <w:p w:rsidR="00802516" w14:paraId="733D0969" w14:textId="032AF9B1">
          <w:pPr>
            <w:pStyle w:val="TOC1"/>
            <w:rPr>
              <w:rFonts w:asciiTheme="minorHAnsi" w:eastAsiaTheme="minorEastAsia" w:hAnsiTheme="minorHAnsi" w:cstheme="minorBidi"/>
              <w:noProof/>
              <w:sz w:val="22"/>
              <w:szCs w:val="22"/>
            </w:rPr>
          </w:pPr>
          <w:hyperlink w:anchor="_Toc452631062" w:history="1">
            <w:r w:rsidRPr="007A0F98">
              <w:rPr>
                <w:rStyle w:val="Hyperlink"/>
                <w:rFonts w:asciiTheme="majorHAnsi" w:hAnsiTheme="majorHAnsi"/>
                <w:noProof/>
              </w:rPr>
              <w:t>B.4. Tests of Procedures or Methods to be Undertaken</w:t>
            </w:r>
            <w:r>
              <w:rPr>
                <w:noProof/>
                <w:webHidden/>
              </w:rPr>
              <w:tab/>
            </w:r>
            <w:r>
              <w:rPr>
                <w:noProof/>
                <w:webHidden/>
              </w:rPr>
              <w:fldChar w:fldCharType="begin"/>
            </w:r>
            <w:r>
              <w:rPr>
                <w:noProof/>
                <w:webHidden/>
              </w:rPr>
              <w:instrText xml:space="preserve"> PAGEREF _Toc452631062 \h </w:instrText>
            </w:r>
            <w:r>
              <w:rPr>
                <w:noProof/>
                <w:webHidden/>
              </w:rPr>
              <w:fldChar w:fldCharType="separate"/>
            </w:r>
            <w:r>
              <w:rPr>
                <w:noProof/>
                <w:webHidden/>
              </w:rPr>
              <w:t>6</w:t>
            </w:r>
            <w:r>
              <w:rPr>
                <w:noProof/>
                <w:webHidden/>
              </w:rPr>
              <w:fldChar w:fldCharType="end"/>
            </w:r>
          </w:hyperlink>
        </w:p>
        <w:p w:rsidR="00802516" w14:paraId="079EF4FD" w14:textId="741D699A">
          <w:pPr>
            <w:pStyle w:val="TOC1"/>
            <w:rPr>
              <w:rFonts w:asciiTheme="minorHAnsi" w:eastAsiaTheme="minorEastAsia" w:hAnsiTheme="minorHAnsi" w:cstheme="minorBidi"/>
              <w:noProof/>
              <w:sz w:val="22"/>
              <w:szCs w:val="22"/>
            </w:rPr>
          </w:pPr>
          <w:hyperlink w:anchor="_Toc452631063" w:history="1">
            <w:r w:rsidRPr="007A0F98">
              <w:rPr>
                <w:rStyle w:val="Hyperlink"/>
                <w:rFonts w:asciiTheme="majorHAnsi" w:hAnsiTheme="majorHAns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_Toc452631063 \h </w:instrText>
            </w:r>
            <w:r>
              <w:rPr>
                <w:noProof/>
                <w:webHidden/>
              </w:rPr>
              <w:fldChar w:fldCharType="separate"/>
            </w:r>
            <w:r>
              <w:rPr>
                <w:noProof/>
                <w:webHidden/>
              </w:rPr>
              <w:t>6</w:t>
            </w:r>
            <w:r>
              <w:rPr>
                <w:noProof/>
                <w:webHidden/>
              </w:rPr>
              <w:fldChar w:fldCharType="end"/>
            </w:r>
          </w:hyperlink>
        </w:p>
        <w:p w:rsidR="002333EB" w:rsidRPr="007C478E" w14:paraId="7FD2F445" w14:textId="31825635">
          <w:pPr>
            <w:rPr>
              <w:rFonts w:asciiTheme="majorHAnsi" w:hAnsiTheme="majorHAnsi"/>
            </w:rPr>
          </w:pPr>
          <w:r w:rsidRPr="007C478E">
            <w:rPr>
              <w:rFonts w:asciiTheme="majorHAnsi" w:hAnsiTheme="majorHAnsi"/>
              <w:b/>
              <w:bCs/>
              <w:noProof/>
            </w:rPr>
            <w:fldChar w:fldCharType="end"/>
          </w:r>
        </w:p>
      </w:sdtContent>
    </w:sdt>
    <w:p w:rsidR="00617C82" w:rsidRPr="007C478E" w:rsidP="00C035E9" w14:paraId="5AF1E5D7" w14:textId="77777777">
      <w:pPr>
        <w:spacing w:after="0" w:line="360" w:lineRule="auto"/>
        <w:rPr>
          <w:rFonts w:asciiTheme="majorHAnsi" w:hAnsiTheme="majorHAnsi" w:cs="Times New Roman"/>
          <w:bCs/>
          <w:sz w:val="24"/>
          <w:szCs w:val="24"/>
        </w:rPr>
      </w:pPr>
    </w:p>
    <w:p w:rsidR="00806707" w:rsidRPr="007C478E" w:rsidP="00C035E9" w14:paraId="0D0B3CCE" w14:textId="77777777">
      <w:pPr>
        <w:spacing w:after="0" w:line="360" w:lineRule="auto"/>
        <w:rPr>
          <w:rFonts w:asciiTheme="majorHAnsi" w:hAnsiTheme="majorHAnsi" w:cs="Times New Roman"/>
          <w:bCs/>
          <w:sz w:val="24"/>
          <w:szCs w:val="24"/>
        </w:rPr>
      </w:pPr>
    </w:p>
    <w:p w:rsidR="00D41757" w:rsidRPr="00F102EB" w:rsidP="00D41757" w14:paraId="0D684C58" w14:textId="77777777">
      <w:pPr>
        <w:pStyle w:val="Heading1"/>
        <w:rPr>
          <w:b w:val="0"/>
        </w:rPr>
      </w:pPr>
      <w:r w:rsidRPr="007C478E">
        <w:rPr>
          <w:rFonts w:cs="Times New Roman"/>
          <w:sz w:val="24"/>
          <w:szCs w:val="24"/>
        </w:rPr>
        <w:br w:type="page"/>
      </w:r>
      <w:bookmarkStart w:id="5" w:name="_Toc446686370"/>
    </w:p>
    <w:bookmarkEnd w:id="5"/>
    <w:p w:rsidR="00875329" w:rsidRPr="009F7622" w:rsidP="003167E1" w14:paraId="3E18DBD9" w14:textId="77777777">
      <w:pPr>
        <w:pStyle w:val="Default"/>
        <w:rPr>
          <w:rFonts w:asciiTheme="majorHAnsi" w:hAnsiTheme="majorHAnsi"/>
          <w:b/>
          <w:color w:val="auto"/>
          <w:sz w:val="36"/>
        </w:rPr>
      </w:pPr>
      <w:r w:rsidRPr="009F7622">
        <w:rPr>
          <w:rFonts w:asciiTheme="majorHAnsi" w:hAnsiTheme="majorHAnsi"/>
          <w:b/>
          <w:color w:val="auto"/>
          <w:sz w:val="36"/>
        </w:rPr>
        <w:t xml:space="preserve">Part B. Collections of Information Employing Statistical Methods </w:t>
      </w:r>
    </w:p>
    <w:p w:rsidR="002333EB" w:rsidRPr="00544117" w:rsidP="003167E1" w14:paraId="5AB6E9B3" w14:textId="77777777">
      <w:pPr>
        <w:pStyle w:val="Default"/>
        <w:rPr>
          <w:rFonts w:asciiTheme="majorHAnsi" w:eastAsiaTheme="majorEastAsia" w:hAnsiTheme="majorHAnsi" w:cstheme="majorBidi"/>
          <w:b/>
          <w:bCs/>
          <w:color w:val="auto"/>
          <w:sz w:val="40"/>
          <w:szCs w:val="40"/>
          <w:lang w:eastAsia="zh-CN"/>
        </w:rPr>
      </w:pPr>
    </w:p>
    <w:p w:rsidR="002333EB" w:rsidRPr="009F7622" w:rsidP="002333EB" w14:paraId="36306F04" w14:textId="519ECF49">
      <w:pPr>
        <w:pStyle w:val="Default"/>
        <w:outlineLvl w:val="0"/>
        <w:rPr>
          <w:rFonts w:asciiTheme="majorHAnsi" w:hAnsiTheme="majorHAnsi"/>
          <w:color w:val="auto"/>
          <w:sz w:val="36"/>
        </w:rPr>
      </w:pPr>
      <w:bookmarkStart w:id="6" w:name="_Toc452631059"/>
      <w:bookmarkStart w:id="7" w:name="_Toc446686371"/>
      <w:r w:rsidRPr="009F7622">
        <w:rPr>
          <w:rFonts w:asciiTheme="majorHAnsi" w:hAnsiTheme="majorHAnsi"/>
          <w:color w:val="auto"/>
          <w:sz w:val="36"/>
        </w:rPr>
        <w:t xml:space="preserve">B.1. Respondent Universe and </w:t>
      </w:r>
      <w:r w:rsidRPr="00395CF4" w:rsidR="00937C2E">
        <w:rPr>
          <w:rFonts w:asciiTheme="majorHAnsi" w:eastAsiaTheme="majorEastAsia" w:hAnsiTheme="majorHAnsi" w:cstheme="majorBidi"/>
          <w:bCs/>
          <w:color w:val="auto"/>
          <w:sz w:val="36"/>
          <w:szCs w:val="36"/>
          <w:lang w:eastAsia="zh-CN"/>
        </w:rPr>
        <w:t>S</w:t>
      </w:r>
      <w:r w:rsidRPr="00395CF4">
        <w:rPr>
          <w:rFonts w:asciiTheme="majorHAnsi" w:eastAsiaTheme="majorEastAsia" w:hAnsiTheme="majorHAnsi" w:cstheme="majorBidi"/>
          <w:bCs/>
          <w:color w:val="auto"/>
          <w:sz w:val="36"/>
          <w:szCs w:val="36"/>
          <w:lang w:eastAsia="zh-CN"/>
        </w:rPr>
        <w:t>ampling</w:t>
      </w:r>
      <w:r w:rsidRPr="009F7622">
        <w:rPr>
          <w:rFonts w:asciiTheme="majorHAnsi" w:hAnsiTheme="majorHAnsi"/>
          <w:color w:val="auto"/>
          <w:sz w:val="36"/>
        </w:rPr>
        <w:t xml:space="preserve"> Methods</w:t>
      </w:r>
      <w:bookmarkEnd w:id="6"/>
      <w:bookmarkEnd w:id="7"/>
      <w:r w:rsidRPr="009F7622">
        <w:rPr>
          <w:rFonts w:asciiTheme="majorHAnsi" w:hAnsiTheme="majorHAnsi"/>
          <w:color w:val="auto"/>
          <w:sz w:val="36"/>
        </w:rPr>
        <w:t xml:space="preserve"> </w:t>
      </w:r>
    </w:p>
    <w:p w:rsidR="00745762" w:rsidRPr="007C478E" w:rsidP="003167E1" w14:paraId="7B1FB102" w14:textId="77777777">
      <w:pPr>
        <w:pStyle w:val="Default"/>
        <w:rPr>
          <w:rFonts w:asciiTheme="majorHAnsi" w:hAnsiTheme="majorHAnsi"/>
          <w:color w:val="auto"/>
        </w:rPr>
      </w:pPr>
    </w:p>
    <w:p w:rsidR="000F4B53" w:rsidRPr="00A161D9" w:rsidP="000327E5" w14:paraId="659BE2FC" w14:textId="45395A9E">
      <w:pPr>
        <w:autoSpaceDE w:val="0"/>
        <w:autoSpaceDN w:val="0"/>
        <w:adjustRightInd w:val="0"/>
        <w:spacing w:after="0" w:line="276" w:lineRule="auto"/>
        <w:rPr>
          <w:rFonts w:asciiTheme="majorHAnsi" w:hAnsiTheme="majorHAnsi" w:cs="Times New Roman"/>
          <w:u w:color="000000"/>
        </w:rPr>
      </w:pPr>
      <w:r w:rsidRPr="00A161D9">
        <w:rPr>
          <w:rFonts w:asciiTheme="majorHAnsi" w:hAnsiTheme="majorHAnsi" w:cs="Times New Roman"/>
          <w:u w:color="000000"/>
        </w:rPr>
        <w:t>There are 5</w:t>
      </w:r>
      <w:r w:rsidR="003B2CFC">
        <w:rPr>
          <w:rFonts w:asciiTheme="majorHAnsi" w:hAnsiTheme="majorHAnsi" w:cs="Times New Roman"/>
          <w:u w:color="000000"/>
        </w:rPr>
        <w:t>3</w:t>
      </w:r>
      <w:r w:rsidRPr="00A161D9">
        <w:rPr>
          <w:rFonts w:asciiTheme="majorHAnsi" w:hAnsiTheme="majorHAnsi" w:cs="Times New Roman"/>
          <w:u w:color="000000"/>
        </w:rPr>
        <w:t xml:space="preserve"> poison centers</w:t>
      </w:r>
      <w:r w:rsidRPr="00A161D9" w:rsidR="00901E04">
        <w:rPr>
          <w:rFonts w:asciiTheme="majorHAnsi" w:hAnsiTheme="majorHAnsi" w:cs="Times New Roman"/>
          <w:u w:color="000000"/>
        </w:rPr>
        <w:t xml:space="preserve"> </w:t>
      </w:r>
      <w:r w:rsidRPr="00A161D9">
        <w:rPr>
          <w:rFonts w:asciiTheme="majorHAnsi" w:hAnsiTheme="majorHAnsi" w:cs="Times New Roman"/>
          <w:u w:color="000000"/>
        </w:rPr>
        <w:t>in the United States that service all states and US territories</w:t>
      </w:r>
      <w:r w:rsidR="00CD0007">
        <w:rPr>
          <w:rFonts w:asciiTheme="majorHAnsi" w:hAnsiTheme="majorHAnsi" w:cs="Times New Roman"/>
          <w:u w:color="000000"/>
        </w:rPr>
        <w:t xml:space="preserve"> </w:t>
      </w:r>
      <w:r w:rsidRPr="00395CF4" w:rsidR="00CD0007">
        <w:rPr>
          <w:rFonts w:asciiTheme="majorHAnsi" w:hAnsiTheme="majorHAnsi" w:cs="Times New Roman"/>
          <w:u w:color="000000"/>
        </w:rPr>
        <w:t>(</w:t>
      </w:r>
      <w:r w:rsidRPr="00A161D9" w:rsidR="00CD0007">
        <w:rPr>
          <w:rFonts w:asciiTheme="majorHAnsi" w:hAnsiTheme="majorHAnsi" w:cs="Times New Roman"/>
          <w:b/>
          <w:u w:color="000000"/>
        </w:rPr>
        <w:t>Attachment 3</w:t>
      </w:r>
      <w:r w:rsidRPr="00395CF4" w:rsidR="00CD0007">
        <w:rPr>
          <w:rFonts w:asciiTheme="majorHAnsi" w:hAnsiTheme="majorHAnsi" w:cs="Times New Roman"/>
          <w:u w:color="000000"/>
        </w:rPr>
        <w:t>)</w:t>
      </w:r>
      <w:r w:rsidRPr="00A161D9">
        <w:rPr>
          <w:rFonts w:asciiTheme="majorHAnsi" w:hAnsiTheme="majorHAnsi" w:cs="Times New Roman"/>
          <w:u w:color="000000"/>
        </w:rPr>
        <w:t xml:space="preserve">. Some states have a single poison center servicing the whole jurisdiction, some states have multiple poison centers servicing the state, and some states have poison centers outside the state that </w:t>
      </w:r>
      <w:r w:rsidRPr="00A161D9" w:rsidR="00181648">
        <w:rPr>
          <w:rFonts w:asciiTheme="majorHAnsi" w:hAnsiTheme="majorHAnsi" w:cs="Times New Roman"/>
          <w:u w:color="000000"/>
        </w:rPr>
        <w:t>are</w:t>
      </w:r>
      <w:r w:rsidRPr="00A161D9">
        <w:rPr>
          <w:rFonts w:asciiTheme="majorHAnsi" w:hAnsiTheme="majorHAnsi" w:cs="Times New Roman"/>
          <w:u w:color="000000"/>
        </w:rPr>
        <w:t xml:space="preserve"> servicing their jurisdiction. A free national hotline is available 24 hours a day, seven days a week to speak to poison center experts related to poison exposures. Callers using the national hotline will be automatically routed to the poison center closest to the</w:t>
      </w:r>
      <w:r w:rsidRPr="00A161D9" w:rsidR="00181648">
        <w:rPr>
          <w:rFonts w:asciiTheme="majorHAnsi" w:hAnsiTheme="majorHAnsi" w:cs="Times New Roman"/>
          <w:u w:color="000000"/>
        </w:rPr>
        <w:t>ir</w:t>
      </w:r>
      <w:r w:rsidRPr="00A161D9">
        <w:rPr>
          <w:rFonts w:asciiTheme="majorHAnsi" w:hAnsiTheme="majorHAnsi" w:cs="Times New Roman"/>
          <w:u w:color="000000"/>
        </w:rPr>
        <w:t xml:space="preserve"> location.</w:t>
      </w:r>
    </w:p>
    <w:p w:rsidR="002139FB" w:rsidRPr="00A161D9" w:rsidP="000327E5" w14:paraId="1C3FD86C" w14:textId="77777777">
      <w:pPr>
        <w:autoSpaceDE w:val="0"/>
        <w:autoSpaceDN w:val="0"/>
        <w:adjustRightInd w:val="0"/>
        <w:spacing w:after="0" w:line="276" w:lineRule="auto"/>
        <w:rPr>
          <w:rFonts w:asciiTheme="majorHAnsi" w:hAnsiTheme="majorHAnsi" w:cs="Times New Roman"/>
          <w:u w:color="000000"/>
        </w:rPr>
      </w:pPr>
    </w:p>
    <w:p w:rsidR="002139FB" w:rsidRPr="00D16A2E" w:rsidP="000327E5" w14:paraId="552BE611" w14:textId="23448114">
      <w:pPr>
        <w:autoSpaceDE w:val="0"/>
        <w:autoSpaceDN w:val="0"/>
        <w:adjustRightInd w:val="0"/>
        <w:spacing w:after="0" w:line="276" w:lineRule="auto"/>
        <w:rPr>
          <w:rFonts w:asciiTheme="majorHAnsi" w:hAnsiTheme="majorHAnsi" w:cs="Times New Roman"/>
          <w:u w:color="000000"/>
        </w:rPr>
      </w:pPr>
      <w:r w:rsidRPr="00A161D9">
        <w:rPr>
          <w:rFonts w:asciiTheme="majorHAnsi" w:hAnsiTheme="majorHAnsi"/>
        </w:rPr>
        <w:t xml:space="preserve">For a public health emergency to be selected for additional data collection under this Generic </w:t>
      </w:r>
      <w:r w:rsidRPr="00110549">
        <w:rPr>
          <w:rFonts w:asciiTheme="majorHAnsi" w:hAnsiTheme="majorHAnsi"/>
        </w:rPr>
        <w:t>I</w:t>
      </w:r>
      <w:r w:rsidRPr="00110549" w:rsidR="00962AFF">
        <w:rPr>
          <w:rFonts w:asciiTheme="majorHAnsi" w:hAnsiTheme="majorHAnsi"/>
        </w:rPr>
        <w:t xml:space="preserve">nformation </w:t>
      </w:r>
      <w:r w:rsidRPr="00110549">
        <w:rPr>
          <w:rFonts w:asciiTheme="majorHAnsi" w:hAnsiTheme="majorHAnsi"/>
        </w:rPr>
        <w:t>C</w:t>
      </w:r>
      <w:r w:rsidRPr="00110549" w:rsidR="00962AFF">
        <w:rPr>
          <w:rFonts w:asciiTheme="majorHAnsi" w:hAnsiTheme="majorHAnsi"/>
        </w:rPr>
        <w:t xml:space="preserve">ollection </w:t>
      </w:r>
      <w:r w:rsidRPr="00110549">
        <w:rPr>
          <w:rFonts w:asciiTheme="majorHAnsi" w:hAnsiTheme="majorHAnsi"/>
        </w:rPr>
        <w:t>R</w:t>
      </w:r>
      <w:r w:rsidRPr="00110549" w:rsidR="00962AFF">
        <w:rPr>
          <w:rFonts w:asciiTheme="majorHAnsi" w:hAnsiTheme="majorHAnsi"/>
        </w:rPr>
        <w:t>equest</w:t>
      </w:r>
      <w:r w:rsidRPr="00110549" w:rsidR="004B15F4">
        <w:rPr>
          <w:rFonts w:asciiTheme="majorHAnsi" w:hAnsiTheme="majorHAnsi"/>
        </w:rPr>
        <w:t xml:space="preserve"> (</w:t>
      </w:r>
      <w:r w:rsidRPr="00110549" w:rsidR="003B1751">
        <w:rPr>
          <w:rFonts w:asciiTheme="majorHAnsi" w:hAnsiTheme="majorHAnsi"/>
        </w:rPr>
        <w:t>G</w:t>
      </w:r>
      <w:r w:rsidRPr="00110549" w:rsidR="004B15F4">
        <w:rPr>
          <w:rFonts w:asciiTheme="majorHAnsi" w:hAnsiTheme="majorHAnsi"/>
        </w:rPr>
        <w:t>eneric ICR)</w:t>
      </w:r>
      <w:r w:rsidRPr="00110549">
        <w:rPr>
          <w:rFonts w:asciiTheme="majorHAnsi" w:hAnsiTheme="majorHAnsi"/>
        </w:rPr>
        <w:t xml:space="preserve">; an </w:t>
      </w:r>
      <w:r w:rsidR="00962ABD">
        <w:rPr>
          <w:rFonts w:asciiTheme="majorHAnsi" w:hAnsiTheme="majorHAnsi"/>
        </w:rPr>
        <w:t>incident</w:t>
      </w:r>
      <w:r w:rsidRPr="00110549" w:rsidR="00962ABD">
        <w:rPr>
          <w:rFonts w:asciiTheme="majorHAnsi" w:hAnsiTheme="majorHAnsi"/>
        </w:rPr>
        <w:t xml:space="preserve"> </w:t>
      </w:r>
      <w:r w:rsidRPr="00D16A2E">
        <w:rPr>
          <w:rFonts w:asciiTheme="majorHAnsi" w:hAnsiTheme="majorHAnsi"/>
        </w:rPr>
        <w:t>must meet the criteria below:</w:t>
      </w:r>
    </w:p>
    <w:p w:rsidR="000F4B53" w:rsidRPr="00D16A2E" w:rsidP="000327E5" w14:paraId="285FD55C" w14:textId="77777777">
      <w:pPr>
        <w:autoSpaceDE w:val="0"/>
        <w:autoSpaceDN w:val="0"/>
        <w:adjustRightInd w:val="0"/>
        <w:spacing w:after="0" w:line="276" w:lineRule="auto"/>
        <w:rPr>
          <w:rFonts w:asciiTheme="majorHAnsi" w:hAnsiTheme="majorHAnsi" w:cs="Times New Roman"/>
          <w:u w:color="000000"/>
        </w:rPr>
      </w:pPr>
    </w:p>
    <w:p w:rsidR="00D16A2E" w:rsidRPr="009F7622" w:rsidP="00FA386E" w14:paraId="115BCABD" w14:textId="080BA796">
      <w:pPr>
        <w:numPr>
          <w:ilvl w:val="0"/>
          <w:numId w:val="30"/>
        </w:numPr>
        <w:spacing w:after="200" w:line="276" w:lineRule="auto"/>
        <w:ind w:left="720"/>
        <w:rPr>
          <w:rFonts w:asciiTheme="majorHAnsi" w:hAnsiTheme="majorHAnsi"/>
        </w:rPr>
      </w:pPr>
      <w:r w:rsidRPr="009F7622">
        <w:rPr>
          <w:rFonts w:asciiTheme="majorHAnsi" w:hAnsiTheme="majorHAnsi"/>
        </w:rPr>
        <w:t xml:space="preserve">The </w:t>
      </w:r>
      <w:r w:rsidR="004F6CAA">
        <w:rPr>
          <w:rFonts w:asciiTheme="majorHAnsi" w:hAnsiTheme="majorHAnsi"/>
        </w:rPr>
        <w:t>incident</w:t>
      </w:r>
      <w:r w:rsidRPr="009F7622">
        <w:rPr>
          <w:rFonts w:asciiTheme="majorHAnsi" w:hAnsiTheme="majorHAnsi"/>
        </w:rPr>
        <w:t xml:space="preserve"> is a public health emergency causing adverse health effects.</w:t>
      </w:r>
    </w:p>
    <w:p w:rsidR="00D16A2E" w:rsidRPr="009F7622" w14:paraId="097D666B" w14:textId="77777777">
      <w:pPr>
        <w:numPr>
          <w:ilvl w:val="0"/>
          <w:numId w:val="30"/>
        </w:numPr>
        <w:spacing w:after="200" w:line="276" w:lineRule="auto"/>
        <w:ind w:left="720"/>
        <w:rPr>
          <w:rFonts w:asciiTheme="majorHAnsi" w:hAnsiTheme="majorHAnsi"/>
        </w:rPr>
      </w:pPr>
      <w:r w:rsidRPr="009F7622">
        <w:rPr>
          <w:rFonts w:asciiTheme="majorHAnsi" w:hAnsiTheme="majorHAnsi"/>
        </w:rPr>
        <w:t>Timely data are urgently needed to inform rapid public health action to prevent or reduce injury, disease, or death.</w:t>
      </w:r>
    </w:p>
    <w:p w:rsidR="00D16A2E" w:rsidRPr="009F7622" w14:paraId="2ACEBB5D" w14:textId="21307A9B">
      <w:pPr>
        <w:numPr>
          <w:ilvl w:val="0"/>
          <w:numId w:val="30"/>
        </w:numPr>
        <w:spacing w:after="200" w:line="276" w:lineRule="auto"/>
        <w:ind w:left="720"/>
        <w:rPr>
          <w:rFonts w:asciiTheme="majorHAnsi" w:hAnsiTheme="majorHAnsi"/>
        </w:rPr>
      </w:pPr>
      <w:r w:rsidRPr="009F7622">
        <w:rPr>
          <w:rFonts w:asciiTheme="majorHAnsi" w:hAnsiTheme="majorHAnsi"/>
        </w:rPr>
        <w:t xml:space="preserve">The </w:t>
      </w:r>
      <w:r w:rsidR="004F6CAA">
        <w:rPr>
          <w:rFonts w:asciiTheme="majorHAnsi" w:hAnsiTheme="majorHAnsi"/>
        </w:rPr>
        <w:t>incident</w:t>
      </w:r>
      <w:r w:rsidRPr="009F7622">
        <w:rPr>
          <w:rFonts w:asciiTheme="majorHAnsi" w:hAnsiTheme="majorHAnsi"/>
        </w:rPr>
        <w:t xml:space="preserve"> is characterized by (1) a natural or man-made disaster; (2) contaminated food/water; (3) a new or existing consumer product; or (4) an emerging public health threat.</w:t>
      </w:r>
    </w:p>
    <w:p w:rsidR="00D16A2E" w:rsidRPr="009F7622" w14:paraId="57F6A3DE" w14:textId="522392AB">
      <w:pPr>
        <w:numPr>
          <w:ilvl w:val="0"/>
          <w:numId w:val="30"/>
        </w:numPr>
        <w:spacing w:after="200" w:line="276" w:lineRule="auto"/>
        <w:ind w:left="720"/>
        <w:rPr>
          <w:rFonts w:asciiTheme="majorHAnsi" w:hAnsiTheme="majorHAnsi"/>
        </w:rPr>
      </w:pPr>
      <w:r w:rsidRPr="009F7622">
        <w:rPr>
          <w:rFonts w:asciiTheme="majorHAnsi" w:hAnsiTheme="majorHAnsi"/>
        </w:rPr>
        <w:t xml:space="preserve">The </w:t>
      </w:r>
      <w:r w:rsidR="004F6CAA">
        <w:rPr>
          <w:rFonts w:asciiTheme="majorHAnsi" w:hAnsiTheme="majorHAnsi"/>
        </w:rPr>
        <w:t>incident</w:t>
      </w:r>
      <w:r w:rsidRPr="009F7622">
        <w:rPr>
          <w:rFonts w:asciiTheme="majorHAnsi" w:hAnsiTheme="majorHAnsi"/>
        </w:rPr>
        <w:t xml:space="preserve"> has resulted in calls to a poison center, and the poison center agrees to conduct the call-back data collection.</w:t>
      </w:r>
    </w:p>
    <w:p w:rsidR="00D16A2E" w:rsidRPr="009F7622" w14:paraId="1A090ECA" w14:textId="78206E51">
      <w:pPr>
        <w:numPr>
          <w:ilvl w:val="0"/>
          <w:numId w:val="30"/>
        </w:numPr>
        <w:spacing w:after="200" w:line="276" w:lineRule="auto"/>
        <w:ind w:left="720"/>
        <w:rPr>
          <w:rFonts w:asciiTheme="majorHAnsi" w:hAnsiTheme="majorHAnsi"/>
        </w:rPr>
      </w:pPr>
      <w:r w:rsidRPr="009F7622">
        <w:rPr>
          <w:rFonts w:asciiTheme="majorHAnsi" w:hAnsiTheme="majorHAnsi"/>
        </w:rPr>
        <w:t xml:space="preserve">The </w:t>
      </w:r>
      <w:r w:rsidR="004F6CAA">
        <w:rPr>
          <w:rFonts w:asciiTheme="majorHAnsi" w:hAnsiTheme="majorHAnsi"/>
        </w:rPr>
        <w:t>incident</w:t>
      </w:r>
      <w:r w:rsidRPr="009F7622">
        <w:rPr>
          <w:rFonts w:asciiTheme="majorHAnsi" w:hAnsiTheme="majorHAnsi"/>
        </w:rPr>
        <w:t xml:space="preserve"> is domestic.</w:t>
      </w:r>
    </w:p>
    <w:p w:rsidR="00D16A2E" w:rsidRPr="009F7622" w14:paraId="68890E8F" w14:textId="77777777">
      <w:pPr>
        <w:numPr>
          <w:ilvl w:val="0"/>
          <w:numId w:val="30"/>
        </w:numPr>
        <w:spacing w:after="200" w:line="276" w:lineRule="auto"/>
        <w:ind w:left="720"/>
        <w:rPr>
          <w:rFonts w:asciiTheme="majorHAnsi" w:hAnsiTheme="majorHAnsi"/>
        </w:rPr>
      </w:pPr>
      <w:r w:rsidRPr="009F7622">
        <w:rPr>
          <w:rFonts w:asciiTheme="majorHAnsi" w:hAnsiTheme="majorHAnsi"/>
        </w:rPr>
        <w:t>Data collection will be completed in 60 days or less.</w:t>
      </w:r>
    </w:p>
    <w:p w:rsidR="00D16A2E" w:rsidRPr="009F7622" w:rsidP="000327E5" w14:paraId="6D00601C" w14:textId="621BF48A">
      <w:pPr>
        <w:autoSpaceDE w:val="0"/>
        <w:autoSpaceDN w:val="0"/>
        <w:adjustRightInd w:val="0"/>
        <w:spacing w:line="276" w:lineRule="auto"/>
        <w:rPr>
          <w:rFonts w:asciiTheme="majorHAnsi" w:hAnsiTheme="majorHAnsi"/>
        </w:rPr>
      </w:pPr>
      <w:r w:rsidRPr="009F7622">
        <w:rPr>
          <w:rFonts w:asciiTheme="majorHAnsi" w:hAnsiTheme="majorHAnsi"/>
        </w:rPr>
        <w:t>Additional criteria for the investigations, also called generic information collections (GenICs) under the Generic ICR, include</w:t>
      </w:r>
      <w:r w:rsidR="004F6CAA">
        <w:rPr>
          <w:rFonts w:asciiTheme="majorHAnsi" w:hAnsiTheme="majorHAnsi"/>
        </w:rPr>
        <w:t xml:space="preserve"> the following</w:t>
      </w:r>
      <w:r w:rsidRPr="009F7622">
        <w:rPr>
          <w:rFonts w:asciiTheme="majorHAnsi" w:hAnsiTheme="majorHAnsi"/>
        </w:rPr>
        <w:t>:</w:t>
      </w:r>
    </w:p>
    <w:p w:rsidR="00D16A2E" w:rsidRPr="009F7622" w:rsidP="00FA386E" w14:paraId="4273FC0C" w14:textId="77777777">
      <w:pPr>
        <w:pStyle w:val="ListParagraph"/>
        <w:numPr>
          <w:ilvl w:val="0"/>
          <w:numId w:val="47"/>
        </w:numPr>
        <w:spacing w:after="200" w:line="276" w:lineRule="auto"/>
        <w:contextualSpacing w:val="0"/>
        <w:rPr>
          <w:rFonts w:eastAsia="Arial Unicode MS" w:asciiTheme="majorHAnsi" w:hAnsiTheme="majorHAnsi"/>
          <w:u w:color="000000"/>
        </w:rPr>
      </w:pPr>
      <w:r w:rsidRPr="009F7622">
        <w:rPr>
          <w:rFonts w:asciiTheme="majorHAnsi" w:hAnsiTheme="majorHAnsi"/>
          <w:color w:val="000000"/>
        </w:rPr>
        <w:t>No request for technical assistance by state, local, or regional public health is required to initiate a GenIC.</w:t>
      </w:r>
    </w:p>
    <w:p w:rsidR="00D16A2E" w:rsidRPr="009F7622" w14:paraId="76992528" w14:textId="77777777">
      <w:pPr>
        <w:pStyle w:val="ListParagraph"/>
        <w:numPr>
          <w:ilvl w:val="0"/>
          <w:numId w:val="47"/>
        </w:numPr>
        <w:spacing w:after="200" w:line="276" w:lineRule="auto"/>
        <w:rPr>
          <w:rFonts w:eastAsia="Arial Unicode MS" w:asciiTheme="majorHAnsi" w:hAnsiTheme="majorHAnsi"/>
          <w:u w:color="000000"/>
        </w:rPr>
      </w:pPr>
      <w:r w:rsidRPr="009F7622">
        <w:rPr>
          <w:rFonts w:eastAsia="Arial Unicode MS" w:asciiTheme="majorHAnsi" w:hAnsiTheme="majorHAnsi"/>
          <w:u w:color="000000"/>
        </w:rPr>
        <w:t>The investigations will be non-research GenICs designed to identify, characterize, and to assist with an immediate public health emergency and the knowledge gained will directly benefit the affected community.</w:t>
      </w:r>
    </w:p>
    <w:p w:rsidR="00AE2790" w:rsidRPr="00395CF4" w14:paraId="4C2338D1" w14:textId="36B28972">
      <w:pPr>
        <w:autoSpaceDE w:val="0"/>
        <w:autoSpaceDN w:val="0"/>
        <w:adjustRightInd w:val="0"/>
        <w:spacing w:after="0" w:line="276" w:lineRule="auto"/>
        <w:rPr>
          <w:rFonts w:asciiTheme="majorHAnsi" w:hAnsiTheme="majorHAnsi" w:cs="Times New Roman"/>
          <w:u w:color="000000"/>
        </w:rPr>
      </w:pPr>
      <w:r w:rsidRPr="00395CF4">
        <w:rPr>
          <w:rFonts w:asciiTheme="majorHAnsi" w:hAnsiTheme="majorHAnsi" w:cs="Times New Roman"/>
          <w:u w:color="000000"/>
        </w:rPr>
        <w:t>Respondents selected for poison center investigations will comprise those who initially call a poison center</w:t>
      </w:r>
      <w:r w:rsidRPr="009F7622">
        <w:rPr>
          <w:rFonts w:asciiTheme="majorHAnsi" w:hAnsiTheme="majorHAnsi"/>
        </w:rPr>
        <w:t xml:space="preserve"> </w:t>
      </w:r>
      <w:r w:rsidRPr="00395CF4">
        <w:rPr>
          <w:rFonts w:asciiTheme="majorHAnsi" w:hAnsiTheme="majorHAnsi" w:cs="Courier New"/>
        </w:rPr>
        <w:t xml:space="preserve">about triage and treatment of potential poison exposures </w:t>
      </w:r>
      <w:r w:rsidRPr="009F7622">
        <w:rPr>
          <w:rFonts w:asciiTheme="majorHAnsi" w:hAnsiTheme="majorHAnsi"/>
        </w:rPr>
        <w:t xml:space="preserve">related to the select </w:t>
      </w:r>
      <w:r w:rsidRPr="00395CF4">
        <w:rPr>
          <w:rFonts w:asciiTheme="majorHAnsi" w:hAnsiTheme="majorHAnsi" w:cs="Courier New"/>
        </w:rPr>
        <w:t>public health emergency</w:t>
      </w:r>
      <w:r w:rsidRPr="00395CF4">
        <w:rPr>
          <w:rFonts w:asciiTheme="majorHAnsi" w:hAnsiTheme="majorHAnsi" w:cs="Times New Roman"/>
          <w:u w:color="000000"/>
        </w:rPr>
        <w:t xml:space="preserve">. CDC will identify the respondents based on information already collected in </w:t>
      </w:r>
      <w:r w:rsidR="009A4F7C">
        <w:rPr>
          <w:rFonts w:asciiTheme="majorHAnsi" w:hAnsiTheme="majorHAnsi" w:cs="Times New Roman"/>
          <w:u w:color="000000"/>
        </w:rPr>
        <w:t>the National Poison Data System (</w:t>
      </w:r>
      <w:r w:rsidRPr="00395CF4">
        <w:rPr>
          <w:rFonts w:asciiTheme="majorHAnsi" w:hAnsiTheme="majorHAnsi" w:cs="Times New Roman"/>
          <w:u w:color="000000"/>
        </w:rPr>
        <w:t>NPDS</w:t>
      </w:r>
      <w:r w:rsidR="009A4F7C">
        <w:rPr>
          <w:rFonts w:asciiTheme="majorHAnsi" w:hAnsiTheme="majorHAnsi" w:cs="Times New Roman"/>
          <w:u w:color="000000"/>
        </w:rPr>
        <w:t>)</w:t>
      </w:r>
      <w:r w:rsidRPr="00395CF4">
        <w:rPr>
          <w:rFonts w:asciiTheme="majorHAnsi" w:hAnsiTheme="majorHAnsi" w:cs="Times New Roman"/>
          <w:u w:color="000000"/>
        </w:rPr>
        <w:t xml:space="preserve">. </w:t>
      </w:r>
      <w:r w:rsidRPr="00395CF4">
        <w:rPr>
          <w:rFonts w:asciiTheme="majorHAnsi" w:hAnsiTheme="majorHAnsi"/>
        </w:rPr>
        <w:t xml:space="preserve">In their daily operations, poison centers track a caller’s contact information for the purposes of medical follow-up; this information will be used to contact the caller for the data collection. </w:t>
      </w:r>
      <w:r w:rsidRPr="00395CF4">
        <w:rPr>
          <w:rFonts w:asciiTheme="majorHAnsi" w:hAnsiTheme="majorHAnsi" w:cs="Times New Roman"/>
          <w:u w:color="000000"/>
        </w:rPr>
        <w:t>These respondents to the poison center investigations include</w:t>
      </w:r>
      <w:r w:rsidR="009153BF">
        <w:rPr>
          <w:rFonts w:asciiTheme="majorHAnsi" w:hAnsiTheme="majorHAnsi" w:cs="Times New Roman"/>
          <w:u w:color="000000"/>
        </w:rPr>
        <w:t xml:space="preserve"> the following</w:t>
      </w:r>
      <w:r w:rsidRPr="00395CF4">
        <w:rPr>
          <w:rFonts w:asciiTheme="majorHAnsi" w:hAnsiTheme="majorHAnsi" w:cs="Times New Roman"/>
          <w:u w:color="000000"/>
        </w:rPr>
        <w:t xml:space="preserve">: </w:t>
      </w:r>
    </w:p>
    <w:p w:rsidR="00AE2790" w:rsidRPr="00395CF4" w14:paraId="7E478C61" w14:textId="77777777">
      <w:pPr>
        <w:autoSpaceDE w:val="0"/>
        <w:autoSpaceDN w:val="0"/>
        <w:adjustRightInd w:val="0"/>
        <w:spacing w:after="0" w:line="276" w:lineRule="auto"/>
        <w:rPr>
          <w:rFonts w:asciiTheme="majorHAnsi" w:hAnsiTheme="majorHAnsi" w:cs="Times New Roman"/>
          <w:u w:color="000000"/>
        </w:rPr>
      </w:pPr>
    </w:p>
    <w:p w:rsidR="00AE2790" w:rsidRPr="00395CF4" w14:paraId="19E15901" w14:textId="7A14F124">
      <w:pPr>
        <w:pStyle w:val="ListParagraph"/>
        <w:numPr>
          <w:ilvl w:val="0"/>
          <w:numId w:val="48"/>
        </w:numPr>
        <w:autoSpaceDE w:val="0"/>
        <w:autoSpaceDN w:val="0"/>
        <w:adjustRightInd w:val="0"/>
        <w:spacing w:after="0" w:line="276" w:lineRule="auto"/>
        <w:rPr>
          <w:rFonts w:asciiTheme="majorHAnsi" w:hAnsiTheme="majorHAnsi"/>
          <w:u w:color="000000"/>
        </w:rPr>
      </w:pPr>
      <w:r w:rsidRPr="00395CF4">
        <w:rPr>
          <w:rFonts w:asciiTheme="majorHAnsi" w:hAnsiTheme="majorHAnsi"/>
          <w:u w:color="000000"/>
        </w:rPr>
        <w:t xml:space="preserve">Adults (18 years and older) </w:t>
      </w:r>
    </w:p>
    <w:p w:rsidR="00AE2790" w:rsidRPr="00395CF4" w14:paraId="75204743" w14:textId="43813BF2">
      <w:pPr>
        <w:pStyle w:val="ListParagraph"/>
        <w:numPr>
          <w:ilvl w:val="0"/>
          <w:numId w:val="48"/>
        </w:numPr>
        <w:autoSpaceDE w:val="0"/>
        <w:autoSpaceDN w:val="0"/>
        <w:adjustRightInd w:val="0"/>
        <w:spacing w:after="0" w:line="276" w:lineRule="auto"/>
        <w:rPr>
          <w:rFonts w:asciiTheme="majorHAnsi" w:hAnsiTheme="majorHAnsi"/>
          <w:u w:color="000000"/>
        </w:rPr>
      </w:pPr>
      <w:r w:rsidRPr="00395CF4">
        <w:rPr>
          <w:rFonts w:asciiTheme="majorHAnsi" w:hAnsiTheme="majorHAnsi"/>
          <w:u w:color="000000"/>
        </w:rPr>
        <w:t>Adolescents (15 up to 18 years)</w:t>
      </w:r>
    </w:p>
    <w:p w:rsidR="00AE2790" w:rsidRPr="00395CF4" w14:paraId="725AD59D" w14:textId="5D36B05E">
      <w:pPr>
        <w:pStyle w:val="ListParagraph"/>
        <w:numPr>
          <w:ilvl w:val="0"/>
          <w:numId w:val="48"/>
        </w:numPr>
        <w:autoSpaceDE w:val="0"/>
        <w:autoSpaceDN w:val="0"/>
        <w:adjustRightInd w:val="0"/>
        <w:spacing w:after="0" w:line="276" w:lineRule="auto"/>
        <w:rPr>
          <w:rFonts w:asciiTheme="majorHAnsi" w:hAnsiTheme="majorHAnsi"/>
          <w:u w:color="000000"/>
        </w:rPr>
      </w:pPr>
      <w:r w:rsidRPr="00395CF4">
        <w:rPr>
          <w:rFonts w:asciiTheme="majorHAnsi" w:hAnsiTheme="majorHAnsi"/>
          <w:u w:color="000000"/>
        </w:rPr>
        <w:t>Parents or guardians of children (less than 15 years)</w:t>
      </w:r>
    </w:p>
    <w:p w:rsidR="00D969BB" w:rsidP="00D969BB" w14:paraId="3A5611A2" w14:textId="0A2E139F">
      <w:pPr>
        <w:pStyle w:val="BodyTextIndent3"/>
        <w:tabs>
          <w:tab w:val="clear" w:pos="1800"/>
        </w:tabs>
        <w:ind w:left="0"/>
        <w:rPr>
          <w:rFonts w:asciiTheme="majorHAnsi" w:hAnsiTheme="majorHAnsi"/>
        </w:rPr>
      </w:pPr>
    </w:p>
    <w:p w:rsidR="00F9421C" w:rsidRPr="00393524" w:rsidP="00F9421C" w14:paraId="1253EEF0" w14:textId="77777777">
      <w:pPr>
        <w:autoSpaceDE w:val="0"/>
        <w:autoSpaceDN w:val="0"/>
        <w:adjustRightInd w:val="0"/>
        <w:spacing w:line="276" w:lineRule="auto"/>
        <w:rPr>
          <w:rFonts w:asciiTheme="majorHAnsi" w:hAnsiTheme="majorHAnsi"/>
        </w:rPr>
      </w:pPr>
      <w:r>
        <w:rPr>
          <w:rFonts w:asciiTheme="majorHAnsi" w:hAnsiTheme="majorHAnsi"/>
        </w:rPr>
        <w:t>The criteria for the sample of callers to poison centers for follow-up will be decided by CDC, in collaboration with America’s Poison Centers</w:t>
      </w:r>
      <w:r>
        <w:rPr>
          <w:rFonts w:asciiTheme="majorHAnsi" w:hAnsiTheme="majorHAnsi"/>
          <w:vertAlign w:val="superscript"/>
        </w:rPr>
        <w:t xml:space="preserve"> </w:t>
      </w:r>
      <w:r>
        <w:rPr>
          <w:rFonts w:asciiTheme="majorHAnsi" w:hAnsiTheme="majorHAnsi"/>
        </w:rPr>
        <w:t xml:space="preserve">™, and will depend on the particular information needs of the select public health emergency. For example, if there was illicit drug incident and information already collected in NPDS suggests many callers were reporting a particularly usual and severe symptom such as respiratory depression, then CDC may choose to identify respondents as those who reported respiratory depression after using the illicit drug and exclude those not reporting respiratory depression.    </w:t>
      </w:r>
    </w:p>
    <w:p w:rsidR="00F9421C" w:rsidRPr="00393524" w:rsidP="00F9421C" w14:paraId="39023665" w14:textId="77777777">
      <w:pPr>
        <w:pStyle w:val="Default"/>
        <w:spacing w:line="276" w:lineRule="auto"/>
        <w:rPr>
          <w:rFonts w:asciiTheme="majorHAnsi" w:hAnsiTheme="majorHAnsi"/>
          <w:sz w:val="22"/>
          <w:szCs w:val="22"/>
        </w:rPr>
      </w:pPr>
      <w:r w:rsidRPr="00393524">
        <w:rPr>
          <w:rFonts w:asciiTheme="majorHAnsi" w:hAnsiTheme="majorHAnsi"/>
          <w:color w:val="auto"/>
          <w:sz w:val="22"/>
          <w:szCs w:val="22"/>
        </w:rPr>
        <w:t>CDC does not expect unusual problems requiring specialized sampling.</w:t>
      </w:r>
    </w:p>
    <w:p w:rsidR="00F9421C" w:rsidRPr="007C478E" w:rsidP="00D969BB" w14:paraId="24B36C71" w14:textId="77777777">
      <w:pPr>
        <w:pStyle w:val="BodyTextIndent3"/>
        <w:tabs>
          <w:tab w:val="clear" w:pos="1800"/>
        </w:tabs>
        <w:ind w:left="0"/>
        <w:rPr>
          <w:rFonts w:asciiTheme="majorHAnsi" w:hAnsiTheme="majorHAnsi"/>
        </w:rPr>
      </w:pPr>
    </w:p>
    <w:p w:rsidR="00FE2625" w:rsidRPr="007C478E" w:rsidP="002455BC" w14:paraId="1AE57EB8" w14:textId="77777777">
      <w:pPr>
        <w:autoSpaceDE w:val="0"/>
        <w:autoSpaceDN w:val="0"/>
        <w:adjustRightInd w:val="0"/>
        <w:spacing w:after="0" w:line="240" w:lineRule="auto"/>
        <w:rPr>
          <w:rFonts w:asciiTheme="majorHAnsi" w:hAnsiTheme="majorHAnsi" w:cs="Times New Roman"/>
          <w:sz w:val="24"/>
          <w:szCs w:val="24"/>
        </w:rPr>
      </w:pPr>
    </w:p>
    <w:p w:rsidR="001A78D5" w:rsidRPr="007C478E" w:rsidP="002333EB" w14:paraId="06C0AF77" w14:textId="77777777">
      <w:pPr>
        <w:pStyle w:val="Body1"/>
        <w:tabs>
          <w:tab w:val="left" w:pos="720"/>
          <w:tab w:val="left" w:pos="1440"/>
          <w:tab w:val="left" w:pos="2160"/>
          <w:tab w:val="left" w:pos="2880"/>
        </w:tabs>
        <w:rPr>
          <w:rFonts w:asciiTheme="majorHAnsi" w:hAnsiTheme="majorHAnsi"/>
          <w:color w:val="auto"/>
          <w:sz w:val="36"/>
          <w:szCs w:val="24"/>
        </w:rPr>
      </w:pPr>
      <w:bookmarkStart w:id="8" w:name="_Toc452631060"/>
      <w:bookmarkStart w:id="9" w:name="_Toc446686372"/>
      <w:r w:rsidRPr="007C478E">
        <w:rPr>
          <w:rFonts w:asciiTheme="majorHAnsi" w:hAnsiTheme="majorHAnsi"/>
          <w:color w:val="auto"/>
          <w:sz w:val="36"/>
          <w:szCs w:val="24"/>
        </w:rPr>
        <w:t>B.2. Procedures for the Collection of Information</w:t>
      </w:r>
      <w:bookmarkEnd w:id="8"/>
      <w:bookmarkEnd w:id="9"/>
    </w:p>
    <w:p w:rsidR="00C23B03" w:rsidRPr="007C478E" w:rsidP="00C23B03" w14:paraId="291819C3" w14:textId="77777777">
      <w:pPr>
        <w:pStyle w:val="Body1"/>
        <w:tabs>
          <w:tab w:val="left" w:pos="720"/>
          <w:tab w:val="left" w:pos="1440"/>
          <w:tab w:val="left" w:pos="2160"/>
          <w:tab w:val="left" w:pos="2880"/>
        </w:tabs>
        <w:rPr>
          <w:rFonts w:asciiTheme="majorHAnsi" w:hAnsiTheme="majorHAnsi"/>
          <w:color w:val="4F81BD" w:themeColor="accent1"/>
          <w:szCs w:val="24"/>
        </w:rPr>
      </w:pPr>
    </w:p>
    <w:p w:rsidR="00841598" w:rsidRPr="00D5657B" w:rsidP="00E9096B" w14:paraId="2320CA02" w14:textId="77777777">
      <w:pPr>
        <w:spacing w:after="120" w:line="276" w:lineRule="auto"/>
        <w:rPr>
          <w:rFonts w:asciiTheme="majorHAnsi" w:hAnsiTheme="majorHAnsi"/>
          <w:i/>
          <w:iCs/>
          <w:color w:val="000000"/>
        </w:rPr>
      </w:pPr>
      <w:r w:rsidRPr="00D5657B">
        <w:rPr>
          <w:rFonts w:asciiTheme="majorHAnsi" w:hAnsiTheme="majorHAnsi"/>
          <w:i/>
          <w:iCs/>
          <w:color w:val="000000"/>
        </w:rPr>
        <w:t>Consent and Survey Design</w:t>
      </w:r>
    </w:p>
    <w:p w:rsidR="00841598" w:rsidP="00841598" w14:paraId="3BF27430" w14:textId="4BFA7C5D">
      <w:pPr>
        <w:spacing w:after="120" w:line="276" w:lineRule="auto"/>
        <w:rPr>
          <w:rFonts w:eastAsia="Times New Roman" w:asciiTheme="majorHAnsi" w:hAnsiTheme="majorHAnsi"/>
        </w:rPr>
      </w:pPr>
      <w:r>
        <w:rPr>
          <w:rFonts w:eastAsia="Times New Roman" w:asciiTheme="majorHAnsi" w:hAnsiTheme="majorHAnsi"/>
        </w:rPr>
        <w:t xml:space="preserve">Once a public health emergency is selected for call-back, the </w:t>
      </w:r>
      <w:r w:rsidRPr="00D5657B">
        <w:rPr>
          <w:rFonts w:eastAsia="Times New Roman" w:asciiTheme="majorHAnsi" w:hAnsiTheme="majorHAnsi"/>
        </w:rPr>
        <w:t xml:space="preserve">CDC works </w:t>
      </w:r>
      <w:r>
        <w:rPr>
          <w:rFonts w:eastAsia="Times New Roman" w:asciiTheme="majorHAnsi" w:hAnsiTheme="majorHAnsi"/>
        </w:rPr>
        <w:t xml:space="preserve">in collaboration </w:t>
      </w:r>
      <w:r w:rsidRPr="00D5657B">
        <w:rPr>
          <w:rFonts w:eastAsia="Times New Roman" w:asciiTheme="majorHAnsi" w:hAnsiTheme="majorHAnsi"/>
        </w:rPr>
        <w:t xml:space="preserve">with </w:t>
      </w:r>
      <w:r w:rsidRPr="00D5657B">
        <w:rPr>
          <w:rFonts w:eastAsia="Arial Unicode MS" w:asciiTheme="majorHAnsi" w:hAnsiTheme="majorHAnsi"/>
          <w:u w:color="000000"/>
        </w:rPr>
        <w:t xml:space="preserve">America’s Poison </w:t>
      </w:r>
      <w:r w:rsidRPr="00D5657B">
        <w:rPr>
          <w:rFonts w:asciiTheme="majorHAnsi" w:hAnsiTheme="majorHAnsi" w:cs="Courier New"/>
          <w:lang w:val="en"/>
        </w:rPr>
        <w:t>Centers</w:t>
      </w:r>
      <w:r w:rsidRPr="00D5657B">
        <w:rPr>
          <w:rFonts w:asciiTheme="majorHAnsi" w:hAnsiTheme="majorHAnsi" w:cs="Courier New"/>
          <w:vertAlign w:val="superscript"/>
          <w:lang w:val="en"/>
        </w:rPr>
        <w:t xml:space="preserve"> TM</w:t>
      </w:r>
      <w:r w:rsidRPr="00D5657B">
        <w:rPr>
          <w:rFonts w:eastAsia="Times New Roman" w:asciiTheme="majorHAnsi" w:hAnsiTheme="majorHAnsi"/>
        </w:rPr>
        <w:t xml:space="preserve"> to develop consent</w:t>
      </w:r>
      <w:r>
        <w:rPr>
          <w:rFonts w:asciiTheme="majorHAnsi" w:hAnsiTheme="majorHAnsi"/>
        </w:rPr>
        <w:t>/assent/permission</w:t>
      </w:r>
      <w:r w:rsidRPr="00D5657B">
        <w:rPr>
          <w:rFonts w:eastAsia="Times New Roman" w:asciiTheme="majorHAnsi" w:hAnsiTheme="majorHAnsi"/>
        </w:rPr>
        <w:t xml:space="preserve"> forms </w:t>
      </w:r>
      <w:r>
        <w:rPr>
          <w:rFonts w:asciiTheme="majorHAnsi" w:hAnsiTheme="majorHAnsi"/>
        </w:rPr>
        <w:t xml:space="preserve">derived from the template in </w:t>
      </w:r>
      <w:r w:rsidRPr="00EF01A2">
        <w:rPr>
          <w:rFonts w:asciiTheme="majorHAnsi" w:hAnsiTheme="majorHAnsi"/>
          <w:b/>
        </w:rPr>
        <w:t xml:space="preserve">Attachment </w:t>
      </w:r>
      <w:r>
        <w:rPr>
          <w:rFonts w:asciiTheme="majorHAnsi" w:hAnsiTheme="majorHAnsi"/>
          <w:b/>
        </w:rPr>
        <w:t xml:space="preserve">12 </w:t>
      </w:r>
      <w:r w:rsidRPr="00D5657B">
        <w:rPr>
          <w:rFonts w:eastAsia="Times New Roman" w:asciiTheme="majorHAnsi" w:hAnsiTheme="majorHAnsi"/>
        </w:rPr>
        <w:t>and survey questions</w:t>
      </w:r>
      <w:r>
        <w:rPr>
          <w:rFonts w:eastAsia="Times New Roman" w:asciiTheme="majorHAnsi" w:hAnsiTheme="majorHAnsi"/>
        </w:rPr>
        <w:t xml:space="preserve"> </w:t>
      </w:r>
      <w:r w:rsidRPr="00393524">
        <w:rPr>
          <w:rFonts w:asciiTheme="majorHAnsi" w:hAnsiTheme="majorHAnsi"/>
        </w:rPr>
        <w:t>derived from the template</w:t>
      </w:r>
      <w:r>
        <w:rPr>
          <w:rFonts w:asciiTheme="majorHAnsi" w:hAnsiTheme="majorHAnsi"/>
        </w:rPr>
        <w:t>s</w:t>
      </w:r>
      <w:r w:rsidRPr="00393524">
        <w:rPr>
          <w:rFonts w:asciiTheme="majorHAnsi" w:hAnsiTheme="majorHAnsi"/>
        </w:rPr>
        <w:t xml:space="preserve"> in </w:t>
      </w:r>
      <w:r w:rsidRPr="00393524">
        <w:rPr>
          <w:rFonts w:asciiTheme="majorHAnsi" w:hAnsiTheme="majorHAnsi"/>
          <w:b/>
        </w:rPr>
        <w:t>Attachment</w:t>
      </w:r>
      <w:r>
        <w:rPr>
          <w:rFonts w:asciiTheme="majorHAnsi" w:hAnsiTheme="majorHAnsi"/>
          <w:b/>
        </w:rPr>
        <w:t>s</w:t>
      </w:r>
      <w:r w:rsidRPr="00393524">
        <w:rPr>
          <w:rFonts w:asciiTheme="majorHAnsi" w:hAnsiTheme="majorHAnsi"/>
          <w:b/>
        </w:rPr>
        <w:t xml:space="preserve"> </w:t>
      </w:r>
      <w:r>
        <w:rPr>
          <w:rFonts w:asciiTheme="majorHAnsi" w:hAnsiTheme="majorHAnsi"/>
          <w:b/>
        </w:rPr>
        <w:t>5-8</w:t>
      </w:r>
      <w:r w:rsidRPr="00393524">
        <w:rPr>
          <w:rFonts w:asciiTheme="majorHAnsi" w:hAnsiTheme="majorHAnsi"/>
          <w:b/>
        </w:rPr>
        <w:t>.</w:t>
      </w:r>
      <w:r w:rsidR="00067C38">
        <w:rPr>
          <w:rFonts w:asciiTheme="majorHAnsi" w:hAnsiTheme="majorHAnsi"/>
          <w:b/>
        </w:rPr>
        <w:t xml:space="preserve"> </w:t>
      </w:r>
    </w:p>
    <w:p w:rsidR="00275EB3" w:rsidP="00841598" w14:paraId="1ED7166B" w14:textId="13DCA152">
      <w:pPr>
        <w:spacing w:after="120" w:line="276" w:lineRule="auto"/>
        <w:rPr>
          <w:rFonts w:eastAsia="Times New Roman" w:asciiTheme="majorHAnsi" w:hAnsiTheme="majorHAnsi"/>
        </w:rPr>
      </w:pPr>
      <w:r w:rsidRPr="00D5657B">
        <w:rPr>
          <w:rFonts w:asciiTheme="majorHAnsi" w:hAnsiTheme="majorHAnsi"/>
          <w:color w:val="000000" w:themeColor="text1"/>
        </w:rPr>
        <w:t>Verbal (phone interviews) or written (web version) consent will be obtained from respondents over 18 years of age. For respondents between 15 and up to 18 years old, assent and parental permission will be obtained. For children less than 15 years of age, the parent or legal guardian will consent to respond on behalf of the child.</w:t>
      </w:r>
    </w:p>
    <w:p w:rsidR="00275EB3" w:rsidP="00275EB3" w14:paraId="393DE715" w14:textId="221B64BB">
      <w:pPr>
        <w:rPr>
          <w:rFonts w:asciiTheme="majorHAnsi" w:hAnsiTheme="majorHAnsi"/>
        </w:rPr>
      </w:pPr>
      <w:r w:rsidRPr="00D5657B">
        <w:rPr>
          <w:rFonts w:asciiTheme="majorHAnsi" w:hAnsiTheme="majorHAnsi"/>
        </w:rPr>
        <w:t>For each investigation, a questionnaire may be tailored for adults (</w:t>
      </w:r>
      <w:r w:rsidRPr="00D5657B">
        <w:rPr>
          <w:rFonts w:asciiTheme="majorHAnsi" w:hAnsiTheme="majorHAnsi"/>
          <w:b/>
        </w:rPr>
        <w:t>Attachment 5</w:t>
      </w:r>
      <w:r w:rsidRPr="00D5657B">
        <w:rPr>
          <w:rFonts w:asciiTheme="majorHAnsi" w:hAnsiTheme="majorHAnsi"/>
        </w:rPr>
        <w:t>) or adolescent (</w:t>
      </w:r>
      <w:r w:rsidRPr="00D5657B">
        <w:rPr>
          <w:rFonts w:asciiTheme="majorHAnsi" w:hAnsiTheme="majorHAnsi"/>
          <w:b/>
        </w:rPr>
        <w:t>Attachment 6</w:t>
      </w:r>
      <w:r w:rsidRPr="00D5657B">
        <w:rPr>
          <w:rFonts w:asciiTheme="majorHAnsi" w:hAnsiTheme="majorHAnsi"/>
        </w:rPr>
        <w:t>) to respond for themselves or for parents or guardians who are proxies for their children (</w:t>
      </w:r>
      <w:r w:rsidRPr="00D5657B">
        <w:rPr>
          <w:rFonts w:asciiTheme="majorHAnsi" w:hAnsiTheme="majorHAnsi"/>
          <w:b/>
        </w:rPr>
        <w:t>Attachment 7</w:t>
      </w:r>
      <w:r w:rsidRPr="00D5657B">
        <w:rPr>
          <w:rFonts w:asciiTheme="majorHAnsi" w:hAnsiTheme="majorHAnsi"/>
        </w:rPr>
        <w:t>). The same question</w:t>
      </w:r>
      <w:r>
        <w:rPr>
          <w:rFonts w:asciiTheme="majorHAnsi" w:hAnsiTheme="majorHAnsi"/>
        </w:rPr>
        <w:t>s</w:t>
      </w:r>
      <w:r w:rsidRPr="00D5657B">
        <w:rPr>
          <w:rFonts w:asciiTheme="majorHAnsi" w:hAnsiTheme="majorHAnsi"/>
        </w:rPr>
        <w:t xml:space="preserve"> are used for phone or web. They will have less than 15 questions that fall under various categories</w:t>
      </w:r>
      <w:r w:rsidRPr="00D5657B">
        <w:rPr>
          <w:rFonts w:asciiTheme="majorHAnsi" w:hAnsiTheme="majorHAnsi"/>
          <w:b/>
        </w:rPr>
        <w:t>.</w:t>
      </w:r>
      <w:r w:rsidRPr="00D5657B">
        <w:rPr>
          <w:rFonts w:asciiTheme="majorHAnsi" w:hAnsiTheme="majorHAnsi"/>
        </w:rPr>
        <w:t xml:space="preserve"> Table </w:t>
      </w:r>
      <w:r>
        <w:rPr>
          <w:rFonts w:asciiTheme="majorHAnsi" w:hAnsiTheme="majorHAnsi"/>
        </w:rPr>
        <w:t>B2</w:t>
      </w:r>
      <w:r w:rsidRPr="00D5657B">
        <w:rPr>
          <w:rFonts w:asciiTheme="majorHAnsi" w:hAnsiTheme="majorHAnsi"/>
        </w:rPr>
        <w:t xml:space="preserve">-1 below summarizes the typical breakdown of questions in the example questionnaire. </w:t>
      </w:r>
    </w:p>
    <w:p w:rsidR="00275EB3" w:rsidRPr="00D5657B" w:rsidP="00275EB3" w14:paraId="483B42EC" w14:textId="6861EE72">
      <w:pPr>
        <w:rPr>
          <w:rFonts w:asciiTheme="majorHAnsi" w:hAnsiTheme="majorHAnsi"/>
          <w:b/>
        </w:rPr>
      </w:pPr>
      <w:r w:rsidRPr="00D5657B">
        <w:rPr>
          <w:rFonts w:asciiTheme="majorHAnsi" w:hAnsiTheme="majorHAnsi"/>
          <w:b/>
        </w:rPr>
        <w:t xml:space="preserve">Table </w:t>
      </w:r>
      <w:r>
        <w:rPr>
          <w:rFonts w:asciiTheme="majorHAnsi" w:hAnsiTheme="majorHAnsi"/>
          <w:b/>
        </w:rPr>
        <w:t>B2</w:t>
      </w:r>
      <w:r w:rsidRPr="00D5657B">
        <w:rPr>
          <w:rFonts w:asciiTheme="majorHAnsi" w:hAnsiTheme="majorHAnsi"/>
          <w:b/>
        </w:rPr>
        <w:t>-1. Overview of question types used for data collection</w:t>
      </w:r>
    </w:p>
    <w:tbl>
      <w:tblPr>
        <w:tblStyle w:val="TableGrid"/>
        <w:tblW w:w="0" w:type="auto"/>
        <w:tblLook w:val="04A0"/>
      </w:tblPr>
      <w:tblGrid>
        <w:gridCol w:w="7642"/>
        <w:gridCol w:w="1708"/>
      </w:tblGrid>
      <w:tr w14:paraId="55DB8051" w14:textId="77777777" w:rsidTr="00D5657B">
        <w:tblPrEx>
          <w:tblW w:w="0" w:type="auto"/>
          <w:tblLook w:val="04A0"/>
        </w:tblPrEx>
        <w:tc>
          <w:tcPr>
            <w:tcW w:w="7642" w:type="dxa"/>
            <w:vAlign w:val="center"/>
          </w:tcPr>
          <w:p w:rsidR="00275EB3" w:rsidRPr="00D5657B" w:rsidP="00D5657B" w14:paraId="24832955" w14:textId="77777777">
            <w:pPr>
              <w:spacing w:line="276" w:lineRule="auto"/>
              <w:rPr>
                <w:rFonts w:asciiTheme="majorHAnsi" w:hAnsiTheme="majorHAnsi"/>
                <w:b/>
                <w:sz w:val="22"/>
                <w:szCs w:val="22"/>
              </w:rPr>
            </w:pPr>
            <w:r w:rsidRPr="00D5657B">
              <w:rPr>
                <w:rFonts w:asciiTheme="majorHAnsi" w:hAnsiTheme="majorHAnsi"/>
                <w:b/>
                <w:sz w:val="22"/>
                <w:szCs w:val="22"/>
              </w:rPr>
              <w:t>Question Type</w:t>
            </w:r>
          </w:p>
        </w:tc>
        <w:tc>
          <w:tcPr>
            <w:tcW w:w="1708" w:type="dxa"/>
            <w:vAlign w:val="center"/>
          </w:tcPr>
          <w:p w:rsidR="00275EB3" w:rsidRPr="00D5657B" w:rsidP="00D5657B" w14:paraId="56D5744D" w14:textId="77777777">
            <w:pPr>
              <w:spacing w:line="276" w:lineRule="auto"/>
              <w:rPr>
                <w:rFonts w:asciiTheme="majorHAnsi" w:hAnsiTheme="majorHAnsi"/>
                <w:b/>
                <w:sz w:val="22"/>
                <w:szCs w:val="22"/>
              </w:rPr>
            </w:pPr>
            <w:r w:rsidRPr="00D5657B">
              <w:rPr>
                <w:rFonts w:asciiTheme="majorHAnsi" w:hAnsiTheme="majorHAnsi"/>
                <w:b/>
                <w:sz w:val="22"/>
                <w:szCs w:val="22"/>
              </w:rPr>
              <w:t># of Questions Used</w:t>
            </w:r>
          </w:p>
        </w:tc>
      </w:tr>
      <w:tr w14:paraId="6C320E62" w14:textId="77777777" w:rsidTr="00D5657B">
        <w:tblPrEx>
          <w:tblW w:w="0" w:type="auto"/>
          <w:tblLook w:val="04A0"/>
        </w:tblPrEx>
        <w:tc>
          <w:tcPr>
            <w:tcW w:w="7642" w:type="dxa"/>
          </w:tcPr>
          <w:p w:rsidR="00275EB3" w:rsidRPr="00D5657B" w:rsidP="00D5657B" w14:paraId="60D6952A" w14:textId="77777777">
            <w:pPr>
              <w:spacing w:line="276" w:lineRule="auto"/>
              <w:rPr>
                <w:rFonts w:asciiTheme="majorHAnsi" w:hAnsiTheme="majorHAnsi"/>
                <w:sz w:val="22"/>
                <w:szCs w:val="22"/>
              </w:rPr>
            </w:pPr>
            <w:r w:rsidRPr="00D5657B">
              <w:rPr>
                <w:rFonts w:asciiTheme="majorHAnsi" w:hAnsiTheme="majorHAnsi"/>
                <w:sz w:val="22"/>
                <w:szCs w:val="22"/>
              </w:rPr>
              <w:t>Exposure information</w:t>
            </w:r>
          </w:p>
        </w:tc>
        <w:tc>
          <w:tcPr>
            <w:tcW w:w="1708" w:type="dxa"/>
          </w:tcPr>
          <w:p w:rsidR="00275EB3" w:rsidRPr="00D5657B" w:rsidP="00D5657B" w14:paraId="2325621F" w14:textId="77777777">
            <w:pPr>
              <w:spacing w:line="276" w:lineRule="auto"/>
              <w:rPr>
                <w:rFonts w:asciiTheme="majorHAnsi" w:hAnsiTheme="majorHAnsi"/>
                <w:sz w:val="22"/>
                <w:szCs w:val="22"/>
              </w:rPr>
            </w:pPr>
            <w:r w:rsidRPr="00D5657B">
              <w:rPr>
                <w:rFonts w:asciiTheme="majorHAnsi" w:hAnsiTheme="majorHAnsi"/>
                <w:sz w:val="22"/>
                <w:szCs w:val="22"/>
              </w:rPr>
              <w:t>7</w:t>
            </w:r>
          </w:p>
        </w:tc>
      </w:tr>
      <w:tr w14:paraId="27941BFC" w14:textId="77777777" w:rsidTr="00D5657B">
        <w:tblPrEx>
          <w:tblW w:w="0" w:type="auto"/>
          <w:tblLook w:val="04A0"/>
        </w:tblPrEx>
        <w:tc>
          <w:tcPr>
            <w:tcW w:w="7642" w:type="dxa"/>
          </w:tcPr>
          <w:p w:rsidR="00275EB3" w:rsidRPr="00D5657B" w:rsidP="00D5657B" w14:paraId="575EBE9C" w14:textId="77777777">
            <w:pPr>
              <w:spacing w:line="276" w:lineRule="auto"/>
              <w:rPr>
                <w:rFonts w:asciiTheme="majorHAnsi" w:hAnsiTheme="majorHAnsi"/>
                <w:sz w:val="22"/>
                <w:szCs w:val="22"/>
              </w:rPr>
            </w:pPr>
            <w:r w:rsidRPr="00D5657B">
              <w:rPr>
                <w:rFonts w:asciiTheme="majorHAnsi" w:hAnsiTheme="majorHAnsi"/>
                <w:sz w:val="22"/>
                <w:szCs w:val="22"/>
              </w:rPr>
              <w:t>Health effects and medical treatment</w:t>
            </w:r>
          </w:p>
        </w:tc>
        <w:tc>
          <w:tcPr>
            <w:tcW w:w="1708" w:type="dxa"/>
          </w:tcPr>
          <w:p w:rsidR="00275EB3" w:rsidRPr="00D5657B" w:rsidP="00D5657B" w14:paraId="68C34DFF" w14:textId="77777777">
            <w:pPr>
              <w:spacing w:line="276" w:lineRule="auto"/>
              <w:rPr>
                <w:rFonts w:asciiTheme="majorHAnsi" w:hAnsiTheme="majorHAnsi"/>
                <w:sz w:val="22"/>
                <w:szCs w:val="22"/>
              </w:rPr>
            </w:pPr>
            <w:r w:rsidRPr="00D5657B">
              <w:rPr>
                <w:rFonts w:asciiTheme="majorHAnsi" w:hAnsiTheme="majorHAnsi"/>
                <w:sz w:val="22"/>
                <w:szCs w:val="22"/>
              </w:rPr>
              <w:t>5</w:t>
            </w:r>
          </w:p>
        </w:tc>
      </w:tr>
      <w:tr w14:paraId="79A81D10" w14:textId="77777777" w:rsidTr="00D5657B">
        <w:tblPrEx>
          <w:tblW w:w="0" w:type="auto"/>
          <w:tblLook w:val="04A0"/>
        </w:tblPrEx>
        <w:tc>
          <w:tcPr>
            <w:tcW w:w="7642" w:type="dxa"/>
          </w:tcPr>
          <w:p w:rsidR="00275EB3" w:rsidRPr="00D5657B" w:rsidP="00D5657B" w14:paraId="78025F0C" w14:textId="77777777">
            <w:pPr>
              <w:spacing w:line="276" w:lineRule="auto"/>
              <w:rPr>
                <w:rFonts w:asciiTheme="majorHAnsi" w:hAnsiTheme="majorHAnsi"/>
                <w:sz w:val="22"/>
                <w:szCs w:val="22"/>
              </w:rPr>
            </w:pPr>
            <w:r w:rsidRPr="00D5657B">
              <w:rPr>
                <w:rFonts w:asciiTheme="majorHAnsi" w:hAnsiTheme="majorHAnsi"/>
                <w:sz w:val="22"/>
                <w:szCs w:val="22"/>
              </w:rPr>
              <w:t>Health messaging</w:t>
            </w:r>
          </w:p>
        </w:tc>
        <w:tc>
          <w:tcPr>
            <w:tcW w:w="1708" w:type="dxa"/>
          </w:tcPr>
          <w:p w:rsidR="00275EB3" w:rsidRPr="00D5657B" w:rsidP="00D5657B" w14:paraId="0E053AA9" w14:textId="77777777">
            <w:pPr>
              <w:spacing w:line="276" w:lineRule="auto"/>
              <w:rPr>
                <w:rFonts w:asciiTheme="majorHAnsi" w:hAnsiTheme="majorHAnsi"/>
                <w:sz w:val="22"/>
                <w:szCs w:val="22"/>
              </w:rPr>
            </w:pPr>
            <w:r w:rsidRPr="00D5657B">
              <w:rPr>
                <w:rFonts w:asciiTheme="majorHAnsi" w:hAnsiTheme="majorHAnsi"/>
                <w:sz w:val="22"/>
                <w:szCs w:val="22"/>
              </w:rPr>
              <w:t>3</w:t>
            </w:r>
          </w:p>
        </w:tc>
      </w:tr>
    </w:tbl>
    <w:p w:rsidR="00275EB3" w:rsidRPr="00E9096B" w:rsidP="00275EB3" w14:paraId="556CC12A" w14:textId="3B0B86CB">
      <w:pPr>
        <w:rPr>
          <w:rFonts w:asciiTheme="majorHAnsi" w:hAnsiTheme="majorHAnsi"/>
          <w:b/>
        </w:rPr>
      </w:pPr>
    </w:p>
    <w:p w:rsidR="00275EB3" w:rsidP="00841598" w14:paraId="27315BBE" w14:textId="6381DFE3">
      <w:pPr>
        <w:spacing w:after="120" w:line="276" w:lineRule="auto"/>
        <w:rPr>
          <w:rFonts w:asciiTheme="majorHAnsi" w:hAnsiTheme="majorHAnsi"/>
        </w:rPr>
      </w:pPr>
      <w:r w:rsidRPr="00D5657B">
        <w:rPr>
          <w:rFonts w:eastAsia="Arial Unicode MS" w:asciiTheme="majorHAnsi" w:hAnsiTheme="majorHAnsi"/>
          <w:u w:color="000000"/>
        </w:rPr>
        <w:t xml:space="preserve">America’s Poison </w:t>
      </w:r>
      <w:r w:rsidRPr="00D5657B">
        <w:rPr>
          <w:rFonts w:asciiTheme="majorHAnsi" w:hAnsiTheme="majorHAnsi" w:cs="Courier New"/>
          <w:lang w:val="en"/>
        </w:rPr>
        <w:t>Centers</w:t>
      </w:r>
      <w:r w:rsidRPr="00D5657B">
        <w:rPr>
          <w:rFonts w:asciiTheme="majorHAnsi" w:hAnsiTheme="majorHAnsi" w:cs="Courier New"/>
          <w:vertAlign w:val="superscript"/>
          <w:lang w:val="en"/>
        </w:rPr>
        <w:t xml:space="preserve"> TM</w:t>
      </w:r>
      <w:r w:rsidRPr="00D5657B">
        <w:rPr>
          <w:rFonts w:eastAsia="Times New Roman" w:asciiTheme="majorHAnsi" w:hAnsiTheme="majorHAnsi"/>
        </w:rPr>
        <w:t xml:space="preserve"> then distribute</w:t>
      </w:r>
      <w:r>
        <w:rPr>
          <w:rFonts w:eastAsia="Times New Roman" w:asciiTheme="majorHAnsi" w:hAnsiTheme="majorHAnsi"/>
        </w:rPr>
        <w:t>s</w:t>
      </w:r>
      <w:r w:rsidRPr="00D5657B">
        <w:rPr>
          <w:rFonts w:eastAsia="Times New Roman" w:asciiTheme="majorHAnsi" w:hAnsiTheme="majorHAnsi"/>
        </w:rPr>
        <w:t xml:space="preserve"> </w:t>
      </w:r>
      <w:r>
        <w:rPr>
          <w:rFonts w:eastAsia="Times New Roman" w:asciiTheme="majorHAnsi" w:hAnsiTheme="majorHAnsi"/>
        </w:rPr>
        <w:t>the finalized consent forms and surveys</w:t>
      </w:r>
      <w:r w:rsidRPr="00D5657B">
        <w:rPr>
          <w:rFonts w:eastAsia="Times New Roman" w:asciiTheme="majorHAnsi" w:hAnsiTheme="majorHAnsi"/>
        </w:rPr>
        <w:t xml:space="preserve"> to the </w:t>
      </w:r>
      <w:r>
        <w:rPr>
          <w:rFonts w:eastAsia="Times New Roman" w:asciiTheme="majorHAnsi" w:hAnsiTheme="majorHAnsi"/>
        </w:rPr>
        <w:t xml:space="preserve">participating </w:t>
      </w:r>
      <w:r w:rsidRPr="00D5657B">
        <w:rPr>
          <w:rFonts w:eastAsia="Times New Roman" w:asciiTheme="majorHAnsi" w:hAnsiTheme="majorHAnsi"/>
        </w:rPr>
        <w:t>poison centers</w:t>
      </w:r>
      <w:r>
        <w:rPr>
          <w:rFonts w:eastAsia="Times New Roman" w:asciiTheme="majorHAnsi" w:hAnsiTheme="majorHAnsi"/>
        </w:rPr>
        <w:t xml:space="preserve"> t</w:t>
      </w:r>
      <w:r w:rsidRPr="00D5657B">
        <w:rPr>
          <w:rFonts w:eastAsia="Times New Roman" w:asciiTheme="majorHAnsi" w:hAnsiTheme="majorHAnsi"/>
        </w:rPr>
        <w:t>ypically in a Word document or PDF.</w:t>
      </w:r>
    </w:p>
    <w:p w:rsidR="00067C38" w:rsidRPr="00611B71" w:rsidP="00067C38" w14:paraId="026DB17A" w14:textId="77777777">
      <w:pPr>
        <w:spacing w:before="240" w:after="120"/>
        <w:rPr>
          <w:rFonts w:eastAsia="Arial Unicode MS" w:asciiTheme="majorHAnsi" w:hAnsiTheme="majorHAnsi"/>
          <w:i/>
          <w:iCs/>
          <w:u w:color="000000"/>
        </w:rPr>
      </w:pPr>
      <w:r>
        <w:rPr>
          <w:rFonts w:eastAsia="Arial Unicode MS" w:asciiTheme="majorHAnsi" w:hAnsiTheme="majorHAnsi"/>
          <w:i/>
          <w:iCs/>
          <w:u w:color="000000"/>
        </w:rPr>
        <w:t>Data Collection Pro</w:t>
      </w:r>
      <w:r w:rsidRPr="00611B71">
        <w:rPr>
          <w:rFonts w:eastAsia="Arial Unicode MS" w:asciiTheme="majorHAnsi" w:hAnsiTheme="majorHAnsi"/>
          <w:i/>
          <w:iCs/>
          <w:u w:color="000000"/>
        </w:rPr>
        <w:t>cedures</w:t>
      </w:r>
    </w:p>
    <w:p w:rsidR="00067C38" w:rsidRPr="00604526" w:rsidP="00067C38" w14:paraId="453E3F81" w14:textId="40677C44">
      <w:pPr>
        <w:rPr>
          <w:rFonts w:asciiTheme="majorHAnsi" w:hAnsiTheme="majorHAnsi"/>
          <w:i/>
          <w:iCs/>
        </w:rPr>
      </w:pPr>
      <w:r w:rsidRPr="00546AFB">
        <w:rPr>
          <w:rFonts w:eastAsia="Arial Unicode MS" w:asciiTheme="majorHAnsi" w:hAnsiTheme="majorHAnsi"/>
          <w:u w:color="000000"/>
        </w:rPr>
        <w:t xml:space="preserve">The interviewers </w:t>
      </w:r>
      <w:r w:rsidRPr="00EF08AC">
        <w:rPr>
          <w:rFonts w:eastAsia="Arial Unicode MS" w:asciiTheme="majorHAnsi" w:hAnsiTheme="majorHAnsi"/>
          <w:u w:color="000000"/>
        </w:rPr>
        <w:t xml:space="preserve">for poison center investigations are trained </w:t>
      </w:r>
      <w:r w:rsidRPr="009A4F7C">
        <w:rPr>
          <w:rFonts w:eastAsia="Arial Unicode MS" w:asciiTheme="majorHAnsi" w:hAnsiTheme="majorHAnsi"/>
          <w:u w:color="000000"/>
        </w:rPr>
        <w:t xml:space="preserve">public health professionals who conduct interviews regularly in their roles as </w:t>
      </w:r>
      <w:r w:rsidRPr="00E9096B" w:rsidR="00611B71">
        <w:rPr>
          <w:rFonts w:asciiTheme="majorHAnsi" w:hAnsiTheme="majorHAnsi"/>
        </w:rPr>
        <w:t xml:space="preserve">Specialists in Poison Information (SPIs). </w:t>
      </w:r>
      <w:r w:rsidRPr="00611B71">
        <w:rPr>
          <w:rFonts w:eastAsia="Arial Unicode MS" w:asciiTheme="majorHAnsi" w:hAnsiTheme="majorHAnsi"/>
          <w:u w:color="000000"/>
        </w:rPr>
        <w:t xml:space="preserve">Prior to beginning interviews, </w:t>
      </w:r>
      <w:r w:rsidR="00611B71">
        <w:rPr>
          <w:rFonts w:asciiTheme="majorHAnsi" w:hAnsiTheme="majorHAnsi"/>
        </w:rPr>
        <w:t>t</w:t>
      </w:r>
      <w:r w:rsidRPr="00D5657B" w:rsidR="00611B71">
        <w:rPr>
          <w:rFonts w:asciiTheme="majorHAnsi" w:hAnsiTheme="majorHAnsi"/>
        </w:rPr>
        <w:t xml:space="preserve">hese </w:t>
      </w:r>
      <w:r w:rsidR="00604526">
        <w:rPr>
          <w:rFonts w:asciiTheme="majorHAnsi" w:hAnsiTheme="majorHAnsi"/>
        </w:rPr>
        <w:t>poison center staff</w:t>
      </w:r>
      <w:r w:rsidRPr="00611B71">
        <w:rPr>
          <w:rFonts w:eastAsia="Arial Unicode MS" w:asciiTheme="majorHAnsi" w:hAnsiTheme="majorHAnsi"/>
          <w:u w:color="000000"/>
        </w:rPr>
        <w:t xml:space="preserve"> will be oriented to the consent procedures and the questionnaire </w:t>
      </w:r>
      <w:r w:rsidRPr="00546AFB">
        <w:rPr>
          <w:rFonts w:eastAsia="Arial Unicode MS" w:asciiTheme="majorHAnsi" w:hAnsiTheme="majorHAnsi"/>
          <w:u w:color="000000"/>
        </w:rPr>
        <w:t xml:space="preserve">forms. </w:t>
      </w:r>
      <w:r w:rsidRPr="00EF08AC">
        <w:rPr>
          <w:rFonts w:eastAsia="Arial Unicode MS" w:asciiTheme="majorHAnsi" w:hAnsiTheme="majorHAnsi"/>
          <w:u w:color="000000"/>
        </w:rPr>
        <w:t>Quality control procedures will be implemented in each poison center investigation to the extent possible given the rapid nature of the data collection</w:t>
      </w:r>
      <w:r w:rsidRPr="009A4F7C">
        <w:rPr>
          <w:rFonts w:eastAsia="Arial Unicode MS" w:asciiTheme="majorHAnsi" w:hAnsiTheme="majorHAnsi"/>
          <w:u w:color="000000"/>
        </w:rPr>
        <w:t xml:space="preserve"> to collect high quality data. </w:t>
      </w:r>
      <w:r w:rsidRPr="00604526">
        <w:rPr>
          <w:rFonts w:asciiTheme="majorHAnsi" w:hAnsiTheme="majorHAnsi"/>
        </w:rPr>
        <w:t>These will be one-time data collections.</w:t>
      </w:r>
    </w:p>
    <w:p w:rsidR="00067C38" w:rsidRPr="00D5657B" w:rsidP="00067C38" w14:paraId="222664F7" w14:textId="7AF58878">
      <w:pPr>
        <w:autoSpaceDE w:val="0"/>
        <w:autoSpaceDN w:val="0"/>
        <w:adjustRightInd w:val="0"/>
        <w:spacing w:line="276" w:lineRule="auto"/>
        <w:rPr>
          <w:rFonts w:asciiTheme="majorHAnsi" w:hAnsiTheme="majorHAnsi"/>
        </w:rPr>
      </w:pPr>
      <w:r>
        <w:rPr>
          <w:rFonts w:asciiTheme="majorHAnsi" w:hAnsiTheme="majorHAnsi"/>
        </w:rPr>
        <w:t>Prior to administering the call-back questionnaire, t</w:t>
      </w:r>
      <w:r w:rsidRPr="002362D1">
        <w:rPr>
          <w:rFonts w:asciiTheme="majorHAnsi" w:hAnsiTheme="majorHAnsi"/>
        </w:rPr>
        <w:t xml:space="preserve">he </w:t>
      </w:r>
      <w:r>
        <w:rPr>
          <w:rFonts w:asciiTheme="majorHAnsi" w:hAnsiTheme="majorHAnsi"/>
        </w:rPr>
        <w:t>consent process</w:t>
      </w:r>
      <w:r w:rsidRPr="002362D1">
        <w:rPr>
          <w:rFonts w:asciiTheme="majorHAnsi" w:hAnsiTheme="majorHAnsi"/>
        </w:rPr>
        <w:t xml:space="preserve"> will be administered to </w:t>
      </w:r>
      <w:r>
        <w:rPr>
          <w:rFonts w:asciiTheme="majorHAnsi" w:hAnsiTheme="majorHAnsi"/>
        </w:rPr>
        <w:t>the</w:t>
      </w:r>
      <w:r w:rsidRPr="002362D1">
        <w:rPr>
          <w:rFonts w:asciiTheme="majorHAnsi" w:hAnsiTheme="majorHAnsi"/>
        </w:rPr>
        <w:t xml:space="preserve"> convenience sample</w:t>
      </w:r>
      <w:r>
        <w:rPr>
          <w:rFonts w:asciiTheme="majorHAnsi" w:hAnsiTheme="majorHAnsi"/>
        </w:rPr>
        <w:t xml:space="preserve"> </w:t>
      </w:r>
      <w:r w:rsidRPr="002362D1">
        <w:rPr>
          <w:rFonts w:asciiTheme="majorHAnsi" w:hAnsiTheme="majorHAnsi"/>
        </w:rPr>
        <w:t>of callers</w:t>
      </w:r>
      <w:r>
        <w:rPr>
          <w:rFonts w:asciiTheme="majorHAnsi" w:hAnsiTheme="majorHAnsi"/>
        </w:rPr>
        <w:t xml:space="preserve"> </w:t>
      </w:r>
      <w:r w:rsidRPr="002362D1">
        <w:rPr>
          <w:rFonts w:asciiTheme="majorHAnsi" w:hAnsiTheme="majorHAnsi"/>
        </w:rPr>
        <w:t xml:space="preserve">to poison centers, either all those who called about a particular exposure </w:t>
      </w:r>
      <w:r>
        <w:rPr>
          <w:rFonts w:asciiTheme="majorHAnsi" w:hAnsiTheme="majorHAnsi"/>
        </w:rPr>
        <w:t xml:space="preserve">during the select public health emergency </w:t>
      </w:r>
      <w:r w:rsidRPr="002362D1">
        <w:rPr>
          <w:rFonts w:asciiTheme="majorHAnsi" w:hAnsiTheme="majorHAnsi"/>
        </w:rPr>
        <w:t>within a given time frame or a subset of those callers, such as those who were hospitalized.</w:t>
      </w:r>
      <w:r>
        <w:rPr>
          <w:rFonts w:asciiTheme="majorHAnsi" w:hAnsiTheme="majorHAnsi"/>
        </w:rPr>
        <w:t xml:space="preserve"> </w:t>
      </w:r>
    </w:p>
    <w:p w:rsidR="00067C38" w:rsidP="00067C38" w14:paraId="53E3A6BD" w14:textId="1C26BE80">
      <w:pPr>
        <w:rPr>
          <w:rFonts w:asciiTheme="majorHAnsi" w:hAnsiTheme="majorHAnsi"/>
        </w:rPr>
      </w:pPr>
      <w:r w:rsidRPr="00841598">
        <w:rPr>
          <w:rFonts w:asciiTheme="majorHAnsi" w:hAnsiTheme="majorHAnsi"/>
        </w:rPr>
        <w:t xml:space="preserve">Data collected </w:t>
      </w:r>
      <w:r w:rsidRPr="00D5657B">
        <w:rPr>
          <w:rFonts w:asciiTheme="majorHAnsi" w:hAnsiTheme="majorHAnsi"/>
        </w:rPr>
        <w:t xml:space="preserve">by </w:t>
      </w:r>
      <w:r>
        <w:rPr>
          <w:rFonts w:asciiTheme="majorHAnsi" w:hAnsiTheme="majorHAnsi"/>
        </w:rPr>
        <w:t>tele</w:t>
      </w:r>
      <w:r w:rsidRPr="00D5657B">
        <w:rPr>
          <w:rFonts w:asciiTheme="majorHAnsi" w:hAnsiTheme="majorHAnsi"/>
        </w:rPr>
        <w:t xml:space="preserve">phone </w:t>
      </w:r>
      <w:r w:rsidR="00546AFB">
        <w:rPr>
          <w:rFonts w:asciiTheme="majorHAnsi" w:hAnsiTheme="majorHAnsi"/>
        </w:rPr>
        <w:t xml:space="preserve">survey </w:t>
      </w:r>
      <w:r w:rsidRPr="00D5657B">
        <w:rPr>
          <w:rFonts w:asciiTheme="majorHAnsi" w:hAnsiTheme="majorHAnsi"/>
        </w:rPr>
        <w:t xml:space="preserve">will be </w:t>
      </w:r>
      <w:r>
        <w:rPr>
          <w:rFonts w:asciiTheme="majorHAnsi" w:hAnsiTheme="majorHAnsi"/>
        </w:rPr>
        <w:t>hand-</w:t>
      </w:r>
      <w:r w:rsidRPr="00D5657B">
        <w:rPr>
          <w:rFonts w:asciiTheme="majorHAnsi" w:hAnsiTheme="majorHAnsi"/>
        </w:rPr>
        <w:t>entered directly into a secure database</w:t>
      </w:r>
      <w:r w:rsidR="00611B71">
        <w:rPr>
          <w:rFonts w:asciiTheme="majorHAnsi" w:hAnsiTheme="majorHAnsi"/>
        </w:rPr>
        <w:t>, such as Microsoft Ac</w:t>
      </w:r>
      <w:r w:rsidRPr="00A2300F" w:rsidR="00611B71">
        <w:rPr>
          <w:rFonts w:asciiTheme="majorHAnsi" w:hAnsiTheme="majorHAnsi"/>
        </w:rPr>
        <w:t>cess</w:t>
      </w:r>
      <w:r w:rsidRPr="00A2300F">
        <w:rPr>
          <w:rFonts w:asciiTheme="majorHAnsi" w:hAnsiTheme="majorHAnsi"/>
        </w:rPr>
        <w:t xml:space="preserve">. Data collected by web survey will be automatically entered into </w:t>
      </w:r>
      <w:r w:rsidRPr="00A2300F" w:rsidR="00611B71">
        <w:rPr>
          <w:rFonts w:asciiTheme="majorHAnsi" w:hAnsiTheme="majorHAnsi"/>
        </w:rPr>
        <w:t>the</w:t>
      </w:r>
      <w:r w:rsidRPr="00A2300F">
        <w:rPr>
          <w:rFonts w:asciiTheme="majorHAnsi" w:hAnsiTheme="majorHAnsi"/>
        </w:rPr>
        <w:t xml:space="preserve"> secure </w:t>
      </w:r>
      <w:r w:rsidRPr="00A2300F" w:rsidR="00611B71">
        <w:rPr>
          <w:rFonts w:asciiTheme="majorHAnsi" w:hAnsiTheme="majorHAnsi"/>
        </w:rPr>
        <w:t xml:space="preserve">server </w:t>
      </w:r>
      <w:r w:rsidRPr="00A2300F">
        <w:rPr>
          <w:rFonts w:asciiTheme="majorHAnsi" w:hAnsiTheme="majorHAnsi"/>
        </w:rPr>
        <w:t>database. Data w</w:t>
      </w:r>
      <w:r w:rsidRPr="00D5657B">
        <w:rPr>
          <w:rFonts w:asciiTheme="majorHAnsi" w:hAnsiTheme="majorHAnsi"/>
        </w:rPr>
        <w:t xml:space="preserve">ill be reviewed by the </w:t>
      </w:r>
      <w:r w:rsidR="00D840B4">
        <w:rPr>
          <w:rFonts w:asciiTheme="majorHAnsi" w:hAnsiTheme="majorHAnsi"/>
        </w:rPr>
        <w:t>poison center staff</w:t>
      </w:r>
      <w:r w:rsidRPr="00D5657B">
        <w:rPr>
          <w:rFonts w:asciiTheme="majorHAnsi" w:hAnsiTheme="majorHAnsi"/>
        </w:rPr>
        <w:t xml:space="preserve"> for accuracy by comparing notes and the questionnaire results. </w:t>
      </w:r>
    </w:p>
    <w:p w:rsidR="00A83D02" w:rsidRPr="00E9096B" w:rsidP="00E9096B" w14:paraId="12097FA1" w14:textId="11931D9C">
      <w:pPr>
        <w:spacing w:before="240" w:after="120" w:line="276" w:lineRule="auto"/>
        <w:rPr>
          <w:rFonts w:eastAsia="Times New Roman" w:asciiTheme="majorHAnsi" w:hAnsiTheme="majorHAnsi"/>
          <w:i/>
          <w:iCs/>
        </w:rPr>
      </w:pPr>
      <w:r>
        <w:rPr>
          <w:rFonts w:eastAsia="Times New Roman" w:asciiTheme="majorHAnsi" w:hAnsiTheme="majorHAnsi"/>
          <w:i/>
          <w:iCs/>
        </w:rPr>
        <w:t>Mode of Data Collection</w:t>
      </w:r>
    </w:p>
    <w:p w:rsidR="00F9421C" w:rsidP="00E9096B" w14:paraId="52E98732" w14:textId="50877259">
      <w:pPr>
        <w:spacing w:after="120" w:line="276" w:lineRule="auto"/>
        <w:rPr>
          <w:rFonts w:eastAsia="Times New Roman" w:asciiTheme="majorHAnsi" w:hAnsiTheme="majorHAnsi"/>
        </w:rPr>
      </w:pPr>
      <w:r>
        <w:rPr>
          <w:rFonts w:eastAsia="Times New Roman" w:asciiTheme="majorHAnsi" w:hAnsiTheme="majorHAnsi"/>
        </w:rPr>
        <w:t>Poison centers are given the option to choose the mode of collection and how to deploy the survey. This can be by telephone survey, by web survey implemented through secure poison center servers, or by web survey implemented through secure CDC servers. See Supporting Statement A Section A3 for a description of how each mode is implemented and an estimate on the annual number of respondents for each mode.</w:t>
      </w:r>
    </w:p>
    <w:p w:rsidR="00A83D02" w:rsidRPr="00E9096B" w:rsidP="00E9096B" w14:paraId="29B5FA17" w14:textId="1BA4D197">
      <w:pPr>
        <w:pStyle w:val="ListParagraph"/>
        <w:numPr>
          <w:ilvl w:val="0"/>
          <w:numId w:val="49"/>
        </w:numPr>
        <w:spacing w:after="120" w:line="276" w:lineRule="auto"/>
        <w:contextualSpacing w:val="0"/>
        <w:rPr>
          <w:rFonts w:asciiTheme="majorHAnsi" w:hAnsiTheme="majorHAnsi"/>
          <w:i/>
          <w:iCs/>
          <w:color w:val="000000"/>
        </w:rPr>
      </w:pPr>
      <w:r w:rsidRPr="00E9096B">
        <w:rPr>
          <w:rFonts w:asciiTheme="majorHAnsi" w:hAnsiTheme="majorHAnsi"/>
          <w:i/>
          <w:iCs/>
          <w:color w:val="000000"/>
        </w:rPr>
        <w:t>Telephone Survey</w:t>
      </w:r>
      <w:r>
        <w:rPr>
          <w:rFonts w:asciiTheme="majorHAnsi" w:hAnsiTheme="majorHAnsi"/>
          <w:i/>
          <w:iCs/>
          <w:color w:val="000000"/>
        </w:rPr>
        <w:t xml:space="preserve"> - </w:t>
      </w:r>
      <w:r w:rsidRPr="00E9096B">
        <w:rPr>
          <w:rFonts w:asciiTheme="majorHAnsi" w:hAnsiTheme="majorHAnsi"/>
        </w:rPr>
        <w:t>Data are collected by the poison center (</w:t>
      </w:r>
      <w:r w:rsidRPr="00E9096B">
        <w:rPr>
          <w:rFonts w:asciiTheme="majorHAnsi" w:hAnsiTheme="majorHAnsi"/>
          <w:b/>
          <w:bCs/>
        </w:rPr>
        <w:t>Attachments 5-8</w:t>
      </w:r>
      <w:r w:rsidRPr="00E9096B">
        <w:rPr>
          <w:rFonts w:asciiTheme="majorHAnsi" w:hAnsiTheme="majorHAnsi"/>
        </w:rPr>
        <w:t>),</w:t>
      </w:r>
      <w:r w:rsidRPr="00E9096B">
        <w:rPr>
          <w:rFonts w:asciiTheme="majorHAnsi" w:hAnsiTheme="majorHAnsi"/>
          <w:color w:val="000000"/>
        </w:rPr>
        <w:t xml:space="preserve"> stored in a password-protected database </w:t>
      </w:r>
      <w:r w:rsidRPr="00E9096B">
        <w:rPr>
          <w:rFonts w:asciiTheme="majorHAnsi" w:hAnsiTheme="majorHAnsi"/>
        </w:rPr>
        <w:t xml:space="preserve">and sent to America’s Poison </w:t>
      </w:r>
      <w:r w:rsidRPr="00E9096B">
        <w:rPr>
          <w:rFonts w:asciiTheme="majorHAnsi" w:hAnsiTheme="majorHAnsi" w:cs="Courier New"/>
          <w:lang w:val="en"/>
        </w:rPr>
        <w:t>Centers</w:t>
      </w:r>
      <w:r w:rsidR="00937EC3">
        <w:rPr>
          <w:rFonts w:asciiTheme="majorHAnsi" w:hAnsiTheme="majorHAnsi" w:cs="Courier New"/>
          <w:vertAlign w:val="superscript"/>
          <w:lang w:val="en"/>
        </w:rPr>
        <w:t xml:space="preserve"> </w:t>
      </w:r>
      <w:r w:rsidR="00937EC3">
        <w:rPr>
          <w:rFonts w:asciiTheme="majorHAnsi" w:hAnsiTheme="majorHAnsi" w:cs="Courier New"/>
          <w:lang w:val="en"/>
        </w:rPr>
        <w:t>™</w:t>
      </w:r>
      <w:r w:rsidRPr="00E9096B">
        <w:rPr>
          <w:rFonts w:asciiTheme="majorHAnsi" w:hAnsiTheme="majorHAnsi"/>
        </w:rPr>
        <w:t xml:space="preserve">. America’s Poison </w:t>
      </w:r>
      <w:r w:rsidRPr="00E9096B">
        <w:rPr>
          <w:rFonts w:asciiTheme="majorHAnsi" w:hAnsiTheme="majorHAnsi" w:cs="Courier New"/>
          <w:lang w:val="en"/>
        </w:rPr>
        <w:t>Centers</w:t>
      </w:r>
      <w:r w:rsidR="00937EC3">
        <w:rPr>
          <w:rFonts w:asciiTheme="majorHAnsi" w:hAnsiTheme="majorHAnsi" w:cs="Courier New"/>
          <w:vertAlign w:val="superscript"/>
          <w:lang w:val="en"/>
        </w:rPr>
        <w:t xml:space="preserve"> </w:t>
      </w:r>
      <w:r w:rsidRPr="00E9096B" w:rsidR="00937EC3">
        <w:rPr>
          <w:rFonts w:asciiTheme="majorHAnsi" w:hAnsiTheme="majorHAnsi" w:cs="Courier New"/>
          <w:lang w:val="en"/>
        </w:rPr>
        <w:t>™</w:t>
      </w:r>
      <w:r w:rsidRPr="00E9096B">
        <w:rPr>
          <w:rFonts w:asciiTheme="majorHAnsi" w:hAnsiTheme="majorHAnsi"/>
        </w:rPr>
        <w:t xml:space="preserve"> compiles all </w:t>
      </w:r>
      <w:r w:rsidR="00937EC3">
        <w:rPr>
          <w:rFonts w:asciiTheme="majorHAnsi" w:hAnsiTheme="majorHAnsi"/>
        </w:rPr>
        <w:t xml:space="preserve">poison center </w:t>
      </w:r>
      <w:r w:rsidRPr="00E9096B">
        <w:rPr>
          <w:rFonts w:asciiTheme="majorHAnsi" w:hAnsiTheme="majorHAnsi"/>
        </w:rPr>
        <w:t xml:space="preserve">data and sends </w:t>
      </w:r>
      <w:r w:rsidR="00937EC3">
        <w:rPr>
          <w:rFonts w:asciiTheme="majorHAnsi" w:hAnsiTheme="majorHAnsi"/>
        </w:rPr>
        <w:t xml:space="preserve">it </w:t>
      </w:r>
      <w:r w:rsidRPr="00E9096B">
        <w:rPr>
          <w:rFonts w:asciiTheme="majorHAnsi" w:hAnsiTheme="majorHAnsi"/>
        </w:rPr>
        <w:t xml:space="preserve">to CDC in an encrypted Microsoft Access or Excel database via secure file sharing. </w:t>
      </w:r>
    </w:p>
    <w:p w:rsidR="00A83D02" w:rsidRPr="00E9096B" w:rsidP="00E9096B" w14:paraId="7D1EB392" w14:textId="171A9F26">
      <w:pPr>
        <w:pStyle w:val="ListParagraph"/>
        <w:numPr>
          <w:ilvl w:val="0"/>
          <w:numId w:val="49"/>
        </w:numPr>
        <w:spacing w:after="120" w:line="276" w:lineRule="auto"/>
        <w:contextualSpacing w:val="0"/>
        <w:rPr>
          <w:rFonts w:asciiTheme="majorHAnsi" w:hAnsiTheme="majorHAnsi"/>
          <w:i/>
          <w:iCs/>
          <w:color w:val="000000"/>
        </w:rPr>
      </w:pPr>
      <w:r w:rsidRPr="00E9096B">
        <w:rPr>
          <w:rFonts w:asciiTheme="majorHAnsi" w:hAnsiTheme="majorHAnsi"/>
          <w:bCs/>
          <w:i/>
          <w:iCs/>
        </w:rPr>
        <w:t>Web Survey</w:t>
      </w:r>
      <w:r>
        <w:rPr>
          <w:rFonts w:asciiTheme="majorHAnsi" w:hAnsiTheme="majorHAnsi"/>
          <w:bCs/>
          <w:i/>
          <w:iCs/>
        </w:rPr>
        <w:t xml:space="preserve"> -</w:t>
      </w:r>
      <w:r>
        <w:rPr>
          <w:rFonts w:asciiTheme="majorHAnsi" w:hAnsiTheme="majorHAnsi"/>
        </w:rPr>
        <w:t xml:space="preserve"> </w:t>
      </w:r>
      <w:r w:rsidRPr="00E9096B">
        <w:rPr>
          <w:rFonts w:asciiTheme="majorHAnsi" w:hAnsiTheme="majorHAnsi"/>
        </w:rPr>
        <w:t>Data are collected by the poison center via web survey using the same survey questions as the telephone survey (</w:t>
      </w:r>
      <w:r w:rsidRPr="00E9096B">
        <w:rPr>
          <w:rFonts w:asciiTheme="majorHAnsi" w:hAnsiTheme="majorHAnsi"/>
          <w:b/>
          <w:bCs/>
        </w:rPr>
        <w:t xml:space="preserve">Attachments </w:t>
      </w:r>
      <w:r w:rsidR="00684BEF">
        <w:rPr>
          <w:rFonts w:asciiTheme="majorHAnsi" w:hAnsiTheme="majorHAnsi"/>
          <w:b/>
          <w:bCs/>
        </w:rPr>
        <w:t>5-</w:t>
      </w:r>
      <w:r w:rsidRPr="00E9096B">
        <w:rPr>
          <w:rFonts w:asciiTheme="majorHAnsi" w:hAnsiTheme="majorHAnsi"/>
          <w:b/>
          <w:bCs/>
        </w:rPr>
        <w:t>8</w:t>
      </w:r>
      <w:r w:rsidRPr="00E9096B">
        <w:rPr>
          <w:rFonts w:asciiTheme="majorHAnsi" w:hAnsiTheme="majorHAnsi"/>
        </w:rPr>
        <w:t>),</w:t>
      </w:r>
      <w:r w:rsidRPr="00E9096B">
        <w:rPr>
          <w:rFonts w:asciiTheme="majorHAnsi" w:hAnsiTheme="majorHAnsi"/>
          <w:color w:val="000000"/>
        </w:rPr>
        <w:t xml:space="preserve"> stored in a password-protected database</w:t>
      </w:r>
      <w:r w:rsidR="00937EC3">
        <w:rPr>
          <w:rFonts w:asciiTheme="majorHAnsi" w:hAnsiTheme="majorHAnsi"/>
          <w:color w:val="000000"/>
        </w:rPr>
        <w:t>,</w:t>
      </w:r>
      <w:r w:rsidRPr="00E9096B">
        <w:rPr>
          <w:rFonts w:asciiTheme="majorHAnsi" w:hAnsiTheme="majorHAnsi"/>
          <w:color w:val="000000"/>
        </w:rPr>
        <w:t xml:space="preserve"> </w:t>
      </w:r>
      <w:r w:rsidRPr="00E9096B">
        <w:rPr>
          <w:rFonts w:asciiTheme="majorHAnsi" w:hAnsiTheme="majorHAnsi"/>
        </w:rPr>
        <w:t>and sent to America’s Poison Centers</w:t>
      </w:r>
      <w:r w:rsidR="00937EC3">
        <w:rPr>
          <w:rFonts w:asciiTheme="majorHAnsi" w:hAnsiTheme="majorHAnsi"/>
          <w:vertAlign w:val="superscript"/>
        </w:rPr>
        <w:t xml:space="preserve"> </w:t>
      </w:r>
      <w:r w:rsidR="00937EC3">
        <w:rPr>
          <w:rFonts w:asciiTheme="majorHAnsi" w:hAnsiTheme="majorHAnsi" w:cs="Courier New"/>
          <w:lang w:val="en"/>
        </w:rPr>
        <w:t>™</w:t>
      </w:r>
      <w:r w:rsidRPr="00E9096B">
        <w:rPr>
          <w:rFonts w:asciiTheme="majorHAnsi" w:hAnsiTheme="majorHAnsi"/>
        </w:rPr>
        <w:t>.  America’s Poison Centers</w:t>
      </w:r>
      <w:r w:rsidR="00937EC3">
        <w:rPr>
          <w:rFonts w:asciiTheme="majorHAnsi" w:hAnsiTheme="majorHAnsi" w:cs="Courier New"/>
          <w:vertAlign w:val="superscript"/>
          <w:lang w:val="en"/>
        </w:rPr>
        <w:t xml:space="preserve"> </w:t>
      </w:r>
      <w:r w:rsidR="00937EC3">
        <w:rPr>
          <w:rFonts w:asciiTheme="majorHAnsi" w:hAnsiTheme="majorHAnsi" w:cs="Courier New"/>
          <w:lang w:val="en"/>
        </w:rPr>
        <w:t>™</w:t>
      </w:r>
      <w:r w:rsidRPr="00E9096B">
        <w:rPr>
          <w:rFonts w:asciiTheme="majorHAnsi" w:hAnsiTheme="majorHAnsi"/>
        </w:rPr>
        <w:t xml:space="preserve"> compiles all data and sends to CDC in an encrypted Microsoft Access or Excel database via secure file sharing. </w:t>
      </w:r>
    </w:p>
    <w:p w:rsidR="00841598" w:rsidRPr="00E9096B" w:rsidP="00E9096B" w14:paraId="76131DA9" w14:textId="008000A5">
      <w:pPr>
        <w:spacing w:after="120" w:line="276" w:lineRule="auto"/>
        <w:ind w:left="720"/>
        <w:rPr>
          <w:rFonts w:asciiTheme="majorHAnsi" w:hAnsiTheme="majorHAnsi"/>
        </w:rPr>
      </w:pPr>
      <w:r w:rsidRPr="00D5657B">
        <w:rPr>
          <w:rFonts w:asciiTheme="majorHAnsi" w:hAnsiTheme="majorHAnsi"/>
        </w:rPr>
        <w:t xml:space="preserve">On the occasions where the individual poison center does not have its own web capability but prefers using a web survey, CDC may develop the web-based questionnaire in </w:t>
      </w:r>
      <w:r w:rsidR="00D1524E">
        <w:rPr>
          <w:rFonts w:asciiTheme="majorHAnsi" w:hAnsiTheme="majorHAnsi"/>
        </w:rPr>
        <w:t>REDCap</w:t>
      </w:r>
      <w:r w:rsidRPr="00D5657B">
        <w:rPr>
          <w:rFonts w:asciiTheme="majorHAnsi" w:hAnsiTheme="majorHAnsi"/>
        </w:rPr>
        <w:t xml:space="preserve"> to be hosted on secure CDC servers. Unique web addresses will be sent to America’s Poison Centers who will distribute the unique addresses to the participating poison centers for dissemination to qualifying participants. </w:t>
      </w:r>
    </w:p>
    <w:p w:rsidR="00611B71" w:rsidRPr="00E9096B" w:rsidP="00B50E9F" w14:paraId="6B82B02E" w14:textId="149ABA87">
      <w:pPr>
        <w:rPr>
          <w:rFonts w:asciiTheme="majorHAnsi" w:hAnsiTheme="majorHAnsi"/>
        </w:rPr>
      </w:pPr>
      <w:r w:rsidRPr="00D5657B">
        <w:rPr>
          <w:rFonts w:asciiTheme="majorHAnsi" w:hAnsiTheme="majorHAnsi"/>
        </w:rPr>
        <w:t xml:space="preserve">All data, regardless of </w:t>
      </w:r>
      <w:r w:rsidR="00AE0EBF">
        <w:rPr>
          <w:rFonts w:asciiTheme="majorHAnsi" w:hAnsiTheme="majorHAnsi"/>
        </w:rPr>
        <w:t xml:space="preserve">the </w:t>
      </w:r>
      <w:r w:rsidRPr="00D5657B">
        <w:rPr>
          <w:rFonts w:asciiTheme="majorHAnsi" w:hAnsiTheme="majorHAnsi"/>
        </w:rPr>
        <w:t>m</w:t>
      </w:r>
      <w:r w:rsidR="00937EC3">
        <w:rPr>
          <w:rFonts w:asciiTheme="majorHAnsi" w:hAnsiTheme="majorHAnsi"/>
        </w:rPr>
        <w:t>ode</w:t>
      </w:r>
      <w:r w:rsidRPr="00D5657B">
        <w:rPr>
          <w:rFonts w:asciiTheme="majorHAnsi" w:hAnsiTheme="majorHAnsi"/>
        </w:rPr>
        <w:t xml:space="preserve"> of data collection, will be compiled and de-identified by the individual</w:t>
      </w:r>
      <w:r>
        <w:rPr>
          <w:rFonts w:asciiTheme="majorHAnsi" w:hAnsiTheme="majorHAnsi"/>
        </w:rPr>
        <w:t xml:space="preserve"> poison center</w:t>
      </w:r>
      <w:r w:rsidRPr="00D5657B">
        <w:rPr>
          <w:rFonts w:asciiTheme="majorHAnsi" w:hAnsiTheme="majorHAnsi"/>
        </w:rPr>
        <w:t>s and sent to America’s Poison Centers</w:t>
      </w:r>
      <w:r>
        <w:rPr>
          <w:rFonts w:asciiTheme="majorHAnsi" w:hAnsiTheme="majorHAnsi"/>
          <w:vertAlign w:val="superscript"/>
        </w:rPr>
        <w:t xml:space="preserve"> </w:t>
      </w:r>
      <w:r w:rsidRPr="00D5657B">
        <w:rPr>
          <w:rFonts w:asciiTheme="majorHAnsi" w:hAnsiTheme="majorHAnsi" w:cs="Courier New"/>
          <w:vertAlign w:val="superscript"/>
          <w:lang w:val="en"/>
        </w:rPr>
        <w:t>TM</w:t>
      </w:r>
      <w:r w:rsidRPr="00D5657B">
        <w:rPr>
          <w:rFonts w:asciiTheme="majorHAnsi" w:hAnsiTheme="majorHAnsi"/>
        </w:rPr>
        <w:t xml:space="preserve">. </w:t>
      </w:r>
    </w:p>
    <w:p w:rsidR="00B50E9F" w:rsidRPr="00E9096B" w:rsidP="00E9096B" w14:paraId="0EF80B53" w14:textId="03B01115">
      <w:pPr>
        <w:spacing w:before="240" w:after="120" w:line="276" w:lineRule="auto"/>
        <w:rPr>
          <w:rFonts w:asciiTheme="majorHAnsi" w:hAnsiTheme="majorHAnsi"/>
          <w:i/>
          <w:iCs/>
        </w:rPr>
      </w:pPr>
      <w:r w:rsidRPr="00E9096B">
        <w:rPr>
          <w:rFonts w:asciiTheme="majorHAnsi" w:hAnsiTheme="majorHAnsi"/>
          <w:i/>
          <w:iCs/>
        </w:rPr>
        <w:t>Data Access and Analysis at CDC</w:t>
      </w:r>
    </w:p>
    <w:p w:rsidR="00B50E9F" w:rsidRPr="00E9096B" w:rsidP="00B50E9F" w14:paraId="5CD72553" w14:textId="0029FFFE">
      <w:pPr>
        <w:rPr>
          <w:rFonts w:asciiTheme="majorHAnsi" w:hAnsiTheme="majorHAnsi"/>
        </w:rPr>
      </w:pPr>
      <w:r w:rsidRPr="00E9096B">
        <w:rPr>
          <w:rFonts w:asciiTheme="majorHAnsi" w:hAnsiTheme="majorHAnsi"/>
        </w:rPr>
        <w:t xml:space="preserve">America’s Poison </w:t>
      </w:r>
      <w:r w:rsidRPr="00E9096B">
        <w:rPr>
          <w:rFonts w:asciiTheme="majorHAnsi" w:hAnsiTheme="majorHAnsi" w:cs="Courier New"/>
          <w:lang w:val="en"/>
        </w:rPr>
        <w:t>Centers</w:t>
      </w:r>
      <w:r w:rsidRPr="00E9096B">
        <w:rPr>
          <w:rFonts w:asciiTheme="majorHAnsi" w:hAnsiTheme="majorHAnsi" w:cs="Courier New"/>
          <w:vertAlign w:val="superscript"/>
          <w:lang w:val="en"/>
        </w:rPr>
        <w:t xml:space="preserve"> TM</w:t>
      </w:r>
      <w:r w:rsidRPr="00E9096B">
        <w:rPr>
          <w:rFonts w:asciiTheme="majorHAnsi" w:hAnsiTheme="majorHAnsi"/>
        </w:rPr>
        <w:t xml:space="preserve"> compiles all </w:t>
      </w:r>
      <w:r w:rsidR="00611B71">
        <w:rPr>
          <w:rFonts w:asciiTheme="majorHAnsi" w:hAnsiTheme="majorHAnsi"/>
        </w:rPr>
        <w:t xml:space="preserve">poison center </w:t>
      </w:r>
      <w:r w:rsidRPr="00E9096B">
        <w:rPr>
          <w:rFonts w:asciiTheme="majorHAnsi" w:hAnsiTheme="majorHAnsi"/>
        </w:rPr>
        <w:t xml:space="preserve">data and sends </w:t>
      </w:r>
      <w:r w:rsidR="00611B71">
        <w:rPr>
          <w:rFonts w:asciiTheme="majorHAnsi" w:hAnsiTheme="majorHAnsi"/>
        </w:rPr>
        <w:t xml:space="preserve">it </w:t>
      </w:r>
      <w:r w:rsidRPr="00E9096B">
        <w:rPr>
          <w:rFonts w:asciiTheme="majorHAnsi" w:hAnsiTheme="majorHAnsi"/>
        </w:rPr>
        <w:t>to CDC in an encrypted Microsoft Access or Excel database via secure file sharing. If needed at CDC, data will be exported from Access</w:t>
      </w:r>
      <w:r w:rsidR="009A4F7C">
        <w:rPr>
          <w:rFonts w:asciiTheme="majorHAnsi" w:hAnsiTheme="majorHAnsi"/>
        </w:rPr>
        <w:t>/Excel</w:t>
      </w:r>
      <w:r w:rsidRPr="00E9096B">
        <w:rPr>
          <w:rFonts w:asciiTheme="majorHAnsi" w:hAnsiTheme="majorHAnsi"/>
        </w:rPr>
        <w:t xml:space="preserve"> and analyzed in SAS or</w:t>
      </w:r>
      <w:r w:rsidR="00DA1973">
        <w:rPr>
          <w:rFonts w:asciiTheme="majorHAnsi" w:hAnsiTheme="majorHAnsi"/>
        </w:rPr>
        <w:t xml:space="preserve"> R</w:t>
      </w:r>
      <w:r w:rsidRPr="00E9096B">
        <w:rPr>
          <w:rFonts w:asciiTheme="majorHAnsi" w:hAnsiTheme="majorHAnsi"/>
        </w:rPr>
        <w:t>.  Because Access database encryption is not Federal Information Processing Standards (FIPS) 140-2 compliant, the data will be transmitted through CDC’s secure and FIPS-compliant file transfer protocol (EFT) site.</w:t>
      </w:r>
    </w:p>
    <w:p w:rsidR="00B50E9F" w:rsidRPr="00E9096B" w:rsidP="00B50E9F" w14:paraId="44BFC781" w14:textId="77777777">
      <w:pPr>
        <w:rPr>
          <w:rFonts w:asciiTheme="majorHAnsi" w:hAnsiTheme="majorHAnsi"/>
          <w:i/>
          <w:iCs/>
        </w:rPr>
      </w:pPr>
      <w:r w:rsidRPr="00E9096B">
        <w:rPr>
          <w:rFonts w:asciiTheme="majorHAnsi" w:hAnsiTheme="majorHAnsi"/>
        </w:rPr>
        <w:t>Where the web survey is hosted on CDC servers, all CDC IT security requirements are met.</w:t>
      </w:r>
    </w:p>
    <w:p w:rsidR="00B50E9F" w:rsidRPr="00E9096B" w:rsidP="00B50E9F" w14:paraId="0C557E5A" w14:textId="77777777">
      <w:pPr>
        <w:rPr>
          <w:rFonts w:asciiTheme="majorHAnsi" w:hAnsiTheme="majorHAnsi"/>
          <w:i/>
          <w:iCs/>
        </w:rPr>
      </w:pPr>
      <w:r w:rsidRPr="00E9096B">
        <w:rPr>
          <w:rFonts w:asciiTheme="majorHAnsi" w:hAnsiTheme="majorHAnsi"/>
          <w:i/>
          <w:iCs/>
        </w:rPr>
        <w:t>Data Linkage with NPDS</w:t>
      </w:r>
    </w:p>
    <w:p w:rsidR="00B50E9F" w:rsidRPr="00E9096B" w:rsidP="00B50E9F" w14:paraId="46DCF80B" w14:textId="77777777">
      <w:pPr>
        <w:rPr>
          <w:rFonts w:asciiTheme="majorHAnsi" w:hAnsiTheme="majorHAnsi"/>
        </w:rPr>
      </w:pPr>
      <w:r w:rsidRPr="00E9096B">
        <w:rPr>
          <w:rFonts w:asciiTheme="majorHAnsi" w:hAnsiTheme="majorHAnsi"/>
        </w:rPr>
        <w:t>CDC will use the NPDS CaseID number as a linking variable between NPDS records and poison center follow-up. NPDS records do not have name or phone number. Individual PCs and America’s Poison Centers</w:t>
      </w:r>
      <w:r w:rsidRPr="00E9096B">
        <w:rPr>
          <w:rFonts w:asciiTheme="majorHAnsi" w:hAnsiTheme="majorHAnsi"/>
          <w:vertAlign w:val="superscript"/>
        </w:rPr>
        <w:t xml:space="preserve"> </w:t>
      </w:r>
      <w:r w:rsidRPr="00E9096B">
        <w:rPr>
          <w:rFonts w:asciiTheme="majorHAnsi" w:hAnsiTheme="majorHAnsi" w:cs="Courier New"/>
          <w:vertAlign w:val="superscript"/>
          <w:lang w:val="en"/>
        </w:rPr>
        <w:t>TM</w:t>
      </w:r>
      <w:r w:rsidRPr="00E9096B">
        <w:rPr>
          <w:rFonts w:asciiTheme="majorHAnsi" w:hAnsiTheme="majorHAnsi"/>
        </w:rPr>
        <w:t xml:space="preserve"> will not share any link between the caller’s IIF and the NPDS CaseID Number . </w:t>
      </w:r>
      <w:r w:rsidRPr="00E9096B">
        <w:rPr>
          <w:rFonts w:asciiTheme="majorHAnsi" w:hAnsiTheme="majorHAnsi"/>
          <w:color w:val="000000"/>
        </w:rPr>
        <w:t xml:space="preserve">IIF owned by and stored on local poison center servers for the purposes of follow up is not uploaded to NPDS nor ever shared with CDC. </w:t>
      </w:r>
    </w:p>
    <w:p w:rsidR="00451A2F" w:rsidRPr="007C478E" w:rsidP="00451A2F" w14:paraId="5775B464" w14:textId="77777777">
      <w:pPr>
        <w:pStyle w:val="Body1"/>
        <w:tabs>
          <w:tab w:val="left" w:pos="720"/>
          <w:tab w:val="left" w:pos="1440"/>
          <w:tab w:val="left" w:pos="2160"/>
          <w:tab w:val="left" w:pos="2880"/>
        </w:tabs>
        <w:rPr>
          <w:rFonts w:asciiTheme="majorHAnsi" w:hAnsiTheme="majorHAnsi"/>
          <w:color w:val="auto"/>
          <w:szCs w:val="24"/>
        </w:rPr>
      </w:pPr>
    </w:p>
    <w:p w:rsidR="00EA338F" w:rsidRPr="007C478E" w:rsidP="002333EB" w14:paraId="5996404F" w14:textId="77777777">
      <w:pPr>
        <w:pStyle w:val="Body1"/>
        <w:tabs>
          <w:tab w:val="left" w:pos="720"/>
          <w:tab w:val="left" w:pos="1440"/>
          <w:tab w:val="left" w:pos="2160"/>
          <w:tab w:val="left" w:pos="2880"/>
        </w:tabs>
        <w:rPr>
          <w:rFonts w:asciiTheme="majorHAnsi" w:hAnsiTheme="majorHAnsi"/>
          <w:color w:val="auto"/>
          <w:szCs w:val="24"/>
        </w:rPr>
      </w:pPr>
      <w:bookmarkStart w:id="10" w:name="_Toc452631061"/>
      <w:bookmarkStart w:id="11" w:name="_Toc446686373"/>
      <w:r w:rsidRPr="007C478E">
        <w:rPr>
          <w:rFonts w:asciiTheme="majorHAnsi" w:hAnsiTheme="majorHAnsi"/>
          <w:color w:val="auto"/>
          <w:sz w:val="36"/>
          <w:szCs w:val="24"/>
        </w:rPr>
        <w:t>B.</w:t>
      </w:r>
      <w:r w:rsidRPr="007C478E" w:rsidR="001A78D5">
        <w:rPr>
          <w:rFonts w:asciiTheme="majorHAnsi" w:hAnsiTheme="majorHAnsi"/>
          <w:color w:val="auto"/>
          <w:sz w:val="36"/>
          <w:szCs w:val="24"/>
        </w:rPr>
        <w:t>3. Methods to Maximize Response Rates and Deal with No</w:t>
      </w:r>
      <w:r w:rsidRPr="007C478E" w:rsidR="00FB15D2">
        <w:rPr>
          <w:rFonts w:asciiTheme="majorHAnsi" w:hAnsiTheme="majorHAnsi"/>
          <w:color w:val="auto"/>
          <w:sz w:val="36"/>
          <w:szCs w:val="24"/>
        </w:rPr>
        <w:t>n</w:t>
      </w:r>
      <w:r w:rsidRPr="007C478E">
        <w:rPr>
          <w:rFonts w:asciiTheme="majorHAnsi" w:hAnsiTheme="majorHAnsi"/>
          <w:color w:val="auto"/>
          <w:sz w:val="36"/>
          <w:szCs w:val="24"/>
        </w:rPr>
        <w:t>r</w:t>
      </w:r>
      <w:r w:rsidRPr="007C478E" w:rsidR="001A78D5">
        <w:rPr>
          <w:rFonts w:asciiTheme="majorHAnsi" w:hAnsiTheme="majorHAnsi"/>
          <w:color w:val="auto"/>
          <w:sz w:val="36"/>
          <w:szCs w:val="24"/>
        </w:rPr>
        <w:t>esponse</w:t>
      </w:r>
      <w:bookmarkEnd w:id="10"/>
      <w:bookmarkEnd w:id="11"/>
    </w:p>
    <w:p w:rsidR="00F8608E" w:rsidRPr="007C478E" w:rsidP="0018178C" w14:paraId="742E0AAF" w14:textId="77777777">
      <w:pPr>
        <w:pStyle w:val="Default"/>
        <w:ind w:left="1500"/>
        <w:rPr>
          <w:rFonts w:eastAsia="Arial Unicode MS" w:asciiTheme="majorHAnsi" w:hAnsiTheme="majorHAnsi"/>
          <w:u w:color="000000"/>
        </w:rPr>
      </w:pPr>
    </w:p>
    <w:p w:rsidR="00B77CBB" w:rsidRPr="00393524" w:rsidP="000327E5" w14:paraId="255CE2AC" w14:textId="561A10E6">
      <w:pPr>
        <w:pStyle w:val="BodyTextIndent3"/>
        <w:tabs>
          <w:tab w:val="clear" w:pos="1800"/>
        </w:tabs>
        <w:spacing w:after="200" w:line="276" w:lineRule="auto"/>
        <w:ind w:left="0"/>
        <w:rPr>
          <w:rFonts w:asciiTheme="majorHAnsi" w:hAnsiTheme="majorHAnsi"/>
          <w:sz w:val="22"/>
          <w:szCs w:val="22"/>
        </w:rPr>
      </w:pPr>
      <w:r w:rsidRPr="00393524">
        <w:rPr>
          <w:rFonts w:asciiTheme="majorHAnsi" w:hAnsiTheme="majorHAnsi"/>
          <w:sz w:val="22"/>
          <w:szCs w:val="22"/>
        </w:rPr>
        <w:t>T</w:t>
      </w:r>
      <w:r w:rsidRPr="00393524" w:rsidR="009B010E">
        <w:rPr>
          <w:rFonts w:asciiTheme="majorHAnsi" w:hAnsiTheme="majorHAnsi"/>
          <w:sz w:val="22"/>
          <w:szCs w:val="22"/>
        </w:rPr>
        <w:t>he</w:t>
      </w:r>
      <w:r w:rsidRPr="00393524" w:rsidR="00F93A7C">
        <w:rPr>
          <w:rFonts w:asciiTheme="majorHAnsi" w:hAnsiTheme="majorHAnsi"/>
          <w:sz w:val="22"/>
          <w:szCs w:val="22"/>
        </w:rPr>
        <w:t xml:space="preserve"> </w:t>
      </w:r>
      <w:r w:rsidR="001E5F3E">
        <w:rPr>
          <w:rFonts w:asciiTheme="majorHAnsi" w:hAnsiTheme="majorHAnsi"/>
          <w:sz w:val="22"/>
          <w:szCs w:val="22"/>
        </w:rPr>
        <w:t>poison center</w:t>
      </w:r>
      <w:r w:rsidRPr="00393524" w:rsidR="00F93A7C">
        <w:rPr>
          <w:rFonts w:asciiTheme="majorHAnsi" w:hAnsiTheme="majorHAnsi"/>
          <w:sz w:val="22"/>
          <w:szCs w:val="22"/>
        </w:rPr>
        <w:t xml:space="preserve"> team will </w:t>
      </w:r>
      <w:r w:rsidRPr="00393524" w:rsidR="00D969BB">
        <w:rPr>
          <w:rFonts w:asciiTheme="majorHAnsi" w:hAnsiTheme="majorHAnsi"/>
          <w:sz w:val="22"/>
          <w:szCs w:val="22"/>
        </w:rPr>
        <w:t xml:space="preserve">take the following steps to </w:t>
      </w:r>
      <w:r w:rsidRPr="00393524" w:rsidR="00E41128">
        <w:rPr>
          <w:rFonts w:asciiTheme="majorHAnsi" w:hAnsiTheme="majorHAnsi"/>
          <w:sz w:val="22"/>
          <w:szCs w:val="22"/>
        </w:rPr>
        <w:t>improve the response rates</w:t>
      </w:r>
      <w:r w:rsidR="00E53529">
        <w:rPr>
          <w:rFonts w:asciiTheme="majorHAnsi" w:hAnsiTheme="majorHAnsi"/>
          <w:sz w:val="22"/>
          <w:szCs w:val="22"/>
        </w:rPr>
        <w:t>,</w:t>
      </w:r>
      <w:r w:rsidRPr="00393524" w:rsidR="00E41128">
        <w:rPr>
          <w:rFonts w:asciiTheme="majorHAnsi" w:hAnsiTheme="majorHAnsi"/>
          <w:sz w:val="22"/>
          <w:szCs w:val="22"/>
        </w:rPr>
        <w:t xml:space="preserve"> includ</w:t>
      </w:r>
      <w:r w:rsidR="001E5F3E">
        <w:rPr>
          <w:rFonts w:asciiTheme="majorHAnsi" w:hAnsiTheme="majorHAnsi"/>
          <w:sz w:val="22"/>
          <w:szCs w:val="22"/>
        </w:rPr>
        <w:t>ing</w:t>
      </w:r>
      <w:r w:rsidR="00260C20">
        <w:rPr>
          <w:rFonts w:asciiTheme="majorHAnsi" w:hAnsiTheme="majorHAnsi"/>
          <w:sz w:val="22"/>
          <w:szCs w:val="22"/>
        </w:rPr>
        <w:t xml:space="preserve"> the following</w:t>
      </w:r>
      <w:r w:rsidRPr="00393524" w:rsidR="00E41128">
        <w:rPr>
          <w:rFonts w:asciiTheme="majorHAnsi" w:hAnsiTheme="majorHAnsi"/>
          <w:sz w:val="22"/>
          <w:szCs w:val="22"/>
        </w:rPr>
        <w:t>:</w:t>
      </w:r>
    </w:p>
    <w:p w:rsidR="00E41128" w:rsidRPr="00393524" w:rsidP="000327E5" w14:paraId="7770A724" w14:textId="0DCD41F5">
      <w:pPr>
        <w:pStyle w:val="BodyTextIndent3"/>
        <w:numPr>
          <w:ilvl w:val="0"/>
          <w:numId w:val="4"/>
        </w:numPr>
        <w:tabs>
          <w:tab w:val="clear" w:pos="1800"/>
        </w:tabs>
        <w:spacing w:line="276" w:lineRule="auto"/>
        <w:rPr>
          <w:rFonts w:asciiTheme="majorHAnsi" w:hAnsiTheme="majorHAnsi"/>
          <w:sz w:val="22"/>
          <w:szCs w:val="22"/>
        </w:rPr>
      </w:pPr>
      <w:r w:rsidRPr="00393524">
        <w:rPr>
          <w:rFonts w:asciiTheme="majorHAnsi" w:hAnsiTheme="majorHAnsi"/>
          <w:sz w:val="22"/>
          <w:szCs w:val="22"/>
        </w:rPr>
        <w:t>Re</w:t>
      </w:r>
      <w:r w:rsidRPr="00393524" w:rsidR="002B59F6">
        <w:rPr>
          <w:rFonts w:asciiTheme="majorHAnsi" w:hAnsiTheme="majorHAnsi"/>
          <w:sz w:val="22"/>
          <w:szCs w:val="22"/>
        </w:rPr>
        <w:t>contacting potential respondents</w:t>
      </w:r>
      <w:r w:rsidRPr="00393524">
        <w:rPr>
          <w:rFonts w:asciiTheme="majorHAnsi" w:hAnsiTheme="majorHAnsi"/>
          <w:sz w:val="22"/>
          <w:szCs w:val="22"/>
        </w:rPr>
        <w:t xml:space="preserve"> </w:t>
      </w:r>
      <w:r w:rsidR="00252835">
        <w:rPr>
          <w:rFonts w:asciiTheme="majorHAnsi" w:hAnsiTheme="majorHAnsi"/>
          <w:sz w:val="22"/>
          <w:szCs w:val="22"/>
        </w:rPr>
        <w:t xml:space="preserve">at least twice more </w:t>
      </w:r>
      <w:r w:rsidRPr="00393524">
        <w:rPr>
          <w:rFonts w:asciiTheme="majorHAnsi" w:hAnsiTheme="majorHAnsi"/>
          <w:sz w:val="22"/>
          <w:szCs w:val="22"/>
        </w:rPr>
        <w:t xml:space="preserve">if the first attempt to reach </w:t>
      </w:r>
      <w:r w:rsidRPr="00393524" w:rsidR="002B59F6">
        <w:rPr>
          <w:rFonts w:asciiTheme="majorHAnsi" w:hAnsiTheme="majorHAnsi"/>
          <w:sz w:val="22"/>
          <w:szCs w:val="22"/>
        </w:rPr>
        <w:t>them</w:t>
      </w:r>
      <w:r w:rsidRPr="00393524">
        <w:rPr>
          <w:rFonts w:asciiTheme="majorHAnsi" w:hAnsiTheme="majorHAnsi"/>
          <w:sz w:val="22"/>
          <w:szCs w:val="22"/>
        </w:rPr>
        <w:t xml:space="preserve"> is unsuccessful</w:t>
      </w:r>
    </w:p>
    <w:p w:rsidR="005B4F83" w:rsidRPr="00393524" w:rsidP="000327E5" w14:paraId="37C8F4EF" w14:textId="77777777">
      <w:pPr>
        <w:pStyle w:val="BodyTextIndent3"/>
        <w:numPr>
          <w:ilvl w:val="0"/>
          <w:numId w:val="4"/>
        </w:numPr>
        <w:tabs>
          <w:tab w:val="clear" w:pos="1800"/>
        </w:tabs>
        <w:spacing w:line="276" w:lineRule="auto"/>
        <w:rPr>
          <w:rFonts w:asciiTheme="majorHAnsi" w:hAnsiTheme="majorHAnsi"/>
          <w:sz w:val="22"/>
          <w:szCs w:val="22"/>
        </w:rPr>
      </w:pPr>
      <w:r w:rsidRPr="00393524">
        <w:rPr>
          <w:rFonts w:asciiTheme="majorHAnsi" w:hAnsiTheme="majorHAnsi"/>
          <w:sz w:val="22"/>
          <w:szCs w:val="22"/>
        </w:rPr>
        <w:t>R</w:t>
      </w:r>
      <w:r w:rsidRPr="00393524" w:rsidR="00E41128">
        <w:rPr>
          <w:rFonts w:asciiTheme="majorHAnsi" w:hAnsiTheme="majorHAnsi"/>
          <w:sz w:val="22"/>
          <w:szCs w:val="22"/>
        </w:rPr>
        <w:t>escheduling the interview to a time that is more convenient for the respondent</w:t>
      </w:r>
    </w:p>
    <w:p w:rsidR="00342B9B" w:rsidP="000327E5" w14:paraId="33693B2F" w14:textId="06A8005A">
      <w:pPr>
        <w:pStyle w:val="BodyTextIndent3"/>
        <w:numPr>
          <w:ilvl w:val="0"/>
          <w:numId w:val="4"/>
        </w:numPr>
        <w:tabs>
          <w:tab w:val="clear" w:pos="1800"/>
        </w:tabs>
        <w:spacing w:line="276" w:lineRule="auto"/>
        <w:rPr>
          <w:rFonts w:asciiTheme="majorHAnsi" w:hAnsiTheme="majorHAnsi"/>
          <w:sz w:val="22"/>
          <w:szCs w:val="22"/>
        </w:rPr>
      </w:pPr>
      <w:r w:rsidRPr="00393524">
        <w:rPr>
          <w:rFonts w:asciiTheme="majorHAnsi" w:hAnsiTheme="majorHAnsi"/>
          <w:sz w:val="22"/>
          <w:szCs w:val="22"/>
        </w:rPr>
        <w:t>P</w:t>
      </w:r>
      <w:r w:rsidRPr="00393524" w:rsidR="00E41128">
        <w:rPr>
          <w:rFonts w:asciiTheme="majorHAnsi" w:hAnsiTheme="majorHAnsi"/>
          <w:sz w:val="22"/>
          <w:szCs w:val="22"/>
        </w:rPr>
        <w:t>roviding a toll-free number for individuals to return calls</w:t>
      </w:r>
    </w:p>
    <w:p w:rsidR="004A2EC5" w:rsidRPr="00393524" w:rsidP="000327E5" w14:paraId="762231F7" w14:textId="21F876CA">
      <w:pPr>
        <w:pStyle w:val="BodyTextIndent3"/>
        <w:numPr>
          <w:ilvl w:val="0"/>
          <w:numId w:val="4"/>
        </w:numPr>
        <w:tabs>
          <w:tab w:val="clear" w:pos="1800"/>
        </w:tabs>
        <w:spacing w:line="276" w:lineRule="auto"/>
        <w:rPr>
          <w:rFonts w:asciiTheme="majorHAnsi" w:hAnsiTheme="majorHAnsi"/>
          <w:sz w:val="22"/>
          <w:szCs w:val="22"/>
        </w:rPr>
      </w:pPr>
      <w:r>
        <w:rPr>
          <w:rFonts w:asciiTheme="majorHAnsi" w:hAnsiTheme="majorHAnsi"/>
          <w:sz w:val="22"/>
          <w:szCs w:val="22"/>
        </w:rPr>
        <w:t>Providing a secure</w:t>
      </w:r>
      <w:r w:rsidR="00401319">
        <w:rPr>
          <w:rFonts w:asciiTheme="majorHAnsi" w:hAnsiTheme="majorHAnsi"/>
          <w:sz w:val="22"/>
          <w:szCs w:val="22"/>
        </w:rPr>
        <w:t xml:space="preserve"> unique </w:t>
      </w:r>
      <w:r>
        <w:rPr>
          <w:rFonts w:asciiTheme="majorHAnsi" w:hAnsiTheme="majorHAnsi"/>
          <w:sz w:val="22"/>
          <w:szCs w:val="22"/>
        </w:rPr>
        <w:t>web link for online data collection</w:t>
      </w:r>
    </w:p>
    <w:p w:rsidR="00E41128" w:rsidRPr="00393524" w:rsidP="000327E5" w14:paraId="6710430D" w14:textId="77777777">
      <w:pPr>
        <w:pStyle w:val="BodyTextIndent3"/>
        <w:tabs>
          <w:tab w:val="clear" w:pos="1800"/>
        </w:tabs>
        <w:spacing w:line="276" w:lineRule="auto"/>
        <w:ind w:left="720"/>
        <w:rPr>
          <w:rFonts w:asciiTheme="majorHAnsi" w:hAnsiTheme="majorHAnsi"/>
          <w:sz w:val="22"/>
          <w:szCs w:val="22"/>
        </w:rPr>
      </w:pPr>
    </w:p>
    <w:p w:rsidR="004029CD" w:rsidRPr="00393524" w:rsidP="000327E5" w14:paraId="75E946C6" w14:textId="2889AAE5">
      <w:pPr>
        <w:tabs>
          <w:tab w:val="left" w:pos="720"/>
          <w:tab w:val="left" w:pos="1440"/>
        </w:tabs>
        <w:spacing w:after="0" w:line="276" w:lineRule="auto"/>
        <w:rPr>
          <w:rFonts w:eastAsia="Arial Unicode MS" w:asciiTheme="majorHAnsi" w:hAnsiTheme="majorHAnsi" w:cs="Times New Roman"/>
          <w:u w:color="000000"/>
        </w:rPr>
      </w:pPr>
      <w:r w:rsidRPr="00393524">
        <w:rPr>
          <w:rFonts w:eastAsia="Arial Unicode MS" w:asciiTheme="majorHAnsi" w:hAnsiTheme="majorHAnsi" w:cs="Times New Roman"/>
          <w:u w:color="000000"/>
        </w:rPr>
        <w:t>T</w:t>
      </w:r>
      <w:r w:rsidRPr="00393524" w:rsidR="00643BD6">
        <w:rPr>
          <w:rFonts w:eastAsia="Arial Unicode MS" w:asciiTheme="majorHAnsi" w:hAnsiTheme="majorHAnsi" w:cs="Times New Roman"/>
          <w:u w:color="000000"/>
        </w:rPr>
        <w:t xml:space="preserve">he response rates for previous data collections of a similar nature were only tracked at the local </w:t>
      </w:r>
      <w:r w:rsidRPr="00393524" w:rsidR="000F4B53">
        <w:rPr>
          <w:rFonts w:eastAsia="Arial Unicode MS" w:asciiTheme="majorHAnsi" w:hAnsiTheme="majorHAnsi" w:cs="Times New Roman"/>
          <w:u w:color="000000"/>
        </w:rPr>
        <w:t xml:space="preserve">poison centers </w:t>
      </w:r>
      <w:r w:rsidRPr="00393524" w:rsidR="00643BD6">
        <w:rPr>
          <w:rFonts w:eastAsia="Arial Unicode MS" w:asciiTheme="majorHAnsi" w:hAnsiTheme="majorHAnsi" w:cs="Times New Roman"/>
          <w:u w:color="000000"/>
        </w:rPr>
        <w:t xml:space="preserve">and an overall </w:t>
      </w:r>
      <w:r w:rsidRPr="00393524">
        <w:rPr>
          <w:rFonts w:eastAsia="Arial Unicode MS" w:asciiTheme="majorHAnsi" w:hAnsiTheme="majorHAnsi" w:cs="Times New Roman"/>
          <w:u w:color="000000"/>
        </w:rPr>
        <w:t xml:space="preserve">response rate could not be estimated. However, per their normal operations, </w:t>
      </w:r>
      <w:r w:rsidRPr="00393524" w:rsidR="000F4B53">
        <w:rPr>
          <w:rFonts w:eastAsia="Arial Unicode MS" w:asciiTheme="majorHAnsi" w:hAnsiTheme="majorHAnsi" w:cs="Times New Roman"/>
          <w:u w:color="000000"/>
        </w:rPr>
        <w:t xml:space="preserve">poison centers </w:t>
      </w:r>
      <w:r w:rsidRPr="00393524">
        <w:rPr>
          <w:rFonts w:eastAsia="Arial Unicode MS" w:asciiTheme="majorHAnsi" w:hAnsiTheme="majorHAnsi" w:cs="Times New Roman"/>
          <w:u w:color="000000"/>
        </w:rPr>
        <w:t>follow up with all exposure calls to ascertain medi</w:t>
      </w:r>
      <w:r w:rsidRPr="00393524" w:rsidR="002B59F6">
        <w:rPr>
          <w:rFonts w:eastAsia="Arial Unicode MS" w:asciiTheme="majorHAnsi" w:hAnsiTheme="majorHAnsi" w:cs="Times New Roman"/>
          <w:u w:color="000000"/>
        </w:rPr>
        <w:t>c</w:t>
      </w:r>
      <w:r w:rsidRPr="00393524">
        <w:rPr>
          <w:rFonts w:eastAsia="Arial Unicode MS" w:asciiTheme="majorHAnsi" w:hAnsiTheme="majorHAnsi" w:cs="Times New Roman"/>
          <w:u w:color="000000"/>
        </w:rPr>
        <w:t>al outcome following the exposure. Participation rates for these follow ups are high (over 80%)</w:t>
      </w:r>
      <w:r w:rsidRPr="00393524" w:rsidR="00B45944">
        <w:rPr>
          <w:rFonts w:eastAsia="Arial Unicode MS" w:asciiTheme="majorHAnsi" w:hAnsiTheme="majorHAnsi" w:cs="Times New Roman"/>
          <w:u w:color="000000"/>
        </w:rPr>
        <w:t xml:space="preserve"> </w:t>
      </w:r>
      <w:r w:rsidRPr="00393524">
        <w:rPr>
          <w:rFonts w:eastAsia="Arial Unicode MS" w:asciiTheme="majorHAnsi" w:hAnsiTheme="majorHAnsi" w:cs="Times New Roman"/>
          <w:u w:color="000000"/>
        </w:rPr>
        <w:t xml:space="preserve">and we estimate participation rates for this data collection to be high as well. </w:t>
      </w:r>
    </w:p>
    <w:p w:rsidR="0055584B" w:rsidRPr="00393524" w:rsidP="0055584B" w14:paraId="114D2034" w14:textId="77777777">
      <w:pPr>
        <w:pStyle w:val="BodyTextIndent3"/>
        <w:tabs>
          <w:tab w:val="clear" w:pos="1800"/>
        </w:tabs>
        <w:ind w:left="0"/>
        <w:rPr>
          <w:rFonts w:asciiTheme="majorHAnsi" w:hAnsiTheme="majorHAnsi"/>
          <w:sz w:val="22"/>
          <w:szCs w:val="22"/>
        </w:rPr>
      </w:pPr>
    </w:p>
    <w:p w:rsidR="001A78D5" w:rsidRPr="007C478E" w:rsidP="002333EB" w14:paraId="56D9318C" w14:textId="77777777">
      <w:pPr>
        <w:pStyle w:val="Body1"/>
        <w:tabs>
          <w:tab w:val="left" w:pos="720"/>
          <w:tab w:val="left" w:pos="1440"/>
          <w:tab w:val="left" w:pos="2160"/>
          <w:tab w:val="left" w:pos="2880"/>
        </w:tabs>
        <w:rPr>
          <w:rFonts w:asciiTheme="majorHAnsi" w:hAnsiTheme="majorHAnsi"/>
          <w:color w:val="auto"/>
          <w:sz w:val="36"/>
          <w:szCs w:val="24"/>
        </w:rPr>
      </w:pPr>
      <w:bookmarkStart w:id="12" w:name="_Toc452631062"/>
      <w:bookmarkStart w:id="13" w:name="_Toc446686374"/>
      <w:r w:rsidRPr="007C478E">
        <w:rPr>
          <w:rFonts w:asciiTheme="majorHAnsi" w:hAnsiTheme="majorHAnsi"/>
          <w:color w:val="auto"/>
          <w:sz w:val="36"/>
          <w:szCs w:val="24"/>
        </w:rPr>
        <w:t xml:space="preserve">B.4. Tests of Procedures or Methods to be </w:t>
      </w:r>
      <w:r w:rsidRPr="007C478E" w:rsidR="009955AE">
        <w:rPr>
          <w:rFonts w:asciiTheme="majorHAnsi" w:hAnsiTheme="majorHAnsi"/>
          <w:color w:val="auto"/>
          <w:sz w:val="36"/>
          <w:szCs w:val="24"/>
        </w:rPr>
        <w:t>Undertaken</w:t>
      </w:r>
      <w:bookmarkEnd w:id="12"/>
      <w:bookmarkEnd w:id="13"/>
    </w:p>
    <w:p w:rsidR="0008501F" w:rsidRPr="007C478E" w:rsidP="00726F78" w14:paraId="654EACB6" w14:textId="77777777">
      <w:pPr>
        <w:pStyle w:val="Body1"/>
        <w:tabs>
          <w:tab w:val="left" w:pos="720"/>
          <w:tab w:val="left" w:pos="1440"/>
          <w:tab w:val="left" w:pos="2160"/>
          <w:tab w:val="left" w:pos="2880"/>
        </w:tabs>
        <w:rPr>
          <w:rFonts w:asciiTheme="majorHAnsi" w:hAnsiTheme="majorHAnsi"/>
          <w:b/>
          <w:color w:val="auto"/>
          <w:szCs w:val="24"/>
        </w:rPr>
      </w:pPr>
    </w:p>
    <w:p w:rsidR="0008501F" w:rsidRPr="00393524" w:rsidP="000327E5" w14:paraId="1644AEB1" w14:textId="48984E9A">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r w:rsidRPr="00393524">
        <w:rPr>
          <w:rFonts w:asciiTheme="majorHAnsi" w:hAnsiTheme="majorHAnsi"/>
          <w:color w:val="auto"/>
          <w:sz w:val="22"/>
          <w:szCs w:val="22"/>
        </w:rPr>
        <w:t xml:space="preserve">The </w:t>
      </w:r>
      <w:r w:rsidR="00FA386E">
        <w:rPr>
          <w:rFonts w:asciiTheme="majorHAnsi" w:hAnsiTheme="majorHAnsi"/>
          <w:color w:val="auto"/>
          <w:sz w:val="22"/>
          <w:szCs w:val="22"/>
        </w:rPr>
        <w:t>sa</w:t>
      </w:r>
      <w:r w:rsidRPr="00393524">
        <w:rPr>
          <w:rFonts w:asciiTheme="majorHAnsi" w:hAnsiTheme="majorHAnsi"/>
          <w:color w:val="auto"/>
          <w:sz w:val="22"/>
          <w:szCs w:val="22"/>
        </w:rPr>
        <w:t xml:space="preserve">mple </w:t>
      </w:r>
      <w:r w:rsidRPr="00393524" w:rsidR="00361904">
        <w:rPr>
          <w:rFonts w:asciiTheme="majorHAnsi" w:hAnsiTheme="majorHAnsi"/>
          <w:color w:val="auto"/>
          <w:sz w:val="22"/>
          <w:szCs w:val="22"/>
        </w:rPr>
        <w:t>questionnaire</w:t>
      </w:r>
      <w:r w:rsidR="001D36A8">
        <w:rPr>
          <w:rFonts w:asciiTheme="majorHAnsi" w:hAnsiTheme="majorHAnsi"/>
          <w:color w:val="auto"/>
          <w:sz w:val="22"/>
          <w:szCs w:val="22"/>
        </w:rPr>
        <w:t>s</w:t>
      </w:r>
      <w:r w:rsidRPr="00393524" w:rsidR="00361904">
        <w:rPr>
          <w:rFonts w:asciiTheme="majorHAnsi" w:hAnsiTheme="majorHAnsi"/>
          <w:color w:val="auto"/>
          <w:sz w:val="22"/>
          <w:szCs w:val="22"/>
        </w:rPr>
        <w:t xml:space="preserve"> </w:t>
      </w:r>
      <w:r w:rsidR="00FA386E">
        <w:rPr>
          <w:rFonts w:asciiTheme="majorHAnsi" w:hAnsiTheme="majorHAnsi"/>
          <w:color w:val="auto"/>
          <w:sz w:val="22"/>
          <w:szCs w:val="22"/>
        </w:rPr>
        <w:t>(</w:t>
      </w:r>
      <w:r w:rsidR="00FA386E">
        <w:rPr>
          <w:rFonts w:asciiTheme="majorHAnsi" w:hAnsiTheme="majorHAnsi"/>
          <w:b/>
          <w:color w:val="auto"/>
          <w:sz w:val="22"/>
          <w:szCs w:val="22"/>
        </w:rPr>
        <w:t>Attachment</w:t>
      </w:r>
      <w:r w:rsidRPr="00492F2E" w:rsidR="00FA386E">
        <w:rPr>
          <w:rFonts w:asciiTheme="majorHAnsi" w:hAnsiTheme="majorHAnsi"/>
          <w:b/>
          <w:color w:val="auto"/>
          <w:sz w:val="22"/>
          <w:szCs w:val="22"/>
        </w:rPr>
        <w:t xml:space="preserve"> </w:t>
      </w:r>
      <w:r w:rsidR="00A90F99">
        <w:rPr>
          <w:rFonts w:asciiTheme="majorHAnsi" w:hAnsiTheme="majorHAnsi"/>
          <w:b/>
          <w:color w:val="auto"/>
          <w:sz w:val="22"/>
          <w:szCs w:val="22"/>
        </w:rPr>
        <w:t>5-8</w:t>
      </w:r>
      <w:r w:rsidR="00FA386E">
        <w:rPr>
          <w:rFonts w:asciiTheme="majorHAnsi" w:hAnsiTheme="majorHAnsi"/>
          <w:color w:val="auto"/>
          <w:sz w:val="22"/>
          <w:szCs w:val="22"/>
        </w:rPr>
        <w:t xml:space="preserve">) </w:t>
      </w:r>
      <w:r w:rsidR="001D36A8">
        <w:rPr>
          <w:rFonts w:asciiTheme="majorHAnsi" w:hAnsiTheme="majorHAnsi"/>
          <w:color w:val="auto"/>
          <w:sz w:val="22"/>
          <w:szCs w:val="22"/>
        </w:rPr>
        <w:t>were</w:t>
      </w:r>
      <w:r w:rsidRPr="00393524">
        <w:rPr>
          <w:rFonts w:asciiTheme="majorHAnsi" w:hAnsiTheme="majorHAnsi"/>
          <w:color w:val="auto"/>
          <w:sz w:val="22"/>
          <w:szCs w:val="22"/>
        </w:rPr>
        <w:t xml:space="preserve"> derived using questionnaires from previous data collections (</w:t>
      </w:r>
      <w:r w:rsidR="00BA1257">
        <w:rPr>
          <w:rFonts w:asciiTheme="majorHAnsi" w:hAnsiTheme="majorHAnsi"/>
          <w:color w:val="auto"/>
          <w:sz w:val="22"/>
          <w:szCs w:val="22"/>
        </w:rPr>
        <w:t>e.g., Harmful Algal Blooms, hand sanitizers, bleachers and cleaners</w:t>
      </w:r>
      <w:r w:rsidRPr="00393524">
        <w:rPr>
          <w:rFonts w:asciiTheme="majorHAnsi" w:hAnsiTheme="majorHAnsi"/>
          <w:color w:val="auto"/>
          <w:sz w:val="22"/>
          <w:szCs w:val="22"/>
        </w:rPr>
        <w:t xml:space="preserve">) </w:t>
      </w:r>
      <w:r w:rsidR="00FA386E">
        <w:rPr>
          <w:rFonts w:asciiTheme="majorHAnsi" w:hAnsiTheme="majorHAnsi"/>
          <w:color w:val="auto"/>
          <w:sz w:val="22"/>
          <w:szCs w:val="22"/>
        </w:rPr>
        <w:t>for which</w:t>
      </w:r>
      <w:r w:rsidRPr="00393524" w:rsidR="00004390">
        <w:rPr>
          <w:rFonts w:asciiTheme="majorHAnsi" w:hAnsiTheme="majorHAnsi"/>
          <w:color w:val="auto"/>
          <w:sz w:val="22"/>
          <w:szCs w:val="22"/>
        </w:rPr>
        <w:t xml:space="preserve"> CDC collaborated with </w:t>
      </w:r>
      <w:r w:rsidRPr="00393524" w:rsidR="000F4B53">
        <w:rPr>
          <w:rFonts w:asciiTheme="majorHAnsi" w:hAnsiTheme="majorHAnsi"/>
          <w:color w:val="auto"/>
          <w:sz w:val="22"/>
          <w:szCs w:val="22"/>
        </w:rPr>
        <w:t>poison centers</w:t>
      </w:r>
      <w:r w:rsidRPr="00393524" w:rsidR="00004390">
        <w:rPr>
          <w:rFonts w:asciiTheme="majorHAnsi" w:hAnsiTheme="majorHAnsi"/>
          <w:color w:val="auto"/>
          <w:sz w:val="22"/>
          <w:szCs w:val="22"/>
        </w:rPr>
        <w:t>.</w:t>
      </w:r>
      <w:r w:rsidRPr="00393524" w:rsidR="00995B15">
        <w:rPr>
          <w:rFonts w:asciiTheme="majorHAnsi" w:hAnsiTheme="majorHAnsi"/>
          <w:color w:val="auto"/>
          <w:sz w:val="22"/>
          <w:szCs w:val="22"/>
        </w:rPr>
        <w:t xml:space="preserve"> </w:t>
      </w:r>
      <w:r w:rsidRPr="00393524" w:rsidR="007C478E">
        <w:rPr>
          <w:rFonts w:asciiTheme="majorHAnsi" w:hAnsiTheme="majorHAnsi"/>
          <w:color w:val="auto"/>
          <w:sz w:val="22"/>
          <w:szCs w:val="22"/>
        </w:rPr>
        <w:t xml:space="preserve">For </w:t>
      </w:r>
      <w:r w:rsidRPr="00393524" w:rsidR="00995B15">
        <w:rPr>
          <w:rFonts w:asciiTheme="majorHAnsi" w:hAnsiTheme="majorHAnsi"/>
          <w:color w:val="auto"/>
          <w:sz w:val="22"/>
          <w:szCs w:val="22"/>
        </w:rPr>
        <w:t xml:space="preserve">these previous data collections, basic descriptive statistics were used to analyze the data. </w:t>
      </w:r>
    </w:p>
    <w:p w:rsidR="0008501F" w:rsidRPr="00393524" w:rsidP="000327E5" w14:paraId="63EE7758" w14:textId="77777777">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p>
    <w:p w:rsidR="00726F78" w:rsidRPr="00393524" w:rsidP="000327E5" w14:paraId="4E6549E7" w14:textId="433FBD5B">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r w:rsidRPr="00393524">
        <w:rPr>
          <w:rFonts w:asciiTheme="majorHAnsi" w:hAnsiTheme="majorHAnsi"/>
          <w:color w:val="auto"/>
          <w:sz w:val="22"/>
          <w:szCs w:val="22"/>
        </w:rPr>
        <w:t xml:space="preserve">The questionnaires were reviewed by other CDC staff as well as representatives from </w:t>
      </w:r>
      <w:r w:rsidR="00BA1257">
        <w:rPr>
          <w:rFonts w:asciiTheme="majorHAnsi" w:hAnsiTheme="majorHAnsi"/>
          <w:color w:val="auto"/>
          <w:sz w:val="22"/>
          <w:szCs w:val="22"/>
        </w:rPr>
        <w:t xml:space="preserve">America’s Poison Centers and </w:t>
      </w:r>
      <w:r w:rsidRPr="00393524">
        <w:rPr>
          <w:rFonts w:asciiTheme="majorHAnsi" w:hAnsiTheme="majorHAnsi"/>
          <w:color w:val="auto"/>
          <w:sz w:val="22"/>
          <w:szCs w:val="22"/>
        </w:rPr>
        <w:t xml:space="preserve">local </w:t>
      </w:r>
      <w:r w:rsidRPr="00393524" w:rsidR="000F4B53">
        <w:rPr>
          <w:rFonts w:asciiTheme="majorHAnsi" w:hAnsiTheme="majorHAnsi"/>
          <w:color w:val="auto"/>
          <w:sz w:val="22"/>
          <w:szCs w:val="22"/>
        </w:rPr>
        <w:t>poison centers</w:t>
      </w:r>
      <w:r w:rsidRPr="00393524">
        <w:rPr>
          <w:rFonts w:asciiTheme="majorHAnsi" w:hAnsiTheme="majorHAnsi"/>
          <w:color w:val="auto"/>
          <w:sz w:val="22"/>
          <w:szCs w:val="22"/>
        </w:rPr>
        <w:t>.</w:t>
      </w:r>
    </w:p>
    <w:p w:rsidR="00B45944" w:rsidRPr="00393524" w:rsidP="000327E5" w14:paraId="7883B143" w14:textId="77777777">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p>
    <w:p w:rsidR="00B45944" w:rsidRPr="00393524" w:rsidP="000327E5" w14:paraId="6F345298" w14:textId="160C394C">
      <w:pPr>
        <w:pStyle w:val="Body1"/>
        <w:tabs>
          <w:tab w:val="left" w:pos="720"/>
          <w:tab w:val="left" w:pos="1440"/>
          <w:tab w:val="left" w:pos="2160"/>
          <w:tab w:val="left" w:pos="2880"/>
        </w:tabs>
        <w:spacing w:line="276" w:lineRule="auto"/>
        <w:outlineLvl w:val="9"/>
        <w:rPr>
          <w:rFonts w:asciiTheme="majorHAnsi" w:hAnsiTheme="majorHAnsi"/>
          <w:color w:val="auto"/>
          <w:sz w:val="22"/>
          <w:szCs w:val="22"/>
        </w:rPr>
      </w:pPr>
      <w:r w:rsidRPr="00393524">
        <w:rPr>
          <w:rFonts w:asciiTheme="majorHAnsi" w:hAnsiTheme="majorHAnsi"/>
          <w:color w:val="auto"/>
          <w:sz w:val="22"/>
          <w:szCs w:val="22"/>
        </w:rPr>
        <w:t xml:space="preserve">Limitations to data collection are that all reported exposures and </w:t>
      </w:r>
      <w:r w:rsidRPr="00393524" w:rsidR="00361904">
        <w:rPr>
          <w:rFonts w:asciiTheme="majorHAnsi" w:hAnsiTheme="majorHAnsi"/>
          <w:color w:val="auto"/>
          <w:sz w:val="22"/>
          <w:szCs w:val="22"/>
        </w:rPr>
        <w:t xml:space="preserve">questionnaire </w:t>
      </w:r>
      <w:r w:rsidRPr="00393524">
        <w:rPr>
          <w:rFonts w:asciiTheme="majorHAnsi" w:hAnsiTheme="majorHAnsi"/>
          <w:color w:val="auto"/>
          <w:sz w:val="22"/>
          <w:szCs w:val="22"/>
        </w:rPr>
        <w:t>responses are self-report</w:t>
      </w:r>
      <w:r w:rsidR="00415D14">
        <w:rPr>
          <w:rFonts w:asciiTheme="majorHAnsi" w:hAnsiTheme="majorHAnsi"/>
          <w:color w:val="auto"/>
          <w:sz w:val="22"/>
          <w:szCs w:val="22"/>
        </w:rPr>
        <w:t>ed</w:t>
      </w:r>
      <w:r w:rsidRPr="00393524">
        <w:rPr>
          <w:rFonts w:asciiTheme="majorHAnsi" w:hAnsiTheme="majorHAnsi"/>
          <w:color w:val="auto"/>
          <w:sz w:val="22"/>
          <w:szCs w:val="22"/>
        </w:rPr>
        <w:t xml:space="preserve">, so there is no confirmation of exposure or response information. Not all exposures are reported to poison </w:t>
      </w:r>
      <w:r w:rsidRPr="00393524" w:rsidR="0037059E">
        <w:rPr>
          <w:rFonts w:asciiTheme="majorHAnsi" w:hAnsiTheme="majorHAnsi"/>
          <w:color w:val="auto"/>
          <w:sz w:val="22"/>
          <w:szCs w:val="22"/>
        </w:rPr>
        <w:t>centers,</w:t>
      </w:r>
      <w:r w:rsidRPr="00393524">
        <w:rPr>
          <w:rFonts w:asciiTheme="majorHAnsi" w:hAnsiTheme="majorHAnsi"/>
          <w:color w:val="auto"/>
          <w:sz w:val="22"/>
          <w:szCs w:val="22"/>
        </w:rPr>
        <w:t xml:space="preserve"> so the information collection lacks </w:t>
      </w:r>
      <w:r w:rsidRPr="00957230" w:rsidR="009F7622">
        <w:rPr>
          <w:rFonts w:asciiTheme="majorHAnsi" w:hAnsiTheme="majorHAnsi"/>
          <w:color w:val="auto"/>
          <w:sz w:val="22"/>
          <w:szCs w:val="22"/>
        </w:rPr>
        <w:t>representativeness</w:t>
      </w:r>
      <w:r w:rsidRPr="00957230">
        <w:rPr>
          <w:rFonts w:asciiTheme="majorHAnsi" w:hAnsiTheme="majorHAnsi"/>
          <w:color w:val="auto"/>
          <w:sz w:val="22"/>
          <w:szCs w:val="22"/>
        </w:rPr>
        <w:t>.</w:t>
      </w:r>
      <w:r w:rsidRPr="00393524">
        <w:rPr>
          <w:rFonts w:asciiTheme="majorHAnsi" w:hAnsiTheme="majorHAnsi"/>
          <w:color w:val="auto"/>
          <w:sz w:val="22"/>
          <w:szCs w:val="22"/>
        </w:rPr>
        <w:t xml:space="preserve"> Conclusions drawn from aggregate data may not be representative of individuals within the affected area. </w:t>
      </w:r>
    </w:p>
    <w:p w:rsidR="00A77B21" w:rsidRPr="007C478E" w:rsidP="00726F78" w14:paraId="1ED10214" w14:textId="77777777">
      <w:pPr>
        <w:pStyle w:val="Body1"/>
        <w:tabs>
          <w:tab w:val="left" w:pos="720"/>
          <w:tab w:val="left" w:pos="1440"/>
          <w:tab w:val="left" w:pos="2160"/>
          <w:tab w:val="left" w:pos="2880"/>
        </w:tabs>
        <w:rPr>
          <w:rFonts w:asciiTheme="majorHAnsi" w:hAnsiTheme="majorHAnsi"/>
          <w:b/>
          <w:color w:val="auto"/>
          <w:szCs w:val="24"/>
        </w:rPr>
      </w:pPr>
    </w:p>
    <w:p w:rsidR="001A78D5" w:rsidRPr="007C478E" w:rsidP="002333EB" w14:paraId="534986F7" w14:textId="77777777">
      <w:pPr>
        <w:pStyle w:val="Body1"/>
        <w:tabs>
          <w:tab w:val="left" w:pos="90"/>
          <w:tab w:val="left" w:pos="1440"/>
        </w:tabs>
        <w:ind w:left="274" w:hanging="274"/>
        <w:rPr>
          <w:rFonts w:asciiTheme="majorHAnsi" w:hAnsiTheme="majorHAnsi"/>
          <w:color w:val="auto"/>
          <w:sz w:val="36"/>
          <w:szCs w:val="24"/>
        </w:rPr>
      </w:pPr>
      <w:bookmarkStart w:id="14" w:name="_Toc452631063"/>
      <w:bookmarkStart w:id="15" w:name="_Toc446686375"/>
      <w:r w:rsidRPr="007C478E">
        <w:rPr>
          <w:rFonts w:asciiTheme="majorHAnsi" w:hAnsiTheme="majorHAnsi"/>
          <w:color w:val="auto"/>
          <w:sz w:val="36"/>
          <w:szCs w:val="24"/>
        </w:rPr>
        <w:t>B.5. Individuals Consulted on Statistical Aspects and Individuals Collecting and/or Analyzing Data</w:t>
      </w:r>
      <w:bookmarkEnd w:id="14"/>
      <w:bookmarkEnd w:id="15"/>
    </w:p>
    <w:p w:rsidR="00726F78" w:rsidRPr="007C478E" w:rsidP="00726F78" w14:paraId="46CB996E" w14:textId="77777777">
      <w:pPr>
        <w:pStyle w:val="Body1"/>
        <w:tabs>
          <w:tab w:val="left" w:pos="90"/>
          <w:tab w:val="left" w:pos="1440"/>
        </w:tabs>
        <w:ind w:left="274" w:hanging="274"/>
        <w:rPr>
          <w:rFonts w:asciiTheme="majorHAnsi" w:hAnsiTheme="majorHAnsi"/>
          <w:b/>
          <w:bCs/>
          <w:color w:val="auto"/>
          <w:szCs w:val="24"/>
        </w:rPr>
      </w:pPr>
    </w:p>
    <w:p w:rsidR="002E2A98" w:rsidRPr="00393524" w:rsidP="000327E5" w14:paraId="0BC9F9CA" w14:textId="6734D390">
      <w:pPr>
        <w:pStyle w:val="BodyTextIndent3"/>
        <w:tabs>
          <w:tab w:val="num" w:pos="1440"/>
          <w:tab w:val="clear" w:pos="1800"/>
        </w:tabs>
        <w:spacing w:after="200" w:line="276" w:lineRule="auto"/>
        <w:ind w:left="0"/>
        <w:rPr>
          <w:rFonts w:asciiTheme="majorHAnsi" w:hAnsiTheme="majorHAnsi"/>
          <w:sz w:val="22"/>
          <w:szCs w:val="22"/>
        </w:rPr>
      </w:pPr>
      <w:r w:rsidRPr="00393524">
        <w:rPr>
          <w:rFonts w:asciiTheme="majorHAnsi" w:hAnsiTheme="majorHAnsi"/>
          <w:sz w:val="22"/>
          <w:szCs w:val="22"/>
        </w:rPr>
        <w:t xml:space="preserve">The </w:t>
      </w:r>
      <w:r w:rsidRPr="00393524" w:rsidR="00AF34B4">
        <w:rPr>
          <w:rFonts w:asciiTheme="majorHAnsi" w:hAnsiTheme="majorHAnsi"/>
          <w:sz w:val="22"/>
          <w:szCs w:val="22"/>
        </w:rPr>
        <w:t xml:space="preserve">CDC </w:t>
      </w:r>
      <w:r w:rsidRPr="00393524">
        <w:rPr>
          <w:rFonts w:asciiTheme="majorHAnsi" w:hAnsiTheme="majorHAnsi"/>
          <w:sz w:val="22"/>
          <w:szCs w:val="22"/>
        </w:rPr>
        <w:t>investigators</w:t>
      </w:r>
      <w:r w:rsidRPr="00393524" w:rsidR="003D75F2">
        <w:rPr>
          <w:rFonts w:asciiTheme="majorHAnsi" w:hAnsiTheme="majorHAnsi"/>
          <w:sz w:val="22"/>
          <w:szCs w:val="22"/>
        </w:rPr>
        <w:t xml:space="preserve"> </w:t>
      </w:r>
      <w:r w:rsidRPr="00393524" w:rsidR="00AF34B4">
        <w:rPr>
          <w:rFonts w:asciiTheme="majorHAnsi" w:hAnsiTheme="majorHAnsi"/>
          <w:sz w:val="22"/>
          <w:szCs w:val="22"/>
        </w:rPr>
        <w:t>guiding</w:t>
      </w:r>
      <w:r w:rsidRPr="00393524" w:rsidR="003D75F2">
        <w:rPr>
          <w:rFonts w:asciiTheme="majorHAnsi" w:hAnsiTheme="majorHAnsi"/>
          <w:sz w:val="22"/>
          <w:szCs w:val="22"/>
        </w:rPr>
        <w:t xml:space="preserve"> the </w:t>
      </w:r>
      <w:r w:rsidRPr="00393524" w:rsidR="000F4B53">
        <w:rPr>
          <w:rFonts w:asciiTheme="majorHAnsi" w:hAnsiTheme="majorHAnsi"/>
          <w:sz w:val="22"/>
          <w:szCs w:val="22"/>
        </w:rPr>
        <w:t xml:space="preserve">poison center </w:t>
      </w:r>
      <w:r w:rsidRPr="00393524" w:rsidR="00A77B21">
        <w:rPr>
          <w:rFonts w:asciiTheme="majorHAnsi" w:hAnsiTheme="majorHAnsi"/>
          <w:sz w:val="22"/>
          <w:szCs w:val="22"/>
        </w:rPr>
        <w:t>data collection</w:t>
      </w:r>
      <w:r w:rsidRPr="00393524" w:rsidR="003D75F2">
        <w:rPr>
          <w:rFonts w:asciiTheme="majorHAnsi" w:hAnsiTheme="majorHAnsi"/>
          <w:sz w:val="22"/>
          <w:szCs w:val="22"/>
        </w:rPr>
        <w:t xml:space="preserve"> and analyzing the data</w:t>
      </w:r>
      <w:r w:rsidRPr="00393524">
        <w:rPr>
          <w:rFonts w:asciiTheme="majorHAnsi" w:hAnsiTheme="majorHAnsi"/>
          <w:sz w:val="22"/>
          <w:szCs w:val="22"/>
        </w:rPr>
        <w:t xml:space="preserve"> </w:t>
      </w:r>
      <w:r w:rsidRPr="00393524" w:rsidR="00042795">
        <w:rPr>
          <w:rFonts w:asciiTheme="majorHAnsi" w:hAnsiTheme="majorHAnsi"/>
          <w:sz w:val="22"/>
          <w:szCs w:val="22"/>
        </w:rPr>
        <w:t>will be</w:t>
      </w:r>
      <w:r w:rsidRPr="00393524">
        <w:rPr>
          <w:rFonts w:asciiTheme="majorHAnsi" w:hAnsiTheme="majorHAnsi"/>
          <w:sz w:val="22"/>
          <w:szCs w:val="22"/>
        </w:rPr>
        <w:t xml:space="preserve"> trained in epidemi</w:t>
      </w:r>
      <w:r w:rsidRPr="00393524" w:rsidR="00BA0517">
        <w:rPr>
          <w:rFonts w:asciiTheme="majorHAnsi" w:hAnsiTheme="majorHAnsi"/>
          <w:sz w:val="22"/>
          <w:szCs w:val="22"/>
        </w:rPr>
        <w:t xml:space="preserve">ology. </w:t>
      </w:r>
      <w:r w:rsidRPr="00393524" w:rsidR="00AF34B4">
        <w:rPr>
          <w:rFonts w:asciiTheme="majorHAnsi" w:hAnsiTheme="majorHAnsi"/>
          <w:sz w:val="22"/>
          <w:szCs w:val="22"/>
        </w:rPr>
        <w:t>CDC i</w:t>
      </w:r>
      <w:r w:rsidRPr="00393524">
        <w:rPr>
          <w:rFonts w:asciiTheme="majorHAnsi" w:hAnsiTheme="majorHAnsi"/>
          <w:sz w:val="22"/>
          <w:szCs w:val="22"/>
        </w:rPr>
        <w:t xml:space="preserve">nvestigators </w:t>
      </w:r>
      <w:r w:rsidRPr="00393524" w:rsidR="00042795">
        <w:rPr>
          <w:rFonts w:asciiTheme="majorHAnsi" w:hAnsiTheme="majorHAnsi"/>
          <w:sz w:val="22"/>
          <w:szCs w:val="22"/>
        </w:rPr>
        <w:t xml:space="preserve">will </w:t>
      </w:r>
      <w:r w:rsidRPr="00393524">
        <w:rPr>
          <w:rFonts w:asciiTheme="majorHAnsi" w:hAnsiTheme="majorHAnsi"/>
          <w:sz w:val="22"/>
          <w:szCs w:val="22"/>
        </w:rPr>
        <w:t xml:space="preserve">collaborate extensively with </w:t>
      </w:r>
      <w:r w:rsidRPr="00393524" w:rsidR="00A77B21">
        <w:rPr>
          <w:rFonts w:asciiTheme="majorHAnsi" w:hAnsiTheme="majorHAnsi"/>
          <w:sz w:val="22"/>
          <w:szCs w:val="22"/>
        </w:rPr>
        <w:t>poison center staff</w:t>
      </w:r>
      <w:r w:rsidRPr="00393524" w:rsidR="00BB20CE">
        <w:rPr>
          <w:rFonts w:asciiTheme="majorHAnsi" w:hAnsiTheme="majorHAnsi"/>
          <w:sz w:val="22"/>
          <w:szCs w:val="22"/>
        </w:rPr>
        <w:t xml:space="preserve"> throughout the process of data collection</w:t>
      </w:r>
      <w:r w:rsidRPr="00393524" w:rsidR="00AF34B4">
        <w:rPr>
          <w:rFonts w:asciiTheme="majorHAnsi" w:hAnsiTheme="majorHAnsi"/>
          <w:sz w:val="22"/>
          <w:szCs w:val="22"/>
        </w:rPr>
        <w:t xml:space="preserve">. While CDC staff will </w:t>
      </w:r>
      <w:r w:rsidRPr="00393524" w:rsidR="007F7265">
        <w:rPr>
          <w:rFonts w:asciiTheme="majorHAnsi" w:hAnsiTheme="majorHAnsi"/>
          <w:sz w:val="22"/>
          <w:szCs w:val="22"/>
        </w:rPr>
        <w:t>supervise</w:t>
      </w:r>
      <w:r w:rsidRPr="00393524" w:rsidR="00AF34B4">
        <w:rPr>
          <w:rFonts w:asciiTheme="majorHAnsi" w:hAnsiTheme="majorHAnsi"/>
          <w:sz w:val="22"/>
          <w:szCs w:val="22"/>
        </w:rPr>
        <w:t xml:space="preserve"> the investigation,</w:t>
      </w:r>
      <w:r w:rsidRPr="00393524" w:rsidR="007A1F3D">
        <w:rPr>
          <w:rFonts w:asciiTheme="majorHAnsi" w:hAnsiTheme="majorHAnsi"/>
          <w:sz w:val="22"/>
          <w:szCs w:val="22"/>
        </w:rPr>
        <w:t xml:space="preserve"> only poison center staff will </w:t>
      </w:r>
      <w:r w:rsidRPr="00393524" w:rsidR="00BD49C2">
        <w:rPr>
          <w:rFonts w:asciiTheme="majorHAnsi" w:hAnsiTheme="majorHAnsi"/>
          <w:sz w:val="22"/>
          <w:szCs w:val="22"/>
        </w:rPr>
        <w:t>collect</w:t>
      </w:r>
      <w:r w:rsidRPr="00393524" w:rsidR="007A1F3D">
        <w:rPr>
          <w:rFonts w:asciiTheme="majorHAnsi" w:hAnsiTheme="majorHAnsi"/>
          <w:sz w:val="22"/>
          <w:szCs w:val="22"/>
        </w:rPr>
        <w:t xml:space="preserve"> data</w:t>
      </w:r>
      <w:r w:rsidRPr="00393524" w:rsidR="00BA0517">
        <w:rPr>
          <w:rFonts w:asciiTheme="majorHAnsi" w:hAnsiTheme="majorHAnsi"/>
          <w:sz w:val="22"/>
          <w:szCs w:val="22"/>
        </w:rPr>
        <w:t xml:space="preserve">. </w:t>
      </w:r>
    </w:p>
    <w:p w:rsidR="00745762" w:rsidRPr="00393524" w:rsidP="000327E5" w14:paraId="5E807247" w14:textId="77777777">
      <w:pPr>
        <w:spacing w:line="276" w:lineRule="auto"/>
        <w:rPr>
          <w:rFonts w:asciiTheme="majorHAnsi" w:hAnsiTheme="majorHAnsi" w:cs="Times New Roman"/>
        </w:rPr>
      </w:pPr>
      <w:r w:rsidRPr="00393524">
        <w:rPr>
          <w:rFonts w:asciiTheme="majorHAnsi" w:hAnsiTheme="majorHAnsi" w:cs="Times New Roman"/>
        </w:rPr>
        <w:t xml:space="preserve">The following CDC staff will be involved in </w:t>
      </w:r>
      <w:r w:rsidRPr="00393524" w:rsidR="00004390">
        <w:rPr>
          <w:rFonts w:asciiTheme="majorHAnsi" w:hAnsiTheme="majorHAnsi" w:cs="Times New Roman"/>
        </w:rPr>
        <w:t>consultation of statistical design and responsible for collection and data analysis.</w:t>
      </w:r>
    </w:p>
    <w:p w:rsidR="00004390" w:rsidRPr="009F7622" w:rsidP="00745762" w14:paraId="00ACFAF8" w14:textId="3D9CBD4E">
      <w:pPr>
        <w:spacing w:line="240" w:lineRule="auto"/>
        <w:rPr>
          <w:rFonts w:asciiTheme="majorHAnsi" w:hAnsiTheme="majorHAnsi"/>
          <w:b/>
        </w:rPr>
      </w:pPr>
      <w:r w:rsidRPr="009F7622">
        <w:rPr>
          <w:rFonts w:asciiTheme="majorHAnsi" w:hAnsiTheme="majorHAnsi"/>
          <w:b/>
        </w:rPr>
        <w:t xml:space="preserve">Table </w:t>
      </w:r>
      <w:r w:rsidR="00E2567A">
        <w:rPr>
          <w:rFonts w:asciiTheme="majorHAnsi" w:hAnsiTheme="majorHAnsi"/>
          <w:b/>
        </w:rPr>
        <w:t>B</w:t>
      </w:r>
      <w:r w:rsidRPr="00395CF4" w:rsidR="00C07002">
        <w:rPr>
          <w:rFonts w:asciiTheme="majorHAnsi" w:hAnsiTheme="majorHAnsi" w:cs="Times New Roman"/>
          <w:b/>
        </w:rPr>
        <w:t>5-</w:t>
      </w:r>
      <w:r w:rsidRPr="009F7622">
        <w:rPr>
          <w:rFonts w:asciiTheme="majorHAnsi" w:hAnsiTheme="majorHAnsi"/>
          <w:b/>
        </w:rPr>
        <w:t>1. Personnel consulted on statistical design and data analysis</w:t>
      </w:r>
    </w:p>
    <w:tbl>
      <w:tblPr>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1710"/>
        <w:gridCol w:w="1530"/>
      </w:tblGrid>
      <w:tr w14:paraId="6D4075F9" w14:textId="77777777" w:rsidTr="008C3979">
        <w:tblPrEx>
          <w:tblW w:w="6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150" w:type="dxa"/>
            <w:tcBorders>
              <w:top w:val="single" w:sz="8" w:space="0" w:color="auto"/>
              <w:left w:val="nil"/>
              <w:bottom w:val="single" w:sz="8" w:space="0" w:color="auto"/>
              <w:right w:val="nil"/>
            </w:tcBorders>
          </w:tcPr>
          <w:p w:rsidR="008C3979" w:rsidRPr="00393524" w:rsidP="00A9759D" w14:paraId="0724A229" w14:textId="77777777">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Name</w:t>
            </w:r>
          </w:p>
        </w:tc>
        <w:tc>
          <w:tcPr>
            <w:tcW w:w="1710" w:type="dxa"/>
            <w:tcBorders>
              <w:top w:val="single" w:sz="8" w:space="0" w:color="auto"/>
              <w:left w:val="nil"/>
              <w:bottom w:val="single" w:sz="8" w:space="0" w:color="auto"/>
              <w:right w:val="nil"/>
            </w:tcBorders>
          </w:tcPr>
          <w:p w:rsidR="008C3979" w:rsidRPr="00393524" w:rsidP="00A9759D" w14:paraId="236DBCDD" w14:textId="77777777">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Title</w:t>
            </w:r>
          </w:p>
        </w:tc>
        <w:tc>
          <w:tcPr>
            <w:tcW w:w="1530" w:type="dxa"/>
            <w:tcBorders>
              <w:top w:val="single" w:sz="8" w:space="0" w:color="auto"/>
              <w:left w:val="nil"/>
              <w:bottom w:val="single" w:sz="8" w:space="0" w:color="auto"/>
              <w:right w:val="nil"/>
            </w:tcBorders>
          </w:tcPr>
          <w:p w:rsidR="008C3979" w:rsidRPr="00393524" w:rsidP="00A9759D" w14:paraId="43F33194" w14:textId="77777777">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Affiliation</w:t>
            </w:r>
          </w:p>
        </w:tc>
      </w:tr>
      <w:tr w14:paraId="15213061" w14:textId="77777777" w:rsidTr="008C3979">
        <w:tblPrEx>
          <w:tblW w:w="6390" w:type="dxa"/>
          <w:tblLayout w:type="fixed"/>
          <w:tblLook w:val="04A0"/>
        </w:tblPrEx>
        <w:tc>
          <w:tcPr>
            <w:tcW w:w="3150" w:type="dxa"/>
            <w:tcBorders>
              <w:top w:val="single" w:sz="8" w:space="0" w:color="auto"/>
              <w:left w:val="nil"/>
              <w:bottom w:val="single" w:sz="8" w:space="0" w:color="auto"/>
              <w:right w:val="nil"/>
            </w:tcBorders>
            <w:vAlign w:val="center"/>
          </w:tcPr>
          <w:p w:rsidR="008C3979" w:rsidRPr="00393524" w:rsidP="00A9759D" w14:paraId="5F4F54D3" w14:textId="039C0838">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Amy Helene Schnall, DrPH</w:t>
            </w:r>
          </w:p>
        </w:tc>
        <w:tc>
          <w:tcPr>
            <w:tcW w:w="1710" w:type="dxa"/>
            <w:tcBorders>
              <w:top w:val="single" w:sz="8" w:space="0" w:color="auto"/>
              <w:left w:val="nil"/>
              <w:bottom w:val="single" w:sz="8" w:space="0" w:color="auto"/>
              <w:right w:val="nil"/>
            </w:tcBorders>
            <w:vAlign w:val="center"/>
          </w:tcPr>
          <w:p w:rsidR="008C3979" w:rsidRPr="00393524" w:rsidP="00A9759D" w14:paraId="01761705" w14:textId="273C3BE8">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Epidemiologist</w:t>
            </w:r>
          </w:p>
        </w:tc>
        <w:tc>
          <w:tcPr>
            <w:tcW w:w="1530" w:type="dxa"/>
            <w:tcBorders>
              <w:top w:val="single" w:sz="8" w:space="0" w:color="auto"/>
              <w:left w:val="nil"/>
              <w:bottom w:val="single" w:sz="8" w:space="0" w:color="auto"/>
              <w:right w:val="nil"/>
            </w:tcBorders>
            <w:vAlign w:val="center"/>
          </w:tcPr>
          <w:p w:rsidR="008C3979" w:rsidRPr="00393524" w:rsidP="00A9759D" w14:paraId="2A5DD1AA" w14:textId="77777777">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r>
      <w:tr w14:paraId="25F51877" w14:textId="77777777" w:rsidTr="008C3979">
        <w:tblPrEx>
          <w:tblW w:w="6390" w:type="dxa"/>
          <w:tblLayout w:type="fixed"/>
          <w:tblLook w:val="04A0"/>
        </w:tblPrEx>
        <w:tc>
          <w:tcPr>
            <w:tcW w:w="3150" w:type="dxa"/>
            <w:tcBorders>
              <w:top w:val="single" w:sz="8" w:space="0" w:color="auto"/>
              <w:left w:val="nil"/>
              <w:bottom w:val="single" w:sz="8" w:space="0" w:color="auto"/>
              <w:right w:val="nil"/>
            </w:tcBorders>
            <w:vAlign w:val="center"/>
          </w:tcPr>
          <w:p w:rsidR="008C3979" w:rsidRPr="00393524" w:rsidP="009F7622" w14:paraId="3549B0B0" w14:textId="63EA2EE3">
            <w:pPr>
              <w:autoSpaceDE w:val="0"/>
              <w:autoSpaceDN w:val="0"/>
              <w:adjustRightInd w:val="0"/>
              <w:spacing w:after="0" w:line="240" w:lineRule="auto"/>
              <w:rPr>
                <w:rFonts w:asciiTheme="majorHAnsi" w:hAnsiTheme="majorHAnsi" w:cstheme="minorHAnsi"/>
              </w:rPr>
            </w:pPr>
            <w:r>
              <w:rPr>
                <w:rFonts w:asciiTheme="majorHAnsi" w:hAnsiTheme="majorHAnsi" w:cstheme="minorHAnsi"/>
              </w:rPr>
              <w:t>Arianna Hanchey, MPH</w:t>
            </w:r>
          </w:p>
        </w:tc>
        <w:tc>
          <w:tcPr>
            <w:tcW w:w="1710" w:type="dxa"/>
            <w:tcBorders>
              <w:top w:val="single" w:sz="8" w:space="0" w:color="auto"/>
              <w:left w:val="nil"/>
              <w:bottom w:val="single" w:sz="8" w:space="0" w:color="auto"/>
              <w:right w:val="nil"/>
            </w:tcBorders>
            <w:vAlign w:val="center"/>
          </w:tcPr>
          <w:p w:rsidR="008C3979" w:rsidRPr="00393524" w:rsidP="00A9759D" w14:paraId="670C134C" w14:textId="3F1902CF">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Health Scientist</w:t>
            </w:r>
          </w:p>
        </w:tc>
        <w:tc>
          <w:tcPr>
            <w:tcW w:w="1530" w:type="dxa"/>
            <w:tcBorders>
              <w:top w:val="single" w:sz="8" w:space="0" w:color="auto"/>
              <w:left w:val="nil"/>
              <w:bottom w:val="single" w:sz="8" w:space="0" w:color="auto"/>
              <w:right w:val="nil"/>
            </w:tcBorders>
            <w:vAlign w:val="center"/>
          </w:tcPr>
          <w:p w:rsidR="008C3979" w:rsidRPr="00393524" w:rsidP="00A9759D" w14:paraId="554D2FC3" w14:textId="77777777">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r>
    </w:tbl>
    <w:p w:rsidR="0008501F" w:rsidRPr="00393524" w:rsidP="00004390" w14:paraId="0B71E6EF" w14:textId="77777777">
      <w:pPr>
        <w:spacing w:after="0" w:line="240" w:lineRule="auto"/>
        <w:rPr>
          <w:rFonts w:asciiTheme="majorHAnsi" w:hAnsiTheme="majorHAnsi" w:cs="Times New Roman"/>
        </w:rPr>
      </w:pPr>
    </w:p>
    <w:p w:rsidR="00004390" w:rsidRPr="009F7622" w:rsidP="003B7BFF" w14:paraId="2BB527E2" w14:textId="784A857B">
      <w:pPr>
        <w:spacing w:line="240" w:lineRule="auto"/>
        <w:rPr>
          <w:rFonts w:asciiTheme="majorHAnsi" w:hAnsiTheme="majorHAnsi"/>
          <w:b/>
        </w:rPr>
      </w:pPr>
      <w:r w:rsidRPr="009F7622">
        <w:rPr>
          <w:rFonts w:asciiTheme="majorHAnsi" w:hAnsiTheme="majorHAnsi"/>
          <w:b/>
        </w:rPr>
        <w:t xml:space="preserve">Table </w:t>
      </w:r>
      <w:r w:rsidRPr="00395CF4" w:rsidR="00C07002">
        <w:rPr>
          <w:rFonts w:asciiTheme="majorHAnsi" w:hAnsiTheme="majorHAnsi" w:cs="Times New Roman"/>
          <w:b/>
        </w:rPr>
        <w:t>5-</w:t>
      </w:r>
      <w:r w:rsidRPr="009F7622">
        <w:rPr>
          <w:rFonts w:asciiTheme="majorHAnsi" w:hAnsiTheme="majorHAnsi"/>
          <w:b/>
        </w:rPr>
        <w:t xml:space="preserve">2. Personnel responsible for collection and analysis of information </w:t>
      </w:r>
    </w:p>
    <w:tbl>
      <w:tblP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710"/>
        <w:gridCol w:w="1350"/>
      </w:tblGrid>
      <w:tr w14:paraId="64B98E3F" w14:textId="77777777" w:rsidTr="00D653AB">
        <w:tblPrEx>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790" w:type="dxa"/>
            <w:tcBorders>
              <w:top w:val="single" w:sz="8" w:space="0" w:color="auto"/>
              <w:left w:val="nil"/>
              <w:bottom w:val="single" w:sz="8" w:space="0" w:color="auto"/>
              <w:right w:val="nil"/>
            </w:tcBorders>
          </w:tcPr>
          <w:p w:rsidR="00D653AB" w:rsidRPr="00393524" w:rsidP="00A9759D" w14:paraId="5FC7C066" w14:textId="77777777">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Name</w:t>
            </w:r>
          </w:p>
        </w:tc>
        <w:tc>
          <w:tcPr>
            <w:tcW w:w="1710" w:type="dxa"/>
            <w:tcBorders>
              <w:top w:val="single" w:sz="8" w:space="0" w:color="auto"/>
              <w:left w:val="nil"/>
              <w:bottom w:val="single" w:sz="8" w:space="0" w:color="auto"/>
              <w:right w:val="nil"/>
            </w:tcBorders>
          </w:tcPr>
          <w:p w:rsidR="00D653AB" w:rsidRPr="00393524" w:rsidP="00A9759D" w14:paraId="0D2CE4D8" w14:textId="77777777">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Title</w:t>
            </w:r>
          </w:p>
        </w:tc>
        <w:tc>
          <w:tcPr>
            <w:tcW w:w="1350" w:type="dxa"/>
            <w:tcBorders>
              <w:top w:val="single" w:sz="8" w:space="0" w:color="auto"/>
              <w:left w:val="nil"/>
              <w:bottom w:val="single" w:sz="8" w:space="0" w:color="auto"/>
              <w:right w:val="nil"/>
            </w:tcBorders>
          </w:tcPr>
          <w:p w:rsidR="00D653AB" w:rsidRPr="00393524" w:rsidP="00A9759D" w14:paraId="0E53F981" w14:textId="77777777">
            <w:pPr>
              <w:autoSpaceDE w:val="0"/>
              <w:autoSpaceDN w:val="0"/>
              <w:adjustRightInd w:val="0"/>
              <w:spacing w:after="0" w:line="240" w:lineRule="auto"/>
              <w:jc w:val="both"/>
              <w:rPr>
                <w:rFonts w:asciiTheme="majorHAnsi" w:hAnsiTheme="majorHAnsi" w:cstheme="minorHAnsi"/>
                <w:b/>
              </w:rPr>
            </w:pPr>
            <w:r w:rsidRPr="00393524">
              <w:rPr>
                <w:rFonts w:asciiTheme="majorHAnsi" w:hAnsiTheme="majorHAnsi" w:cstheme="minorHAnsi"/>
                <w:b/>
              </w:rPr>
              <w:t>Affiliation</w:t>
            </w:r>
          </w:p>
        </w:tc>
      </w:tr>
      <w:tr w14:paraId="459AC3EC" w14:textId="77777777" w:rsidTr="00D653AB">
        <w:tblPrEx>
          <w:tblW w:w="5850" w:type="dxa"/>
          <w:tblLayout w:type="fixed"/>
          <w:tblLook w:val="04A0"/>
        </w:tblPrEx>
        <w:tc>
          <w:tcPr>
            <w:tcW w:w="2790" w:type="dxa"/>
            <w:tcBorders>
              <w:top w:val="single" w:sz="8" w:space="0" w:color="auto"/>
              <w:left w:val="nil"/>
              <w:bottom w:val="single" w:sz="8" w:space="0" w:color="auto"/>
              <w:right w:val="nil"/>
            </w:tcBorders>
            <w:vAlign w:val="center"/>
          </w:tcPr>
          <w:p w:rsidR="00D653AB" w:rsidRPr="00393524" w:rsidP="00A9759D" w14:paraId="3D92FA94" w14:textId="107E5324">
            <w:pPr>
              <w:autoSpaceDE w:val="0"/>
              <w:autoSpaceDN w:val="0"/>
              <w:adjustRightInd w:val="0"/>
              <w:spacing w:after="0" w:line="240" w:lineRule="auto"/>
              <w:rPr>
                <w:rFonts w:asciiTheme="majorHAnsi" w:hAnsiTheme="majorHAnsi" w:cstheme="minorHAnsi"/>
              </w:rPr>
            </w:pPr>
            <w:r>
              <w:rPr>
                <w:rFonts w:asciiTheme="majorHAnsi" w:hAnsiTheme="majorHAnsi" w:cstheme="minorHAnsi"/>
              </w:rPr>
              <w:t>Amy Helene Schnall, DrPH</w:t>
            </w:r>
          </w:p>
        </w:tc>
        <w:tc>
          <w:tcPr>
            <w:tcW w:w="1710" w:type="dxa"/>
            <w:tcBorders>
              <w:top w:val="single" w:sz="8" w:space="0" w:color="auto"/>
              <w:left w:val="nil"/>
              <w:bottom w:val="single" w:sz="8" w:space="0" w:color="auto"/>
              <w:right w:val="nil"/>
            </w:tcBorders>
            <w:vAlign w:val="center"/>
          </w:tcPr>
          <w:p w:rsidR="00D653AB" w:rsidRPr="00393524" w:rsidP="00A9759D" w14:paraId="4AA3C4A0" w14:textId="77777777">
            <w:pPr>
              <w:autoSpaceDE w:val="0"/>
              <w:autoSpaceDN w:val="0"/>
              <w:adjustRightInd w:val="0"/>
              <w:spacing w:after="0" w:line="240" w:lineRule="auto"/>
              <w:rPr>
                <w:rFonts w:asciiTheme="majorHAnsi" w:hAnsiTheme="majorHAnsi" w:cstheme="minorHAnsi"/>
              </w:rPr>
            </w:pPr>
            <w:r w:rsidRPr="00393524">
              <w:rPr>
                <w:rFonts w:asciiTheme="majorHAnsi" w:hAnsiTheme="majorHAnsi" w:cstheme="minorHAnsi"/>
              </w:rPr>
              <w:t>Epidemiologist</w:t>
            </w:r>
          </w:p>
        </w:tc>
        <w:tc>
          <w:tcPr>
            <w:tcW w:w="1350" w:type="dxa"/>
            <w:tcBorders>
              <w:top w:val="single" w:sz="8" w:space="0" w:color="auto"/>
              <w:left w:val="nil"/>
              <w:bottom w:val="single" w:sz="8" w:space="0" w:color="auto"/>
              <w:right w:val="nil"/>
            </w:tcBorders>
            <w:vAlign w:val="center"/>
          </w:tcPr>
          <w:p w:rsidR="00D653AB" w:rsidRPr="00393524" w:rsidP="00A9759D" w14:paraId="07BB0532" w14:textId="77777777">
            <w:pPr>
              <w:autoSpaceDE w:val="0"/>
              <w:autoSpaceDN w:val="0"/>
              <w:adjustRightInd w:val="0"/>
              <w:spacing w:after="0" w:line="240" w:lineRule="auto"/>
              <w:rPr>
                <w:rFonts w:asciiTheme="majorHAnsi" w:hAnsiTheme="majorHAnsi" w:cstheme="minorHAnsi"/>
              </w:rPr>
            </w:pPr>
            <w:r w:rsidRPr="00393524">
              <w:rPr>
                <w:rFonts w:asciiTheme="majorHAnsi" w:hAnsiTheme="majorHAnsi" w:cstheme="minorHAnsi"/>
              </w:rPr>
              <w:t>NCEH</w:t>
            </w:r>
          </w:p>
        </w:tc>
      </w:tr>
      <w:tr w14:paraId="7F6BBD72" w14:textId="77777777" w:rsidTr="00D653AB">
        <w:tblPrEx>
          <w:tblW w:w="5850" w:type="dxa"/>
          <w:tblLayout w:type="fixed"/>
          <w:tblLook w:val="04A0"/>
        </w:tblPrEx>
        <w:tc>
          <w:tcPr>
            <w:tcW w:w="2790" w:type="dxa"/>
            <w:tcBorders>
              <w:top w:val="single" w:sz="8" w:space="0" w:color="auto"/>
              <w:left w:val="nil"/>
              <w:bottom w:val="single" w:sz="8" w:space="0" w:color="auto"/>
              <w:right w:val="nil"/>
            </w:tcBorders>
            <w:vAlign w:val="center"/>
          </w:tcPr>
          <w:p w:rsidR="00D653AB" w:rsidP="00A9759D" w14:paraId="5D76EA21" w14:textId="0F03CA86">
            <w:pPr>
              <w:autoSpaceDE w:val="0"/>
              <w:autoSpaceDN w:val="0"/>
              <w:adjustRightInd w:val="0"/>
              <w:spacing w:after="0" w:line="240" w:lineRule="auto"/>
              <w:rPr>
                <w:rFonts w:asciiTheme="majorHAnsi" w:hAnsiTheme="majorHAnsi" w:cstheme="minorHAnsi"/>
              </w:rPr>
            </w:pPr>
            <w:r>
              <w:rPr>
                <w:rFonts w:asciiTheme="majorHAnsi" w:hAnsiTheme="majorHAnsi" w:cstheme="minorHAnsi"/>
              </w:rPr>
              <w:t>Arianna Hanchey, MPH</w:t>
            </w:r>
          </w:p>
        </w:tc>
        <w:tc>
          <w:tcPr>
            <w:tcW w:w="1710" w:type="dxa"/>
            <w:tcBorders>
              <w:top w:val="single" w:sz="8" w:space="0" w:color="auto"/>
              <w:left w:val="nil"/>
              <w:bottom w:val="single" w:sz="8" w:space="0" w:color="auto"/>
              <w:right w:val="nil"/>
            </w:tcBorders>
            <w:vAlign w:val="center"/>
          </w:tcPr>
          <w:p w:rsidR="00D653AB" w:rsidRPr="00393524" w:rsidP="00A9759D" w14:paraId="3600D373" w14:textId="05BCA190">
            <w:pPr>
              <w:autoSpaceDE w:val="0"/>
              <w:autoSpaceDN w:val="0"/>
              <w:adjustRightInd w:val="0"/>
              <w:spacing w:after="0" w:line="240" w:lineRule="auto"/>
              <w:rPr>
                <w:rFonts w:asciiTheme="majorHAnsi" w:hAnsiTheme="majorHAnsi" w:cstheme="minorHAnsi"/>
              </w:rPr>
            </w:pPr>
            <w:r>
              <w:rPr>
                <w:rFonts w:asciiTheme="majorHAnsi" w:hAnsiTheme="majorHAnsi" w:cstheme="minorHAnsi"/>
              </w:rPr>
              <w:t>Health Scientist</w:t>
            </w:r>
          </w:p>
        </w:tc>
        <w:tc>
          <w:tcPr>
            <w:tcW w:w="1350" w:type="dxa"/>
            <w:tcBorders>
              <w:top w:val="single" w:sz="8" w:space="0" w:color="auto"/>
              <w:left w:val="nil"/>
              <w:bottom w:val="single" w:sz="8" w:space="0" w:color="auto"/>
              <w:right w:val="nil"/>
            </w:tcBorders>
            <w:vAlign w:val="center"/>
          </w:tcPr>
          <w:p w:rsidR="00D653AB" w:rsidRPr="00393524" w:rsidP="00A9759D" w14:paraId="58BCA5FD" w14:textId="65C4D4F9">
            <w:pPr>
              <w:autoSpaceDE w:val="0"/>
              <w:autoSpaceDN w:val="0"/>
              <w:adjustRightInd w:val="0"/>
              <w:spacing w:after="0" w:line="240" w:lineRule="auto"/>
              <w:rPr>
                <w:rFonts w:asciiTheme="majorHAnsi" w:hAnsiTheme="majorHAnsi" w:cstheme="minorHAnsi"/>
              </w:rPr>
            </w:pPr>
            <w:r>
              <w:rPr>
                <w:rFonts w:asciiTheme="majorHAnsi" w:hAnsiTheme="majorHAnsi" w:cstheme="minorHAnsi"/>
              </w:rPr>
              <w:t>NCEH</w:t>
            </w:r>
          </w:p>
        </w:tc>
      </w:tr>
      <w:tr w14:paraId="224452B1" w14:textId="77777777" w:rsidTr="00D653AB">
        <w:tblPrEx>
          <w:tblW w:w="5850" w:type="dxa"/>
          <w:tblLayout w:type="fixed"/>
          <w:tblLook w:val="04A0"/>
        </w:tblPrEx>
        <w:tc>
          <w:tcPr>
            <w:tcW w:w="2790" w:type="dxa"/>
            <w:tcBorders>
              <w:top w:val="single" w:sz="8" w:space="0" w:color="auto"/>
              <w:left w:val="nil"/>
              <w:bottom w:val="single" w:sz="8" w:space="0" w:color="auto"/>
              <w:right w:val="nil"/>
            </w:tcBorders>
            <w:vAlign w:val="center"/>
          </w:tcPr>
          <w:p w:rsidR="00D653AB" w:rsidRPr="00393524" w:rsidP="00004390" w14:paraId="5D5B0FB2" w14:textId="7FE01FD9">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 xml:space="preserve">Rene Suarez-Soto, </w:t>
            </w:r>
            <w:r>
              <w:rPr>
                <w:rFonts w:asciiTheme="majorHAnsi" w:hAnsiTheme="majorHAnsi" w:cstheme="minorHAnsi"/>
              </w:rPr>
              <w:t>MSEnvE</w:t>
            </w:r>
          </w:p>
        </w:tc>
        <w:tc>
          <w:tcPr>
            <w:tcW w:w="1710" w:type="dxa"/>
            <w:tcBorders>
              <w:top w:val="single" w:sz="8" w:space="0" w:color="auto"/>
              <w:left w:val="nil"/>
              <w:bottom w:val="single" w:sz="8" w:space="0" w:color="auto"/>
              <w:right w:val="nil"/>
            </w:tcBorders>
            <w:vAlign w:val="center"/>
          </w:tcPr>
          <w:p w:rsidR="00D653AB" w:rsidRPr="00393524" w:rsidP="00004390" w14:paraId="09760D23" w14:textId="609A7526">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Data Scientist</w:t>
            </w:r>
          </w:p>
        </w:tc>
        <w:tc>
          <w:tcPr>
            <w:tcW w:w="1350" w:type="dxa"/>
            <w:tcBorders>
              <w:top w:val="single" w:sz="8" w:space="0" w:color="auto"/>
              <w:left w:val="nil"/>
              <w:bottom w:val="single" w:sz="8" w:space="0" w:color="auto"/>
              <w:right w:val="nil"/>
            </w:tcBorders>
            <w:vAlign w:val="center"/>
          </w:tcPr>
          <w:p w:rsidR="00D653AB" w:rsidRPr="00393524" w:rsidP="00004390" w14:paraId="10E2B9A8" w14:textId="77777777">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r>
      <w:tr w14:paraId="34012B5B" w14:textId="77777777" w:rsidTr="00D653AB">
        <w:tblPrEx>
          <w:tblW w:w="5850" w:type="dxa"/>
          <w:tblLayout w:type="fixed"/>
          <w:tblLook w:val="04A0"/>
        </w:tblPrEx>
        <w:tc>
          <w:tcPr>
            <w:tcW w:w="2790" w:type="dxa"/>
            <w:tcBorders>
              <w:top w:val="single" w:sz="8" w:space="0" w:color="auto"/>
              <w:left w:val="nil"/>
              <w:bottom w:val="single" w:sz="8" w:space="0" w:color="auto"/>
              <w:right w:val="nil"/>
            </w:tcBorders>
            <w:vAlign w:val="center"/>
          </w:tcPr>
          <w:p w:rsidR="00D653AB" w:rsidRPr="00393524" w:rsidP="009830EC" w14:paraId="322526EB" w14:textId="69DCC150">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Michael Yeh, MD</w:t>
            </w:r>
          </w:p>
        </w:tc>
        <w:tc>
          <w:tcPr>
            <w:tcW w:w="1710" w:type="dxa"/>
            <w:tcBorders>
              <w:top w:val="single" w:sz="8" w:space="0" w:color="auto"/>
              <w:left w:val="nil"/>
              <w:bottom w:val="single" w:sz="8" w:space="0" w:color="auto"/>
              <w:right w:val="nil"/>
            </w:tcBorders>
            <w:vAlign w:val="center"/>
          </w:tcPr>
          <w:p w:rsidR="00D653AB" w:rsidRPr="00393524" w:rsidP="009830EC" w14:paraId="5652DE4F" w14:textId="77777777">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Toxicologist</w:t>
            </w:r>
          </w:p>
        </w:tc>
        <w:tc>
          <w:tcPr>
            <w:tcW w:w="1350" w:type="dxa"/>
            <w:tcBorders>
              <w:top w:val="single" w:sz="8" w:space="0" w:color="auto"/>
              <w:left w:val="nil"/>
              <w:bottom w:val="single" w:sz="8" w:space="0" w:color="auto"/>
              <w:right w:val="nil"/>
            </w:tcBorders>
            <w:vAlign w:val="center"/>
          </w:tcPr>
          <w:p w:rsidR="00D653AB" w:rsidRPr="00393524" w:rsidP="009830EC" w14:paraId="44276DD7" w14:textId="77777777">
            <w:pPr>
              <w:autoSpaceDE w:val="0"/>
              <w:autoSpaceDN w:val="0"/>
              <w:adjustRightInd w:val="0"/>
              <w:spacing w:after="0" w:line="240" w:lineRule="auto"/>
              <w:jc w:val="both"/>
              <w:rPr>
                <w:rFonts w:asciiTheme="majorHAnsi" w:hAnsiTheme="majorHAnsi" w:cstheme="minorHAnsi"/>
              </w:rPr>
            </w:pPr>
            <w:r w:rsidRPr="00393524">
              <w:rPr>
                <w:rFonts w:asciiTheme="majorHAnsi" w:hAnsiTheme="majorHAnsi" w:cstheme="minorHAnsi"/>
              </w:rPr>
              <w:t>NCEH</w:t>
            </w:r>
          </w:p>
        </w:tc>
      </w:tr>
      <w:tr w14:paraId="7F4576E1" w14:textId="77777777" w:rsidTr="00D653AB">
        <w:tblPrEx>
          <w:tblW w:w="5850" w:type="dxa"/>
          <w:tblLayout w:type="fixed"/>
          <w:tblLook w:val="04A0"/>
        </w:tblPrEx>
        <w:tc>
          <w:tcPr>
            <w:tcW w:w="2790" w:type="dxa"/>
            <w:tcBorders>
              <w:top w:val="single" w:sz="8" w:space="0" w:color="auto"/>
              <w:left w:val="nil"/>
              <w:bottom w:val="single" w:sz="8" w:space="0" w:color="auto"/>
              <w:right w:val="nil"/>
            </w:tcBorders>
            <w:vAlign w:val="center"/>
          </w:tcPr>
          <w:p w:rsidR="00D653AB" w:rsidP="009830EC" w14:paraId="0FF3B2DD" w14:textId="766424B1">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Angela Peralta, MPH</w:t>
            </w:r>
          </w:p>
        </w:tc>
        <w:tc>
          <w:tcPr>
            <w:tcW w:w="1710" w:type="dxa"/>
            <w:tcBorders>
              <w:top w:val="single" w:sz="8" w:space="0" w:color="auto"/>
              <w:left w:val="nil"/>
              <w:bottom w:val="single" w:sz="8" w:space="0" w:color="auto"/>
              <w:right w:val="nil"/>
            </w:tcBorders>
            <w:vAlign w:val="center"/>
          </w:tcPr>
          <w:p w:rsidR="00D653AB" w:rsidRPr="00393524" w:rsidP="009830EC" w14:paraId="132193D1" w14:textId="23EC586F">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Health Scientist</w:t>
            </w:r>
          </w:p>
        </w:tc>
        <w:tc>
          <w:tcPr>
            <w:tcW w:w="1350" w:type="dxa"/>
            <w:tcBorders>
              <w:top w:val="single" w:sz="8" w:space="0" w:color="auto"/>
              <w:left w:val="nil"/>
              <w:bottom w:val="single" w:sz="8" w:space="0" w:color="auto"/>
              <w:right w:val="nil"/>
            </w:tcBorders>
            <w:vAlign w:val="center"/>
          </w:tcPr>
          <w:p w:rsidR="00D653AB" w:rsidRPr="00393524" w:rsidP="009830EC" w14:paraId="0A307000" w14:textId="5FBBB599">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NCEH</w:t>
            </w:r>
          </w:p>
        </w:tc>
      </w:tr>
      <w:tr w14:paraId="5CB482CC" w14:textId="77777777" w:rsidTr="00D653AB">
        <w:tblPrEx>
          <w:tblW w:w="5850" w:type="dxa"/>
          <w:tblLayout w:type="fixed"/>
          <w:tblLook w:val="04A0"/>
        </w:tblPrEx>
        <w:tc>
          <w:tcPr>
            <w:tcW w:w="2790" w:type="dxa"/>
            <w:tcBorders>
              <w:top w:val="single" w:sz="8" w:space="0" w:color="auto"/>
              <w:left w:val="nil"/>
              <w:bottom w:val="single" w:sz="8" w:space="0" w:color="auto"/>
              <w:right w:val="nil"/>
            </w:tcBorders>
            <w:vAlign w:val="center"/>
          </w:tcPr>
          <w:p w:rsidR="00D653AB" w:rsidP="009830EC" w14:paraId="63F76A39" w14:textId="7D8E52F8">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Maraia Tremarelli, MPH</w:t>
            </w:r>
          </w:p>
        </w:tc>
        <w:tc>
          <w:tcPr>
            <w:tcW w:w="1710" w:type="dxa"/>
            <w:tcBorders>
              <w:top w:val="single" w:sz="8" w:space="0" w:color="auto"/>
              <w:left w:val="nil"/>
              <w:bottom w:val="single" w:sz="8" w:space="0" w:color="auto"/>
              <w:right w:val="nil"/>
            </w:tcBorders>
            <w:vAlign w:val="center"/>
          </w:tcPr>
          <w:p w:rsidR="00D653AB" w:rsidP="009830EC" w14:paraId="25B30771" w14:textId="15A0D227">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Health Scientist</w:t>
            </w:r>
          </w:p>
        </w:tc>
        <w:tc>
          <w:tcPr>
            <w:tcW w:w="1350" w:type="dxa"/>
            <w:tcBorders>
              <w:top w:val="single" w:sz="8" w:space="0" w:color="auto"/>
              <w:left w:val="nil"/>
              <w:bottom w:val="single" w:sz="8" w:space="0" w:color="auto"/>
              <w:right w:val="nil"/>
            </w:tcBorders>
            <w:vAlign w:val="center"/>
          </w:tcPr>
          <w:p w:rsidR="00D653AB" w:rsidP="009830EC" w14:paraId="603141C1" w14:textId="142EC3B7">
            <w:pPr>
              <w:autoSpaceDE w:val="0"/>
              <w:autoSpaceDN w:val="0"/>
              <w:adjustRightInd w:val="0"/>
              <w:spacing w:after="0" w:line="240" w:lineRule="auto"/>
              <w:jc w:val="both"/>
              <w:rPr>
                <w:rFonts w:asciiTheme="majorHAnsi" w:hAnsiTheme="majorHAnsi" w:cstheme="minorHAnsi"/>
              </w:rPr>
            </w:pPr>
            <w:r>
              <w:rPr>
                <w:rFonts w:asciiTheme="majorHAnsi" w:hAnsiTheme="majorHAnsi" w:cstheme="minorHAnsi"/>
              </w:rPr>
              <w:t>NCEH</w:t>
            </w:r>
          </w:p>
        </w:tc>
      </w:tr>
    </w:tbl>
    <w:p w:rsidR="00004390" w:rsidRPr="00393524" w:rsidP="003B7BFF" w14:paraId="2BE91F1F" w14:textId="77777777">
      <w:pPr>
        <w:spacing w:line="240" w:lineRule="auto"/>
        <w:rPr>
          <w:rFonts w:asciiTheme="majorHAnsi" w:hAnsiTheme="majorHAnsi" w:cs="Times New Roman"/>
        </w:rPr>
      </w:pPr>
    </w:p>
    <w:p w:rsidR="00D25D6B" w:rsidRPr="00393524" w:rsidP="000327E5" w14:paraId="295BB2AB" w14:textId="77777777">
      <w:pPr>
        <w:spacing w:line="276" w:lineRule="auto"/>
        <w:rPr>
          <w:rFonts w:asciiTheme="majorHAnsi" w:hAnsiTheme="majorHAnsi" w:cs="Times New Roman"/>
        </w:rPr>
      </w:pPr>
      <w:r w:rsidRPr="00393524">
        <w:rPr>
          <w:rFonts w:asciiTheme="majorHAnsi" w:hAnsiTheme="majorHAnsi" w:cs="Times New Roman"/>
        </w:rPr>
        <w:t xml:space="preserve">Because the investigations </w:t>
      </w:r>
      <w:r w:rsidRPr="00393524" w:rsidR="00042795">
        <w:rPr>
          <w:rFonts w:asciiTheme="majorHAnsi" w:hAnsiTheme="majorHAnsi" w:cs="Times New Roman"/>
        </w:rPr>
        <w:t>will be</w:t>
      </w:r>
      <w:r w:rsidRPr="00393524">
        <w:rPr>
          <w:rFonts w:asciiTheme="majorHAnsi" w:hAnsiTheme="majorHAnsi" w:cs="Times New Roman"/>
        </w:rPr>
        <w:t xml:space="preserve"> public health response</w:t>
      </w:r>
      <w:r w:rsidRPr="00393524" w:rsidR="00042795">
        <w:rPr>
          <w:rFonts w:asciiTheme="majorHAnsi" w:hAnsiTheme="majorHAnsi" w:cs="Times New Roman"/>
        </w:rPr>
        <w:t>s</w:t>
      </w:r>
      <w:r w:rsidRPr="00393524">
        <w:rPr>
          <w:rFonts w:asciiTheme="majorHAnsi" w:hAnsiTheme="majorHAnsi" w:cs="Times New Roman"/>
        </w:rPr>
        <w:t xml:space="preserve"> and not planned research studies, the analysis i</w:t>
      </w:r>
      <w:r w:rsidRPr="00393524" w:rsidR="00BA0517">
        <w:rPr>
          <w:rFonts w:asciiTheme="majorHAnsi" w:hAnsiTheme="majorHAnsi" w:cs="Times New Roman"/>
        </w:rPr>
        <w:t xml:space="preserve">s largely descriptive. </w:t>
      </w:r>
      <w:r w:rsidRPr="00393524" w:rsidR="003A0F82">
        <w:rPr>
          <w:rFonts w:asciiTheme="majorHAnsi" w:hAnsiTheme="majorHAnsi" w:cs="Times New Roman"/>
        </w:rPr>
        <w:t>S</w:t>
      </w:r>
      <w:r w:rsidRPr="00393524">
        <w:rPr>
          <w:rFonts w:asciiTheme="majorHAnsi" w:hAnsiTheme="majorHAnsi" w:cs="Times New Roman"/>
        </w:rPr>
        <w:t xml:space="preserve">tatisticians </w:t>
      </w:r>
      <w:r w:rsidRPr="00393524" w:rsidR="00042795">
        <w:rPr>
          <w:rFonts w:asciiTheme="majorHAnsi" w:hAnsiTheme="majorHAnsi" w:cs="Times New Roman"/>
        </w:rPr>
        <w:t>will be</w:t>
      </w:r>
      <w:r w:rsidRPr="00393524">
        <w:rPr>
          <w:rFonts w:asciiTheme="majorHAnsi" w:hAnsiTheme="majorHAnsi" w:cs="Times New Roman"/>
        </w:rPr>
        <w:t xml:space="preserve"> consulted if sampling or a more </w:t>
      </w:r>
      <w:r w:rsidRPr="00393524" w:rsidR="00004390">
        <w:rPr>
          <w:rFonts w:asciiTheme="majorHAnsi" w:hAnsiTheme="majorHAnsi" w:cs="Times New Roman"/>
        </w:rPr>
        <w:t>complex</w:t>
      </w:r>
      <w:r w:rsidRPr="00393524" w:rsidR="003A0F82">
        <w:rPr>
          <w:rFonts w:asciiTheme="majorHAnsi" w:hAnsiTheme="majorHAnsi" w:cs="Times New Roman"/>
        </w:rPr>
        <w:t xml:space="preserve"> analysis is needed.</w:t>
      </w:r>
    </w:p>
    <w:p w:rsidR="009830EC" w:rsidRPr="00393524" w:rsidP="009830EC" w14:paraId="71138E6D" w14:textId="77777777">
      <w:pPr>
        <w:rPr>
          <w:rFonts w:asciiTheme="majorHAnsi" w:hAnsiTheme="majorHAnsi"/>
        </w:rPr>
      </w:pPr>
    </w:p>
    <w:sectPr w:rsidSect="009F0C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235" w14:paraId="6F0065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2768392"/>
      <w:docPartObj>
        <w:docPartGallery w:val="Page Numbers (Bottom of Page)"/>
        <w:docPartUnique/>
      </w:docPartObj>
    </w:sdtPr>
    <w:sdtEndPr>
      <w:rPr>
        <w:rFonts w:ascii="Courier New" w:hAnsi="Courier New" w:cs="Courier New"/>
        <w:noProof/>
        <w:sz w:val="24"/>
        <w:szCs w:val="24"/>
      </w:rPr>
    </w:sdtEndPr>
    <w:sdtContent>
      <w:p w:rsidR="00415D14" w:rsidRPr="00194347" w14:paraId="2B9F5755" w14:textId="0B005248">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Pr>
            <w:rFonts w:ascii="Courier New" w:hAnsi="Courier New" w:cs="Courier New"/>
            <w:noProof/>
            <w:sz w:val="24"/>
            <w:szCs w:val="24"/>
          </w:rPr>
          <w:t>1</w:t>
        </w:r>
        <w:r w:rsidRPr="00194347">
          <w:rPr>
            <w:rFonts w:ascii="Courier New" w:hAnsi="Courier New" w:cs="Courier New"/>
            <w:noProof/>
            <w:sz w:val="24"/>
            <w:szCs w:val="24"/>
          </w:rPr>
          <w:fldChar w:fldCharType="end"/>
        </w:r>
      </w:p>
    </w:sdtContent>
  </w:sdt>
  <w:p w:rsidR="00415D14" w14:paraId="1AE62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235" w14:paraId="6AC6D2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235" w14:paraId="2F9102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235" w14:paraId="65BA64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235" w14:paraId="3A8A39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D15ED"/>
    <w:multiLevelType w:val="hybridMultilevel"/>
    <w:tmpl w:val="4502E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EC1196"/>
    <w:multiLevelType w:val="hybridMultilevel"/>
    <w:tmpl w:val="ADAC22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483CE4"/>
    <w:multiLevelType w:val="hybridMultilevel"/>
    <w:tmpl w:val="ED2C638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0C206A9A"/>
    <w:multiLevelType w:val="hybridMultilevel"/>
    <w:tmpl w:val="CFC414A8"/>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303C3"/>
    <w:multiLevelType w:val="hybridMultilevel"/>
    <w:tmpl w:val="0DA4C0D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0DC6275D"/>
    <w:multiLevelType w:val="hybridMultilevel"/>
    <w:tmpl w:val="B48E5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6F73C0"/>
    <w:multiLevelType w:val="hybridMultilevel"/>
    <w:tmpl w:val="D4845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AB35A2"/>
    <w:multiLevelType w:val="hybridMultilevel"/>
    <w:tmpl w:val="25966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71770C2"/>
    <w:multiLevelType w:val="hybridMultilevel"/>
    <w:tmpl w:val="6986AAA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82D28C0"/>
    <w:multiLevelType w:val="hybridMultilevel"/>
    <w:tmpl w:val="0778D1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AD075A"/>
    <w:multiLevelType w:val="hybridMultilevel"/>
    <w:tmpl w:val="474A66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341AD8"/>
    <w:multiLevelType w:val="hybridMultilevel"/>
    <w:tmpl w:val="F9B4F3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47BFD"/>
    <w:multiLevelType w:val="hybridMultilevel"/>
    <w:tmpl w:val="B24A3A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7CB52A8"/>
    <w:multiLevelType w:val="hybridMultilevel"/>
    <w:tmpl w:val="E19A7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74E71"/>
    <w:multiLevelType w:val="hybridMultilevel"/>
    <w:tmpl w:val="FFA05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5E54B7"/>
    <w:multiLevelType w:val="hybridMultilevel"/>
    <w:tmpl w:val="625CE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1C57C1"/>
    <w:multiLevelType w:val="hybridMultilevel"/>
    <w:tmpl w:val="7A0EF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CF2D8A"/>
    <w:multiLevelType w:val="hybridMultilevel"/>
    <w:tmpl w:val="EC40FD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E71185"/>
    <w:multiLevelType w:val="hybridMultilevel"/>
    <w:tmpl w:val="7FE4E7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945DE8"/>
    <w:multiLevelType w:val="hybridMultilevel"/>
    <w:tmpl w:val="CF16FA0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DD4726"/>
    <w:multiLevelType w:val="hybridMultilevel"/>
    <w:tmpl w:val="F6CA3980"/>
    <w:lvl w:ilvl="0">
      <w:start w:val="0"/>
      <w:numFmt w:val="bullet"/>
      <w:lvlText w:val="-"/>
      <w:lvlJc w:val="left"/>
      <w:pPr>
        <w:ind w:left="1500" w:hanging="360"/>
      </w:pPr>
      <w:rPr>
        <w:rFonts w:ascii="Times New Roman" w:hAnsi="Times New Roman" w:eastAsiaTheme="minorHAnsi" w:cs="Times New Roman"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4">
    <w:nsid w:val="48522FB4"/>
    <w:multiLevelType w:val="hybridMultilevel"/>
    <w:tmpl w:val="759A2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5E5E6B"/>
    <w:multiLevelType w:val="hybridMultilevel"/>
    <w:tmpl w:val="EE6AECC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CE1BEB"/>
    <w:multiLevelType w:val="hybridMultilevel"/>
    <w:tmpl w:val="6EE0E5C2"/>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27">
    <w:nsid w:val="4C855CEE"/>
    <w:multiLevelType w:val="hybridMultilevel"/>
    <w:tmpl w:val="9C063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DD5262A"/>
    <w:multiLevelType w:val="hybridMultilevel"/>
    <w:tmpl w:val="AF8407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E3A5FC3"/>
    <w:multiLevelType w:val="hybridMultilevel"/>
    <w:tmpl w:val="0010D0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45792B"/>
    <w:multiLevelType w:val="hybridMultilevel"/>
    <w:tmpl w:val="DE365F3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607A6485"/>
    <w:multiLevelType w:val="hybridMultilevel"/>
    <w:tmpl w:val="4ACCEBA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31C0745"/>
    <w:multiLevelType w:val="hybridMultilevel"/>
    <w:tmpl w:val="2F147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0436CE"/>
    <w:multiLevelType w:val="hybridMultilevel"/>
    <w:tmpl w:val="00E48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9E6941"/>
    <w:multiLevelType w:val="hybridMultilevel"/>
    <w:tmpl w:val="2180AE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2E870B3"/>
    <w:multiLevelType w:val="hybridMultilevel"/>
    <w:tmpl w:val="9F8C6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FF381B"/>
    <w:multiLevelType w:val="hybridMultilevel"/>
    <w:tmpl w:val="53401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E33A2D"/>
    <w:multiLevelType w:val="hybridMultilevel"/>
    <w:tmpl w:val="FD3441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19035854">
    <w:abstractNumId w:val="31"/>
  </w:num>
  <w:num w:numId="2" w16cid:durableId="1261138467">
    <w:abstractNumId w:val="1"/>
  </w:num>
  <w:num w:numId="3" w16cid:durableId="1825505793">
    <w:abstractNumId w:val="3"/>
  </w:num>
  <w:num w:numId="4" w16cid:durableId="1656715258">
    <w:abstractNumId w:val="16"/>
  </w:num>
  <w:num w:numId="5" w16cid:durableId="1842506004">
    <w:abstractNumId w:val="20"/>
  </w:num>
  <w:num w:numId="6" w16cid:durableId="1591352572">
    <w:abstractNumId w:val="13"/>
  </w:num>
  <w:num w:numId="7" w16cid:durableId="1557357164">
    <w:abstractNumId w:val="14"/>
  </w:num>
  <w:num w:numId="8" w16cid:durableId="1310086895">
    <w:abstractNumId w:val="0"/>
  </w:num>
  <w:num w:numId="9" w16cid:durableId="1494562738">
    <w:abstractNumId w:val="22"/>
  </w:num>
  <w:num w:numId="10" w16cid:durableId="1000694149">
    <w:abstractNumId w:val="12"/>
  </w:num>
  <w:num w:numId="11" w16cid:durableId="796527114">
    <w:abstractNumId w:val="36"/>
  </w:num>
  <w:num w:numId="12" w16cid:durableId="636759245">
    <w:abstractNumId w:val="15"/>
  </w:num>
  <w:num w:numId="13" w16cid:durableId="1228414561">
    <w:abstractNumId w:val="35"/>
  </w:num>
  <w:num w:numId="14" w16cid:durableId="821696865">
    <w:abstractNumId w:val="9"/>
  </w:num>
  <w:num w:numId="15" w16cid:durableId="764418334">
    <w:abstractNumId w:val="27"/>
  </w:num>
  <w:num w:numId="16" w16cid:durableId="1648971413">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4960022">
    <w:abstractNumId w:val="6"/>
  </w:num>
  <w:num w:numId="18" w16cid:durableId="321281652">
    <w:abstractNumId w:val="4"/>
  </w:num>
  <w:num w:numId="19" w16cid:durableId="1612933242">
    <w:abstractNumId w:val="18"/>
  </w:num>
  <w:num w:numId="20" w16cid:durableId="1436169189">
    <w:abstractNumId w:val="23"/>
  </w:num>
  <w:num w:numId="21" w16cid:durableId="1357462631">
    <w:abstractNumId w:val="2"/>
  </w:num>
  <w:num w:numId="22" w16cid:durableId="1817183485">
    <w:abstractNumId w:val="5"/>
  </w:num>
  <w:num w:numId="23" w16cid:durableId="763574290">
    <w:abstractNumId w:val="29"/>
  </w:num>
  <w:num w:numId="24" w16cid:durableId="1802453141">
    <w:abstractNumId w:val="24"/>
  </w:num>
  <w:num w:numId="25" w16cid:durableId="69549797">
    <w:abstractNumId w:val="26"/>
  </w:num>
  <w:num w:numId="26" w16cid:durableId="1469857802">
    <w:abstractNumId w:val="17"/>
  </w:num>
  <w:num w:numId="27" w16cid:durableId="422579811">
    <w:abstractNumId w:val="19"/>
  </w:num>
  <w:num w:numId="28" w16cid:durableId="439570980">
    <w:abstractNumId w:val="8"/>
  </w:num>
  <w:num w:numId="29" w16cid:durableId="1694303606">
    <w:abstractNumId w:val="28"/>
  </w:num>
  <w:num w:numId="30" w16cid:durableId="364791677">
    <w:abstractNumId w:val="34"/>
  </w:num>
  <w:num w:numId="31" w16cid:durableId="2136216855">
    <w:abstractNumId w:val="30"/>
  </w:num>
  <w:num w:numId="32" w16cid:durableId="1635986300">
    <w:abstractNumId w:val="21"/>
  </w:num>
  <w:num w:numId="33" w16cid:durableId="263153383">
    <w:abstractNumId w:val="37"/>
  </w:num>
  <w:num w:numId="34" w16cid:durableId="951670172">
    <w:abstractNumId w:val="11"/>
  </w:num>
  <w:num w:numId="35" w16cid:durableId="113641687">
    <w:abstractNumId w:val="25"/>
  </w:num>
  <w:num w:numId="36" w16cid:durableId="1469321697">
    <w:abstractNumId w:val="10"/>
  </w:num>
  <w:num w:numId="37" w16cid:durableId="683365711">
    <w:abstractNumId w:val="10"/>
  </w:num>
  <w:num w:numId="38" w16cid:durableId="1558512303">
    <w:abstractNumId w:val="10"/>
  </w:num>
  <w:num w:numId="39" w16cid:durableId="72238516">
    <w:abstractNumId w:val="10"/>
  </w:num>
  <w:num w:numId="40" w16cid:durableId="2004816684">
    <w:abstractNumId w:val="10"/>
  </w:num>
  <w:num w:numId="41" w16cid:durableId="675813364">
    <w:abstractNumId w:val="10"/>
  </w:num>
  <w:num w:numId="42" w16cid:durableId="2050764269">
    <w:abstractNumId w:val="10"/>
  </w:num>
  <w:num w:numId="43" w16cid:durableId="579682762">
    <w:abstractNumId w:val="10"/>
  </w:num>
  <w:num w:numId="44" w16cid:durableId="1665164127">
    <w:abstractNumId w:val="10"/>
  </w:num>
  <w:num w:numId="45" w16cid:durableId="604851697">
    <w:abstractNumId w:val="10"/>
  </w:num>
  <w:num w:numId="46" w16cid:durableId="1293443201">
    <w:abstractNumId w:val="10"/>
  </w:num>
  <w:num w:numId="47" w16cid:durableId="1750421504">
    <w:abstractNumId w:val="33"/>
  </w:num>
  <w:num w:numId="48" w16cid:durableId="578060258">
    <w:abstractNumId w:val="32"/>
  </w:num>
  <w:num w:numId="49" w16cid:durableId="633365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07"/>
    <w:rsid w:val="0000101E"/>
    <w:rsid w:val="00001474"/>
    <w:rsid w:val="00004390"/>
    <w:rsid w:val="000063D5"/>
    <w:rsid w:val="00013AB9"/>
    <w:rsid w:val="00015E47"/>
    <w:rsid w:val="000179BC"/>
    <w:rsid w:val="00021C60"/>
    <w:rsid w:val="000248D9"/>
    <w:rsid w:val="00025570"/>
    <w:rsid w:val="0002557F"/>
    <w:rsid w:val="0002701C"/>
    <w:rsid w:val="00030535"/>
    <w:rsid w:val="0003181F"/>
    <w:rsid w:val="000327E5"/>
    <w:rsid w:val="00035FAD"/>
    <w:rsid w:val="00037FE7"/>
    <w:rsid w:val="00040B25"/>
    <w:rsid w:val="00042795"/>
    <w:rsid w:val="00045EBD"/>
    <w:rsid w:val="000463C0"/>
    <w:rsid w:val="00053B0A"/>
    <w:rsid w:val="000541F0"/>
    <w:rsid w:val="00057166"/>
    <w:rsid w:val="00060826"/>
    <w:rsid w:val="00060E2A"/>
    <w:rsid w:val="00065557"/>
    <w:rsid w:val="0006597D"/>
    <w:rsid w:val="0006632E"/>
    <w:rsid w:val="00067C38"/>
    <w:rsid w:val="00074DE9"/>
    <w:rsid w:val="0007588B"/>
    <w:rsid w:val="00075F2E"/>
    <w:rsid w:val="000777F3"/>
    <w:rsid w:val="000812C1"/>
    <w:rsid w:val="0008212D"/>
    <w:rsid w:val="000837B6"/>
    <w:rsid w:val="0008464E"/>
    <w:rsid w:val="0008501F"/>
    <w:rsid w:val="000875C6"/>
    <w:rsid w:val="000904A4"/>
    <w:rsid w:val="00090557"/>
    <w:rsid w:val="00090F68"/>
    <w:rsid w:val="00092D9E"/>
    <w:rsid w:val="000964B2"/>
    <w:rsid w:val="000A0D66"/>
    <w:rsid w:val="000A3DCC"/>
    <w:rsid w:val="000A6068"/>
    <w:rsid w:val="000A6AB9"/>
    <w:rsid w:val="000B6434"/>
    <w:rsid w:val="000B64D5"/>
    <w:rsid w:val="000B7624"/>
    <w:rsid w:val="000C077E"/>
    <w:rsid w:val="000C0B23"/>
    <w:rsid w:val="000C0DF3"/>
    <w:rsid w:val="000C47C5"/>
    <w:rsid w:val="000C4C8A"/>
    <w:rsid w:val="000C4C91"/>
    <w:rsid w:val="000C5FDC"/>
    <w:rsid w:val="000C6653"/>
    <w:rsid w:val="000C74C3"/>
    <w:rsid w:val="000D06A8"/>
    <w:rsid w:val="000D0C05"/>
    <w:rsid w:val="000D0D2D"/>
    <w:rsid w:val="000D1EB4"/>
    <w:rsid w:val="000D2223"/>
    <w:rsid w:val="000D244B"/>
    <w:rsid w:val="000D2610"/>
    <w:rsid w:val="000D2BAF"/>
    <w:rsid w:val="000D4342"/>
    <w:rsid w:val="000D48EB"/>
    <w:rsid w:val="000E3E3D"/>
    <w:rsid w:val="000E5C77"/>
    <w:rsid w:val="000E7D3F"/>
    <w:rsid w:val="000F08DD"/>
    <w:rsid w:val="000F09CC"/>
    <w:rsid w:val="000F34E7"/>
    <w:rsid w:val="000F372E"/>
    <w:rsid w:val="000F4B53"/>
    <w:rsid w:val="000F7565"/>
    <w:rsid w:val="001029EB"/>
    <w:rsid w:val="00110549"/>
    <w:rsid w:val="001109C5"/>
    <w:rsid w:val="0011120B"/>
    <w:rsid w:val="001219A8"/>
    <w:rsid w:val="0012237D"/>
    <w:rsid w:val="0012785E"/>
    <w:rsid w:val="00137CE9"/>
    <w:rsid w:val="00141A53"/>
    <w:rsid w:val="00141B62"/>
    <w:rsid w:val="0014271C"/>
    <w:rsid w:val="00144FB4"/>
    <w:rsid w:val="00145AE3"/>
    <w:rsid w:val="00147203"/>
    <w:rsid w:val="00151735"/>
    <w:rsid w:val="00156135"/>
    <w:rsid w:val="001605F6"/>
    <w:rsid w:val="0016474B"/>
    <w:rsid w:val="0016491C"/>
    <w:rsid w:val="00170D31"/>
    <w:rsid w:val="001714D2"/>
    <w:rsid w:val="00172644"/>
    <w:rsid w:val="00173FDE"/>
    <w:rsid w:val="001761D9"/>
    <w:rsid w:val="0018049A"/>
    <w:rsid w:val="00180B41"/>
    <w:rsid w:val="00180B5B"/>
    <w:rsid w:val="00181648"/>
    <w:rsid w:val="0018178C"/>
    <w:rsid w:val="001835B1"/>
    <w:rsid w:val="0018422F"/>
    <w:rsid w:val="0018508C"/>
    <w:rsid w:val="001869DC"/>
    <w:rsid w:val="001872DC"/>
    <w:rsid w:val="00187BFE"/>
    <w:rsid w:val="00190CED"/>
    <w:rsid w:val="00193232"/>
    <w:rsid w:val="00193721"/>
    <w:rsid w:val="00193D7D"/>
    <w:rsid w:val="00194347"/>
    <w:rsid w:val="001949FE"/>
    <w:rsid w:val="00195F78"/>
    <w:rsid w:val="001A05E2"/>
    <w:rsid w:val="001A3A9F"/>
    <w:rsid w:val="001A3F7D"/>
    <w:rsid w:val="001A4EAD"/>
    <w:rsid w:val="001A620A"/>
    <w:rsid w:val="001A6416"/>
    <w:rsid w:val="001A7128"/>
    <w:rsid w:val="001A77D1"/>
    <w:rsid w:val="001A78D5"/>
    <w:rsid w:val="001B0211"/>
    <w:rsid w:val="001B08AC"/>
    <w:rsid w:val="001B1A0E"/>
    <w:rsid w:val="001B1F2B"/>
    <w:rsid w:val="001B7289"/>
    <w:rsid w:val="001B748B"/>
    <w:rsid w:val="001B7819"/>
    <w:rsid w:val="001B7C29"/>
    <w:rsid w:val="001C0CBF"/>
    <w:rsid w:val="001C1584"/>
    <w:rsid w:val="001C19E4"/>
    <w:rsid w:val="001C4CC1"/>
    <w:rsid w:val="001C5CAF"/>
    <w:rsid w:val="001C6823"/>
    <w:rsid w:val="001C6FAD"/>
    <w:rsid w:val="001D11FA"/>
    <w:rsid w:val="001D190B"/>
    <w:rsid w:val="001D3224"/>
    <w:rsid w:val="001D36A8"/>
    <w:rsid w:val="001D4F8E"/>
    <w:rsid w:val="001D551A"/>
    <w:rsid w:val="001D5BB0"/>
    <w:rsid w:val="001D5F5B"/>
    <w:rsid w:val="001E00A8"/>
    <w:rsid w:val="001E00F2"/>
    <w:rsid w:val="001E2F40"/>
    <w:rsid w:val="001E4F4B"/>
    <w:rsid w:val="001E530C"/>
    <w:rsid w:val="001E5B95"/>
    <w:rsid w:val="001E5F3E"/>
    <w:rsid w:val="001E644A"/>
    <w:rsid w:val="001E6A29"/>
    <w:rsid w:val="001F09D2"/>
    <w:rsid w:val="001F1D10"/>
    <w:rsid w:val="001F3052"/>
    <w:rsid w:val="001F43C3"/>
    <w:rsid w:val="001F7D22"/>
    <w:rsid w:val="002023CB"/>
    <w:rsid w:val="0020537A"/>
    <w:rsid w:val="00207CE1"/>
    <w:rsid w:val="002139FB"/>
    <w:rsid w:val="00215C9E"/>
    <w:rsid w:val="0021733A"/>
    <w:rsid w:val="00222E63"/>
    <w:rsid w:val="00223FE8"/>
    <w:rsid w:val="00224088"/>
    <w:rsid w:val="00226417"/>
    <w:rsid w:val="00226965"/>
    <w:rsid w:val="0023337F"/>
    <w:rsid w:val="002333EB"/>
    <w:rsid w:val="002353CB"/>
    <w:rsid w:val="00235739"/>
    <w:rsid w:val="002362D1"/>
    <w:rsid w:val="0024027A"/>
    <w:rsid w:val="00240CB1"/>
    <w:rsid w:val="00243181"/>
    <w:rsid w:val="0024394D"/>
    <w:rsid w:val="002455BC"/>
    <w:rsid w:val="002501BB"/>
    <w:rsid w:val="002523BE"/>
    <w:rsid w:val="00252835"/>
    <w:rsid w:val="00253245"/>
    <w:rsid w:val="002543F1"/>
    <w:rsid w:val="00254C88"/>
    <w:rsid w:val="00260C20"/>
    <w:rsid w:val="00263979"/>
    <w:rsid w:val="0027110A"/>
    <w:rsid w:val="002724FF"/>
    <w:rsid w:val="00275C52"/>
    <w:rsid w:val="00275EB3"/>
    <w:rsid w:val="0028134A"/>
    <w:rsid w:val="00282C95"/>
    <w:rsid w:val="00291570"/>
    <w:rsid w:val="00292C89"/>
    <w:rsid w:val="00293E88"/>
    <w:rsid w:val="00294A31"/>
    <w:rsid w:val="002A1903"/>
    <w:rsid w:val="002A7D2D"/>
    <w:rsid w:val="002B0BD5"/>
    <w:rsid w:val="002B1E25"/>
    <w:rsid w:val="002B3B75"/>
    <w:rsid w:val="002B4D41"/>
    <w:rsid w:val="002B59F6"/>
    <w:rsid w:val="002B6E2B"/>
    <w:rsid w:val="002B6F65"/>
    <w:rsid w:val="002B7125"/>
    <w:rsid w:val="002C1553"/>
    <w:rsid w:val="002C275F"/>
    <w:rsid w:val="002C48E6"/>
    <w:rsid w:val="002C4C71"/>
    <w:rsid w:val="002C58CE"/>
    <w:rsid w:val="002C5FEA"/>
    <w:rsid w:val="002C6CC7"/>
    <w:rsid w:val="002C7625"/>
    <w:rsid w:val="002D2DAE"/>
    <w:rsid w:val="002D365A"/>
    <w:rsid w:val="002D55D4"/>
    <w:rsid w:val="002D5BC4"/>
    <w:rsid w:val="002E14D2"/>
    <w:rsid w:val="002E2A98"/>
    <w:rsid w:val="002E376E"/>
    <w:rsid w:val="002F0214"/>
    <w:rsid w:val="002F0573"/>
    <w:rsid w:val="002F1B15"/>
    <w:rsid w:val="002F23DA"/>
    <w:rsid w:val="002F358F"/>
    <w:rsid w:val="002F5222"/>
    <w:rsid w:val="002F60AD"/>
    <w:rsid w:val="002F6B3B"/>
    <w:rsid w:val="002F779A"/>
    <w:rsid w:val="00300024"/>
    <w:rsid w:val="00300127"/>
    <w:rsid w:val="003006F6"/>
    <w:rsid w:val="003008FE"/>
    <w:rsid w:val="00302881"/>
    <w:rsid w:val="00305803"/>
    <w:rsid w:val="003062D7"/>
    <w:rsid w:val="00310E6E"/>
    <w:rsid w:val="0031190D"/>
    <w:rsid w:val="00314EC0"/>
    <w:rsid w:val="003151D6"/>
    <w:rsid w:val="0031601A"/>
    <w:rsid w:val="003167E1"/>
    <w:rsid w:val="00321CF8"/>
    <w:rsid w:val="00323186"/>
    <w:rsid w:val="00323224"/>
    <w:rsid w:val="00323A6E"/>
    <w:rsid w:val="00324752"/>
    <w:rsid w:val="003309F1"/>
    <w:rsid w:val="00330B51"/>
    <w:rsid w:val="00331F13"/>
    <w:rsid w:val="00333F45"/>
    <w:rsid w:val="00334860"/>
    <w:rsid w:val="00342B9B"/>
    <w:rsid w:val="00342C2C"/>
    <w:rsid w:val="0034572C"/>
    <w:rsid w:val="00345C3A"/>
    <w:rsid w:val="00346058"/>
    <w:rsid w:val="00350ECC"/>
    <w:rsid w:val="00355173"/>
    <w:rsid w:val="00361904"/>
    <w:rsid w:val="0036354B"/>
    <w:rsid w:val="003649E6"/>
    <w:rsid w:val="003670FD"/>
    <w:rsid w:val="0037059E"/>
    <w:rsid w:val="003715E5"/>
    <w:rsid w:val="00371A26"/>
    <w:rsid w:val="00373923"/>
    <w:rsid w:val="00374A23"/>
    <w:rsid w:val="00382D3B"/>
    <w:rsid w:val="003832EB"/>
    <w:rsid w:val="00385FE1"/>
    <w:rsid w:val="0039031F"/>
    <w:rsid w:val="00391A00"/>
    <w:rsid w:val="00393524"/>
    <w:rsid w:val="00393D3A"/>
    <w:rsid w:val="00395CF4"/>
    <w:rsid w:val="003962A6"/>
    <w:rsid w:val="00397C46"/>
    <w:rsid w:val="00397CD6"/>
    <w:rsid w:val="003A06AE"/>
    <w:rsid w:val="003A0B36"/>
    <w:rsid w:val="003A0F82"/>
    <w:rsid w:val="003A15DB"/>
    <w:rsid w:val="003A2CC2"/>
    <w:rsid w:val="003A55D7"/>
    <w:rsid w:val="003A6425"/>
    <w:rsid w:val="003A74B6"/>
    <w:rsid w:val="003B1751"/>
    <w:rsid w:val="003B1A1C"/>
    <w:rsid w:val="003B1FD7"/>
    <w:rsid w:val="003B2CFC"/>
    <w:rsid w:val="003B5FE0"/>
    <w:rsid w:val="003B60DE"/>
    <w:rsid w:val="003B7BFF"/>
    <w:rsid w:val="003B7E3F"/>
    <w:rsid w:val="003C2E2B"/>
    <w:rsid w:val="003C70DE"/>
    <w:rsid w:val="003D75F2"/>
    <w:rsid w:val="003E101E"/>
    <w:rsid w:val="003E1B35"/>
    <w:rsid w:val="003E3009"/>
    <w:rsid w:val="003F265A"/>
    <w:rsid w:val="003F3971"/>
    <w:rsid w:val="003F3E24"/>
    <w:rsid w:val="003F6A41"/>
    <w:rsid w:val="00400AE8"/>
    <w:rsid w:val="00401319"/>
    <w:rsid w:val="0040256B"/>
    <w:rsid w:val="004026A6"/>
    <w:rsid w:val="004029CD"/>
    <w:rsid w:val="00410110"/>
    <w:rsid w:val="00412201"/>
    <w:rsid w:val="00413739"/>
    <w:rsid w:val="00413A15"/>
    <w:rsid w:val="00415D14"/>
    <w:rsid w:val="00416DB6"/>
    <w:rsid w:val="00421DB6"/>
    <w:rsid w:val="00422EB2"/>
    <w:rsid w:val="004257E0"/>
    <w:rsid w:val="00426620"/>
    <w:rsid w:val="004302D0"/>
    <w:rsid w:val="0043307B"/>
    <w:rsid w:val="00440F28"/>
    <w:rsid w:val="00446040"/>
    <w:rsid w:val="0044656D"/>
    <w:rsid w:val="004478F0"/>
    <w:rsid w:val="004500B7"/>
    <w:rsid w:val="00450C83"/>
    <w:rsid w:val="004510EF"/>
    <w:rsid w:val="00451A2F"/>
    <w:rsid w:val="0045249F"/>
    <w:rsid w:val="00453ACD"/>
    <w:rsid w:val="004601AF"/>
    <w:rsid w:val="004615EE"/>
    <w:rsid w:val="00462C6C"/>
    <w:rsid w:val="00463B92"/>
    <w:rsid w:val="00464D15"/>
    <w:rsid w:val="00465AFC"/>
    <w:rsid w:val="00465B03"/>
    <w:rsid w:val="00472B97"/>
    <w:rsid w:val="00473774"/>
    <w:rsid w:val="00475ED9"/>
    <w:rsid w:val="00480401"/>
    <w:rsid w:val="0048079F"/>
    <w:rsid w:val="00485F9C"/>
    <w:rsid w:val="00486493"/>
    <w:rsid w:val="0048651D"/>
    <w:rsid w:val="00487642"/>
    <w:rsid w:val="00487ABB"/>
    <w:rsid w:val="00490D4C"/>
    <w:rsid w:val="0049127C"/>
    <w:rsid w:val="00492F2E"/>
    <w:rsid w:val="0049525A"/>
    <w:rsid w:val="004962FB"/>
    <w:rsid w:val="0049696B"/>
    <w:rsid w:val="004970F9"/>
    <w:rsid w:val="004A09AB"/>
    <w:rsid w:val="004A0CB5"/>
    <w:rsid w:val="004A1399"/>
    <w:rsid w:val="004A2EC5"/>
    <w:rsid w:val="004A459E"/>
    <w:rsid w:val="004A4F4B"/>
    <w:rsid w:val="004A600D"/>
    <w:rsid w:val="004A6F57"/>
    <w:rsid w:val="004A7683"/>
    <w:rsid w:val="004B15F4"/>
    <w:rsid w:val="004B5466"/>
    <w:rsid w:val="004B54CE"/>
    <w:rsid w:val="004B6E20"/>
    <w:rsid w:val="004B6E5F"/>
    <w:rsid w:val="004B7825"/>
    <w:rsid w:val="004C159B"/>
    <w:rsid w:val="004C27D5"/>
    <w:rsid w:val="004C316C"/>
    <w:rsid w:val="004C651F"/>
    <w:rsid w:val="004C79E2"/>
    <w:rsid w:val="004D26F9"/>
    <w:rsid w:val="004D28F1"/>
    <w:rsid w:val="004D35D8"/>
    <w:rsid w:val="004D3784"/>
    <w:rsid w:val="004D406E"/>
    <w:rsid w:val="004D554D"/>
    <w:rsid w:val="004E09E3"/>
    <w:rsid w:val="004E2257"/>
    <w:rsid w:val="004E32EE"/>
    <w:rsid w:val="004E5D89"/>
    <w:rsid w:val="004E6FC0"/>
    <w:rsid w:val="004F155C"/>
    <w:rsid w:val="004F5261"/>
    <w:rsid w:val="004F6C50"/>
    <w:rsid w:val="004F6CAA"/>
    <w:rsid w:val="004F7548"/>
    <w:rsid w:val="00502421"/>
    <w:rsid w:val="00502C1E"/>
    <w:rsid w:val="00503AB1"/>
    <w:rsid w:val="0050706D"/>
    <w:rsid w:val="005113D6"/>
    <w:rsid w:val="00511737"/>
    <w:rsid w:val="005125F5"/>
    <w:rsid w:val="00514403"/>
    <w:rsid w:val="005144B2"/>
    <w:rsid w:val="005148F8"/>
    <w:rsid w:val="005156B6"/>
    <w:rsid w:val="0051675C"/>
    <w:rsid w:val="00517A50"/>
    <w:rsid w:val="005205F2"/>
    <w:rsid w:val="005217A3"/>
    <w:rsid w:val="00521BF1"/>
    <w:rsid w:val="005224BE"/>
    <w:rsid w:val="00524D58"/>
    <w:rsid w:val="00525935"/>
    <w:rsid w:val="005260D1"/>
    <w:rsid w:val="00530CC5"/>
    <w:rsid w:val="00532386"/>
    <w:rsid w:val="00532BA2"/>
    <w:rsid w:val="005348F6"/>
    <w:rsid w:val="00536A15"/>
    <w:rsid w:val="0053740F"/>
    <w:rsid w:val="005413F3"/>
    <w:rsid w:val="005433E2"/>
    <w:rsid w:val="0054373E"/>
    <w:rsid w:val="00544117"/>
    <w:rsid w:val="00544A5A"/>
    <w:rsid w:val="00546AFB"/>
    <w:rsid w:val="00551184"/>
    <w:rsid w:val="0055584B"/>
    <w:rsid w:val="0055613B"/>
    <w:rsid w:val="00556E1C"/>
    <w:rsid w:val="00557BE4"/>
    <w:rsid w:val="005604DC"/>
    <w:rsid w:val="00561285"/>
    <w:rsid w:val="005625C3"/>
    <w:rsid w:val="00562B47"/>
    <w:rsid w:val="005639CA"/>
    <w:rsid w:val="00565A76"/>
    <w:rsid w:val="00566795"/>
    <w:rsid w:val="005679BA"/>
    <w:rsid w:val="005725E0"/>
    <w:rsid w:val="005736E9"/>
    <w:rsid w:val="005743C1"/>
    <w:rsid w:val="0057510D"/>
    <w:rsid w:val="00575717"/>
    <w:rsid w:val="00575DF4"/>
    <w:rsid w:val="00575F0D"/>
    <w:rsid w:val="005762D8"/>
    <w:rsid w:val="0057759E"/>
    <w:rsid w:val="00577B39"/>
    <w:rsid w:val="005818A7"/>
    <w:rsid w:val="00581DDF"/>
    <w:rsid w:val="005848E9"/>
    <w:rsid w:val="0058521F"/>
    <w:rsid w:val="00585BDB"/>
    <w:rsid w:val="00592E91"/>
    <w:rsid w:val="005930C2"/>
    <w:rsid w:val="0059440C"/>
    <w:rsid w:val="00596713"/>
    <w:rsid w:val="005967AA"/>
    <w:rsid w:val="0059749B"/>
    <w:rsid w:val="005A21C4"/>
    <w:rsid w:val="005A251B"/>
    <w:rsid w:val="005A2EC8"/>
    <w:rsid w:val="005A6925"/>
    <w:rsid w:val="005B05AA"/>
    <w:rsid w:val="005B0E57"/>
    <w:rsid w:val="005B119C"/>
    <w:rsid w:val="005B2FB1"/>
    <w:rsid w:val="005B3E1E"/>
    <w:rsid w:val="005B4B8D"/>
    <w:rsid w:val="005B4F83"/>
    <w:rsid w:val="005B6B6E"/>
    <w:rsid w:val="005B6F0D"/>
    <w:rsid w:val="005C0E45"/>
    <w:rsid w:val="005C1A5E"/>
    <w:rsid w:val="005C1C4E"/>
    <w:rsid w:val="005C25D9"/>
    <w:rsid w:val="005C3103"/>
    <w:rsid w:val="005C792F"/>
    <w:rsid w:val="005D3178"/>
    <w:rsid w:val="005D4741"/>
    <w:rsid w:val="005D5558"/>
    <w:rsid w:val="005E1421"/>
    <w:rsid w:val="005E3428"/>
    <w:rsid w:val="005E45A3"/>
    <w:rsid w:val="005E6FB1"/>
    <w:rsid w:val="005E7D9B"/>
    <w:rsid w:val="005F0DF4"/>
    <w:rsid w:val="005F12D2"/>
    <w:rsid w:val="005F2E87"/>
    <w:rsid w:val="005F414A"/>
    <w:rsid w:val="005F4209"/>
    <w:rsid w:val="005F43A9"/>
    <w:rsid w:val="005F45BC"/>
    <w:rsid w:val="005F47C8"/>
    <w:rsid w:val="005F4A12"/>
    <w:rsid w:val="005F4FB3"/>
    <w:rsid w:val="005F59E7"/>
    <w:rsid w:val="005F67A6"/>
    <w:rsid w:val="005F6B06"/>
    <w:rsid w:val="00600235"/>
    <w:rsid w:val="00600377"/>
    <w:rsid w:val="00600CF3"/>
    <w:rsid w:val="00604526"/>
    <w:rsid w:val="0060476F"/>
    <w:rsid w:val="00611AD0"/>
    <w:rsid w:val="00611B71"/>
    <w:rsid w:val="006132D7"/>
    <w:rsid w:val="00617C82"/>
    <w:rsid w:val="00620BDE"/>
    <w:rsid w:val="006210B6"/>
    <w:rsid w:val="00622B89"/>
    <w:rsid w:val="006266EC"/>
    <w:rsid w:val="00627B86"/>
    <w:rsid w:val="0063248F"/>
    <w:rsid w:val="006330E1"/>
    <w:rsid w:val="006341FB"/>
    <w:rsid w:val="006345C5"/>
    <w:rsid w:val="00637F97"/>
    <w:rsid w:val="006404E9"/>
    <w:rsid w:val="00642675"/>
    <w:rsid w:val="0064309A"/>
    <w:rsid w:val="00643BD6"/>
    <w:rsid w:val="00643E4E"/>
    <w:rsid w:val="00643ED9"/>
    <w:rsid w:val="00646B43"/>
    <w:rsid w:val="0065116B"/>
    <w:rsid w:val="00652DAE"/>
    <w:rsid w:val="00655AFC"/>
    <w:rsid w:val="00657899"/>
    <w:rsid w:val="0066187F"/>
    <w:rsid w:val="006639EF"/>
    <w:rsid w:val="00663A05"/>
    <w:rsid w:val="006667DE"/>
    <w:rsid w:val="00667C82"/>
    <w:rsid w:val="00674C9B"/>
    <w:rsid w:val="00681D43"/>
    <w:rsid w:val="00682ABA"/>
    <w:rsid w:val="0068343D"/>
    <w:rsid w:val="00684378"/>
    <w:rsid w:val="0068455E"/>
    <w:rsid w:val="00684BEF"/>
    <w:rsid w:val="00685811"/>
    <w:rsid w:val="00685877"/>
    <w:rsid w:val="0068663C"/>
    <w:rsid w:val="0069112E"/>
    <w:rsid w:val="00691855"/>
    <w:rsid w:val="00692272"/>
    <w:rsid w:val="006935A2"/>
    <w:rsid w:val="00694349"/>
    <w:rsid w:val="0069494A"/>
    <w:rsid w:val="006959E5"/>
    <w:rsid w:val="006978E6"/>
    <w:rsid w:val="006A4A09"/>
    <w:rsid w:val="006A5140"/>
    <w:rsid w:val="006A584F"/>
    <w:rsid w:val="006A7D1E"/>
    <w:rsid w:val="006B30C1"/>
    <w:rsid w:val="006B46FD"/>
    <w:rsid w:val="006B4F5E"/>
    <w:rsid w:val="006B52D8"/>
    <w:rsid w:val="006B6A41"/>
    <w:rsid w:val="006B7F75"/>
    <w:rsid w:val="006C2BB1"/>
    <w:rsid w:val="006C39C3"/>
    <w:rsid w:val="006C4AA5"/>
    <w:rsid w:val="006C53B9"/>
    <w:rsid w:val="006C5402"/>
    <w:rsid w:val="006C7125"/>
    <w:rsid w:val="006D05BF"/>
    <w:rsid w:val="006D0A3F"/>
    <w:rsid w:val="006D0BB9"/>
    <w:rsid w:val="006D4D8A"/>
    <w:rsid w:val="006D5541"/>
    <w:rsid w:val="006D79F9"/>
    <w:rsid w:val="006E08F0"/>
    <w:rsid w:val="006E13BF"/>
    <w:rsid w:val="006E1F3D"/>
    <w:rsid w:val="006E38D2"/>
    <w:rsid w:val="006E699E"/>
    <w:rsid w:val="006E7A66"/>
    <w:rsid w:val="006F0492"/>
    <w:rsid w:val="006F1F9B"/>
    <w:rsid w:val="006F27DE"/>
    <w:rsid w:val="006F303E"/>
    <w:rsid w:val="006F355C"/>
    <w:rsid w:val="006F3CCD"/>
    <w:rsid w:val="006F43F3"/>
    <w:rsid w:val="006F76C8"/>
    <w:rsid w:val="00700136"/>
    <w:rsid w:val="00702B4D"/>
    <w:rsid w:val="00702E5A"/>
    <w:rsid w:val="00702FA8"/>
    <w:rsid w:val="007064E3"/>
    <w:rsid w:val="00707998"/>
    <w:rsid w:val="00710DFD"/>
    <w:rsid w:val="00711132"/>
    <w:rsid w:val="00711E25"/>
    <w:rsid w:val="00714688"/>
    <w:rsid w:val="00716DF1"/>
    <w:rsid w:val="00722E21"/>
    <w:rsid w:val="007238B1"/>
    <w:rsid w:val="007265EF"/>
    <w:rsid w:val="00726F78"/>
    <w:rsid w:val="007322DC"/>
    <w:rsid w:val="00733EE9"/>
    <w:rsid w:val="00735265"/>
    <w:rsid w:val="00736560"/>
    <w:rsid w:val="00737DB8"/>
    <w:rsid w:val="00740107"/>
    <w:rsid w:val="00740723"/>
    <w:rsid w:val="007424F3"/>
    <w:rsid w:val="0074550B"/>
    <w:rsid w:val="00745762"/>
    <w:rsid w:val="00751AB8"/>
    <w:rsid w:val="00753D3F"/>
    <w:rsid w:val="0075444C"/>
    <w:rsid w:val="00754671"/>
    <w:rsid w:val="007556E9"/>
    <w:rsid w:val="00755CA8"/>
    <w:rsid w:val="0075742D"/>
    <w:rsid w:val="00760555"/>
    <w:rsid w:val="007654CF"/>
    <w:rsid w:val="00765863"/>
    <w:rsid w:val="00767882"/>
    <w:rsid w:val="00767D96"/>
    <w:rsid w:val="0077128A"/>
    <w:rsid w:val="00771608"/>
    <w:rsid w:val="007719B1"/>
    <w:rsid w:val="007722F2"/>
    <w:rsid w:val="00773DB8"/>
    <w:rsid w:val="0077689F"/>
    <w:rsid w:val="00777792"/>
    <w:rsid w:val="00780556"/>
    <w:rsid w:val="0078276C"/>
    <w:rsid w:val="00783822"/>
    <w:rsid w:val="00784476"/>
    <w:rsid w:val="007847C1"/>
    <w:rsid w:val="00786A91"/>
    <w:rsid w:val="00786E82"/>
    <w:rsid w:val="00787DFA"/>
    <w:rsid w:val="00790010"/>
    <w:rsid w:val="007903E2"/>
    <w:rsid w:val="00790C89"/>
    <w:rsid w:val="00792157"/>
    <w:rsid w:val="007A0F98"/>
    <w:rsid w:val="007A1F3D"/>
    <w:rsid w:val="007A263D"/>
    <w:rsid w:val="007A51C2"/>
    <w:rsid w:val="007A553E"/>
    <w:rsid w:val="007C076A"/>
    <w:rsid w:val="007C309D"/>
    <w:rsid w:val="007C3E9C"/>
    <w:rsid w:val="007C478E"/>
    <w:rsid w:val="007C5080"/>
    <w:rsid w:val="007C6136"/>
    <w:rsid w:val="007C6262"/>
    <w:rsid w:val="007D1CA8"/>
    <w:rsid w:val="007D1F16"/>
    <w:rsid w:val="007D2354"/>
    <w:rsid w:val="007D4597"/>
    <w:rsid w:val="007D5C27"/>
    <w:rsid w:val="007E59C9"/>
    <w:rsid w:val="007E6306"/>
    <w:rsid w:val="007E7E32"/>
    <w:rsid w:val="007F1A33"/>
    <w:rsid w:val="007F2B00"/>
    <w:rsid w:val="007F3185"/>
    <w:rsid w:val="007F32EE"/>
    <w:rsid w:val="007F3B75"/>
    <w:rsid w:val="007F7265"/>
    <w:rsid w:val="00801772"/>
    <w:rsid w:val="00802516"/>
    <w:rsid w:val="00802607"/>
    <w:rsid w:val="0080354F"/>
    <w:rsid w:val="00805EE9"/>
    <w:rsid w:val="0080636C"/>
    <w:rsid w:val="00806707"/>
    <w:rsid w:val="00810D62"/>
    <w:rsid w:val="00812ED5"/>
    <w:rsid w:val="008216D4"/>
    <w:rsid w:val="00821A70"/>
    <w:rsid w:val="00826A1E"/>
    <w:rsid w:val="0083002E"/>
    <w:rsid w:val="00830751"/>
    <w:rsid w:val="008321FC"/>
    <w:rsid w:val="0083294A"/>
    <w:rsid w:val="00832C84"/>
    <w:rsid w:val="00833029"/>
    <w:rsid w:val="00833670"/>
    <w:rsid w:val="00835D62"/>
    <w:rsid w:val="00836435"/>
    <w:rsid w:val="00841598"/>
    <w:rsid w:val="00843BB3"/>
    <w:rsid w:val="008458BD"/>
    <w:rsid w:val="0084643F"/>
    <w:rsid w:val="00846D6C"/>
    <w:rsid w:val="008479BD"/>
    <w:rsid w:val="00852969"/>
    <w:rsid w:val="008551AD"/>
    <w:rsid w:val="00856096"/>
    <w:rsid w:val="00860E4D"/>
    <w:rsid w:val="00861310"/>
    <w:rsid w:val="008638C2"/>
    <w:rsid w:val="0086413A"/>
    <w:rsid w:val="008644A8"/>
    <w:rsid w:val="00864A41"/>
    <w:rsid w:val="008650C6"/>
    <w:rsid w:val="0086644E"/>
    <w:rsid w:val="008666D4"/>
    <w:rsid w:val="008667FF"/>
    <w:rsid w:val="00870D6B"/>
    <w:rsid w:val="00872852"/>
    <w:rsid w:val="00872F97"/>
    <w:rsid w:val="0087370C"/>
    <w:rsid w:val="00873E5F"/>
    <w:rsid w:val="008750F8"/>
    <w:rsid w:val="00875329"/>
    <w:rsid w:val="00875C43"/>
    <w:rsid w:val="00875FFD"/>
    <w:rsid w:val="00881C9A"/>
    <w:rsid w:val="00883C34"/>
    <w:rsid w:val="00884B84"/>
    <w:rsid w:val="0088658C"/>
    <w:rsid w:val="00890DCB"/>
    <w:rsid w:val="008919F0"/>
    <w:rsid w:val="00891C5B"/>
    <w:rsid w:val="008929F6"/>
    <w:rsid w:val="008932D9"/>
    <w:rsid w:val="008979CC"/>
    <w:rsid w:val="008A02DD"/>
    <w:rsid w:val="008A0B1F"/>
    <w:rsid w:val="008A2BEF"/>
    <w:rsid w:val="008A49F6"/>
    <w:rsid w:val="008A4A66"/>
    <w:rsid w:val="008A6024"/>
    <w:rsid w:val="008A6717"/>
    <w:rsid w:val="008A7210"/>
    <w:rsid w:val="008A751C"/>
    <w:rsid w:val="008B00F0"/>
    <w:rsid w:val="008B1A92"/>
    <w:rsid w:val="008B4FAF"/>
    <w:rsid w:val="008B6AEE"/>
    <w:rsid w:val="008C11A0"/>
    <w:rsid w:val="008C3979"/>
    <w:rsid w:val="008C4F38"/>
    <w:rsid w:val="008C55B0"/>
    <w:rsid w:val="008D1D21"/>
    <w:rsid w:val="008D2848"/>
    <w:rsid w:val="008D4B8E"/>
    <w:rsid w:val="008D6DA4"/>
    <w:rsid w:val="008E1ADC"/>
    <w:rsid w:val="008E3001"/>
    <w:rsid w:val="008E3D14"/>
    <w:rsid w:val="008E3D8A"/>
    <w:rsid w:val="008E48D0"/>
    <w:rsid w:val="008E4A87"/>
    <w:rsid w:val="008E7320"/>
    <w:rsid w:val="008E73A5"/>
    <w:rsid w:val="008E7526"/>
    <w:rsid w:val="008E794A"/>
    <w:rsid w:val="008F0FDD"/>
    <w:rsid w:val="008F4095"/>
    <w:rsid w:val="008F63F0"/>
    <w:rsid w:val="00901165"/>
    <w:rsid w:val="00901E04"/>
    <w:rsid w:val="00903C17"/>
    <w:rsid w:val="0091388B"/>
    <w:rsid w:val="00914848"/>
    <w:rsid w:val="009153BF"/>
    <w:rsid w:val="009154EC"/>
    <w:rsid w:val="0091561B"/>
    <w:rsid w:val="009169B0"/>
    <w:rsid w:val="0091774F"/>
    <w:rsid w:val="00917F52"/>
    <w:rsid w:val="00924CD2"/>
    <w:rsid w:val="00931553"/>
    <w:rsid w:val="00932C0B"/>
    <w:rsid w:val="00933BDF"/>
    <w:rsid w:val="00937C2E"/>
    <w:rsid w:val="00937EC3"/>
    <w:rsid w:val="009439D1"/>
    <w:rsid w:val="009468A3"/>
    <w:rsid w:val="00947389"/>
    <w:rsid w:val="00953FD2"/>
    <w:rsid w:val="0095587B"/>
    <w:rsid w:val="00957230"/>
    <w:rsid w:val="00962ABD"/>
    <w:rsid w:val="00962AFF"/>
    <w:rsid w:val="009632F8"/>
    <w:rsid w:val="009654C4"/>
    <w:rsid w:val="00970E73"/>
    <w:rsid w:val="00975A4E"/>
    <w:rsid w:val="00980203"/>
    <w:rsid w:val="00981056"/>
    <w:rsid w:val="00981229"/>
    <w:rsid w:val="0098289C"/>
    <w:rsid w:val="009830EC"/>
    <w:rsid w:val="00984C69"/>
    <w:rsid w:val="00984D68"/>
    <w:rsid w:val="009857B1"/>
    <w:rsid w:val="009874E5"/>
    <w:rsid w:val="0098770B"/>
    <w:rsid w:val="00987876"/>
    <w:rsid w:val="00990169"/>
    <w:rsid w:val="00992BAE"/>
    <w:rsid w:val="00992CB4"/>
    <w:rsid w:val="00994316"/>
    <w:rsid w:val="009955AE"/>
    <w:rsid w:val="009958FD"/>
    <w:rsid w:val="00995B15"/>
    <w:rsid w:val="00997B7F"/>
    <w:rsid w:val="00997C1E"/>
    <w:rsid w:val="00997EFD"/>
    <w:rsid w:val="009A14D0"/>
    <w:rsid w:val="009A1BDC"/>
    <w:rsid w:val="009A4F7C"/>
    <w:rsid w:val="009A6DB6"/>
    <w:rsid w:val="009A7158"/>
    <w:rsid w:val="009B010E"/>
    <w:rsid w:val="009B04D0"/>
    <w:rsid w:val="009B05B0"/>
    <w:rsid w:val="009B0778"/>
    <w:rsid w:val="009B1279"/>
    <w:rsid w:val="009B3513"/>
    <w:rsid w:val="009B4661"/>
    <w:rsid w:val="009B4B3E"/>
    <w:rsid w:val="009B4B56"/>
    <w:rsid w:val="009C10D3"/>
    <w:rsid w:val="009C44F7"/>
    <w:rsid w:val="009C4F80"/>
    <w:rsid w:val="009C6342"/>
    <w:rsid w:val="009C7921"/>
    <w:rsid w:val="009D3DAA"/>
    <w:rsid w:val="009D3DB2"/>
    <w:rsid w:val="009E06EB"/>
    <w:rsid w:val="009E11A6"/>
    <w:rsid w:val="009E17E6"/>
    <w:rsid w:val="009E35F5"/>
    <w:rsid w:val="009E392E"/>
    <w:rsid w:val="009E679C"/>
    <w:rsid w:val="009E72E6"/>
    <w:rsid w:val="009F0C77"/>
    <w:rsid w:val="009F2473"/>
    <w:rsid w:val="009F44B5"/>
    <w:rsid w:val="009F50E8"/>
    <w:rsid w:val="009F67E9"/>
    <w:rsid w:val="009F7622"/>
    <w:rsid w:val="009F797A"/>
    <w:rsid w:val="00A0116F"/>
    <w:rsid w:val="00A01548"/>
    <w:rsid w:val="00A03655"/>
    <w:rsid w:val="00A05A98"/>
    <w:rsid w:val="00A06593"/>
    <w:rsid w:val="00A10B0E"/>
    <w:rsid w:val="00A11AF0"/>
    <w:rsid w:val="00A11E8E"/>
    <w:rsid w:val="00A161D9"/>
    <w:rsid w:val="00A2246D"/>
    <w:rsid w:val="00A22AA3"/>
    <w:rsid w:val="00A2300F"/>
    <w:rsid w:val="00A235FE"/>
    <w:rsid w:val="00A302BC"/>
    <w:rsid w:val="00A31C35"/>
    <w:rsid w:val="00A3505B"/>
    <w:rsid w:val="00A366BD"/>
    <w:rsid w:val="00A41EEB"/>
    <w:rsid w:val="00A444AF"/>
    <w:rsid w:val="00A4464D"/>
    <w:rsid w:val="00A46292"/>
    <w:rsid w:val="00A46488"/>
    <w:rsid w:val="00A55FE5"/>
    <w:rsid w:val="00A573A2"/>
    <w:rsid w:val="00A57920"/>
    <w:rsid w:val="00A57D94"/>
    <w:rsid w:val="00A62561"/>
    <w:rsid w:val="00A627C0"/>
    <w:rsid w:val="00A62CF6"/>
    <w:rsid w:val="00A634EF"/>
    <w:rsid w:val="00A644AC"/>
    <w:rsid w:val="00A6557E"/>
    <w:rsid w:val="00A66B90"/>
    <w:rsid w:val="00A71894"/>
    <w:rsid w:val="00A720EB"/>
    <w:rsid w:val="00A76361"/>
    <w:rsid w:val="00A77B21"/>
    <w:rsid w:val="00A77B99"/>
    <w:rsid w:val="00A80F19"/>
    <w:rsid w:val="00A8170C"/>
    <w:rsid w:val="00A8327D"/>
    <w:rsid w:val="00A83D02"/>
    <w:rsid w:val="00A90753"/>
    <w:rsid w:val="00A90F99"/>
    <w:rsid w:val="00A91B29"/>
    <w:rsid w:val="00A93738"/>
    <w:rsid w:val="00A9731D"/>
    <w:rsid w:val="00A9759D"/>
    <w:rsid w:val="00A9762B"/>
    <w:rsid w:val="00AA01B4"/>
    <w:rsid w:val="00AA24D4"/>
    <w:rsid w:val="00AA275F"/>
    <w:rsid w:val="00AA44C6"/>
    <w:rsid w:val="00AB2C26"/>
    <w:rsid w:val="00AB329C"/>
    <w:rsid w:val="00AB4362"/>
    <w:rsid w:val="00AB4B42"/>
    <w:rsid w:val="00AB6416"/>
    <w:rsid w:val="00AB6CE8"/>
    <w:rsid w:val="00AB742E"/>
    <w:rsid w:val="00AB7F32"/>
    <w:rsid w:val="00AC21B8"/>
    <w:rsid w:val="00AD05CF"/>
    <w:rsid w:val="00AD1BB7"/>
    <w:rsid w:val="00AD5C2A"/>
    <w:rsid w:val="00AE0EBF"/>
    <w:rsid w:val="00AE1273"/>
    <w:rsid w:val="00AE1B86"/>
    <w:rsid w:val="00AE2790"/>
    <w:rsid w:val="00AE547F"/>
    <w:rsid w:val="00AE5A6D"/>
    <w:rsid w:val="00AE7DAC"/>
    <w:rsid w:val="00AF1533"/>
    <w:rsid w:val="00AF169F"/>
    <w:rsid w:val="00AF24A9"/>
    <w:rsid w:val="00AF34B4"/>
    <w:rsid w:val="00AF3A93"/>
    <w:rsid w:val="00AF55A3"/>
    <w:rsid w:val="00AF58C5"/>
    <w:rsid w:val="00AF5BFA"/>
    <w:rsid w:val="00AF62D9"/>
    <w:rsid w:val="00B002CF"/>
    <w:rsid w:val="00B0183C"/>
    <w:rsid w:val="00B031F3"/>
    <w:rsid w:val="00B0476B"/>
    <w:rsid w:val="00B05E08"/>
    <w:rsid w:val="00B10510"/>
    <w:rsid w:val="00B121DD"/>
    <w:rsid w:val="00B146C1"/>
    <w:rsid w:val="00B14E7C"/>
    <w:rsid w:val="00B15AF2"/>
    <w:rsid w:val="00B215C3"/>
    <w:rsid w:val="00B24D0D"/>
    <w:rsid w:val="00B24D9C"/>
    <w:rsid w:val="00B250E0"/>
    <w:rsid w:val="00B253F4"/>
    <w:rsid w:val="00B25F39"/>
    <w:rsid w:val="00B26BC2"/>
    <w:rsid w:val="00B3304D"/>
    <w:rsid w:val="00B35F0D"/>
    <w:rsid w:val="00B370EB"/>
    <w:rsid w:val="00B4365D"/>
    <w:rsid w:val="00B43664"/>
    <w:rsid w:val="00B44AB5"/>
    <w:rsid w:val="00B45944"/>
    <w:rsid w:val="00B476ED"/>
    <w:rsid w:val="00B47D3D"/>
    <w:rsid w:val="00B50E9F"/>
    <w:rsid w:val="00B50EC8"/>
    <w:rsid w:val="00B5192B"/>
    <w:rsid w:val="00B52FFB"/>
    <w:rsid w:val="00B56F77"/>
    <w:rsid w:val="00B61D8E"/>
    <w:rsid w:val="00B61DDE"/>
    <w:rsid w:val="00B64A8C"/>
    <w:rsid w:val="00B65772"/>
    <w:rsid w:val="00B65E38"/>
    <w:rsid w:val="00B65E56"/>
    <w:rsid w:val="00B672DB"/>
    <w:rsid w:val="00B71B3D"/>
    <w:rsid w:val="00B71E5D"/>
    <w:rsid w:val="00B72E13"/>
    <w:rsid w:val="00B73529"/>
    <w:rsid w:val="00B74F39"/>
    <w:rsid w:val="00B7541A"/>
    <w:rsid w:val="00B77102"/>
    <w:rsid w:val="00B77CBB"/>
    <w:rsid w:val="00B81BD6"/>
    <w:rsid w:val="00B8203F"/>
    <w:rsid w:val="00B8290D"/>
    <w:rsid w:val="00B8426B"/>
    <w:rsid w:val="00B9008D"/>
    <w:rsid w:val="00B90B70"/>
    <w:rsid w:val="00B919D4"/>
    <w:rsid w:val="00B933C2"/>
    <w:rsid w:val="00B94EF7"/>
    <w:rsid w:val="00B96334"/>
    <w:rsid w:val="00B974D6"/>
    <w:rsid w:val="00BA0517"/>
    <w:rsid w:val="00BA1257"/>
    <w:rsid w:val="00BA3DFC"/>
    <w:rsid w:val="00BB20CE"/>
    <w:rsid w:val="00BB29B6"/>
    <w:rsid w:val="00BB2EBC"/>
    <w:rsid w:val="00BB32F4"/>
    <w:rsid w:val="00BB5AF0"/>
    <w:rsid w:val="00BB7AA9"/>
    <w:rsid w:val="00BC3187"/>
    <w:rsid w:val="00BC454D"/>
    <w:rsid w:val="00BC46AD"/>
    <w:rsid w:val="00BC6A47"/>
    <w:rsid w:val="00BC6AF9"/>
    <w:rsid w:val="00BC6B65"/>
    <w:rsid w:val="00BD305C"/>
    <w:rsid w:val="00BD49C2"/>
    <w:rsid w:val="00BD4CFE"/>
    <w:rsid w:val="00BD4D61"/>
    <w:rsid w:val="00BD63B1"/>
    <w:rsid w:val="00BE05FB"/>
    <w:rsid w:val="00BE63F9"/>
    <w:rsid w:val="00BF156E"/>
    <w:rsid w:val="00BF21DA"/>
    <w:rsid w:val="00BF2527"/>
    <w:rsid w:val="00BF413E"/>
    <w:rsid w:val="00BF4894"/>
    <w:rsid w:val="00BF4DC6"/>
    <w:rsid w:val="00BF7F63"/>
    <w:rsid w:val="00C006AD"/>
    <w:rsid w:val="00C02DC7"/>
    <w:rsid w:val="00C035E9"/>
    <w:rsid w:val="00C06EA7"/>
    <w:rsid w:val="00C07002"/>
    <w:rsid w:val="00C07384"/>
    <w:rsid w:val="00C11063"/>
    <w:rsid w:val="00C11A17"/>
    <w:rsid w:val="00C151A1"/>
    <w:rsid w:val="00C20103"/>
    <w:rsid w:val="00C23B03"/>
    <w:rsid w:val="00C261FF"/>
    <w:rsid w:val="00C30DCF"/>
    <w:rsid w:val="00C32DC6"/>
    <w:rsid w:val="00C3352C"/>
    <w:rsid w:val="00C36421"/>
    <w:rsid w:val="00C40207"/>
    <w:rsid w:val="00C429CD"/>
    <w:rsid w:val="00C47416"/>
    <w:rsid w:val="00C479F3"/>
    <w:rsid w:val="00C52EEE"/>
    <w:rsid w:val="00C531A9"/>
    <w:rsid w:val="00C55D18"/>
    <w:rsid w:val="00C57E01"/>
    <w:rsid w:val="00C62AB6"/>
    <w:rsid w:val="00C6454C"/>
    <w:rsid w:val="00C72F1C"/>
    <w:rsid w:val="00C73C65"/>
    <w:rsid w:val="00C74114"/>
    <w:rsid w:val="00C741D4"/>
    <w:rsid w:val="00C745EC"/>
    <w:rsid w:val="00C773B4"/>
    <w:rsid w:val="00C80A0F"/>
    <w:rsid w:val="00C81A49"/>
    <w:rsid w:val="00C8250D"/>
    <w:rsid w:val="00C84869"/>
    <w:rsid w:val="00C8585E"/>
    <w:rsid w:val="00C9062C"/>
    <w:rsid w:val="00C929F3"/>
    <w:rsid w:val="00C93092"/>
    <w:rsid w:val="00C945FB"/>
    <w:rsid w:val="00C95957"/>
    <w:rsid w:val="00CA286F"/>
    <w:rsid w:val="00CA28E1"/>
    <w:rsid w:val="00CA4222"/>
    <w:rsid w:val="00CA4542"/>
    <w:rsid w:val="00CA609F"/>
    <w:rsid w:val="00CA6289"/>
    <w:rsid w:val="00CB07CE"/>
    <w:rsid w:val="00CB2EF5"/>
    <w:rsid w:val="00CB491A"/>
    <w:rsid w:val="00CB59A5"/>
    <w:rsid w:val="00CB5D2B"/>
    <w:rsid w:val="00CB7A6C"/>
    <w:rsid w:val="00CC0514"/>
    <w:rsid w:val="00CC22BE"/>
    <w:rsid w:val="00CC3489"/>
    <w:rsid w:val="00CD0007"/>
    <w:rsid w:val="00CD172D"/>
    <w:rsid w:val="00CD211E"/>
    <w:rsid w:val="00CD2A85"/>
    <w:rsid w:val="00CD43B9"/>
    <w:rsid w:val="00CD4611"/>
    <w:rsid w:val="00CD485A"/>
    <w:rsid w:val="00CD67C6"/>
    <w:rsid w:val="00CD70F0"/>
    <w:rsid w:val="00CE2B95"/>
    <w:rsid w:val="00CF1081"/>
    <w:rsid w:val="00CF2286"/>
    <w:rsid w:val="00CF274F"/>
    <w:rsid w:val="00CF52D1"/>
    <w:rsid w:val="00CF7545"/>
    <w:rsid w:val="00CF7A37"/>
    <w:rsid w:val="00D00CD2"/>
    <w:rsid w:val="00D00DB8"/>
    <w:rsid w:val="00D011FE"/>
    <w:rsid w:val="00D01D5B"/>
    <w:rsid w:val="00D02730"/>
    <w:rsid w:val="00D03846"/>
    <w:rsid w:val="00D065EB"/>
    <w:rsid w:val="00D12339"/>
    <w:rsid w:val="00D13D06"/>
    <w:rsid w:val="00D14203"/>
    <w:rsid w:val="00D1524E"/>
    <w:rsid w:val="00D1546C"/>
    <w:rsid w:val="00D154E1"/>
    <w:rsid w:val="00D15AB2"/>
    <w:rsid w:val="00D16A2E"/>
    <w:rsid w:val="00D17120"/>
    <w:rsid w:val="00D211FC"/>
    <w:rsid w:val="00D2151B"/>
    <w:rsid w:val="00D21F4F"/>
    <w:rsid w:val="00D231A4"/>
    <w:rsid w:val="00D23512"/>
    <w:rsid w:val="00D25D6B"/>
    <w:rsid w:val="00D27CF4"/>
    <w:rsid w:val="00D304FF"/>
    <w:rsid w:val="00D31D9C"/>
    <w:rsid w:val="00D32E19"/>
    <w:rsid w:val="00D32E8E"/>
    <w:rsid w:val="00D338F3"/>
    <w:rsid w:val="00D35213"/>
    <w:rsid w:val="00D360DF"/>
    <w:rsid w:val="00D36687"/>
    <w:rsid w:val="00D3737F"/>
    <w:rsid w:val="00D41757"/>
    <w:rsid w:val="00D42A33"/>
    <w:rsid w:val="00D504A8"/>
    <w:rsid w:val="00D50851"/>
    <w:rsid w:val="00D5086B"/>
    <w:rsid w:val="00D52DBC"/>
    <w:rsid w:val="00D5347C"/>
    <w:rsid w:val="00D53D47"/>
    <w:rsid w:val="00D54F7D"/>
    <w:rsid w:val="00D5657B"/>
    <w:rsid w:val="00D5747F"/>
    <w:rsid w:val="00D57CD4"/>
    <w:rsid w:val="00D57E86"/>
    <w:rsid w:val="00D62803"/>
    <w:rsid w:val="00D62CCB"/>
    <w:rsid w:val="00D653AB"/>
    <w:rsid w:val="00D65D24"/>
    <w:rsid w:val="00D7059B"/>
    <w:rsid w:val="00D711CB"/>
    <w:rsid w:val="00D71C54"/>
    <w:rsid w:val="00D7273E"/>
    <w:rsid w:val="00D730D7"/>
    <w:rsid w:val="00D730E4"/>
    <w:rsid w:val="00D73259"/>
    <w:rsid w:val="00D7660D"/>
    <w:rsid w:val="00D840B4"/>
    <w:rsid w:val="00D843E9"/>
    <w:rsid w:val="00D8657B"/>
    <w:rsid w:val="00D86DC0"/>
    <w:rsid w:val="00D900BA"/>
    <w:rsid w:val="00D90565"/>
    <w:rsid w:val="00D90A93"/>
    <w:rsid w:val="00D90EAD"/>
    <w:rsid w:val="00D94213"/>
    <w:rsid w:val="00D95594"/>
    <w:rsid w:val="00D9562E"/>
    <w:rsid w:val="00D95F33"/>
    <w:rsid w:val="00D969BB"/>
    <w:rsid w:val="00DA1973"/>
    <w:rsid w:val="00DA28E9"/>
    <w:rsid w:val="00DA2A53"/>
    <w:rsid w:val="00DA4DBA"/>
    <w:rsid w:val="00DA5664"/>
    <w:rsid w:val="00DA73F2"/>
    <w:rsid w:val="00DB12EF"/>
    <w:rsid w:val="00DB2A52"/>
    <w:rsid w:val="00DB2FE4"/>
    <w:rsid w:val="00DB35C6"/>
    <w:rsid w:val="00DB68D5"/>
    <w:rsid w:val="00DC284B"/>
    <w:rsid w:val="00DC2C74"/>
    <w:rsid w:val="00DC3B9C"/>
    <w:rsid w:val="00DC47A5"/>
    <w:rsid w:val="00DC49F4"/>
    <w:rsid w:val="00DC6957"/>
    <w:rsid w:val="00DD1958"/>
    <w:rsid w:val="00DD3C6E"/>
    <w:rsid w:val="00DD427D"/>
    <w:rsid w:val="00DD5F2A"/>
    <w:rsid w:val="00DD7D54"/>
    <w:rsid w:val="00DE04D5"/>
    <w:rsid w:val="00DE0BAD"/>
    <w:rsid w:val="00DE2864"/>
    <w:rsid w:val="00DE3145"/>
    <w:rsid w:val="00DE6B17"/>
    <w:rsid w:val="00DF0DD1"/>
    <w:rsid w:val="00DF361C"/>
    <w:rsid w:val="00DF503A"/>
    <w:rsid w:val="00DF618A"/>
    <w:rsid w:val="00E02B9F"/>
    <w:rsid w:val="00E030D1"/>
    <w:rsid w:val="00E04133"/>
    <w:rsid w:val="00E044D1"/>
    <w:rsid w:val="00E04BB8"/>
    <w:rsid w:val="00E04CBC"/>
    <w:rsid w:val="00E0500A"/>
    <w:rsid w:val="00E05293"/>
    <w:rsid w:val="00E06A7B"/>
    <w:rsid w:val="00E07690"/>
    <w:rsid w:val="00E10339"/>
    <w:rsid w:val="00E12894"/>
    <w:rsid w:val="00E15C3D"/>
    <w:rsid w:val="00E16358"/>
    <w:rsid w:val="00E16DB3"/>
    <w:rsid w:val="00E17E22"/>
    <w:rsid w:val="00E21F20"/>
    <w:rsid w:val="00E23833"/>
    <w:rsid w:val="00E2567A"/>
    <w:rsid w:val="00E31D21"/>
    <w:rsid w:val="00E3395E"/>
    <w:rsid w:val="00E33AEB"/>
    <w:rsid w:val="00E359BF"/>
    <w:rsid w:val="00E37585"/>
    <w:rsid w:val="00E41128"/>
    <w:rsid w:val="00E412D1"/>
    <w:rsid w:val="00E41DF1"/>
    <w:rsid w:val="00E42720"/>
    <w:rsid w:val="00E4310E"/>
    <w:rsid w:val="00E44734"/>
    <w:rsid w:val="00E45CD7"/>
    <w:rsid w:val="00E463DB"/>
    <w:rsid w:val="00E47985"/>
    <w:rsid w:val="00E51C7C"/>
    <w:rsid w:val="00E53529"/>
    <w:rsid w:val="00E53813"/>
    <w:rsid w:val="00E557A2"/>
    <w:rsid w:val="00E60879"/>
    <w:rsid w:val="00E61A56"/>
    <w:rsid w:val="00E62FBB"/>
    <w:rsid w:val="00E630D1"/>
    <w:rsid w:val="00E63D79"/>
    <w:rsid w:val="00E6502F"/>
    <w:rsid w:val="00E667D3"/>
    <w:rsid w:val="00E6791E"/>
    <w:rsid w:val="00E6796E"/>
    <w:rsid w:val="00E705AC"/>
    <w:rsid w:val="00E72009"/>
    <w:rsid w:val="00E74AB5"/>
    <w:rsid w:val="00E75964"/>
    <w:rsid w:val="00E80FCE"/>
    <w:rsid w:val="00E825DA"/>
    <w:rsid w:val="00E855FA"/>
    <w:rsid w:val="00E87350"/>
    <w:rsid w:val="00E87A91"/>
    <w:rsid w:val="00E9096B"/>
    <w:rsid w:val="00E95F63"/>
    <w:rsid w:val="00E966DE"/>
    <w:rsid w:val="00E96C8D"/>
    <w:rsid w:val="00EA06E0"/>
    <w:rsid w:val="00EA338F"/>
    <w:rsid w:val="00EB214C"/>
    <w:rsid w:val="00EB4BFA"/>
    <w:rsid w:val="00EB51FC"/>
    <w:rsid w:val="00EC2438"/>
    <w:rsid w:val="00EC24A8"/>
    <w:rsid w:val="00EC24B8"/>
    <w:rsid w:val="00EC3661"/>
    <w:rsid w:val="00EC7C52"/>
    <w:rsid w:val="00EC7EAD"/>
    <w:rsid w:val="00ED07F0"/>
    <w:rsid w:val="00ED086C"/>
    <w:rsid w:val="00ED3629"/>
    <w:rsid w:val="00ED40BA"/>
    <w:rsid w:val="00ED7A1E"/>
    <w:rsid w:val="00ED7DAE"/>
    <w:rsid w:val="00EE05C1"/>
    <w:rsid w:val="00EE1021"/>
    <w:rsid w:val="00EE3528"/>
    <w:rsid w:val="00EE51EC"/>
    <w:rsid w:val="00EE5E61"/>
    <w:rsid w:val="00EE7021"/>
    <w:rsid w:val="00EF00DA"/>
    <w:rsid w:val="00EF01A2"/>
    <w:rsid w:val="00EF08AC"/>
    <w:rsid w:val="00EF0BEF"/>
    <w:rsid w:val="00EF10C5"/>
    <w:rsid w:val="00EF130D"/>
    <w:rsid w:val="00EF55AF"/>
    <w:rsid w:val="00EF61F0"/>
    <w:rsid w:val="00EF6435"/>
    <w:rsid w:val="00F02A71"/>
    <w:rsid w:val="00F03814"/>
    <w:rsid w:val="00F0414E"/>
    <w:rsid w:val="00F043D9"/>
    <w:rsid w:val="00F04F9A"/>
    <w:rsid w:val="00F058F6"/>
    <w:rsid w:val="00F102EB"/>
    <w:rsid w:val="00F116F3"/>
    <w:rsid w:val="00F127B3"/>
    <w:rsid w:val="00F12806"/>
    <w:rsid w:val="00F14B78"/>
    <w:rsid w:val="00F155AE"/>
    <w:rsid w:val="00F15A27"/>
    <w:rsid w:val="00F20137"/>
    <w:rsid w:val="00F2275C"/>
    <w:rsid w:val="00F2329B"/>
    <w:rsid w:val="00F24940"/>
    <w:rsid w:val="00F24D14"/>
    <w:rsid w:val="00F2630C"/>
    <w:rsid w:val="00F2636C"/>
    <w:rsid w:val="00F268E8"/>
    <w:rsid w:val="00F3119B"/>
    <w:rsid w:val="00F3288D"/>
    <w:rsid w:val="00F34F3E"/>
    <w:rsid w:val="00F37569"/>
    <w:rsid w:val="00F37729"/>
    <w:rsid w:val="00F37940"/>
    <w:rsid w:val="00F41219"/>
    <w:rsid w:val="00F4172A"/>
    <w:rsid w:val="00F45484"/>
    <w:rsid w:val="00F504D6"/>
    <w:rsid w:val="00F50F9B"/>
    <w:rsid w:val="00F5110E"/>
    <w:rsid w:val="00F515F3"/>
    <w:rsid w:val="00F52E97"/>
    <w:rsid w:val="00F54060"/>
    <w:rsid w:val="00F54101"/>
    <w:rsid w:val="00F54DB2"/>
    <w:rsid w:val="00F556D4"/>
    <w:rsid w:val="00F5573B"/>
    <w:rsid w:val="00F56C26"/>
    <w:rsid w:val="00F60489"/>
    <w:rsid w:val="00F608A6"/>
    <w:rsid w:val="00F60E89"/>
    <w:rsid w:val="00F6197B"/>
    <w:rsid w:val="00F619D6"/>
    <w:rsid w:val="00F64026"/>
    <w:rsid w:val="00F6422E"/>
    <w:rsid w:val="00F646DA"/>
    <w:rsid w:val="00F728E1"/>
    <w:rsid w:val="00F740AB"/>
    <w:rsid w:val="00F75279"/>
    <w:rsid w:val="00F75AF8"/>
    <w:rsid w:val="00F77CF2"/>
    <w:rsid w:val="00F80112"/>
    <w:rsid w:val="00F824FB"/>
    <w:rsid w:val="00F83F3E"/>
    <w:rsid w:val="00F842E0"/>
    <w:rsid w:val="00F8608E"/>
    <w:rsid w:val="00F864CF"/>
    <w:rsid w:val="00F9082B"/>
    <w:rsid w:val="00F91501"/>
    <w:rsid w:val="00F92652"/>
    <w:rsid w:val="00F93855"/>
    <w:rsid w:val="00F93A7C"/>
    <w:rsid w:val="00F9421C"/>
    <w:rsid w:val="00F946F2"/>
    <w:rsid w:val="00F94E56"/>
    <w:rsid w:val="00F969D5"/>
    <w:rsid w:val="00F96B75"/>
    <w:rsid w:val="00F97183"/>
    <w:rsid w:val="00FA27DD"/>
    <w:rsid w:val="00FA386E"/>
    <w:rsid w:val="00FA43BB"/>
    <w:rsid w:val="00FB15D2"/>
    <w:rsid w:val="00FB2537"/>
    <w:rsid w:val="00FB267F"/>
    <w:rsid w:val="00FB3A78"/>
    <w:rsid w:val="00FC226C"/>
    <w:rsid w:val="00FC28C1"/>
    <w:rsid w:val="00FC6974"/>
    <w:rsid w:val="00FC69DA"/>
    <w:rsid w:val="00FC7149"/>
    <w:rsid w:val="00FC7206"/>
    <w:rsid w:val="00FD0062"/>
    <w:rsid w:val="00FD175B"/>
    <w:rsid w:val="00FD4FC4"/>
    <w:rsid w:val="00FD51B5"/>
    <w:rsid w:val="00FE100F"/>
    <w:rsid w:val="00FE1355"/>
    <w:rsid w:val="00FE2625"/>
    <w:rsid w:val="00FE5ECF"/>
    <w:rsid w:val="00FE6C48"/>
    <w:rsid w:val="00FE6C96"/>
    <w:rsid w:val="00FE6E8D"/>
    <w:rsid w:val="00FF1F7E"/>
    <w:rsid w:val="00FF4427"/>
    <w:rsid w:val="00FF62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C9D97A"/>
  <w15:docId w15:val="{89B58EFA-3F8E-4EC4-A372-C79B4C7F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22F"/>
  </w:style>
  <w:style w:type="paragraph" w:styleId="Heading1">
    <w:name w:val="heading 1"/>
    <w:basedOn w:val="Normal"/>
    <w:next w:val="Normal"/>
    <w:link w:val="Heading1Char"/>
    <w:uiPriority w:val="9"/>
    <w:qFormat/>
    <w:rsid w:val="0018422F"/>
    <w:pPr>
      <w:keepNext/>
      <w:keepLines/>
      <w:numPr>
        <w:numId w:val="4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8422F"/>
    <w:pPr>
      <w:keepNext/>
      <w:keepLines/>
      <w:numPr>
        <w:ilvl w:val="1"/>
        <w:numId w:val="4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8422F"/>
    <w:pPr>
      <w:keepNext/>
      <w:keepLines/>
      <w:numPr>
        <w:ilvl w:val="2"/>
        <w:numId w:val="4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8422F"/>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8422F"/>
    <w:pPr>
      <w:keepNext/>
      <w:keepLines/>
      <w:numPr>
        <w:ilvl w:val="4"/>
        <w:numId w:val="4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18422F"/>
    <w:pPr>
      <w:keepNext/>
      <w:keepLines/>
      <w:numPr>
        <w:ilvl w:val="5"/>
        <w:numId w:val="4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18422F"/>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422F"/>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422F"/>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ind w:left="720"/>
      <w:contextualSpacing/>
    </w:p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iPriority w:val="99"/>
    <w:unhideWhenUsed/>
    <w:rsid w:val="00600CF3"/>
    <w:pPr>
      <w:spacing w:line="240" w:lineRule="auto"/>
    </w:pPr>
    <w:rPr>
      <w:sz w:val="20"/>
      <w:szCs w:val="20"/>
    </w:rPr>
  </w:style>
  <w:style w:type="character" w:customStyle="1" w:styleId="CommentTextChar">
    <w:name w:val="Comment Text Char"/>
    <w:basedOn w:val="DefaultParagraphFont"/>
    <w:link w:val="CommentText"/>
    <w:uiPriority w:val="99"/>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rsid w:val="00EF01A2"/>
    <w:pPr>
      <w:tabs>
        <w:tab w:val="right" w:leader="dot" w:pos="9350"/>
      </w:tabs>
      <w:spacing w:after="100" w:line="240" w:lineRule="auto"/>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22F"/>
    <w:pPr>
      <w:spacing w:after="0" w:line="240" w:lineRule="auto"/>
    </w:pPr>
  </w:style>
  <w:style w:type="character" w:customStyle="1" w:styleId="Heading1Char">
    <w:name w:val="Heading 1 Char"/>
    <w:basedOn w:val="DefaultParagraphFont"/>
    <w:link w:val="Heading1"/>
    <w:uiPriority w:val="9"/>
    <w:rsid w:val="0018422F"/>
    <w:rPr>
      <w:rFonts w:asciiTheme="majorHAnsi" w:eastAsiaTheme="majorEastAsia" w:hAnsiTheme="majorHAnsi" w:cstheme="majorBidi"/>
      <w:b/>
      <w:bCs/>
      <w:smallCaps/>
      <w:color w:val="000000" w:themeColor="text1"/>
      <w:sz w:val="36"/>
      <w:szCs w:val="36"/>
    </w:rPr>
  </w:style>
  <w:style w:type="paragraph" w:styleId="TOCHeading">
    <w:name w:val="TOC Heading"/>
    <w:basedOn w:val="Heading1"/>
    <w:next w:val="Normal"/>
    <w:uiPriority w:val="39"/>
    <w:unhideWhenUsed/>
    <w:qFormat/>
    <w:rsid w:val="0018422F"/>
    <w:pPr>
      <w:outlineLvl w:val="9"/>
    </w:pPr>
  </w:style>
  <w:style w:type="character" w:styleId="Emphasis">
    <w:name w:val="Emphasis"/>
    <w:basedOn w:val="DefaultParagraphFont"/>
    <w:uiPriority w:val="20"/>
    <w:qFormat/>
    <w:rsid w:val="0018422F"/>
    <w:rPr>
      <w:i/>
      <w:iCs/>
      <w:color w:val="auto"/>
    </w:rPr>
  </w:style>
  <w:style w:type="table" w:styleId="TableGrid">
    <w:name w:val="Table Grid"/>
    <w:basedOn w:val="TableNormal"/>
    <w:uiPriority w:val="59"/>
    <w:rsid w:val="00FE262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8422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18422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8422F"/>
    <w:rPr>
      <w:rFonts w:asciiTheme="majorHAnsi" w:eastAsiaTheme="majorEastAsia" w:hAnsiTheme="majorHAnsi" w:cstheme="majorBidi"/>
      <w:color w:val="000000" w:themeColor="text1"/>
      <w:sz w:val="56"/>
      <w:szCs w:val="56"/>
    </w:rPr>
  </w:style>
  <w:style w:type="character" w:customStyle="1" w:styleId="Heading2Char">
    <w:name w:val="Heading 2 Char"/>
    <w:basedOn w:val="DefaultParagraphFont"/>
    <w:link w:val="Heading2"/>
    <w:uiPriority w:val="9"/>
    <w:semiHidden/>
    <w:rsid w:val="0018422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8422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8422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8422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18422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18422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42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422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18422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8422F"/>
    <w:rPr>
      <w:color w:val="5A5A5A" w:themeColor="text1" w:themeTint="A5"/>
      <w:spacing w:val="10"/>
    </w:rPr>
  </w:style>
  <w:style w:type="character" w:styleId="Strong">
    <w:name w:val="Strong"/>
    <w:basedOn w:val="DefaultParagraphFont"/>
    <w:uiPriority w:val="22"/>
    <w:qFormat/>
    <w:rsid w:val="0018422F"/>
    <w:rPr>
      <w:b/>
      <w:bCs/>
      <w:color w:val="000000" w:themeColor="text1"/>
    </w:rPr>
  </w:style>
  <w:style w:type="paragraph" w:styleId="Quote">
    <w:name w:val="Quote"/>
    <w:basedOn w:val="Normal"/>
    <w:next w:val="Normal"/>
    <w:link w:val="QuoteChar"/>
    <w:uiPriority w:val="29"/>
    <w:qFormat/>
    <w:rsid w:val="0018422F"/>
    <w:pPr>
      <w:spacing w:before="160"/>
      <w:ind w:left="720" w:right="720"/>
    </w:pPr>
    <w:rPr>
      <w:i/>
      <w:iCs/>
      <w:color w:val="000000" w:themeColor="text1"/>
    </w:rPr>
  </w:style>
  <w:style w:type="character" w:customStyle="1" w:styleId="QuoteChar">
    <w:name w:val="Quote Char"/>
    <w:basedOn w:val="DefaultParagraphFont"/>
    <w:link w:val="Quote"/>
    <w:uiPriority w:val="29"/>
    <w:rsid w:val="0018422F"/>
    <w:rPr>
      <w:i/>
      <w:iCs/>
      <w:color w:val="000000" w:themeColor="text1"/>
    </w:rPr>
  </w:style>
  <w:style w:type="paragraph" w:styleId="IntenseQuote">
    <w:name w:val="Intense Quote"/>
    <w:basedOn w:val="Normal"/>
    <w:next w:val="Normal"/>
    <w:link w:val="IntenseQuoteChar"/>
    <w:uiPriority w:val="30"/>
    <w:qFormat/>
    <w:rsid w:val="0018422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8422F"/>
    <w:rPr>
      <w:color w:val="000000" w:themeColor="text1"/>
      <w:shd w:val="clear" w:color="auto" w:fill="F2F2F2" w:themeFill="background1" w:themeFillShade="F2"/>
    </w:rPr>
  </w:style>
  <w:style w:type="character" w:styleId="SubtleEmphasis">
    <w:name w:val="Subtle Emphasis"/>
    <w:basedOn w:val="DefaultParagraphFont"/>
    <w:uiPriority w:val="19"/>
    <w:qFormat/>
    <w:rsid w:val="0018422F"/>
    <w:rPr>
      <w:i/>
      <w:iCs/>
      <w:color w:val="404040" w:themeColor="text1" w:themeTint="BF"/>
    </w:rPr>
  </w:style>
  <w:style w:type="character" w:styleId="IntenseEmphasis">
    <w:name w:val="Intense Emphasis"/>
    <w:basedOn w:val="DefaultParagraphFont"/>
    <w:uiPriority w:val="21"/>
    <w:qFormat/>
    <w:rsid w:val="0018422F"/>
    <w:rPr>
      <w:b/>
      <w:bCs/>
      <w:i/>
      <w:iCs/>
      <w:caps/>
    </w:rPr>
  </w:style>
  <w:style w:type="character" w:styleId="SubtleReference">
    <w:name w:val="Subtle Reference"/>
    <w:basedOn w:val="DefaultParagraphFont"/>
    <w:uiPriority w:val="31"/>
    <w:qFormat/>
    <w:rsid w:val="0018422F"/>
    <w:rPr>
      <w:smallCaps/>
      <w:color w:val="404040" w:themeColor="text1" w:themeTint="BF"/>
      <w:u w:val="single" w:color="7F7F7F"/>
    </w:rPr>
  </w:style>
  <w:style w:type="character" w:styleId="IntenseReference">
    <w:name w:val="Intense Reference"/>
    <w:basedOn w:val="DefaultParagraphFont"/>
    <w:uiPriority w:val="32"/>
    <w:qFormat/>
    <w:rsid w:val="0018422F"/>
    <w:rPr>
      <w:b/>
      <w:bCs/>
      <w:smallCaps/>
      <w:u w:val="single"/>
    </w:rPr>
  </w:style>
  <w:style w:type="character" w:styleId="BookTitle">
    <w:name w:val="Book Title"/>
    <w:basedOn w:val="DefaultParagraphFont"/>
    <w:uiPriority w:val="33"/>
    <w:qFormat/>
    <w:rsid w:val="0018422F"/>
    <w:rPr>
      <w:b w:val="0"/>
      <w:bCs w:val="0"/>
      <w:smallCaps/>
      <w:spacing w:val="5"/>
    </w:rPr>
  </w:style>
  <w:style w:type="character" w:styleId="UnresolvedMention">
    <w:name w:val="Unresolved Mention"/>
    <w:basedOn w:val="DefaultParagraphFont"/>
    <w:uiPriority w:val="99"/>
    <w:semiHidden/>
    <w:unhideWhenUsed/>
    <w:rsid w:val="004F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HU5@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4F069093-EDE3-4801-A7C5-DA8FF083FAC8}">
  <ds:schemaRefs>
    <ds:schemaRef ds:uri="http://schemas.openxmlformats.org/officeDocument/2006/bibliography"/>
  </ds:schemaRefs>
</ds:datastoreItem>
</file>

<file path=customXml/itemProps2.xml><?xml version="1.0" encoding="utf-8"?>
<ds:datastoreItem xmlns:ds="http://schemas.openxmlformats.org/officeDocument/2006/customXml" ds:itemID="{A2F71740-4660-4BAB-9E05-3B4CF4596A48}">
  <ds:schemaRefs/>
</ds:datastoreItem>
</file>

<file path=customXml/itemProps3.xml><?xml version="1.0" encoding="utf-8"?>
<ds:datastoreItem xmlns:ds="http://schemas.openxmlformats.org/officeDocument/2006/customXml" ds:itemID="{940F53F2-95A5-4BBA-9181-E94D0538B1C7}">
  <ds:schemaRefs/>
</ds:datastoreItem>
</file>

<file path=customXml/itemProps4.xml><?xml version="1.0" encoding="utf-8"?>
<ds:datastoreItem xmlns:ds="http://schemas.openxmlformats.org/officeDocument/2006/customXml" ds:itemID="{89463C15-DB7D-45CF-9D24-5CF33779A82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1979</Words>
  <Characters>11065</Characters>
  <Application>Microsoft Office Word</Application>
  <DocSecurity>0</DocSecurity>
  <Lines>269</Lines>
  <Paragraphs>153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Hanchey, Arianna (CDC/NCEH/DEHSP)</cp:lastModifiedBy>
  <cp:revision>23</cp:revision>
  <cp:lastPrinted>2013-12-04T17:19:00Z</cp:lastPrinted>
  <dcterms:created xsi:type="dcterms:W3CDTF">2026-03-16T18:40:00Z</dcterms:created>
  <dcterms:modified xsi:type="dcterms:W3CDTF">2026-03-18T17:57:00Z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f3f9560b-f0d2-49da-a680-7a59770a3e3f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2022-06-25T01:42:06Z</vt:lpwstr>
  </property>
  <property fmtid="{D5CDD505-2E9C-101B-9397-08002B2CF9AE}" pid="11" name="MSIP_Label_7b94a7b8-f06c-4dfe-bdcc-9b548fd58c31_SiteId">
    <vt:lpwstr>9ce70869-60db-44fd-abe8-d2767077fc8f</vt:lpwstr>
  </property>
  <property fmtid="{D5CDD505-2E9C-101B-9397-08002B2CF9AE}" pid="12" name="_NewReviewCycle">
    <vt:lpwstr/>
  </property>
</Properties>
</file>