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63BD2" w:rsidRPr="005A2EC8" w:rsidP="002F23E9" w14:paraId="59A7491B" w14:textId="77777777">
      <w:pPr>
        <w:pStyle w:val="Title"/>
        <w:rPr>
          <w:rFonts w:cs="Arial"/>
        </w:rPr>
      </w:pPr>
      <w:r w:rsidRPr="006E7A66">
        <w:t xml:space="preserve">Poison </w:t>
      </w:r>
      <w:r w:rsidRPr="0049525A">
        <w:t>C</w:t>
      </w:r>
      <w:r w:rsidRPr="0049525A" w:rsidR="00AD6021">
        <w:t xml:space="preserve">enter </w:t>
      </w:r>
      <w:r w:rsidRPr="0049525A">
        <w:t>C</w:t>
      </w:r>
      <w:r w:rsidRPr="0049525A" w:rsidR="00AD6021">
        <w:t xml:space="preserve">ollaborations for </w:t>
      </w:r>
      <w:r w:rsidRPr="005B6B6E">
        <w:t>P</w:t>
      </w:r>
      <w:r w:rsidRPr="005B6B6E" w:rsidR="00AD6021">
        <w:t xml:space="preserve">ublic </w:t>
      </w:r>
      <w:r w:rsidRPr="005B6B6E">
        <w:t>H</w:t>
      </w:r>
      <w:r w:rsidRPr="005B6B6E" w:rsidR="00AD6021">
        <w:t xml:space="preserve">ealth </w:t>
      </w:r>
      <w:r w:rsidRPr="005A2EC8">
        <w:t>E</w:t>
      </w:r>
      <w:r w:rsidRPr="005A2EC8" w:rsidR="00AD6021">
        <w:t>mergencies</w:t>
      </w:r>
    </w:p>
    <w:p w:rsidR="00375567" w:rsidP="00047853" w14:paraId="01AC7A50" w14:textId="77777777">
      <w:pPr>
        <w:rPr>
          <w:b/>
          <w:sz w:val="32"/>
          <w:szCs w:val="32"/>
        </w:rPr>
      </w:pPr>
    </w:p>
    <w:p w:rsidR="00047853" w:rsidP="002F23E9" w14:paraId="50DCF8F2" w14:textId="77777777">
      <w:pPr>
        <w:pStyle w:val="Title"/>
        <w:rPr>
          <w:sz w:val="44"/>
          <w:szCs w:val="44"/>
        </w:rPr>
      </w:pPr>
      <w:r w:rsidRPr="002F23E9">
        <w:rPr>
          <w:sz w:val="44"/>
          <w:szCs w:val="44"/>
        </w:rPr>
        <w:t>OMB Control No. 0920-</w:t>
      </w:r>
      <w:r w:rsidR="00657A70">
        <w:rPr>
          <w:sz w:val="44"/>
          <w:szCs w:val="44"/>
        </w:rPr>
        <w:t>1166</w:t>
      </w:r>
      <w:r w:rsidRPr="002F23E9" w:rsidR="00657A70">
        <w:rPr>
          <w:sz w:val="44"/>
          <w:szCs w:val="44"/>
        </w:rPr>
        <w:t xml:space="preserve"> </w:t>
      </w:r>
    </w:p>
    <w:p w:rsidR="00340150" w:rsidRPr="004C3133" w:rsidP="004C3133" w14:paraId="48474A5C" w14:textId="68F1D82D">
      <w:pPr>
        <w:rPr>
          <w:sz w:val="36"/>
          <w:szCs w:val="36"/>
        </w:rPr>
      </w:pPr>
      <w:r w:rsidRPr="004C3133">
        <w:rPr>
          <w:sz w:val="36"/>
          <w:szCs w:val="36"/>
        </w:rPr>
        <w:t>(</w:t>
      </w:r>
      <w:r w:rsidR="00432584">
        <w:rPr>
          <w:sz w:val="36"/>
          <w:szCs w:val="36"/>
        </w:rPr>
        <w:t>E</w:t>
      </w:r>
      <w:r w:rsidRPr="004C3133">
        <w:rPr>
          <w:sz w:val="36"/>
          <w:szCs w:val="36"/>
        </w:rPr>
        <w:t xml:space="preserve">xpiration </w:t>
      </w:r>
      <w:r w:rsidR="00432584">
        <w:rPr>
          <w:sz w:val="36"/>
          <w:szCs w:val="36"/>
        </w:rPr>
        <w:t>D</w:t>
      </w:r>
      <w:r w:rsidRPr="004C3133">
        <w:rPr>
          <w:sz w:val="36"/>
          <w:szCs w:val="36"/>
        </w:rPr>
        <w:t>ate 0</w:t>
      </w:r>
      <w:r w:rsidR="004C3133">
        <w:rPr>
          <w:sz w:val="36"/>
          <w:szCs w:val="36"/>
        </w:rPr>
        <w:t>4</w:t>
      </w:r>
      <w:r w:rsidRPr="004C3133">
        <w:rPr>
          <w:sz w:val="36"/>
          <w:szCs w:val="36"/>
        </w:rPr>
        <w:t>/</w:t>
      </w:r>
      <w:r w:rsidR="004C3133">
        <w:rPr>
          <w:sz w:val="36"/>
          <w:szCs w:val="36"/>
        </w:rPr>
        <w:t>30</w:t>
      </w:r>
      <w:r w:rsidRPr="004C3133">
        <w:rPr>
          <w:sz w:val="36"/>
          <w:szCs w:val="36"/>
        </w:rPr>
        <w:t>/202</w:t>
      </w:r>
      <w:r w:rsidR="00B75D5F">
        <w:rPr>
          <w:sz w:val="36"/>
          <w:szCs w:val="36"/>
        </w:rPr>
        <w:t>6</w:t>
      </w:r>
      <w:r w:rsidRPr="004C3133">
        <w:rPr>
          <w:sz w:val="36"/>
          <w:szCs w:val="36"/>
        </w:rPr>
        <w:t>)</w:t>
      </w:r>
    </w:p>
    <w:p w:rsidR="002D3BB1" w:rsidRPr="004B6E5F" w:rsidP="002D3BB1" w14:paraId="71FC9239" w14:textId="77777777">
      <w:pPr>
        <w:pStyle w:val="Title"/>
        <w:rPr>
          <w:sz w:val="44"/>
          <w:szCs w:val="44"/>
        </w:rPr>
      </w:pPr>
      <w:r>
        <w:rPr>
          <w:sz w:val="44"/>
          <w:szCs w:val="44"/>
        </w:rPr>
        <w:t>Revision</w:t>
      </w:r>
      <w:r w:rsidR="008909B4">
        <w:rPr>
          <w:sz w:val="44"/>
          <w:szCs w:val="44"/>
        </w:rPr>
        <w:t xml:space="preserve"> of a </w:t>
      </w:r>
      <w:r w:rsidRPr="004B6E5F">
        <w:rPr>
          <w:sz w:val="44"/>
          <w:szCs w:val="44"/>
        </w:rPr>
        <w:t>Generic Clearance</w:t>
      </w:r>
    </w:p>
    <w:p w:rsidR="00F63BD2" w:rsidRPr="002F23E9" w:rsidP="002F23E9" w14:paraId="018276A4" w14:textId="77777777">
      <w:pPr>
        <w:pStyle w:val="Title"/>
        <w:rPr>
          <w:sz w:val="44"/>
          <w:szCs w:val="44"/>
        </w:rPr>
      </w:pPr>
    </w:p>
    <w:p w:rsidR="00047853" w:rsidRPr="002F23E9" w:rsidP="002F23E9" w14:paraId="050E34A5" w14:textId="77777777">
      <w:pPr>
        <w:pStyle w:val="Title"/>
        <w:rPr>
          <w:sz w:val="44"/>
          <w:szCs w:val="44"/>
        </w:rPr>
      </w:pPr>
    </w:p>
    <w:p w:rsidR="00763803" w:rsidP="002F23E9" w14:paraId="0D0640DD" w14:textId="77777777">
      <w:pPr>
        <w:pStyle w:val="Title"/>
        <w:rPr>
          <w:sz w:val="44"/>
          <w:szCs w:val="44"/>
        </w:rPr>
      </w:pPr>
      <w:r w:rsidRPr="002F23E9">
        <w:rPr>
          <w:sz w:val="44"/>
          <w:szCs w:val="44"/>
        </w:rPr>
        <w:t>Supporting Statement</w:t>
      </w:r>
      <w:r w:rsidRPr="002F23E9" w:rsidR="00047853">
        <w:rPr>
          <w:sz w:val="44"/>
          <w:szCs w:val="44"/>
        </w:rPr>
        <w:t xml:space="preserve"> </w:t>
      </w:r>
      <w:r w:rsidRPr="002F23E9">
        <w:rPr>
          <w:sz w:val="44"/>
          <w:szCs w:val="44"/>
        </w:rPr>
        <w:t>Part A</w:t>
      </w:r>
      <w:r w:rsidRPr="002F23E9" w:rsidR="00047853">
        <w:rPr>
          <w:sz w:val="44"/>
          <w:szCs w:val="44"/>
        </w:rPr>
        <w:t xml:space="preserve"> – </w:t>
      </w:r>
    </w:p>
    <w:p w:rsidR="008909B4" w:rsidRPr="004C3133" w:rsidP="004C3133" w14:paraId="43F30F9F" w14:textId="77777777">
      <w:pPr>
        <w:rPr>
          <w:sz w:val="36"/>
          <w:szCs w:val="36"/>
        </w:rPr>
      </w:pPr>
      <w:r>
        <w:rPr>
          <w:sz w:val="36"/>
          <w:szCs w:val="36"/>
        </w:rPr>
        <w:t>Justification</w:t>
      </w:r>
    </w:p>
    <w:p w:rsidR="00B640B0" w:rsidP="002F23E9" w14:paraId="5EAB1D35" w14:textId="77777777">
      <w:pPr>
        <w:pStyle w:val="Title"/>
        <w:rPr>
          <w:sz w:val="44"/>
          <w:szCs w:val="44"/>
        </w:rPr>
      </w:pPr>
    </w:p>
    <w:p w:rsidR="00F63BD2" w:rsidRPr="002F23E9" w:rsidP="002F23E9" w14:paraId="658C737C" w14:textId="76B0AF23">
      <w:pPr>
        <w:pStyle w:val="Title"/>
        <w:rPr>
          <w:sz w:val="44"/>
          <w:szCs w:val="44"/>
        </w:rPr>
      </w:pPr>
      <w:r>
        <w:rPr>
          <w:sz w:val="44"/>
          <w:szCs w:val="44"/>
        </w:rPr>
        <w:t xml:space="preserve">March </w:t>
      </w:r>
      <w:r w:rsidR="00F406AF">
        <w:rPr>
          <w:sz w:val="44"/>
          <w:szCs w:val="44"/>
        </w:rPr>
        <w:t>202</w:t>
      </w:r>
      <w:r w:rsidR="00B75D5F">
        <w:rPr>
          <w:sz w:val="44"/>
          <w:szCs w:val="44"/>
        </w:rPr>
        <w:t>6</w:t>
      </w:r>
    </w:p>
    <w:p w:rsidR="00CA553C" w:rsidP="00047853" w14:paraId="58375834" w14:textId="77777777">
      <w:pPr>
        <w:rPr>
          <w:b/>
          <w:sz w:val="28"/>
          <w:szCs w:val="28"/>
        </w:rPr>
      </w:pPr>
    </w:p>
    <w:p w:rsidR="00360971" w:rsidP="00047853" w14:paraId="5E3F9BE7" w14:textId="77777777">
      <w:pPr>
        <w:rPr>
          <w:b/>
          <w:sz w:val="28"/>
          <w:szCs w:val="28"/>
        </w:rPr>
      </w:pPr>
    </w:p>
    <w:p w:rsidR="00360971" w:rsidP="00047853" w14:paraId="494CE507" w14:textId="77777777">
      <w:pPr>
        <w:rPr>
          <w:b/>
          <w:sz w:val="28"/>
          <w:szCs w:val="28"/>
        </w:rPr>
      </w:pPr>
    </w:p>
    <w:p w:rsidR="00290196" w:rsidP="00047853" w14:paraId="25FB1DE7" w14:textId="77777777">
      <w:pPr>
        <w:rPr>
          <w:b/>
          <w:sz w:val="28"/>
          <w:szCs w:val="28"/>
        </w:rPr>
      </w:pPr>
    </w:p>
    <w:p w:rsidR="00290196" w:rsidP="00047853" w14:paraId="2DB6F106" w14:textId="77777777">
      <w:pPr>
        <w:rPr>
          <w:b/>
          <w:sz w:val="28"/>
          <w:szCs w:val="28"/>
        </w:rPr>
      </w:pPr>
    </w:p>
    <w:p w:rsidR="00F63BD2" w:rsidRPr="00711BFA" w:rsidP="00047853" w14:paraId="5E493F4E" w14:textId="77777777">
      <w:pPr>
        <w:rPr>
          <w:b/>
          <w:sz w:val="28"/>
          <w:szCs w:val="28"/>
        </w:rPr>
      </w:pPr>
      <w:r w:rsidRPr="00711BFA">
        <w:rPr>
          <w:b/>
          <w:sz w:val="28"/>
          <w:szCs w:val="28"/>
        </w:rPr>
        <w:t>Project Officer</w:t>
      </w:r>
    </w:p>
    <w:p w:rsidR="00E72C8B" w:rsidRPr="00E72C8B" w:rsidP="00047853" w14:paraId="3B0E8228" w14:textId="77777777">
      <w:pPr>
        <w:pStyle w:val="NoSpacing"/>
        <w:spacing w:line="276" w:lineRule="auto"/>
      </w:pPr>
      <w:r>
        <w:t>Amy Helene Schnall, DrPH</w:t>
      </w:r>
    </w:p>
    <w:p w:rsidR="00E72C8B" w:rsidRPr="00E72C8B" w:rsidP="00047853" w14:paraId="36A404CF" w14:textId="77777777">
      <w:pPr>
        <w:pStyle w:val="NoSpacing"/>
        <w:spacing w:line="276" w:lineRule="auto"/>
      </w:pPr>
      <w:bookmarkStart w:id="0" w:name="_Toc331406326"/>
      <w:r w:rsidRPr="00E72C8B">
        <w:t>National Center for E</w:t>
      </w:r>
      <w:bookmarkEnd w:id="0"/>
      <w:r w:rsidRPr="00E72C8B">
        <w:t>nvironmental Health</w:t>
      </w:r>
    </w:p>
    <w:p w:rsidR="00E72C8B" w:rsidRPr="00E72C8B" w:rsidP="00047853" w14:paraId="4D594F97" w14:textId="77777777">
      <w:pPr>
        <w:pStyle w:val="NoSpacing"/>
        <w:spacing w:line="276" w:lineRule="auto"/>
      </w:pPr>
      <w:bookmarkStart w:id="1" w:name="_Toc331406327"/>
      <w:r w:rsidRPr="00E72C8B">
        <w:t>Centers for Disease Control and Prevention</w:t>
      </w:r>
      <w:bookmarkEnd w:id="1"/>
    </w:p>
    <w:p w:rsidR="00E72C8B" w:rsidRPr="00E72C8B" w:rsidP="00047853" w14:paraId="764F3E40" w14:textId="77777777">
      <w:pPr>
        <w:pStyle w:val="NoSpacing"/>
        <w:spacing w:line="276" w:lineRule="auto"/>
      </w:pPr>
      <w:r w:rsidRPr="00E72C8B">
        <w:t>4770 Buford Highway N</w:t>
      </w:r>
      <w:r w:rsidR="00F406AF">
        <w:t>E</w:t>
      </w:r>
    </w:p>
    <w:p w:rsidR="00E72C8B" w:rsidRPr="00E72C8B" w:rsidP="00047853" w14:paraId="59141AC1" w14:textId="77777777">
      <w:pPr>
        <w:pStyle w:val="NoSpacing"/>
        <w:spacing w:line="276" w:lineRule="auto"/>
      </w:pPr>
      <w:bookmarkStart w:id="2" w:name="_Toc331406329"/>
      <w:r w:rsidRPr="00E72C8B">
        <w:t>Atlanta, Georgia 303</w:t>
      </w:r>
      <w:bookmarkEnd w:id="2"/>
      <w:r w:rsidRPr="00E72C8B">
        <w:t>41</w:t>
      </w:r>
    </w:p>
    <w:p w:rsidR="00E72C8B" w:rsidRPr="00E72C8B" w:rsidP="00047853" w14:paraId="7353418A" w14:textId="77777777">
      <w:pPr>
        <w:pStyle w:val="NoSpacing"/>
        <w:spacing w:line="276" w:lineRule="auto"/>
      </w:pPr>
      <w:bookmarkStart w:id="3" w:name="_Toc331406330"/>
      <w:r w:rsidRPr="00E72C8B">
        <w:t xml:space="preserve">Phone: (770) </w:t>
      </w:r>
      <w:bookmarkEnd w:id="3"/>
      <w:r w:rsidRPr="00E72C8B">
        <w:t>488-34</w:t>
      </w:r>
      <w:r w:rsidR="00F406AF">
        <w:t>22</w:t>
      </w:r>
    </w:p>
    <w:p w:rsidR="00E72C8B" w:rsidP="00047853" w14:paraId="5C064CC2" w14:textId="77777777">
      <w:pPr>
        <w:pStyle w:val="NoSpacing"/>
        <w:spacing w:line="276" w:lineRule="auto"/>
      </w:pPr>
      <w:bookmarkStart w:id="4" w:name="_Toc331406331"/>
      <w:r w:rsidRPr="00E72C8B">
        <w:t xml:space="preserve">Email: </w:t>
      </w:r>
      <w:hyperlink r:id="rId10" w:history="1">
        <w:r w:rsidRPr="001109C5" w:rsidR="00F406AF">
          <w:rPr>
            <w:rStyle w:val="Hyperlink"/>
          </w:rPr>
          <w:t>GHU5@cdc.gov</w:t>
        </w:r>
      </w:hyperlink>
      <w:bookmarkEnd w:id="4"/>
    </w:p>
    <w:p w:rsidR="00F406AF" w:rsidRPr="00E72C8B" w:rsidP="00047853" w14:paraId="78BB919B" w14:textId="77777777">
      <w:pPr>
        <w:pStyle w:val="NoSpacing"/>
        <w:spacing w:line="276" w:lineRule="auto"/>
      </w:pPr>
    </w:p>
    <w:p w:rsidR="00A416E0" w:rsidRPr="00656782" w:rsidP="00E74B2C" w14:paraId="4ECDCD10" w14:textId="77777777">
      <w:r w:rsidRPr="00C2320D">
        <w:rPr>
          <w:rFonts w:eastAsiaTheme="majorEastAsia" w:cstheme="majorBidi"/>
          <w:b/>
          <w:bCs/>
          <w:sz w:val="28"/>
          <w:szCs w:val="28"/>
          <w:lang w:eastAsia="en-US"/>
        </w:rPr>
        <w:t>Table of Contents</w:t>
      </w:r>
    </w:p>
    <w:sdt>
      <w:sdtPr>
        <w:rPr>
          <w:b/>
          <w:bCs/>
        </w:rPr>
        <w:id w:val="358411206"/>
        <w:docPartObj>
          <w:docPartGallery w:val="Table of Contents"/>
          <w:docPartUnique/>
        </w:docPartObj>
      </w:sdtPr>
      <w:sdtEndPr>
        <w:rPr>
          <w:b w:val="0"/>
          <w:bCs w:val="0"/>
        </w:rPr>
      </w:sdtEndPr>
      <w:sdtContent>
        <w:p w:rsidR="0098236C" w14:paraId="73600988" w14:textId="26B722CC">
          <w:pPr>
            <w:pStyle w:val="TOC1"/>
            <w:rPr>
              <w:rFonts w:asciiTheme="minorHAnsi" w:hAnsiTheme="minorHAnsi"/>
              <w:noProof/>
              <w:kern w:val="2"/>
              <w:sz w:val="24"/>
              <w:szCs w:val="24"/>
              <w:lang w:eastAsia="en-US"/>
              <w14:ligatures w14:val="standardContextual"/>
            </w:rPr>
          </w:pPr>
          <w:r w:rsidRPr="00CD4405">
            <w:rPr>
              <w:rFonts w:eastAsiaTheme="majorEastAsia" w:cstheme="majorBidi"/>
              <w:b/>
              <w:bCs/>
              <w:color w:val="000000" w:themeColor="text1"/>
              <w:sz w:val="28"/>
              <w:szCs w:val="28"/>
              <w:lang w:eastAsia="en-US"/>
            </w:rPr>
            <w:fldChar w:fldCharType="begin"/>
          </w:r>
          <w:r w:rsidRPr="00CD4405">
            <w:rPr>
              <w:color w:val="000000" w:themeColor="text1"/>
            </w:rPr>
            <w:instrText xml:space="preserve"> TOC \o "1-3" \h \z \u </w:instrText>
          </w:r>
          <w:r w:rsidRPr="00CD4405">
            <w:rPr>
              <w:rFonts w:eastAsiaTheme="majorEastAsia" w:cstheme="majorBidi"/>
              <w:b/>
              <w:bCs/>
              <w:color w:val="000000" w:themeColor="text1"/>
              <w:sz w:val="28"/>
              <w:szCs w:val="28"/>
              <w:lang w:eastAsia="en-US"/>
            </w:rPr>
            <w:fldChar w:fldCharType="separate"/>
          </w:r>
          <w:hyperlink w:anchor="_Toc224733933" w:history="1">
            <w:r w:rsidRPr="00823015">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_Toc224733933 \h </w:instrText>
            </w:r>
            <w:r>
              <w:rPr>
                <w:noProof/>
                <w:webHidden/>
              </w:rPr>
              <w:fldChar w:fldCharType="separate"/>
            </w:r>
            <w:r>
              <w:rPr>
                <w:noProof/>
                <w:webHidden/>
              </w:rPr>
              <w:t>3</w:t>
            </w:r>
            <w:r>
              <w:rPr>
                <w:noProof/>
                <w:webHidden/>
              </w:rPr>
              <w:fldChar w:fldCharType="end"/>
            </w:r>
          </w:hyperlink>
        </w:p>
        <w:p w:rsidR="0098236C" w14:paraId="465A8ABC" w14:textId="5FD19A15">
          <w:pPr>
            <w:pStyle w:val="TOC1"/>
            <w:rPr>
              <w:rFonts w:asciiTheme="minorHAnsi" w:hAnsiTheme="minorHAnsi"/>
              <w:noProof/>
              <w:kern w:val="2"/>
              <w:sz w:val="24"/>
              <w:szCs w:val="24"/>
              <w:lang w:eastAsia="en-US"/>
              <w14:ligatures w14:val="standardContextual"/>
            </w:rPr>
          </w:pPr>
          <w:hyperlink w:anchor="_Toc224733934" w:history="1">
            <w:r w:rsidRPr="00823015">
              <w:rPr>
                <w:rStyle w:val="Hyperlink"/>
                <w:noProof/>
              </w:rPr>
              <w:t>A.2. Purpose and Use of Information Collection</w:t>
            </w:r>
            <w:r>
              <w:rPr>
                <w:noProof/>
                <w:webHidden/>
              </w:rPr>
              <w:tab/>
            </w:r>
            <w:r>
              <w:rPr>
                <w:noProof/>
                <w:webHidden/>
              </w:rPr>
              <w:fldChar w:fldCharType="begin"/>
            </w:r>
            <w:r>
              <w:rPr>
                <w:noProof/>
                <w:webHidden/>
              </w:rPr>
              <w:instrText xml:space="preserve"> PAGEREF _Toc224733934 \h </w:instrText>
            </w:r>
            <w:r>
              <w:rPr>
                <w:noProof/>
                <w:webHidden/>
              </w:rPr>
              <w:fldChar w:fldCharType="separate"/>
            </w:r>
            <w:r>
              <w:rPr>
                <w:noProof/>
                <w:webHidden/>
              </w:rPr>
              <w:t>7</w:t>
            </w:r>
            <w:r>
              <w:rPr>
                <w:noProof/>
                <w:webHidden/>
              </w:rPr>
              <w:fldChar w:fldCharType="end"/>
            </w:r>
          </w:hyperlink>
        </w:p>
        <w:p w:rsidR="0098236C" w14:paraId="1A893088" w14:textId="32CC9A95">
          <w:pPr>
            <w:pStyle w:val="TOC1"/>
            <w:rPr>
              <w:rFonts w:asciiTheme="minorHAnsi" w:hAnsiTheme="minorHAnsi"/>
              <w:noProof/>
              <w:kern w:val="2"/>
              <w:sz w:val="24"/>
              <w:szCs w:val="24"/>
              <w:lang w:eastAsia="en-US"/>
              <w14:ligatures w14:val="standardContextual"/>
            </w:rPr>
          </w:pPr>
          <w:hyperlink w:anchor="_Toc224733935" w:history="1">
            <w:r w:rsidRPr="00823015">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_Toc224733935 \h </w:instrText>
            </w:r>
            <w:r>
              <w:rPr>
                <w:noProof/>
                <w:webHidden/>
              </w:rPr>
              <w:fldChar w:fldCharType="separate"/>
            </w:r>
            <w:r>
              <w:rPr>
                <w:noProof/>
                <w:webHidden/>
              </w:rPr>
              <w:t>10</w:t>
            </w:r>
            <w:r>
              <w:rPr>
                <w:noProof/>
                <w:webHidden/>
              </w:rPr>
              <w:fldChar w:fldCharType="end"/>
            </w:r>
          </w:hyperlink>
        </w:p>
        <w:p w:rsidR="0098236C" w14:paraId="1C1789E8" w14:textId="041874A0">
          <w:pPr>
            <w:pStyle w:val="TOC1"/>
            <w:rPr>
              <w:rFonts w:asciiTheme="minorHAnsi" w:hAnsiTheme="minorHAnsi"/>
              <w:noProof/>
              <w:kern w:val="2"/>
              <w:sz w:val="24"/>
              <w:szCs w:val="24"/>
              <w:lang w:eastAsia="en-US"/>
              <w14:ligatures w14:val="standardContextual"/>
            </w:rPr>
          </w:pPr>
          <w:hyperlink w:anchor="_Toc224733936" w:history="1">
            <w:r w:rsidRPr="00823015">
              <w:rPr>
                <w:rStyle w:val="Hyperlink"/>
                <w:noProof/>
              </w:rPr>
              <w:t>A.5. Impact on Small Business or Other Small Entities</w:t>
            </w:r>
            <w:r>
              <w:rPr>
                <w:noProof/>
                <w:webHidden/>
              </w:rPr>
              <w:tab/>
            </w:r>
            <w:r>
              <w:rPr>
                <w:noProof/>
                <w:webHidden/>
              </w:rPr>
              <w:fldChar w:fldCharType="begin"/>
            </w:r>
            <w:r>
              <w:rPr>
                <w:noProof/>
                <w:webHidden/>
              </w:rPr>
              <w:instrText xml:space="preserve"> PAGEREF _Toc224733936 \h </w:instrText>
            </w:r>
            <w:r>
              <w:rPr>
                <w:noProof/>
                <w:webHidden/>
              </w:rPr>
              <w:fldChar w:fldCharType="separate"/>
            </w:r>
            <w:r>
              <w:rPr>
                <w:noProof/>
                <w:webHidden/>
              </w:rPr>
              <w:t>11</w:t>
            </w:r>
            <w:r>
              <w:rPr>
                <w:noProof/>
                <w:webHidden/>
              </w:rPr>
              <w:fldChar w:fldCharType="end"/>
            </w:r>
          </w:hyperlink>
        </w:p>
        <w:p w:rsidR="0098236C" w14:paraId="4E123B1C" w14:textId="3AD0890C">
          <w:pPr>
            <w:pStyle w:val="TOC1"/>
            <w:rPr>
              <w:rFonts w:asciiTheme="minorHAnsi" w:hAnsiTheme="minorHAnsi"/>
              <w:noProof/>
              <w:kern w:val="2"/>
              <w:sz w:val="24"/>
              <w:szCs w:val="24"/>
              <w:lang w:eastAsia="en-US"/>
              <w14:ligatures w14:val="standardContextual"/>
            </w:rPr>
          </w:pPr>
          <w:hyperlink w:anchor="_Toc224733937" w:history="1">
            <w:r w:rsidRPr="00823015">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_Toc224733937 \h </w:instrText>
            </w:r>
            <w:r>
              <w:rPr>
                <w:noProof/>
                <w:webHidden/>
              </w:rPr>
              <w:fldChar w:fldCharType="separate"/>
            </w:r>
            <w:r>
              <w:rPr>
                <w:noProof/>
                <w:webHidden/>
              </w:rPr>
              <w:t>11</w:t>
            </w:r>
            <w:r>
              <w:rPr>
                <w:noProof/>
                <w:webHidden/>
              </w:rPr>
              <w:fldChar w:fldCharType="end"/>
            </w:r>
          </w:hyperlink>
        </w:p>
        <w:p w:rsidR="0098236C" w14:paraId="2C7272FF" w14:textId="7624D29C">
          <w:pPr>
            <w:pStyle w:val="TOC1"/>
            <w:rPr>
              <w:rFonts w:asciiTheme="minorHAnsi" w:hAnsiTheme="minorHAnsi"/>
              <w:noProof/>
              <w:kern w:val="2"/>
              <w:sz w:val="24"/>
              <w:szCs w:val="24"/>
              <w:lang w:eastAsia="en-US"/>
              <w14:ligatures w14:val="standardContextual"/>
            </w:rPr>
          </w:pPr>
          <w:hyperlink w:anchor="_Toc224733938" w:history="1">
            <w:r w:rsidRPr="00823015">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_Toc224733938 \h </w:instrText>
            </w:r>
            <w:r>
              <w:rPr>
                <w:noProof/>
                <w:webHidden/>
              </w:rPr>
              <w:fldChar w:fldCharType="separate"/>
            </w:r>
            <w:r>
              <w:rPr>
                <w:noProof/>
                <w:webHidden/>
              </w:rPr>
              <w:t>12</w:t>
            </w:r>
            <w:r>
              <w:rPr>
                <w:noProof/>
                <w:webHidden/>
              </w:rPr>
              <w:fldChar w:fldCharType="end"/>
            </w:r>
          </w:hyperlink>
        </w:p>
        <w:p w:rsidR="0098236C" w14:paraId="3DB2619A" w14:textId="7CB22F77">
          <w:pPr>
            <w:pStyle w:val="TOC1"/>
            <w:rPr>
              <w:rFonts w:asciiTheme="minorHAnsi" w:hAnsiTheme="minorHAnsi"/>
              <w:noProof/>
              <w:kern w:val="2"/>
              <w:sz w:val="24"/>
              <w:szCs w:val="24"/>
              <w:lang w:eastAsia="en-US"/>
              <w14:ligatures w14:val="standardContextual"/>
            </w:rPr>
          </w:pPr>
          <w:hyperlink w:anchor="_Toc224733939" w:history="1">
            <w:r w:rsidRPr="00823015">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_Toc224733939 \h </w:instrText>
            </w:r>
            <w:r>
              <w:rPr>
                <w:noProof/>
                <w:webHidden/>
              </w:rPr>
              <w:fldChar w:fldCharType="separate"/>
            </w:r>
            <w:r>
              <w:rPr>
                <w:noProof/>
                <w:webHidden/>
              </w:rPr>
              <w:t>13</w:t>
            </w:r>
            <w:r>
              <w:rPr>
                <w:noProof/>
                <w:webHidden/>
              </w:rPr>
              <w:fldChar w:fldCharType="end"/>
            </w:r>
          </w:hyperlink>
        </w:p>
        <w:p w:rsidR="0098236C" w14:paraId="7F5716ED" w14:textId="0D2FCB98">
          <w:pPr>
            <w:pStyle w:val="TOC1"/>
            <w:rPr>
              <w:rFonts w:asciiTheme="minorHAnsi" w:hAnsiTheme="minorHAnsi"/>
              <w:noProof/>
              <w:kern w:val="2"/>
              <w:sz w:val="24"/>
              <w:szCs w:val="24"/>
              <w:lang w:eastAsia="en-US"/>
              <w14:ligatures w14:val="standardContextual"/>
            </w:rPr>
          </w:pPr>
          <w:hyperlink w:anchor="_Toc224733940" w:history="1">
            <w:r w:rsidRPr="00823015">
              <w:rPr>
                <w:rStyle w:val="Hyperlink"/>
                <w:noProof/>
              </w:rPr>
              <w:t>A.9. Explanation of Any Payment or Gift to Respondents</w:t>
            </w:r>
            <w:r>
              <w:rPr>
                <w:noProof/>
                <w:webHidden/>
              </w:rPr>
              <w:tab/>
            </w:r>
            <w:r>
              <w:rPr>
                <w:noProof/>
                <w:webHidden/>
              </w:rPr>
              <w:fldChar w:fldCharType="begin"/>
            </w:r>
            <w:r>
              <w:rPr>
                <w:noProof/>
                <w:webHidden/>
              </w:rPr>
              <w:instrText xml:space="preserve"> PAGEREF _Toc224733940 \h </w:instrText>
            </w:r>
            <w:r>
              <w:rPr>
                <w:noProof/>
                <w:webHidden/>
              </w:rPr>
              <w:fldChar w:fldCharType="separate"/>
            </w:r>
            <w:r>
              <w:rPr>
                <w:noProof/>
                <w:webHidden/>
              </w:rPr>
              <w:t>13</w:t>
            </w:r>
            <w:r>
              <w:rPr>
                <w:noProof/>
                <w:webHidden/>
              </w:rPr>
              <w:fldChar w:fldCharType="end"/>
            </w:r>
          </w:hyperlink>
        </w:p>
        <w:p w:rsidR="0098236C" w14:paraId="4B1774F6" w14:textId="53E54F53">
          <w:pPr>
            <w:pStyle w:val="TOC1"/>
            <w:rPr>
              <w:rFonts w:asciiTheme="minorHAnsi" w:hAnsiTheme="minorHAnsi"/>
              <w:noProof/>
              <w:kern w:val="2"/>
              <w:sz w:val="24"/>
              <w:szCs w:val="24"/>
              <w:lang w:eastAsia="en-US"/>
              <w14:ligatures w14:val="standardContextual"/>
            </w:rPr>
          </w:pPr>
          <w:hyperlink w:anchor="_Toc224733941" w:history="1">
            <w:r w:rsidRPr="00823015">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_Toc224733941 \h </w:instrText>
            </w:r>
            <w:r>
              <w:rPr>
                <w:noProof/>
                <w:webHidden/>
              </w:rPr>
              <w:fldChar w:fldCharType="separate"/>
            </w:r>
            <w:r>
              <w:rPr>
                <w:noProof/>
                <w:webHidden/>
              </w:rPr>
              <w:t>14</w:t>
            </w:r>
            <w:r>
              <w:rPr>
                <w:noProof/>
                <w:webHidden/>
              </w:rPr>
              <w:fldChar w:fldCharType="end"/>
            </w:r>
          </w:hyperlink>
        </w:p>
        <w:p w:rsidR="0098236C" w14:paraId="5DEEECBD" w14:textId="5362023B">
          <w:pPr>
            <w:pStyle w:val="TOC1"/>
            <w:rPr>
              <w:rFonts w:asciiTheme="minorHAnsi" w:hAnsiTheme="minorHAnsi"/>
              <w:noProof/>
              <w:kern w:val="2"/>
              <w:sz w:val="24"/>
              <w:szCs w:val="24"/>
              <w:lang w:eastAsia="en-US"/>
              <w14:ligatures w14:val="standardContextual"/>
            </w:rPr>
          </w:pPr>
          <w:hyperlink w:anchor="_Toc224733942" w:history="1">
            <w:r w:rsidRPr="00823015">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_Toc224733942 \h </w:instrText>
            </w:r>
            <w:r>
              <w:rPr>
                <w:noProof/>
                <w:webHidden/>
              </w:rPr>
              <w:fldChar w:fldCharType="separate"/>
            </w:r>
            <w:r>
              <w:rPr>
                <w:noProof/>
                <w:webHidden/>
              </w:rPr>
              <w:t>14</w:t>
            </w:r>
            <w:r>
              <w:rPr>
                <w:noProof/>
                <w:webHidden/>
              </w:rPr>
              <w:fldChar w:fldCharType="end"/>
            </w:r>
          </w:hyperlink>
        </w:p>
        <w:p w:rsidR="0098236C" w14:paraId="31FCF3AA" w14:textId="7F948118">
          <w:pPr>
            <w:pStyle w:val="TOC1"/>
            <w:rPr>
              <w:rFonts w:asciiTheme="minorHAnsi" w:hAnsiTheme="minorHAnsi"/>
              <w:noProof/>
              <w:kern w:val="2"/>
              <w:sz w:val="24"/>
              <w:szCs w:val="24"/>
              <w:lang w:eastAsia="en-US"/>
              <w14:ligatures w14:val="standardContextual"/>
            </w:rPr>
          </w:pPr>
          <w:hyperlink w:anchor="_Toc224733943" w:history="1">
            <w:r w:rsidRPr="00823015">
              <w:rPr>
                <w:rStyle w:val="Hyperlink"/>
                <w:noProof/>
              </w:rPr>
              <w:t>A.12. Estimates of Annualized Burden Hours and Costs</w:t>
            </w:r>
            <w:r>
              <w:rPr>
                <w:noProof/>
                <w:webHidden/>
              </w:rPr>
              <w:tab/>
            </w:r>
            <w:r>
              <w:rPr>
                <w:noProof/>
                <w:webHidden/>
              </w:rPr>
              <w:fldChar w:fldCharType="begin"/>
            </w:r>
            <w:r>
              <w:rPr>
                <w:noProof/>
                <w:webHidden/>
              </w:rPr>
              <w:instrText xml:space="preserve"> PAGEREF _Toc224733943 \h </w:instrText>
            </w:r>
            <w:r>
              <w:rPr>
                <w:noProof/>
                <w:webHidden/>
              </w:rPr>
              <w:fldChar w:fldCharType="separate"/>
            </w:r>
            <w:r>
              <w:rPr>
                <w:noProof/>
                <w:webHidden/>
              </w:rPr>
              <w:t>15</w:t>
            </w:r>
            <w:r>
              <w:rPr>
                <w:noProof/>
                <w:webHidden/>
              </w:rPr>
              <w:fldChar w:fldCharType="end"/>
            </w:r>
          </w:hyperlink>
        </w:p>
        <w:p w:rsidR="0098236C" w14:paraId="501C94E7" w14:textId="725ECA58">
          <w:pPr>
            <w:pStyle w:val="TOC1"/>
            <w:rPr>
              <w:rFonts w:asciiTheme="minorHAnsi" w:hAnsiTheme="minorHAnsi"/>
              <w:noProof/>
              <w:kern w:val="2"/>
              <w:sz w:val="24"/>
              <w:szCs w:val="24"/>
              <w:lang w:eastAsia="en-US"/>
              <w14:ligatures w14:val="standardContextual"/>
            </w:rPr>
          </w:pPr>
          <w:hyperlink w:anchor="_Toc224733944" w:history="1">
            <w:r w:rsidRPr="00823015">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_Toc224733944 \h </w:instrText>
            </w:r>
            <w:r>
              <w:rPr>
                <w:noProof/>
                <w:webHidden/>
              </w:rPr>
              <w:fldChar w:fldCharType="separate"/>
            </w:r>
            <w:r>
              <w:rPr>
                <w:noProof/>
                <w:webHidden/>
              </w:rPr>
              <w:t>16</w:t>
            </w:r>
            <w:r>
              <w:rPr>
                <w:noProof/>
                <w:webHidden/>
              </w:rPr>
              <w:fldChar w:fldCharType="end"/>
            </w:r>
          </w:hyperlink>
        </w:p>
        <w:p w:rsidR="0098236C" w14:paraId="73893B14" w14:textId="524B8A7E">
          <w:pPr>
            <w:pStyle w:val="TOC1"/>
            <w:rPr>
              <w:rFonts w:asciiTheme="minorHAnsi" w:hAnsiTheme="minorHAnsi"/>
              <w:noProof/>
              <w:kern w:val="2"/>
              <w:sz w:val="24"/>
              <w:szCs w:val="24"/>
              <w:lang w:eastAsia="en-US"/>
              <w14:ligatures w14:val="standardContextual"/>
            </w:rPr>
          </w:pPr>
          <w:hyperlink w:anchor="_Toc224733945" w:history="1">
            <w:r w:rsidRPr="00823015">
              <w:rPr>
                <w:rStyle w:val="Hyperlink"/>
                <w:noProof/>
              </w:rPr>
              <w:t>A.14. Annualized Cost to the Federal Government</w:t>
            </w:r>
            <w:r>
              <w:rPr>
                <w:noProof/>
                <w:webHidden/>
              </w:rPr>
              <w:tab/>
            </w:r>
            <w:r>
              <w:rPr>
                <w:noProof/>
                <w:webHidden/>
              </w:rPr>
              <w:fldChar w:fldCharType="begin"/>
            </w:r>
            <w:r>
              <w:rPr>
                <w:noProof/>
                <w:webHidden/>
              </w:rPr>
              <w:instrText xml:space="preserve"> PAGEREF _Toc224733945 \h </w:instrText>
            </w:r>
            <w:r>
              <w:rPr>
                <w:noProof/>
                <w:webHidden/>
              </w:rPr>
              <w:fldChar w:fldCharType="separate"/>
            </w:r>
            <w:r>
              <w:rPr>
                <w:noProof/>
                <w:webHidden/>
              </w:rPr>
              <w:t>16</w:t>
            </w:r>
            <w:r>
              <w:rPr>
                <w:noProof/>
                <w:webHidden/>
              </w:rPr>
              <w:fldChar w:fldCharType="end"/>
            </w:r>
          </w:hyperlink>
        </w:p>
        <w:p w:rsidR="0098236C" w14:paraId="72AC744F" w14:textId="040EBCAB">
          <w:pPr>
            <w:pStyle w:val="TOC1"/>
            <w:rPr>
              <w:rFonts w:asciiTheme="minorHAnsi" w:hAnsiTheme="minorHAnsi"/>
              <w:noProof/>
              <w:kern w:val="2"/>
              <w:sz w:val="24"/>
              <w:szCs w:val="24"/>
              <w:lang w:eastAsia="en-US"/>
              <w14:ligatures w14:val="standardContextual"/>
            </w:rPr>
          </w:pPr>
          <w:hyperlink w:anchor="_Toc224733946" w:history="1">
            <w:r w:rsidRPr="00823015">
              <w:rPr>
                <w:rStyle w:val="Hyperlink"/>
                <w:noProof/>
              </w:rPr>
              <w:t>A.15. Explanation for Program Changes or Adjustments</w:t>
            </w:r>
            <w:r>
              <w:rPr>
                <w:noProof/>
                <w:webHidden/>
              </w:rPr>
              <w:tab/>
            </w:r>
            <w:r>
              <w:rPr>
                <w:noProof/>
                <w:webHidden/>
              </w:rPr>
              <w:fldChar w:fldCharType="begin"/>
            </w:r>
            <w:r>
              <w:rPr>
                <w:noProof/>
                <w:webHidden/>
              </w:rPr>
              <w:instrText xml:space="preserve"> PAGEREF _Toc224733946 \h </w:instrText>
            </w:r>
            <w:r>
              <w:rPr>
                <w:noProof/>
                <w:webHidden/>
              </w:rPr>
              <w:fldChar w:fldCharType="separate"/>
            </w:r>
            <w:r>
              <w:rPr>
                <w:noProof/>
                <w:webHidden/>
              </w:rPr>
              <w:t>17</w:t>
            </w:r>
            <w:r>
              <w:rPr>
                <w:noProof/>
                <w:webHidden/>
              </w:rPr>
              <w:fldChar w:fldCharType="end"/>
            </w:r>
          </w:hyperlink>
        </w:p>
        <w:p w:rsidR="0098236C" w14:paraId="5CF6F940" w14:textId="7B976F92">
          <w:pPr>
            <w:pStyle w:val="TOC1"/>
            <w:rPr>
              <w:rFonts w:asciiTheme="minorHAnsi" w:hAnsiTheme="minorHAnsi"/>
              <w:noProof/>
              <w:kern w:val="2"/>
              <w:sz w:val="24"/>
              <w:szCs w:val="24"/>
              <w:lang w:eastAsia="en-US"/>
              <w14:ligatures w14:val="standardContextual"/>
            </w:rPr>
          </w:pPr>
          <w:hyperlink w:anchor="_Toc224733947" w:history="1">
            <w:r w:rsidRPr="00823015">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_Toc224733947 \h </w:instrText>
            </w:r>
            <w:r>
              <w:rPr>
                <w:noProof/>
                <w:webHidden/>
              </w:rPr>
              <w:fldChar w:fldCharType="separate"/>
            </w:r>
            <w:r>
              <w:rPr>
                <w:noProof/>
                <w:webHidden/>
              </w:rPr>
              <w:t>18</w:t>
            </w:r>
            <w:r>
              <w:rPr>
                <w:noProof/>
                <w:webHidden/>
              </w:rPr>
              <w:fldChar w:fldCharType="end"/>
            </w:r>
          </w:hyperlink>
        </w:p>
        <w:p w:rsidR="0098236C" w14:paraId="09C50483" w14:textId="4C4E9CDA">
          <w:pPr>
            <w:pStyle w:val="TOC1"/>
            <w:rPr>
              <w:rFonts w:asciiTheme="minorHAnsi" w:hAnsiTheme="minorHAnsi"/>
              <w:noProof/>
              <w:kern w:val="2"/>
              <w:sz w:val="24"/>
              <w:szCs w:val="24"/>
              <w:lang w:eastAsia="en-US"/>
              <w14:ligatures w14:val="standardContextual"/>
            </w:rPr>
          </w:pPr>
          <w:hyperlink w:anchor="_Toc224733948" w:history="1">
            <w:r w:rsidRPr="00823015">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_Toc224733948 \h </w:instrText>
            </w:r>
            <w:r>
              <w:rPr>
                <w:noProof/>
                <w:webHidden/>
              </w:rPr>
              <w:fldChar w:fldCharType="separate"/>
            </w:r>
            <w:r>
              <w:rPr>
                <w:noProof/>
                <w:webHidden/>
              </w:rPr>
              <w:t>18</w:t>
            </w:r>
            <w:r>
              <w:rPr>
                <w:noProof/>
                <w:webHidden/>
              </w:rPr>
              <w:fldChar w:fldCharType="end"/>
            </w:r>
          </w:hyperlink>
        </w:p>
        <w:p w:rsidR="0098236C" w14:paraId="664ADD85" w14:textId="15D4D9F1">
          <w:pPr>
            <w:pStyle w:val="TOC1"/>
            <w:rPr>
              <w:rFonts w:asciiTheme="minorHAnsi" w:hAnsiTheme="minorHAnsi"/>
              <w:noProof/>
              <w:kern w:val="2"/>
              <w:sz w:val="24"/>
              <w:szCs w:val="24"/>
              <w:lang w:eastAsia="en-US"/>
              <w14:ligatures w14:val="standardContextual"/>
            </w:rPr>
          </w:pPr>
          <w:hyperlink w:anchor="_Toc224733949" w:history="1">
            <w:r w:rsidRPr="00823015">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_Toc224733949 \h </w:instrText>
            </w:r>
            <w:r>
              <w:rPr>
                <w:noProof/>
                <w:webHidden/>
              </w:rPr>
              <w:fldChar w:fldCharType="separate"/>
            </w:r>
            <w:r>
              <w:rPr>
                <w:noProof/>
                <w:webHidden/>
              </w:rPr>
              <w:t>19</w:t>
            </w:r>
            <w:r>
              <w:rPr>
                <w:noProof/>
                <w:webHidden/>
              </w:rPr>
              <w:fldChar w:fldCharType="end"/>
            </w:r>
          </w:hyperlink>
        </w:p>
        <w:p w:rsidR="0098236C" w14:paraId="61211F8A" w14:textId="6A8AA78F">
          <w:pPr>
            <w:pStyle w:val="TOC1"/>
            <w:rPr>
              <w:rFonts w:asciiTheme="minorHAnsi" w:hAnsiTheme="minorHAnsi"/>
              <w:noProof/>
              <w:kern w:val="2"/>
              <w:sz w:val="24"/>
              <w:szCs w:val="24"/>
              <w:lang w:eastAsia="en-US"/>
              <w14:ligatures w14:val="standardContextual"/>
            </w:rPr>
          </w:pPr>
          <w:hyperlink w:anchor="_Toc224733950" w:history="1">
            <w:r w:rsidRPr="00823015">
              <w:rPr>
                <w:rStyle w:val="Hyperlink"/>
                <w:noProof/>
              </w:rPr>
              <w:t>References</w:t>
            </w:r>
            <w:r>
              <w:rPr>
                <w:noProof/>
                <w:webHidden/>
              </w:rPr>
              <w:tab/>
            </w:r>
            <w:r>
              <w:rPr>
                <w:noProof/>
                <w:webHidden/>
              </w:rPr>
              <w:fldChar w:fldCharType="begin"/>
            </w:r>
            <w:r>
              <w:rPr>
                <w:noProof/>
                <w:webHidden/>
              </w:rPr>
              <w:instrText xml:space="preserve"> PAGEREF _Toc224733950 \h </w:instrText>
            </w:r>
            <w:r>
              <w:rPr>
                <w:noProof/>
                <w:webHidden/>
              </w:rPr>
              <w:fldChar w:fldCharType="separate"/>
            </w:r>
            <w:r>
              <w:rPr>
                <w:noProof/>
                <w:webHidden/>
              </w:rPr>
              <w:t>20</w:t>
            </w:r>
            <w:r>
              <w:rPr>
                <w:noProof/>
                <w:webHidden/>
              </w:rPr>
              <w:fldChar w:fldCharType="end"/>
            </w:r>
          </w:hyperlink>
        </w:p>
        <w:p w:rsidR="00E02610" w14:paraId="6C640229" w14:textId="4EC3E45F">
          <w:r w:rsidRPr="00CD4405">
            <w:rPr>
              <w:color w:val="000000" w:themeColor="text1"/>
            </w:rPr>
            <w:fldChar w:fldCharType="end"/>
          </w:r>
        </w:p>
      </w:sdtContent>
    </w:sdt>
    <w:p w:rsidR="00A416E0" w:rsidP="00A416E0" w14:paraId="53B3CCAA" w14:textId="77777777">
      <w:pPr>
        <w:pStyle w:val="Heading3"/>
      </w:pPr>
    </w:p>
    <w:p w:rsidR="00A416E0" w:rsidP="00A416E0" w14:paraId="33BF73A5" w14:textId="77777777">
      <w:pPr>
        <w:pStyle w:val="Heading3"/>
        <w:rPr>
          <w:rFonts w:cstheme="minorBidi"/>
          <w:b w:val="0"/>
          <w:sz w:val="22"/>
          <w:szCs w:val="22"/>
        </w:rPr>
      </w:pPr>
    </w:p>
    <w:p w:rsidR="00A12698" w:rsidP="00A12698" w14:paraId="52C44B45" w14:textId="77777777"/>
    <w:p w:rsidR="00992832" w:rsidP="00C66F4B" w14:paraId="4F887719" w14:textId="77777777">
      <w:pPr>
        <w:pStyle w:val="Heading1"/>
        <w:jc w:val="left"/>
        <w:rPr>
          <w:b w:val="0"/>
          <w:sz w:val="36"/>
          <w:szCs w:val="36"/>
        </w:rPr>
      </w:pPr>
    </w:p>
    <w:p w:rsidR="00A12698" w:rsidRPr="00A12698" w:rsidP="00A12698" w14:paraId="414DDC8A" w14:textId="77777777"/>
    <w:p w:rsidR="004D5905" w14:paraId="63126788" w14:textId="77777777">
      <w:pPr>
        <w:rPr>
          <w:rFonts w:eastAsiaTheme="majorEastAsia" w:cstheme="majorBidi"/>
          <w:bCs/>
          <w:sz w:val="28"/>
          <w:szCs w:val="28"/>
          <w:u w:val="single"/>
        </w:rPr>
      </w:pPr>
      <w:r>
        <w:rPr>
          <w:b/>
          <w:sz w:val="28"/>
          <w:szCs w:val="28"/>
          <w:u w:val="single"/>
        </w:rPr>
        <w:br w:type="page"/>
      </w:r>
    </w:p>
    <w:p w:rsidR="00F63BD2" w:rsidRPr="00EA6320" w:rsidP="00EA6320" w14:paraId="541ABE99" w14:textId="77777777">
      <w:pPr>
        <w:rPr>
          <w:b/>
          <w:sz w:val="36"/>
        </w:rPr>
      </w:pPr>
      <w:r>
        <w:rPr>
          <w:b/>
          <w:sz w:val="36"/>
        </w:rPr>
        <w:t>Part</w:t>
      </w:r>
      <w:r w:rsidRPr="00EA6320">
        <w:rPr>
          <w:b/>
          <w:sz w:val="36"/>
        </w:rPr>
        <w:t xml:space="preserve"> A.  </w:t>
      </w:r>
      <w:r w:rsidRPr="00EA6320" w:rsidR="003C7BBE">
        <w:rPr>
          <w:b/>
          <w:sz w:val="36"/>
        </w:rPr>
        <w:t>Justification</w:t>
      </w:r>
    </w:p>
    <w:p w:rsidR="000B533F" w:rsidP="00A416E0" w14:paraId="210EC688" w14:textId="61663BDB"/>
    <w:p w:rsidR="255735C0" w14:paraId="3DED9244" w14:textId="4DD13F7C"/>
    <w:p w:rsidR="00F63BD2" w:rsidP="00EA6320" w14:paraId="4EE305CE" w14:textId="77777777">
      <w:pPr>
        <w:pStyle w:val="Heading1"/>
        <w:jc w:val="left"/>
        <w:rPr>
          <w:b w:val="0"/>
          <w:sz w:val="36"/>
        </w:rPr>
      </w:pPr>
      <w:bookmarkStart w:id="5" w:name="_Toc441505139"/>
      <w:bookmarkStart w:id="6" w:name="_Toc224733933"/>
      <w:r w:rsidRPr="00EA6320">
        <w:rPr>
          <w:b w:val="0"/>
          <w:sz w:val="36"/>
        </w:rPr>
        <w:t>A.1. Circumstances Making the Collection of Information Necessary</w:t>
      </w:r>
      <w:bookmarkEnd w:id="5"/>
      <w:bookmarkEnd w:id="6"/>
    </w:p>
    <w:p w:rsidR="00CB38E0" w:rsidP="002B66C4" w14:paraId="766284BA" w14:textId="77777777">
      <w:pPr>
        <w:rPr>
          <w:bCs/>
        </w:rPr>
      </w:pPr>
    </w:p>
    <w:p w:rsidR="00DD605E" w:rsidP="002B66C4" w14:paraId="3C8ACC0E" w14:textId="5B20B99E">
      <w:pPr>
        <w:rPr>
          <w:bCs/>
        </w:rPr>
      </w:pPr>
      <w:r w:rsidRPr="005A41AA">
        <w:rPr>
          <w:bCs/>
        </w:rPr>
        <w:t>The National Center for Environmental Health (NCEH), Centers for Disease Control and Prevention</w:t>
      </w:r>
      <w:r w:rsidR="00164877">
        <w:rPr>
          <w:bCs/>
        </w:rPr>
        <w:t xml:space="preserve"> (CDC)</w:t>
      </w:r>
      <w:r w:rsidRPr="005A41AA">
        <w:rPr>
          <w:bCs/>
        </w:rPr>
        <w:t>, requests a three-year Paperwork Reduction Act (PRA) clearance for a</w:t>
      </w:r>
      <w:r w:rsidR="00CE20B6">
        <w:rPr>
          <w:bCs/>
        </w:rPr>
        <w:t xml:space="preserve"> revision</w:t>
      </w:r>
      <w:r w:rsidRPr="005A41AA" w:rsidR="00657A70">
        <w:rPr>
          <w:bCs/>
        </w:rPr>
        <w:t xml:space="preserve"> </w:t>
      </w:r>
      <w:r w:rsidR="00DE7868">
        <w:rPr>
          <w:bCs/>
        </w:rPr>
        <w:t xml:space="preserve">of the </w:t>
      </w:r>
      <w:r w:rsidRPr="005A41AA">
        <w:rPr>
          <w:bCs/>
        </w:rPr>
        <w:t>generic clearance information collection request (Generic ICR) titled the “</w:t>
      </w:r>
      <w:r w:rsidRPr="00AD6021" w:rsidR="00AD6021">
        <w:rPr>
          <w:bCs/>
        </w:rPr>
        <w:t xml:space="preserve">Poison </w:t>
      </w:r>
      <w:r w:rsidRPr="00AD6021" w:rsidR="006B04BF">
        <w:rPr>
          <w:bCs/>
        </w:rPr>
        <w:t>Center Collaborations for Public Health Emergencies</w:t>
      </w:r>
      <w:r w:rsidR="00432584">
        <w:rPr>
          <w:bCs/>
        </w:rPr>
        <w:t xml:space="preserve"> (PCCPHE)</w:t>
      </w:r>
      <w:r w:rsidRPr="005A41AA" w:rsidR="006B04BF">
        <w:rPr>
          <w:bCs/>
        </w:rPr>
        <w:t xml:space="preserve">” </w:t>
      </w:r>
      <w:r w:rsidR="000675C8">
        <w:rPr>
          <w:bCs/>
        </w:rPr>
        <w:t>(expiration date</w:t>
      </w:r>
      <w:r w:rsidR="00F323C5">
        <w:rPr>
          <w:bCs/>
        </w:rPr>
        <w:t xml:space="preserve">: </w:t>
      </w:r>
      <w:r w:rsidR="000675C8">
        <w:rPr>
          <w:bCs/>
        </w:rPr>
        <w:t>0</w:t>
      </w:r>
      <w:r w:rsidR="00483A4B">
        <w:rPr>
          <w:bCs/>
        </w:rPr>
        <w:t>4</w:t>
      </w:r>
      <w:r w:rsidR="000675C8">
        <w:rPr>
          <w:bCs/>
        </w:rPr>
        <w:t>/</w:t>
      </w:r>
      <w:r w:rsidR="00483A4B">
        <w:rPr>
          <w:bCs/>
        </w:rPr>
        <w:t>30/</w:t>
      </w:r>
      <w:r w:rsidR="000675C8">
        <w:rPr>
          <w:bCs/>
        </w:rPr>
        <w:t>202</w:t>
      </w:r>
      <w:r w:rsidR="00283D51">
        <w:rPr>
          <w:bCs/>
        </w:rPr>
        <w:t>6</w:t>
      </w:r>
      <w:r w:rsidR="000675C8">
        <w:rPr>
          <w:bCs/>
        </w:rPr>
        <w:t>).</w:t>
      </w:r>
    </w:p>
    <w:p w:rsidR="00E93260" w:rsidP="00D92517" w14:paraId="0E5F13B9" w14:textId="622D7BCA">
      <w:pPr>
        <w:spacing w:after="120"/>
        <w:rPr>
          <w:bCs/>
        </w:rPr>
      </w:pPr>
      <w:bookmarkStart w:id="7" w:name="_Hlk110955007"/>
      <w:r>
        <w:rPr>
          <w:bCs/>
        </w:rPr>
        <w:t xml:space="preserve">There are no </w:t>
      </w:r>
      <w:r w:rsidRPr="00E57AE4">
        <w:rPr>
          <w:bCs/>
        </w:rPr>
        <w:t xml:space="preserve">proposed revisions </w:t>
      </w:r>
      <w:r w:rsidRPr="00E57AE4" w:rsidR="00A7696D">
        <w:rPr>
          <w:bCs/>
        </w:rPr>
        <w:t>affecting the requested burden</w:t>
      </w:r>
      <w:r>
        <w:rPr>
          <w:bCs/>
        </w:rPr>
        <w:t>.</w:t>
      </w:r>
      <w:r w:rsidRPr="00E57AE4" w:rsidR="001B3813">
        <w:rPr>
          <w:bCs/>
        </w:rPr>
        <w:t xml:space="preserve"> </w:t>
      </w:r>
      <w:bookmarkEnd w:id="7"/>
    </w:p>
    <w:p w:rsidR="00222CEA" w:rsidP="00222CEA" w14:paraId="70844E83" w14:textId="548212A5">
      <w:r w:rsidRPr="005A41AA">
        <w:rPr>
          <w:bCs/>
        </w:rPr>
        <w:t xml:space="preserve">NCEH </w:t>
      </w:r>
      <w:r w:rsidR="005B49D7">
        <w:rPr>
          <w:bCs/>
        </w:rPr>
        <w:t xml:space="preserve">is authorized to collect this information </w:t>
      </w:r>
      <w:r w:rsidRPr="005A41AA">
        <w:rPr>
          <w:bCs/>
        </w:rPr>
        <w:t xml:space="preserve">under the </w:t>
      </w:r>
      <w:r w:rsidRPr="005A41AA">
        <w:t>Public Health Service Act Section 301 [241] (</w:t>
      </w:r>
      <w:r w:rsidRPr="00232998">
        <w:rPr>
          <w:b/>
        </w:rPr>
        <w:t xml:space="preserve">Attachment </w:t>
      </w:r>
      <w:r w:rsidR="00232998">
        <w:rPr>
          <w:b/>
        </w:rPr>
        <w:t>1</w:t>
      </w:r>
      <w:r w:rsidRPr="00232998">
        <w:rPr>
          <w:b/>
        </w:rPr>
        <w:t>).</w:t>
      </w:r>
      <w:r w:rsidRPr="005A41AA">
        <w:t xml:space="preserve"> The 60-day Federal Register Notice</w:t>
      </w:r>
      <w:r w:rsidR="00B2555F">
        <w:t xml:space="preserve"> (FRN)</w:t>
      </w:r>
      <w:r w:rsidRPr="005A41AA">
        <w:t xml:space="preserve"> was published </w:t>
      </w:r>
      <w:r w:rsidRPr="002B2023">
        <w:t xml:space="preserve">on </w:t>
      </w:r>
      <w:r w:rsidR="00F11E0C">
        <w:t>1</w:t>
      </w:r>
      <w:r w:rsidR="002070E4">
        <w:t>5</w:t>
      </w:r>
      <w:r w:rsidR="00022B15">
        <w:t xml:space="preserve"> </w:t>
      </w:r>
      <w:r w:rsidR="00F11E0C">
        <w:t xml:space="preserve">January </w:t>
      </w:r>
      <w:r w:rsidR="00022B15">
        <w:t>202</w:t>
      </w:r>
      <w:r w:rsidR="00F11E0C">
        <w:t>6</w:t>
      </w:r>
      <w:r w:rsidRPr="002B2023">
        <w:t xml:space="preserve"> and is further discussed in Section A8 </w:t>
      </w:r>
      <w:r w:rsidRPr="00F754AF">
        <w:t>(</w:t>
      </w:r>
      <w:r w:rsidRPr="002B2023">
        <w:rPr>
          <w:b/>
        </w:rPr>
        <w:t>Attachment</w:t>
      </w:r>
      <w:r w:rsidRPr="002B2023" w:rsidR="00484B6E">
        <w:rPr>
          <w:b/>
        </w:rPr>
        <w:t xml:space="preserve"> 2</w:t>
      </w:r>
      <w:r w:rsidRPr="00F754AF">
        <w:t>)</w:t>
      </w:r>
      <w:r w:rsidRPr="002B2023">
        <w:rPr>
          <w:b/>
        </w:rPr>
        <w:t>.</w:t>
      </w:r>
      <w:r w:rsidR="00DD605E">
        <w:rPr>
          <w:color w:val="000000"/>
        </w:rPr>
        <w:t xml:space="preserve"> </w:t>
      </w:r>
      <w:r w:rsidRPr="00E96FE7">
        <w:rPr>
          <w:color w:val="000000"/>
        </w:rPr>
        <w:t xml:space="preserve">The information </w:t>
      </w:r>
      <w:r w:rsidR="00845EB2">
        <w:rPr>
          <w:color w:val="000000"/>
        </w:rPr>
        <w:t xml:space="preserve">will be </w:t>
      </w:r>
      <w:r w:rsidRPr="00E96FE7">
        <w:rPr>
          <w:color w:val="000000"/>
        </w:rPr>
        <w:t>collect</w:t>
      </w:r>
      <w:r w:rsidR="00845EB2">
        <w:rPr>
          <w:color w:val="000000"/>
        </w:rPr>
        <w:t>ed</w:t>
      </w:r>
      <w:r w:rsidRPr="00E96FE7">
        <w:rPr>
          <w:color w:val="000000"/>
        </w:rPr>
        <w:t xml:space="preserve"> in</w:t>
      </w:r>
      <w:r>
        <w:rPr>
          <w:color w:val="000000"/>
        </w:rPr>
        <w:t xml:space="preserve"> accordance with NCEH’s </w:t>
      </w:r>
      <w:r w:rsidRPr="00E96FE7">
        <w:rPr>
          <w:color w:val="000000"/>
        </w:rPr>
        <w:t xml:space="preserve">mission </w:t>
      </w:r>
      <w:r>
        <w:rPr>
          <w:color w:val="000000"/>
        </w:rPr>
        <w:t xml:space="preserve">to </w:t>
      </w:r>
      <w:r w:rsidRPr="009D2FD8">
        <w:rPr>
          <w:color w:val="000000"/>
        </w:rPr>
        <w:t>promote health and quality of life by preventing or controlling disease, injury,</w:t>
      </w:r>
      <w:r>
        <w:rPr>
          <w:color w:val="000000"/>
        </w:rPr>
        <w:t xml:space="preserve"> </w:t>
      </w:r>
      <w:r w:rsidRPr="009D2FD8">
        <w:rPr>
          <w:color w:val="000000"/>
        </w:rPr>
        <w:t>and disability related to the interactions between people and their environment outside the workplace.</w:t>
      </w:r>
      <w:r>
        <w:rPr>
          <w:color w:val="000000"/>
        </w:rPr>
        <w:t xml:space="preserve"> </w:t>
      </w:r>
    </w:p>
    <w:p w:rsidR="008A18D3" w:rsidP="008A18D3" w14:paraId="1EC4DB2C" w14:textId="77777777">
      <w:pPr>
        <w:rPr>
          <w:i/>
        </w:rPr>
      </w:pPr>
      <w:r>
        <w:rPr>
          <w:i/>
        </w:rPr>
        <w:t>Partnering</w:t>
      </w:r>
      <w:r w:rsidR="00AA16A2">
        <w:rPr>
          <w:i/>
        </w:rPr>
        <w:t xml:space="preserve"> with</w:t>
      </w:r>
      <w:r>
        <w:rPr>
          <w:i/>
        </w:rPr>
        <w:t xml:space="preserve"> Poison Centers </w:t>
      </w:r>
    </w:p>
    <w:p w:rsidR="00330311" w:rsidP="00D754FB" w14:paraId="0118E9E6" w14:textId="6B9C750F">
      <w:r w:rsidRPr="00E73C82">
        <w:rPr>
          <w:rFonts w:cs="Courier New"/>
          <w:lang w:val="en"/>
        </w:rPr>
        <w:t xml:space="preserve">CDC’s key partner, </w:t>
      </w:r>
      <w:r w:rsidR="00483A4B">
        <w:rPr>
          <w:rFonts w:cs="Courier New"/>
          <w:lang w:val="en"/>
        </w:rPr>
        <w:t>America</w:t>
      </w:r>
      <w:r w:rsidR="00814D0F">
        <w:rPr>
          <w:rFonts w:cs="Courier New"/>
          <w:lang w:val="en"/>
        </w:rPr>
        <w:t xml:space="preserve">’s </w:t>
      </w:r>
      <w:r w:rsidR="00483A4B">
        <w:rPr>
          <w:rFonts w:cs="Courier New"/>
          <w:lang w:val="en"/>
        </w:rPr>
        <w:t>Poison Centers</w:t>
      </w:r>
      <w:r w:rsidR="00B36988">
        <w:rPr>
          <w:rFonts w:cs="Courier New"/>
          <w:vertAlign w:val="superscript"/>
          <w:lang w:val="en"/>
        </w:rPr>
        <w:t xml:space="preserve"> </w:t>
      </w:r>
      <w:r w:rsidRPr="00895214" w:rsidR="00A95452">
        <w:rPr>
          <w:rFonts w:cs="Courier New"/>
          <w:vertAlign w:val="superscript"/>
          <w:lang w:val="en"/>
        </w:rPr>
        <w:t>TM</w:t>
      </w:r>
      <w:r w:rsidR="00CE20B6">
        <w:rPr>
          <w:rFonts w:cs="Courier New"/>
          <w:lang w:val="en"/>
        </w:rPr>
        <w:t xml:space="preserve"> (</w:t>
      </w:r>
      <w:r w:rsidR="00F743E0">
        <w:rPr>
          <w:rFonts w:cs="Courier New"/>
          <w:lang w:val="en"/>
        </w:rPr>
        <w:t>formerly</w:t>
      </w:r>
      <w:r w:rsidR="00814D0F">
        <w:rPr>
          <w:rFonts w:cs="Courier New"/>
          <w:lang w:val="en"/>
        </w:rPr>
        <w:t xml:space="preserve"> known as the American Association of Poison Control Centers</w:t>
      </w:r>
      <w:r w:rsidR="00B36988">
        <w:rPr>
          <w:rFonts w:cs="Courier New"/>
          <w:lang w:val="en"/>
        </w:rPr>
        <w:t xml:space="preserve"> [AAPCC]</w:t>
      </w:r>
      <w:r w:rsidR="00814D0F">
        <w:rPr>
          <w:rFonts w:cs="Courier New"/>
          <w:lang w:val="en"/>
        </w:rPr>
        <w:t>)</w:t>
      </w:r>
      <w:r w:rsidRPr="00E73C82">
        <w:rPr>
          <w:rFonts w:cs="Courier New"/>
          <w:lang w:val="en"/>
        </w:rPr>
        <w:t>,</w:t>
      </w:r>
      <w:r w:rsidR="009E6B99">
        <w:rPr>
          <w:rFonts w:cs="Courier New"/>
          <w:lang w:val="en"/>
        </w:rPr>
        <w:t xml:space="preserve"> </w:t>
      </w:r>
      <w:r w:rsidRPr="00E73C82">
        <w:rPr>
          <w:rFonts w:cs="Courier New"/>
          <w:lang w:val="en"/>
        </w:rPr>
        <w:t>is a national network of 5</w:t>
      </w:r>
      <w:r w:rsidR="00BC4706">
        <w:rPr>
          <w:rFonts w:cs="Courier New"/>
          <w:lang w:val="en"/>
        </w:rPr>
        <w:t>3</w:t>
      </w:r>
      <w:r w:rsidRPr="00E73C82">
        <w:rPr>
          <w:rFonts w:cs="Courier New"/>
          <w:lang w:val="en"/>
        </w:rPr>
        <w:t xml:space="preserve"> poison centers working to prevent and tr</w:t>
      </w:r>
      <w:r w:rsidR="003477C9">
        <w:rPr>
          <w:rFonts w:cs="Courier New"/>
          <w:lang w:val="en"/>
        </w:rPr>
        <w:t>eat poison exposures</w:t>
      </w:r>
      <w:r w:rsidRPr="003477C9" w:rsidR="003477C9">
        <w:t xml:space="preserve"> </w:t>
      </w:r>
      <w:r w:rsidRPr="00E74B2C" w:rsidR="003477C9">
        <w:t>(</w:t>
      </w:r>
      <w:r w:rsidRPr="009050BE" w:rsidR="003477C9">
        <w:rPr>
          <w:b/>
        </w:rPr>
        <w:t>Attachment 3</w:t>
      </w:r>
      <w:r w:rsidRPr="00E74B2C" w:rsidR="003477C9">
        <w:t>)</w:t>
      </w:r>
      <w:r w:rsidR="003477C9">
        <w:t xml:space="preserve">. The poison centers service all states and US territories. Some states have a single poison center servicing the whole jurisdiction, some states have multiple poison centers servicing the state, and some states have poison centers outside the state servicing their jurisdiction. A free national hotline is available 24 hours a day, seven days a week to speak to poison center experts related to poison exposures. Callers using the national hotline are automatically routed to the poison center closest to the caller location. </w:t>
      </w:r>
    </w:p>
    <w:p w:rsidR="00D754FB" w:rsidP="00D754FB" w14:paraId="33D1D7E6" w14:textId="77777777">
      <w:pPr>
        <w:rPr>
          <w:color w:val="000000" w:themeColor="text1"/>
        </w:rPr>
      </w:pPr>
      <w:r w:rsidRPr="00EA2983">
        <w:rPr>
          <w:color w:val="000000" w:themeColor="text1"/>
        </w:rPr>
        <w:t>CD</w:t>
      </w:r>
      <w:r w:rsidR="007074A8">
        <w:rPr>
          <w:color w:val="000000" w:themeColor="text1"/>
        </w:rPr>
        <w:t xml:space="preserve">C’s collaboration with </w:t>
      </w:r>
      <w:r w:rsidR="00483A4B">
        <w:rPr>
          <w:rFonts w:cs="Courier New"/>
          <w:lang w:val="en"/>
        </w:rPr>
        <w:t>America’s Poison Centers</w:t>
      </w:r>
      <w:r w:rsidR="00B36988">
        <w:rPr>
          <w:rFonts w:cs="Courier New"/>
          <w:vertAlign w:val="superscript"/>
          <w:lang w:val="en"/>
        </w:rPr>
        <w:t xml:space="preserve"> </w:t>
      </w:r>
      <w:r w:rsidRPr="00895214" w:rsidR="00A0735A">
        <w:rPr>
          <w:rFonts w:cs="Courier New"/>
          <w:vertAlign w:val="superscript"/>
          <w:lang w:val="en"/>
        </w:rPr>
        <w:t>TM</w:t>
      </w:r>
      <w:r w:rsidR="00162CCB">
        <w:rPr>
          <w:rFonts w:cs="Courier New"/>
          <w:lang w:val="en"/>
        </w:rPr>
        <w:t xml:space="preserve"> </w:t>
      </w:r>
      <w:r w:rsidR="007074A8">
        <w:rPr>
          <w:color w:val="000000" w:themeColor="text1"/>
        </w:rPr>
        <w:t xml:space="preserve"> ha</w:t>
      </w:r>
      <w:r w:rsidR="0004390E">
        <w:rPr>
          <w:color w:val="000000" w:themeColor="text1"/>
        </w:rPr>
        <w:t>s</w:t>
      </w:r>
      <w:r w:rsidRPr="00EA2983">
        <w:rPr>
          <w:color w:val="000000" w:themeColor="text1"/>
        </w:rPr>
        <w:t xml:space="preserve"> two main components. </w:t>
      </w:r>
    </w:p>
    <w:p w:rsidR="00D754FB" w:rsidRPr="00D754FB" w:rsidP="00D754FB" w14:paraId="14546701" w14:textId="77777777">
      <w:pPr>
        <w:rPr>
          <w:color w:val="000000" w:themeColor="text1"/>
        </w:rPr>
      </w:pPr>
      <w:r>
        <w:rPr>
          <w:i/>
        </w:rPr>
        <w:t>Surveillance</w:t>
      </w:r>
      <w:r w:rsidR="00901159">
        <w:rPr>
          <w:i/>
        </w:rPr>
        <w:t xml:space="preserve"> </w:t>
      </w:r>
      <w:r w:rsidR="00B36988">
        <w:rPr>
          <w:i/>
        </w:rPr>
        <w:t>–</w:t>
      </w:r>
      <w:r w:rsidR="00901159">
        <w:rPr>
          <w:i/>
        </w:rPr>
        <w:t xml:space="preserve"> </w:t>
      </w:r>
      <w:r>
        <w:rPr>
          <w:i/>
        </w:rPr>
        <w:t>National Poison Data System (NPDS)</w:t>
      </w:r>
    </w:p>
    <w:p w:rsidR="00FD0087" w:rsidRPr="002E7470" w:rsidP="002111E6" w14:paraId="0500452E" w14:textId="02B3BD20">
      <w:r>
        <w:t xml:space="preserve">The </w:t>
      </w:r>
      <w:r w:rsidRPr="009A6BAA" w:rsidR="008F57A2">
        <w:t xml:space="preserve">National Poison Data System </w:t>
      </w:r>
      <w:r w:rsidR="008F57A2">
        <w:t>(</w:t>
      </w:r>
      <w:r>
        <w:t>NPDS</w:t>
      </w:r>
      <w:r w:rsidR="008F57A2">
        <w:t>)</w:t>
      </w:r>
      <w:r>
        <w:t xml:space="preserve"> is not the subject of this Generic ICR. </w:t>
      </w:r>
      <w:r w:rsidR="00B57C7A">
        <w:t xml:space="preserve">Already in existence and use, </w:t>
      </w:r>
      <w:r w:rsidR="005F4D6C">
        <w:rPr>
          <w:rFonts w:cs="Courier New"/>
          <w:lang w:val="en"/>
        </w:rPr>
        <w:t>America’s Poison Centers</w:t>
      </w:r>
      <w:r w:rsidR="00B36988">
        <w:rPr>
          <w:rFonts w:cs="Courier New"/>
          <w:vertAlign w:val="superscript"/>
          <w:lang w:val="en"/>
        </w:rPr>
        <w:t xml:space="preserve"> </w:t>
      </w:r>
      <w:r w:rsidRPr="00895214" w:rsidR="00A0735A">
        <w:rPr>
          <w:rFonts w:cs="Courier New"/>
          <w:vertAlign w:val="superscript"/>
          <w:lang w:val="en"/>
        </w:rPr>
        <w:t>TM</w:t>
      </w:r>
      <w:r w:rsidR="009F0692">
        <w:rPr>
          <w:rFonts w:cs="Courier New"/>
          <w:lang w:val="en"/>
        </w:rPr>
        <w:t xml:space="preserve"> </w:t>
      </w:r>
      <w:r w:rsidR="00BD2EED">
        <w:t xml:space="preserve">owns and operates the </w:t>
      </w:r>
      <w:r w:rsidR="009773EF">
        <w:t>NPDS</w:t>
      </w:r>
      <w:r w:rsidRPr="009A6BAA" w:rsidR="00B07A94">
        <w:t xml:space="preserve">, a </w:t>
      </w:r>
      <w:r w:rsidR="00CC2EB4">
        <w:t>surveillance</w:t>
      </w:r>
      <w:r w:rsidRPr="009A6BAA" w:rsidR="00B07A94">
        <w:t xml:space="preserve"> system </w:t>
      </w:r>
      <w:r w:rsidR="00B07A94">
        <w:t>compiling</w:t>
      </w:r>
      <w:r w:rsidRPr="009A6BAA" w:rsidR="00B07A94">
        <w:t xml:space="preserve"> all calls to all poison centers in the </w:t>
      </w:r>
      <w:r w:rsidR="008843EE">
        <w:t>US.</w:t>
      </w:r>
      <w:r w:rsidR="005D4A2F">
        <w:t xml:space="preserve"> </w:t>
      </w:r>
      <w:r w:rsidR="00B07A94">
        <w:t xml:space="preserve">On average, every </w:t>
      </w:r>
      <w:r w:rsidR="004E09AE">
        <w:t>5</w:t>
      </w:r>
      <w:r w:rsidR="00B07A94">
        <w:t xml:space="preserve"> minutes, all poison centers upload data collected from calls made to their organizati</w:t>
      </w:r>
      <w:r w:rsidR="00BD2EED">
        <w:t>ons to NPDS</w:t>
      </w:r>
      <w:r w:rsidR="00B07A94">
        <w:t>.</w:t>
      </w:r>
      <w:r w:rsidRPr="00F754AF" w:rsidR="00B07A94">
        <w:rPr>
          <w:vertAlign w:val="superscript"/>
        </w:rPr>
        <w:t>1</w:t>
      </w:r>
      <w:r w:rsidR="00B07A94">
        <w:t xml:space="preserve"> </w:t>
      </w:r>
      <w:r w:rsidR="002D6112">
        <w:t>Data routinely uploaded into NPDS</w:t>
      </w:r>
      <w:r w:rsidRPr="00EA2983" w:rsidR="00D754FB">
        <w:t xml:space="preserve"> include basic demographic information of the exposed (age, gender), the substance of exposure, reported signs and symptoms following exposure, and medical </w:t>
      </w:r>
      <w:r w:rsidRPr="002E7470" w:rsidR="00D754FB">
        <w:t>outcome of the exposure.</w:t>
      </w:r>
      <w:r w:rsidRPr="002E7470" w:rsidR="00F754AF">
        <w:rPr>
          <w:vertAlign w:val="superscript"/>
        </w:rPr>
        <w:t>2</w:t>
      </w:r>
      <w:r w:rsidRPr="002E7470" w:rsidR="00B92498">
        <w:rPr>
          <w:vertAlign w:val="superscript"/>
        </w:rPr>
        <w:t>-</w:t>
      </w:r>
      <w:r w:rsidR="005F4D6C">
        <w:rPr>
          <w:vertAlign w:val="superscript"/>
        </w:rPr>
        <w:t>3</w:t>
      </w:r>
      <w:r w:rsidRPr="005F4D6C" w:rsidR="005F4D6C">
        <w:rPr>
          <w:rFonts w:cs="Courier New"/>
          <w:lang w:val="en"/>
        </w:rPr>
        <w:t xml:space="preserve"> </w:t>
      </w:r>
      <w:r w:rsidR="005F4D6C">
        <w:rPr>
          <w:rFonts w:cs="Courier New"/>
          <w:lang w:val="en"/>
        </w:rPr>
        <w:t>America’s Poison Centers</w:t>
      </w:r>
      <w:r w:rsidR="00B36988">
        <w:rPr>
          <w:rFonts w:cs="Courier New"/>
          <w:vertAlign w:val="superscript"/>
          <w:lang w:val="en"/>
        </w:rPr>
        <w:t xml:space="preserve"> </w:t>
      </w:r>
      <w:r w:rsidRPr="00895214" w:rsidR="00A0735A">
        <w:rPr>
          <w:rFonts w:cs="Courier New"/>
          <w:vertAlign w:val="superscript"/>
          <w:lang w:val="en"/>
        </w:rPr>
        <w:t>TM</w:t>
      </w:r>
      <w:r w:rsidR="009037A4">
        <w:rPr>
          <w:rFonts w:cs="Courier New"/>
          <w:lang w:val="en"/>
        </w:rPr>
        <w:t xml:space="preserve"> </w:t>
      </w:r>
      <w:r w:rsidRPr="002E7470" w:rsidR="00D754FB">
        <w:t>collects th</w:t>
      </w:r>
      <w:r w:rsidRPr="002E7470" w:rsidR="002F41D3">
        <w:t>is dat</w:t>
      </w:r>
      <w:r w:rsidRPr="00DC25BF" w:rsidR="002F41D3">
        <w:t>a as part of its</w:t>
      </w:r>
      <w:r w:rsidRPr="00DC25BF" w:rsidR="00D754FB">
        <w:t xml:space="preserve"> routine surveillance</w:t>
      </w:r>
      <w:r w:rsidRPr="00DC25BF" w:rsidR="00B92498">
        <w:t xml:space="preserve"> and</w:t>
      </w:r>
      <w:r w:rsidRPr="00997A93" w:rsidR="00D754FB">
        <w:t xml:space="preserve"> </w:t>
      </w:r>
      <w:r w:rsidRPr="00997A93" w:rsidR="00CF2382">
        <w:t xml:space="preserve">CDC does not direct the </w:t>
      </w:r>
      <w:r w:rsidRPr="00997A93" w:rsidR="009F32C8">
        <w:t xml:space="preserve">NPDS </w:t>
      </w:r>
      <w:r w:rsidRPr="00997A93" w:rsidR="00CF2382">
        <w:t>data collection</w:t>
      </w:r>
      <w:r w:rsidRPr="00997A93" w:rsidR="00B92498">
        <w:t>.</w:t>
      </w:r>
      <w:r w:rsidRPr="00997A93" w:rsidR="00CF2382">
        <w:t xml:space="preserve"> </w:t>
      </w:r>
      <w:r w:rsidRPr="00997A93" w:rsidR="00D754FB">
        <w:t xml:space="preserve">Therefore, </w:t>
      </w:r>
      <w:r w:rsidRPr="00997A93" w:rsidR="004720BF">
        <w:t xml:space="preserve">it has </w:t>
      </w:r>
      <w:r w:rsidRPr="00997A93" w:rsidR="00506B3C">
        <w:t xml:space="preserve">previously </w:t>
      </w:r>
      <w:r w:rsidRPr="00997A93" w:rsidR="004720BF">
        <w:t>been</w:t>
      </w:r>
      <w:r w:rsidRPr="00997A93" w:rsidR="002111E6">
        <w:t xml:space="preserve"> determined that </w:t>
      </w:r>
      <w:r w:rsidRPr="00997A93" w:rsidR="00D754FB">
        <w:t>PRA cle</w:t>
      </w:r>
      <w:r w:rsidRPr="00997A93" w:rsidR="00564D0E">
        <w:t xml:space="preserve">arance is not required for CDC’s </w:t>
      </w:r>
      <w:r w:rsidRPr="00997A93" w:rsidR="00DC25BF">
        <w:t>use of</w:t>
      </w:r>
      <w:r w:rsidRPr="00997A93" w:rsidR="00564D0E">
        <w:t xml:space="preserve"> NPDS</w:t>
      </w:r>
      <w:r w:rsidRPr="00997A93" w:rsidR="00DC25BF">
        <w:t xml:space="preserve"> data, under </w:t>
      </w:r>
      <w:r w:rsidRPr="00895214" w:rsidR="00DC25BF">
        <w:t>5 CFR part 1320.3(b)(2</w:t>
      </w:r>
      <w:r w:rsidRPr="00895214" w:rsidR="00DC25BF">
        <w:t>)</w:t>
      </w:r>
      <w:r w:rsidRPr="00DC25BF" w:rsidR="00D754FB">
        <w:t>.</w:t>
      </w:r>
      <w:r w:rsidR="0041231B">
        <w:rPr>
          <w:vertAlign w:val="superscript"/>
        </w:rPr>
        <w:t>Footnote</w:t>
      </w:r>
      <w:r w:rsidR="0041231B">
        <w:rPr>
          <w:vertAlign w:val="superscript"/>
        </w:rPr>
        <w:t xml:space="preserve"> </w:t>
      </w:r>
      <w:r>
        <w:rPr>
          <w:rStyle w:val="FootnoteReference"/>
        </w:rPr>
        <w:footnoteReference w:id="3"/>
      </w:r>
    </w:p>
    <w:p w:rsidR="00901159" w:rsidP="00D754FB" w14:paraId="766AAD31" w14:textId="77777777">
      <w:r w:rsidRPr="002E7470">
        <w:rPr>
          <w:color w:val="000000" w:themeColor="text1"/>
        </w:rPr>
        <w:t xml:space="preserve">Through </w:t>
      </w:r>
      <w:r w:rsidR="007830C6">
        <w:rPr>
          <w:color w:val="000000" w:themeColor="text1"/>
        </w:rPr>
        <w:t>an existing</w:t>
      </w:r>
      <w:r w:rsidRPr="002E7470">
        <w:rPr>
          <w:color w:val="000000" w:themeColor="text1"/>
        </w:rPr>
        <w:t xml:space="preserve"> cooperative agreement</w:t>
      </w:r>
      <w:r w:rsidR="007830C6">
        <w:rPr>
          <w:color w:val="000000" w:themeColor="text1"/>
        </w:rPr>
        <w:t xml:space="preserve"> with </w:t>
      </w:r>
      <w:r w:rsidR="005F4D6C">
        <w:rPr>
          <w:rFonts w:cs="Courier New"/>
          <w:lang w:val="en"/>
        </w:rPr>
        <w:t>America’s Poison Centers</w:t>
      </w:r>
      <w:r w:rsidR="00B36988">
        <w:rPr>
          <w:rFonts w:cs="Courier New"/>
          <w:vertAlign w:val="superscript"/>
          <w:lang w:val="en"/>
        </w:rPr>
        <w:t xml:space="preserve"> </w:t>
      </w:r>
      <w:r w:rsidRPr="00895214" w:rsidR="00A0735A">
        <w:rPr>
          <w:rFonts w:cs="Courier New"/>
          <w:vertAlign w:val="superscript"/>
          <w:lang w:val="en"/>
        </w:rPr>
        <w:t>TM</w:t>
      </w:r>
      <w:r w:rsidR="005F4D6C">
        <w:rPr>
          <w:color w:val="000000" w:themeColor="text1"/>
        </w:rPr>
        <w:t xml:space="preserve"> </w:t>
      </w:r>
      <w:r w:rsidR="007830C6">
        <w:rPr>
          <w:color w:val="000000" w:themeColor="text1"/>
        </w:rPr>
        <w:t>(CDC-RFA-EH</w:t>
      </w:r>
      <w:r w:rsidR="00EE546D">
        <w:rPr>
          <w:color w:val="000000" w:themeColor="text1"/>
        </w:rPr>
        <w:t>20</w:t>
      </w:r>
      <w:r w:rsidR="007830C6">
        <w:rPr>
          <w:color w:val="000000" w:themeColor="text1"/>
        </w:rPr>
        <w:t>-</w:t>
      </w:r>
      <w:r w:rsidR="00EE546D">
        <w:rPr>
          <w:color w:val="000000" w:themeColor="text1"/>
        </w:rPr>
        <w:t>2003)</w:t>
      </w:r>
      <w:r w:rsidRPr="002E7470">
        <w:rPr>
          <w:color w:val="000000" w:themeColor="text1"/>
        </w:rPr>
        <w:t xml:space="preserve">, </w:t>
      </w:r>
      <w:r w:rsidRPr="002E7470" w:rsidR="00CF2382">
        <w:rPr>
          <w:color w:val="000000" w:themeColor="text1"/>
        </w:rPr>
        <w:t xml:space="preserve">CDC </w:t>
      </w:r>
      <w:r w:rsidRPr="002E7470" w:rsidR="002111E6">
        <w:rPr>
          <w:color w:val="000000" w:themeColor="text1"/>
        </w:rPr>
        <w:t>provide</w:t>
      </w:r>
      <w:r w:rsidRPr="002E7470" w:rsidR="00CF2382">
        <w:rPr>
          <w:color w:val="000000" w:themeColor="text1"/>
        </w:rPr>
        <w:t>s</w:t>
      </w:r>
      <w:r w:rsidRPr="002E7470" w:rsidR="002111E6">
        <w:t xml:space="preserve"> </w:t>
      </w:r>
      <w:r w:rsidR="007830C6">
        <w:t xml:space="preserve">some </w:t>
      </w:r>
      <w:r w:rsidRPr="002E7470" w:rsidR="002111E6">
        <w:t xml:space="preserve">funding to </w:t>
      </w:r>
      <w:r w:rsidR="005F4D6C">
        <w:rPr>
          <w:rFonts w:cs="Courier New"/>
          <w:lang w:val="en"/>
        </w:rPr>
        <w:t>America’s Poison Centers</w:t>
      </w:r>
      <w:r w:rsidR="00B36988">
        <w:rPr>
          <w:rFonts w:cs="Courier New"/>
          <w:vertAlign w:val="superscript"/>
          <w:lang w:val="en"/>
        </w:rPr>
        <w:t xml:space="preserve"> </w:t>
      </w:r>
      <w:r w:rsidRPr="00895214" w:rsidR="00A0735A">
        <w:rPr>
          <w:rFonts w:cs="Courier New"/>
          <w:vertAlign w:val="superscript"/>
          <w:lang w:val="en"/>
        </w:rPr>
        <w:t>TM</w:t>
      </w:r>
      <w:r w:rsidR="00DC1CD9">
        <w:rPr>
          <w:rFonts w:cs="Courier New"/>
          <w:lang w:val="en"/>
        </w:rPr>
        <w:t xml:space="preserve"> </w:t>
      </w:r>
      <w:r w:rsidR="007830C6">
        <w:t xml:space="preserve">for </w:t>
      </w:r>
      <w:r w:rsidRPr="002E7470" w:rsidR="002111E6">
        <w:t>NPDS maintenance and data storage.</w:t>
      </w:r>
      <w:r w:rsidRPr="002E7470" w:rsidR="00FD0087">
        <w:t xml:space="preserve"> </w:t>
      </w:r>
      <w:r w:rsidRPr="002E7470" w:rsidR="00B07A94">
        <w:rPr>
          <w:color w:val="000000" w:themeColor="text1"/>
        </w:rPr>
        <w:t xml:space="preserve">A data </w:t>
      </w:r>
      <w:r w:rsidR="00DC1CD9">
        <w:rPr>
          <w:color w:val="000000" w:themeColor="text1"/>
        </w:rPr>
        <w:t>licensing</w:t>
      </w:r>
      <w:r w:rsidRPr="002E7470" w:rsidR="00DC1CD9">
        <w:rPr>
          <w:color w:val="000000" w:themeColor="text1"/>
        </w:rPr>
        <w:t xml:space="preserve"> </w:t>
      </w:r>
      <w:r w:rsidRPr="002E7470" w:rsidR="00B07A94">
        <w:rPr>
          <w:color w:val="000000" w:themeColor="text1"/>
        </w:rPr>
        <w:t xml:space="preserve">agreement between CDC and </w:t>
      </w:r>
      <w:r w:rsidR="005F563A">
        <w:rPr>
          <w:rFonts w:cs="Courier New"/>
          <w:lang w:val="en"/>
        </w:rPr>
        <w:t>America’s Poison Centers</w:t>
      </w:r>
      <w:r w:rsidRPr="002E7470" w:rsidR="005F4D6C">
        <w:rPr>
          <w:color w:val="000000" w:themeColor="text1"/>
        </w:rPr>
        <w:t xml:space="preserve"> </w:t>
      </w:r>
      <w:r w:rsidRPr="002E7470" w:rsidR="00B07A94">
        <w:rPr>
          <w:color w:val="000000" w:themeColor="text1"/>
        </w:rPr>
        <w:t>is in place (</w:t>
      </w:r>
      <w:r w:rsidRPr="002E7470" w:rsidR="00CF2382">
        <w:rPr>
          <w:b/>
          <w:color w:val="000000" w:themeColor="text1"/>
        </w:rPr>
        <w:t>Attachment 4</w:t>
      </w:r>
      <w:r w:rsidRPr="002E7470" w:rsidR="00B07A94">
        <w:rPr>
          <w:color w:val="000000" w:themeColor="text1"/>
        </w:rPr>
        <w:t>)</w:t>
      </w:r>
      <w:r w:rsidRPr="002E7470" w:rsidR="00B07A94">
        <w:rPr>
          <w:b/>
          <w:color w:val="000000" w:themeColor="text1"/>
        </w:rPr>
        <w:t xml:space="preserve"> </w:t>
      </w:r>
      <w:r w:rsidRPr="002E7470" w:rsidR="009A1DAC">
        <w:rPr>
          <w:color w:val="000000" w:themeColor="text1"/>
        </w:rPr>
        <w:t>to facilitate</w:t>
      </w:r>
      <w:r w:rsidRPr="002E7470" w:rsidR="00B07A94">
        <w:rPr>
          <w:color w:val="000000" w:themeColor="text1"/>
        </w:rPr>
        <w:t xml:space="preserve"> </w:t>
      </w:r>
      <w:r w:rsidRPr="002E7470" w:rsidR="004720BF">
        <w:rPr>
          <w:color w:val="000000" w:themeColor="text1"/>
        </w:rPr>
        <w:t>CDC</w:t>
      </w:r>
      <w:r w:rsidRPr="002E7470" w:rsidR="00EF6A2F">
        <w:rPr>
          <w:color w:val="000000" w:themeColor="text1"/>
        </w:rPr>
        <w:t xml:space="preserve"> </w:t>
      </w:r>
      <w:r w:rsidRPr="002E7470" w:rsidR="00396DE1">
        <w:rPr>
          <w:color w:val="000000" w:themeColor="text1"/>
        </w:rPr>
        <w:t>data access</w:t>
      </w:r>
      <w:r w:rsidRPr="002E7470" w:rsidR="005E2950">
        <w:t xml:space="preserve"> for secondary </w:t>
      </w:r>
      <w:r w:rsidRPr="002E7470" w:rsidR="005E2950">
        <w:rPr>
          <w:color w:val="000000" w:themeColor="text1"/>
        </w:rPr>
        <w:t xml:space="preserve">analysis. </w:t>
      </w:r>
      <w:r w:rsidRPr="002E7470" w:rsidR="00EF6A2F">
        <w:t xml:space="preserve">Since 2001, CDC and </w:t>
      </w:r>
      <w:r w:rsidR="00DC1CD9">
        <w:t>America’s Poison Centers</w:t>
      </w:r>
      <w:r w:rsidRPr="002E7470" w:rsidR="00EF6A2F">
        <w:t xml:space="preserve"> have developed </w:t>
      </w:r>
      <w:r w:rsidRPr="002E7470" w:rsidR="00F640B4">
        <w:t xml:space="preserve">collaborative </w:t>
      </w:r>
      <w:r w:rsidRPr="002E7470" w:rsidR="00EF6A2F">
        <w:t>methods to use NPDS data for near real-time surveillance of exposures to hazardous substances.</w:t>
      </w:r>
      <w:r w:rsidRPr="002E7470" w:rsidR="002D210C">
        <w:t xml:space="preserve"> </w:t>
      </w:r>
      <w:r w:rsidRPr="00EA2983" w:rsidR="00C51B0C">
        <w:rPr>
          <w:color w:val="000000" w:themeColor="text1"/>
        </w:rPr>
        <w:t xml:space="preserve">The national surveillance </w:t>
      </w:r>
      <w:r w:rsidRPr="00EA2983" w:rsidR="00C51B0C">
        <w:t>program through NPDS improves the ability of poison centers to respond to public health emergencies related to a wide variety of agents in the environment.</w:t>
      </w:r>
    </w:p>
    <w:p w:rsidR="00901159" w:rsidRPr="00E74B2C" w:rsidP="00D754FB" w14:paraId="75833130" w14:textId="77777777">
      <w:pPr>
        <w:rPr>
          <w:i/>
        </w:rPr>
      </w:pPr>
      <w:r>
        <w:rPr>
          <w:i/>
        </w:rPr>
        <w:t>Investigations - Select Public Health Emergencies</w:t>
      </w:r>
    </w:p>
    <w:p w:rsidR="00656782" w:rsidP="00656782" w14:paraId="4502F4C0" w14:textId="77777777">
      <w:r w:rsidRPr="00EA2983">
        <w:rPr>
          <w:color w:val="000000"/>
        </w:rPr>
        <w:t xml:space="preserve">For this Generic ICR, CDC </w:t>
      </w:r>
      <w:r>
        <w:rPr>
          <w:color w:val="000000"/>
        </w:rPr>
        <w:t xml:space="preserve">is </w:t>
      </w:r>
      <w:r w:rsidRPr="00EA2983">
        <w:rPr>
          <w:color w:val="000000"/>
        </w:rPr>
        <w:t>request</w:t>
      </w:r>
      <w:r>
        <w:rPr>
          <w:color w:val="000000"/>
        </w:rPr>
        <w:t>ing</w:t>
      </w:r>
      <w:r w:rsidRPr="00EA2983">
        <w:rPr>
          <w:color w:val="000000"/>
        </w:rPr>
        <w:t xml:space="preserve"> PRA clearance </w:t>
      </w:r>
      <w:r>
        <w:rPr>
          <w:color w:val="000000"/>
        </w:rPr>
        <w:t>for</w:t>
      </w:r>
      <w:r w:rsidRPr="00EA2983">
        <w:rPr>
          <w:color w:val="000000"/>
        </w:rPr>
        <w:t xml:space="preserve"> follow-up</w:t>
      </w:r>
      <w:r w:rsidR="00496148">
        <w:rPr>
          <w:color w:val="000000"/>
        </w:rPr>
        <w:t xml:space="preserve"> investiga</w:t>
      </w:r>
      <w:r w:rsidRPr="00EA2983">
        <w:rPr>
          <w:color w:val="000000"/>
        </w:rPr>
        <w:t>tion</w:t>
      </w:r>
      <w:r>
        <w:rPr>
          <w:color w:val="000000"/>
        </w:rPr>
        <w:t>s</w:t>
      </w:r>
      <w:r w:rsidRPr="00EA2983">
        <w:rPr>
          <w:color w:val="000000"/>
        </w:rPr>
        <w:t xml:space="preserve"> conducted by poison centers</w:t>
      </w:r>
      <w:r>
        <w:rPr>
          <w:color w:val="000000"/>
        </w:rPr>
        <w:t xml:space="preserve">, </w:t>
      </w:r>
      <w:r w:rsidRPr="00EA2983">
        <w:t>on behalf of CDC</w:t>
      </w:r>
      <w:r>
        <w:t>,</w:t>
      </w:r>
      <w:r>
        <w:rPr>
          <w:color w:val="000000"/>
        </w:rPr>
        <w:t xml:space="preserve"> through call-back questionnaires about</w:t>
      </w:r>
      <w:r>
        <w:t xml:space="preserve"> select </w:t>
      </w:r>
      <w:r w:rsidRPr="00EA2983">
        <w:t xml:space="preserve">public health emergencies. </w:t>
      </w:r>
      <w:r>
        <w:rPr>
          <w:color w:val="000000"/>
        </w:rPr>
        <w:t xml:space="preserve">To support these investigations, CDC will work with </w:t>
      </w:r>
      <w:r w:rsidR="005F563A">
        <w:rPr>
          <w:rFonts w:cs="Courier New"/>
          <w:lang w:val="en"/>
        </w:rPr>
        <w:t xml:space="preserve">America’s Poison </w:t>
      </w:r>
      <w:r w:rsidR="00B36988">
        <w:rPr>
          <w:rFonts w:cs="Courier New"/>
          <w:lang w:val="en"/>
        </w:rPr>
        <w:t>Centers</w:t>
      </w:r>
      <w:r w:rsidR="00B36988">
        <w:rPr>
          <w:rFonts w:cs="Courier New"/>
          <w:vertAlign w:val="superscript"/>
          <w:lang w:val="en"/>
        </w:rPr>
        <w:t xml:space="preserve"> </w:t>
      </w:r>
      <w:r w:rsidRPr="00895214" w:rsidR="00B36988">
        <w:rPr>
          <w:rFonts w:cs="Courier New"/>
          <w:vertAlign w:val="superscript"/>
          <w:lang w:val="en"/>
        </w:rPr>
        <w:t>TM</w:t>
      </w:r>
      <w:r w:rsidR="00762789">
        <w:rPr>
          <w:color w:val="000000"/>
        </w:rPr>
        <w:t xml:space="preserve"> </w:t>
      </w:r>
      <w:r>
        <w:rPr>
          <w:color w:val="000000"/>
        </w:rPr>
        <w:t>through its</w:t>
      </w:r>
      <w:r w:rsidRPr="00EA2983">
        <w:rPr>
          <w:color w:val="000000"/>
        </w:rPr>
        <w:t xml:space="preserve"> existing</w:t>
      </w:r>
      <w:r w:rsidR="007830C6">
        <w:rPr>
          <w:color w:val="000000"/>
        </w:rPr>
        <w:t xml:space="preserve"> </w:t>
      </w:r>
      <w:r w:rsidRPr="00EA2983">
        <w:rPr>
          <w:color w:val="000000"/>
        </w:rPr>
        <w:t>cooperative agreement</w:t>
      </w:r>
      <w:r>
        <w:rPr>
          <w:color w:val="000000"/>
        </w:rPr>
        <w:t xml:space="preserve">, </w:t>
      </w:r>
      <w:r w:rsidR="00506B3C">
        <w:rPr>
          <w:color w:val="000000"/>
        </w:rPr>
        <w:t>further</w:t>
      </w:r>
      <w:r>
        <w:rPr>
          <w:color w:val="000000"/>
        </w:rPr>
        <w:t xml:space="preserve"> described in Section A14.</w:t>
      </w:r>
    </w:p>
    <w:p w:rsidR="00031EA3" w:rsidP="00181204" w14:paraId="1D743C66" w14:textId="77777777">
      <w:pPr>
        <w:rPr>
          <w:color w:val="000000"/>
        </w:rPr>
      </w:pPr>
      <w:r>
        <w:rPr>
          <w:color w:val="000000"/>
        </w:rPr>
        <w:t xml:space="preserve">CDC learns of potential public health emergencies through various means, including discussions among colleagues, media reports, and notifications from poison centers receiving an unusual </w:t>
      </w:r>
      <w:r w:rsidRPr="00EA2983">
        <w:rPr>
          <w:color w:val="000000"/>
        </w:rPr>
        <w:t xml:space="preserve">number of calls about a </w:t>
      </w:r>
      <w:r w:rsidRPr="008D723F">
        <w:rPr>
          <w:color w:val="000000"/>
        </w:rPr>
        <w:t xml:space="preserve">particular exposure or calls about a novel exposure.  Upon receiving this information, CDC and </w:t>
      </w:r>
      <w:r w:rsidR="008E69C6">
        <w:rPr>
          <w:color w:val="000000"/>
        </w:rPr>
        <w:t xml:space="preserve">its </w:t>
      </w:r>
      <w:r w:rsidR="005F563A">
        <w:rPr>
          <w:rFonts w:cs="Courier New"/>
          <w:lang w:val="en"/>
        </w:rPr>
        <w:t xml:space="preserve">America’s Poison </w:t>
      </w:r>
      <w:r w:rsidR="00B36988">
        <w:rPr>
          <w:rFonts w:cs="Courier New"/>
          <w:lang w:val="en"/>
        </w:rPr>
        <w:t>Centers</w:t>
      </w:r>
      <w:r w:rsidR="00B36988">
        <w:rPr>
          <w:rFonts w:cs="Courier New"/>
          <w:vertAlign w:val="superscript"/>
          <w:lang w:val="en"/>
        </w:rPr>
        <w:t xml:space="preserve"> </w:t>
      </w:r>
      <w:r w:rsidRPr="00895214" w:rsidR="00B36988">
        <w:rPr>
          <w:rFonts w:cs="Courier New"/>
          <w:vertAlign w:val="superscript"/>
          <w:lang w:val="en"/>
        </w:rPr>
        <w:t>TM</w:t>
      </w:r>
      <w:r w:rsidRPr="008D723F" w:rsidR="005F4D6C">
        <w:rPr>
          <w:color w:val="000000"/>
        </w:rPr>
        <w:t xml:space="preserve"> </w:t>
      </w:r>
      <w:r w:rsidRPr="008D723F">
        <w:rPr>
          <w:color w:val="000000"/>
        </w:rPr>
        <w:t xml:space="preserve">collaborators </w:t>
      </w:r>
      <w:r w:rsidR="00506B3C">
        <w:rPr>
          <w:color w:val="000000"/>
        </w:rPr>
        <w:t xml:space="preserve">will </w:t>
      </w:r>
      <w:r w:rsidRPr="008D723F" w:rsidR="00656DDA">
        <w:rPr>
          <w:color w:val="000000"/>
        </w:rPr>
        <w:t xml:space="preserve">hold a meeting to mutually </w:t>
      </w:r>
      <w:r w:rsidRPr="008D723F">
        <w:rPr>
          <w:color w:val="000000"/>
        </w:rPr>
        <w:t>decide whether the incident is a public health emergency</w:t>
      </w:r>
      <w:r w:rsidRPr="00EA2983">
        <w:rPr>
          <w:color w:val="000000"/>
        </w:rPr>
        <w:t xml:space="preserve"> that needs further investigation</w:t>
      </w:r>
      <w:r w:rsidRPr="00EA2983" w:rsidR="003E4BAC">
        <w:rPr>
          <w:color w:val="000000"/>
        </w:rPr>
        <w:t xml:space="preserve"> using the criteria discussed in </w:t>
      </w:r>
      <w:r w:rsidR="008E69C6">
        <w:rPr>
          <w:color w:val="000000"/>
        </w:rPr>
        <w:t>S</w:t>
      </w:r>
      <w:r w:rsidRPr="00EA2983" w:rsidR="005E1EB2">
        <w:rPr>
          <w:color w:val="000000"/>
        </w:rPr>
        <w:t>ection A.2</w:t>
      </w:r>
      <w:r w:rsidRPr="00EA2983" w:rsidR="00FC1A15">
        <w:rPr>
          <w:color w:val="000000"/>
        </w:rPr>
        <w:t>.</w:t>
      </w:r>
      <w:r w:rsidRPr="00EA2983">
        <w:rPr>
          <w:color w:val="000000"/>
        </w:rPr>
        <w:t xml:space="preserve"> </w:t>
      </w:r>
    </w:p>
    <w:p w:rsidR="00E60633" w:rsidRPr="00F754AF" w:rsidP="001016F1" w14:paraId="0F3DD5F2" w14:textId="77777777">
      <w:pPr>
        <w:rPr>
          <w:b/>
        </w:rPr>
      </w:pPr>
      <w:r w:rsidRPr="00F754AF">
        <w:rPr>
          <w:b/>
        </w:rPr>
        <w:t xml:space="preserve">Table </w:t>
      </w:r>
      <w:r w:rsidR="00AF18E5">
        <w:rPr>
          <w:b/>
        </w:rPr>
        <w:t>A</w:t>
      </w:r>
      <w:r w:rsidRPr="00F754AF">
        <w:rPr>
          <w:b/>
        </w:rPr>
        <w:t>1-</w:t>
      </w:r>
      <w:r w:rsidRPr="00F754AF" w:rsidR="00BD614F">
        <w:rPr>
          <w:b/>
        </w:rPr>
        <w:t>1</w:t>
      </w:r>
      <w:r w:rsidRPr="00F754AF">
        <w:rPr>
          <w:b/>
        </w:rPr>
        <w:t xml:space="preserve">. Description of data </w:t>
      </w:r>
      <w:r w:rsidRPr="00F754AF" w:rsidR="002F090D">
        <w:rPr>
          <w:b/>
        </w:rPr>
        <w:t xml:space="preserve">currently </w:t>
      </w:r>
      <w:r w:rsidRPr="00F754AF">
        <w:rPr>
          <w:b/>
        </w:rPr>
        <w:t xml:space="preserve">collected by poison centers and </w:t>
      </w:r>
      <w:r w:rsidRPr="00F754AF" w:rsidR="00634980">
        <w:rPr>
          <w:b/>
        </w:rPr>
        <w:t xml:space="preserve">the </w:t>
      </w:r>
      <w:r w:rsidRPr="00F754AF">
        <w:rPr>
          <w:b/>
        </w:rPr>
        <w:t xml:space="preserve">proposed data to be collected through this </w:t>
      </w:r>
      <w:r w:rsidRPr="00F754AF" w:rsidR="00FA317B">
        <w:rPr>
          <w:b/>
        </w:rPr>
        <w:t xml:space="preserve">Generic </w:t>
      </w:r>
      <w:r w:rsidRPr="00F754AF">
        <w:rPr>
          <w:b/>
        </w:rPr>
        <w:t xml:space="preserve">ICR. </w:t>
      </w:r>
    </w:p>
    <w:tbl>
      <w:tblPr>
        <w:tblStyle w:val="TableGrid"/>
        <w:tblW w:w="0" w:type="auto"/>
        <w:jc w:val="center"/>
        <w:tblLook w:val="04A0"/>
      </w:tblPr>
      <w:tblGrid>
        <w:gridCol w:w="1885"/>
        <w:gridCol w:w="2789"/>
        <w:gridCol w:w="2338"/>
        <w:gridCol w:w="2338"/>
      </w:tblGrid>
      <w:tr w14:paraId="4CC3432A" w14:textId="77777777" w:rsidTr="00A0735A">
        <w:tblPrEx>
          <w:tblW w:w="0" w:type="auto"/>
          <w:jc w:val="center"/>
          <w:tblLook w:val="04A0"/>
        </w:tblPrEx>
        <w:trPr>
          <w:jc w:val="center"/>
        </w:trPr>
        <w:tc>
          <w:tcPr>
            <w:tcW w:w="1885" w:type="dxa"/>
            <w:vAlign w:val="center"/>
          </w:tcPr>
          <w:p w:rsidR="005C37DC" w:rsidRPr="00C13B06" w:rsidP="00BD614F" w14:paraId="524563EE" w14:textId="77777777">
            <w:pPr>
              <w:rPr>
                <w:b/>
                <w:sz w:val="22"/>
                <w:szCs w:val="22"/>
              </w:rPr>
            </w:pPr>
            <w:r w:rsidRPr="00C13B06">
              <w:rPr>
                <w:b/>
                <w:sz w:val="22"/>
                <w:szCs w:val="22"/>
              </w:rPr>
              <w:t>Description</w:t>
            </w:r>
          </w:p>
        </w:tc>
        <w:tc>
          <w:tcPr>
            <w:tcW w:w="2789" w:type="dxa"/>
            <w:vAlign w:val="center"/>
          </w:tcPr>
          <w:p w:rsidR="005C37DC" w:rsidRPr="00C13B06" w:rsidP="00F754AF" w14:paraId="4B177215" w14:textId="77777777">
            <w:pPr>
              <w:jc w:val="center"/>
              <w:rPr>
                <w:b/>
                <w:sz w:val="22"/>
                <w:szCs w:val="22"/>
              </w:rPr>
            </w:pPr>
            <w:r w:rsidRPr="00C13B06">
              <w:rPr>
                <w:b/>
                <w:sz w:val="22"/>
                <w:szCs w:val="22"/>
              </w:rPr>
              <w:t xml:space="preserve">Data </w:t>
            </w:r>
            <w:r w:rsidRPr="00C13B06" w:rsidR="00F866E8">
              <w:rPr>
                <w:b/>
                <w:sz w:val="22"/>
                <w:szCs w:val="22"/>
              </w:rPr>
              <w:t xml:space="preserve">routinely </w:t>
            </w:r>
            <w:r w:rsidRPr="00C13B06">
              <w:rPr>
                <w:b/>
                <w:sz w:val="22"/>
                <w:szCs w:val="22"/>
              </w:rPr>
              <w:t>collected by poison centers</w:t>
            </w:r>
          </w:p>
        </w:tc>
        <w:tc>
          <w:tcPr>
            <w:tcW w:w="2338" w:type="dxa"/>
            <w:vAlign w:val="center"/>
          </w:tcPr>
          <w:p w:rsidR="005C37DC" w:rsidRPr="00C13B06" w:rsidP="00F754AF" w14:paraId="5D807A8D" w14:textId="77777777">
            <w:pPr>
              <w:jc w:val="center"/>
              <w:rPr>
                <w:b/>
                <w:sz w:val="22"/>
                <w:szCs w:val="22"/>
              </w:rPr>
            </w:pPr>
            <w:r w:rsidRPr="00C13B06">
              <w:rPr>
                <w:b/>
                <w:sz w:val="22"/>
                <w:szCs w:val="22"/>
              </w:rPr>
              <w:t>Data uploaded to NPDS</w:t>
            </w:r>
          </w:p>
        </w:tc>
        <w:tc>
          <w:tcPr>
            <w:tcW w:w="2338" w:type="dxa"/>
            <w:vAlign w:val="center"/>
          </w:tcPr>
          <w:p w:rsidR="005C37DC" w:rsidRPr="00C13B06" w:rsidP="00F754AF" w14:paraId="24EA54C8" w14:textId="77777777">
            <w:pPr>
              <w:jc w:val="center"/>
              <w:rPr>
                <w:b/>
                <w:sz w:val="22"/>
                <w:szCs w:val="22"/>
              </w:rPr>
            </w:pPr>
            <w:r w:rsidRPr="00C13B06">
              <w:rPr>
                <w:b/>
                <w:sz w:val="22"/>
                <w:szCs w:val="22"/>
              </w:rPr>
              <w:t>Data collected in follow-up investigations</w:t>
            </w:r>
            <w:r w:rsidRPr="00C13B06" w:rsidR="00005568">
              <w:rPr>
                <w:b/>
                <w:sz w:val="22"/>
                <w:szCs w:val="22"/>
              </w:rPr>
              <w:t xml:space="preserve"> through </w:t>
            </w:r>
            <w:r w:rsidRPr="00C13B06" w:rsidR="00CC593A">
              <w:rPr>
                <w:b/>
                <w:sz w:val="22"/>
                <w:szCs w:val="22"/>
              </w:rPr>
              <w:t xml:space="preserve">the </w:t>
            </w:r>
            <w:r w:rsidRPr="00C13B06" w:rsidR="00CE3FCB">
              <w:rPr>
                <w:b/>
                <w:sz w:val="22"/>
                <w:szCs w:val="22"/>
              </w:rPr>
              <w:t>G</w:t>
            </w:r>
            <w:r w:rsidRPr="00C13B06" w:rsidR="00005568">
              <w:rPr>
                <w:b/>
                <w:sz w:val="22"/>
                <w:szCs w:val="22"/>
              </w:rPr>
              <w:t>eneric ICR</w:t>
            </w:r>
          </w:p>
        </w:tc>
      </w:tr>
      <w:tr w14:paraId="6241489B" w14:textId="77777777" w:rsidTr="00A0735A">
        <w:tblPrEx>
          <w:tblW w:w="0" w:type="auto"/>
          <w:jc w:val="center"/>
          <w:tblLook w:val="04A0"/>
        </w:tblPrEx>
        <w:trPr>
          <w:jc w:val="center"/>
        </w:trPr>
        <w:tc>
          <w:tcPr>
            <w:tcW w:w="1885" w:type="dxa"/>
            <w:vAlign w:val="center"/>
          </w:tcPr>
          <w:p w:rsidR="005C37DC" w:rsidRPr="00C13B06" w:rsidP="00BD614F" w14:paraId="79F4792C" w14:textId="77777777">
            <w:pPr>
              <w:rPr>
                <w:b/>
                <w:sz w:val="22"/>
                <w:szCs w:val="22"/>
              </w:rPr>
            </w:pPr>
            <w:r w:rsidRPr="00C13B06">
              <w:rPr>
                <w:b/>
                <w:sz w:val="22"/>
                <w:szCs w:val="22"/>
              </w:rPr>
              <w:t>Nature of the data</w:t>
            </w:r>
          </w:p>
        </w:tc>
        <w:tc>
          <w:tcPr>
            <w:tcW w:w="2789" w:type="dxa"/>
            <w:vAlign w:val="center"/>
          </w:tcPr>
          <w:p w:rsidR="005C37DC" w:rsidRPr="00C13B06" w:rsidP="001C51C8" w14:paraId="32D981CC" w14:textId="77777777">
            <w:pPr>
              <w:jc w:val="center"/>
              <w:rPr>
                <w:sz w:val="22"/>
                <w:szCs w:val="22"/>
              </w:rPr>
            </w:pPr>
            <w:r w:rsidRPr="00C13B06">
              <w:rPr>
                <w:sz w:val="22"/>
                <w:szCs w:val="22"/>
              </w:rPr>
              <w:t>Data</w:t>
            </w:r>
            <w:r w:rsidRPr="00C13B06" w:rsidR="0030022C">
              <w:rPr>
                <w:sz w:val="22"/>
                <w:szCs w:val="22"/>
              </w:rPr>
              <w:t xml:space="preserve"> </w:t>
            </w:r>
            <w:r w:rsidR="001C51C8">
              <w:rPr>
                <w:sz w:val="22"/>
                <w:szCs w:val="22"/>
              </w:rPr>
              <w:t>are</w:t>
            </w:r>
            <w:r w:rsidR="00357121">
              <w:rPr>
                <w:sz w:val="22"/>
                <w:szCs w:val="22"/>
              </w:rPr>
              <w:t xml:space="preserve"> </w:t>
            </w:r>
            <w:r w:rsidRPr="00C13B06">
              <w:rPr>
                <w:sz w:val="22"/>
                <w:szCs w:val="22"/>
              </w:rPr>
              <w:t>collected</w:t>
            </w:r>
            <w:r w:rsidRPr="00C13B06" w:rsidR="00B11B3A">
              <w:rPr>
                <w:sz w:val="22"/>
                <w:szCs w:val="22"/>
              </w:rPr>
              <w:t xml:space="preserve"> by </w:t>
            </w:r>
            <w:r w:rsidR="005F563A">
              <w:rPr>
                <w:rFonts w:cs="Courier New"/>
                <w:lang w:val="en"/>
              </w:rPr>
              <w:t xml:space="preserve">America’s Poison </w:t>
            </w:r>
            <w:r w:rsidR="00B36988">
              <w:rPr>
                <w:rFonts w:cs="Courier New"/>
                <w:lang w:val="en"/>
              </w:rPr>
              <w:t>Centers</w:t>
            </w:r>
            <w:r w:rsidR="00B36988">
              <w:rPr>
                <w:rFonts w:cs="Courier New"/>
                <w:vertAlign w:val="superscript"/>
                <w:lang w:val="en"/>
              </w:rPr>
              <w:t xml:space="preserve"> </w:t>
            </w:r>
            <w:r w:rsidRPr="00895214" w:rsidR="00B36988">
              <w:rPr>
                <w:rFonts w:cs="Courier New"/>
                <w:vertAlign w:val="superscript"/>
                <w:lang w:val="en"/>
              </w:rPr>
              <w:t>TM</w:t>
            </w:r>
            <w:r w:rsidRPr="00C13B06" w:rsidR="005F4D6C">
              <w:rPr>
                <w:sz w:val="22"/>
                <w:szCs w:val="22"/>
              </w:rPr>
              <w:t xml:space="preserve"> </w:t>
            </w:r>
            <w:r w:rsidRPr="00C13B06">
              <w:rPr>
                <w:sz w:val="22"/>
                <w:szCs w:val="22"/>
              </w:rPr>
              <w:t xml:space="preserve">as a part of </w:t>
            </w:r>
            <w:r w:rsidRPr="00C13B06" w:rsidR="00DE3559">
              <w:rPr>
                <w:sz w:val="22"/>
                <w:szCs w:val="22"/>
              </w:rPr>
              <w:t>the clinical triage function of poison centers and used for follow</w:t>
            </w:r>
            <w:r w:rsidR="005132DC">
              <w:rPr>
                <w:sz w:val="22"/>
                <w:szCs w:val="22"/>
              </w:rPr>
              <w:t>-</w:t>
            </w:r>
            <w:r w:rsidRPr="00C13B06" w:rsidR="00DE3559">
              <w:rPr>
                <w:sz w:val="22"/>
                <w:szCs w:val="22"/>
              </w:rPr>
              <w:t>up</w:t>
            </w:r>
          </w:p>
        </w:tc>
        <w:tc>
          <w:tcPr>
            <w:tcW w:w="2338" w:type="dxa"/>
            <w:vAlign w:val="center"/>
          </w:tcPr>
          <w:p w:rsidR="005C37DC" w:rsidRPr="00C13B06" w:rsidP="00F754AF" w14:paraId="5D554FD7" w14:textId="77777777">
            <w:pPr>
              <w:jc w:val="center"/>
              <w:rPr>
                <w:sz w:val="22"/>
                <w:szCs w:val="22"/>
              </w:rPr>
            </w:pPr>
            <w:r w:rsidRPr="00C13B06">
              <w:rPr>
                <w:sz w:val="22"/>
                <w:szCs w:val="22"/>
              </w:rPr>
              <w:t>Select data fields from poison center data are uploaded to NPDS for national surveillance</w:t>
            </w:r>
          </w:p>
        </w:tc>
        <w:tc>
          <w:tcPr>
            <w:tcW w:w="2338" w:type="dxa"/>
            <w:vAlign w:val="center"/>
          </w:tcPr>
          <w:p w:rsidR="005C37DC" w:rsidRPr="00C13B06" w:rsidP="00F754AF" w14:paraId="2CE4D80D" w14:textId="77777777">
            <w:pPr>
              <w:jc w:val="center"/>
              <w:rPr>
                <w:sz w:val="22"/>
                <w:szCs w:val="22"/>
              </w:rPr>
            </w:pPr>
            <w:r w:rsidRPr="00C13B06">
              <w:rPr>
                <w:sz w:val="22"/>
                <w:szCs w:val="22"/>
              </w:rPr>
              <w:t xml:space="preserve">Follow-up questionnaire administered by poison centers </w:t>
            </w:r>
            <w:r w:rsidRPr="00C13B06" w:rsidR="00506B3C">
              <w:rPr>
                <w:sz w:val="22"/>
                <w:szCs w:val="22"/>
              </w:rPr>
              <w:t xml:space="preserve">at </w:t>
            </w:r>
            <w:r w:rsidR="00374F4A">
              <w:rPr>
                <w:sz w:val="22"/>
                <w:szCs w:val="22"/>
              </w:rPr>
              <w:t xml:space="preserve">America’s Poison </w:t>
            </w:r>
            <w:r w:rsidR="00B36988">
              <w:rPr>
                <w:rFonts w:cs="Courier New"/>
                <w:lang w:val="en"/>
              </w:rPr>
              <w:t>Centers</w:t>
            </w:r>
            <w:r w:rsidR="00B36988">
              <w:rPr>
                <w:rFonts w:cs="Courier New"/>
                <w:vertAlign w:val="superscript"/>
                <w:lang w:val="en"/>
              </w:rPr>
              <w:t xml:space="preserve"> </w:t>
            </w:r>
            <w:r w:rsidRPr="00895214" w:rsidR="00B36988">
              <w:rPr>
                <w:rFonts w:cs="Courier New"/>
                <w:vertAlign w:val="superscript"/>
                <w:lang w:val="en"/>
              </w:rPr>
              <w:t>TM</w:t>
            </w:r>
            <w:r w:rsidR="00374F4A">
              <w:rPr>
                <w:sz w:val="22"/>
                <w:szCs w:val="22"/>
              </w:rPr>
              <w:t xml:space="preserve"> and </w:t>
            </w:r>
            <w:r w:rsidRPr="00C13B06" w:rsidR="00506B3C">
              <w:rPr>
                <w:sz w:val="22"/>
                <w:szCs w:val="22"/>
              </w:rPr>
              <w:t xml:space="preserve">CDC </w:t>
            </w:r>
            <w:r w:rsidRPr="00C13B06">
              <w:rPr>
                <w:sz w:val="22"/>
                <w:szCs w:val="22"/>
              </w:rPr>
              <w:t>request</w:t>
            </w:r>
          </w:p>
        </w:tc>
      </w:tr>
      <w:tr w14:paraId="1FDAB528" w14:textId="77777777" w:rsidTr="00A0735A">
        <w:tblPrEx>
          <w:tblW w:w="0" w:type="auto"/>
          <w:jc w:val="center"/>
          <w:tblLook w:val="04A0"/>
        </w:tblPrEx>
        <w:trPr>
          <w:jc w:val="center"/>
        </w:trPr>
        <w:tc>
          <w:tcPr>
            <w:tcW w:w="1885" w:type="dxa"/>
            <w:vAlign w:val="center"/>
          </w:tcPr>
          <w:p w:rsidR="004121D8" w:rsidRPr="00C13B06" w:rsidP="00BD614F" w14:paraId="7D8B52FF" w14:textId="77777777">
            <w:pPr>
              <w:rPr>
                <w:b/>
                <w:sz w:val="22"/>
                <w:szCs w:val="22"/>
              </w:rPr>
            </w:pPr>
            <w:r w:rsidRPr="00C13B06">
              <w:rPr>
                <w:b/>
                <w:sz w:val="22"/>
                <w:szCs w:val="22"/>
              </w:rPr>
              <w:t>Is the a</w:t>
            </w:r>
            <w:r w:rsidRPr="00C13B06" w:rsidR="004F0B56">
              <w:rPr>
                <w:b/>
                <w:sz w:val="22"/>
                <w:szCs w:val="22"/>
              </w:rPr>
              <w:t>ctivity</w:t>
            </w:r>
            <w:r w:rsidRPr="00C13B06" w:rsidR="001B2872">
              <w:rPr>
                <w:b/>
                <w:sz w:val="22"/>
                <w:szCs w:val="22"/>
              </w:rPr>
              <w:t xml:space="preserve"> sponsored by CDC</w:t>
            </w:r>
            <w:r w:rsidRPr="00C13B06" w:rsidR="00312D08">
              <w:rPr>
                <w:b/>
                <w:sz w:val="22"/>
                <w:szCs w:val="22"/>
              </w:rPr>
              <w:t>?</w:t>
            </w:r>
          </w:p>
        </w:tc>
        <w:tc>
          <w:tcPr>
            <w:tcW w:w="2789" w:type="dxa"/>
            <w:vAlign w:val="center"/>
          </w:tcPr>
          <w:p w:rsidR="004121D8" w:rsidRPr="00C13B06" w:rsidP="00F754AF" w14:paraId="64FC0808" w14:textId="77777777">
            <w:pPr>
              <w:jc w:val="center"/>
              <w:rPr>
                <w:sz w:val="22"/>
                <w:szCs w:val="22"/>
              </w:rPr>
            </w:pPr>
            <w:r w:rsidRPr="00C13B06">
              <w:rPr>
                <w:sz w:val="22"/>
                <w:szCs w:val="22"/>
              </w:rPr>
              <w:t>No</w:t>
            </w:r>
          </w:p>
        </w:tc>
        <w:tc>
          <w:tcPr>
            <w:tcW w:w="2338" w:type="dxa"/>
            <w:vAlign w:val="center"/>
          </w:tcPr>
          <w:p w:rsidR="004121D8" w:rsidRPr="00C13B06" w:rsidP="00F754AF" w14:paraId="33CCFD70" w14:textId="77777777">
            <w:pPr>
              <w:jc w:val="center"/>
              <w:rPr>
                <w:sz w:val="22"/>
                <w:szCs w:val="22"/>
              </w:rPr>
            </w:pPr>
            <w:r w:rsidRPr="00C13B06">
              <w:rPr>
                <w:sz w:val="22"/>
                <w:szCs w:val="22"/>
              </w:rPr>
              <w:t>No</w:t>
            </w:r>
          </w:p>
        </w:tc>
        <w:tc>
          <w:tcPr>
            <w:tcW w:w="2338" w:type="dxa"/>
            <w:vAlign w:val="center"/>
          </w:tcPr>
          <w:p w:rsidR="004121D8" w:rsidRPr="00C13B06" w:rsidP="00F754AF" w14:paraId="5A23860E" w14:textId="77777777">
            <w:pPr>
              <w:jc w:val="center"/>
              <w:rPr>
                <w:sz w:val="22"/>
                <w:szCs w:val="22"/>
              </w:rPr>
            </w:pPr>
            <w:r w:rsidRPr="00C13B06">
              <w:rPr>
                <w:sz w:val="22"/>
                <w:szCs w:val="22"/>
              </w:rPr>
              <w:t>Yes</w:t>
            </w:r>
          </w:p>
        </w:tc>
      </w:tr>
      <w:tr w14:paraId="52E18D3A" w14:textId="77777777" w:rsidTr="00A0735A">
        <w:tblPrEx>
          <w:tblW w:w="0" w:type="auto"/>
          <w:jc w:val="center"/>
          <w:tblLook w:val="04A0"/>
        </w:tblPrEx>
        <w:trPr>
          <w:jc w:val="center"/>
        </w:trPr>
        <w:tc>
          <w:tcPr>
            <w:tcW w:w="1885" w:type="dxa"/>
            <w:vAlign w:val="center"/>
          </w:tcPr>
          <w:p w:rsidR="0034752F" w:rsidRPr="00C13B06" w:rsidP="00BD614F" w14:paraId="246492DB" w14:textId="77777777">
            <w:pPr>
              <w:rPr>
                <w:b/>
                <w:sz w:val="22"/>
                <w:szCs w:val="22"/>
              </w:rPr>
            </w:pPr>
            <w:r w:rsidRPr="00C13B06">
              <w:rPr>
                <w:b/>
                <w:sz w:val="22"/>
                <w:szCs w:val="22"/>
              </w:rPr>
              <w:t>Individually Identifiable Information?</w:t>
            </w:r>
          </w:p>
        </w:tc>
        <w:tc>
          <w:tcPr>
            <w:tcW w:w="2789" w:type="dxa"/>
            <w:vAlign w:val="center"/>
          </w:tcPr>
          <w:p w:rsidR="0034752F" w:rsidRPr="00C13B06" w:rsidP="00F754AF" w14:paraId="41628E6F" w14:textId="77777777">
            <w:pPr>
              <w:jc w:val="center"/>
              <w:rPr>
                <w:sz w:val="22"/>
                <w:szCs w:val="22"/>
              </w:rPr>
            </w:pPr>
            <w:r w:rsidRPr="00C13B06">
              <w:rPr>
                <w:sz w:val="22"/>
                <w:szCs w:val="22"/>
              </w:rPr>
              <w:t>Yes;</w:t>
            </w:r>
            <w:r w:rsidRPr="00C13B06">
              <w:rPr>
                <w:sz w:val="22"/>
                <w:szCs w:val="22"/>
              </w:rPr>
              <w:t xml:space="preserve"> name and contact information</w:t>
            </w:r>
          </w:p>
        </w:tc>
        <w:tc>
          <w:tcPr>
            <w:tcW w:w="2338" w:type="dxa"/>
            <w:vAlign w:val="center"/>
          </w:tcPr>
          <w:p w:rsidR="0034752F" w:rsidRPr="00C13B06" w:rsidP="00F754AF" w14:paraId="7CFF1EF9" w14:textId="77777777">
            <w:pPr>
              <w:jc w:val="center"/>
              <w:rPr>
                <w:sz w:val="22"/>
                <w:szCs w:val="22"/>
              </w:rPr>
            </w:pPr>
            <w:r w:rsidRPr="00C13B06">
              <w:rPr>
                <w:sz w:val="22"/>
                <w:szCs w:val="22"/>
              </w:rPr>
              <w:t>No; age and sex only</w:t>
            </w:r>
          </w:p>
        </w:tc>
        <w:tc>
          <w:tcPr>
            <w:tcW w:w="2338" w:type="dxa"/>
            <w:vAlign w:val="center"/>
          </w:tcPr>
          <w:p w:rsidR="0034752F" w:rsidRPr="00C13B06" w:rsidP="00F754AF" w14:paraId="625430D0" w14:textId="77777777">
            <w:pPr>
              <w:jc w:val="center"/>
              <w:rPr>
                <w:sz w:val="22"/>
                <w:szCs w:val="22"/>
              </w:rPr>
            </w:pPr>
            <w:r w:rsidRPr="00C13B06">
              <w:rPr>
                <w:sz w:val="22"/>
                <w:szCs w:val="22"/>
              </w:rPr>
              <w:t>No</w:t>
            </w:r>
          </w:p>
        </w:tc>
      </w:tr>
      <w:tr w14:paraId="0C5C255A" w14:textId="77777777" w:rsidTr="00A0735A">
        <w:tblPrEx>
          <w:tblW w:w="0" w:type="auto"/>
          <w:jc w:val="center"/>
          <w:tblLook w:val="04A0"/>
        </w:tblPrEx>
        <w:trPr>
          <w:jc w:val="center"/>
        </w:trPr>
        <w:tc>
          <w:tcPr>
            <w:tcW w:w="1885" w:type="dxa"/>
            <w:vAlign w:val="center"/>
          </w:tcPr>
          <w:p w:rsidR="0034752F" w:rsidRPr="00C13B06" w:rsidP="00BD614F" w14:paraId="31F3D8F7" w14:textId="77777777">
            <w:pPr>
              <w:rPr>
                <w:b/>
                <w:sz w:val="22"/>
                <w:szCs w:val="22"/>
              </w:rPr>
            </w:pPr>
            <w:r w:rsidRPr="00C13B06">
              <w:rPr>
                <w:b/>
                <w:sz w:val="22"/>
                <w:szCs w:val="22"/>
              </w:rPr>
              <w:t>CDC has access?</w:t>
            </w:r>
          </w:p>
        </w:tc>
        <w:tc>
          <w:tcPr>
            <w:tcW w:w="2789" w:type="dxa"/>
            <w:vAlign w:val="center"/>
          </w:tcPr>
          <w:p w:rsidR="0034752F" w:rsidRPr="00C13B06" w:rsidP="00F754AF" w14:paraId="72D74EF9" w14:textId="77777777">
            <w:pPr>
              <w:jc w:val="center"/>
              <w:rPr>
                <w:sz w:val="22"/>
                <w:szCs w:val="22"/>
              </w:rPr>
            </w:pPr>
            <w:r w:rsidRPr="00C13B06">
              <w:rPr>
                <w:sz w:val="22"/>
                <w:szCs w:val="22"/>
              </w:rPr>
              <w:t>No</w:t>
            </w:r>
          </w:p>
        </w:tc>
        <w:tc>
          <w:tcPr>
            <w:tcW w:w="2338" w:type="dxa"/>
            <w:vAlign w:val="center"/>
          </w:tcPr>
          <w:p w:rsidR="0034752F" w:rsidRPr="00C13B06" w:rsidP="00F754AF" w14:paraId="48FD9F17" w14:textId="77777777">
            <w:pPr>
              <w:jc w:val="center"/>
              <w:rPr>
                <w:sz w:val="22"/>
                <w:szCs w:val="22"/>
              </w:rPr>
            </w:pPr>
            <w:r w:rsidRPr="00C13B06">
              <w:rPr>
                <w:sz w:val="22"/>
                <w:szCs w:val="22"/>
              </w:rPr>
              <w:t>Yes</w:t>
            </w:r>
          </w:p>
        </w:tc>
        <w:tc>
          <w:tcPr>
            <w:tcW w:w="2338" w:type="dxa"/>
            <w:vAlign w:val="center"/>
          </w:tcPr>
          <w:p w:rsidR="0034752F" w:rsidRPr="00C13B06" w:rsidP="00F754AF" w14:paraId="44CD2047" w14:textId="77777777">
            <w:pPr>
              <w:jc w:val="center"/>
              <w:rPr>
                <w:sz w:val="22"/>
                <w:szCs w:val="22"/>
              </w:rPr>
            </w:pPr>
            <w:r w:rsidRPr="00C13B06">
              <w:rPr>
                <w:sz w:val="22"/>
                <w:szCs w:val="22"/>
              </w:rPr>
              <w:t>Yes</w:t>
            </w:r>
          </w:p>
        </w:tc>
      </w:tr>
      <w:tr w14:paraId="5BA74758" w14:textId="77777777" w:rsidTr="00A0735A">
        <w:tblPrEx>
          <w:tblW w:w="0" w:type="auto"/>
          <w:jc w:val="center"/>
          <w:tblLook w:val="04A0"/>
        </w:tblPrEx>
        <w:trPr>
          <w:jc w:val="center"/>
        </w:trPr>
        <w:tc>
          <w:tcPr>
            <w:tcW w:w="1885" w:type="dxa"/>
            <w:vAlign w:val="center"/>
          </w:tcPr>
          <w:p w:rsidR="00F059CD" w:rsidRPr="00C13B06" w:rsidP="00BD614F" w14:paraId="4611B434" w14:textId="77777777">
            <w:pPr>
              <w:rPr>
                <w:b/>
                <w:sz w:val="22"/>
                <w:szCs w:val="22"/>
              </w:rPr>
            </w:pPr>
            <w:r w:rsidRPr="00C13B06">
              <w:rPr>
                <w:b/>
                <w:sz w:val="22"/>
                <w:szCs w:val="22"/>
              </w:rPr>
              <w:t>Data storage</w:t>
            </w:r>
          </w:p>
        </w:tc>
        <w:tc>
          <w:tcPr>
            <w:tcW w:w="2789" w:type="dxa"/>
            <w:vAlign w:val="center"/>
          </w:tcPr>
          <w:p w:rsidR="00F059CD" w:rsidRPr="00C13B06" w:rsidP="00F754AF" w14:paraId="303B05CF" w14:textId="77777777">
            <w:pPr>
              <w:jc w:val="center"/>
              <w:rPr>
                <w:sz w:val="22"/>
                <w:szCs w:val="22"/>
              </w:rPr>
            </w:pPr>
            <w:r w:rsidRPr="00C13B06">
              <w:rPr>
                <w:sz w:val="22"/>
                <w:szCs w:val="22"/>
              </w:rPr>
              <w:t>Local poison centers servers</w:t>
            </w:r>
          </w:p>
        </w:tc>
        <w:tc>
          <w:tcPr>
            <w:tcW w:w="2338" w:type="dxa"/>
            <w:vAlign w:val="center"/>
          </w:tcPr>
          <w:p w:rsidR="00F059CD" w:rsidRPr="00C13B06" w:rsidP="00F754AF" w14:paraId="635AA4A6" w14:textId="77777777">
            <w:pPr>
              <w:jc w:val="center"/>
              <w:rPr>
                <w:sz w:val="22"/>
                <w:szCs w:val="22"/>
              </w:rPr>
            </w:pPr>
            <w:r w:rsidRPr="00C13B06">
              <w:rPr>
                <w:sz w:val="22"/>
                <w:szCs w:val="22"/>
              </w:rPr>
              <w:t>Password-protected web access</w:t>
            </w:r>
          </w:p>
        </w:tc>
        <w:tc>
          <w:tcPr>
            <w:tcW w:w="2338" w:type="dxa"/>
            <w:vAlign w:val="center"/>
          </w:tcPr>
          <w:p w:rsidR="00F059CD" w:rsidRPr="00C13B06" w:rsidP="00F754AF" w14:paraId="276B54F7" w14:textId="68142C0E">
            <w:pPr>
              <w:jc w:val="center"/>
              <w:rPr>
                <w:sz w:val="22"/>
                <w:szCs w:val="22"/>
              </w:rPr>
            </w:pPr>
            <w:r w:rsidRPr="00C13B06">
              <w:rPr>
                <w:sz w:val="22"/>
                <w:szCs w:val="22"/>
              </w:rPr>
              <w:t xml:space="preserve">Microsoft Access database transmitted via </w:t>
            </w:r>
            <w:r w:rsidRPr="00C13B06" w:rsidR="00506B3C">
              <w:rPr>
                <w:sz w:val="22"/>
                <w:szCs w:val="22"/>
              </w:rPr>
              <w:t xml:space="preserve">secure </w:t>
            </w:r>
            <w:r w:rsidR="00A3581E">
              <w:rPr>
                <w:sz w:val="22"/>
                <w:szCs w:val="22"/>
              </w:rPr>
              <w:t>EFT</w:t>
            </w:r>
            <w:r w:rsidRPr="00C13B06" w:rsidR="00A3581E">
              <w:rPr>
                <w:sz w:val="22"/>
                <w:szCs w:val="22"/>
              </w:rPr>
              <w:t xml:space="preserve"> </w:t>
            </w:r>
            <w:r w:rsidRPr="00C13B06">
              <w:rPr>
                <w:sz w:val="22"/>
                <w:szCs w:val="22"/>
              </w:rPr>
              <w:t>to CDC</w:t>
            </w:r>
            <w:r w:rsidR="00CD0171">
              <w:rPr>
                <w:sz w:val="22"/>
                <w:szCs w:val="22"/>
              </w:rPr>
              <w:t>; on occasion, data from web surveys</w:t>
            </w:r>
            <w:r w:rsidR="00F53A5B">
              <w:rPr>
                <w:sz w:val="22"/>
                <w:szCs w:val="22"/>
              </w:rPr>
              <w:t xml:space="preserve">, using </w:t>
            </w:r>
            <w:r w:rsidR="000D4BB7">
              <w:rPr>
                <w:sz w:val="22"/>
                <w:szCs w:val="22"/>
              </w:rPr>
              <w:t>REDCap</w:t>
            </w:r>
            <w:r w:rsidR="00F53A5B">
              <w:rPr>
                <w:sz w:val="22"/>
                <w:szCs w:val="22"/>
              </w:rPr>
              <w:t>,</w:t>
            </w:r>
            <w:r w:rsidR="00CD0171">
              <w:rPr>
                <w:sz w:val="22"/>
                <w:szCs w:val="22"/>
              </w:rPr>
              <w:t xml:space="preserve"> may be directly collected, stored</w:t>
            </w:r>
            <w:r w:rsidR="00CD0171">
              <w:rPr>
                <w:sz w:val="22"/>
                <w:szCs w:val="22"/>
              </w:rPr>
              <w:t>, transmitted</w:t>
            </w:r>
            <w:r w:rsidR="00CD0171">
              <w:rPr>
                <w:sz w:val="22"/>
                <w:szCs w:val="22"/>
              </w:rPr>
              <w:t xml:space="preserve"> using CDC servers.</w:t>
            </w:r>
          </w:p>
        </w:tc>
      </w:tr>
      <w:tr w14:paraId="0A6507EB" w14:textId="77777777" w:rsidTr="00A0735A">
        <w:tblPrEx>
          <w:tblW w:w="0" w:type="auto"/>
          <w:jc w:val="center"/>
          <w:tblLook w:val="04A0"/>
        </w:tblPrEx>
        <w:trPr>
          <w:jc w:val="center"/>
        </w:trPr>
        <w:tc>
          <w:tcPr>
            <w:tcW w:w="1885" w:type="dxa"/>
            <w:vAlign w:val="center"/>
          </w:tcPr>
          <w:p w:rsidR="0034752F" w:rsidRPr="00C13B06" w:rsidP="00BD614F" w14:paraId="3B68DCFA" w14:textId="77777777">
            <w:pPr>
              <w:rPr>
                <w:b/>
                <w:sz w:val="22"/>
                <w:szCs w:val="22"/>
              </w:rPr>
            </w:pPr>
            <w:r w:rsidRPr="00C13B06">
              <w:rPr>
                <w:b/>
                <w:sz w:val="22"/>
                <w:szCs w:val="22"/>
              </w:rPr>
              <w:t>Under this PRA clearance?</w:t>
            </w:r>
          </w:p>
        </w:tc>
        <w:tc>
          <w:tcPr>
            <w:tcW w:w="2789" w:type="dxa"/>
            <w:vAlign w:val="center"/>
          </w:tcPr>
          <w:p w:rsidR="0034752F" w:rsidRPr="00C13B06" w:rsidP="00F754AF" w14:paraId="40F22CC6" w14:textId="77777777">
            <w:pPr>
              <w:jc w:val="center"/>
              <w:rPr>
                <w:sz w:val="22"/>
                <w:szCs w:val="22"/>
              </w:rPr>
            </w:pPr>
            <w:r w:rsidRPr="00C13B06">
              <w:rPr>
                <w:sz w:val="22"/>
                <w:szCs w:val="22"/>
              </w:rPr>
              <w:t>No</w:t>
            </w:r>
          </w:p>
        </w:tc>
        <w:tc>
          <w:tcPr>
            <w:tcW w:w="2338" w:type="dxa"/>
            <w:vAlign w:val="center"/>
          </w:tcPr>
          <w:p w:rsidR="0034752F" w:rsidRPr="00C13B06" w:rsidP="00F754AF" w14:paraId="25AC8C7C" w14:textId="77777777">
            <w:pPr>
              <w:jc w:val="center"/>
              <w:rPr>
                <w:sz w:val="22"/>
                <w:szCs w:val="22"/>
              </w:rPr>
            </w:pPr>
            <w:r w:rsidRPr="00C13B06">
              <w:rPr>
                <w:sz w:val="22"/>
                <w:szCs w:val="22"/>
              </w:rPr>
              <w:t>No</w:t>
            </w:r>
          </w:p>
        </w:tc>
        <w:tc>
          <w:tcPr>
            <w:tcW w:w="2338" w:type="dxa"/>
            <w:vAlign w:val="center"/>
          </w:tcPr>
          <w:p w:rsidR="0034752F" w:rsidRPr="00C13B06" w:rsidP="00F754AF" w14:paraId="679641BE" w14:textId="77777777">
            <w:pPr>
              <w:jc w:val="center"/>
              <w:rPr>
                <w:sz w:val="22"/>
                <w:szCs w:val="22"/>
              </w:rPr>
            </w:pPr>
            <w:r w:rsidRPr="00C13B06">
              <w:rPr>
                <w:sz w:val="22"/>
                <w:szCs w:val="22"/>
              </w:rPr>
              <w:t>Yes</w:t>
            </w:r>
          </w:p>
        </w:tc>
      </w:tr>
    </w:tbl>
    <w:p w:rsidR="005C37DC" w:rsidP="001016F1" w14:paraId="60ED7971" w14:textId="77777777"/>
    <w:p w:rsidR="003764ED" w:rsidRPr="00C40EC4" w:rsidP="007B1603" w14:paraId="1158D14D" w14:textId="77777777">
      <w:pPr>
        <w:rPr>
          <w:i/>
          <w:iCs/>
        </w:rPr>
      </w:pPr>
      <w:r>
        <w:rPr>
          <w:i/>
          <w:iCs/>
        </w:rPr>
        <w:t>Past Uses of NPDS and PCCPHE Information</w:t>
      </w:r>
    </w:p>
    <w:p w:rsidR="00B61872" w:rsidRPr="007B1603" w:rsidP="007B1603" w14:paraId="17622402" w14:textId="77777777">
      <w:r>
        <w:t>CDC uses the NPDS</w:t>
      </w:r>
      <w:r w:rsidRPr="00A86DEB">
        <w:t xml:space="preserve"> to improve public health</w:t>
      </w:r>
      <w:r>
        <w:t xml:space="preserve"> </w:t>
      </w:r>
      <w:r w:rsidRPr="00A86DEB">
        <w:t>surveillance for chemical and poison exposures and associated illness</w:t>
      </w:r>
      <w:r>
        <w:t>es</w:t>
      </w:r>
      <w:r w:rsidRPr="00A86DEB">
        <w:t xml:space="preserve">, </w:t>
      </w:r>
      <w:r>
        <w:t xml:space="preserve">to </w:t>
      </w:r>
      <w:r w:rsidRPr="00A86DEB">
        <w:t xml:space="preserve">identify early markers of chemical </w:t>
      </w:r>
      <w:r w:rsidR="00597700">
        <w:t>incidents</w:t>
      </w:r>
      <w:r w:rsidRPr="00A86DEB">
        <w:t>,</w:t>
      </w:r>
      <w:r>
        <w:t xml:space="preserve"> </w:t>
      </w:r>
      <w:r w:rsidRPr="00A86DEB">
        <w:t xml:space="preserve">and </w:t>
      </w:r>
      <w:r>
        <w:t xml:space="preserve">to </w:t>
      </w:r>
      <w:r w:rsidRPr="00A86DEB">
        <w:t>enhance situational awareness during outbreaks</w:t>
      </w:r>
      <w:r>
        <w:t>.</w:t>
      </w:r>
      <w:r w:rsidR="00B92498">
        <w:rPr>
          <w:vertAlign w:val="superscript"/>
        </w:rPr>
        <w:t>4</w:t>
      </w:r>
      <w:r>
        <w:t xml:space="preserve"> Currently, the poison centers ask only those questions needed to diagnose and provide guidance for addressing the exposure.  These items of information have proven useful for past surveillance efforts</w:t>
      </w:r>
      <w:r>
        <w:t>.</w:t>
      </w:r>
      <w:r>
        <w:rPr>
          <w:vertAlign w:val="superscript"/>
        </w:rPr>
        <w:t>5-7</w:t>
      </w:r>
      <w:r>
        <w:t xml:space="preserve"> </w:t>
      </w:r>
      <w:r w:rsidRPr="00F754AF">
        <w:t xml:space="preserve">Table </w:t>
      </w:r>
      <w:r w:rsidR="00AF18E5">
        <w:t>A</w:t>
      </w:r>
      <w:r w:rsidRPr="00F754AF">
        <w:t>1-</w:t>
      </w:r>
      <w:r w:rsidRPr="00F754AF" w:rsidR="00F059CD">
        <w:t>2</w:t>
      </w:r>
      <w:r w:rsidRPr="00187D43">
        <w:t xml:space="preserve"> includes</w:t>
      </w:r>
      <w:r>
        <w:t xml:space="preserve"> examples of </w:t>
      </w:r>
      <w:r w:rsidR="001F4541">
        <w:t xml:space="preserve">public health emergencies </w:t>
      </w:r>
      <w:r>
        <w:t>where NPDS contributed to effective emergency response.</w:t>
      </w:r>
      <w:r w:rsidR="00EF41F3">
        <w:t xml:space="preserve"> </w:t>
      </w:r>
    </w:p>
    <w:p w:rsidR="00B61872" w:rsidRPr="009E7E0A" w:rsidP="00B61872" w14:paraId="2B0C1A93" w14:textId="77777777">
      <w:pPr>
        <w:pStyle w:val="Caption"/>
        <w:keepNext/>
        <w:rPr>
          <w:color w:val="000000" w:themeColor="text1"/>
          <w:sz w:val="22"/>
          <w:szCs w:val="22"/>
        </w:rPr>
      </w:pPr>
      <w:r w:rsidRPr="000E075D">
        <w:rPr>
          <w:color w:val="000000" w:themeColor="text1"/>
          <w:sz w:val="22"/>
          <w:szCs w:val="22"/>
        </w:rPr>
        <w:t xml:space="preserve">Table </w:t>
      </w:r>
      <w:r w:rsidRPr="000E075D" w:rsidR="00AF18E5">
        <w:rPr>
          <w:color w:val="000000" w:themeColor="text1"/>
          <w:sz w:val="22"/>
          <w:szCs w:val="22"/>
        </w:rPr>
        <w:t>A</w:t>
      </w:r>
      <w:r w:rsidRPr="000E075D">
        <w:rPr>
          <w:color w:val="000000" w:themeColor="text1"/>
          <w:sz w:val="22"/>
          <w:szCs w:val="22"/>
        </w:rPr>
        <w:t>1-</w:t>
      </w:r>
      <w:r w:rsidRPr="000E075D" w:rsidR="00F059CD">
        <w:rPr>
          <w:color w:val="000000" w:themeColor="text1"/>
          <w:sz w:val="22"/>
          <w:szCs w:val="22"/>
        </w:rPr>
        <w:t>2</w:t>
      </w:r>
      <w:r w:rsidRPr="000E075D">
        <w:rPr>
          <w:color w:val="000000" w:themeColor="text1"/>
          <w:sz w:val="22"/>
          <w:szCs w:val="22"/>
        </w:rPr>
        <w:t>. NPDS in Emergency Response</w:t>
      </w:r>
    </w:p>
    <w:tbl>
      <w:tblPr>
        <w:tblStyle w:val="TableGrid"/>
        <w:tblW w:w="0" w:type="auto"/>
        <w:tblLook w:val="04A0"/>
      </w:tblPr>
      <w:tblGrid>
        <w:gridCol w:w="2025"/>
        <w:gridCol w:w="1154"/>
        <w:gridCol w:w="6171"/>
      </w:tblGrid>
      <w:tr w14:paraId="55393B84" w14:textId="77777777" w:rsidTr="007C1A73">
        <w:tblPrEx>
          <w:tblW w:w="0" w:type="auto"/>
          <w:tblLook w:val="04A0"/>
        </w:tblPrEx>
        <w:tc>
          <w:tcPr>
            <w:tcW w:w="2053" w:type="dxa"/>
          </w:tcPr>
          <w:p w:rsidR="007B1603" w:rsidRPr="00A7696D" w:rsidP="007B1603" w14:paraId="0A643593" w14:textId="77777777">
            <w:pPr>
              <w:rPr>
                <w:sz w:val="22"/>
                <w:szCs w:val="22"/>
              </w:rPr>
            </w:pPr>
            <w:r w:rsidRPr="00A7696D">
              <w:rPr>
                <w:sz w:val="22"/>
                <w:szCs w:val="22"/>
              </w:rPr>
              <w:t>Incident</w:t>
            </w:r>
          </w:p>
        </w:tc>
        <w:tc>
          <w:tcPr>
            <w:tcW w:w="936" w:type="dxa"/>
          </w:tcPr>
          <w:p w:rsidR="007B1603" w:rsidRPr="00A7696D" w:rsidP="007B1603" w14:paraId="4167F669" w14:textId="77777777">
            <w:pPr>
              <w:rPr>
                <w:sz w:val="22"/>
                <w:szCs w:val="22"/>
              </w:rPr>
            </w:pPr>
            <w:r w:rsidRPr="00A7696D">
              <w:rPr>
                <w:sz w:val="22"/>
                <w:szCs w:val="22"/>
              </w:rPr>
              <w:t>Year</w:t>
            </w:r>
          </w:p>
        </w:tc>
        <w:tc>
          <w:tcPr>
            <w:tcW w:w="6361" w:type="dxa"/>
          </w:tcPr>
          <w:p w:rsidR="007B1603" w:rsidRPr="00A7696D" w:rsidP="007B1603" w14:paraId="4C64E1DA" w14:textId="77777777">
            <w:pPr>
              <w:rPr>
                <w:sz w:val="22"/>
                <w:szCs w:val="22"/>
                <w:vertAlign w:val="superscript"/>
              </w:rPr>
            </w:pPr>
            <w:r w:rsidRPr="00A7696D">
              <w:rPr>
                <w:sz w:val="22"/>
                <w:szCs w:val="22"/>
              </w:rPr>
              <w:t>NPDS in emergency response</w:t>
            </w:r>
            <w:r w:rsidRPr="00A7696D" w:rsidR="00B61872">
              <w:rPr>
                <w:sz w:val="22"/>
                <w:szCs w:val="22"/>
                <w:vertAlign w:val="superscript"/>
              </w:rPr>
              <w:t xml:space="preserve"> 2,6,7</w:t>
            </w:r>
            <w:r w:rsidRPr="00A7696D" w:rsidR="00E12F2A">
              <w:rPr>
                <w:sz w:val="22"/>
                <w:szCs w:val="22"/>
                <w:vertAlign w:val="superscript"/>
              </w:rPr>
              <w:t>,8</w:t>
            </w:r>
          </w:p>
        </w:tc>
      </w:tr>
      <w:tr w14:paraId="603CD66C" w14:textId="77777777" w:rsidTr="007C1A73">
        <w:tblPrEx>
          <w:tblW w:w="0" w:type="auto"/>
          <w:tblLook w:val="04A0"/>
        </w:tblPrEx>
        <w:tc>
          <w:tcPr>
            <w:tcW w:w="2053" w:type="dxa"/>
          </w:tcPr>
          <w:p w:rsidR="00621C41" w:rsidRPr="00A7696D" w:rsidP="004000E7" w14:paraId="0FAD1032" w14:textId="77777777">
            <w:pPr>
              <w:rPr>
                <w:sz w:val="22"/>
                <w:szCs w:val="22"/>
              </w:rPr>
            </w:pPr>
            <w:r w:rsidRPr="00A7696D">
              <w:rPr>
                <w:sz w:val="22"/>
                <w:szCs w:val="22"/>
              </w:rPr>
              <w:t>C</w:t>
            </w:r>
            <w:r w:rsidRPr="00A7696D" w:rsidR="006446E4">
              <w:rPr>
                <w:sz w:val="22"/>
                <w:szCs w:val="22"/>
              </w:rPr>
              <w:t>OVID</w:t>
            </w:r>
            <w:r w:rsidRPr="00A7696D">
              <w:rPr>
                <w:sz w:val="22"/>
                <w:szCs w:val="22"/>
              </w:rPr>
              <w:t>-19 Pandemic</w:t>
            </w:r>
          </w:p>
        </w:tc>
        <w:tc>
          <w:tcPr>
            <w:tcW w:w="936" w:type="dxa"/>
          </w:tcPr>
          <w:p w:rsidR="00621C41" w:rsidRPr="00A7696D" w:rsidP="004000E7" w14:paraId="7D530E73" w14:textId="77777777">
            <w:pPr>
              <w:rPr>
                <w:sz w:val="22"/>
                <w:szCs w:val="22"/>
              </w:rPr>
            </w:pPr>
            <w:r w:rsidRPr="00A7696D">
              <w:rPr>
                <w:sz w:val="22"/>
                <w:szCs w:val="22"/>
              </w:rPr>
              <w:t>2020-</w:t>
            </w:r>
            <w:r w:rsidRPr="00A7696D" w:rsidR="00B232E9">
              <w:rPr>
                <w:sz w:val="22"/>
                <w:szCs w:val="22"/>
              </w:rPr>
              <w:t>present</w:t>
            </w:r>
          </w:p>
        </w:tc>
        <w:tc>
          <w:tcPr>
            <w:tcW w:w="6361" w:type="dxa"/>
          </w:tcPr>
          <w:p w:rsidR="00621C41" w:rsidRPr="00022B15" w:rsidP="004000E7" w14:paraId="765E4C22" w14:textId="77777777">
            <w:pPr>
              <w:pStyle w:val="ListParagraph"/>
              <w:numPr>
                <w:ilvl w:val="0"/>
                <w:numId w:val="23"/>
              </w:numPr>
              <w:rPr>
                <w:bCs/>
                <w:sz w:val="22"/>
                <w:szCs w:val="22"/>
              </w:rPr>
            </w:pPr>
            <w:r w:rsidRPr="00022B15">
              <w:rPr>
                <w:bCs/>
                <w:sz w:val="22"/>
                <w:szCs w:val="22"/>
              </w:rPr>
              <w:t>NPDS data monitored</w:t>
            </w:r>
            <w:r w:rsidRPr="00022B15" w:rsidR="00356DD0">
              <w:rPr>
                <w:bCs/>
                <w:sz w:val="22"/>
                <w:szCs w:val="22"/>
              </w:rPr>
              <w:t xml:space="preserve"> </w:t>
            </w:r>
            <w:r w:rsidRPr="00022B15" w:rsidR="00316620">
              <w:rPr>
                <w:bCs/>
                <w:sz w:val="22"/>
                <w:szCs w:val="22"/>
              </w:rPr>
              <w:t xml:space="preserve">over a million </w:t>
            </w:r>
            <w:r w:rsidRPr="00022B15" w:rsidR="00356DD0">
              <w:rPr>
                <w:bCs/>
                <w:sz w:val="22"/>
                <w:szCs w:val="22"/>
              </w:rPr>
              <w:t xml:space="preserve">calls from concerned citizens as well as from medical professionals related to </w:t>
            </w:r>
            <w:r w:rsidRPr="00022B15" w:rsidR="00390304">
              <w:rPr>
                <w:bCs/>
                <w:sz w:val="22"/>
                <w:szCs w:val="22"/>
              </w:rPr>
              <w:t xml:space="preserve">COVID-19, vaccinations, and at-home tests as well as </w:t>
            </w:r>
            <w:r w:rsidRPr="00022B15" w:rsidR="00316620">
              <w:rPr>
                <w:bCs/>
                <w:sz w:val="22"/>
                <w:szCs w:val="22"/>
              </w:rPr>
              <w:t>potentially harmful, non-traditional behaviors taken to prevent, treat, or cure COVID-19 (e.g., exposure to cleaning products, vitamins, medications such as chloroquine).</w:t>
            </w:r>
          </w:p>
          <w:p w:rsidR="00316620" w:rsidRPr="00022B15" w:rsidP="004000E7" w14:paraId="1A9BA605" w14:textId="77777777">
            <w:pPr>
              <w:pStyle w:val="ListParagraph"/>
              <w:numPr>
                <w:ilvl w:val="0"/>
                <w:numId w:val="23"/>
              </w:numPr>
              <w:rPr>
                <w:bCs/>
                <w:sz w:val="22"/>
                <w:szCs w:val="22"/>
              </w:rPr>
            </w:pPr>
            <w:r w:rsidRPr="00022B15">
              <w:rPr>
                <w:bCs/>
                <w:sz w:val="22"/>
                <w:szCs w:val="22"/>
              </w:rPr>
              <w:t>Rapidly published data of concern in several MMWR articles and Health Alert Networks (HANS) as well as journals to notify others of public health threats</w:t>
            </w:r>
          </w:p>
        </w:tc>
      </w:tr>
      <w:tr w14:paraId="402DAF0E" w14:textId="77777777" w:rsidTr="007C1A73">
        <w:tblPrEx>
          <w:tblW w:w="0" w:type="auto"/>
          <w:tblLook w:val="04A0"/>
        </w:tblPrEx>
        <w:tc>
          <w:tcPr>
            <w:tcW w:w="2053" w:type="dxa"/>
          </w:tcPr>
          <w:p w:rsidR="007C1A73" w:rsidRPr="00A7696D" w:rsidP="007C1A73" w14:paraId="18FAC773" w14:textId="77777777">
            <w:pPr>
              <w:rPr>
                <w:sz w:val="22"/>
                <w:szCs w:val="22"/>
                <w:highlight w:val="yellow"/>
              </w:rPr>
            </w:pPr>
            <w:r w:rsidRPr="00877E69">
              <w:rPr>
                <w:sz w:val="22"/>
                <w:szCs w:val="22"/>
              </w:rPr>
              <w:t>H</w:t>
            </w:r>
            <w:r>
              <w:rPr>
                <w:sz w:val="22"/>
                <w:szCs w:val="22"/>
              </w:rPr>
              <w:t>armful Algal Blooms (HABs)</w:t>
            </w:r>
          </w:p>
        </w:tc>
        <w:tc>
          <w:tcPr>
            <w:tcW w:w="936" w:type="dxa"/>
          </w:tcPr>
          <w:p w:rsidR="007C1A73" w:rsidRPr="00A7696D" w:rsidP="007C1A73" w14:paraId="67C254ED" w14:textId="77777777">
            <w:pPr>
              <w:rPr>
                <w:sz w:val="22"/>
                <w:szCs w:val="22"/>
                <w:highlight w:val="yellow"/>
              </w:rPr>
            </w:pPr>
            <w:r>
              <w:rPr>
                <w:sz w:val="22"/>
                <w:szCs w:val="22"/>
              </w:rPr>
              <w:t>Recurring</w:t>
            </w:r>
          </w:p>
        </w:tc>
        <w:tc>
          <w:tcPr>
            <w:tcW w:w="6361" w:type="dxa"/>
          </w:tcPr>
          <w:p w:rsidR="007C1A73" w:rsidRPr="00022B15" w:rsidP="007C1A73" w14:paraId="2540F33F" w14:textId="77777777">
            <w:pPr>
              <w:pStyle w:val="ListParagraph"/>
              <w:numPr>
                <w:ilvl w:val="0"/>
                <w:numId w:val="23"/>
              </w:numPr>
              <w:rPr>
                <w:bCs/>
                <w:sz w:val="22"/>
                <w:szCs w:val="22"/>
              </w:rPr>
            </w:pPr>
            <w:r w:rsidRPr="00022B15">
              <w:rPr>
                <w:sz w:val="22"/>
                <w:szCs w:val="22"/>
              </w:rPr>
              <w:t>NPDS data monitors potential exposure to harmful algal blooms (HABs)</w:t>
            </w:r>
          </w:p>
          <w:p w:rsidR="007C1A73" w:rsidRPr="00022B15" w:rsidP="007C1A73" w14:paraId="47C087FC" w14:textId="77777777">
            <w:pPr>
              <w:pStyle w:val="ListParagraph"/>
              <w:numPr>
                <w:ilvl w:val="0"/>
                <w:numId w:val="23"/>
              </w:numPr>
              <w:rPr>
                <w:bCs/>
                <w:sz w:val="22"/>
                <w:szCs w:val="22"/>
              </w:rPr>
            </w:pPr>
            <w:r w:rsidRPr="00022B15">
              <w:rPr>
                <w:bCs/>
                <w:sz w:val="22"/>
                <w:szCs w:val="22"/>
              </w:rPr>
              <w:t>Published data from follow-up survey further characterizing exposure and risk factors (2022)</w:t>
            </w:r>
          </w:p>
        </w:tc>
      </w:tr>
      <w:tr w14:paraId="38257C5D" w14:textId="77777777" w:rsidTr="007C1A73">
        <w:tblPrEx>
          <w:tblW w:w="0" w:type="auto"/>
          <w:tblLook w:val="04A0"/>
        </w:tblPrEx>
        <w:tc>
          <w:tcPr>
            <w:tcW w:w="2053" w:type="dxa"/>
          </w:tcPr>
          <w:p w:rsidR="00621C41" w:rsidRPr="00A7696D" w:rsidP="004000E7" w14:paraId="33A18421" w14:textId="77777777">
            <w:pPr>
              <w:rPr>
                <w:sz w:val="22"/>
                <w:szCs w:val="22"/>
              </w:rPr>
            </w:pPr>
            <w:r w:rsidRPr="00A7696D">
              <w:rPr>
                <w:sz w:val="22"/>
                <w:szCs w:val="22"/>
              </w:rPr>
              <w:t>2017 Hurricane season</w:t>
            </w:r>
          </w:p>
        </w:tc>
        <w:tc>
          <w:tcPr>
            <w:tcW w:w="936" w:type="dxa"/>
          </w:tcPr>
          <w:p w:rsidR="00621C41" w:rsidRPr="00A7696D" w:rsidP="004000E7" w14:paraId="5656A9DF" w14:textId="77777777">
            <w:pPr>
              <w:rPr>
                <w:sz w:val="22"/>
                <w:szCs w:val="22"/>
              </w:rPr>
            </w:pPr>
            <w:r w:rsidRPr="00A7696D">
              <w:rPr>
                <w:sz w:val="22"/>
                <w:szCs w:val="22"/>
              </w:rPr>
              <w:t>2017</w:t>
            </w:r>
          </w:p>
        </w:tc>
        <w:tc>
          <w:tcPr>
            <w:tcW w:w="6361" w:type="dxa"/>
          </w:tcPr>
          <w:p w:rsidR="00621C41" w:rsidRPr="00022B15" w:rsidP="004000E7" w14:paraId="55BFBF94" w14:textId="77777777">
            <w:pPr>
              <w:pStyle w:val="ListParagraph"/>
              <w:numPr>
                <w:ilvl w:val="0"/>
                <w:numId w:val="23"/>
              </w:numPr>
              <w:rPr>
                <w:bCs/>
                <w:sz w:val="22"/>
                <w:szCs w:val="22"/>
              </w:rPr>
            </w:pPr>
            <w:r w:rsidRPr="00022B15">
              <w:rPr>
                <w:bCs/>
                <w:sz w:val="22"/>
                <w:szCs w:val="22"/>
              </w:rPr>
              <w:t xml:space="preserve">NPDS data </w:t>
            </w:r>
            <w:r w:rsidRPr="00022B15" w:rsidR="00F25D38">
              <w:rPr>
                <w:bCs/>
                <w:sz w:val="22"/>
                <w:szCs w:val="22"/>
              </w:rPr>
              <w:t xml:space="preserve">tracked potential carbon monoxide exposures, gasoline/diesel exposures, and bites/stings related to Hurricanes Harvey, Irma, and Maria which led to </w:t>
            </w:r>
            <w:r w:rsidRPr="00022B15" w:rsidR="00F25D38">
              <w:rPr>
                <w:bCs/>
                <w:sz w:val="22"/>
                <w:szCs w:val="22"/>
              </w:rPr>
              <w:t>rapid communication</w:t>
            </w:r>
            <w:r w:rsidRPr="00022B15" w:rsidR="00F25D38">
              <w:rPr>
                <w:bCs/>
                <w:sz w:val="22"/>
                <w:szCs w:val="22"/>
              </w:rPr>
              <w:t xml:space="preserve"> follow-up (e.g., twitter) and notification to respective health departments</w:t>
            </w:r>
            <w:r w:rsidRPr="00022B15">
              <w:rPr>
                <w:bCs/>
                <w:sz w:val="22"/>
                <w:szCs w:val="22"/>
              </w:rPr>
              <w:t xml:space="preserve"> </w:t>
            </w:r>
          </w:p>
        </w:tc>
      </w:tr>
      <w:tr w14:paraId="294F6B54" w14:textId="77777777" w:rsidTr="007C1A73">
        <w:tblPrEx>
          <w:tblW w:w="0" w:type="auto"/>
          <w:tblLook w:val="04A0"/>
        </w:tblPrEx>
        <w:tc>
          <w:tcPr>
            <w:tcW w:w="2053" w:type="dxa"/>
          </w:tcPr>
          <w:p w:rsidR="005B2342" w:rsidRPr="00A7696D" w:rsidP="004000E7" w14:paraId="1120CF55" w14:textId="77777777">
            <w:pPr>
              <w:rPr>
                <w:sz w:val="22"/>
                <w:szCs w:val="22"/>
              </w:rPr>
            </w:pPr>
            <w:r w:rsidRPr="00A7696D">
              <w:rPr>
                <w:sz w:val="22"/>
                <w:szCs w:val="22"/>
              </w:rPr>
              <w:t>Hurricane Sandy</w:t>
            </w:r>
          </w:p>
        </w:tc>
        <w:tc>
          <w:tcPr>
            <w:tcW w:w="936" w:type="dxa"/>
          </w:tcPr>
          <w:p w:rsidR="005B2342" w:rsidRPr="00A7696D" w:rsidP="004000E7" w14:paraId="32BEB7A9" w14:textId="77777777">
            <w:pPr>
              <w:rPr>
                <w:sz w:val="22"/>
                <w:szCs w:val="22"/>
              </w:rPr>
            </w:pPr>
            <w:r w:rsidRPr="00A7696D">
              <w:rPr>
                <w:sz w:val="22"/>
                <w:szCs w:val="22"/>
              </w:rPr>
              <w:t>2012</w:t>
            </w:r>
          </w:p>
        </w:tc>
        <w:tc>
          <w:tcPr>
            <w:tcW w:w="6361" w:type="dxa"/>
          </w:tcPr>
          <w:p w:rsidR="005B2342" w:rsidRPr="00A7696D" w:rsidP="004000E7" w14:paraId="5998A8AF" w14:textId="77777777">
            <w:pPr>
              <w:pStyle w:val="ListParagraph"/>
              <w:numPr>
                <w:ilvl w:val="0"/>
                <w:numId w:val="23"/>
              </w:numPr>
              <w:rPr>
                <w:sz w:val="22"/>
                <w:szCs w:val="22"/>
              </w:rPr>
            </w:pPr>
            <w:r w:rsidRPr="00A7696D">
              <w:rPr>
                <w:bCs/>
                <w:sz w:val="22"/>
                <w:szCs w:val="22"/>
              </w:rPr>
              <w:t>NPDS data</w:t>
            </w:r>
            <w:r w:rsidRPr="00A7696D" w:rsidR="00C26342">
              <w:rPr>
                <w:bCs/>
                <w:sz w:val="22"/>
                <w:szCs w:val="22"/>
              </w:rPr>
              <w:t xml:space="preserve"> </w:t>
            </w:r>
            <w:r w:rsidRPr="00A7696D">
              <w:rPr>
                <w:bCs/>
                <w:sz w:val="22"/>
                <w:szCs w:val="22"/>
              </w:rPr>
              <w:t xml:space="preserve">identified over 250 potential carbon monoxide exposures related to Hurricane Sandy </w:t>
            </w:r>
            <w:r w:rsidRPr="00A7696D" w:rsidR="00D869F2">
              <w:rPr>
                <w:bCs/>
                <w:sz w:val="22"/>
                <w:szCs w:val="22"/>
              </w:rPr>
              <w:t>which led to</w:t>
            </w:r>
            <w:r w:rsidRPr="00A7696D">
              <w:rPr>
                <w:bCs/>
                <w:sz w:val="22"/>
                <w:szCs w:val="22"/>
              </w:rPr>
              <w:t xml:space="preserve"> </w:t>
            </w:r>
            <w:r w:rsidRPr="00A7696D" w:rsidR="00D869F2">
              <w:rPr>
                <w:bCs/>
                <w:sz w:val="22"/>
                <w:szCs w:val="22"/>
              </w:rPr>
              <w:t>rapid notification of</w:t>
            </w:r>
            <w:r w:rsidRPr="00A7696D">
              <w:rPr>
                <w:bCs/>
                <w:sz w:val="22"/>
                <w:szCs w:val="22"/>
              </w:rPr>
              <w:t xml:space="preserve"> the respective state health departments. </w:t>
            </w:r>
          </w:p>
          <w:p w:rsidR="005B2342" w:rsidRPr="00A7696D" w:rsidP="004000E7" w14:paraId="508C16B1" w14:textId="77777777">
            <w:pPr>
              <w:pStyle w:val="ListParagraph"/>
              <w:numPr>
                <w:ilvl w:val="0"/>
                <w:numId w:val="23"/>
              </w:numPr>
              <w:rPr>
                <w:sz w:val="22"/>
                <w:szCs w:val="22"/>
              </w:rPr>
            </w:pPr>
            <w:r w:rsidRPr="00A7696D">
              <w:rPr>
                <w:bCs/>
                <w:sz w:val="22"/>
                <w:szCs w:val="22"/>
              </w:rPr>
              <w:t>Rapidly published this data in an MMWR article to notify other public health officials of this public health threat.</w:t>
            </w:r>
          </w:p>
        </w:tc>
      </w:tr>
      <w:tr w14:paraId="4BBE8BDE" w14:textId="77777777" w:rsidTr="007C1A73">
        <w:tblPrEx>
          <w:tblW w:w="0" w:type="auto"/>
          <w:tblLook w:val="04A0"/>
        </w:tblPrEx>
        <w:tc>
          <w:tcPr>
            <w:tcW w:w="2053" w:type="dxa"/>
          </w:tcPr>
          <w:p w:rsidR="005B2342" w:rsidRPr="00A7696D" w:rsidP="007B1603" w14:paraId="66D545FD" w14:textId="77777777">
            <w:pPr>
              <w:rPr>
                <w:sz w:val="22"/>
                <w:szCs w:val="22"/>
              </w:rPr>
            </w:pPr>
            <w:r w:rsidRPr="00A7696D">
              <w:rPr>
                <w:sz w:val="22"/>
                <w:szCs w:val="22"/>
              </w:rPr>
              <w:t>Radiological incident in Japan</w:t>
            </w:r>
            <w:r w:rsidRPr="00A7696D" w:rsidR="001F4541">
              <w:rPr>
                <w:sz w:val="22"/>
                <w:szCs w:val="22"/>
              </w:rPr>
              <w:t xml:space="preserve"> (Fukushima)</w:t>
            </w:r>
          </w:p>
        </w:tc>
        <w:tc>
          <w:tcPr>
            <w:tcW w:w="936" w:type="dxa"/>
          </w:tcPr>
          <w:p w:rsidR="005B2342" w:rsidRPr="00A7696D" w:rsidP="007B1603" w14:paraId="1EEAD7E6" w14:textId="77777777">
            <w:pPr>
              <w:rPr>
                <w:sz w:val="22"/>
                <w:szCs w:val="22"/>
              </w:rPr>
            </w:pPr>
            <w:r w:rsidRPr="00A7696D">
              <w:rPr>
                <w:sz w:val="22"/>
                <w:szCs w:val="22"/>
              </w:rPr>
              <w:t>2011</w:t>
            </w:r>
          </w:p>
        </w:tc>
        <w:tc>
          <w:tcPr>
            <w:tcW w:w="6361" w:type="dxa"/>
          </w:tcPr>
          <w:p w:rsidR="005B2342" w:rsidRPr="00A7696D" w:rsidP="00B61872" w14:paraId="326955FE" w14:textId="77777777">
            <w:pPr>
              <w:pStyle w:val="ListParagraph"/>
              <w:numPr>
                <w:ilvl w:val="0"/>
                <w:numId w:val="23"/>
              </w:numPr>
              <w:rPr>
                <w:sz w:val="22"/>
                <w:szCs w:val="22"/>
              </w:rPr>
            </w:pPr>
            <w:r w:rsidRPr="00A7696D">
              <w:rPr>
                <w:bCs/>
                <w:sz w:val="22"/>
                <w:szCs w:val="22"/>
              </w:rPr>
              <w:t>NPDS data identif</w:t>
            </w:r>
            <w:r w:rsidRPr="00A7696D" w:rsidR="00D869F2">
              <w:rPr>
                <w:bCs/>
                <w:sz w:val="22"/>
                <w:szCs w:val="22"/>
              </w:rPr>
              <w:t>ied</w:t>
            </w:r>
            <w:r w:rsidRPr="00A7696D">
              <w:rPr>
                <w:bCs/>
                <w:sz w:val="22"/>
                <w:szCs w:val="22"/>
              </w:rPr>
              <w:t xml:space="preserve"> the ingestion of potassium iodide and other iodine/iodide products as a potential public health concern within the US. Individuals were ingesting these products bought off internet sites to </w:t>
            </w:r>
            <w:r w:rsidRPr="00A7696D" w:rsidR="001F4541">
              <w:rPr>
                <w:bCs/>
                <w:sz w:val="22"/>
                <w:szCs w:val="22"/>
              </w:rPr>
              <w:t xml:space="preserve">prevent </w:t>
            </w:r>
            <w:r w:rsidRPr="00A7696D">
              <w:rPr>
                <w:bCs/>
                <w:sz w:val="22"/>
                <w:szCs w:val="22"/>
              </w:rPr>
              <w:t xml:space="preserve">radiation contamination even though no such recommendation was given in the US. </w:t>
            </w:r>
          </w:p>
          <w:p w:rsidR="003A010E" w:rsidRPr="00A7696D" w:rsidP="00F754AF" w14:paraId="0E14B709" w14:textId="77777777">
            <w:pPr>
              <w:pStyle w:val="ListParagraph"/>
              <w:numPr>
                <w:ilvl w:val="0"/>
                <w:numId w:val="23"/>
              </w:numPr>
              <w:rPr>
                <w:sz w:val="22"/>
                <w:szCs w:val="22"/>
              </w:rPr>
            </w:pPr>
            <w:r w:rsidRPr="00A7696D">
              <w:rPr>
                <w:bCs/>
                <w:sz w:val="22"/>
                <w:szCs w:val="22"/>
              </w:rPr>
              <w:t xml:space="preserve">Findings </w:t>
            </w:r>
            <w:r w:rsidRPr="00A7696D">
              <w:rPr>
                <w:bCs/>
                <w:sz w:val="22"/>
                <w:szCs w:val="22"/>
              </w:rPr>
              <w:t>used</w:t>
            </w:r>
            <w:r w:rsidRPr="00A7696D">
              <w:rPr>
                <w:bCs/>
                <w:sz w:val="22"/>
                <w:szCs w:val="22"/>
              </w:rPr>
              <w:t xml:space="preserve"> to guide CDC </w:t>
            </w:r>
            <w:r w:rsidRPr="00A7696D" w:rsidR="001F4541">
              <w:rPr>
                <w:bCs/>
                <w:sz w:val="22"/>
                <w:szCs w:val="22"/>
              </w:rPr>
              <w:t xml:space="preserve">and local health department’s </w:t>
            </w:r>
            <w:r w:rsidRPr="00A7696D">
              <w:rPr>
                <w:bCs/>
                <w:sz w:val="22"/>
                <w:szCs w:val="22"/>
              </w:rPr>
              <w:t>public health messaging and communication activities</w:t>
            </w:r>
            <w:r w:rsidRPr="00A7696D">
              <w:rPr>
                <w:sz w:val="22"/>
                <w:szCs w:val="22"/>
              </w:rPr>
              <w:t xml:space="preserve">. </w:t>
            </w:r>
          </w:p>
        </w:tc>
      </w:tr>
      <w:tr w14:paraId="0B69C266" w14:textId="77777777" w:rsidTr="007C1A73">
        <w:tblPrEx>
          <w:tblW w:w="0" w:type="auto"/>
          <w:tblLook w:val="04A0"/>
        </w:tblPrEx>
        <w:tc>
          <w:tcPr>
            <w:tcW w:w="2053" w:type="dxa"/>
          </w:tcPr>
          <w:p w:rsidR="005B2342" w:rsidRPr="00A7696D" w:rsidP="001F4541" w14:paraId="680894F2" w14:textId="77777777">
            <w:pPr>
              <w:rPr>
                <w:sz w:val="22"/>
                <w:szCs w:val="22"/>
              </w:rPr>
            </w:pPr>
            <w:r w:rsidRPr="00A7696D">
              <w:rPr>
                <w:sz w:val="22"/>
                <w:szCs w:val="22"/>
              </w:rPr>
              <w:t xml:space="preserve">Deepwater Horizon </w:t>
            </w:r>
            <w:r w:rsidRPr="00A7696D" w:rsidR="001F4541">
              <w:rPr>
                <w:sz w:val="22"/>
                <w:szCs w:val="22"/>
              </w:rPr>
              <w:t>Oil Spill</w:t>
            </w:r>
          </w:p>
        </w:tc>
        <w:tc>
          <w:tcPr>
            <w:tcW w:w="936" w:type="dxa"/>
          </w:tcPr>
          <w:p w:rsidR="005B2342" w:rsidRPr="00A7696D" w:rsidP="007B1603" w14:paraId="2C46E4D4" w14:textId="77777777">
            <w:pPr>
              <w:rPr>
                <w:sz w:val="22"/>
                <w:szCs w:val="22"/>
              </w:rPr>
            </w:pPr>
            <w:r w:rsidRPr="00A7696D">
              <w:rPr>
                <w:sz w:val="22"/>
                <w:szCs w:val="22"/>
              </w:rPr>
              <w:t>2010</w:t>
            </w:r>
          </w:p>
        </w:tc>
        <w:tc>
          <w:tcPr>
            <w:tcW w:w="6361" w:type="dxa"/>
          </w:tcPr>
          <w:p w:rsidR="005B2342" w:rsidRPr="00A7696D" w:rsidP="00B61872" w14:paraId="36C5557C" w14:textId="77777777">
            <w:pPr>
              <w:pStyle w:val="ListParagraph"/>
              <w:numPr>
                <w:ilvl w:val="0"/>
                <w:numId w:val="23"/>
              </w:numPr>
              <w:rPr>
                <w:bCs/>
                <w:sz w:val="22"/>
                <w:szCs w:val="22"/>
              </w:rPr>
            </w:pPr>
            <w:r w:rsidRPr="00A7696D">
              <w:rPr>
                <w:bCs/>
                <w:sz w:val="22"/>
                <w:szCs w:val="22"/>
              </w:rPr>
              <w:t>NPDS data identif</w:t>
            </w:r>
            <w:r w:rsidRPr="00A7696D" w:rsidR="00D869F2">
              <w:rPr>
                <w:bCs/>
                <w:sz w:val="22"/>
                <w:szCs w:val="22"/>
              </w:rPr>
              <w:t>ied</w:t>
            </w:r>
            <w:r w:rsidRPr="00A7696D">
              <w:rPr>
                <w:bCs/>
                <w:sz w:val="22"/>
                <w:szCs w:val="22"/>
              </w:rPr>
              <w:t xml:space="preserve"> </w:t>
            </w:r>
            <w:r w:rsidRPr="00A7696D" w:rsidR="00090BC7">
              <w:rPr>
                <w:bCs/>
                <w:sz w:val="22"/>
                <w:szCs w:val="22"/>
              </w:rPr>
              <w:t xml:space="preserve">exposure </w:t>
            </w:r>
            <w:r w:rsidRPr="00A7696D">
              <w:rPr>
                <w:bCs/>
                <w:sz w:val="22"/>
                <w:szCs w:val="22"/>
              </w:rPr>
              <w:t xml:space="preserve">trends and </w:t>
            </w:r>
            <w:r w:rsidRPr="00A7696D">
              <w:rPr>
                <w:bCs/>
                <w:sz w:val="22"/>
                <w:szCs w:val="22"/>
              </w:rPr>
              <w:t>monitor</w:t>
            </w:r>
            <w:r w:rsidRPr="00A7696D">
              <w:rPr>
                <w:bCs/>
                <w:sz w:val="22"/>
                <w:szCs w:val="22"/>
              </w:rPr>
              <w:t xml:space="preserve"> severity of health effects </w:t>
            </w:r>
            <w:r w:rsidRPr="00A7696D" w:rsidR="00D869F2">
              <w:rPr>
                <w:bCs/>
                <w:sz w:val="22"/>
                <w:szCs w:val="22"/>
              </w:rPr>
              <w:t>because of</w:t>
            </w:r>
            <w:r w:rsidRPr="00A7696D">
              <w:rPr>
                <w:bCs/>
                <w:sz w:val="22"/>
                <w:szCs w:val="22"/>
              </w:rPr>
              <w:t xml:space="preserve"> exposure to the oil spill. </w:t>
            </w:r>
          </w:p>
          <w:p w:rsidR="005B2342" w:rsidRPr="00A7696D" w:rsidP="00B61872" w14:paraId="4B6D3FED" w14:textId="77777777">
            <w:pPr>
              <w:pStyle w:val="ListParagraph"/>
              <w:numPr>
                <w:ilvl w:val="0"/>
                <w:numId w:val="23"/>
              </w:numPr>
              <w:rPr>
                <w:bCs/>
                <w:sz w:val="22"/>
                <w:szCs w:val="22"/>
              </w:rPr>
            </w:pPr>
            <w:r w:rsidRPr="00A7696D">
              <w:rPr>
                <w:bCs/>
                <w:sz w:val="22"/>
                <w:szCs w:val="22"/>
              </w:rPr>
              <w:t xml:space="preserve">Findings aided CDC leadership in determining the </w:t>
            </w:r>
            <w:r w:rsidRPr="00A7696D" w:rsidR="00DD077B">
              <w:rPr>
                <w:bCs/>
                <w:sz w:val="22"/>
                <w:szCs w:val="22"/>
              </w:rPr>
              <w:t xml:space="preserve">public health </w:t>
            </w:r>
            <w:r w:rsidRPr="00A7696D">
              <w:rPr>
                <w:bCs/>
                <w:sz w:val="22"/>
                <w:szCs w:val="22"/>
              </w:rPr>
              <w:t xml:space="preserve">impact of the oil spill on the general population and were an integral part of the Gulf Coast Oil Spill Response Surveillance Activities. </w:t>
            </w:r>
          </w:p>
          <w:p w:rsidR="005B2342" w:rsidRPr="00A7696D" w:rsidP="00DD077B" w14:paraId="393A44AF" w14:textId="77777777">
            <w:pPr>
              <w:pStyle w:val="ListParagraph"/>
              <w:numPr>
                <w:ilvl w:val="0"/>
                <w:numId w:val="23"/>
              </w:numPr>
              <w:rPr>
                <w:bCs/>
                <w:sz w:val="22"/>
                <w:szCs w:val="22"/>
              </w:rPr>
            </w:pPr>
            <w:r w:rsidRPr="00A7696D">
              <w:rPr>
                <w:bCs/>
                <w:sz w:val="22"/>
                <w:szCs w:val="22"/>
              </w:rPr>
              <w:t xml:space="preserve">Information was also sent to each affected state to </w:t>
            </w:r>
            <w:r w:rsidRPr="00A7696D" w:rsidR="00DD077B">
              <w:rPr>
                <w:bCs/>
                <w:sz w:val="22"/>
                <w:szCs w:val="22"/>
              </w:rPr>
              <w:t xml:space="preserve">use </w:t>
            </w:r>
            <w:r w:rsidRPr="00A7696D">
              <w:rPr>
                <w:bCs/>
                <w:sz w:val="22"/>
                <w:szCs w:val="22"/>
              </w:rPr>
              <w:t>in their surveillance activities and public health response efforts.</w:t>
            </w:r>
          </w:p>
        </w:tc>
      </w:tr>
      <w:tr w14:paraId="7A90BB2F" w14:textId="77777777" w:rsidTr="007C1A73">
        <w:tblPrEx>
          <w:tblW w:w="0" w:type="auto"/>
          <w:tblLook w:val="04A0"/>
        </w:tblPrEx>
        <w:tc>
          <w:tcPr>
            <w:tcW w:w="2053" w:type="dxa"/>
          </w:tcPr>
          <w:p w:rsidR="005B2342" w:rsidRPr="00A7696D" w:rsidP="007B1603" w14:paraId="735367D7" w14:textId="77777777">
            <w:pPr>
              <w:rPr>
                <w:sz w:val="22"/>
                <w:szCs w:val="22"/>
              </w:rPr>
            </w:pPr>
            <w:r w:rsidRPr="00A7696D">
              <w:rPr>
                <w:sz w:val="22"/>
                <w:szCs w:val="22"/>
              </w:rPr>
              <w:t>Salmonella outbreak in peanut butter</w:t>
            </w:r>
          </w:p>
        </w:tc>
        <w:tc>
          <w:tcPr>
            <w:tcW w:w="936" w:type="dxa"/>
          </w:tcPr>
          <w:p w:rsidR="005B2342" w:rsidRPr="00A7696D" w:rsidP="007B1603" w14:paraId="61C3AA6D" w14:textId="77777777">
            <w:pPr>
              <w:rPr>
                <w:sz w:val="22"/>
                <w:szCs w:val="22"/>
              </w:rPr>
            </w:pPr>
            <w:r w:rsidRPr="00A7696D">
              <w:rPr>
                <w:sz w:val="22"/>
                <w:szCs w:val="22"/>
              </w:rPr>
              <w:t>2009</w:t>
            </w:r>
          </w:p>
        </w:tc>
        <w:tc>
          <w:tcPr>
            <w:tcW w:w="6361" w:type="dxa"/>
          </w:tcPr>
          <w:p w:rsidR="005B2342" w:rsidRPr="00A7696D" w:rsidP="00B61872" w14:paraId="2A6DF33D" w14:textId="77777777">
            <w:pPr>
              <w:pStyle w:val="ListParagraph"/>
              <w:numPr>
                <w:ilvl w:val="0"/>
                <w:numId w:val="23"/>
              </w:numPr>
              <w:rPr>
                <w:bCs/>
                <w:sz w:val="22"/>
                <w:szCs w:val="22"/>
              </w:rPr>
            </w:pPr>
            <w:r w:rsidRPr="00A7696D">
              <w:rPr>
                <w:bCs/>
                <w:sz w:val="22"/>
                <w:szCs w:val="22"/>
              </w:rPr>
              <w:t xml:space="preserve">Through NPDS-based surveillance, five states </w:t>
            </w:r>
            <w:r w:rsidRPr="00A7696D" w:rsidR="00090BC7">
              <w:rPr>
                <w:bCs/>
                <w:sz w:val="22"/>
                <w:szCs w:val="22"/>
              </w:rPr>
              <w:t>captured probable cases</w:t>
            </w:r>
            <w:r w:rsidRPr="00A7696D">
              <w:rPr>
                <w:bCs/>
                <w:sz w:val="22"/>
                <w:szCs w:val="22"/>
              </w:rPr>
              <w:t xml:space="preserve"> that had not been previously identified by CDC. </w:t>
            </w:r>
          </w:p>
          <w:p w:rsidR="005B2342" w:rsidRPr="00A7696D" w:rsidP="00B61872" w14:paraId="57192441" w14:textId="77777777">
            <w:pPr>
              <w:pStyle w:val="ListParagraph"/>
              <w:numPr>
                <w:ilvl w:val="0"/>
                <w:numId w:val="23"/>
              </w:numPr>
              <w:rPr>
                <w:bCs/>
                <w:sz w:val="22"/>
                <w:szCs w:val="22"/>
              </w:rPr>
            </w:pPr>
            <w:r w:rsidRPr="00A7696D">
              <w:rPr>
                <w:bCs/>
                <w:sz w:val="22"/>
                <w:szCs w:val="22"/>
              </w:rPr>
              <w:t xml:space="preserve">Aggregate data from NPDS were reported daily to the Division of Foodborne and Mycotic Diseases at CDC to enhance their situational awareness. </w:t>
            </w:r>
          </w:p>
        </w:tc>
      </w:tr>
    </w:tbl>
    <w:p w:rsidR="00181204" w:rsidP="00181204" w14:paraId="1D69F7A8" w14:textId="77777777"/>
    <w:p w:rsidR="005E392D" w:rsidP="005E392D" w14:paraId="054EABFF" w14:textId="77777777">
      <w:pPr>
        <w:rPr>
          <w:rFonts w:cs="Arial"/>
        </w:rPr>
      </w:pPr>
      <w:r>
        <w:rPr>
          <w:rFonts w:cs="Arial"/>
        </w:rPr>
        <w:t>These examples demonstrate</w:t>
      </w:r>
      <w:r w:rsidRPr="005E392D" w:rsidR="00181204">
        <w:rPr>
          <w:rFonts w:cs="Arial"/>
        </w:rPr>
        <w:t xml:space="preserve"> that during a </w:t>
      </w:r>
      <w:r w:rsidR="00DD077B">
        <w:rPr>
          <w:rFonts w:cs="Arial"/>
        </w:rPr>
        <w:t>public health emergency</w:t>
      </w:r>
      <w:r w:rsidRPr="005E392D" w:rsidR="00181204">
        <w:rPr>
          <w:rFonts w:cs="Arial"/>
        </w:rPr>
        <w:t xml:space="preserve">, immediate action by CDC </w:t>
      </w:r>
      <w:r w:rsidR="00DD077B">
        <w:rPr>
          <w:rFonts w:cs="Arial"/>
        </w:rPr>
        <w:t>can</w:t>
      </w:r>
      <w:r w:rsidRPr="005E392D" w:rsidR="00181204">
        <w:rPr>
          <w:rFonts w:cs="Arial"/>
        </w:rPr>
        <w:t xml:space="preserve"> minimize or prevent public harm</w:t>
      </w:r>
      <w:r w:rsidRPr="005E392D" w:rsidR="00E93B61">
        <w:rPr>
          <w:rFonts w:cs="Arial"/>
        </w:rPr>
        <w:t>.</w:t>
      </w:r>
      <w:r w:rsidRPr="005E392D" w:rsidR="00181204">
        <w:rPr>
          <w:rFonts w:cs="Arial"/>
        </w:rPr>
        <w:t xml:space="preserve"> CDC seeks approval for this Generic ICR to ensure the agency is poised to mobilize quickly when urgent epidemiologic support is needed in </w:t>
      </w:r>
      <w:r w:rsidRPr="005E392D" w:rsidR="00181204">
        <w:rPr>
          <w:rFonts w:cs="Arial"/>
        </w:rPr>
        <w:t>an emergency situation</w:t>
      </w:r>
      <w:r w:rsidRPr="005E392D" w:rsidR="00181204">
        <w:rPr>
          <w:rFonts w:cs="Arial"/>
        </w:rPr>
        <w:t xml:space="preserve">. This </w:t>
      </w:r>
      <w:r w:rsidR="003802CD">
        <w:rPr>
          <w:rFonts w:cs="Arial"/>
        </w:rPr>
        <w:t xml:space="preserve">Generic </w:t>
      </w:r>
      <w:r w:rsidR="00BE51D5">
        <w:rPr>
          <w:rFonts w:cs="Arial"/>
        </w:rPr>
        <w:t>ICR will</w:t>
      </w:r>
      <w:r w:rsidRPr="005E392D" w:rsidR="00181204">
        <w:rPr>
          <w:rFonts w:cs="Arial"/>
        </w:rPr>
        <w:t xml:space="preserve"> allow CDC </w:t>
      </w:r>
      <w:r w:rsidR="00DD077B">
        <w:rPr>
          <w:rFonts w:cs="Arial"/>
        </w:rPr>
        <w:t>and</w:t>
      </w:r>
      <w:r w:rsidRPr="005E392D" w:rsidR="00181204">
        <w:rPr>
          <w:rFonts w:cs="Arial"/>
        </w:rPr>
        <w:t xml:space="preserve"> poison centers to collect </w:t>
      </w:r>
      <w:r w:rsidRPr="005E392D" w:rsidR="00E93B61">
        <w:rPr>
          <w:rFonts w:cs="Arial"/>
        </w:rPr>
        <w:t xml:space="preserve">and share </w:t>
      </w:r>
      <w:r w:rsidRPr="005E392D" w:rsidR="00181204">
        <w:rPr>
          <w:rFonts w:cs="Arial"/>
        </w:rPr>
        <w:t xml:space="preserve">critical data </w:t>
      </w:r>
      <w:r w:rsidRPr="005E392D" w:rsidR="00E93B61">
        <w:rPr>
          <w:rFonts w:cs="Arial"/>
        </w:rPr>
        <w:t xml:space="preserve">needed to allow public health officials to rapidly </w:t>
      </w:r>
      <w:r w:rsidR="00DD077B">
        <w:rPr>
          <w:rFonts w:cs="Arial"/>
        </w:rPr>
        <w:t>respond</w:t>
      </w:r>
      <w:r w:rsidRPr="005E392D" w:rsidR="00181204">
        <w:rPr>
          <w:rFonts w:cs="Arial"/>
        </w:rPr>
        <w:t xml:space="preserve"> during emergenc</w:t>
      </w:r>
      <w:r w:rsidR="003802CD">
        <w:rPr>
          <w:rFonts w:cs="Arial"/>
        </w:rPr>
        <w:t>ies</w:t>
      </w:r>
      <w:r w:rsidRPr="005E392D" w:rsidR="00181204">
        <w:rPr>
          <w:rFonts w:cs="Arial"/>
        </w:rPr>
        <w:t>.</w:t>
      </w:r>
      <w:r w:rsidRPr="005E392D" w:rsidR="0005255B">
        <w:rPr>
          <w:rFonts w:cs="Arial"/>
        </w:rPr>
        <w:t xml:space="preserve"> </w:t>
      </w:r>
    </w:p>
    <w:p w:rsidR="007A4CAD" w:rsidP="00EA6320" w14:paraId="3628FF73" w14:textId="77777777">
      <w:pPr>
        <w:pStyle w:val="Heading1"/>
        <w:jc w:val="left"/>
        <w:rPr>
          <w:b w:val="0"/>
          <w:sz w:val="36"/>
        </w:rPr>
      </w:pPr>
      <w:bookmarkStart w:id="8" w:name="_Toc441505140"/>
      <w:bookmarkStart w:id="9" w:name="_Toc224733934"/>
      <w:r w:rsidRPr="00EA6320">
        <w:rPr>
          <w:b w:val="0"/>
          <w:sz w:val="36"/>
        </w:rPr>
        <w:t>A.2. Purpose and Use of Information Collection</w:t>
      </w:r>
      <w:bookmarkEnd w:id="8"/>
      <w:bookmarkEnd w:id="9"/>
    </w:p>
    <w:p w:rsidR="006976BE" w:rsidP="00FC51C4" w14:paraId="5DDC9FE3" w14:textId="77777777">
      <w:pPr>
        <w:rPr>
          <w:rFonts w:cs="Arial"/>
        </w:rPr>
      </w:pPr>
    </w:p>
    <w:p w:rsidR="008F343E" w:rsidRPr="00EA2983" w:rsidP="008E608F" w14:paraId="73EEC1BF" w14:textId="77777777">
      <w:r w:rsidRPr="00EA2983">
        <w:rPr>
          <w:rFonts w:cs="Arial"/>
        </w:rPr>
        <w:t xml:space="preserve">The </w:t>
      </w:r>
      <w:r w:rsidRPr="00EA2983" w:rsidR="000B519F">
        <w:rPr>
          <w:rFonts w:cs="Arial"/>
        </w:rPr>
        <w:t xml:space="preserve">purpose of this </w:t>
      </w:r>
      <w:r w:rsidRPr="00EA2983" w:rsidR="003802CD">
        <w:rPr>
          <w:rFonts w:cs="Arial"/>
        </w:rPr>
        <w:t xml:space="preserve">Generic </w:t>
      </w:r>
      <w:r w:rsidRPr="00EA2983" w:rsidR="00FB522B">
        <w:rPr>
          <w:rFonts w:cs="Arial"/>
        </w:rPr>
        <w:t>ICR is</w:t>
      </w:r>
      <w:r w:rsidRPr="00EA2983" w:rsidR="003802CD">
        <w:rPr>
          <w:rFonts w:cs="Arial"/>
        </w:rPr>
        <w:t xml:space="preserve"> to create a timely mechanism to allow </w:t>
      </w:r>
      <w:r w:rsidRPr="00EA2983">
        <w:rPr>
          <w:rFonts w:cs="Arial"/>
        </w:rPr>
        <w:t>poison center</w:t>
      </w:r>
      <w:r w:rsidRPr="00EA2983" w:rsidR="008B43A5">
        <w:rPr>
          <w:rFonts w:cs="Arial"/>
        </w:rPr>
        <w:t>s</w:t>
      </w:r>
      <w:r w:rsidR="0004513C">
        <w:rPr>
          <w:rFonts w:cs="Arial"/>
        </w:rPr>
        <w:t>,</w:t>
      </w:r>
      <w:r w:rsidRPr="00EA2983">
        <w:rPr>
          <w:rFonts w:cs="Arial"/>
        </w:rPr>
        <w:t xml:space="preserve"> </w:t>
      </w:r>
      <w:r w:rsidR="0004513C">
        <w:rPr>
          <w:rFonts w:cs="Arial"/>
        </w:rPr>
        <w:t>supported</w:t>
      </w:r>
      <w:r w:rsidRPr="00EA2983" w:rsidR="00B32723">
        <w:rPr>
          <w:rFonts w:cs="Arial"/>
        </w:rPr>
        <w:t xml:space="preserve"> by CDC</w:t>
      </w:r>
      <w:r w:rsidR="0004513C">
        <w:rPr>
          <w:rFonts w:cs="Arial"/>
        </w:rPr>
        <w:t>,</w:t>
      </w:r>
      <w:r w:rsidRPr="00EA2983" w:rsidR="00B32723">
        <w:rPr>
          <w:rFonts w:cs="Arial"/>
        </w:rPr>
        <w:t xml:space="preserve"> </w:t>
      </w:r>
      <w:r w:rsidRPr="00EA2983" w:rsidR="003802CD">
        <w:rPr>
          <w:rFonts w:cs="Arial"/>
        </w:rPr>
        <w:t xml:space="preserve">to </w:t>
      </w:r>
      <w:r w:rsidRPr="00EA2983" w:rsidR="008B43A5">
        <w:rPr>
          <w:rFonts w:cs="Arial"/>
        </w:rPr>
        <w:t xml:space="preserve">follow-up with </w:t>
      </w:r>
      <w:r w:rsidRPr="00EA2983">
        <w:rPr>
          <w:rFonts w:cs="Arial"/>
        </w:rPr>
        <w:t xml:space="preserve">callers during </w:t>
      </w:r>
      <w:r w:rsidRPr="00EA2983" w:rsidR="008B43A5">
        <w:rPr>
          <w:rFonts w:cs="Arial"/>
        </w:rPr>
        <w:t>select public health emergencies</w:t>
      </w:r>
      <w:r w:rsidRPr="00EA2983" w:rsidR="00BC55AF">
        <w:rPr>
          <w:rFonts w:cs="Arial"/>
        </w:rPr>
        <w:t xml:space="preserve"> </w:t>
      </w:r>
      <w:r w:rsidRPr="00EA2983" w:rsidR="008B43A5">
        <w:rPr>
          <w:rFonts w:cs="Arial"/>
        </w:rPr>
        <w:t>on exposure and health.</w:t>
      </w:r>
      <w:r w:rsidR="00383C73">
        <w:rPr>
          <w:rFonts w:cs="Arial"/>
        </w:rPr>
        <w:t xml:space="preserve"> </w:t>
      </w:r>
      <w:r w:rsidRPr="00EA2983">
        <w:t xml:space="preserve">For a public health emergency to be selected for </w:t>
      </w:r>
      <w:r w:rsidR="009A4370">
        <w:t>call-back</w:t>
      </w:r>
      <w:r w:rsidRPr="00EA2983">
        <w:t xml:space="preserve"> data collection</w:t>
      </w:r>
      <w:r w:rsidR="00E0042C">
        <w:t xml:space="preserve">, the </w:t>
      </w:r>
      <w:r w:rsidR="00597700">
        <w:t>incident</w:t>
      </w:r>
      <w:r w:rsidR="00662620">
        <w:t xml:space="preserve"> </w:t>
      </w:r>
      <w:r w:rsidRPr="00EA2983">
        <w:t>must meet the criteria below:</w:t>
      </w:r>
    </w:p>
    <w:p w:rsidR="009D246F" w:rsidP="00F754AF" w14:paraId="298BA703" w14:textId="77777777">
      <w:pPr>
        <w:numPr>
          <w:ilvl w:val="0"/>
          <w:numId w:val="36"/>
        </w:numPr>
        <w:ind w:left="720"/>
      </w:pPr>
      <w:r>
        <w:t xml:space="preserve">The </w:t>
      </w:r>
      <w:r w:rsidR="000866A6">
        <w:t>incident</w:t>
      </w:r>
      <w:r>
        <w:t xml:space="preserve"> is a</w:t>
      </w:r>
      <w:r w:rsidR="00732A23">
        <w:t xml:space="preserve">n acute </w:t>
      </w:r>
      <w:r>
        <w:t xml:space="preserve">public health emergency </w:t>
      </w:r>
      <w:r w:rsidR="00732A23">
        <w:t xml:space="preserve">that is believed to be </w:t>
      </w:r>
      <w:r>
        <w:t>causing adverse health effects.</w:t>
      </w:r>
    </w:p>
    <w:p w:rsidR="00B66D0C" w:rsidRPr="00EA2983" w:rsidP="00F754AF" w14:paraId="6D92E3D8" w14:textId="77777777">
      <w:pPr>
        <w:numPr>
          <w:ilvl w:val="0"/>
          <w:numId w:val="36"/>
        </w:numPr>
        <w:ind w:left="720"/>
      </w:pPr>
      <w:r w:rsidRPr="00EA2983">
        <w:t xml:space="preserve">Timely data are </w:t>
      </w:r>
      <w:r w:rsidR="00181215">
        <w:t xml:space="preserve">urgently </w:t>
      </w:r>
      <w:r w:rsidRPr="00EA2983">
        <w:t>needed to inform rapid public health action to prevent or reduce injury, disease, or death.</w:t>
      </w:r>
    </w:p>
    <w:p w:rsidR="00B66D0C" w:rsidRPr="00EA2983" w:rsidP="00F754AF" w14:paraId="373BD9CB" w14:textId="051AC024">
      <w:pPr>
        <w:numPr>
          <w:ilvl w:val="0"/>
          <w:numId w:val="36"/>
        </w:numPr>
        <w:ind w:left="720"/>
      </w:pPr>
      <w:r w:rsidRPr="00EA2983">
        <w:t xml:space="preserve">The </w:t>
      </w:r>
      <w:r w:rsidR="000866A6">
        <w:t>incident</w:t>
      </w:r>
      <w:r w:rsidRPr="00EA2983">
        <w:t xml:space="preserve"> is characterized by (1) a natural or</w:t>
      </w:r>
      <w:r w:rsidR="0081480F">
        <w:t xml:space="preserve"> human-induced</w:t>
      </w:r>
      <w:r w:rsidRPr="00EA2983">
        <w:t xml:space="preserve"> - disaster</w:t>
      </w:r>
      <w:r w:rsidR="00F14212">
        <w:t>;</w:t>
      </w:r>
      <w:r w:rsidRPr="00EA2983" w:rsidR="003B742F">
        <w:t xml:space="preserve"> </w:t>
      </w:r>
      <w:r w:rsidRPr="00EA2983">
        <w:t>(2) contaminated food/water</w:t>
      </w:r>
      <w:r w:rsidR="00FC034E">
        <w:t>;</w:t>
      </w:r>
      <w:r w:rsidRPr="00EA2983">
        <w:t xml:space="preserve"> </w:t>
      </w:r>
      <w:r w:rsidR="003B742F">
        <w:t xml:space="preserve">(3) </w:t>
      </w:r>
      <w:r w:rsidRPr="00EA2983">
        <w:t>a new or existing consumer product</w:t>
      </w:r>
      <w:r w:rsidR="00FC034E">
        <w:t>;</w:t>
      </w:r>
      <w:r w:rsidRPr="00EA2983">
        <w:t xml:space="preserve"> or </w:t>
      </w:r>
      <w:r w:rsidR="003B742F">
        <w:t xml:space="preserve">(4) </w:t>
      </w:r>
      <w:r w:rsidRPr="00EA2983">
        <w:t>an emerging public health threat.</w:t>
      </w:r>
    </w:p>
    <w:p w:rsidR="00B66D0C" w:rsidRPr="00EA2983" w:rsidP="00F754AF" w14:paraId="0E1F1232" w14:textId="77777777">
      <w:pPr>
        <w:numPr>
          <w:ilvl w:val="0"/>
          <w:numId w:val="36"/>
        </w:numPr>
        <w:ind w:left="720"/>
      </w:pPr>
      <w:r w:rsidRPr="00EA2983">
        <w:t xml:space="preserve">The </w:t>
      </w:r>
      <w:r w:rsidR="000866A6">
        <w:t>incident</w:t>
      </w:r>
      <w:r w:rsidRPr="00EA2983">
        <w:t xml:space="preserve"> has resulted in calls to </w:t>
      </w:r>
      <w:r w:rsidR="003F3FC8">
        <w:t xml:space="preserve">a </w:t>
      </w:r>
      <w:r w:rsidRPr="00EA2983">
        <w:t>poison center</w:t>
      </w:r>
      <w:r w:rsidR="003F3FC8">
        <w:t>,</w:t>
      </w:r>
      <w:r w:rsidRPr="00EA2983">
        <w:t xml:space="preserve"> and </w:t>
      </w:r>
      <w:r w:rsidR="003F3FC8">
        <w:t>the</w:t>
      </w:r>
      <w:r w:rsidRPr="00EA2983">
        <w:t xml:space="preserve"> poison center agree</w:t>
      </w:r>
      <w:r w:rsidR="003F3FC8">
        <w:t>s</w:t>
      </w:r>
      <w:r w:rsidRPr="00EA2983">
        <w:t xml:space="preserve"> to </w:t>
      </w:r>
      <w:r w:rsidR="003F3FC8">
        <w:t>conduct</w:t>
      </w:r>
      <w:r w:rsidRPr="00EA2983">
        <w:t xml:space="preserve"> the </w:t>
      </w:r>
      <w:r w:rsidR="003F3FC8">
        <w:t xml:space="preserve">call-back </w:t>
      </w:r>
      <w:r w:rsidRPr="00EA2983">
        <w:t>data collection</w:t>
      </w:r>
      <w:r w:rsidR="003F3FC8">
        <w:t>.</w:t>
      </w:r>
    </w:p>
    <w:p w:rsidR="00B66D0C" w:rsidP="00F754AF" w14:paraId="5909CCA6" w14:textId="77777777">
      <w:pPr>
        <w:numPr>
          <w:ilvl w:val="0"/>
          <w:numId w:val="36"/>
        </w:numPr>
        <w:ind w:left="720"/>
      </w:pPr>
      <w:r w:rsidRPr="00EA2983">
        <w:t xml:space="preserve">The </w:t>
      </w:r>
      <w:r w:rsidR="000866A6">
        <w:t>in</w:t>
      </w:r>
      <w:r w:rsidR="00F33973">
        <w:t>c</w:t>
      </w:r>
      <w:r w:rsidR="000866A6">
        <w:t>ident</w:t>
      </w:r>
      <w:r w:rsidR="003F3FC8">
        <w:t xml:space="preserve"> is</w:t>
      </w:r>
      <w:r w:rsidRPr="00EA2983">
        <w:t xml:space="preserve"> domestic.</w:t>
      </w:r>
    </w:p>
    <w:p w:rsidR="00FC034E" w:rsidRPr="00EA2983" w:rsidP="00F754AF" w14:paraId="67FCD6E4" w14:textId="77777777">
      <w:pPr>
        <w:numPr>
          <w:ilvl w:val="0"/>
          <w:numId w:val="36"/>
        </w:numPr>
        <w:ind w:left="720"/>
      </w:pPr>
      <w:r>
        <w:t>Data collection will be completed in 60 days or less.</w:t>
      </w:r>
    </w:p>
    <w:p w:rsidR="00503006" w:rsidP="00E74B2C" w14:paraId="69CCD9D1" w14:textId="77777777">
      <w:pPr>
        <w:autoSpaceDE w:val="0"/>
        <w:autoSpaceDN w:val="0"/>
        <w:adjustRightInd w:val="0"/>
      </w:pPr>
      <w:r>
        <w:t>Additional criteria for the investigations</w:t>
      </w:r>
      <w:r w:rsidR="00A23C66">
        <w:t>, also called generic information collections (GenICs) under the Generic ICR</w:t>
      </w:r>
      <w:r w:rsidR="00620548">
        <w:t>,</w:t>
      </w:r>
      <w:r>
        <w:t xml:space="preserve"> include:</w:t>
      </w:r>
    </w:p>
    <w:p w:rsidR="00503006" w:rsidRPr="00E74B2C" w:rsidP="00E74B2C" w14:paraId="72CD23D4" w14:textId="77777777">
      <w:pPr>
        <w:pStyle w:val="ListParagraph"/>
        <w:numPr>
          <w:ilvl w:val="0"/>
          <w:numId w:val="44"/>
        </w:numPr>
        <w:spacing w:after="200" w:line="276" w:lineRule="auto"/>
        <w:contextualSpacing w:val="0"/>
        <w:rPr>
          <w:rFonts w:eastAsia="Arial Unicode MS"/>
          <w:u w:color="000000"/>
        </w:rPr>
      </w:pPr>
      <w:r>
        <w:rPr>
          <w:color w:val="000000"/>
        </w:rPr>
        <w:t>No request for technical assistance by state, local, or regional public health is required to</w:t>
      </w:r>
      <w:r w:rsidR="00A23C66">
        <w:rPr>
          <w:color w:val="000000"/>
        </w:rPr>
        <w:t xml:space="preserve"> initiate </w:t>
      </w:r>
      <w:r w:rsidR="00A23C66">
        <w:rPr>
          <w:color w:val="000000"/>
        </w:rPr>
        <w:t>a GenIC</w:t>
      </w:r>
      <w:r>
        <w:rPr>
          <w:color w:val="000000"/>
        </w:rPr>
        <w:t>.</w:t>
      </w:r>
    </w:p>
    <w:p w:rsidR="00503006" w:rsidRPr="00B30FCC" w:rsidP="00E74B2C" w14:paraId="42E4745A" w14:textId="77777777">
      <w:pPr>
        <w:pStyle w:val="ListParagraph"/>
        <w:numPr>
          <w:ilvl w:val="0"/>
          <w:numId w:val="44"/>
        </w:numPr>
        <w:spacing w:after="200" w:line="276" w:lineRule="auto"/>
        <w:contextualSpacing w:val="0"/>
        <w:rPr>
          <w:rFonts w:eastAsia="Arial Unicode MS"/>
          <w:u w:color="000000"/>
        </w:rPr>
      </w:pPr>
      <w:r w:rsidRPr="00B30FCC">
        <w:rPr>
          <w:rFonts w:eastAsia="Arial Unicode MS"/>
          <w:u w:color="000000"/>
        </w:rPr>
        <w:t xml:space="preserve">The investigations will be non-research </w:t>
      </w:r>
      <w:r w:rsidRPr="00B30FCC" w:rsidR="00A23C66">
        <w:rPr>
          <w:rFonts w:eastAsia="Arial Unicode MS"/>
          <w:u w:color="000000"/>
        </w:rPr>
        <w:t>GenIC</w:t>
      </w:r>
      <w:r w:rsidRPr="00B30FCC">
        <w:rPr>
          <w:rFonts w:eastAsia="Arial Unicode MS"/>
          <w:u w:color="000000"/>
        </w:rPr>
        <w:t>s designed to identify, characterize, and to assist with an immediate public health emergency and the knowledge gained will directly benefit the affected community.</w:t>
      </w:r>
    </w:p>
    <w:p w:rsidR="00B44B35" w:rsidRPr="00CF321A" w:rsidP="005C457E" w14:paraId="51506FBE" w14:textId="77777777">
      <w:pPr>
        <w:pStyle w:val="ListParagraph"/>
        <w:numPr>
          <w:ilvl w:val="0"/>
          <w:numId w:val="44"/>
        </w:numPr>
        <w:spacing w:after="200" w:line="276" w:lineRule="auto"/>
        <w:contextualSpacing w:val="0"/>
        <w:rPr>
          <w:rFonts w:eastAsiaTheme="minorEastAsia"/>
          <w:szCs w:val="22"/>
        </w:rPr>
      </w:pPr>
      <w:r w:rsidRPr="00CF321A">
        <w:rPr>
          <w:color w:val="000000"/>
          <w:szCs w:val="22"/>
          <w:shd w:val="clear" w:color="auto" w:fill="FFFFFF"/>
        </w:rPr>
        <w:t xml:space="preserve">Investigations conducted for the primary purpose of program evaluation, surveillance, needs assessment, or research (e.g., to contribute to </w:t>
      </w:r>
      <w:r w:rsidRPr="00CF321A">
        <w:rPr>
          <w:color w:val="000000"/>
          <w:szCs w:val="22"/>
          <w:shd w:val="clear" w:color="auto" w:fill="FFFFFF"/>
        </w:rPr>
        <w:t>generalizable</w:t>
      </w:r>
      <w:r w:rsidRPr="00CF321A">
        <w:rPr>
          <w:color w:val="000000"/>
          <w:szCs w:val="22"/>
          <w:shd w:val="clear" w:color="auto" w:fill="FFFFFF"/>
        </w:rPr>
        <w:t xml:space="preserve"> knowledge) are excluded from this generic pathway</w:t>
      </w:r>
      <w:r w:rsidRPr="00CF321A" w:rsidR="000F6896">
        <w:rPr>
          <w:color w:val="000000"/>
          <w:szCs w:val="22"/>
          <w:shd w:val="clear" w:color="auto" w:fill="FFFFFF"/>
        </w:rPr>
        <w:t>.</w:t>
      </w:r>
    </w:p>
    <w:p w:rsidR="00EF476F" w:rsidRPr="00CF321A" w:rsidP="00EF476F" w14:paraId="15DBBE11" w14:textId="77777777">
      <w:pPr>
        <w:pStyle w:val="ListParagraph"/>
        <w:numPr>
          <w:ilvl w:val="0"/>
          <w:numId w:val="44"/>
        </w:numPr>
        <w:rPr>
          <w:rFonts w:eastAsiaTheme="minorEastAsia"/>
          <w:szCs w:val="22"/>
        </w:rPr>
      </w:pPr>
      <w:r w:rsidRPr="00CF321A">
        <w:rPr>
          <w:szCs w:val="22"/>
        </w:rPr>
        <w:t xml:space="preserve">Investigations related to non-urgent outbreaks or </w:t>
      </w:r>
      <w:r w:rsidR="00597700">
        <w:rPr>
          <w:szCs w:val="22"/>
        </w:rPr>
        <w:t>incidents</w:t>
      </w:r>
      <w:r w:rsidRPr="00CF321A">
        <w:rPr>
          <w:szCs w:val="22"/>
        </w:rPr>
        <w:t xml:space="preserve"> are excluded from this pathway.</w:t>
      </w:r>
    </w:p>
    <w:p w:rsidR="00EF476F" w:rsidRPr="00B44B35" w:rsidP="00EF476F" w14:paraId="2A175730" w14:textId="77777777">
      <w:pPr>
        <w:rPr>
          <w:rFonts w:ascii="Times New Roman" w:hAnsi="Times New Roman"/>
          <w:sz w:val="24"/>
        </w:rPr>
      </w:pPr>
    </w:p>
    <w:p w:rsidR="007242C4" w:rsidRPr="00732A23" w:rsidP="00732A23" w14:paraId="5C788B13" w14:textId="196B18B4">
      <w:pPr>
        <w:autoSpaceDE w:val="0"/>
        <w:autoSpaceDN w:val="0"/>
        <w:adjustRightInd w:val="0"/>
        <w:spacing w:after="0"/>
        <w:rPr>
          <w:rFonts w:cs="Times New Roman"/>
          <w:u w:color="000000"/>
        </w:rPr>
      </w:pPr>
      <w:r w:rsidRPr="00732A23">
        <w:rPr>
          <w:rFonts w:cs="Times New Roman"/>
          <w:u w:color="000000"/>
        </w:rPr>
        <w:t>Respondents selected for poison center investigations will comprise those who initially call a poison center</w:t>
      </w:r>
      <w:r w:rsidRPr="00F754AF">
        <w:t xml:space="preserve"> </w:t>
      </w:r>
      <w:r w:rsidRPr="00732A23">
        <w:rPr>
          <w:rFonts w:cs="Courier New"/>
        </w:rPr>
        <w:t xml:space="preserve">about triage and treatment of potential poison exposures </w:t>
      </w:r>
      <w:r w:rsidRPr="00F754AF">
        <w:t xml:space="preserve">related to the </w:t>
      </w:r>
      <w:r w:rsidRPr="00732A23">
        <w:rPr>
          <w:rFonts w:cs="Courier New"/>
        </w:rPr>
        <w:t>select public health emergency</w:t>
      </w:r>
      <w:r w:rsidRPr="00732A23">
        <w:rPr>
          <w:rFonts w:cs="Times New Roman"/>
          <w:u w:color="000000"/>
        </w:rPr>
        <w:t xml:space="preserve">. </w:t>
      </w:r>
      <w:r w:rsidRPr="00732A23" w:rsidR="00B417BA">
        <w:rPr>
          <w:rFonts w:cs="Times New Roman"/>
          <w:u w:color="000000"/>
        </w:rPr>
        <w:t>CDC</w:t>
      </w:r>
      <w:r w:rsidR="001B673E">
        <w:rPr>
          <w:rFonts w:cs="Times New Roman"/>
          <w:u w:color="000000"/>
        </w:rPr>
        <w:t xml:space="preserve"> or the poison center</w:t>
      </w:r>
      <w:r w:rsidRPr="00732A23" w:rsidR="00B417BA">
        <w:rPr>
          <w:rFonts w:cs="Times New Roman"/>
          <w:u w:color="000000"/>
        </w:rPr>
        <w:t xml:space="preserve"> will identify and recruit the respondents based on information already collected in NPDS. </w:t>
      </w:r>
      <w:r w:rsidR="00B417BA">
        <w:t xml:space="preserve">In their daily operations, poison centers track a caller’s contact information for the purposes of medical follow-up; this information will be used to contact the caller for the </w:t>
      </w:r>
      <w:r w:rsidR="00C03594">
        <w:t>follow-up</w:t>
      </w:r>
      <w:r w:rsidR="00B417BA">
        <w:t xml:space="preserve"> data collection. </w:t>
      </w:r>
      <w:r w:rsidRPr="00732A23" w:rsidR="00DB7EBC">
        <w:rPr>
          <w:rFonts w:cs="Times New Roman"/>
          <w:u w:color="000000"/>
        </w:rPr>
        <w:t xml:space="preserve">These respondents </w:t>
      </w:r>
      <w:r w:rsidRPr="00732A23">
        <w:rPr>
          <w:rFonts w:cs="Times New Roman"/>
          <w:u w:color="000000"/>
        </w:rPr>
        <w:t>to the poison center</w:t>
      </w:r>
      <w:r w:rsidRPr="00732A23" w:rsidR="00BC42C3">
        <w:rPr>
          <w:rFonts w:cs="Times New Roman"/>
          <w:u w:color="000000"/>
        </w:rPr>
        <w:t xml:space="preserve"> investigations</w:t>
      </w:r>
      <w:r w:rsidRPr="00732A23">
        <w:rPr>
          <w:rFonts w:cs="Times New Roman"/>
          <w:u w:color="000000"/>
        </w:rPr>
        <w:t xml:space="preserve"> include</w:t>
      </w:r>
      <w:r w:rsidR="00CF321A">
        <w:rPr>
          <w:rFonts w:cs="Times New Roman"/>
          <w:u w:color="000000"/>
        </w:rPr>
        <w:t xml:space="preserve"> the following</w:t>
      </w:r>
      <w:r w:rsidRPr="00732A23">
        <w:rPr>
          <w:rFonts w:cs="Times New Roman"/>
          <w:u w:color="000000"/>
        </w:rPr>
        <w:t xml:space="preserve">: </w:t>
      </w:r>
    </w:p>
    <w:p w:rsidR="006950F8" w:rsidP="00F754AF" w14:paraId="177C526A" w14:textId="77777777">
      <w:pPr>
        <w:autoSpaceDE w:val="0"/>
        <w:autoSpaceDN w:val="0"/>
        <w:adjustRightInd w:val="0"/>
        <w:spacing w:after="0"/>
        <w:rPr>
          <w:rFonts w:cs="Times New Roman"/>
          <w:u w:color="000000"/>
        </w:rPr>
      </w:pPr>
    </w:p>
    <w:p w:rsidR="006950F8" w:rsidRPr="0038582D" w:rsidP="00F754AF" w14:paraId="17725F50" w14:textId="77777777">
      <w:pPr>
        <w:pStyle w:val="ListParagraph"/>
        <w:numPr>
          <w:ilvl w:val="0"/>
          <w:numId w:val="43"/>
        </w:numPr>
        <w:autoSpaceDE w:val="0"/>
        <w:autoSpaceDN w:val="0"/>
        <w:adjustRightInd w:val="0"/>
        <w:spacing w:line="276" w:lineRule="auto"/>
        <w:rPr>
          <w:u w:color="000000"/>
        </w:rPr>
      </w:pPr>
      <w:r w:rsidRPr="006950F8">
        <w:rPr>
          <w:u w:color="000000"/>
        </w:rPr>
        <w:t>Adult</w:t>
      </w:r>
      <w:r w:rsidR="00EE113F">
        <w:rPr>
          <w:u w:color="000000"/>
        </w:rPr>
        <w:t>s</w:t>
      </w:r>
      <w:r w:rsidRPr="006950F8">
        <w:rPr>
          <w:u w:color="000000"/>
        </w:rPr>
        <w:t xml:space="preserve"> (18 y</w:t>
      </w:r>
      <w:r w:rsidR="00E2211E">
        <w:rPr>
          <w:u w:color="000000"/>
        </w:rPr>
        <w:t>ears</w:t>
      </w:r>
      <w:r w:rsidRPr="006950F8">
        <w:rPr>
          <w:u w:color="000000"/>
        </w:rPr>
        <w:t xml:space="preserve"> and older) </w:t>
      </w:r>
    </w:p>
    <w:p w:rsidR="006950F8" w:rsidRPr="004B5F9D" w:rsidP="00F754AF" w14:paraId="19BF3963" w14:textId="77777777">
      <w:pPr>
        <w:pStyle w:val="ListParagraph"/>
        <w:numPr>
          <w:ilvl w:val="0"/>
          <w:numId w:val="43"/>
        </w:numPr>
        <w:autoSpaceDE w:val="0"/>
        <w:autoSpaceDN w:val="0"/>
        <w:adjustRightInd w:val="0"/>
        <w:spacing w:line="276" w:lineRule="auto"/>
        <w:rPr>
          <w:u w:color="000000"/>
        </w:rPr>
      </w:pPr>
      <w:r w:rsidRPr="00907D97">
        <w:rPr>
          <w:u w:color="000000"/>
        </w:rPr>
        <w:t>Adolescents (15</w:t>
      </w:r>
      <w:r w:rsidR="00A8192A">
        <w:rPr>
          <w:u w:color="000000"/>
        </w:rPr>
        <w:t xml:space="preserve"> up to </w:t>
      </w:r>
      <w:r w:rsidR="00240EA7">
        <w:rPr>
          <w:u w:color="000000"/>
        </w:rPr>
        <w:t>18</w:t>
      </w:r>
      <w:r w:rsidRPr="00907D97">
        <w:rPr>
          <w:u w:color="000000"/>
        </w:rPr>
        <w:t xml:space="preserve"> y</w:t>
      </w:r>
      <w:r w:rsidR="00E2211E">
        <w:rPr>
          <w:u w:color="000000"/>
        </w:rPr>
        <w:t>ears</w:t>
      </w:r>
      <w:r w:rsidRPr="00907D97">
        <w:rPr>
          <w:u w:color="000000"/>
        </w:rPr>
        <w:t>)</w:t>
      </w:r>
    </w:p>
    <w:p w:rsidR="006950F8" w:rsidP="00F754AF" w14:paraId="58093CB7" w14:textId="77777777">
      <w:pPr>
        <w:pStyle w:val="ListParagraph"/>
        <w:numPr>
          <w:ilvl w:val="0"/>
          <w:numId w:val="43"/>
        </w:numPr>
        <w:autoSpaceDE w:val="0"/>
        <w:autoSpaceDN w:val="0"/>
        <w:adjustRightInd w:val="0"/>
        <w:spacing w:line="276" w:lineRule="auto"/>
        <w:rPr>
          <w:u w:color="000000"/>
        </w:rPr>
      </w:pPr>
      <w:r w:rsidRPr="00AD60FE">
        <w:rPr>
          <w:u w:color="000000"/>
        </w:rPr>
        <w:t>Parents or guardians of children (</w:t>
      </w:r>
      <w:r w:rsidR="00A8192A">
        <w:rPr>
          <w:u w:color="000000"/>
        </w:rPr>
        <w:t xml:space="preserve">less than </w:t>
      </w:r>
      <w:r w:rsidRPr="00AD60FE">
        <w:rPr>
          <w:u w:color="000000"/>
        </w:rPr>
        <w:t>15 y</w:t>
      </w:r>
      <w:r w:rsidR="00E2211E">
        <w:rPr>
          <w:u w:color="000000"/>
        </w:rPr>
        <w:t>ears</w:t>
      </w:r>
      <w:r w:rsidRPr="00AD60FE">
        <w:rPr>
          <w:u w:color="000000"/>
        </w:rPr>
        <w:t>)</w:t>
      </w:r>
    </w:p>
    <w:p w:rsidR="001F4802" w:rsidRPr="00AD60FE" w:rsidP="00F754AF" w14:paraId="756B29B2" w14:textId="77777777">
      <w:pPr>
        <w:pStyle w:val="ListParagraph"/>
        <w:autoSpaceDE w:val="0"/>
        <w:autoSpaceDN w:val="0"/>
        <w:adjustRightInd w:val="0"/>
        <w:spacing w:line="276" w:lineRule="auto"/>
        <w:rPr>
          <w:u w:color="000000"/>
        </w:rPr>
      </w:pPr>
    </w:p>
    <w:p w:rsidR="00994D1E" w:rsidP="00F754AF" w14:paraId="2B2B7D1D" w14:textId="77777777">
      <w:pPr>
        <w:autoSpaceDE w:val="0"/>
        <w:autoSpaceDN w:val="0"/>
        <w:adjustRightInd w:val="0"/>
        <w:spacing w:after="0"/>
      </w:pPr>
      <w:r w:rsidRPr="00F754AF">
        <w:t xml:space="preserve">Table </w:t>
      </w:r>
      <w:r w:rsidR="00AF18E5">
        <w:t>A</w:t>
      </w:r>
      <w:r w:rsidRPr="00F754AF">
        <w:t>2-1</w:t>
      </w:r>
      <w:r w:rsidRPr="00187D43">
        <w:t xml:space="preserve"> describes</w:t>
      </w:r>
      <w:r>
        <w:t xml:space="preserve"> the role of the CDC and the poison center staff during </w:t>
      </w:r>
      <w:r>
        <w:t>the data</w:t>
      </w:r>
      <w:r>
        <w:t xml:space="preserve"> collection.</w:t>
      </w:r>
    </w:p>
    <w:p w:rsidR="00994D1E" w:rsidRPr="00994D1E" w:rsidP="00AD60FE" w14:paraId="3E6B874B" w14:textId="77777777">
      <w:pPr>
        <w:tabs>
          <w:tab w:val="left" w:pos="720"/>
          <w:tab w:val="left" w:pos="1440"/>
        </w:tabs>
        <w:spacing w:line="259" w:lineRule="auto"/>
        <w:rPr>
          <w:rFonts w:eastAsia="Arial Unicode MS"/>
          <w:u w:color="000000"/>
        </w:rPr>
      </w:pPr>
    </w:p>
    <w:p w:rsidR="00165B1C" w:rsidRPr="00056E47" w:rsidP="00165B1C" w14:paraId="3E322635" w14:textId="77777777">
      <w:pPr>
        <w:pStyle w:val="Caption"/>
        <w:keepNext/>
        <w:rPr>
          <w:color w:val="auto"/>
          <w:sz w:val="22"/>
          <w:szCs w:val="22"/>
        </w:rPr>
      </w:pPr>
      <w:r w:rsidRPr="00056E47">
        <w:rPr>
          <w:color w:val="auto"/>
          <w:sz w:val="22"/>
          <w:szCs w:val="22"/>
        </w:rPr>
        <w:t xml:space="preserve">Table </w:t>
      </w:r>
      <w:r w:rsidRPr="00056E47" w:rsidR="00AF18E5">
        <w:rPr>
          <w:color w:val="auto"/>
          <w:sz w:val="22"/>
          <w:szCs w:val="22"/>
        </w:rPr>
        <w:t>A</w:t>
      </w:r>
      <w:r w:rsidRPr="00056E47">
        <w:rPr>
          <w:color w:val="auto"/>
          <w:sz w:val="22"/>
          <w:szCs w:val="22"/>
        </w:rPr>
        <w:t>2-1. Delineation of roles</w:t>
      </w:r>
    </w:p>
    <w:tbl>
      <w:tblPr>
        <w:tblStyle w:val="TableGrid"/>
        <w:tblW w:w="0" w:type="auto"/>
        <w:tblLayout w:type="fixed"/>
        <w:tblLook w:val="04A0"/>
      </w:tblPr>
      <w:tblGrid>
        <w:gridCol w:w="1705"/>
        <w:gridCol w:w="7645"/>
      </w:tblGrid>
      <w:tr w14:paraId="0D50512F" w14:textId="77777777" w:rsidTr="000A6677">
        <w:tblPrEx>
          <w:tblW w:w="0" w:type="auto"/>
          <w:tblLayout w:type="fixed"/>
          <w:tblLook w:val="04A0"/>
        </w:tblPrEx>
        <w:tc>
          <w:tcPr>
            <w:tcW w:w="1705" w:type="dxa"/>
          </w:tcPr>
          <w:p w:rsidR="00165B1C" w:rsidRPr="00056E47" w:rsidP="008E608F" w14:paraId="24F0908E" w14:textId="77777777">
            <w:pPr>
              <w:rPr>
                <w:b/>
                <w:sz w:val="22"/>
                <w:szCs w:val="22"/>
              </w:rPr>
            </w:pPr>
            <w:r w:rsidRPr="00056E47">
              <w:rPr>
                <w:b/>
                <w:sz w:val="22"/>
                <w:szCs w:val="22"/>
              </w:rPr>
              <w:t>Organization</w:t>
            </w:r>
          </w:p>
        </w:tc>
        <w:tc>
          <w:tcPr>
            <w:tcW w:w="7645" w:type="dxa"/>
          </w:tcPr>
          <w:p w:rsidR="00165B1C" w:rsidRPr="00056E47" w:rsidP="008E608F" w14:paraId="3BE64E22" w14:textId="77777777">
            <w:pPr>
              <w:rPr>
                <w:b/>
                <w:sz w:val="22"/>
                <w:szCs w:val="22"/>
              </w:rPr>
            </w:pPr>
            <w:r w:rsidRPr="00056E47">
              <w:rPr>
                <w:b/>
                <w:sz w:val="22"/>
                <w:szCs w:val="22"/>
              </w:rPr>
              <w:t>Role in the data collection</w:t>
            </w:r>
          </w:p>
        </w:tc>
      </w:tr>
      <w:tr w14:paraId="501185A6" w14:textId="77777777" w:rsidTr="000A6677">
        <w:tblPrEx>
          <w:tblW w:w="0" w:type="auto"/>
          <w:tblLayout w:type="fixed"/>
          <w:tblLook w:val="04A0"/>
        </w:tblPrEx>
        <w:tc>
          <w:tcPr>
            <w:tcW w:w="1705" w:type="dxa"/>
            <w:vAlign w:val="center"/>
          </w:tcPr>
          <w:p w:rsidR="00165B1C" w:rsidRPr="00056E47" w:rsidP="00F754AF" w14:paraId="5D4741F4" w14:textId="77777777">
            <w:pPr>
              <w:spacing w:line="276" w:lineRule="auto"/>
              <w:rPr>
                <w:sz w:val="22"/>
                <w:szCs w:val="22"/>
              </w:rPr>
            </w:pPr>
            <w:r w:rsidRPr="00056E47">
              <w:rPr>
                <w:sz w:val="22"/>
                <w:szCs w:val="22"/>
              </w:rPr>
              <w:t xml:space="preserve">CDC </w:t>
            </w:r>
          </w:p>
        </w:tc>
        <w:tc>
          <w:tcPr>
            <w:tcW w:w="7645" w:type="dxa"/>
          </w:tcPr>
          <w:p w:rsidR="00165B1C" w:rsidRPr="00056E47" w:rsidP="00F754AF" w14:paraId="11BA0B3B" w14:textId="77777777">
            <w:pPr>
              <w:pStyle w:val="ListParagraph"/>
              <w:numPr>
                <w:ilvl w:val="0"/>
                <w:numId w:val="25"/>
              </w:numPr>
              <w:spacing w:line="276" w:lineRule="auto"/>
              <w:rPr>
                <w:sz w:val="22"/>
                <w:szCs w:val="22"/>
              </w:rPr>
            </w:pPr>
            <w:r w:rsidRPr="00056E47">
              <w:rPr>
                <w:sz w:val="22"/>
                <w:szCs w:val="22"/>
              </w:rPr>
              <w:t>Determin</w:t>
            </w:r>
            <w:r w:rsidRPr="00056E47" w:rsidR="001B6DCF">
              <w:rPr>
                <w:sz w:val="22"/>
                <w:szCs w:val="22"/>
              </w:rPr>
              <w:t>es</w:t>
            </w:r>
            <w:r w:rsidRPr="00056E47">
              <w:rPr>
                <w:sz w:val="22"/>
                <w:szCs w:val="22"/>
              </w:rPr>
              <w:t xml:space="preserve"> whether an </w:t>
            </w:r>
            <w:r w:rsidR="00597700">
              <w:rPr>
                <w:sz w:val="22"/>
                <w:szCs w:val="22"/>
              </w:rPr>
              <w:t>incident</w:t>
            </w:r>
            <w:r w:rsidRPr="00056E47" w:rsidR="006F1141">
              <w:rPr>
                <w:sz w:val="22"/>
                <w:szCs w:val="22"/>
              </w:rPr>
              <w:t xml:space="preserve"> is a public health emergency</w:t>
            </w:r>
            <w:r w:rsidRPr="00056E47">
              <w:rPr>
                <w:sz w:val="22"/>
                <w:szCs w:val="22"/>
              </w:rPr>
              <w:t xml:space="preserve"> </w:t>
            </w:r>
            <w:r w:rsidRPr="00056E47" w:rsidR="007C4A6F">
              <w:rPr>
                <w:sz w:val="22"/>
                <w:szCs w:val="22"/>
              </w:rPr>
              <w:t xml:space="preserve">that meets the scope </w:t>
            </w:r>
            <w:r w:rsidRPr="00056E47" w:rsidR="006F1F3E">
              <w:rPr>
                <w:sz w:val="22"/>
                <w:szCs w:val="22"/>
              </w:rPr>
              <w:t>of the ICR</w:t>
            </w:r>
          </w:p>
          <w:p w:rsidR="00F80D71" w:rsidRPr="00056E47" w:rsidP="00F754AF" w14:paraId="294D84E4" w14:textId="77777777">
            <w:pPr>
              <w:pStyle w:val="ListParagraph"/>
              <w:numPr>
                <w:ilvl w:val="0"/>
                <w:numId w:val="25"/>
              </w:numPr>
              <w:spacing w:line="276" w:lineRule="auto"/>
              <w:rPr>
                <w:sz w:val="22"/>
                <w:szCs w:val="22"/>
              </w:rPr>
            </w:pPr>
            <w:r w:rsidRPr="00056E47">
              <w:rPr>
                <w:sz w:val="22"/>
                <w:szCs w:val="22"/>
              </w:rPr>
              <w:t>Obtains Research Determination</w:t>
            </w:r>
          </w:p>
          <w:p w:rsidR="00D65CDA" w:rsidRPr="00056E47" w:rsidP="00F754AF" w14:paraId="1DEFE9FC" w14:textId="77777777">
            <w:pPr>
              <w:pStyle w:val="ListParagraph"/>
              <w:numPr>
                <w:ilvl w:val="0"/>
                <w:numId w:val="25"/>
              </w:numPr>
              <w:spacing w:line="276" w:lineRule="auto"/>
              <w:rPr>
                <w:sz w:val="22"/>
                <w:szCs w:val="22"/>
              </w:rPr>
            </w:pPr>
            <w:r w:rsidRPr="00056E47">
              <w:rPr>
                <w:sz w:val="22"/>
                <w:szCs w:val="22"/>
              </w:rPr>
              <w:t>Obtain</w:t>
            </w:r>
            <w:r w:rsidRPr="00056E47" w:rsidR="001B6DCF">
              <w:rPr>
                <w:sz w:val="22"/>
                <w:szCs w:val="22"/>
              </w:rPr>
              <w:t>s</w:t>
            </w:r>
            <w:r w:rsidRPr="00056E47">
              <w:rPr>
                <w:sz w:val="22"/>
                <w:szCs w:val="22"/>
              </w:rPr>
              <w:t xml:space="preserve"> </w:t>
            </w:r>
            <w:r w:rsidRPr="00056E47" w:rsidR="0060524F">
              <w:rPr>
                <w:sz w:val="22"/>
                <w:szCs w:val="22"/>
              </w:rPr>
              <w:t>PRA Clearance</w:t>
            </w:r>
          </w:p>
          <w:p w:rsidR="00165B1C" w:rsidRPr="00056E47" w:rsidP="00F754AF" w14:paraId="17F02325" w14:textId="77777777">
            <w:pPr>
              <w:pStyle w:val="ListParagraph"/>
              <w:numPr>
                <w:ilvl w:val="0"/>
                <w:numId w:val="25"/>
              </w:numPr>
              <w:spacing w:line="276" w:lineRule="auto"/>
              <w:rPr>
                <w:sz w:val="22"/>
                <w:szCs w:val="22"/>
              </w:rPr>
            </w:pPr>
            <w:r>
              <w:rPr>
                <w:sz w:val="22"/>
                <w:szCs w:val="22"/>
              </w:rPr>
              <w:t>Develop</w:t>
            </w:r>
            <w:r w:rsidRPr="00056E47" w:rsidR="00920124">
              <w:rPr>
                <w:sz w:val="22"/>
                <w:szCs w:val="22"/>
              </w:rPr>
              <w:t>s</w:t>
            </w:r>
            <w:r w:rsidRPr="00056E47" w:rsidR="00920124">
              <w:rPr>
                <w:sz w:val="22"/>
                <w:szCs w:val="22"/>
              </w:rPr>
              <w:t xml:space="preserve"> </w:t>
            </w:r>
            <w:r w:rsidRPr="00056E47" w:rsidR="003A3DEB">
              <w:rPr>
                <w:sz w:val="22"/>
                <w:szCs w:val="22"/>
              </w:rPr>
              <w:t xml:space="preserve">questions </w:t>
            </w:r>
            <w:r w:rsidRPr="00056E47" w:rsidR="006F1141">
              <w:rPr>
                <w:sz w:val="22"/>
                <w:szCs w:val="22"/>
              </w:rPr>
              <w:t>as appropriate</w:t>
            </w:r>
            <w:r w:rsidR="00EB2975">
              <w:rPr>
                <w:sz w:val="22"/>
                <w:szCs w:val="22"/>
              </w:rPr>
              <w:t>, in collaboration</w:t>
            </w:r>
          </w:p>
          <w:p w:rsidR="009F51B8" w:rsidRPr="00056E47" w:rsidP="00F754AF" w14:paraId="7280F790" w14:textId="77777777">
            <w:pPr>
              <w:pStyle w:val="ListParagraph"/>
              <w:numPr>
                <w:ilvl w:val="0"/>
                <w:numId w:val="25"/>
              </w:numPr>
              <w:spacing w:line="276" w:lineRule="auto"/>
              <w:rPr>
                <w:sz w:val="22"/>
                <w:szCs w:val="22"/>
              </w:rPr>
            </w:pPr>
            <w:r w:rsidRPr="00056E47">
              <w:rPr>
                <w:sz w:val="22"/>
                <w:szCs w:val="22"/>
              </w:rPr>
              <w:t>Selects respondents</w:t>
            </w:r>
            <w:r w:rsidRPr="00056E47" w:rsidR="00A41193">
              <w:rPr>
                <w:sz w:val="22"/>
                <w:szCs w:val="22"/>
              </w:rPr>
              <w:t xml:space="preserve"> based</w:t>
            </w:r>
            <w:r w:rsidRPr="00056E47" w:rsidR="005C6E57">
              <w:rPr>
                <w:sz w:val="22"/>
                <w:szCs w:val="22"/>
              </w:rPr>
              <w:t xml:space="preserve"> on </w:t>
            </w:r>
            <w:r w:rsidRPr="00056E47" w:rsidR="00714A05">
              <w:rPr>
                <w:sz w:val="22"/>
                <w:szCs w:val="22"/>
              </w:rPr>
              <w:t xml:space="preserve">incident-specific </w:t>
            </w:r>
            <w:r w:rsidRPr="00056E47" w:rsidR="005C6E57">
              <w:rPr>
                <w:sz w:val="22"/>
                <w:szCs w:val="22"/>
              </w:rPr>
              <w:t>exposure</w:t>
            </w:r>
            <w:r w:rsidRPr="00056E47" w:rsidR="00714A05">
              <w:rPr>
                <w:sz w:val="22"/>
                <w:szCs w:val="22"/>
              </w:rPr>
              <w:t xml:space="preserve"> </w:t>
            </w:r>
            <w:r w:rsidRPr="00056E47" w:rsidR="005C6E57">
              <w:rPr>
                <w:sz w:val="22"/>
                <w:szCs w:val="22"/>
              </w:rPr>
              <w:t>data collected in NPDS</w:t>
            </w:r>
            <w:r w:rsidRPr="00056E47" w:rsidR="00A41193">
              <w:rPr>
                <w:sz w:val="22"/>
                <w:szCs w:val="22"/>
              </w:rPr>
              <w:t>. If NPDS ID No.</w:t>
            </w:r>
            <w:r w:rsidRPr="00056E47" w:rsidR="0048662C">
              <w:rPr>
                <w:sz w:val="22"/>
                <w:szCs w:val="22"/>
              </w:rPr>
              <w:t xml:space="preserve"> (unique identifier generated by NPDS when data are uploaded)</w:t>
            </w:r>
            <w:r w:rsidRPr="00056E47" w:rsidR="00A41193">
              <w:rPr>
                <w:sz w:val="22"/>
                <w:szCs w:val="22"/>
              </w:rPr>
              <w:t xml:space="preserve"> is available, then CDC uses </w:t>
            </w:r>
            <w:r w:rsidRPr="00056E47" w:rsidR="003F492F">
              <w:rPr>
                <w:sz w:val="22"/>
                <w:szCs w:val="22"/>
              </w:rPr>
              <w:t>this as</w:t>
            </w:r>
            <w:r w:rsidRPr="00056E47" w:rsidR="00A41193">
              <w:rPr>
                <w:sz w:val="22"/>
                <w:szCs w:val="22"/>
              </w:rPr>
              <w:t xml:space="preserve"> a linking variable</w:t>
            </w:r>
            <w:r w:rsidRPr="00056E47" w:rsidR="00A2391B">
              <w:rPr>
                <w:sz w:val="22"/>
                <w:szCs w:val="22"/>
              </w:rPr>
              <w:t xml:space="preserve"> for poison center follow-up.</w:t>
            </w:r>
          </w:p>
          <w:p w:rsidR="00165B1C" w:rsidRPr="00056E47" w:rsidP="00F754AF" w14:paraId="58A64732" w14:textId="77777777">
            <w:pPr>
              <w:pStyle w:val="ListParagraph"/>
              <w:numPr>
                <w:ilvl w:val="0"/>
                <w:numId w:val="25"/>
              </w:numPr>
              <w:spacing w:line="276" w:lineRule="auto"/>
              <w:rPr>
                <w:sz w:val="22"/>
                <w:szCs w:val="22"/>
              </w:rPr>
            </w:pPr>
            <w:r w:rsidRPr="00056E47">
              <w:rPr>
                <w:sz w:val="22"/>
                <w:szCs w:val="22"/>
              </w:rPr>
              <w:t xml:space="preserve">Communicates with </w:t>
            </w:r>
            <w:r w:rsidRPr="00056E47" w:rsidR="00525B48">
              <w:rPr>
                <w:sz w:val="22"/>
                <w:szCs w:val="22"/>
              </w:rPr>
              <w:t>poison centers</w:t>
            </w:r>
            <w:r w:rsidRPr="00056E47">
              <w:rPr>
                <w:sz w:val="22"/>
                <w:szCs w:val="22"/>
              </w:rPr>
              <w:t xml:space="preserve"> during the data collection process</w:t>
            </w:r>
          </w:p>
          <w:p w:rsidR="00165B1C" w:rsidRPr="00056E47" w:rsidP="00F754AF" w14:paraId="7E063AFA" w14:textId="77777777">
            <w:pPr>
              <w:pStyle w:val="ListParagraph"/>
              <w:numPr>
                <w:ilvl w:val="0"/>
                <w:numId w:val="25"/>
              </w:numPr>
              <w:spacing w:line="276" w:lineRule="auto"/>
              <w:rPr>
                <w:sz w:val="22"/>
                <w:szCs w:val="22"/>
              </w:rPr>
            </w:pPr>
            <w:r w:rsidRPr="00056E47">
              <w:rPr>
                <w:sz w:val="22"/>
                <w:szCs w:val="22"/>
              </w:rPr>
              <w:t>Analyzes</w:t>
            </w:r>
            <w:r w:rsidRPr="00056E47" w:rsidR="00525B48">
              <w:rPr>
                <w:sz w:val="22"/>
                <w:szCs w:val="22"/>
              </w:rPr>
              <w:t xml:space="preserve"> de-identified data </w:t>
            </w:r>
          </w:p>
        </w:tc>
      </w:tr>
      <w:tr w14:paraId="232308B2" w14:textId="77777777" w:rsidTr="000A6677">
        <w:tblPrEx>
          <w:tblW w:w="0" w:type="auto"/>
          <w:tblLayout w:type="fixed"/>
          <w:tblLook w:val="04A0"/>
        </w:tblPrEx>
        <w:tc>
          <w:tcPr>
            <w:tcW w:w="1705" w:type="dxa"/>
            <w:vAlign w:val="center"/>
          </w:tcPr>
          <w:p w:rsidR="00165B1C" w:rsidRPr="00056E47" w:rsidP="00F754AF" w14:paraId="4B4122D2" w14:textId="77777777">
            <w:pPr>
              <w:spacing w:line="276" w:lineRule="auto"/>
              <w:rPr>
                <w:sz w:val="22"/>
                <w:szCs w:val="22"/>
              </w:rPr>
            </w:pPr>
            <w:r w:rsidRPr="00056E47">
              <w:rPr>
                <w:sz w:val="22"/>
                <w:szCs w:val="22"/>
              </w:rPr>
              <w:t xml:space="preserve">Poison </w:t>
            </w:r>
            <w:r w:rsidRPr="00056E47" w:rsidR="00CB4ACE">
              <w:rPr>
                <w:sz w:val="22"/>
                <w:szCs w:val="22"/>
              </w:rPr>
              <w:t>C</w:t>
            </w:r>
            <w:r w:rsidRPr="00056E47">
              <w:rPr>
                <w:sz w:val="22"/>
                <w:szCs w:val="22"/>
              </w:rPr>
              <w:t xml:space="preserve">enter </w:t>
            </w:r>
          </w:p>
        </w:tc>
        <w:tc>
          <w:tcPr>
            <w:tcW w:w="7645" w:type="dxa"/>
          </w:tcPr>
          <w:p w:rsidR="00165B1C" w:rsidRPr="00056E47" w:rsidP="00F754AF" w14:paraId="1CE1B340" w14:textId="77777777">
            <w:pPr>
              <w:pStyle w:val="ListParagraph"/>
              <w:numPr>
                <w:ilvl w:val="0"/>
                <w:numId w:val="26"/>
              </w:numPr>
              <w:spacing w:line="276" w:lineRule="auto"/>
              <w:rPr>
                <w:sz w:val="22"/>
                <w:szCs w:val="22"/>
              </w:rPr>
            </w:pPr>
            <w:r w:rsidRPr="00056E47">
              <w:rPr>
                <w:sz w:val="22"/>
                <w:szCs w:val="22"/>
              </w:rPr>
              <w:t>Obtain</w:t>
            </w:r>
            <w:r w:rsidRPr="00056E47" w:rsidR="001B6DCF">
              <w:rPr>
                <w:sz w:val="22"/>
                <w:szCs w:val="22"/>
              </w:rPr>
              <w:t>s</w:t>
            </w:r>
            <w:r w:rsidRPr="00056E47">
              <w:rPr>
                <w:sz w:val="22"/>
                <w:szCs w:val="22"/>
              </w:rPr>
              <w:t xml:space="preserve"> consent</w:t>
            </w:r>
            <w:r w:rsidRPr="00056E47" w:rsidR="00B57CDE">
              <w:rPr>
                <w:sz w:val="22"/>
                <w:szCs w:val="22"/>
              </w:rPr>
              <w:t xml:space="preserve"> or assent</w:t>
            </w:r>
            <w:r w:rsidRPr="00056E47" w:rsidR="00F53A58">
              <w:rPr>
                <w:sz w:val="22"/>
                <w:szCs w:val="22"/>
              </w:rPr>
              <w:t xml:space="preserve"> from participants</w:t>
            </w:r>
            <w:r w:rsidRPr="00056E47" w:rsidR="00EC5E7F">
              <w:rPr>
                <w:sz w:val="22"/>
                <w:szCs w:val="22"/>
              </w:rPr>
              <w:t xml:space="preserve"> over the phone</w:t>
            </w:r>
          </w:p>
          <w:p w:rsidR="00165B1C" w:rsidRPr="00056E47" w:rsidP="00F754AF" w14:paraId="19A65360" w14:textId="77777777">
            <w:pPr>
              <w:pStyle w:val="ListParagraph"/>
              <w:numPr>
                <w:ilvl w:val="0"/>
                <w:numId w:val="26"/>
              </w:numPr>
              <w:spacing w:line="276" w:lineRule="auto"/>
              <w:rPr>
                <w:sz w:val="22"/>
                <w:szCs w:val="22"/>
              </w:rPr>
            </w:pPr>
            <w:r w:rsidRPr="00056E47">
              <w:rPr>
                <w:sz w:val="22"/>
                <w:szCs w:val="22"/>
              </w:rPr>
              <w:t>Administ</w:t>
            </w:r>
            <w:r w:rsidRPr="00056E47" w:rsidR="001B6DCF">
              <w:rPr>
                <w:sz w:val="22"/>
                <w:szCs w:val="22"/>
              </w:rPr>
              <w:t>ers</w:t>
            </w:r>
            <w:r w:rsidRPr="00056E47">
              <w:rPr>
                <w:sz w:val="22"/>
                <w:szCs w:val="22"/>
              </w:rPr>
              <w:t xml:space="preserve"> </w:t>
            </w:r>
            <w:r w:rsidRPr="00056E47" w:rsidR="00460BB6">
              <w:rPr>
                <w:sz w:val="22"/>
                <w:szCs w:val="22"/>
              </w:rPr>
              <w:t xml:space="preserve">questionnaire </w:t>
            </w:r>
            <w:r w:rsidRPr="00056E47" w:rsidR="00525B48">
              <w:rPr>
                <w:sz w:val="22"/>
                <w:szCs w:val="22"/>
              </w:rPr>
              <w:t>over the phone</w:t>
            </w:r>
            <w:r w:rsidR="00A215BC">
              <w:rPr>
                <w:sz w:val="22"/>
                <w:szCs w:val="22"/>
              </w:rPr>
              <w:t xml:space="preserve"> or Internet</w:t>
            </w:r>
          </w:p>
          <w:p w:rsidR="00525B48" w:rsidRPr="00056E47" w:rsidP="00F754AF" w14:paraId="1CD95B66" w14:textId="77777777">
            <w:pPr>
              <w:pStyle w:val="ListParagraph"/>
              <w:numPr>
                <w:ilvl w:val="0"/>
                <w:numId w:val="26"/>
              </w:numPr>
              <w:spacing w:line="276" w:lineRule="auto"/>
              <w:rPr>
                <w:sz w:val="22"/>
                <w:szCs w:val="22"/>
              </w:rPr>
            </w:pPr>
            <w:r w:rsidRPr="00056E47">
              <w:rPr>
                <w:sz w:val="22"/>
                <w:szCs w:val="22"/>
              </w:rPr>
              <w:t>Enter</w:t>
            </w:r>
            <w:r w:rsidRPr="00056E47" w:rsidR="001B6DCF">
              <w:rPr>
                <w:sz w:val="22"/>
                <w:szCs w:val="22"/>
              </w:rPr>
              <w:t>s</w:t>
            </w:r>
            <w:r w:rsidRPr="00056E47">
              <w:rPr>
                <w:sz w:val="22"/>
                <w:szCs w:val="22"/>
              </w:rPr>
              <w:t xml:space="preserve"> data into</w:t>
            </w:r>
            <w:r w:rsidRPr="00056E47" w:rsidR="00920124">
              <w:rPr>
                <w:sz w:val="22"/>
                <w:szCs w:val="22"/>
              </w:rPr>
              <w:t xml:space="preserve"> secure</w:t>
            </w:r>
            <w:r w:rsidRPr="00056E47">
              <w:rPr>
                <w:sz w:val="22"/>
                <w:szCs w:val="22"/>
              </w:rPr>
              <w:t xml:space="preserve"> database</w:t>
            </w:r>
          </w:p>
          <w:p w:rsidR="00165B1C" w:rsidRPr="00056E47" w:rsidP="00F754AF" w14:paraId="59942382" w14:textId="77777777">
            <w:pPr>
              <w:pStyle w:val="ListParagraph"/>
              <w:numPr>
                <w:ilvl w:val="0"/>
                <w:numId w:val="26"/>
              </w:numPr>
              <w:spacing w:line="276" w:lineRule="auto"/>
              <w:rPr>
                <w:sz w:val="22"/>
                <w:szCs w:val="22"/>
              </w:rPr>
            </w:pPr>
            <w:r w:rsidRPr="00056E47">
              <w:rPr>
                <w:sz w:val="22"/>
                <w:szCs w:val="22"/>
              </w:rPr>
              <w:t>Provide</w:t>
            </w:r>
            <w:r w:rsidRPr="00056E47" w:rsidR="001B6DCF">
              <w:rPr>
                <w:sz w:val="22"/>
                <w:szCs w:val="22"/>
              </w:rPr>
              <w:t>s</w:t>
            </w:r>
            <w:r w:rsidRPr="00056E47">
              <w:rPr>
                <w:sz w:val="22"/>
                <w:szCs w:val="22"/>
              </w:rPr>
              <w:t xml:space="preserve"> </w:t>
            </w:r>
            <w:r w:rsidRPr="00056E47" w:rsidR="00525B48">
              <w:rPr>
                <w:sz w:val="22"/>
                <w:szCs w:val="22"/>
              </w:rPr>
              <w:t xml:space="preserve">de-identified </w:t>
            </w:r>
            <w:r w:rsidRPr="00056E47">
              <w:rPr>
                <w:sz w:val="22"/>
                <w:szCs w:val="22"/>
              </w:rPr>
              <w:t>data to CDC</w:t>
            </w:r>
          </w:p>
        </w:tc>
      </w:tr>
    </w:tbl>
    <w:p w:rsidR="004544E6" w:rsidP="004544E6" w14:paraId="12115FAC" w14:textId="77777777">
      <w:pPr>
        <w:spacing w:after="0"/>
      </w:pPr>
      <w:r>
        <w:t xml:space="preserve"> </w:t>
      </w:r>
      <w:r w:rsidRPr="008E608F" w:rsidR="008E608F">
        <w:t xml:space="preserve"> </w:t>
      </w:r>
    </w:p>
    <w:p w:rsidR="00F906AF" w:rsidP="00F43B11" w14:paraId="3F8FF624" w14:textId="77777777">
      <w:r>
        <w:t>These</w:t>
      </w:r>
      <w:r w:rsidRPr="00EA2983" w:rsidR="009D3E82">
        <w:t xml:space="preserve"> data collect</w:t>
      </w:r>
      <w:r>
        <w:t>ions</w:t>
      </w:r>
      <w:r w:rsidRPr="00EA2983" w:rsidR="009D3E82">
        <w:t xml:space="preserve"> </w:t>
      </w:r>
      <w:r w:rsidR="009D3E82">
        <w:t xml:space="preserve">will </w:t>
      </w:r>
      <w:r w:rsidR="005A1A8F">
        <w:t>obtain</w:t>
      </w:r>
      <w:r w:rsidRPr="00EA2983" w:rsidR="009D3E82">
        <w:t xml:space="preserve"> information on sources of exposure, scenario of exposure, health seeking behaviors following exposure, and awareness of health communication messaging. </w:t>
      </w:r>
      <w:r w:rsidRPr="00EA2983" w:rsidR="009D3E82">
        <w:t>These</w:t>
      </w:r>
      <w:r w:rsidRPr="00EA2983" w:rsidR="009D3E82">
        <w:t xml:space="preserve"> additional data can help CDC identify interventions to improve health messaging meant to reduce exposure; improve disaster and emergency response and </w:t>
      </w:r>
      <w:r w:rsidRPr="00EA2983" w:rsidR="009D3E82">
        <w:t>preventing</w:t>
      </w:r>
      <w:r w:rsidRPr="00EA2983" w:rsidR="009D3E82">
        <w:t xml:space="preserve"> future </w:t>
      </w:r>
      <w:r w:rsidR="00597700">
        <w:t>incidents</w:t>
      </w:r>
      <w:r w:rsidRPr="00EA2983" w:rsidR="009D3E82">
        <w:t xml:space="preserve">. </w:t>
      </w:r>
      <w:r w:rsidR="006F1141">
        <w:rPr>
          <w:rFonts w:cs="Arial"/>
        </w:rPr>
        <w:t xml:space="preserve">CDC will use this information </w:t>
      </w:r>
      <w:r w:rsidR="00DB4861">
        <w:rPr>
          <w:rFonts w:cs="Arial"/>
        </w:rPr>
        <w:t>to</w:t>
      </w:r>
      <w:r w:rsidR="00F43B11">
        <w:rPr>
          <w:rFonts w:cs="Arial"/>
        </w:rPr>
        <w:t xml:space="preserve"> improve </w:t>
      </w:r>
      <w:r w:rsidR="0053442F">
        <w:rPr>
          <w:rFonts w:cs="Arial"/>
        </w:rPr>
        <w:t xml:space="preserve">the public health response, including </w:t>
      </w:r>
      <w:r w:rsidR="00F43B11">
        <w:rPr>
          <w:rFonts w:cs="Arial"/>
        </w:rPr>
        <w:t>public health messaging</w:t>
      </w:r>
      <w:r w:rsidR="00FB107C">
        <w:rPr>
          <w:rFonts w:cs="Arial"/>
        </w:rPr>
        <w:t xml:space="preserve"> for the specific area or incident of interest</w:t>
      </w:r>
      <w:r w:rsidRPr="002003E2" w:rsidR="00F43B11">
        <w:t>.</w:t>
      </w:r>
    </w:p>
    <w:p w:rsidR="0081131F" w:rsidP="00E74B2C" w14:paraId="10E2A6D0" w14:textId="77777777">
      <w:r>
        <w:t>The negative consequence of not having the information is</w:t>
      </w:r>
      <w:r w:rsidR="00F53A58">
        <w:t xml:space="preserve"> </w:t>
      </w:r>
      <w:r w:rsidR="00E46E99">
        <w:t xml:space="preserve">that </w:t>
      </w:r>
      <w:r w:rsidR="00F53A58">
        <w:t>CDC would not have access to valuable information critical for response and public health messaging</w:t>
      </w:r>
      <w:r w:rsidR="00B54CED">
        <w:t xml:space="preserve">. </w:t>
      </w:r>
      <w:r>
        <w:t>Without this data there would be</w:t>
      </w:r>
      <w:r w:rsidR="00A215BC">
        <w:t xml:space="preserve"> the following</w:t>
      </w:r>
      <w:r>
        <w:t xml:space="preserve">:  </w:t>
      </w:r>
    </w:p>
    <w:p w:rsidR="0081131F" w:rsidP="0081131F" w14:paraId="622623F8" w14:textId="77777777">
      <w:pPr>
        <w:pStyle w:val="ListParagraph"/>
        <w:numPr>
          <w:ilvl w:val="0"/>
          <w:numId w:val="4"/>
        </w:numPr>
        <w:spacing w:line="276" w:lineRule="auto"/>
        <w:ind w:left="720"/>
      </w:pPr>
      <w:r>
        <w:t>Barriers to collecting information on sources of exposure, scenario of exposure, health seeking behaviors following exposure, and awareness of health communication messaging</w:t>
      </w:r>
    </w:p>
    <w:p w:rsidR="0081131F" w:rsidP="0081131F" w14:paraId="6C3ED9F3" w14:textId="77777777">
      <w:pPr>
        <w:pStyle w:val="ListParagraph"/>
        <w:numPr>
          <w:ilvl w:val="0"/>
          <w:numId w:val="4"/>
        </w:numPr>
        <w:spacing w:line="276" w:lineRule="auto"/>
        <w:ind w:left="720"/>
      </w:pPr>
      <w:r>
        <w:t>Less effective interventions to improve health messaging meant to reduce exposure</w:t>
      </w:r>
    </w:p>
    <w:p w:rsidR="0081131F" w:rsidP="0081131F" w14:paraId="423C3EF5" w14:textId="77777777">
      <w:pPr>
        <w:pStyle w:val="ListParagraph"/>
        <w:numPr>
          <w:ilvl w:val="0"/>
          <w:numId w:val="4"/>
        </w:numPr>
        <w:spacing w:line="276" w:lineRule="auto"/>
        <w:ind w:left="720"/>
      </w:pPr>
      <w:r>
        <w:t>Limitations to effective and timely assessment of public health needs during public health emergencies</w:t>
      </w:r>
    </w:p>
    <w:p w:rsidR="0081131F" w:rsidP="0081131F" w14:paraId="1C480443" w14:textId="77777777">
      <w:pPr>
        <w:pStyle w:val="ListParagraph"/>
        <w:numPr>
          <w:ilvl w:val="0"/>
          <w:numId w:val="4"/>
        </w:numPr>
        <w:spacing w:line="276" w:lineRule="auto"/>
        <w:ind w:left="720"/>
      </w:pPr>
      <w:r>
        <w:t>Limitations to linking potentially related exposures</w:t>
      </w:r>
    </w:p>
    <w:p w:rsidR="0081131F" w:rsidP="0081131F" w14:paraId="11D84E37" w14:textId="77777777">
      <w:pPr>
        <w:pStyle w:val="ListParagraph"/>
        <w:numPr>
          <w:ilvl w:val="0"/>
          <w:numId w:val="4"/>
        </w:numPr>
        <w:spacing w:line="276" w:lineRule="auto"/>
        <w:ind w:left="720"/>
      </w:pPr>
      <w:r>
        <w:t>Limitations on improving disaster and emergency response</w:t>
      </w:r>
    </w:p>
    <w:p w:rsidR="0081131F" w:rsidP="0081131F" w14:paraId="323D5F96" w14:textId="77777777">
      <w:pPr>
        <w:pStyle w:val="ListParagraph"/>
        <w:numPr>
          <w:ilvl w:val="0"/>
          <w:numId w:val="4"/>
        </w:numPr>
        <w:spacing w:line="276" w:lineRule="auto"/>
        <w:ind w:left="720"/>
      </w:pPr>
      <w:r>
        <w:t xml:space="preserve">Limitations on preventing future </w:t>
      </w:r>
      <w:r w:rsidR="00597700">
        <w:t>incidents</w:t>
      </w:r>
    </w:p>
    <w:p w:rsidR="0081131F" w:rsidP="00E74B2C" w14:paraId="7788BB88" w14:textId="77777777">
      <w:pPr>
        <w:spacing w:after="0"/>
      </w:pPr>
    </w:p>
    <w:p w:rsidR="00F53A58" w:rsidP="00F43B11" w14:paraId="538F3988" w14:textId="77777777">
      <w:r>
        <w:t xml:space="preserve">The information collected will enable CDC to </w:t>
      </w:r>
      <w:r w:rsidR="00A52273">
        <w:t xml:space="preserve">quickly provide information to </w:t>
      </w:r>
      <w:r w:rsidRPr="00EA2983" w:rsidR="00F956DD">
        <w:rPr>
          <w:rFonts w:cs="Arial"/>
        </w:rPr>
        <w:t>regional, state</w:t>
      </w:r>
      <w:r w:rsidR="00510CBC">
        <w:rPr>
          <w:rFonts w:cs="Arial"/>
        </w:rPr>
        <w:t>,</w:t>
      </w:r>
      <w:r w:rsidRPr="00EA2983" w:rsidR="00F956DD">
        <w:rPr>
          <w:rFonts w:cs="Arial"/>
        </w:rPr>
        <w:t xml:space="preserve"> and local</w:t>
      </w:r>
      <w:r w:rsidRPr="00EA2983" w:rsidR="00F956DD">
        <w:t xml:space="preserve"> health departments </w:t>
      </w:r>
      <w:r w:rsidRPr="00EA2983" w:rsidR="00A52273">
        <w:t>responding</w:t>
      </w:r>
      <w:r w:rsidR="00A52273">
        <w:t xml:space="preserve"> to the emergency and to </w:t>
      </w:r>
      <w:r>
        <w:t xml:space="preserve">later </w:t>
      </w:r>
      <w:r w:rsidR="00A52273">
        <w:t>disseminate information</w:t>
      </w:r>
      <w:r>
        <w:t xml:space="preserve"> to the larger public health community through Morbidity and Mortality Weekly Report (MMWR) publications, Center reports, CDC web pages</w:t>
      </w:r>
      <w:r w:rsidR="00A52273">
        <w:t>, and posters/presentations.</w:t>
      </w:r>
      <w:r w:rsidR="00FB107C">
        <w:t xml:space="preserve"> </w:t>
      </w:r>
      <w:r w:rsidR="00EF476F">
        <w:t>As respondents participating in a collection for a given public health emergency will be limited to those individuals who call a participating poison control center, any publication of outcomes, presentations, or dissemination of findings gathered from this generic will clearly describe the non-generalizability of outcomes to broader populations.</w:t>
      </w:r>
    </w:p>
    <w:p w:rsidR="000329B2" w:rsidP="002F23E9" w14:paraId="389EEA40" w14:textId="77777777">
      <w:pPr>
        <w:rPr>
          <w:u w:color="000000"/>
        </w:rPr>
      </w:pPr>
      <w:r>
        <w:rPr>
          <w:rFonts w:eastAsia="Arial Unicode MS"/>
          <w:u w:color="000000"/>
        </w:rPr>
        <w:t xml:space="preserve">Only </w:t>
      </w:r>
      <w:r w:rsidR="00597700">
        <w:rPr>
          <w:rFonts w:eastAsia="Arial Unicode MS"/>
          <w:u w:color="000000"/>
        </w:rPr>
        <w:t>incidents</w:t>
      </w:r>
      <w:r>
        <w:rPr>
          <w:rFonts w:eastAsia="Arial Unicode MS"/>
          <w:u w:color="000000"/>
        </w:rPr>
        <w:t xml:space="preserve"> that meet the criteria as outlined in </w:t>
      </w:r>
      <w:r w:rsidR="00E63580">
        <w:rPr>
          <w:rFonts w:eastAsia="Arial Unicode MS"/>
          <w:u w:color="000000"/>
        </w:rPr>
        <w:t>A2</w:t>
      </w:r>
      <w:r w:rsidR="008B045D">
        <w:rPr>
          <w:rFonts w:eastAsia="Arial Unicode MS"/>
          <w:u w:color="000000"/>
        </w:rPr>
        <w:t xml:space="preserve"> </w:t>
      </w:r>
      <w:r>
        <w:rPr>
          <w:rFonts w:eastAsia="Arial Unicode MS"/>
          <w:u w:color="000000"/>
        </w:rPr>
        <w:t xml:space="preserve">will be eligible for information collection. </w:t>
      </w:r>
      <w:r w:rsidRPr="006767D1">
        <w:rPr>
          <w:rFonts w:eastAsia="Arial Unicode MS"/>
          <w:u w:color="000000"/>
        </w:rPr>
        <w:t xml:space="preserve">Because of the need to rapidly obtain information to appropriately respond to the urgent public health </w:t>
      </w:r>
      <w:r>
        <w:rPr>
          <w:rFonts w:eastAsia="Arial Unicode MS"/>
          <w:u w:color="000000"/>
        </w:rPr>
        <w:t>emergency</w:t>
      </w:r>
      <w:r w:rsidRPr="006767D1">
        <w:rPr>
          <w:rFonts w:eastAsia="Arial Unicode MS"/>
          <w:u w:color="000000"/>
        </w:rPr>
        <w:t xml:space="preserve">, data collection </w:t>
      </w:r>
      <w:r w:rsidRPr="00F754AF" w:rsidR="00D952B7">
        <w:rPr>
          <w:rFonts w:eastAsia="Arial Unicode MS"/>
          <w:u w:color="000000"/>
        </w:rPr>
        <w:t>must</w:t>
      </w:r>
      <w:r w:rsidRPr="006767D1">
        <w:rPr>
          <w:rFonts w:eastAsia="Arial Unicode MS"/>
          <w:u w:color="000000"/>
        </w:rPr>
        <w:t xml:space="preserve"> be completed within </w:t>
      </w:r>
      <w:r w:rsidRPr="00F754AF">
        <w:rPr>
          <w:rFonts w:eastAsia="Arial Unicode MS"/>
          <w:u w:color="000000"/>
        </w:rPr>
        <w:t>60</w:t>
      </w:r>
      <w:r w:rsidRPr="006767D1">
        <w:rPr>
          <w:rFonts w:eastAsia="Arial Unicode MS"/>
          <w:u w:color="000000"/>
        </w:rPr>
        <w:t xml:space="preserve"> days</w:t>
      </w:r>
      <w:r w:rsidRPr="00F754AF">
        <w:rPr>
          <w:u w:color="000000"/>
        </w:rPr>
        <w:t xml:space="preserve">. </w:t>
      </w:r>
    </w:p>
    <w:p w:rsidR="006033AC" w:rsidP="002F23E9" w14:paraId="438D7CE8" w14:textId="77777777">
      <w:pPr>
        <w:rPr>
          <w:u w:color="000000"/>
        </w:rPr>
      </w:pPr>
      <w:r>
        <w:rPr>
          <w:u w:color="000000"/>
        </w:rPr>
        <w:t>Recent CDC accomplishments using this Generic ICR include a 2019 G</w:t>
      </w:r>
      <w:r w:rsidR="00680897">
        <w:rPr>
          <w:u w:color="000000"/>
        </w:rPr>
        <w:t>enIC</w:t>
      </w:r>
      <w:r w:rsidR="00F15345">
        <w:rPr>
          <w:u w:color="000000"/>
        </w:rPr>
        <w:t>,</w:t>
      </w:r>
      <w:r w:rsidR="00680897">
        <w:rPr>
          <w:u w:color="000000"/>
        </w:rPr>
        <w:t xml:space="preserve"> </w:t>
      </w:r>
      <w:r w:rsidR="00F15345">
        <w:rPr>
          <w:u w:color="000000"/>
        </w:rPr>
        <w:t xml:space="preserve">titled </w:t>
      </w:r>
      <w:r w:rsidR="00C77844">
        <w:rPr>
          <w:u w:color="000000"/>
        </w:rPr>
        <w:t>“</w:t>
      </w:r>
      <w:r w:rsidRPr="00C77844" w:rsidR="00C77844">
        <w:rPr>
          <w:u w:color="000000"/>
        </w:rPr>
        <w:t>"Risk Factors for Harmful Algal Blooms</w:t>
      </w:r>
      <w:r w:rsidR="006D57FB">
        <w:rPr>
          <w:u w:color="000000"/>
        </w:rPr>
        <w:t xml:space="preserve"> (HABs)</w:t>
      </w:r>
      <w:r w:rsidR="007E2F6F">
        <w:rPr>
          <w:u w:color="000000"/>
        </w:rPr>
        <w:t>,</w:t>
      </w:r>
      <w:r w:rsidRPr="00C77844" w:rsidR="00C77844">
        <w:rPr>
          <w:u w:color="000000"/>
        </w:rPr>
        <w:t>"</w:t>
      </w:r>
      <w:r>
        <w:rPr>
          <w:u w:color="000000"/>
        </w:rPr>
        <w:t xml:space="preserve"> used</w:t>
      </w:r>
      <w:r w:rsidR="00680897">
        <w:rPr>
          <w:u w:color="000000"/>
        </w:rPr>
        <w:t xml:space="preserve"> to identify sources of and risk factors for </w:t>
      </w:r>
      <w:r w:rsidR="00D03958">
        <w:rPr>
          <w:u w:color="000000"/>
        </w:rPr>
        <w:t>h</w:t>
      </w:r>
      <w:r w:rsidR="00680897">
        <w:rPr>
          <w:u w:color="000000"/>
        </w:rPr>
        <w:t xml:space="preserve">armful </w:t>
      </w:r>
      <w:r w:rsidR="00D03958">
        <w:rPr>
          <w:u w:color="000000"/>
        </w:rPr>
        <w:t>a</w:t>
      </w:r>
      <w:r w:rsidR="00680897">
        <w:rPr>
          <w:u w:color="000000"/>
        </w:rPr>
        <w:t xml:space="preserve">lgal </w:t>
      </w:r>
      <w:r w:rsidR="00D03958">
        <w:rPr>
          <w:u w:color="000000"/>
        </w:rPr>
        <w:t>b</w:t>
      </w:r>
      <w:r w:rsidR="00680897">
        <w:rPr>
          <w:u w:color="000000"/>
        </w:rPr>
        <w:t>loom exposures through poison control center follow-up q</w:t>
      </w:r>
      <w:r w:rsidRPr="00680897" w:rsidR="00680897">
        <w:rPr>
          <w:u w:color="000000"/>
        </w:rPr>
        <w:t>uestionnaires</w:t>
      </w:r>
      <w:r w:rsidR="00510CBC">
        <w:rPr>
          <w:u w:color="000000"/>
        </w:rPr>
        <w:t xml:space="preserve">. </w:t>
      </w:r>
      <w:r w:rsidR="006D57FB">
        <w:rPr>
          <w:u w:color="000000"/>
        </w:rPr>
        <w:t>I</w:t>
      </w:r>
      <w:r w:rsidR="00040793">
        <w:rPr>
          <w:u w:color="000000"/>
        </w:rPr>
        <w:t xml:space="preserve">nvestigators analyzed and </w:t>
      </w:r>
      <w:r w:rsidR="009E3FAF">
        <w:rPr>
          <w:u w:color="000000"/>
        </w:rPr>
        <w:t>submitted</w:t>
      </w:r>
      <w:r w:rsidR="00040793">
        <w:rPr>
          <w:u w:color="000000"/>
        </w:rPr>
        <w:t xml:space="preserve"> these data </w:t>
      </w:r>
      <w:r w:rsidR="009E3FAF">
        <w:rPr>
          <w:u w:color="000000"/>
        </w:rPr>
        <w:t>for publication</w:t>
      </w:r>
      <w:r w:rsidR="00040793">
        <w:rPr>
          <w:u w:color="000000"/>
        </w:rPr>
        <w:t xml:space="preserve"> </w:t>
      </w:r>
      <w:r w:rsidR="00C31E0E">
        <w:rPr>
          <w:u w:color="000000"/>
        </w:rPr>
        <w:t xml:space="preserve">in </w:t>
      </w:r>
      <w:r w:rsidR="00040793">
        <w:rPr>
          <w:u w:color="000000"/>
        </w:rPr>
        <w:t>202</w:t>
      </w:r>
      <w:r w:rsidR="00AB598A">
        <w:rPr>
          <w:u w:color="000000"/>
        </w:rPr>
        <w:t>1</w:t>
      </w:r>
      <w:r w:rsidR="006D57FB">
        <w:rPr>
          <w:u w:color="000000"/>
        </w:rPr>
        <w:t>. They found that details</w:t>
      </w:r>
      <w:r w:rsidRPr="006D57FB" w:rsidR="006D57FB">
        <w:rPr>
          <w:u w:color="000000"/>
        </w:rPr>
        <w:t xml:space="preserve"> about HAB exposures </w:t>
      </w:r>
      <w:r w:rsidR="006D57FB">
        <w:rPr>
          <w:u w:color="000000"/>
        </w:rPr>
        <w:t xml:space="preserve">through this data collection can be used to </w:t>
      </w:r>
      <w:r w:rsidRPr="006D57FB" w:rsidR="006D57FB">
        <w:rPr>
          <w:u w:color="000000"/>
        </w:rPr>
        <w:t>better aid in HAB incident response, communication, and outreach at the state and national level. Th</w:t>
      </w:r>
      <w:r w:rsidR="006D57FB">
        <w:rPr>
          <w:u w:color="000000"/>
        </w:rPr>
        <w:t xml:space="preserve">e investigation also </w:t>
      </w:r>
      <w:r w:rsidRPr="006D57FB" w:rsidR="006D57FB">
        <w:rPr>
          <w:u w:color="000000"/>
        </w:rPr>
        <w:t xml:space="preserve">identified important areas for future work and health communications both for the public and for </w:t>
      </w:r>
      <w:r w:rsidR="006D57FB">
        <w:rPr>
          <w:u w:color="000000"/>
        </w:rPr>
        <w:t>poison centers, particularly in</w:t>
      </w:r>
      <w:r w:rsidRPr="006D57FB" w:rsidR="006D57FB">
        <w:rPr>
          <w:u w:color="000000"/>
        </w:rPr>
        <w:t xml:space="preserve"> the lack of knowledge about HABs before exposure </w:t>
      </w:r>
      <w:r w:rsidR="00EA631F">
        <w:rPr>
          <w:u w:color="000000"/>
        </w:rPr>
        <w:t xml:space="preserve">which </w:t>
      </w:r>
      <w:r w:rsidRPr="006D57FB" w:rsidR="006D57FB">
        <w:rPr>
          <w:u w:color="000000"/>
        </w:rPr>
        <w:t>presents the opportunity to develop more public messaging about the potential health hazards from HABs.</w:t>
      </w:r>
      <w:r w:rsidRPr="0051762D" w:rsidR="0051762D">
        <w:rPr>
          <w:u w:color="000000"/>
          <w:vertAlign w:val="superscript"/>
        </w:rPr>
        <w:t>9</w:t>
      </w:r>
      <w:r w:rsidRPr="006D57FB" w:rsidR="006D57FB">
        <w:rPr>
          <w:u w:color="000000"/>
        </w:rPr>
        <w:t xml:space="preserve"> </w:t>
      </w:r>
    </w:p>
    <w:p w:rsidR="00680897" w:rsidRPr="001720B1" w:rsidP="002F23E9" w14:paraId="25FD9A16" w14:textId="03447F21">
      <w:pPr>
        <w:rPr>
          <w:u w:color="000000"/>
        </w:rPr>
      </w:pPr>
      <w:r>
        <w:rPr>
          <w:u w:color="000000"/>
        </w:rPr>
        <w:t xml:space="preserve">During the past three-year approval period, no </w:t>
      </w:r>
      <w:r>
        <w:rPr>
          <w:u w:color="000000"/>
        </w:rPr>
        <w:t>GenICs</w:t>
      </w:r>
      <w:r>
        <w:rPr>
          <w:u w:color="000000"/>
        </w:rPr>
        <w:t xml:space="preserve"> were conducte</w:t>
      </w:r>
      <w:r w:rsidR="003528F1">
        <w:rPr>
          <w:u w:color="000000"/>
        </w:rPr>
        <w:t>d.</w:t>
      </w:r>
      <w:r>
        <w:rPr>
          <w:u w:color="000000"/>
        </w:rPr>
        <w:t xml:space="preserve"> </w:t>
      </w:r>
      <w:r w:rsidR="00D21938">
        <w:rPr>
          <w:u w:color="000000"/>
        </w:rPr>
        <w:t>Previously</w:t>
      </w:r>
      <w:r w:rsidR="00417B0B">
        <w:rPr>
          <w:u w:color="000000"/>
        </w:rPr>
        <w:t xml:space="preserve">, two studies were implemented using the </w:t>
      </w:r>
      <w:r w:rsidR="00AF78C3">
        <w:rPr>
          <w:u w:color="000000"/>
        </w:rPr>
        <w:t xml:space="preserve">HHS </w:t>
      </w:r>
      <w:r w:rsidRPr="006A0461" w:rsidR="006A0461">
        <w:rPr>
          <w:u w:color="000000"/>
        </w:rPr>
        <w:t>Secretary's Public Health Emergency PRA Waiver</w:t>
      </w:r>
      <w:r>
        <w:rPr>
          <w:u w:color="000000"/>
        </w:rPr>
        <w:t xml:space="preserve"> for COVID-19</w:t>
      </w:r>
      <w:r w:rsidRPr="006A0461" w:rsidR="006A0461">
        <w:rPr>
          <w:u w:color="000000"/>
        </w:rPr>
        <w:t xml:space="preserve"> </w:t>
      </w:r>
      <w:r w:rsidR="001720B1">
        <w:rPr>
          <w:u w:color="000000"/>
        </w:rPr>
        <w:t>(</w:t>
      </w:r>
      <w:r w:rsidR="008F35D9">
        <w:rPr>
          <w:u w:color="000000"/>
        </w:rPr>
        <w:t>effective 17 January 2020</w:t>
      </w:r>
      <w:r w:rsidR="001720B1">
        <w:rPr>
          <w:u w:color="000000"/>
        </w:rPr>
        <w:t>)</w:t>
      </w:r>
      <w:r w:rsidR="008F35D9">
        <w:rPr>
          <w:u w:color="000000"/>
        </w:rPr>
        <w:t>.</w:t>
      </w:r>
      <w:r w:rsidR="0051762D">
        <w:rPr>
          <w:u w:color="000000"/>
          <w:vertAlign w:val="superscript"/>
        </w:rPr>
        <w:t>10</w:t>
      </w:r>
      <w:r w:rsidR="00893ED8">
        <w:rPr>
          <w:u w:color="000000"/>
          <w:vertAlign w:val="superscript"/>
        </w:rPr>
        <w:t xml:space="preserve"> </w:t>
      </w:r>
      <w:r w:rsidR="00893ED8">
        <w:rPr>
          <w:u w:color="000000"/>
        </w:rPr>
        <w:t xml:space="preserve">During </w:t>
      </w:r>
      <w:r w:rsidR="0053640C">
        <w:rPr>
          <w:u w:color="000000"/>
        </w:rPr>
        <w:t xml:space="preserve">a </w:t>
      </w:r>
      <w:r w:rsidR="00893ED8">
        <w:rPr>
          <w:u w:color="000000"/>
        </w:rPr>
        <w:t xml:space="preserve">non-pandemic situation, these </w:t>
      </w:r>
      <w:r w:rsidR="0053640C">
        <w:rPr>
          <w:u w:color="000000"/>
        </w:rPr>
        <w:t xml:space="preserve">two </w:t>
      </w:r>
      <w:r w:rsidR="00893ED8">
        <w:rPr>
          <w:u w:color="000000"/>
        </w:rPr>
        <w:t>studies would have used this Gen</w:t>
      </w:r>
      <w:r w:rsidR="00C31E0E">
        <w:rPr>
          <w:u w:color="000000"/>
        </w:rPr>
        <w:t xml:space="preserve">eric </w:t>
      </w:r>
      <w:r w:rsidR="00893ED8">
        <w:rPr>
          <w:u w:color="000000"/>
        </w:rPr>
        <w:t>IC</w:t>
      </w:r>
      <w:r w:rsidR="00C31E0E">
        <w:rPr>
          <w:u w:color="000000"/>
        </w:rPr>
        <w:t>R</w:t>
      </w:r>
      <w:r w:rsidR="0053640C">
        <w:rPr>
          <w:u w:color="000000"/>
        </w:rPr>
        <w:t xml:space="preserve">. These studies </w:t>
      </w:r>
      <w:r w:rsidR="00846CC2">
        <w:rPr>
          <w:u w:color="000000"/>
        </w:rPr>
        <w:t xml:space="preserve">assessed </w:t>
      </w:r>
      <w:r w:rsidRPr="00846CC2" w:rsidR="00846CC2">
        <w:rPr>
          <w:u w:color="000000"/>
        </w:rPr>
        <w:t>unintentional exposures associated with cleaning products (</w:t>
      </w:r>
      <w:r w:rsidR="00846CC2">
        <w:rPr>
          <w:u w:color="000000"/>
        </w:rPr>
        <w:t>e.g., bleach,</w:t>
      </w:r>
      <w:r w:rsidRPr="00846CC2" w:rsidR="00846CC2">
        <w:rPr>
          <w:u w:color="000000"/>
        </w:rPr>
        <w:t xml:space="preserve"> hand sanitizers) in home settings </w:t>
      </w:r>
      <w:r w:rsidR="00846CC2">
        <w:rPr>
          <w:u w:color="000000"/>
        </w:rPr>
        <w:t>to</w:t>
      </w:r>
      <w:r w:rsidR="008544D1">
        <w:rPr>
          <w:u w:color="000000"/>
        </w:rPr>
        <w:t xml:space="preserve"> determine knowledge, attitudes, and practices regarding cleaning behaviors and</w:t>
      </w:r>
      <w:r w:rsidR="00846CC2">
        <w:rPr>
          <w:u w:color="000000"/>
        </w:rPr>
        <w:t xml:space="preserve"> </w:t>
      </w:r>
      <w:r w:rsidR="00C04078">
        <w:rPr>
          <w:u w:color="000000"/>
        </w:rPr>
        <w:t xml:space="preserve">help guide </w:t>
      </w:r>
      <w:r w:rsidR="008544D1">
        <w:rPr>
          <w:u w:color="000000"/>
        </w:rPr>
        <w:t>public health</w:t>
      </w:r>
      <w:r w:rsidR="00C04078">
        <w:rPr>
          <w:u w:color="000000"/>
        </w:rPr>
        <w:t xml:space="preserve"> messaging</w:t>
      </w:r>
      <w:r w:rsidR="008544D1">
        <w:rPr>
          <w:u w:color="000000"/>
        </w:rPr>
        <w:t>.</w:t>
      </w:r>
      <w:r w:rsidR="00CC7B6A">
        <w:rPr>
          <w:u w:color="000000"/>
        </w:rPr>
        <w:t xml:space="preserve"> Data collection information </w:t>
      </w:r>
      <w:r w:rsidR="0053640C">
        <w:rPr>
          <w:u w:color="000000"/>
        </w:rPr>
        <w:t>are</w:t>
      </w:r>
      <w:r w:rsidR="0053640C">
        <w:rPr>
          <w:u w:color="000000"/>
        </w:rPr>
        <w:t xml:space="preserve"> used as the basis for the updated</w:t>
      </w:r>
      <w:r w:rsidR="00156E2E">
        <w:rPr>
          <w:u w:color="000000"/>
        </w:rPr>
        <w:t xml:space="preserve"> burden tables.</w:t>
      </w:r>
    </w:p>
    <w:p w:rsidR="00F63BD2" w:rsidP="00EA6320" w14:paraId="0D0D149D" w14:textId="77777777">
      <w:pPr>
        <w:pStyle w:val="Heading1"/>
        <w:jc w:val="left"/>
        <w:rPr>
          <w:b w:val="0"/>
          <w:sz w:val="36"/>
        </w:rPr>
      </w:pPr>
      <w:bookmarkStart w:id="10" w:name="_Toc431894249"/>
      <w:bookmarkStart w:id="11" w:name="_Toc441505141"/>
      <w:bookmarkStart w:id="12" w:name="_Toc224733935"/>
      <w:r w:rsidRPr="00EA6320">
        <w:rPr>
          <w:b w:val="0"/>
          <w:sz w:val="36"/>
        </w:rPr>
        <w:t xml:space="preserve">A.3. </w:t>
      </w:r>
      <w:r w:rsidRPr="00EA6320" w:rsidR="006430D2">
        <w:rPr>
          <w:b w:val="0"/>
          <w:sz w:val="36"/>
        </w:rPr>
        <w:t>Use of Improved</w:t>
      </w:r>
      <w:r w:rsidRPr="00EA6320" w:rsidR="00CA553C">
        <w:rPr>
          <w:b w:val="0"/>
          <w:sz w:val="36"/>
        </w:rPr>
        <w:t xml:space="preserve"> Information Tech</w:t>
      </w:r>
      <w:bookmarkEnd w:id="10"/>
      <w:r w:rsidRPr="00EA6320">
        <w:rPr>
          <w:b w:val="0"/>
          <w:sz w:val="36"/>
        </w:rPr>
        <w:t>n</w:t>
      </w:r>
      <w:r w:rsidRPr="00EA6320" w:rsidR="00CA553C">
        <w:rPr>
          <w:b w:val="0"/>
          <w:sz w:val="36"/>
        </w:rPr>
        <w:t>ology</w:t>
      </w:r>
      <w:r w:rsidRPr="00EA6320" w:rsidR="00EE1910">
        <w:rPr>
          <w:b w:val="0"/>
          <w:sz w:val="36"/>
        </w:rPr>
        <w:t xml:space="preserve"> </w:t>
      </w:r>
      <w:r w:rsidRPr="00EA6320" w:rsidR="006430D2">
        <w:rPr>
          <w:b w:val="0"/>
          <w:sz w:val="36"/>
        </w:rPr>
        <w:t>and Burden Reduction</w:t>
      </w:r>
      <w:bookmarkEnd w:id="11"/>
      <w:bookmarkEnd w:id="12"/>
    </w:p>
    <w:p w:rsidR="00BD4478" w:rsidP="004825EC" w14:paraId="49DC7D9D" w14:textId="77777777"/>
    <w:p w:rsidR="00C31E0E" w:rsidP="006623F4" w14:paraId="2ACBBAD1" w14:textId="372150DF">
      <w:r>
        <w:t>W</w:t>
      </w:r>
      <w:r w:rsidR="00014308">
        <w:t>e estimate that</w:t>
      </w:r>
      <w:r>
        <w:t xml:space="preserve"> </w:t>
      </w:r>
      <w:r w:rsidR="00636355">
        <w:t>66.7 percent of</w:t>
      </w:r>
      <w:r>
        <w:t xml:space="preserve"> poison centers will </w:t>
      </w:r>
      <w:r w:rsidR="00290AB2">
        <w:t xml:space="preserve">continue to </w:t>
      </w:r>
      <w:r>
        <w:t>use</w:t>
      </w:r>
      <w:r w:rsidRPr="00B55BD7" w:rsidR="00F25ACD">
        <w:t xml:space="preserve"> telephone </w:t>
      </w:r>
      <w:r w:rsidR="00014308">
        <w:t>surveys</w:t>
      </w:r>
      <w:r w:rsidR="00290AB2">
        <w:t xml:space="preserve"> as previously approved</w:t>
      </w:r>
      <w:r>
        <w:t xml:space="preserve"> (n=1,000 out of 1,500 annual responses)</w:t>
      </w:r>
      <w:r w:rsidRPr="00B55BD7" w:rsidR="00F25ACD">
        <w:t>.</w:t>
      </w:r>
      <w:r w:rsidRPr="00B55BD7" w:rsidR="00887CA6">
        <w:t xml:space="preserve"> </w:t>
      </w:r>
      <w:r w:rsidRPr="00B55BD7" w:rsidR="00DF6FF7">
        <w:t xml:space="preserve">Data collection </w:t>
      </w:r>
      <w:r w:rsidRPr="00363673" w:rsidR="00DF6FF7">
        <w:t>via telephone</w:t>
      </w:r>
      <w:r w:rsidR="00014308">
        <w:t xml:space="preserve"> survey</w:t>
      </w:r>
      <w:r w:rsidRPr="00363673" w:rsidR="00DF6FF7">
        <w:t xml:space="preserve"> is </w:t>
      </w:r>
      <w:r w:rsidR="00636355">
        <w:t xml:space="preserve">still </w:t>
      </w:r>
      <w:r w:rsidRPr="00363673" w:rsidR="00DF6FF7">
        <w:t xml:space="preserve">the preferred method because it </w:t>
      </w:r>
      <w:r w:rsidRPr="00363673" w:rsidR="004F2028">
        <w:t>uses</w:t>
      </w:r>
      <w:r w:rsidRPr="00363673" w:rsidR="00DF6FF7">
        <w:t xml:space="preserve"> the same mode of contact that the exposed persons </w:t>
      </w:r>
      <w:r w:rsidRPr="00363673" w:rsidR="004F2028">
        <w:t>used</w:t>
      </w:r>
      <w:r w:rsidRPr="00363673" w:rsidR="00DF6FF7">
        <w:t xml:space="preserve"> when they first contacted the poison center. </w:t>
      </w:r>
      <w:r w:rsidRPr="00363673" w:rsidR="009426B4">
        <w:t xml:space="preserve">A </w:t>
      </w:r>
      <w:r w:rsidRPr="00363673" w:rsidR="00D915D7">
        <w:t>poison center staff member will administer the questionnaire</w:t>
      </w:r>
      <w:r w:rsidRPr="00363673" w:rsidR="003F2B97">
        <w:t xml:space="preserve"> </w:t>
      </w:r>
      <w:r w:rsidRPr="00363673" w:rsidR="00887CA6">
        <w:t>over the phone and enter</w:t>
      </w:r>
      <w:r w:rsidRPr="00363673" w:rsidR="00FF16E5">
        <w:t xml:space="preserve"> the data</w:t>
      </w:r>
      <w:r w:rsidRPr="00363673" w:rsidR="00887CA6">
        <w:t xml:space="preserve"> into a password-protected database</w:t>
      </w:r>
      <w:r w:rsidR="00636355">
        <w:t>, such as Microsoft Access</w:t>
      </w:r>
      <w:r w:rsidRPr="00363673" w:rsidR="00887CA6">
        <w:t>.</w:t>
      </w:r>
      <w:r w:rsidRPr="00363673" w:rsidR="00DB1883">
        <w:t xml:space="preserve"> </w:t>
      </w:r>
      <w:r w:rsidR="00636355">
        <w:t xml:space="preserve">By respondent type, it is estimated that </w:t>
      </w:r>
      <w:r w:rsidR="007D7D15">
        <w:t>8</w:t>
      </w:r>
      <w:r w:rsidR="00636355">
        <w:t>00 adults, 100 adolescents, and 100 parents/guardians will respond by telephone</w:t>
      </w:r>
      <w:r w:rsidR="00290AB2">
        <w:t xml:space="preserve"> survey</w:t>
      </w:r>
      <w:r w:rsidR="00636355">
        <w:t>.</w:t>
      </w:r>
    </w:p>
    <w:p w:rsidR="00E24A2B" w:rsidRPr="00264A61" w:rsidP="00264A61" w14:paraId="64CAA20A" w14:textId="56D2A665">
      <w:r w:rsidRPr="00264A61">
        <w:t xml:space="preserve">As poison centers move to both chat and </w:t>
      </w:r>
      <w:r w:rsidRPr="00264A61" w:rsidR="00290AB2">
        <w:t xml:space="preserve">advanced </w:t>
      </w:r>
      <w:r w:rsidRPr="00264A61">
        <w:t xml:space="preserve">phone features, </w:t>
      </w:r>
      <w:r w:rsidR="007D7D15">
        <w:t>internet-based</w:t>
      </w:r>
      <w:r w:rsidRPr="00264A61">
        <w:t xml:space="preserve"> data collection is </w:t>
      </w:r>
      <w:r w:rsidR="007A12EF">
        <w:t>still</w:t>
      </w:r>
      <w:r w:rsidR="00E512D0">
        <w:t xml:space="preserve"> </w:t>
      </w:r>
      <w:r w:rsidRPr="00264A61">
        <w:t xml:space="preserve">a secondary option. </w:t>
      </w:r>
      <w:r w:rsidRPr="001B7365" w:rsidR="00BA15FE">
        <w:t xml:space="preserve">This was a request by </w:t>
      </w:r>
      <w:r w:rsidRPr="00330311" w:rsidR="005F563A">
        <w:t xml:space="preserve">America’s Poison </w:t>
      </w:r>
      <w:r w:rsidRPr="00BA5EBB" w:rsidR="00B36988">
        <w:rPr>
          <w:rFonts w:cs="Courier New"/>
          <w:lang w:val="en"/>
        </w:rPr>
        <w:t>Centers</w:t>
      </w:r>
      <w:r w:rsidRPr="00BA5EBB" w:rsidR="00B36988">
        <w:rPr>
          <w:rFonts w:cs="Courier New"/>
          <w:vertAlign w:val="superscript"/>
          <w:lang w:val="en"/>
        </w:rPr>
        <w:t xml:space="preserve"> TM</w:t>
      </w:r>
      <w:r w:rsidRPr="00264A61" w:rsidR="00BA15FE">
        <w:t xml:space="preserve"> to further ease burden on their Specialists in Poison Information (SPIs)</w:t>
      </w:r>
      <w:r w:rsidR="00264A61">
        <w:t>. These SPIs</w:t>
      </w:r>
      <w:r w:rsidRPr="00264A61" w:rsidR="00BA15FE">
        <w:t xml:space="preserve"> conduct the survey as well as</w:t>
      </w:r>
      <w:r w:rsidRPr="00264A61" w:rsidR="007134A3">
        <w:t xml:space="preserve"> provide options to their callers for preferred method of data collection.</w:t>
      </w:r>
      <w:r w:rsidRPr="00264A61">
        <w:t xml:space="preserve"> </w:t>
      </w:r>
    </w:p>
    <w:p w:rsidR="00C90CE9" w:rsidRPr="00C90CE9" w:rsidP="00C40EC4" w14:paraId="4CB749BA" w14:textId="77777777">
      <w:pPr>
        <w:spacing w:after="120"/>
      </w:pPr>
      <w:r w:rsidRPr="00C90CE9">
        <w:t xml:space="preserve">Therefore, CDC </w:t>
      </w:r>
      <w:r w:rsidRPr="00C90CE9" w:rsidR="00290A90">
        <w:t xml:space="preserve">will </w:t>
      </w:r>
      <w:r w:rsidRPr="00C90CE9" w:rsidR="00217481">
        <w:t xml:space="preserve">increasingly </w:t>
      </w:r>
      <w:r w:rsidRPr="00C90CE9" w:rsidR="00290A90">
        <w:t>use</w:t>
      </w:r>
      <w:r w:rsidRPr="00C90CE9">
        <w:t xml:space="preserve"> improved technology in the form of web surveys among poison centers </w:t>
      </w:r>
      <w:r w:rsidRPr="00C90CE9" w:rsidR="00290A90">
        <w:t>that choose this mode of collection</w:t>
      </w:r>
      <w:r w:rsidRPr="00C90CE9">
        <w:t xml:space="preserve">. We estimate that 33.3 percent of the call back surveys will use </w:t>
      </w:r>
      <w:r w:rsidRPr="00C90CE9" w:rsidR="005B0DB0">
        <w:t>web surveys</w:t>
      </w:r>
      <w:r w:rsidRPr="00C90CE9">
        <w:t xml:space="preserve"> (n=500 out of 1,500 annual responses). By respondent type, it is estimated that 400 adults, 50 adolescents, and 50 parents/guardians will respond by </w:t>
      </w:r>
      <w:r w:rsidRPr="00C90CE9" w:rsidR="005B0DB0">
        <w:t>this mode</w:t>
      </w:r>
      <w:r w:rsidRPr="00C90CE9">
        <w:t>.</w:t>
      </w:r>
      <w:r w:rsidRPr="00C90CE9" w:rsidR="005B0DB0">
        <w:t xml:space="preserve"> </w:t>
      </w:r>
    </w:p>
    <w:p w:rsidR="00272132" w:rsidRPr="00C40EC4" w:rsidP="00C40EC4" w14:paraId="2E943438" w14:textId="77777777">
      <w:pPr>
        <w:pStyle w:val="xmsonormal"/>
        <w:numPr>
          <w:ilvl w:val="0"/>
          <w:numId w:val="49"/>
        </w:numPr>
        <w:shd w:val="clear" w:color="auto" w:fill="FFFFFF"/>
        <w:spacing w:after="120" w:line="276" w:lineRule="auto"/>
      </w:pPr>
      <w:r w:rsidRPr="009348A3">
        <w:rPr>
          <w:rFonts w:asciiTheme="majorHAnsi" w:hAnsiTheme="majorHAnsi"/>
        </w:rPr>
        <w:t xml:space="preserve">One option involves the poison centers with the capability to program and deploy the online survey tool and to store the data within their own secure systems. This flexibility is important </w:t>
      </w:r>
      <w:r w:rsidRPr="009348A3" w:rsidR="009712F6">
        <w:rPr>
          <w:rFonts w:asciiTheme="majorHAnsi" w:hAnsiTheme="majorHAnsi"/>
        </w:rPr>
        <w:t>as all</w:t>
      </w:r>
      <w:r w:rsidRPr="009348A3">
        <w:rPr>
          <w:rFonts w:asciiTheme="majorHAnsi" w:hAnsiTheme="majorHAnsi"/>
        </w:rPr>
        <w:t xml:space="preserve"> the poison centers have different preferences, capabilities, and platforms. </w:t>
      </w:r>
      <w:r w:rsidRPr="00C40EC4" w:rsidR="001A5603">
        <w:rPr>
          <w:rFonts w:asciiTheme="majorHAnsi" w:hAnsiTheme="majorHAnsi"/>
        </w:rPr>
        <w:t xml:space="preserve">In this instance, a secure and unique weblink will be sent </w:t>
      </w:r>
      <w:r w:rsidRPr="00C40EC4" w:rsidR="00A3581E">
        <w:rPr>
          <w:rFonts w:asciiTheme="majorHAnsi" w:hAnsiTheme="majorHAnsi"/>
        </w:rPr>
        <w:t xml:space="preserve">by the participating poison centers </w:t>
      </w:r>
      <w:r w:rsidRPr="00C40EC4" w:rsidR="001A5603">
        <w:rPr>
          <w:rFonts w:asciiTheme="majorHAnsi" w:hAnsiTheme="majorHAnsi"/>
        </w:rPr>
        <w:t>to the exposed persons via email or text.</w:t>
      </w:r>
      <w:r w:rsidRPr="00C40EC4" w:rsidR="008E2349">
        <w:rPr>
          <w:rFonts w:asciiTheme="majorHAnsi" w:hAnsiTheme="majorHAnsi"/>
        </w:rPr>
        <w:t xml:space="preserve"> </w:t>
      </w:r>
    </w:p>
    <w:p w:rsidR="006623F4" w:rsidP="00C40EC4" w14:paraId="06A42569" w14:textId="1E28D813">
      <w:pPr>
        <w:pStyle w:val="ListParagraph"/>
        <w:numPr>
          <w:ilvl w:val="0"/>
          <w:numId w:val="48"/>
        </w:numPr>
        <w:spacing w:after="120" w:line="276" w:lineRule="auto"/>
        <w:contextualSpacing w:val="0"/>
        <w:rPr>
          <w:szCs w:val="22"/>
        </w:rPr>
      </w:pPr>
      <w:r w:rsidRPr="00C90CE9">
        <w:rPr>
          <w:szCs w:val="22"/>
        </w:rPr>
        <w:t xml:space="preserve">There may be some occasions where the </w:t>
      </w:r>
      <w:r w:rsidRPr="009712F6">
        <w:rPr>
          <w:szCs w:val="22"/>
        </w:rPr>
        <w:t>individual poison center does not have its own web capability</w:t>
      </w:r>
      <w:r w:rsidRPr="009E68A1" w:rsidR="00ED4EF1">
        <w:rPr>
          <w:szCs w:val="22"/>
        </w:rPr>
        <w:t xml:space="preserve"> but </w:t>
      </w:r>
      <w:r w:rsidRPr="008F44C8" w:rsidR="00DC0284">
        <w:rPr>
          <w:szCs w:val="22"/>
        </w:rPr>
        <w:t>stil</w:t>
      </w:r>
      <w:r w:rsidRPr="00022F45" w:rsidR="00DC0284">
        <w:rPr>
          <w:szCs w:val="22"/>
        </w:rPr>
        <w:t xml:space="preserve">l </w:t>
      </w:r>
      <w:r w:rsidRPr="009214B4" w:rsidR="00ED4EF1">
        <w:rPr>
          <w:szCs w:val="22"/>
        </w:rPr>
        <w:t>prefers using a w</w:t>
      </w:r>
      <w:r w:rsidRPr="00C90CE9" w:rsidR="00ED4EF1">
        <w:rPr>
          <w:szCs w:val="22"/>
        </w:rPr>
        <w:t>eb survey</w:t>
      </w:r>
      <w:r w:rsidRPr="00C90CE9" w:rsidR="00DC0284">
        <w:rPr>
          <w:szCs w:val="22"/>
        </w:rPr>
        <w:t>.</w:t>
      </w:r>
      <w:r w:rsidRPr="00C90CE9">
        <w:rPr>
          <w:szCs w:val="22"/>
        </w:rPr>
        <w:t xml:space="preserve"> CDC may </w:t>
      </w:r>
      <w:r w:rsidRPr="009712F6">
        <w:rPr>
          <w:szCs w:val="22"/>
        </w:rPr>
        <w:t xml:space="preserve">develop the web-based questionnaire in </w:t>
      </w:r>
      <w:r w:rsidR="000D4BB7">
        <w:rPr>
          <w:szCs w:val="22"/>
        </w:rPr>
        <w:t>REDCap</w:t>
      </w:r>
      <w:r w:rsidRPr="00C90CE9">
        <w:rPr>
          <w:szCs w:val="22"/>
        </w:rPr>
        <w:t xml:space="preserve"> to be hosted on secure CDC servers. Unique w</w:t>
      </w:r>
      <w:r w:rsidRPr="00ED4EF1">
        <w:rPr>
          <w:szCs w:val="22"/>
        </w:rPr>
        <w:t>eb addresses will be sent to America’s Poison Centers who will distribute the unique addresses to the participating poison centers for dissemination to qualifying participants</w:t>
      </w:r>
      <w:r w:rsidRPr="007162AF">
        <w:rPr>
          <w:szCs w:val="22"/>
        </w:rPr>
        <w:t xml:space="preserve">. </w:t>
      </w:r>
    </w:p>
    <w:p w:rsidR="006623F4" w:rsidRPr="00ED4EF1" w:rsidP="00C40EC4" w14:paraId="623BD12F" w14:textId="77777777">
      <w:pPr>
        <w:pStyle w:val="ListParagraph"/>
        <w:numPr>
          <w:ilvl w:val="0"/>
          <w:numId w:val="48"/>
        </w:numPr>
        <w:spacing w:after="120" w:line="276" w:lineRule="auto"/>
        <w:contextualSpacing w:val="0"/>
        <w:rPr>
          <w:szCs w:val="22"/>
        </w:rPr>
      </w:pPr>
      <w:r w:rsidRPr="00D5657B">
        <w:rPr>
          <w:szCs w:val="22"/>
        </w:rPr>
        <w:t xml:space="preserve">We estimate that </w:t>
      </w:r>
      <w:r>
        <w:rPr>
          <w:szCs w:val="22"/>
        </w:rPr>
        <w:t>50</w:t>
      </w:r>
      <w:r w:rsidRPr="00D5657B">
        <w:rPr>
          <w:szCs w:val="22"/>
        </w:rPr>
        <w:t xml:space="preserve"> percent of the </w:t>
      </w:r>
      <w:r>
        <w:rPr>
          <w:szCs w:val="22"/>
        </w:rPr>
        <w:t>web</w:t>
      </w:r>
      <w:r w:rsidRPr="00D5657B">
        <w:rPr>
          <w:szCs w:val="22"/>
        </w:rPr>
        <w:t xml:space="preserve"> surveys (n=</w:t>
      </w:r>
      <w:r>
        <w:rPr>
          <w:szCs w:val="22"/>
        </w:rPr>
        <w:t>25</w:t>
      </w:r>
      <w:r w:rsidRPr="00D5657B">
        <w:rPr>
          <w:szCs w:val="22"/>
        </w:rPr>
        <w:t>0 out of 500 annual responses)</w:t>
      </w:r>
      <w:r>
        <w:rPr>
          <w:szCs w:val="22"/>
        </w:rPr>
        <w:t xml:space="preserve"> will be hosted directly on poison center servers and 50 percent will be hosted directly on CDC servers</w:t>
      </w:r>
      <w:r w:rsidRPr="00D5657B">
        <w:rPr>
          <w:szCs w:val="22"/>
        </w:rPr>
        <w:t xml:space="preserve">. By respondent type, it is estimated that </w:t>
      </w:r>
      <w:r>
        <w:rPr>
          <w:szCs w:val="22"/>
        </w:rPr>
        <w:t>2</w:t>
      </w:r>
      <w:r w:rsidRPr="00D5657B">
        <w:rPr>
          <w:szCs w:val="22"/>
        </w:rPr>
        <w:t xml:space="preserve">00 adults, </w:t>
      </w:r>
      <w:r>
        <w:rPr>
          <w:szCs w:val="22"/>
        </w:rPr>
        <w:t>25</w:t>
      </w:r>
      <w:r w:rsidRPr="00D5657B">
        <w:rPr>
          <w:szCs w:val="22"/>
        </w:rPr>
        <w:t xml:space="preserve"> adolescents, and </w:t>
      </w:r>
      <w:r>
        <w:rPr>
          <w:szCs w:val="22"/>
        </w:rPr>
        <w:t>25</w:t>
      </w:r>
      <w:r w:rsidRPr="00D5657B">
        <w:rPr>
          <w:szCs w:val="22"/>
        </w:rPr>
        <w:t xml:space="preserve"> parents/guardians will respond </w:t>
      </w:r>
      <w:r>
        <w:rPr>
          <w:szCs w:val="22"/>
        </w:rPr>
        <w:t>on either platform</w:t>
      </w:r>
      <w:r w:rsidRPr="00D5657B">
        <w:rPr>
          <w:szCs w:val="22"/>
        </w:rPr>
        <w:t>.</w:t>
      </w:r>
    </w:p>
    <w:p w:rsidR="00014308" w:rsidRPr="006623F4" w:rsidP="00264A61" w14:paraId="2BD4E014" w14:textId="71EC424C">
      <w:r w:rsidRPr="00BA5EBB">
        <w:t xml:space="preserve">For </w:t>
      </w:r>
      <w:r w:rsidR="00ED4EF1">
        <w:t>all data collection</w:t>
      </w:r>
      <w:r w:rsidRPr="00BA5EBB">
        <w:t xml:space="preserve"> modes, t</w:t>
      </w:r>
      <w:r w:rsidRPr="00BA5EBB" w:rsidR="00F63BD2">
        <w:t xml:space="preserve">he </w:t>
      </w:r>
      <w:r w:rsidRPr="00BA5EBB" w:rsidR="00786C26">
        <w:t>data</w:t>
      </w:r>
      <w:r w:rsidRPr="003764ED" w:rsidR="00F63BD2">
        <w:t xml:space="preserve"> collection instrument </w:t>
      </w:r>
      <w:r w:rsidRPr="007D7D15" w:rsidR="003753D4">
        <w:t>will be</w:t>
      </w:r>
      <w:r w:rsidRPr="00217481" w:rsidR="00F63BD2">
        <w:t xml:space="preserve"> designed to collect the minimum information necessary for the purposes of thi</w:t>
      </w:r>
      <w:r w:rsidRPr="006623F4" w:rsidR="005A547F">
        <w:t>s project</w:t>
      </w:r>
      <w:r w:rsidRPr="006623F4" w:rsidR="0063137A">
        <w:t xml:space="preserve"> (</w:t>
      </w:r>
      <w:r w:rsidRPr="006623F4" w:rsidR="0063137A">
        <w:rPr>
          <w:b/>
          <w:bCs/>
        </w:rPr>
        <w:t>Attachments</w:t>
      </w:r>
      <w:r w:rsidRPr="006623F4" w:rsidR="005F10DE">
        <w:rPr>
          <w:b/>
          <w:bCs/>
        </w:rPr>
        <w:t xml:space="preserve"> </w:t>
      </w:r>
      <w:r w:rsidRPr="006623F4" w:rsidR="00854886">
        <w:rPr>
          <w:b/>
          <w:bCs/>
        </w:rPr>
        <w:t>5-8</w:t>
      </w:r>
      <w:r w:rsidRPr="006623F4" w:rsidR="005F10DE">
        <w:t>)</w:t>
      </w:r>
      <w:r w:rsidR="005217D9">
        <w:t xml:space="preserve">. Attachment 8 is an example of a programmed web-based survey and has no additional burden hours associated. </w:t>
      </w:r>
    </w:p>
    <w:p w:rsidR="00F63BD2" w:rsidRPr="000621DC" w:rsidP="00F754AF" w14:paraId="20A5173D" w14:textId="77777777">
      <w:pPr>
        <w:spacing w:before="480" w:after="0"/>
        <w:rPr>
          <w:sz w:val="36"/>
        </w:rPr>
      </w:pPr>
      <w:bookmarkStart w:id="13" w:name="_Toc441505142"/>
      <w:r w:rsidRPr="00E74B2C">
        <w:rPr>
          <w:sz w:val="36"/>
        </w:rPr>
        <w:t xml:space="preserve">A.4. </w:t>
      </w:r>
      <w:r w:rsidRPr="00E74B2C" w:rsidR="006430D2">
        <w:rPr>
          <w:sz w:val="36"/>
        </w:rPr>
        <w:t>Efforts to Identify Duplication and Use of Similar Information</w:t>
      </w:r>
      <w:bookmarkEnd w:id="13"/>
    </w:p>
    <w:p w:rsidR="00B55BD7" w:rsidP="00064993" w14:paraId="78794CEF" w14:textId="77777777"/>
    <w:p w:rsidR="00FE4CE0" w:rsidRPr="00FE4CE0" w:rsidP="00064993" w14:paraId="60895B7E" w14:textId="77777777">
      <w:r w:rsidRPr="00EA2983">
        <w:t xml:space="preserve">If existing information already exists, a poison center follow–up investigation </w:t>
      </w:r>
      <w:r w:rsidR="00991D31">
        <w:t>will</w:t>
      </w:r>
      <w:r w:rsidRPr="00EA2983">
        <w:t xml:space="preserve"> be deemed unnecessary</w:t>
      </w:r>
      <w:r w:rsidR="00E62DBD">
        <w:rPr>
          <w:rFonts w:eastAsia="Arial Unicode MS"/>
          <w:u w:color="000000"/>
        </w:rPr>
        <w:t>.</w:t>
      </w:r>
      <w:r w:rsidRPr="00EA2983">
        <w:rPr>
          <w:rFonts w:eastAsia="Arial Unicode MS"/>
          <w:u w:color="000000"/>
        </w:rPr>
        <w:t xml:space="preserve"> </w:t>
      </w:r>
      <w:r w:rsidR="00991D31">
        <w:rPr>
          <w:rFonts w:eastAsia="Arial Unicode MS"/>
          <w:u w:color="000000"/>
        </w:rPr>
        <w:t>R</w:t>
      </w:r>
      <w:r w:rsidRPr="00EA2983" w:rsidR="00991D31">
        <w:rPr>
          <w:rFonts w:eastAsia="Arial Unicode MS"/>
          <w:u w:color="000000"/>
        </w:rPr>
        <w:t>edundant data collection is avoided</w:t>
      </w:r>
      <w:r w:rsidR="00895FCA">
        <w:rPr>
          <w:rFonts w:eastAsia="Arial Unicode MS"/>
          <w:u w:color="000000"/>
        </w:rPr>
        <w:t>,</w:t>
      </w:r>
      <w:r w:rsidRPr="00EA2983" w:rsidR="00991D31">
        <w:rPr>
          <w:rFonts w:eastAsia="Arial Unicode MS"/>
          <w:u w:color="000000"/>
        </w:rPr>
        <w:t xml:space="preserve"> and the utility of the data collected </w:t>
      </w:r>
      <w:r w:rsidRPr="00EA2983" w:rsidR="00991D31">
        <w:rPr>
          <w:rFonts w:eastAsia="Arial Unicode MS"/>
          <w:u w:color="000000"/>
        </w:rPr>
        <w:t>are</w:t>
      </w:r>
      <w:r w:rsidRPr="00EA2983" w:rsidR="00991D31">
        <w:rPr>
          <w:rFonts w:eastAsia="Arial Unicode MS"/>
          <w:u w:color="000000"/>
        </w:rPr>
        <w:t xml:space="preserve"> maximized. </w:t>
      </w:r>
      <w:r w:rsidR="00991D31">
        <w:t xml:space="preserve">The poison centers will ask exposure-specific questions not initially collected and which are specifically tailored to minimize duplication of information </w:t>
      </w:r>
      <w:r w:rsidR="001321C2">
        <w:t xml:space="preserve">already </w:t>
      </w:r>
      <w:r w:rsidR="00991D31">
        <w:t xml:space="preserve">collected through normal poison center operations. </w:t>
      </w:r>
      <w:r w:rsidR="00B330CB">
        <w:t>Ensuring no duplication of information collection will reduce undue burden on the poison center callers</w:t>
      </w:r>
      <w:r w:rsidR="00BF4F0D">
        <w:t xml:space="preserve"> who </w:t>
      </w:r>
      <w:r w:rsidR="00E62DBD">
        <w:t xml:space="preserve">subsequently </w:t>
      </w:r>
      <w:r w:rsidR="00BF4F0D">
        <w:t xml:space="preserve">agree to </w:t>
      </w:r>
      <w:r w:rsidR="006E0C2C">
        <w:t>follow</w:t>
      </w:r>
      <w:r w:rsidR="00BF4F0D">
        <w:t>-up</w:t>
      </w:r>
      <w:r w:rsidR="00B330CB">
        <w:t xml:space="preserve">. </w:t>
      </w:r>
      <w:r>
        <w:t xml:space="preserve">   </w:t>
      </w:r>
      <w:r>
        <w:rPr>
          <w:vertAlign w:val="superscript"/>
        </w:rPr>
        <w:t xml:space="preserve"> </w:t>
      </w:r>
    </w:p>
    <w:p w:rsidR="008559CF" w:rsidP="008559CF" w14:paraId="1087D58E" w14:textId="77777777">
      <w:pPr>
        <w:rPr>
          <w:rFonts w:cs="Arial"/>
        </w:rPr>
      </w:pPr>
      <w:r w:rsidRPr="008559CF">
        <w:rPr>
          <w:rFonts w:cs="Arial"/>
        </w:rPr>
        <w:t xml:space="preserve">Literature </w:t>
      </w:r>
      <w:r w:rsidRPr="008559CF">
        <w:rPr>
          <w:rFonts w:cs="Arial"/>
        </w:rPr>
        <w:t>searches</w:t>
      </w:r>
      <w:r w:rsidRPr="008559CF">
        <w:rPr>
          <w:rFonts w:cs="Arial"/>
        </w:rPr>
        <w:t xml:space="preserve"> and discussions with </w:t>
      </w:r>
      <w:r>
        <w:rPr>
          <w:rFonts w:cs="Arial"/>
        </w:rPr>
        <w:t>other</w:t>
      </w:r>
      <w:r w:rsidRPr="008559CF">
        <w:rPr>
          <w:rFonts w:cs="Arial"/>
        </w:rPr>
        <w:t xml:space="preserve"> health authorities</w:t>
      </w:r>
      <w:r w:rsidR="006F1141">
        <w:rPr>
          <w:rFonts w:cs="Arial"/>
        </w:rPr>
        <w:t xml:space="preserve"> will be</w:t>
      </w:r>
      <w:r w:rsidRPr="008559CF">
        <w:rPr>
          <w:rFonts w:cs="Arial"/>
        </w:rPr>
        <w:t xml:space="preserve"> conducted to determine the extent of existing information. If found, previous information is used whenever appropriate to contribute to an investigation. However, a </w:t>
      </w:r>
      <w:r w:rsidR="00C476F3">
        <w:rPr>
          <w:rFonts w:cs="Arial"/>
        </w:rPr>
        <w:t>public health emergency</w:t>
      </w:r>
      <w:r w:rsidRPr="008559CF">
        <w:rPr>
          <w:rFonts w:cs="Arial"/>
        </w:rPr>
        <w:t xml:space="preserve"> generally requires the collection of data specific to the </w:t>
      </w:r>
      <w:r w:rsidR="00597700">
        <w:rPr>
          <w:rFonts w:cs="Arial"/>
        </w:rPr>
        <w:t>incident</w:t>
      </w:r>
      <w:r w:rsidRPr="008559CF">
        <w:rPr>
          <w:rFonts w:cs="Arial"/>
        </w:rPr>
        <w:t xml:space="preserve"> because each situation is unique in many aspects (e.g.</w:t>
      </w:r>
      <w:r w:rsidR="006F1141">
        <w:rPr>
          <w:rFonts w:cs="Arial"/>
        </w:rPr>
        <w:t>,</w:t>
      </w:r>
      <w:r w:rsidRPr="008559CF">
        <w:rPr>
          <w:rFonts w:cs="Arial"/>
        </w:rPr>
        <w:t xml:space="preserve"> </w:t>
      </w:r>
      <w:r w:rsidR="002554E6">
        <w:rPr>
          <w:rFonts w:cs="Arial"/>
        </w:rPr>
        <w:t>exposure</w:t>
      </w:r>
      <w:r w:rsidRPr="008559CF">
        <w:rPr>
          <w:rFonts w:cs="Arial"/>
        </w:rPr>
        <w:t xml:space="preserve">, location, affected populations, sources of </w:t>
      </w:r>
      <w:r w:rsidR="002554E6">
        <w:rPr>
          <w:rFonts w:cs="Arial"/>
        </w:rPr>
        <w:t>exposure</w:t>
      </w:r>
      <w:r w:rsidRPr="008559CF">
        <w:rPr>
          <w:rFonts w:cs="Arial"/>
        </w:rPr>
        <w:t xml:space="preserve">, </w:t>
      </w:r>
      <w:r w:rsidRPr="008559CF" w:rsidR="00830201">
        <w:rPr>
          <w:rFonts w:cs="Arial"/>
        </w:rPr>
        <w:t>and modes</w:t>
      </w:r>
      <w:r w:rsidRPr="008559CF">
        <w:rPr>
          <w:rFonts w:cs="Arial"/>
        </w:rPr>
        <w:t xml:space="preserve"> of transmission, risk factors, and environmental factors).</w:t>
      </w:r>
      <w:r w:rsidR="00F15AB9">
        <w:rPr>
          <w:rFonts w:cs="Arial"/>
        </w:rPr>
        <w:t xml:space="preserve"> </w:t>
      </w:r>
      <w:r w:rsidRPr="008559CF">
        <w:rPr>
          <w:rFonts w:cs="Arial"/>
        </w:rPr>
        <w:t xml:space="preserve">Each investigation </w:t>
      </w:r>
      <w:r w:rsidR="006E614A">
        <w:rPr>
          <w:rFonts w:cs="Arial"/>
        </w:rPr>
        <w:t xml:space="preserve">will </w:t>
      </w:r>
      <w:r w:rsidRPr="008559CF">
        <w:rPr>
          <w:rFonts w:cs="Arial"/>
        </w:rPr>
        <w:t xml:space="preserve">contribute to </w:t>
      </w:r>
      <w:r w:rsidR="00FB107C">
        <w:rPr>
          <w:rFonts w:cs="Arial"/>
        </w:rPr>
        <w:t>better understanding a</w:t>
      </w:r>
      <w:r w:rsidRPr="008559CF">
        <w:rPr>
          <w:rFonts w:cs="Arial"/>
        </w:rPr>
        <w:t xml:space="preserve"> particular type of outbreak or </w:t>
      </w:r>
      <w:r w:rsidR="002554E6">
        <w:rPr>
          <w:rFonts w:cs="Arial"/>
        </w:rPr>
        <w:t>incident</w:t>
      </w:r>
      <w:r w:rsidR="00824350">
        <w:rPr>
          <w:rFonts w:cs="Arial"/>
        </w:rPr>
        <w:t xml:space="preserve"> for the </w:t>
      </w:r>
      <w:r w:rsidR="00824350">
        <w:rPr>
          <w:rFonts w:cs="Arial"/>
        </w:rPr>
        <w:t>requesting</w:t>
      </w:r>
      <w:r w:rsidR="00824350">
        <w:rPr>
          <w:rFonts w:cs="Arial"/>
        </w:rPr>
        <w:t xml:space="preserve"> agency</w:t>
      </w:r>
      <w:r w:rsidRPr="008559CF">
        <w:rPr>
          <w:rFonts w:cs="Arial"/>
        </w:rPr>
        <w:t xml:space="preserve">, and data collections are designed to incorporate knowledge gained from similar situations in the past. </w:t>
      </w:r>
    </w:p>
    <w:p w:rsidR="00F63BD2" w:rsidP="004825EC" w14:paraId="461867D3" w14:textId="77777777">
      <w:pPr>
        <w:rPr>
          <w:rFonts w:cs="Arial"/>
        </w:rPr>
      </w:pPr>
      <w:r>
        <w:rPr>
          <w:rFonts w:cs="Arial"/>
        </w:rPr>
        <w:t xml:space="preserve">This information collection will fill a gap </w:t>
      </w:r>
      <w:r w:rsidR="00880138">
        <w:rPr>
          <w:rFonts w:cs="Arial"/>
        </w:rPr>
        <w:t>in</w:t>
      </w:r>
      <w:r>
        <w:rPr>
          <w:rFonts w:cs="Arial"/>
        </w:rPr>
        <w:t xml:space="preserve"> current surveillance efforts</w:t>
      </w:r>
      <w:r w:rsidR="00486E33">
        <w:rPr>
          <w:rFonts w:cs="Arial"/>
        </w:rPr>
        <w:t xml:space="preserve"> by enabling CDC </w:t>
      </w:r>
      <w:r w:rsidR="0053442F">
        <w:rPr>
          <w:rFonts w:cs="Arial"/>
        </w:rPr>
        <w:t xml:space="preserve">and poison centers </w:t>
      </w:r>
      <w:r w:rsidR="00486E33">
        <w:rPr>
          <w:rFonts w:cs="Arial"/>
        </w:rPr>
        <w:t xml:space="preserve">to collect </w:t>
      </w:r>
      <w:r w:rsidR="003753D4">
        <w:rPr>
          <w:rFonts w:cs="Arial"/>
        </w:rPr>
        <w:t>in-depth exposure information</w:t>
      </w:r>
      <w:r w:rsidR="00486E33">
        <w:rPr>
          <w:rFonts w:cs="Arial"/>
        </w:rPr>
        <w:t xml:space="preserve"> for </w:t>
      </w:r>
      <w:r w:rsidR="00C476F3">
        <w:rPr>
          <w:rFonts w:cs="Arial"/>
        </w:rPr>
        <w:t>public health emergencies</w:t>
      </w:r>
      <w:r w:rsidR="00486E33">
        <w:rPr>
          <w:rFonts w:cs="Arial"/>
        </w:rPr>
        <w:t xml:space="preserve"> to </w:t>
      </w:r>
      <w:r w:rsidR="00C476F3">
        <w:rPr>
          <w:rFonts w:cs="Arial"/>
        </w:rPr>
        <w:t>improve public health</w:t>
      </w:r>
      <w:r w:rsidR="00FB107C">
        <w:rPr>
          <w:rFonts w:cs="Arial"/>
        </w:rPr>
        <w:t xml:space="preserve"> for specific incidents</w:t>
      </w:r>
      <w:r>
        <w:rPr>
          <w:rFonts w:cs="Arial"/>
        </w:rPr>
        <w:t xml:space="preserve">. </w:t>
      </w:r>
    </w:p>
    <w:p w:rsidR="00F63BD2" w:rsidRPr="00064993" w:rsidP="00064993" w14:paraId="3153EF2E" w14:textId="77777777">
      <w:pPr>
        <w:pStyle w:val="Heading1"/>
        <w:jc w:val="left"/>
        <w:rPr>
          <w:b w:val="0"/>
          <w:sz w:val="36"/>
        </w:rPr>
      </w:pPr>
      <w:bookmarkStart w:id="14" w:name="_Toc441505143"/>
      <w:bookmarkStart w:id="15" w:name="_Toc224733936"/>
      <w:r w:rsidRPr="00064993">
        <w:rPr>
          <w:b w:val="0"/>
          <w:sz w:val="36"/>
        </w:rPr>
        <w:t xml:space="preserve">A.5. </w:t>
      </w:r>
      <w:r w:rsidRPr="00064993" w:rsidR="006430D2">
        <w:rPr>
          <w:b w:val="0"/>
          <w:sz w:val="36"/>
        </w:rPr>
        <w:t>Impact on Small Business or Other</w:t>
      </w:r>
      <w:r w:rsidRPr="00064993">
        <w:rPr>
          <w:b w:val="0"/>
          <w:sz w:val="36"/>
        </w:rPr>
        <w:t xml:space="preserve"> Small Entities</w:t>
      </w:r>
      <w:bookmarkEnd w:id="14"/>
      <w:bookmarkEnd w:id="15"/>
    </w:p>
    <w:p w:rsidR="00BA1BEF" w:rsidP="00CA6D78" w14:paraId="7C0B9644" w14:textId="77777777"/>
    <w:p w:rsidR="005F34B9" w:rsidRPr="005F34B9" w:rsidP="00CA6D78" w14:paraId="6390B7BF" w14:textId="77777777">
      <w:r w:rsidRPr="005F34B9">
        <w:t>This data collection will not involve small businesses</w:t>
      </w:r>
      <w:r w:rsidR="001A4605">
        <w:t>.</w:t>
      </w:r>
    </w:p>
    <w:p w:rsidR="00F63BD2" w:rsidRPr="00064993" w:rsidP="00064993" w14:paraId="41E5FCC5" w14:textId="77777777">
      <w:pPr>
        <w:pStyle w:val="Heading1"/>
        <w:jc w:val="left"/>
        <w:rPr>
          <w:b w:val="0"/>
          <w:sz w:val="36"/>
        </w:rPr>
      </w:pPr>
      <w:bookmarkStart w:id="16" w:name="_Toc441505144"/>
      <w:bookmarkStart w:id="17" w:name="_Toc224733937"/>
      <w:r w:rsidRPr="00064993">
        <w:rPr>
          <w:b w:val="0"/>
          <w:sz w:val="36"/>
        </w:rPr>
        <w:t xml:space="preserve">A.6. Consequences of </w:t>
      </w:r>
      <w:r w:rsidRPr="00064993" w:rsidR="006430D2">
        <w:rPr>
          <w:b w:val="0"/>
          <w:sz w:val="36"/>
        </w:rPr>
        <w:t xml:space="preserve">Collecting </w:t>
      </w:r>
      <w:r w:rsidRPr="00064993" w:rsidR="006430D2">
        <w:rPr>
          <w:b w:val="0"/>
          <w:sz w:val="36"/>
        </w:rPr>
        <w:t>the Information</w:t>
      </w:r>
      <w:r w:rsidRPr="00064993" w:rsidR="006430D2">
        <w:rPr>
          <w:b w:val="0"/>
          <w:sz w:val="36"/>
        </w:rPr>
        <w:t xml:space="preserve"> Less Frequently</w:t>
      </w:r>
      <w:bookmarkEnd w:id="16"/>
      <w:bookmarkEnd w:id="17"/>
    </w:p>
    <w:p w:rsidR="00064993" w:rsidRPr="00064993" w:rsidP="00064993" w14:paraId="2F1ED800" w14:textId="77777777"/>
    <w:p w:rsidR="00DF6FF7" w:rsidP="00A86DEB" w14:paraId="4D5147F3" w14:textId="77777777">
      <w:pPr>
        <w:spacing w:after="0"/>
      </w:pPr>
      <w:r>
        <w:t xml:space="preserve">Each poison center </w:t>
      </w:r>
      <w:r w:rsidRPr="00DE28E0">
        <w:t xml:space="preserve">investigation </w:t>
      </w:r>
      <w:r>
        <w:t>will be</w:t>
      </w:r>
      <w:r w:rsidRPr="00DE28E0">
        <w:t xml:space="preserve"> a one-time </w:t>
      </w:r>
      <w:r>
        <w:t xml:space="preserve">information collection </w:t>
      </w:r>
      <w:r w:rsidRPr="00DE28E0">
        <w:t>undertaken</w:t>
      </w:r>
      <w:r>
        <w:t xml:space="preserve"> </w:t>
      </w:r>
      <w:r w:rsidR="00295034">
        <w:t xml:space="preserve">during or </w:t>
      </w:r>
      <w:r>
        <w:t>immediately</w:t>
      </w:r>
      <w:r w:rsidRPr="00DE28E0">
        <w:t xml:space="preserve"> after a </w:t>
      </w:r>
      <w:r w:rsidR="009F2134">
        <w:t>public health emergency.</w:t>
      </w:r>
      <w:r w:rsidRPr="00DE28E0">
        <w:t xml:space="preserve"> </w:t>
      </w:r>
      <w:r w:rsidR="006F1EBC">
        <w:t xml:space="preserve"> </w:t>
      </w:r>
    </w:p>
    <w:p w:rsidR="0081131F" w:rsidP="00A86DEB" w14:paraId="424207D9" w14:textId="77777777">
      <w:pPr>
        <w:spacing w:after="0"/>
      </w:pPr>
    </w:p>
    <w:p w:rsidR="00F63BD2" w:rsidRPr="00711BFA" w:rsidP="004825EC" w14:paraId="7A33F01D" w14:textId="77777777">
      <w:r w:rsidRPr="00711BFA">
        <w:t xml:space="preserve">There are no legal obstacles to </w:t>
      </w:r>
      <w:r w:rsidRPr="00711BFA">
        <w:t>reduce</w:t>
      </w:r>
      <w:r w:rsidRPr="00711BFA">
        <w:t xml:space="preserve"> the burden.</w:t>
      </w:r>
    </w:p>
    <w:p w:rsidR="00F63BD2" w:rsidP="00064993" w14:paraId="358F7209" w14:textId="77777777">
      <w:pPr>
        <w:pStyle w:val="Heading1"/>
        <w:jc w:val="left"/>
        <w:rPr>
          <w:b w:val="0"/>
          <w:sz w:val="36"/>
          <w:szCs w:val="36"/>
        </w:rPr>
      </w:pPr>
      <w:bookmarkStart w:id="18" w:name="_Toc441505145"/>
      <w:bookmarkStart w:id="19" w:name="_Toc224733938"/>
      <w:r w:rsidRPr="00064993">
        <w:rPr>
          <w:b w:val="0"/>
          <w:sz w:val="36"/>
          <w:szCs w:val="36"/>
        </w:rPr>
        <w:t xml:space="preserve">A.7. Special Circumstances </w:t>
      </w:r>
      <w:r w:rsidRPr="00064993" w:rsidR="006430D2">
        <w:rPr>
          <w:b w:val="0"/>
          <w:sz w:val="36"/>
          <w:szCs w:val="36"/>
        </w:rPr>
        <w:t>Relating to the Guidelines of 5 CFR 1320.5</w:t>
      </w:r>
      <w:bookmarkEnd w:id="18"/>
      <w:bookmarkEnd w:id="19"/>
    </w:p>
    <w:p w:rsidR="00383C73" w:rsidP="006767D1" w14:paraId="5B169384" w14:textId="77777777">
      <w:pPr>
        <w:spacing w:line="240" w:lineRule="auto"/>
        <w:rPr>
          <w:rFonts w:eastAsia="Arial Unicode MS"/>
          <w:u w:color="000000"/>
        </w:rPr>
      </w:pPr>
    </w:p>
    <w:p w:rsidR="006767D1" w:rsidRPr="006767D1" w:rsidP="006767D1" w14:paraId="0C261D67" w14:textId="77777777">
      <w:pPr>
        <w:spacing w:line="240" w:lineRule="auto"/>
        <w:rPr>
          <w:rFonts w:eastAsia="Arial Unicode MS"/>
          <w:u w:color="000000"/>
        </w:rPr>
      </w:pPr>
      <w:r w:rsidRPr="00021722">
        <w:rPr>
          <w:rFonts w:eastAsia="Arial Unicode MS"/>
          <w:u w:color="000000"/>
        </w:rPr>
        <w:t xml:space="preserve">Often, data </w:t>
      </w:r>
      <w:r w:rsidRPr="00021722">
        <w:rPr>
          <w:rFonts w:eastAsia="Arial Unicode MS"/>
          <w:u w:color="000000"/>
        </w:rPr>
        <w:t>need</w:t>
      </w:r>
      <w:r w:rsidRPr="00021722">
        <w:rPr>
          <w:rFonts w:eastAsia="Arial Unicode MS"/>
          <w:u w:color="000000"/>
        </w:rPr>
        <w:t xml:space="preserve"> to be collected within hours or days of the request.  </w:t>
      </w:r>
      <w:r w:rsidRPr="005E392D" w:rsidR="00383C73">
        <w:rPr>
          <w:rFonts w:cs="Arial"/>
        </w:rPr>
        <w:t xml:space="preserve">Therefore, NCEH requests 5-day approval, or within 72 or 24 hours, if </w:t>
      </w:r>
      <w:r w:rsidR="00383C73">
        <w:rPr>
          <w:rFonts w:cs="Arial"/>
        </w:rPr>
        <w:t xml:space="preserve">urgently </w:t>
      </w:r>
      <w:r w:rsidRPr="005E392D" w:rsidR="00383C73">
        <w:rPr>
          <w:rFonts w:cs="Arial"/>
        </w:rPr>
        <w:t xml:space="preserve">needed. </w:t>
      </w:r>
      <w:r w:rsidRPr="006767D1">
        <w:rPr>
          <w:rFonts w:eastAsia="Arial Unicode MS"/>
          <w:u w:color="000000"/>
        </w:rPr>
        <w:t xml:space="preserve">Because of the need to rapidly obtain information to appropriately respond to the urgent public health </w:t>
      </w:r>
      <w:r w:rsidR="00A87B02">
        <w:rPr>
          <w:rFonts w:eastAsia="Arial Unicode MS"/>
          <w:u w:color="000000"/>
        </w:rPr>
        <w:t>emergency</w:t>
      </w:r>
      <w:r w:rsidRPr="006767D1">
        <w:rPr>
          <w:rFonts w:eastAsia="Arial Unicode MS"/>
          <w:u w:color="000000"/>
        </w:rPr>
        <w:t xml:space="preserve">, data collection </w:t>
      </w:r>
      <w:r w:rsidRPr="00F754AF" w:rsidR="0097745C">
        <w:rPr>
          <w:rFonts w:eastAsia="Arial Unicode MS"/>
          <w:u w:color="000000"/>
        </w:rPr>
        <w:t>must</w:t>
      </w:r>
      <w:r w:rsidRPr="00B340E4">
        <w:rPr>
          <w:rFonts w:eastAsia="Arial Unicode MS"/>
          <w:u w:color="000000"/>
        </w:rPr>
        <w:t xml:space="preserve"> be completed within </w:t>
      </w:r>
      <w:r w:rsidRPr="002E3E4E" w:rsidR="00BD6C2E">
        <w:rPr>
          <w:u w:color="000000"/>
        </w:rPr>
        <w:t>6</w:t>
      </w:r>
      <w:r w:rsidRPr="002E3E4E">
        <w:rPr>
          <w:u w:color="000000"/>
        </w:rPr>
        <w:t>0</w:t>
      </w:r>
      <w:r w:rsidRPr="002E3E4E">
        <w:rPr>
          <w:rFonts w:eastAsia="Arial Unicode MS"/>
          <w:u w:color="000000"/>
        </w:rPr>
        <w:t xml:space="preserve"> days.</w:t>
      </w:r>
      <w:r w:rsidRPr="006767D1">
        <w:rPr>
          <w:rFonts w:eastAsia="Arial Unicode MS"/>
          <w:u w:color="000000"/>
        </w:rPr>
        <w:t xml:space="preserve"> </w:t>
      </w:r>
    </w:p>
    <w:p w:rsidR="00021722" w:rsidRPr="00021722" w:rsidP="002230B4" w14:paraId="2D42A1DB" w14:textId="77777777">
      <w:pPr>
        <w:rPr>
          <w:rFonts w:eastAsia="Arial Unicode MS"/>
          <w:u w:color="000000"/>
        </w:rPr>
      </w:pPr>
      <w:r w:rsidRPr="00021722">
        <w:rPr>
          <w:rFonts w:eastAsia="Arial Unicode MS"/>
          <w:u w:color="000000"/>
        </w:rPr>
        <w:t xml:space="preserve">To comply with </w:t>
      </w:r>
      <w:r w:rsidRPr="00021722">
        <w:rPr>
          <w:rFonts w:eastAsia="Arial Unicode MS"/>
          <w:u w:color="000000"/>
        </w:rPr>
        <w:t>the regulation</w:t>
      </w:r>
      <w:r w:rsidRPr="00021722">
        <w:rPr>
          <w:rFonts w:eastAsia="Arial Unicode MS"/>
          <w:u w:color="000000"/>
        </w:rPr>
        <w:t xml:space="preserve"> 5 CFR 1320.5 and at the same time ensure that public health data are collected in a timely manner as necessary to protect the health of the public, </w:t>
      </w:r>
      <w:r w:rsidR="00C476F3">
        <w:rPr>
          <w:rFonts w:eastAsia="Arial Unicode MS"/>
          <w:u w:color="000000"/>
        </w:rPr>
        <w:t xml:space="preserve">public health emergencies that fit the criteria for data collection </w:t>
      </w:r>
      <w:r w:rsidRPr="00021722">
        <w:rPr>
          <w:rFonts w:eastAsia="Arial Unicode MS"/>
          <w:u w:color="000000"/>
        </w:rPr>
        <w:t>will adhere to the following timeline and processes:</w:t>
      </w:r>
    </w:p>
    <w:p w:rsidR="00A01EE4" w:rsidP="00F754AF" w14:paraId="70481331" w14:textId="77777777">
      <w:pPr>
        <w:pStyle w:val="ListParagraph"/>
        <w:numPr>
          <w:ilvl w:val="0"/>
          <w:numId w:val="13"/>
        </w:numPr>
        <w:spacing w:before="240" w:line="276" w:lineRule="auto"/>
        <w:rPr>
          <w:rFonts w:eastAsia="Arial Unicode MS"/>
          <w:u w:color="000000"/>
        </w:rPr>
      </w:pPr>
      <w:r w:rsidRPr="00021722">
        <w:rPr>
          <w:rFonts w:eastAsia="Arial Unicode MS"/>
          <w:u w:color="000000"/>
        </w:rPr>
        <w:t>A</w:t>
      </w:r>
      <w:r w:rsidR="00777E17">
        <w:rPr>
          <w:rFonts w:eastAsia="Arial Unicode MS"/>
          <w:u w:color="000000"/>
        </w:rPr>
        <w:t>fter an emergency incident is identified</w:t>
      </w:r>
      <w:r w:rsidRPr="00021722">
        <w:rPr>
          <w:rFonts w:eastAsia="Arial Unicode MS"/>
          <w:u w:color="000000"/>
        </w:rPr>
        <w:t xml:space="preserve">, </w:t>
      </w:r>
      <w:r>
        <w:rPr>
          <w:rFonts w:eastAsia="Arial Unicode MS"/>
          <w:u w:color="000000"/>
        </w:rPr>
        <w:t>t</w:t>
      </w:r>
      <w:r w:rsidR="00503006">
        <w:rPr>
          <w:rFonts w:eastAsia="Arial Unicode MS"/>
          <w:u w:color="000000"/>
        </w:rPr>
        <w:t>he NCEH</w:t>
      </w:r>
      <w:r>
        <w:rPr>
          <w:rFonts w:eastAsia="Arial Unicode MS"/>
          <w:u w:color="000000"/>
        </w:rPr>
        <w:t xml:space="preserve"> project officer reviews the “Step-by-Step How to use the Generic Clearance” guide (</w:t>
      </w:r>
      <w:r>
        <w:rPr>
          <w:rFonts w:eastAsia="Arial Unicode MS"/>
          <w:b/>
          <w:u w:color="000000"/>
        </w:rPr>
        <w:t xml:space="preserve">Attachment </w:t>
      </w:r>
      <w:r w:rsidR="00A73EFB">
        <w:rPr>
          <w:rFonts w:eastAsia="Arial Unicode MS"/>
          <w:b/>
          <w:u w:color="000000"/>
        </w:rPr>
        <w:t>9</w:t>
      </w:r>
      <w:r w:rsidR="00503006">
        <w:rPr>
          <w:rFonts w:eastAsia="Arial Unicode MS"/>
          <w:u w:color="000000"/>
        </w:rPr>
        <w:t xml:space="preserve">) and notifies the NCEH/ATSDR ICR Liaison (ICRL) of a potential </w:t>
      </w:r>
      <w:r w:rsidR="00343346">
        <w:rPr>
          <w:rFonts w:eastAsia="Arial Unicode MS"/>
          <w:u w:color="000000"/>
        </w:rPr>
        <w:t>poison center GenIC</w:t>
      </w:r>
      <w:r w:rsidR="00503006">
        <w:rPr>
          <w:rFonts w:eastAsia="Arial Unicode MS"/>
          <w:u w:color="000000"/>
        </w:rPr>
        <w:t>.</w:t>
      </w:r>
    </w:p>
    <w:p w:rsidR="00A01EE4" w:rsidP="00E74B2C" w14:paraId="18152754" w14:textId="77777777">
      <w:pPr>
        <w:pStyle w:val="ListParagraph"/>
        <w:numPr>
          <w:ilvl w:val="0"/>
          <w:numId w:val="13"/>
        </w:numPr>
        <w:spacing w:before="240" w:line="276" w:lineRule="auto"/>
        <w:rPr>
          <w:rFonts w:eastAsia="Arial Unicode MS"/>
          <w:u w:color="000000"/>
        </w:rPr>
      </w:pPr>
      <w:r>
        <w:rPr>
          <w:rFonts w:eastAsia="Arial Unicode MS"/>
          <w:u w:color="000000"/>
        </w:rPr>
        <w:t>NCEH</w:t>
      </w:r>
      <w:r w:rsidRPr="00021722" w:rsidR="00021722">
        <w:rPr>
          <w:rFonts w:eastAsia="Arial Unicode MS"/>
          <w:u w:color="000000"/>
        </w:rPr>
        <w:t xml:space="preserve"> </w:t>
      </w:r>
      <w:r w:rsidR="00021722">
        <w:rPr>
          <w:rFonts w:eastAsia="Arial Unicode MS"/>
          <w:u w:color="000000"/>
        </w:rPr>
        <w:t>engage</w:t>
      </w:r>
      <w:r w:rsidR="00110C50">
        <w:rPr>
          <w:rFonts w:eastAsia="Arial Unicode MS"/>
          <w:u w:color="000000"/>
        </w:rPr>
        <w:t>s</w:t>
      </w:r>
      <w:r w:rsidR="00021722">
        <w:rPr>
          <w:rFonts w:eastAsia="Arial Unicode MS"/>
          <w:u w:color="000000"/>
        </w:rPr>
        <w:t xml:space="preserve"> </w:t>
      </w:r>
      <w:r w:rsidR="00D23056">
        <w:rPr>
          <w:rFonts w:eastAsia="Arial Unicode MS"/>
          <w:u w:color="000000"/>
        </w:rPr>
        <w:t xml:space="preserve">America’s Poison </w:t>
      </w:r>
      <w:r w:rsidR="00B36988">
        <w:rPr>
          <w:rFonts w:cs="Courier New"/>
          <w:lang w:val="en"/>
        </w:rPr>
        <w:t>Centers</w:t>
      </w:r>
      <w:r w:rsidR="00B36988">
        <w:rPr>
          <w:rFonts w:cs="Courier New"/>
          <w:vertAlign w:val="superscript"/>
          <w:lang w:val="en"/>
        </w:rPr>
        <w:t xml:space="preserve"> </w:t>
      </w:r>
      <w:r w:rsidRPr="00895214" w:rsidR="00B36988">
        <w:rPr>
          <w:rFonts w:cs="Courier New"/>
          <w:vertAlign w:val="superscript"/>
          <w:lang w:val="en"/>
        </w:rPr>
        <w:t>TM</w:t>
      </w:r>
      <w:r w:rsidR="00663BC7">
        <w:rPr>
          <w:rFonts w:eastAsia="Arial Unicode MS"/>
          <w:u w:color="000000"/>
        </w:rPr>
        <w:t xml:space="preserve"> to determine if the incident is a</w:t>
      </w:r>
      <w:r w:rsidR="00FF5306">
        <w:rPr>
          <w:rFonts w:eastAsia="Arial Unicode MS"/>
          <w:u w:color="000000"/>
        </w:rPr>
        <w:t>n eligible</w:t>
      </w:r>
      <w:r w:rsidR="00663BC7">
        <w:rPr>
          <w:rFonts w:eastAsia="Arial Unicode MS"/>
          <w:u w:color="000000"/>
        </w:rPr>
        <w:t xml:space="preserve"> public health emergency</w:t>
      </w:r>
      <w:r w:rsidR="00021722">
        <w:rPr>
          <w:rFonts w:eastAsia="Arial Unicode MS"/>
          <w:u w:color="000000"/>
        </w:rPr>
        <w:t xml:space="preserve"> </w:t>
      </w:r>
      <w:r w:rsidR="00E05466">
        <w:rPr>
          <w:rFonts w:eastAsia="Arial Unicode MS"/>
          <w:u w:color="000000"/>
        </w:rPr>
        <w:t>and ensure</w:t>
      </w:r>
      <w:r w:rsidR="00110C50">
        <w:rPr>
          <w:rFonts w:eastAsia="Arial Unicode MS"/>
          <w:u w:color="000000"/>
        </w:rPr>
        <w:t>s</w:t>
      </w:r>
      <w:r w:rsidR="00E05466">
        <w:rPr>
          <w:rFonts w:eastAsia="Arial Unicode MS"/>
          <w:u w:color="000000"/>
        </w:rPr>
        <w:t xml:space="preserve"> all </w:t>
      </w:r>
      <w:r w:rsidR="004A0DBF">
        <w:rPr>
          <w:rFonts w:eastAsia="Arial Unicode MS"/>
          <w:u w:color="000000"/>
        </w:rPr>
        <w:t>data collection</w:t>
      </w:r>
      <w:r w:rsidR="00424D0B">
        <w:rPr>
          <w:rFonts w:eastAsia="Arial Unicode MS"/>
          <w:u w:color="000000"/>
        </w:rPr>
        <w:t xml:space="preserve"> </w:t>
      </w:r>
      <w:r w:rsidR="0072719C">
        <w:rPr>
          <w:rFonts w:eastAsia="Arial Unicode MS"/>
          <w:u w:color="000000"/>
        </w:rPr>
        <w:t>criteria</w:t>
      </w:r>
      <w:r w:rsidR="003F735E">
        <w:rPr>
          <w:rFonts w:eastAsia="Arial Unicode MS"/>
          <w:u w:color="000000"/>
        </w:rPr>
        <w:t xml:space="preserve"> </w:t>
      </w:r>
      <w:r w:rsidR="004A0DBF">
        <w:rPr>
          <w:rFonts w:eastAsia="Arial Unicode MS"/>
          <w:u w:color="000000"/>
        </w:rPr>
        <w:t>are met</w:t>
      </w:r>
      <w:r w:rsidR="0050708C">
        <w:rPr>
          <w:rFonts w:eastAsia="Arial Unicode MS"/>
          <w:u w:color="000000"/>
        </w:rPr>
        <w:t xml:space="preserve"> (refer to S</w:t>
      </w:r>
      <w:r w:rsidR="002230B4">
        <w:rPr>
          <w:rFonts w:eastAsia="Arial Unicode MS"/>
          <w:u w:color="000000"/>
        </w:rPr>
        <w:t>ection A2)</w:t>
      </w:r>
      <w:r w:rsidR="00424D0B">
        <w:rPr>
          <w:rFonts w:eastAsia="Arial Unicode MS"/>
          <w:u w:color="000000"/>
        </w:rPr>
        <w:t xml:space="preserve">. </w:t>
      </w:r>
    </w:p>
    <w:p w:rsidR="007224BD" w:rsidP="002230B4" w14:paraId="7E9283F9" w14:textId="77777777">
      <w:pPr>
        <w:pStyle w:val="ListParagraph"/>
        <w:numPr>
          <w:ilvl w:val="0"/>
          <w:numId w:val="13"/>
        </w:numPr>
        <w:spacing w:line="276" w:lineRule="auto"/>
        <w:rPr>
          <w:rFonts w:eastAsia="Arial Unicode MS"/>
          <w:u w:color="000000"/>
        </w:rPr>
      </w:pPr>
      <w:r>
        <w:rPr>
          <w:rFonts w:eastAsia="Arial Unicode MS"/>
          <w:u w:color="000000"/>
        </w:rPr>
        <w:t xml:space="preserve">Following concurrence from </w:t>
      </w:r>
      <w:r w:rsidR="005F563A">
        <w:rPr>
          <w:rFonts w:eastAsia="Arial Unicode MS"/>
          <w:u w:color="000000"/>
        </w:rPr>
        <w:t xml:space="preserve">America’s Poison </w:t>
      </w:r>
      <w:r w:rsidR="00B36988">
        <w:rPr>
          <w:rFonts w:cs="Courier New"/>
          <w:lang w:val="en"/>
        </w:rPr>
        <w:t>Centers</w:t>
      </w:r>
      <w:r w:rsidR="00B36988">
        <w:rPr>
          <w:rFonts w:cs="Courier New"/>
          <w:vertAlign w:val="superscript"/>
          <w:lang w:val="en"/>
        </w:rPr>
        <w:t xml:space="preserve"> </w:t>
      </w:r>
      <w:r w:rsidRPr="00895214" w:rsidR="00B36988">
        <w:rPr>
          <w:rFonts w:cs="Courier New"/>
          <w:vertAlign w:val="superscript"/>
          <w:lang w:val="en"/>
        </w:rPr>
        <w:t>TM</w:t>
      </w:r>
      <w:r>
        <w:rPr>
          <w:rFonts w:eastAsia="Arial Unicode MS"/>
          <w:u w:color="000000"/>
        </w:rPr>
        <w:t xml:space="preserve">, </w:t>
      </w:r>
      <w:r w:rsidR="00503006">
        <w:rPr>
          <w:rFonts w:eastAsia="Arial Unicode MS"/>
          <w:u w:color="000000"/>
        </w:rPr>
        <w:t>NCEH</w:t>
      </w:r>
      <w:r w:rsidR="00CE7F3F">
        <w:rPr>
          <w:rFonts w:eastAsia="Arial Unicode MS"/>
          <w:u w:color="000000"/>
        </w:rPr>
        <w:t xml:space="preserve"> </w:t>
      </w:r>
      <w:r w:rsidRPr="00EA7C45" w:rsidR="00CE7F3F">
        <w:rPr>
          <w:rFonts w:eastAsia="Arial Unicode MS"/>
          <w:u w:color="000000"/>
        </w:rPr>
        <w:t>requests</w:t>
      </w:r>
      <w:r w:rsidRPr="00EA7C45" w:rsidR="005F3299">
        <w:rPr>
          <w:rFonts w:eastAsia="Arial Unicode MS"/>
          <w:u w:color="000000"/>
        </w:rPr>
        <w:t xml:space="preserve"> poison </w:t>
      </w:r>
      <w:r w:rsidRPr="00EA7C45" w:rsidR="008C0E5B">
        <w:rPr>
          <w:rFonts w:eastAsia="Arial Unicode MS"/>
          <w:u w:color="000000"/>
        </w:rPr>
        <w:t>center</w:t>
      </w:r>
      <w:r w:rsidR="003848F8">
        <w:rPr>
          <w:rFonts w:eastAsia="Arial Unicode MS"/>
          <w:u w:color="000000"/>
        </w:rPr>
        <w:t>(</w:t>
      </w:r>
      <w:r w:rsidRPr="00EA7C45" w:rsidR="008C0E5B">
        <w:rPr>
          <w:rFonts w:eastAsia="Arial Unicode MS"/>
          <w:u w:color="000000"/>
        </w:rPr>
        <w:t>s</w:t>
      </w:r>
      <w:r w:rsidR="003848F8">
        <w:rPr>
          <w:rFonts w:eastAsia="Arial Unicode MS"/>
          <w:u w:color="000000"/>
        </w:rPr>
        <w:t>)</w:t>
      </w:r>
      <w:r w:rsidRPr="00EA7C45" w:rsidR="008C0E5B">
        <w:rPr>
          <w:rFonts w:eastAsia="Arial Unicode MS"/>
          <w:u w:color="000000"/>
        </w:rPr>
        <w:t xml:space="preserve"> to</w:t>
      </w:r>
      <w:r w:rsidRPr="00EA7C45" w:rsidR="00E6543B">
        <w:rPr>
          <w:rFonts w:eastAsia="Arial Unicode MS"/>
          <w:u w:color="000000"/>
        </w:rPr>
        <w:t xml:space="preserve"> collect</w:t>
      </w:r>
      <w:r w:rsidRPr="00EA7C45" w:rsidR="00C5663B">
        <w:rPr>
          <w:rFonts w:eastAsia="Arial Unicode MS"/>
          <w:u w:color="000000"/>
        </w:rPr>
        <w:t xml:space="preserve"> follow</w:t>
      </w:r>
      <w:r w:rsidRPr="00C5663B" w:rsidR="00C5663B">
        <w:rPr>
          <w:rFonts w:eastAsia="Arial Unicode MS"/>
          <w:u w:color="000000"/>
        </w:rPr>
        <w:t xml:space="preserve">-up </w:t>
      </w:r>
      <w:r w:rsidRPr="00C5663B" w:rsidR="00BD2930">
        <w:rPr>
          <w:rFonts w:eastAsia="Arial Unicode MS"/>
          <w:u w:color="000000"/>
        </w:rPr>
        <w:t>information</w:t>
      </w:r>
      <w:r w:rsidR="004A0DBF">
        <w:rPr>
          <w:rFonts w:eastAsia="Arial Unicode MS"/>
          <w:u w:color="000000"/>
        </w:rPr>
        <w:t>.</w:t>
      </w:r>
    </w:p>
    <w:p w:rsidR="00166543" w:rsidP="00E74B2C" w14:paraId="55DDEC14" w14:textId="77777777">
      <w:pPr>
        <w:pStyle w:val="ListParagraph"/>
        <w:numPr>
          <w:ilvl w:val="0"/>
          <w:numId w:val="13"/>
        </w:numPr>
        <w:spacing w:line="276" w:lineRule="auto"/>
        <w:rPr>
          <w:rFonts w:eastAsia="Arial Unicode MS"/>
          <w:u w:color="000000"/>
        </w:rPr>
      </w:pPr>
      <w:r w:rsidRPr="00343346">
        <w:rPr>
          <w:rFonts w:eastAsia="Arial Unicode MS"/>
          <w:u w:color="000000"/>
        </w:rPr>
        <w:t>If a 72</w:t>
      </w:r>
      <w:r w:rsidR="00AB22A4">
        <w:rPr>
          <w:rFonts w:eastAsia="Arial Unicode MS"/>
          <w:u w:color="000000"/>
        </w:rPr>
        <w:t>-</w:t>
      </w:r>
      <w:r w:rsidRPr="00343346">
        <w:rPr>
          <w:rFonts w:eastAsia="Arial Unicode MS"/>
          <w:u w:color="000000"/>
        </w:rPr>
        <w:t xml:space="preserve"> or 24-hour approval </w:t>
      </w:r>
      <w:r w:rsidRPr="00343346">
        <w:rPr>
          <w:rFonts w:eastAsia="Arial Unicode MS"/>
          <w:u w:color="000000"/>
        </w:rPr>
        <w:t>will be</w:t>
      </w:r>
      <w:r w:rsidRPr="00343346">
        <w:rPr>
          <w:rFonts w:eastAsia="Arial Unicode MS"/>
          <w:u w:color="000000"/>
        </w:rPr>
        <w:t xml:space="preserve"> requested</w:t>
      </w:r>
      <w:r w:rsidRPr="00343346">
        <w:rPr>
          <w:color w:val="000000"/>
        </w:rPr>
        <w:t xml:space="preserve">, </w:t>
      </w:r>
      <w:r>
        <w:rPr>
          <w:color w:val="000000"/>
        </w:rPr>
        <w:t>t</w:t>
      </w:r>
      <w:r w:rsidRPr="00343346">
        <w:rPr>
          <w:color w:val="000000"/>
        </w:rPr>
        <w:t>he NCEH project officer prepares and routes the Advance Notification Email</w:t>
      </w:r>
      <w:r>
        <w:rPr>
          <w:color w:val="000000"/>
        </w:rPr>
        <w:t xml:space="preserve"> with justification</w:t>
      </w:r>
      <w:r w:rsidRPr="00343346">
        <w:rPr>
          <w:color w:val="000000"/>
        </w:rPr>
        <w:t xml:space="preserve"> (</w:t>
      </w:r>
      <w:r w:rsidRPr="00343346">
        <w:rPr>
          <w:b/>
          <w:color w:val="000000"/>
        </w:rPr>
        <w:t xml:space="preserve">Attachment </w:t>
      </w:r>
      <w:r w:rsidR="00872B9D">
        <w:rPr>
          <w:b/>
          <w:color w:val="000000"/>
        </w:rPr>
        <w:t>10</w:t>
      </w:r>
      <w:r w:rsidRPr="00343346">
        <w:rPr>
          <w:color w:val="000000"/>
        </w:rPr>
        <w:t>)</w:t>
      </w:r>
      <w:r w:rsidRPr="00343346">
        <w:rPr>
          <w:rFonts w:eastAsia="Arial Unicode MS"/>
          <w:u w:color="000000"/>
        </w:rPr>
        <w:t xml:space="preserve"> to the ICRL to provide as much advance warning as possible that the request is being prepared. </w:t>
      </w:r>
      <w:r w:rsidR="005E04C9">
        <w:rPr>
          <w:rFonts w:eastAsia="Arial Unicode MS"/>
          <w:u w:color="000000"/>
        </w:rPr>
        <w:t>This step is not needed for a 5-day approval.</w:t>
      </w:r>
    </w:p>
    <w:p w:rsidR="00343346" w:rsidRPr="00166543" w:rsidP="00166543" w14:paraId="3DB6A896" w14:textId="77777777">
      <w:pPr>
        <w:pStyle w:val="ListParagraph"/>
        <w:numPr>
          <w:ilvl w:val="0"/>
          <w:numId w:val="13"/>
        </w:numPr>
        <w:spacing w:line="276" w:lineRule="auto"/>
        <w:rPr>
          <w:rFonts w:eastAsia="Arial Unicode MS"/>
          <w:u w:color="000000"/>
        </w:rPr>
      </w:pPr>
      <w:r w:rsidRPr="00587268">
        <w:rPr>
          <w:rFonts w:eastAsia="Arial Unicode MS"/>
          <w:u w:color="000000"/>
        </w:rPr>
        <w:t xml:space="preserve">The </w:t>
      </w:r>
      <w:r w:rsidR="00166543">
        <w:rPr>
          <w:rFonts w:eastAsia="Arial Unicode MS"/>
          <w:u w:color="000000"/>
        </w:rPr>
        <w:t>ICRL routes the 72</w:t>
      </w:r>
      <w:r w:rsidR="00AB22A4">
        <w:rPr>
          <w:rFonts w:eastAsia="Arial Unicode MS"/>
          <w:u w:color="000000"/>
        </w:rPr>
        <w:t>-</w:t>
      </w:r>
      <w:r w:rsidR="00166543">
        <w:rPr>
          <w:rFonts w:eastAsia="Arial Unicode MS"/>
          <w:u w:color="000000"/>
        </w:rPr>
        <w:t xml:space="preserve"> or 24-hour advance notification to the </w:t>
      </w:r>
      <w:r w:rsidRPr="00587268">
        <w:rPr>
          <w:rFonts w:eastAsia="Arial Unicode MS"/>
          <w:u w:color="000000"/>
        </w:rPr>
        <w:t>CDC Information Collection Request Office (ICRO)</w:t>
      </w:r>
      <w:r w:rsidR="00AB22A4">
        <w:rPr>
          <w:rFonts w:eastAsia="Arial Unicode MS"/>
          <w:u w:color="000000"/>
        </w:rPr>
        <w:t xml:space="preserve"> via email</w:t>
      </w:r>
      <w:r w:rsidRPr="00587268">
        <w:rPr>
          <w:rFonts w:eastAsia="Arial Unicode MS"/>
          <w:u w:color="000000"/>
        </w:rPr>
        <w:t xml:space="preserve">, </w:t>
      </w:r>
      <w:r w:rsidR="00166543">
        <w:rPr>
          <w:rFonts w:eastAsia="Arial Unicode MS"/>
          <w:u w:color="000000"/>
        </w:rPr>
        <w:t xml:space="preserve">which in turn alerts the </w:t>
      </w:r>
      <w:r w:rsidRPr="00587268">
        <w:rPr>
          <w:rFonts w:eastAsia="Arial Unicode MS"/>
          <w:u w:color="000000"/>
        </w:rPr>
        <w:t xml:space="preserve">United States (US) Department of Health and Human Services (HHS) and the OMB desk officers </w:t>
      </w:r>
      <w:r w:rsidR="00166543">
        <w:rPr>
          <w:rFonts w:eastAsia="Arial Unicode MS"/>
          <w:u w:color="000000"/>
        </w:rPr>
        <w:t>to expect a new urgent poison center GenIC. A</w:t>
      </w:r>
      <w:r w:rsidR="002E0908">
        <w:rPr>
          <w:rFonts w:eastAsia="Arial Unicode MS"/>
          <w:u w:color="000000"/>
        </w:rPr>
        <w:t>gain, a</w:t>
      </w:r>
      <w:r w:rsidR="00166543">
        <w:rPr>
          <w:rFonts w:eastAsia="Arial Unicode MS"/>
          <w:u w:color="000000"/>
        </w:rPr>
        <w:t xml:space="preserve"> 5-day approval will not require advance notification.</w:t>
      </w:r>
    </w:p>
    <w:p w:rsidR="00A23C66" w:rsidP="00E74B2C" w14:paraId="236E5CDC" w14:textId="77777777">
      <w:pPr>
        <w:pStyle w:val="ListParagraph"/>
        <w:numPr>
          <w:ilvl w:val="0"/>
          <w:numId w:val="13"/>
        </w:numPr>
        <w:spacing w:line="276" w:lineRule="auto"/>
        <w:rPr>
          <w:rFonts w:eastAsia="Arial Unicode MS"/>
          <w:u w:color="000000"/>
        </w:rPr>
      </w:pPr>
      <w:r>
        <w:rPr>
          <w:rFonts w:eastAsia="Arial Unicode MS"/>
          <w:u w:color="000000"/>
        </w:rPr>
        <w:t xml:space="preserve">The </w:t>
      </w:r>
      <w:r w:rsidR="00097A23">
        <w:rPr>
          <w:rFonts w:eastAsia="Arial Unicode MS"/>
          <w:u w:color="000000"/>
        </w:rPr>
        <w:t xml:space="preserve">NCEH </w:t>
      </w:r>
      <w:r>
        <w:rPr>
          <w:rFonts w:eastAsia="Arial Unicode MS"/>
          <w:u w:color="000000"/>
        </w:rPr>
        <w:t xml:space="preserve">project officer </w:t>
      </w:r>
      <w:r w:rsidR="00097A23">
        <w:rPr>
          <w:rFonts w:eastAsia="Arial Unicode MS"/>
          <w:u w:color="000000"/>
        </w:rPr>
        <w:t>p</w:t>
      </w:r>
      <w:r>
        <w:rPr>
          <w:rFonts w:eastAsia="Arial Unicode MS"/>
          <w:u w:color="000000"/>
        </w:rPr>
        <w:t>repares</w:t>
      </w:r>
      <w:r w:rsidR="00097A23">
        <w:rPr>
          <w:rFonts w:eastAsia="Arial Unicode MS"/>
          <w:u w:color="000000"/>
        </w:rPr>
        <w:t xml:space="preserve"> </w:t>
      </w:r>
      <w:r w:rsidR="00E04434">
        <w:rPr>
          <w:rFonts w:eastAsia="Arial Unicode MS"/>
          <w:u w:color="000000"/>
        </w:rPr>
        <w:t xml:space="preserve">and submits </w:t>
      </w:r>
      <w:r w:rsidR="00097A23">
        <w:rPr>
          <w:rFonts w:eastAsia="Arial Unicode MS"/>
          <w:u w:color="000000"/>
        </w:rPr>
        <w:t>the</w:t>
      </w:r>
      <w:r w:rsidR="002A2472">
        <w:rPr>
          <w:rFonts w:eastAsia="Arial Unicode MS"/>
          <w:u w:color="000000"/>
        </w:rPr>
        <w:t xml:space="preserve"> GenIC package</w:t>
      </w:r>
      <w:r w:rsidR="007E050F">
        <w:rPr>
          <w:rFonts w:eastAsia="Arial Unicode MS"/>
          <w:u w:color="000000"/>
        </w:rPr>
        <w:t xml:space="preserve"> to the ICRL</w:t>
      </w:r>
      <w:r w:rsidR="00AB22A4">
        <w:rPr>
          <w:rFonts w:eastAsia="Arial Unicode MS"/>
          <w:u w:color="000000"/>
        </w:rPr>
        <w:t xml:space="preserve"> in STARS</w:t>
      </w:r>
      <w:r w:rsidR="00166543">
        <w:rPr>
          <w:rFonts w:eastAsia="Arial Unicode MS"/>
          <w:u w:color="000000"/>
        </w:rPr>
        <w:t>, which includes</w:t>
      </w:r>
      <w:r w:rsidR="002A2472">
        <w:rPr>
          <w:rFonts w:eastAsia="Arial Unicode MS"/>
          <w:u w:color="000000"/>
        </w:rPr>
        <w:t>:</w:t>
      </w:r>
    </w:p>
    <w:p w:rsidR="00343346" w:rsidRPr="0068458C" w:rsidP="00E74B2C" w14:paraId="5BED19A5" w14:textId="77777777">
      <w:pPr>
        <w:pStyle w:val="ListParagraph"/>
        <w:numPr>
          <w:ilvl w:val="1"/>
          <w:numId w:val="13"/>
        </w:numPr>
        <w:spacing w:line="276" w:lineRule="auto"/>
        <w:rPr>
          <w:rFonts w:eastAsia="Arial Unicode MS"/>
          <w:u w:color="000000"/>
        </w:rPr>
      </w:pPr>
      <w:r>
        <w:rPr>
          <w:rFonts w:eastAsia="Arial Unicode MS"/>
          <w:u w:color="000000"/>
        </w:rPr>
        <w:t xml:space="preserve">GenIC </w:t>
      </w:r>
      <w:r w:rsidRPr="0068458C" w:rsidR="00A50E20">
        <w:rPr>
          <w:rFonts w:eastAsia="Arial Unicode MS"/>
          <w:u w:color="000000"/>
        </w:rPr>
        <w:t>Request for Approval</w:t>
      </w:r>
      <w:r>
        <w:rPr>
          <w:rFonts w:eastAsia="Arial Unicode MS"/>
          <w:u w:color="000000"/>
        </w:rPr>
        <w:t xml:space="preserve"> (</w:t>
      </w:r>
      <w:r>
        <w:rPr>
          <w:rFonts w:eastAsia="Arial Unicode MS"/>
          <w:b/>
          <w:u w:color="000000"/>
        </w:rPr>
        <w:t xml:space="preserve">Attachment </w:t>
      </w:r>
      <w:r w:rsidR="00D93CD7">
        <w:rPr>
          <w:rFonts w:eastAsia="Arial Unicode MS"/>
          <w:b/>
          <w:u w:color="000000"/>
        </w:rPr>
        <w:t>11</w:t>
      </w:r>
      <w:r>
        <w:rPr>
          <w:rFonts w:eastAsia="Arial Unicode MS"/>
          <w:u w:color="000000"/>
        </w:rPr>
        <w:t>)</w:t>
      </w:r>
    </w:p>
    <w:p w:rsidR="00343346" w:rsidRPr="00343346" w:rsidP="00F754AF" w14:paraId="31FDB1D9" w14:textId="77777777">
      <w:pPr>
        <w:pStyle w:val="ListParagraph"/>
        <w:numPr>
          <w:ilvl w:val="1"/>
          <w:numId w:val="13"/>
        </w:numPr>
        <w:spacing w:line="276" w:lineRule="auto"/>
        <w:rPr>
          <w:rFonts w:eastAsia="Arial Unicode MS"/>
          <w:u w:color="000000"/>
        </w:rPr>
      </w:pPr>
      <w:r w:rsidRPr="00343346">
        <w:rPr>
          <w:rFonts w:eastAsia="Arial Unicode MS"/>
          <w:u w:color="000000"/>
        </w:rPr>
        <w:t>Supporting Statement B</w:t>
      </w:r>
    </w:p>
    <w:p w:rsidR="00343346" w:rsidRPr="00343346" w:rsidP="00F754AF" w14:paraId="6C9CA2AD" w14:textId="77777777">
      <w:pPr>
        <w:pStyle w:val="ListParagraph"/>
        <w:numPr>
          <w:ilvl w:val="1"/>
          <w:numId w:val="13"/>
        </w:numPr>
        <w:spacing w:line="276" w:lineRule="auto"/>
        <w:rPr>
          <w:rFonts w:eastAsia="Arial Unicode MS"/>
          <w:u w:color="000000"/>
        </w:rPr>
      </w:pPr>
      <w:r w:rsidRPr="00343346">
        <w:rPr>
          <w:rFonts w:eastAsia="Arial Unicode MS"/>
          <w:u w:color="000000"/>
        </w:rPr>
        <w:t>Consent Form</w:t>
      </w:r>
      <w:r w:rsidRPr="00343346" w:rsidR="002A2472">
        <w:rPr>
          <w:rFonts w:eastAsia="Arial Unicode MS"/>
          <w:u w:color="000000"/>
        </w:rPr>
        <w:t xml:space="preserve"> (</w:t>
      </w:r>
      <w:r w:rsidRPr="00343346" w:rsidR="002A2472">
        <w:rPr>
          <w:rFonts w:eastAsia="Arial Unicode MS"/>
          <w:b/>
          <w:u w:color="000000"/>
        </w:rPr>
        <w:t xml:space="preserve">Attachment </w:t>
      </w:r>
      <w:r w:rsidR="00F8141A">
        <w:rPr>
          <w:rFonts w:eastAsia="Arial Unicode MS"/>
          <w:b/>
          <w:u w:color="000000"/>
        </w:rPr>
        <w:t>12</w:t>
      </w:r>
      <w:r w:rsidR="00166543">
        <w:rPr>
          <w:rFonts w:eastAsia="Arial Unicode MS"/>
          <w:b/>
          <w:u w:color="000000"/>
        </w:rPr>
        <w:t xml:space="preserve"> </w:t>
      </w:r>
      <w:r w:rsidR="00166543">
        <w:rPr>
          <w:rFonts w:eastAsia="Arial Unicode MS"/>
          <w:u w:color="000000"/>
        </w:rPr>
        <w:t>- sample consent forms</w:t>
      </w:r>
      <w:r w:rsidRPr="00343346" w:rsidR="002A2472">
        <w:rPr>
          <w:rFonts w:eastAsia="Arial Unicode MS"/>
          <w:u w:color="000000"/>
        </w:rPr>
        <w:t>)</w:t>
      </w:r>
    </w:p>
    <w:p w:rsidR="00343346" w:rsidRPr="00343346" w:rsidP="00F754AF" w14:paraId="5019C6AD" w14:textId="77777777">
      <w:pPr>
        <w:pStyle w:val="ListParagraph"/>
        <w:numPr>
          <w:ilvl w:val="1"/>
          <w:numId w:val="13"/>
        </w:numPr>
        <w:spacing w:line="276" w:lineRule="auto"/>
        <w:rPr>
          <w:rFonts w:eastAsia="Arial Unicode MS"/>
          <w:u w:color="000000"/>
        </w:rPr>
      </w:pPr>
      <w:r w:rsidRPr="00343346">
        <w:rPr>
          <w:rFonts w:eastAsia="Arial Unicode MS"/>
          <w:u w:color="000000"/>
        </w:rPr>
        <w:t>Questionnaire</w:t>
      </w:r>
      <w:r w:rsidR="00670B3D">
        <w:rPr>
          <w:rFonts w:eastAsia="Arial Unicode MS"/>
          <w:u w:color="000000"/>
        </w:rPr>
        <w:t>s for adults, adolescents, and parent or guardian of child</w:t>
      </w:r>
      <w:r w:rsidRPr="00343346" w:rsidR="002A2472">
        <w:rPr>
          <w:rFonts w:eastAsia="Arial Unicode MS"/>
          <w:u w:color="000000"/>
        </w:rPr>
        <w:t xml:space="preserve"> (</w:t>
      </w:r>
      <w:r w:rsidRPr="00343346" w:rsidR="002A2472">
        <w:rPr>
          <w:rFonts w:eastAsia="Arial Unicode MS"/>
          <w:b/>
          <w:u w:color="000000"/>
        </w:rPr>
        <w:t xml:space="preserve">Attachment </w:t>
      </w:r>
      <w:r w:rsidR="003D043C">
        <w:rPr>
          <w:rFonts w:eastAsia="Arial Unicode MS"/>
          <w:b/>
          <w:u w:color="000000"/>
        </w:rPr>
        <w:t>5-</w:t>
      </w:r>
      <w:r w:rsidR="00C72557">
        <w:rPr>
          <w:rFonts w:eastAsia="Arial Unicode MS"/>
          <w:b/>
          <w:u w:color="000000"/>
        </w:rPr>
        <w:t>7</w:t>
      </w:r>
      <w:r w:rsidR="00166543">
        <w:rPr>
          <w:rFonts w:eastAsia="Arial Unicode MS"/>
          <w:u w:color="000000"/>
        </w:rPr>
        <w:t xml:space="preserve"> – sample questions</w:t>
      </w:r>
      <w:r w:rsidR="00B10D03">
        <w:rPr>
          <w:rFonts w:eastAsia="Arial Unicode MS"/>
          <w:u w:color="000000"/>
        </w:rPr>
        <w:t xml:space="preserve"> that can be quickly modified</w:t>
      </w:r>
      <w:r w:rsidRPr="00343346" w:rsidR="002A2472">
        <w:rPr>
          <w:rFonts w:eastAsia="Arial Unicode MS"/>
          <w:u w:color="000000"/>
        </w:rPr>
        <w:t>)</w:t>
      </w:r>
    </w:p>
    <w:p w:rsidR="00343346" w:rsidRPr="00343346" w:rsidP="00F754AF" w14:paraId="07E7B032" w14:textId="77777777">
      <w:pPr>
        <w:pStyle w:val="ListParagraph"/>
        <w:numPr>
          <w:ilvl w:val="1"/>
          <w:numId w:val="13"/>
        </w:numPr>
        <w:spacing w:line="276" w:lineRule="auto"/>
        <w:rPr>
          <w:rFonts w:eastAsia="Arial Unicode MS"/>
          <w:u w:color="000000"/>
        </w:rPr>
      </w:pPr>
      <w:r w:rsidRPr="00343346">
        <w:rPr>
          <w:rFonts w:eastAsia="Arial Unicode MS"/>
          <w:u w:color="000000"/>
        </w:rPr>
        <w:t>Worksheet 2</w:t>
      </w:r>
    </w:p>
    <w:p w:rsidR="00A52F09" w:rsidP="00F754AF" w14:paraId="5E5F1D5E" w14:textId="77777777">
      <w:pPr>
        <w:pStyle w:val="ListParagraph"/>
        <w:numPr>
          <w:ilvl w:val="1"/>
          <w:numId w:val="13"/>
        </w:numPr>
        <w:spacing w:line="276" w:lineRule="auto"/>
        <w:rPr>
          <w:rFonts w:eastAsia="Arial Unicode MS"/>
          <w:u w:color="000000"/>
        </w:rPr>
      </w:pPr>
      <w:r w:rsidRPr="00343346">
        <w:rPr>
          <w:rFonts w:eastAsia="Arial Unicode MS"/>
          <w:u w:color="000000"/>
        </w:rPr>
        <w:t>Any other supporting documents</w:t>
      </w:r>
    </w:p>
    <w:p w:rsidR="00142CDE" w:rsidP="00166543" w14:paraId="01F689A0" w14:textId="77777777">
      <w:pPr>
        <w:pStyle w:val="ListParagraph"/>
        <w:numPr>
          <w:ilvl w:val="0"/>
          <w:numId w:val="13"/>
        </w:numPr>
        <w:spacing w:line="276" w:lineRule="auto"/>
        <w:rPr>
          <w:rFonts w:eastAsia="Arial Unicode MS"/>
          <w:u w:color="000000"/>
        </w:rPr>
      </w:pPr>
      <w:r>
        <w:rPr>
          <w:rFonts w:eastAsia="Arial Unicode MS"/>
          <w:u w:color="000000"/>
        </w:rPr>
        <w:t>The ICRL reviews</w:t>
      </w:r>
      <w:r w:rsidR="00AB22A4">
        <w:rPr>
          <w:rFonts w:eastAsia="Arial Unicode MS"/>
          <w:u w:color="000000"/>
        </w:rPr>
        <w:t>, completes the STARS determination,</w:t>
      </w:r>
      <w:r>
        <w:rPr>
          <w:rFonts w:eastAsia="Arial Unicode MS"/>
          <w:u w:color="000000"/>
        </w:rPr>
        <w:t xml:space="preserve"> and submits the GenIC package to ICRO </w:t>
      </w:r>
      <w:r w:rsidR="00AB22A4">
        <w:rPr>
          <w:rFonts w:eastAsia="Arial Unicode MS"/>
          <w:u w:color="000000"/>
        </w:rPr>
        <w:t xml:space="preserve">via email </w:t>
      </w:r>
      <w:r>
        <w:rPr>
          <w:rFonts w:eastAsia="Arial Unicode MS"/>
          <w:u w:color="000000"/>
        </w:rPr>
        <w:t>for processing with HHS and OMB.</w:t>
      </w:r>
    </w:p>
    <w:p w:rsidR="00166543" w:rsidRPr="00142CDE" w:rsidP="00142CDE" w14:paraId="6A0A76DF" w14:textId="77777777">
      <w:pPr>
        <w:pStyle w:val="ListParagraph"/>
        <w:numPr>
          <w:ilvl w:val="0"/>
          <w:numId w:val="13"/>
        </w:numPr>
        <w:spacing w:line="276" w:lineRule="auto"/>
        <w:rPr>
          <w:rFonts w:eastAsia="Arial Unicode MS"/>
          <w:u w:color="000000"/>
        </w:rPr>
      </w:pPr>
      <w:r w:rsidRPr="00142CDE">
        <w:rPr>
          <w:rFonts w:eastAsia="Arial Unicode MS"/>
          <w:u w:color="000000"/>
        </w:rPr>
        <w:t xml:space="preserve">The OMB </w:t>
      </w:r>
      <w:r w:rsidRPr="00142CDE" w:rsidR="00343346">
        <w:rPr>
          <w:rFonts w:eastAsia="Arial Unicode MS"/>
          <w:u w:color="000000"/>
        </w:rPr>
        <w:t xml:space="preserve">desk </w:t>
      </w:r>
      <w:r w:rsidRPr="00142CDE">
        <w:rPr>
          <w:rFonts w:eastAsia="Arial Unicode MS"/>
          <w:u w:color="000000"/>
        </w:rPr>
        <w:t>officer responds with approval or comments on the proposed investigation</w:t>
      </w:r>
      <w:r w:rsidRPr="00C2666F" w:rsidR="00317698">
        <w:rPr>
          <w:rFonts w:eastAsia="Arial Unicode MS"/>
          <w:u w:color="000000"/>
        </w:rPr>
        <w:t xml:space="preserve"> within the</w:t>
      </w:r>
      <w:r w:rsidRPr="006623F4">
        <w:rPr>
          <w:rFonts w:eastAsia="Arial Unicode MS"/>
          <w:u w:color="000000"/>
        </w:rPr>
        <w:t xml:space="preserve"> time frame </w:t>
      </w:r>
      <w:r w:rsidRPr="006623F4">
        <w:rPr>
          <w:rFonts w:eastAsia="Arial Unicode MS"/>
          <w:u w:color="000000"/>
        </w:rPr>
        <w:t>is requested</w:t>
      </w:r>
      <w:r w:rsidRPr="00ED4EF1" w:rsidR="00317698">
        <w:rPr>
          <w:rFonts w:eastAsia="Arial Unicode MS"/>
          <w:u w:color="000000"/>
        </w:rPr>
        <w:t xml:space="preserve"> (default is 5 days unless otherwise requested)</w:t>
      </w:r>
      <w:r w:rsidRPr="007162AF">
        <w:rPr>
          <w:rFonts w:eastAsia="Arial Unicode MS"/>
          <w:u w:color="000000"/>
        </w:rPr>
        <w:t xml:space="preserve">. </w:t>
      </w:r>
    </w:p>
    <w:p w:rsidR="00C1193D" w:rsidP="00166543" w14:paraId="2E7F2840" w14:textId="77777777">
      <w:pPr>
        <w:pStyle w:val="ListParagraph"/>
        <w:numPr>
          <w:ilvl w:val="0"/>
          <w:numId w:val="13"/>
        </w:numPr>
        <w:spacing w:line="276" w:lineRule="auto"/>
        <w:rPr>
          <w:rFonts w:eastAsia="Arial Unicode MS"/>
          <w:u w:color="000000"/>
        </w:rPr>
      </w:pPr>
      <w:r>
        <w:rPr>
          <w:rFonts w:eastAsia="Arial Unicode MS"/>
          <w:u w:color="000000"/>
        </w:rPr>
        <w:t xml:space="preserve">The </w:t>
      </w:r>
      <w:r w:rsidRPr="00F94580">
        <w:rPr>
          <w:rFonts w:eastAsia="Arial Unicode MS"/>
          <w:u w:color="000000"/>
        </w:rPr>
        <w:t xml:space="preserve">OMB </w:t>
      </w:r>
      <w:r>
        <w:rPr>
          <w:rFonts w:eastAsia="Arial Unicode MS"/>
          <w:u w:color="000000"/>
        </w:rPr>
        <w:t xml:space="preserve">desk officer </w:t>
      </w:r>
      <w:r w:rsidRPr="00F94580">
        <w:rPr>
          <w:rFonts w:eastAsia="Arial Unicode MS"/>
          <w:u w:color="000000"/>
        </w:rPr>
        <w:t xml:space="preserve">may provide approval and comments orally (followed by e-mail for written documentation) or e-mail directly. This may occur </w:t>
      </w:r>
      <w:r w:rsidRPr="00EA2983">
        <w:rPr>
          <w:rFonts w:eastAsia="Arial Unicode MS"/>
          <w:u w:color="000000"/>
        </w:rPr>
        <w:t>before the GenIC request is submitted</w:t>
      </w:r>
      <w:r w:rsidRPr="00F94580">
        <w:rPr>
          <w:rFonts w:eastAsia="Arial Unicode MS"/>
          <w:u w:color="000000"/>
        </w:rPr>
        <w:t xml:space="preserve"> and received by OMB through the official ICR tracking system. </w:t>
      </w:r>
    </w:p>
    <w:p w:rsidR="00D952B7" w:rsidRPr="00F94580" w:rsidP="00166543" w14:paraId="5F37E48F" w14:textId="77777777">
      <w:pPr>
        <w:pStyle w:val="ListParagraph"/>
        <w:numPr>
          <w:ilvl w:val="0"/>
          <w:numId w:val="13"/>
        </w:numPr>
        <w:spacing w:line="276" w:lineRule="auto"/>
        <w:rPr>
          <w:rFonts w:eastAsia="Arial Unicode MS"/>
          <w:u w:color="000000"/>
        </w:rPr>
      </w:pPr>
      <w:r>
        <w:rPr>
          <w:rFonts w:eastAsia="Arial Unicode MS"/>
          <w:u w:color="000000"/>
        </w:rPr>
        <w:t xml:space="preserve">Data collection proceeds upon approval </w:t>
      </w:r>
      <w:r w:rsidRPr="00F754AF">
        <w:rPr>
          <w:rFonts w:eastAsia="Arial Unicode MS"/>
          <w:u w:color="000000"/>
        </w:rPr>
        <w:t>and may not exceed 60 days.</w:t>
      </w:r>
    </w:p>
    <w:p w:rsidR="00742A83" w:rsidP="002230B4" w14:paraId="7E481C76" w14:textId="77777777">
      <w:pPr>
        <w:pStyle w:val="ListParagraph"/>
        <w:numPr>
          <w:ilvl w:val="0"/>
          <w:numId w:val="13"/>
        </w:numPr>
        <w:spacing w:line="276" w:lineRule="auto"/>
        <w:rPr>
          <w:rFonts w:eastAsia="Arial Unicode MS"/>
          <w:u w:color="000000"/>
        </w:rPr>
      </w:pPr>
      <w:r>
        <w:rPr>
          <w:rFonts w:eastAsia="Arial Unicode MS"/>
          <w:u w:color="000000"/>
        </w:rPr>
        <w:t>Within 5 days of</w:t>
      </w:r>
      <w:r w:rsidRPr="00021722" w:rsidR="00021722">
        <w:rPr>
          <w:rFonts w:eastAsia="Arial Unicode MS"/>
          <w:u w:color="000000"/>
        </w:rPr>
        <w:t xml:space="preserve"> the completion of the </w:t>
      </w:r>
      <w:r w:rsidR="00021722">
        <w:rPr>
          <w:rFonts w:eastAsia="Arial Unicode MS"/>
          <w:u w:color="000000"/>
        </w:rPr>
        <w:t>data collection</w:t>
      </w:r>
      <w:r w:rsidRPr="00021722" w:rsidR="00021722">
        <w:rPr>
          <w:rFonts w:eastAsia="Arial Unicode MS"/>
          <w:u w:color="000000"/>
        </w:rPr>
        <w:t>, the investigators submit the final data collection instrument(s)</w:t>
      </w:r>
      <w:r w:rsidR="00011824">
        <w:rPr>
          <w:rFonts w:eastAsia="Arial Unicode MS"/>
          <w:u w:color="000000"/>
        </w:rPr>
        <w:t>, consent forms,</w:t>
      </w:r>
      <w:r w:rsidRPr="00021722" w:rsidR="00021722">
        <w:rPr>
          <w:rFonts w:eastAsia="Arial Unicode MS"/>
          <w:u w:color="000000"/>
        </w:rPr>
        <w:t xml:space="preserve"> and associated burden using the “Burden Memo” form </w:t>
      </w:r>
      <w:r w:rsidR="002D6230">
        <w:rPr>
          <w:rFonts w:eastAsia="Arial Unicode MS"/>
          <w:u w:color="000000"/>
        </w:rPr>
        <w:t>(</w:t>
      </w:r>
      <w:r w:rsidRPr="00AE367E" w:rsidR="00EF41F3">
        <w:rPr>
          <w:rFonts w:eastAsia="Arial Unicode MS"/>
          <w:b/>
          <w:u w:color="000000"/>
        </w:rPr>
        <w:t>Attachment</w:t>
      </w:r>
      <w:r w:rsidRPr="00622057" w:rsidR="002D6230">
        <w:rPr>
          <w:rFonts w:eastAsia="Arial Unicode MS"/>
          <w:b/>
          <w:u w:color="000000"/>
        </w:rPr>
        <w:t xml:space="preserve"> </w:t>
      </w:r>
      <w:r w:rsidR="0097745C">
        <w:rPr>
          <w:rFonts w:eastAsia="Arial Unicode MS"/>
          <w:b/>
          <w:u w:color="000000"/>
        </w:rPr>
        <w:t>1</w:t>
      </w:r>
      <w:r w:rsidR="00C72557">
        <w:rPr>
          <w:rFonts w:eastAsia="Arial Unicode MS"/>
          <w:b/>
          <w:u w:color="000000"/>
        </w:rPr>
        <w:t>3</w:t>
      </w:r>
      <w:r w:rsidRPr="00021722" w:rsidR="00021722">
        <w:rPr>
          <w:rFonts w:eastAsia="Arial Unicode MS"/>
          <w:u w:color="000000"/>
        </w:rPr>
        <w:t>)</w:t>
      </w:r>
      <w:r w:rsidR="00021722">
        <w:rPr>
          <w:rFonts w:eastAsia="Arial Unicode MS"/>
          <w:u w:color="000000"/>
        </w:rPr>
        <w:t xml:space="preserve"> to the ICR</w:t>
      </w:r>
      <w:r w:rsidR="0097745C">
        <w:rPr>
          <w:rFonts w:eastAsia="Arial Unicode MS"/>
          <w:u w:color="000000"/>
        </w:rPr>
        <w:t>L</w:t>
      </w:r>
      <w:r w:rsidR="00142CDE">
        <w:rPr>
          <w:rFonts w:eastAsia="Arial Unicode MS"/>
          <w:u w:color="000000"/>
        </w:rPr>
        <w:t xml:space="preserve"> in STARS</w:t>
      </w:r>
      <w:r w:rsidRPr="00021722" w:rsidR="00021722">
        <w:rPr>
          <w:rFonts w:eastAsia="Arial Unicode MS"/>
          <w:u w:color="000000"/>
        </w:rPr>
        <w:t>.</w:t>
      </w:r>
      <w:r w:rsidR="00C2666F">
        <w:rPr>
          <w:rFonts w:eastAsia="Arial Unicode MS"/>
          <w:u w:color="000000"/>
        </w:rPr>
        <w:t xml:space="preserve"> The ICRL will review and return the STARS project to the NCEH project officer.</w:t>
      </w:r>
    </w:p>
    <w:p w:rsidR="00021722" w:rsidRPr="00021722" w:rsidP="002230B4" w14:paraId="2F78C4E4" w14:textId="77777777">
      <w:pPr>
        <w:pStyle w:val="ListParagraph"/>
        <w:numPr>
          <w:ilvl w:val="0"/>
          <w:numId w:val="13"/>
        </w:numPr>
        <w:spacing w:line="276" w:lineRule="auto"/>
        <w:rPr>
          <w:rFonts w:eastAsia="Arial Unicode MS"/>
          <w:u w:color="000000"/>
        </w:rPr>
      </w:pPr>
      <w:r>
        <w:rPr>
          <w:rFonts w:eastAsia="Arial Unicode MS"/>
          <w:u w:color="000000"/>
        </w:rPr>
        <w:t xml:space="preserve">On a quarterly basis, </w:t>
      </w:r>
      <w:r w:rsidR="00BF670A">
        <w:rPr>
          <w:rFonts w:eastAsia="Arial Unicode MS"/>
          <w:u w:color="000000"/>
        </w:rPr>
        <w:t xml:space="preserve">the </w:t>
      </w:r>
      <w:r w:rsidR="00C2666F">
        <w:rPr>
          <w:rFonts w:eastAsia="Arial Unicode MS"/>
          <w:u w:color="000000"/>
        </w:rPr>
        <w:t>NCEH project officer</w:t>
      </w:r>
      <w:r w:rsidR="00BF670A">
        <w:rPr>
          <w:rFonts w:eastAsia="Arial Unicode MS"/>
          <w:u w:color="000000"/>
        </w:rPr>
        <w:t xml:space="preserve"> will submit </w:t>
      </w:r>
      <w:r w:rsidR="00372821">
        <w:rPr>
          <w:rFonts w:eastAsia="Arial Unicode MS"/>
          <w:u w:color="000000"/>
        </w:rPr>
        <w:t xml:space="preserve">a non-substantive change request </w:t>
      </w:r>
      <w:r w:rsidR="00BF670A">
        <w:rPr>
          <w:rFonts w:eastAsia="Arial Unicode MS"/>
          <w:u w:color="000000"/>
        </w:rPr>
        <w:t>for all GenICs conducted in the prior quarter</w:t>
      </w:r>
      <w:r w:rsidR="00C2666F">
        <w:rPr>
          <w:rFonts w:eastAsia="Arial Unicode MS"/>
          <w:u w:color="000000"/>
        </w:rPr>
        <w:t xml:space="preserve"> in STARS</w:t>
      </w:r>
      <w:r w:rsidR="00BF670A">
        <w:rPr>
          <w:rFonts w:eastAsia="Arial Unicode MS"/>
          <w:u w:color="000000"/>
        </w:rPr>
        <w:t>. T</w:t>
      </w:r>
      <w:r w:rsidR="00372821">
        <w:rPr>
          <w:rFonts w:eastAsia="Arial Unicode MS"/>
          <w:u w:color="000000"/>
        </w:rPr>
        <w:t>he following documents will be submitted to support the request: burden memo</w:t>
      </w:r>
      <w:r w:rsidR="008C2871">
        <w:rPr>
          <w:rFonts w:eastAsia="Arial Unicode MS"/>
          <w:u w:color="000000"/>
        </w:rPr>
        <w:t>s</w:t>
      </w:r>
      <w:r w:rsidR="00372821">
        <w:rPr>
          <w:rFonts w:eastAsia="Arial Unicode MS"/>
          <w:u w:color="000000"/>
        </w:rPr>
        <w:t>, final questionnaire</w:t>
      </w:r>
      <w:r w:rsidR="008C2871">
        <w:rPr>
          <w:rFonts w:eastAsia="Arial Unicode MS"/>
          <w:u w:color="000000"/>
        </w:rPr>
        <w:t>s</w:t>
      </w:r>
      <w:r w:rsidR="00372821">
        <w:rPr>
          <w:rFonts w:eastAsia="Arial Unicode MS"/>
          <w:u w:color="000000"/>
        </w:rPr>
        <w:t>, and final consent form</w:t>
      </w:r>
      <w:r w:rsidR="008C2871">
        <w:rPr>
          <w:rFonts w:eastAsia="Arial Unicode MS"/>
          <w:u w:color="000000"/>
        </w:rPr>
        <w:t>s</w:t>
      </w:r>
      <w:r w:rsidR="00372821">
        <w:rPr>
          <w:rFonts w:eastAsia="Arial Unicode MS"/>
          <w:u w:color="000000"/>
        </w:rPr>
        <w:t>.</w:t>
      </w:r>
      <w:r w:rsidR="00C2666F">
        <w:rPr>
          <w:rFonts w:eastAsia="Arial Unicode MS"/>
          <w:u w:color="000000"/>
        </w:rPr>
        <w:t xml:space="preserve"> The ICRL will review and approve the change request in STARS</w:t>
      </w:r>
      <w:r w:rsidR="00CA574D">
        <w:rPr>
          <w:rFonts w:eastAsia="Arial Unicode MS"/>
          <w:u w:color="000000"/>
        </w:rPr>
        <w:t xml:space="preserve"> </w:t>
      </w:r>
      <w:r w:rsidR="00C2666F">
        <w:rPr>
          <w:rFonts w:eastAsia="Arial Unicode MS"/>
          <w:u w:color="000000"/>
        </w:rPr>
        <w:t>and will submit the change request package to ICRO via email.</w:t>
      </w:r>
    </w:p>
    <w:p w:rsidR="00B10D03" w:rsidP="00EA2983" w14:paraId="47263991" w14:textId="77777777">
      <w:pPr>
        <w:rPr>
          <w:rFonts w:eastAsia="Arial Unicode MS"/>
          <w:u w:color="000000"/>
        </w:rPr>
      </w:pPr>
    </w:p>
    <w:p w:rsidR="00B10D03" w:rsidP="00EA2983" w14:paraId="207B483E" w14:textId="77777777">
      <w:pPr>
        <w:rPr>
          <w:rFonts w:eastAsia="Arial Unicode MS" w:cs="Times New Roman"/>
          <w:u w:color="000000"/>
        </w:rPr>
      </w:pPr>
      <w:r w:rsidRPr="00DF3DDF">
        <w:rPr>
          <w:rFonts w:eastAsia="Arial Unicode MS" w:cs="Times New Roman"/>
          <w:u w:color="000000"/>
        </w:rPr>
        <w:t xml:space="preserve">The </w:t>
      </w:r>
      <w:r w:rsidRPr="00DF3DDF">
        <w:rPr>
          <w:rFonts w:cs="Times New Roman"/>
          <w:color w:val="000000"/>
        </w:rPr>
        <w:t>NCEH</w:t>
      </w:r>
      <w:r>
        <w:rPr>
          <w:rFonts w:cs="Times New Roman"/>
          <w:color w:val="000000"/>
        </w:rPr>
        <w:t>/ATSDR</w:t>
      </w:r>
      <w:r w:rsidR="00611CEB">
        <w:rPr>
          <w:rFonts w:cs="Times New Roman"/>
          <w:color w:val="000000"/>
        </w:rPr>
        <w:t xml:space="preserve"> </w:t>
      </w:r>
      <w:r w:rsidRPr="00DF3DDF">
        <w:rPr>
          <w:rFonts w:cs="Times New Roman"/>
          <w:color w:val="000000"/>
        </w:rPr>
        <w:t xml:space="preserve">PRA </w:t>
      </w:r>
      <w:r w:rsidR="00915DA4">
        <w:rPr>
          <w:rFonts w:cs="Times New Roman"/>
          <w:color w:val="000000"/>
        </w:rPr>
        <w:t>contact</w:t>
      </w:r>
      <w:r w:rsidRPr="00DF3DDF">
        <w:rPr>
          <w:rFonts w:eastAsia="Arial Unicode MS" w:cs="Times New Roman"/>
          <w:u w:color="000000"/>
        </w:rPr>
        <w:t xml:space="preserve"> serves in the role of the ICRL. The ICRL oversees the clearance process for individual GenICs.</w:t>
      </w:r>
    </w:p>
    <w:p w:rsidR="00447CB4" w:rsidRPr="00447CB4" w:rsidP="00EA2983" w14:paraId="348F40D3" w14:textId="77777777">
      <w:pPr>
        <w:rPr>
          <w:rFonts w:eastAsia="Arial Unicode MS"/>
          <w:u w:color="000000"/>
        </w:rPr>
      </w:pPr>
      <w:r>
        <w:rPr>
          <w:rFonts w:eastAsia="Arial Unicode MS"/>
          <w:u w:color="000000"/>
        </w:rPr>
        <w:t>The NCEH program will</w:t>
      </w:r>
      <w:r w:rsidRPr="00DF3DDF">
        <w:rPr>
          <w:rFonts w:eastAsia="Arial Unicode MS"/>
          <w:u w:color="000000"/>
        </w:rPr>
        <w:t xml:space="preserve"> maintain a library of data collection instruments that includes all final data collection instruments conducted under this Generic </w:t>
      </w:r>
      <w:r>
        <w:rPr>
          <w:rFonts w:eastAsia="Arial Unicode MS"/>
          <w:u w:color="000000"/>
        </w:rPr>
        <w:t xml:space="preserve">ICR. </w:t>
      </w:r>
    </w:p>
    <w:p w:rsidR="00F63BD2" w:rsidP="00064993" w14:paraId="76B6B15F" w14:textId="77777777">
      <w:pPr>
        <w:pStyle w:val="Heading1"/>
        <w:jc w:val="left"/>
        <w:rPr>
          <w:b w:val="0"/>
          <w:sz w:val="36"/>
          <w:szCs w:val="36"/>
        </w:rPr>
      </w:pPr>
      <w:bookmarkStart w:id="20" w:name="_Toc441505146"/>
      <w:bookmarkStart w:id="21" w:name="_Toc224733939"/>
      <w:r w:rsidRPr="00064993">
        <w:rPr>
          <w:b w:val="0"/>
          <w:sz w:val="36"/>
          <w:szCs w:val="36"/>
        </w:rPr>
        <w:t xml:space="preserve">A.8. </w:t>
      </w:r>
      <w:r w:rsidRPr="00064993" w:rsidR="006430D2">
        <w:rPr>
          <w:b w:val="0"/>
          <w:sz w:val="36"/>
          <w:szCs w:val="36"/>
        </w:rPr>
        <w:t>Comments in Response to the Federal Register Notice and Efforts to Consult Outside</w:t>
      </w:r>
      <w:r w:rsidRPr="00064993" w:rsidR="00CA553C">
        <w:rPr>
          <w:b w:val="0"/>
          <w:sz w:val="36"/>
          <w:szCs w:val="36"/>
        </w:rPr>
        <w:t xml:space="preserve"> </w:t>
      </w:r>
      <w:r w:rsidRPr="00064993">
        <w:rPr>
          <w:b w:val="0"/>
          <w:sz w:val="36"/>
          <w:szCs w:val="36"/>
        </w:rPr>
        <w:t>the Agency</w:t>
      </w:r>
      <w:bookmarkEnd w:id="20"/>
      <w:bookmarkEnd w:id="21"/>
    </w:p>
    <w:p w:rsidR="0068320F" w:rsidP="0068320F" w14:paraId="59BF77BB" w14:textId="77777777">
      <w:pPr>
        <w:autoSpaceDE w:val="0"/>
        <w:autoSpaceDN w:val="0"/>
        <w:adjustRightInd w:val="0"/>
      </w:pPr>
    </w:p>
    <w:p w:rsidR="00657A70" w:rsidP="00A945FA" w14:paraId="21612245" w14:textId="5A540429">
      <w:pPr>
        <w:autoSpaceDE w:val="0"/>
        <w:autoSpaceDN w:val="0"/>
        <w:adjustRightInd w:val="0"/>
      </w:pPr>
      <w:r w:rsidRPr="00172C16">
        <w:t>A 60-day Federal Register No</w:t>
      </w:r>
      <w:r>
        <w:t xml:space="preserve">tice was published on </w:t>
      </w:r>
      <w:r w:rsidR="00555F0D">
        <w:t>15</w:t>
      </w:r>
      <w:r w:rsidR="00022B15">
        <w:t xml:space="preserve"> </w:t>
      </w:r>
      <w:r w:rsidR="00555F0D">
        <w:t xml:space="preserve">January </w:t>
      </w:r>
      <w:r w:rsidR="00022B15">
        <w:t>202</w:t>
      </w:r>
      <w:r w:rsidR="00555F0D">
        <w:t>6</w:t>
      </w:r>
      <w:r w:rsidRPr="00172C16">
        <w:t xml:space="preserve"> (</w:t>
      </w:r>
      <w:r w:rsidRPr="003A5754">
        <w:rPr>
          <w:b/>
        </w:rPr>
        <w:t>Attachment 2</w:t>
      </w:r>
      <w:r w:rsidRPr="00F754AF">
        <w:t>)</w:t>
      </w:r>
      <w:r w:rsidRPr="00281756">
        <w:rPr>
          <w:b/>
        </w:rPr>
        <w:t>.</w:t>
      </w:r>
      <w:r w:rsidR="001B28EC">
        <w:t xml:space="preserve"> </w:t>
      </w:r>
      <w:r w:rsidR="00555F0D">
        <w:t>Three</w:t>
      </w:r>
      <w:r w:rsidRPr="001855EA" w:rsidR="00555F0D">
        <w:t xml:space="preserve"> </w:t>
      </w:r>
      <w:r w:rsidRPr="001855EA" w:rsidR="001855EA">
        <w:t xml:space="preserve">public comments </w:t>
      </w:r>
      <w:r w:rsidR="00E433F5">
        <w:t>were</w:t>
      </w:r>
      <w:r w:rsidRPr="001855EA" w:rsidR="001855EA">
        <w:t xml:space="preserve"> received (</w:t>
      </w:r>
      <w:hyperlink r:id="rId11" w:history="1">
        <w:r w:rsidRPr="008D0CF7" w:rsidR="003E4882">
          <w:rPr>
            <w:rStyle w:val="Hyperlink"/>
          </w:rPr>
          <w:t>https://www.regulations.gov/docket/CDC-2025-1014/comments</w:t>
        </w:r>
      </w:hyperlink>
      <w:r w:rsidRPr="001855EA" w:rsidR="001855EA">
        <w:t>)</w:t>
      </w:r>
      <w:r w:rsidR="00D92517">
        <w:t xml:space="preserve">, with one substantive comment </w:t>
      </w:r>
      <w:r w:rsidR="00073359">
        <w:t>(</w:t>
      </w:r>
      <w:r w:rsidRPr="00F705CB" w:rsidR="00073359">
        <w:rPr>
          <w:b/>
          <w:bCs/>
        </w:rPr>
        <w:t xml:space="preserve">Attachment </w:t>
      </w:r>
      <w:r w:rsidR="0031009B">
        <w:rPr>
          <w:b/>
          <w:bCs/>
        </w:rPr>
        <w:t>2a</w:t>
      </w:r>
      <w:r w:rsidRPr="00F705CB" w:rsidR="00073359">
        <w:rPr>
          <w:b/>
          <w:bCs/>
        </w:rPr>
        <w:t xml:space="preserve">, Attachment </w:t>
      </w:r>
      <w:r w:rsidR="0031009B">
        <w:rPr>
          <w:b/>
          <w:bCs/>
        </w:rPr>
        <w:t>2b</w:t>
      </w:r>
      <w:r w:rsidRPr="00F705CB" w:rsidR="00073359">
        <w:rPr>
          <w:b/>
          <w:bCs/>
        </w:rPr>
        <w:t xml:space="preserve">, Attachment </w:t>
      </w:r>
      <w:r w:rsidR="0031009B">
        <w:rPr>
          <w:b/>
          <w:bCs/>
        </w:rPr>
        <w:t>2c</w:t>
      </w:r>
      <w:r w:rsidR="00073359">
        <w:t>)</w:t>
      </w:r>
      <w:r w:rsidR="00D92517">
        <w:t>.</w:t>
      </w:r>
      <w:r w:rsidRPr="001855EA" w:rsidR="001855EA">
        <w:t xml:space="preserve"> </w:t>
      </w:r>
      <w:r w:rsidR="00F705CB">
        <w:t>NCEH responded to the comments (</w:t>
      </w:r>
      <w:r w:rsidRPr="00F705CB" w:rsidR="00F705CB">
        <w:rPr>
          <w:b/>
          <w:bCs/>
        </w:rPr>
        <w:t xml:space="preserve">Attachment </w:t>
      </w:r>
      <w:r w:rsidR="0031009B">
        <w:rPr>
          <w:b/>
          <w:bCs/>
        </w:rPr>
        <w:t>2a1</w:t>
      </w:r>
      <w:r w:rsidRPr="00F705CB" w:rsidR="00F705CB">
        <w:rPr>
          <w:b/>
          <w:bCs/>
        </w:rPr>
        <w:t xml:space="preserve">, Attachment </w:t>
      </w:r>
      <w:r w:rsidR="0031009B">
        <w:rPr>
          <w:b/>
          <w:bCs/>
        </w:rPr>
        <w:t>2</w:t>
      </w:r>
      <w:r w:rsidR="00AF4769">
        <w:rPr>
          <w:b/>
          <w:bCs/>
        </w:rPr>
        <w:t>b1</w:t>
      </w:r>
      <w:r w:rsidRPr="00F705CB" w:rsidR="00F705CB">
        <w:rPr>
          <w:b/>
          <w:bCs/>
        </w:rPr>
        <w:t xml:space="preserve">, Attachment </w:t>
      </w:r>
      <w:r w:rsidR="00AF4769">
        <w:rPr>
          <w:b/>
          <w:bCs/>
        </w:rPr>
        <w:t>2c1</w:t>
      </w:r>
      <w:r w:rsidR="00F705CB">
        <w:t>).</w:t>
      </w:r>
    </w:p>
    <w:p w:rsidR="00E37A30" w:rsidP="00E37A30" w14:paraId="266C62AC" w14:textId="77777777">
      <w:pPr>
        <w:rPr>
          <w:color w:val="000000"/>
        </w:rPr>
      </w:pPr>
      <w:r>
        <w:t xml:space="preserve">CDC has not consulted any outside agencies or organizations on this data collection in the past three years. </w:t>
      </w:r>
    </w:p>
    <w:p w:rsidR="00F63BD2" w:rsidP="00064993" w14:paraId="27121D67" w14:textId="77777777">
      <w:pPr>
        <w:pStyle w:val="Heading1"/>
        <w:jc w:val="left"/>
        <w:rPr>
          <w:b w:val="0"/>
          <w:sz w:val="36"/>
          <w:szCs w:val="36"/>
        </w:rPr>
      </w:pPr>
      <w:bookmarkStart w:id="22" w:name="_Toc441505147"/>
      <w:bookmarkStart w:id="23" w:name="_Toc224733940"/>
      <w:r w:rsidRPr="00064993">
        <w:rPr>
          <w:b w:val="0"/>
          <w:sz w:val="36"/>
          <w:szCs w:val="36"/>
        </w:rPr>
        <w:t xml:space="preserve">A.9. </w:t>
      </w:r>
      <w:r w:rsidRPr="00064993" w:rsidR="006430D2">
        <w:rPr>
          <w:b w:val="0"/>
          <w:sz w:val="36"/>
          <w:szCs w:val="36"/>
        </w:rPr>
        <w:t xml:space="preserve">Explanation of Any </w:t>
      </w:r>
      <w:r w:rsidRPr="00064993">
        <w:rPr>
          <w:b w:val="0"/>
          <w:sz w:val="36"/>
          <w:szCs w:val="36"/>
        </w:rPr>
        <w:t xml:space="preserve">Payment or Gift </w:t>
      </w:r>
      <w:r w:rsidRPr="00064993" w:rsidR="006430D2">
        <w:rPr>
          <w:b w:val="0"/>
          <w:sz w:val="36"/>
          <w:szCs w:val="36"/>
        </w:rPr>
        <w:t>to Respondents</w:t>
      </w:r>
      <w:bookmarkEnd w:id="22"/>
      <w:bookmarkEnd w:id="23"/>
    </w:p>
    <w:p w:rsidR="00064993" w:rsidRPr="00064993" w:rsidP="00064993" w14:paraId="7CFEC5BE" w14:textId="77777777"/>
    <w:p w:rsidR="00F63BD2" w:rsidRPr="0004518A" w:rsidP="0004518A" w14:paraId="54F4F53F" w14:textId="77777777">
      <w:pPr>
        <w:rPr>
          <w:color w:val="000000"/>
        </w:rPr>
      </w:pPr>
      <w:r w:rsidRPr="0004518A">
        <w:rPr>
          <w:color w:val="000000"/>
        </w:rPr>
        <w:t>CDC will not provide payments or gifts to respondents.</w:t>
      </w:r>
    </w:p>
    <w:p w:rsidR="00CA553C" w:rsidP="00064993" w14:paraId="54714907" w14:textId="77777777">
      <w:pPr>
        <w:pStyle w:val="Heading1"/>
        <w:jc w:val="left"/>
        <w:rPr>
          <w:b w:val="0"/>
          <w:sz w:val="36"/>
          <w:szCs w:val="36"/>
        </w:rPr>
      </w:pPr>
      <w:bookmarkStart w:id="24" w:name="_Toc441505148"/>
      <w:bookmarkStart w:id="25" w:name="_Toc224733941"/>
      <w:r w:rsidRPr="00064993">
        <w:rPr>
          <w:b w:val="0"/>
          <w:sz w:val="36"/>
          <w:szCs w:val="36"/>
        </w:rPr>
        <w:t xml:space="preserve">A.10. </w:t>
      </w:r>
      <w:r w:rsidRPr="00064993" w:rsidR="006430D2">
        <w:rPr>
          <w:b w:val="0"/>
          <w:sz w:val="36"/>
          <w:szCs w:val="36"/>
        </w:rPr>
        <w:t xml:space="preserve">Protection of </w:t>
      </w:r>
      <w:r w:rsidRPr="00064993" w:rsidR="006430D2">
        <w:rPr>
          <w:b w:val="0"/>
          <w:sz w:val="36"/>
          <w:szCs w:val="36"/>
        </w:rPr>
        <w:t>the Privacy</w:t>
      </w:r>
      <w:r w:rsidRPr="00064993" w:rsidR="006430D2">
        <w:rPr>
          <w:b w:val="0"/>
          <w:sz w:val="36"/>
          <w:szCs w:val="36"/>
        </w:rPr>
        <w:t xml:space="preserve"> and </w:t>
      </w:r>
      <w:r w:rsidRPr="00064993">
        <w:rPr>
          <w:b w:val="0"/>
          <w:sz w:val="36"/>
          <w:szCs w:val="36"/>
        </w:rPr>
        <w:t>Confidentiality</w:t>
      </w:r>
      <w:r w:rsidRPr="00064993" w:rsidR="006430D2">
        <w:rPr>
          <w:b w:val="0"/>
          <w:sz w:val="36"/>
          <w:szCs w:val="36"/>
        </w:rPr>
        <w:t xml:space="preserve"> of Information Provided by Respondents</w:t>
      </w:r>
      <w:bookmarkEnd w:id="24"/>
      <w:bookmarkEnd w:id="25"/>
    </w:p>
    <w:p w:rsidR="00064993" w:rsidRPr="00064993" w:rsidP="00064993" w14:paraId="190B74E7" w14:textId="77777777"/>
    <w:p w:rsidR="00087A1C" w:rsidRPr="005929CC" w:rsidP="00087A1C" w14:paraId="67906FD9" w14:textId="535AF893">
      <w:pPr>
        <w:rPr>
          <w:color w:val="000000" w:themeColor="text1"/>
        </w:rPr>
      </w:pPr>
      <w:r w:rsidRPr="5A7894FF">
        <w:rPr>
          <w:color w:val="000000" w:themeColor="text1"/>
        </w:rPr>
        <w:t xml:space="preserve">On </w:t>
      </w:r>
      <w:r w:rsidRPr="5A7894FF" w:rsidR="00CA574D">
        <w:rPr>
          <w:color w:val="000000" w:themeColor="text1"/>
        </w:rPr>
        <w:t>12/03/2019</w:t>
      </w:r>
      <w:r w:rsidRPr="5A7894FF">
        <w:rPr>
          <w:color w:val="000000" w:themeColor="text1"/>
        </w:rPr>
        <w:t xml:space="preserve">, the </w:t>
      </w:r>
      <w:r w:rsidRPr="5A7894FF" w:rsidR="00376ABC">
        <w:rPr>
          <w:color w:val="000000" w:themeColor="text1"/>
        </w:rPr>
        <w:t xml:space="preserve">CDC Chief Privacy </w:t>
      </w:r>
      <w:r w:rsidRPr="5A7894FF">
        <w:rPr>
          <w:color w:val="000000" w:themeColor="text1"/>
        </w:rPr>
        <w:t>O</w:t>
      </w:r>
      <w:r w:rsidRPr="5A7894FF" w:rsidR="00376ABC">
        <w:rPr>
          <w:color w:val="000000" w:themeColor="text1"/>
        </w:rPr>
        <w:t>fficer</w:t>
      </w:r>
      <w:r w:rsidRPr="5A7894FF" w:rsidR="00CA574D">
        <w:rPr>
          <w:color w:val="000000" w:themeColor="text1"/>
        </w:rPr>
        <w:t xml:space="preserve"> </w:t>
      </w:r>
      <w:r w:rsidRPr="5A7894FF">
        <w:rPr>
          <w:color w:val="000000" w:themeColor="text1"/>
        </w:rPr>
        <w:t>reviewed th</w:t>
      </w:r>
      <w:r w:rsidRPr="5A7894FF" w:rsidR="00332F4D">
        <w:rPr>
          <w:color w:val="000000" w:themeColor="text1"/>
        </w:rPr>
        <w:t>e previous</w:t>
      </w:r>
      <w:r w:rsidRPr="5A7894FF">
        <w:rPr>
          <w:color w:val="000000" w:themeColor="text1"/>
        </w:rPr>
        <w:t xml:space="preserve"> submission and determined that the Privacy Act d</w:t>
      </w:r>
      <w:r w:rsidRPr="5A7894FF" w:rsidR="00332F4D">
        <w:rPr>
          <w:color w:val="000000" w:themeColor="text1"/>
        </w:rPr>
        <w:t>id</w:t>
      </w:r>
      <w:r w:rsidRPr="5A7894FF">
        <w:rPr>
          <w:color w:val="000000" w:themeColor="text1"/>
        </w:rPr>
        <w:t xml:space="preserve"> not apply</w:t>
      </w:r>
      <w:r w:rsidRPr="5A7894FF" w:rsidR="000D4769">
        <w:rPr>
          <w:color w:val="000000" w:themeColor="text1"/>
        </w:rPr>
        <w:t xml:space="preserve"> </w:t>
      </w:r>
      <w:r w:rsidR="000D4769">
        <w:t xml:space="preserve">and </w:t>
      </w:r>
      <w:r w:rsidR="00361C57">
        <w:t xml:space="preserve">that </w:t>
      </w:r>
      <w:r w:rsidR="00376ABC">
        <w:t xml:space="preserve">a </w:t>
      </w:r>
      <w:r w:rsidRPr="5A7894FF" w:rsidR="00332F4D">
        <w:rPr>
          <w:color w:val="000000" w:themeColor="text1"/>
        </w:rPr>
        <w:t xml:space="preserve">Privacy Threshold Analysis (PTA), and not a </w:t>
      </w:r>
      <w:r w:rsidR="00376ABC">
        <w:t>full</w:t>
      </w:r>
      <w:r w:rsidR="000D4769">
        <w:t xml:space="preserve"> Privacy Impact Assessment </w:t>
      </w:r>
      <w:r w:rsidR="00CA574D">
        <w:t>(PIA)</w:t>
      </w:r>
      <w:r w:rsidR="00332F4D">
        <w:t>,</w:t>
      </w:r>
      <w:r w:rsidR="00CA574D">
        <w:t xml:space="preserve"> </w:t>
      </w:r>
      <w:r w:rsidR="00332F4D">
        <w:t>wa</w:t>
      </w:r>
      <w:r w:rsidR="000D4769">
        <w:t>s</w:t>
      </w:r>
      <w:r w:rsidR="00376ABC">
        <w:t xml:space="preserve"> </w:t>
      </w:r>
      <w:r w:rsidRPr="5A7894FF" w:rsidR="000D4769">
        <w:rPr>
          <w:color w:val="000000" w:themeColor="text1"/>
        </w:rPr>
        <w:t>needed</w:t>
      </w:r>
      <w:r w:rsidRPr="5A7894FF" w:rsidR="00FA760B">
        <w:rPr>
          <w:color w:val="000000" w:themeColor="text1"/>
        </w:rPr>
        <w:t xml:space="preserve"> </w:t>
      </w:r>
      <w:r w:rsidR="00376ABC">
        <w:t>(</w:t>
      </w:r>
      <w:r w:rsidRPr="5A7894FF" w:rsidR="00376ABC">
        <w:rPr>
          <w:b/>
          <w:bCs/>
        </w:rPr>
        <w:t>Attachment 1</w:t>
      </w:r>
      <w:r w:rsidRPr="5A7894FF" w:rsidR="000C06B5">
        <w:rPr>
          <w:b/>
          <w:bCs/>
        </w:rPr>
        <w:t>4</w:t>
      </w:r>
      <w:r w:rsidRPr="5A7894FF" w:rsidR="00C8167C">
        <w:rPr>
          <w:color w:val="000000" w:themeColor="text1"/>
        </w:rPr>
        <w:t>)</w:t>
      </w:r>
      <w:r w:rsidRPr="5A7894FF" w:rsidR="00332F4D">
        <w:rPr>
          <w:color w:val="000000" w:themeColor="text1"/>
        </w:rPr>
        <w:t>.</w:t>
      </w:r>
      <w:r w:rsidRPr="5A7894FF" w:rsidR="009506CF">
        <w:rPr>
          <w:color w:val="000000" w:themeColor="text1"/>
        </w:rPr>
        <w:t xml:space="preserve"> </w:t>
      </w:r>
      <w:r w:rsidRPr="5A7894FF" w:rsidR="00CA574D">
        <w:rPr>
          <w:color w:val="000000" w:themeColor="text1"/>
        </w:rPr>
        <w:t xml:space="preserve">On </w:t>
      </w:r>
      <w:r w:rsidRPr="5A7894FF" w:rsidR="009B5048">
        <w:rPr>
          <w:color w:val="000000" w:themeColor="text1"/>
        </w:rPr>
        <w:t>16</w:t>
      </w:r>
      <w:r w:rsidRPr="5A7894FF" w:rsidR="007C1A73">
        <w:rPr>
          <w:color w:val="000000" w:themeColor="text1"/>
        </w:rPr>
        <w:t xml:space="preserve"> </w:t>
      </w:r>
      <w:r w:rsidRPr="5A7894FF" w:rsidR="2D459B34">
        <w:rPr>
          <w:color w:val="000000" w:themeColor="text1"/>
        </w:rPr>
        <w:t>March 24, 2026</w:t>
      </w:r>
      <w:r w:rsidRPr="5A7894FF" w:rsidR="00CA574D">
        <w:rPr>
          <w:color w:val="000000" w:themeColor="text1"/>
        </w:rPr>
        <w:t xml:space="preserve">, the NCEH/ATSDR Information Systems Security Officer (ISSO) reviewed this revision ICR and determined that an updated </w:t>
      </w:r>
      <w:r w:rsidRPr="5A7894FF" w:rsidR="00332F4D">
        <w:rPr>
          <w:color w:val="000000" w:themeColor="text1"/>
        </w:rPr>
        <w:t>PTA</w:t>
      </w:r>
      <w:r w:rsidRPr="5A7894FF" w:rsidR="00CA574D">
        <w:rPr>
          <w:color w:val="000000" w:themeColor="text1"/>
        </w:rPr>
        <w:t xml:space="preserve"> </w:t>
      </w:r>
      <w:r w:rsidRPr="5A7894FF" w:rsidR="00E57AE4">
        <w:rPr>
          <w:color w:val="000000" w:themeColor="text1"/>
        </w:rPr>
        <w:t>is not</w:t>
      </w:r>
      <w:r w:rsidRPr="5A7894FF" w:rsidR="00CA574D">
        <w:rPr>
          <w:color w:val="000000" w:themeColor="text1"/>
        </w:rPr>
        <w:t xml:space="preserve"> needed.  </w:t>
      </w:r>
      <w:r w:rsidRPr="5A7894FF" w:rsidR="00C8167C">
        <w:rPr>
          <w:color w:val="000000" w:themeColor="text1"/>
        </w:rPr>
        <w:t>Therefore, a</w:t>
      </w:r>
      <w:r w:rsidR="002C30FE">
        <w:t xml:space="preserve"> System of Record Notices (SORN) </w:t>
      </w:r>
      <w:r w:rsidR="00376ABC">
        <w:t>is not required.</w:t>
      </w:r>
      <w:r w:rsidR="00D52D3B">
        <w:t xml:space="preserve"> </w:t>
      </w:r>
    </w:p>
    <w:p w:rsidR="00A84A06" w:rsidP="00B36929" w14:paraId="2B1FBEEF" w14:textId="77777777">
      <w:pPr>
        <w:rPr>
          <w:color w:val="000000"/>
        </w:rPr>
      </w:pPr>
      <w:r>
        <w:rPr>
          <w:color w:val="000000"/>
        </w:rPr>
        <w:t>Information in identifiable form (</w:t>
      </w:r>
      <w:r w:rsidR="004E5039">
        <w:rPr>
          <w:color w:val="000000"/>
        </w:rPr>
        <w:t>IIF</w:t>
      </w:r>
      <w:r>
        <w:rPr>
          <w:color w:val="000000"/>
        </w:rPr>
        <w:t>)</w:t>
      </w:r>
      <w:r w:rsidRPr="004E5039" w:rsidR="004E5039">
        <w:rPr>
          <w:color w:val="000000"/>
        </w:rPr>
        <w:t xml:space="preserve"> (e.g., name</w:t>
      </w:r>
      <w:r w:rsidR="003216EF">
        <w:rPr>
          <w:color w:val="000000"/>
        </w:rPr>
        <w:t xml:space="preserve">, </w:t>
      </w:r>
      <w:r w:rsidRPr="004E5039" w:rsidR="004E5039">
        <w:rPr>
          <w:color w:val="000000"/>
        </w:rPr>
        <w:t xml:space="preserve">phone number) is collected </w:t>
      </w:r>
      <w:r w:rsidR="00EE78ED">
        <w:rPr>
          <w:color w:val="000000"/>
        </w:rPr>
        <w:t xml:space="preserve">and maintained </w:t>
      </w:r>
      <w:r w:rsidRPr="004E5039" w:rsidR="004E5039">
        <w:rPr>
          <w:color w:val="000000"/>
        </w:rPr>
        <w:t>by the poison center</w:t>
      </w:r>
      <w:r w:rsidR="0025411F">
        <w:rPr>
          <w:color w:val="000000"/>
        </w:rPr>
        <w:t xml:space="preserve"> as part of </w:t>
      </w:r>
      <w:r w:rsidR="002E6B93">
        <w:rPr>
          <w:color w:val="000000"/>
        </w:rPr>
        <w:t xml:space="preserve">its </w:t>
      </w:r>
      <w:r w:rsidR="0025411F">
        <w:rPr>
          <w:color w:val="000000"/>
        </w:rPr>
        <w:t>routine collection</w:t>
      </w:r>
      <w:r w:rsidRPr="004E5039" w:rsidR="004E5039">
        <w:rPr>
          <w:color w:val="000000"/>
        </w:rPr>
        <w:t xml:space="preserve"> for </w:t>
      </w:r>
      <w:r w:rsidR="00EE78ED">
        <w:rPr>
          <w:color w:val="000000"/>
        </w:rPr>
        <w:t xml:space="preserve">its own </w:t>
      </w:r>
      <w:r w:rsidRPr="004E5039" w:rsidR="004E5039">
        <w:rPr>
          <w:color w:val="000000"/>
        </w:rPr>
        <w:t>follow</w:t>
      </w:r>
      <w:r w:rsidR="00EE78ED">
        <w:rPr>
          <w:color w:val="000000"/>
        </w:rPr>
        <w:t>-</w:t>
      </w:r>
      <w:r w:rsidRPr="004E5039" w:rsidR="004E5039">
        <w:rPr>
          <w:color w:val="000000"/>
        </w:rPr>
        <w:t>up when an individual first contacts the poison center</w:t>
      </w:r>
      <w:r w:rsidR="002E57BD">
        <w:rPr>
          <w:color w:val="000000"/>
        </w:rPr>
        <w:t xml:space="preserve"> (</w:t>
      </w:r>
      <w:r w:rsidRPr="00F754AF" w:rsidR="00B574EC">
        <w:rPr>
          <w:color w:val="000000"/>
        </w:rPr>
        <w:t xml:space="preserve">refer </w:t>
      </w:r>
      <w:r w:rsidRPr="00E74B2C" w:rsidR="005D631F">
        <w:rPr>
          <w:color w:val="000000"/>
        </w:rPr>
        <w:t xml:space="preserve">to </w:t>
      </w:r>
      <w:r w:rsidRPr="00E74B2C" w:rsidR="00A0521F">
        <w:rPr>
          <w:color w:val="000000"/>
        </w:rPr>
        <w:t>T</w:t>
      </w:r>
      <w:r w:rsidRPr="00E74B2C" w:rsidR="002E57BD">
        <w:t>able</w:t>
      </w:r>
      <w:r w:rsidRPr="00F754AF" w:rsidR="002E57BD">
        <w:t xml:space="preserve"> </w:t>
      </w:r>
      <w:r w:rsidR="00AF18E5">
        <w:t>A</w:t>
      </w:r>
      <w:r w:rsidR="00707659">
        <w:t>1-1</w:t>
      </w:r>
      <w:r w:rsidR="002E57BD">
        <w:t>)</w:t>
      </w:r>
      <w:r w:rsidRPr="004E5039" w:rsidR="004E5039">
        <w:rPr>
          <w:color w:val="000000"/>
        </w:rPr>
        <w:t xml:space="preserve">. </w:t>
      </w:r>
      <w:r w:rsidRPr="004E5039" w:rsidR="00B36929">
        <w:rPr>
          <w:color w:val="000000"/>
        </w:rPr>
        <w:t xml:space="preserve">The poison center will use this identifying information to reach back to ask more questions via </w:t>
      </w:r>
      <w:r w:rsidR="002A4161">
        <w:rPr>
          <w:color w:val="000000"/>
        </w:rPr>
        <w:t>this Generic ICR</w:t>
      </w:r>
      <w:r w:rsidR="00E37A30">
        <w:rPr>
          <w:color w:val="000000"/>
        </w:rPr>
        <w:t>.</w:t>
      </w:r>
      <w:r w:rsidR="00E05466">
        <w:rPr>
          <w:color w:val="000000"/>
        </w:rPr>
        <w:t xml:space="preserve"> </w:t>
      </w:r>
      <w:r w:rsidRPr="00B36929" w:rsidR="00296845">
        <w:rPr>
          <w:color w:val="000000"/>
        </w:rPr>
        <w:t>Each individual</w:t>
      </w:r>
      <w:r w:rsidR="00296845">
        <w:rPr>
          <w:color w:val="000000"/>
        </w:rPr>
        <w:t xml:space="preserve"> poison center</w:t>
      </w:r>
      <w:r w:rsidRPr="00B36929" w:rsidR="00296845">
        <w:rPr>
          <w:color w:val="000000"/>
        </w:rPr>
        <w:t xml:space="preserve"> system is encrypted and password protected. The systems have very strict access rights that follow </w:t>
      </w:r>
      <w:r w:rsidRPr="00BF3AE3" w:rsidR="00BF3AE3">
        <w:rPr>
          <w:color w:val="000000"/>
        </w:rPr>
        <w:t>Health Insurance Portability and Accountability Act</w:t>
      </w:r>
      <w:r w:rsidR="00BF3AE3">
        <w:rPr>
          <w:color w:val="000000"/>
        </w:rPr>
        <w:t xml:space="preserve"> (</w:t>
      </w:r>
      <w:r w:rsidRPr="00B36929" w:rsidR="00296845">
        <w:rPr>
          <w:color w:val="000000"/>
        </w:rPr>
        <w:t>HIPAA</w:t>
      </w:r>
      <w:r w:rsidR="00BF3AE3">
        <w:rPr>
          <w:color w:val="000000"/>
        </w:rPr>
        <w:t>)</w:t>
      </w:r>
      <w:r w:rsidRPr="00B36929" w:rsidR="00296845">
        <w:rPr>
          <w:color w:val="000000"/>
        </w:rPr>
        <w:t xml:space="preserve"> guidelines. </w:t>
      </w:r>
      <w:r w:rsidR="00296845">
        <w:t xml:space="preserve">Each individual poison center owns their data. </w:t>
      </w:r>
      <w:r w:rsidR="00FF02DE">
        <w:rPr>
          <w:color w:val="000000"/>
        </w:rPr>
        <w:t xml:space="preserve">Data collected by poison centers and delivered to CDC, as described in this package, will not have IIF. </w:t>
      </w:r>
      <w:r w:rsidR="00085533">
        <w:rPr>
          <w:color w:val="000000"/>
        </w:rPr>
        <w:t>CDC never receives any identifying link to any PC caller information</w:t>
      </w:r>
      <w:r w:rsidR="00F03BB3">
        <w:rPr>
          <w:color w:val="000000"/>
        </w:rPr>
        <w:t xml:space="preserve"> and will not be given access to any links between the NPDS IDs and the </w:t>
      </w:r>
      <w:r w:rsidR="00F03BB3">
        <w:rPr>
          <w:color w:val="000000"/>
        </w:rPr>
        <w:t>caller’s</w:t>
      </w:r>
      <w:r w:rsidR="00F03BB3">
        <w:rPr>
          <w:color w:val="000000"/>
        </w:rPr>
        <w:t xml:space="preserve"> </w:t>
      </w:r>
      <w:r w:rsidR="00F03BB3">
        <w:rPr>
          <w:color w:val="000000"/>
        </w:rPr>
        <w:t>identify</w:t>
      </w:r>
      <w:r w:rsidR="00F03BB3">
        <w:rPr>
          <w:color w:val="000000"/>
        </w:rPr>
        <w:t xml:space="preserve"> (</w:t>
      </w:r>
      <w:r w:rsidRPr="00F03BB3" w:rsidR="00F03BB3">
        <w:rPr>
          <w:b/>
          <w:bCs/>
          <w:color w:val="000000"/>
        </w:rPr>
        <w:t>Attachment</w:t>
      </w:r>
      <w:r w:rsidR="00332F4D">
        <w:rPr>
          <w:b/>
          <w:bCs/>
          <w:color w:val="000000"/>
        </w:rPr>
        <w:t xml:space="preserve"> </w:t>
      </w:r>
      <w:r w:rsidRPr="00F03BB3" w:rsidR="00F03BB3">
        <w:rPr>
          <w:b/>
          <w:bCs/>
          <w:color w:val="000000"/>
        </w:rPr>
        <w:t>15</w:t>
      </w:r>
      <w:r w:rsidR="00F03BB3">
        <w:rPr>
          <w:color w:val="000000"/>
        </w:rPr>
        <w:t>)</w:t>
      </w:r>
    </w:p>
    <w:p w:rsidR="00A416E0" w:rsidRPr="00064993" w:rsidP="00064993" w14:paraId="7BECAE43" w14:textId="77777777">
      <w:pPr>
        <w:pStyle w:val="Heading1"/>
        <w:jc w:val="left"/>
        <w:rPr>
          <w:b w:val="0"/>
          <w:sz w:val="36"/>
          <w:szCs w:val="36"/>
        </w:rPr>
      </w:pPr>
      <w:bookmarkStart w:id="26" w:name="_Toc441315901"/>
      <w:bookmarkStart w:id="27" w:name="_Toc441315902"/>
      <w:bookmarkStart w:id="28" w:name="_Toc441315903"/>
      <w:bookmarkStart w:id="29" w:name="_Toc441505149"/>
      <w:bookmarkStart w:id="30" w:name="_Toc224733942"/>
      <w:bookmarkEnd w:id="26"/>
      <w:bookmarkEnd w:id="27"/>
      <w:bookmarkEnd w:id="28"/>
      <w:r w:rsidRPr="00064993">
        <w:rPr>
          <w:b w:val="0"/>
          <w:sz w:val="36"/>
          <w:szCs w:val="36"/>
        </w:rPr>
        <w:t xml:space="preserve">A.11. </w:t>
      </w:r>
      <w:r w:rsidRPr="00064993" w:rsidR="006430D2">
        <w:rPr>
          <w:b w:val="0"/>
          <w:sz w:val="36"/>
          <w:szCs w:val="36"/>
        </w:rPr>
        <w:t>Institutional Review Board (IRB) and Justification for Sensitive Questions</w:t>
      </w:r>
      <w:bookmarkEnd w:id="29"/>
      <w:bookmarkEnd w:id="30"/>
    </w:p>
    <w:p w:rsidR="00064993" w:rsidP="00064993" w14:paraId="41E63F91" w14:textId="77777777">
      <w:pPr>
        <w:rPr>
          <w:b/>
        </w:rPr>
      </w:pPr>
    </w:p>
    <w:p w:rsidR="008819E5" w:rsidP="00D12984" w14:paraId="39218800" w14:textId="77777777">
      <w:pPr>
        <w:rPr>
          <w:rFonts w:eastAsia="Arial Unicode MS"/>
          <w:u w:color="000000"/>
        </w:rPr>
      </w:pPr>
      <w:r w:rsidRPr="00F15AB9">
        <w:rPr>
          <w:rFonts w:eastAsia="Arial Unicode MS"/>
          <w:u w:color="000000"/>
        </w:rPr>
        <w:t>The NCEH</w:t>
      </w:r>
      <w:r>
        <w:rPr>
          <w:rFonts w:eastAsia="Arial Unicode MS"/>
          <w:u w:color="000000"/>
        </w:rPr>
        <w:t xml:space="preserve"> </w:t>
      </w:r>
      <w:r w:rsidR="00077518">
        <w:rPr>
          <w:rFonts w:eastAsia="Arial Unicode MS"/>
          <w:u w:color="000000"/>
        </w:rPr>
        <w:t>H</w:t>
      </w:r>
      <w:r>
        <w:rPr>
          <w:rFonts w:eastAsia="Arial Unicode MS"/>
          <w:u w:color="000000"/>
        </w:rPr>
        <w:t xml:space="preserve">uman </w:t>
      </w:r>
      <w:r w:rsidR="00077518">
        <w:rPr>
          <w:rFonts w:eastAsia="Arial Unicode MS"/>
          <w:u w:color="000000"/>
        </w:rPr>
        <w:t>S</w:t>
      </w:r>
      <w:r>
        <w:rPr>
          <w:rFonts w:eastAsia="Arial Unicode MS"/>
          <w:u w:color="000000"/>
        </w:rPr>
        <w:t xml:space="preserve">ubjects </w:t>
      </w:r>
      <w:r w:rsidR="00077518">
        <w:rPr>
          <w:rFonts w:eastAsia="Arial Unicode MS"/>
          <w:u w:color="000000"/>
        </w:rPr>
        <w:t>C</w:t>
      </w:r>
      <w:r>
        <w:rPr>
          <w:rFonts w:eastAsia="Arial Unicode MS"/>
          <w:u w:color="000000"/>
        </w:rPr>
        <w:t>ontact has reviewed and classified</w:t>
      </w:r>
      <w:r w:rsidR="00264DAD">
        <w:rPr>
          <w:rFonts w:eastAsia="Arial Unicode MS"/>
          <w:u w:color="000000"/>
        </w:rPr>
        <w:t xml:space="preserve"> the overall scope of</w:t>
      </w:r>
      <w:r w:rsidR="006B547F">
        <w:rPr>
          <w:rFonts w:eastAsia="Arial Unicode MS"/>
          <w:u w:color="000000"/>
        </w:rPr>
        <w:t xml:space="preserve"> these investigations</w:t>
      </w:r>
      <w:r>
        <w:rPr>
          <w:rFonts w:eastAsia="Arial Unicode MS"/>
          <w:u w:color="000000"/>
        </w:rPr>
        <w:t xml:space="preserve"> to be non-research</w:t>
      </w:r>
      <w:r w:rsidR="00B3780C">
        <w:rPr>
          <w:rFonts w:eastAsia="Arial Unicode MS"/>
          <w:u w:color="000000"/>
        </w:rPr>
        <w:t xml:space="preserve"> public health </w:t>
      </w:r>
      <w:r w:rsidR="00CA03E9">
        <w:rPr>
          <w:rFonts w:eastAsia="Arial Unicode MS"/>
          <w:u w:color="000000"/>
        </w:rPr>
        <w:t>surveillance</w:t>
      </w:r>
      <w:r w:rsidRPr="00F15AB9">
        <w:rPr>
          <w:rFonts w:eastAsia="Arial Unicode MS"/>
          <w:u w:color="000000"/>
        </w:rPr>
        <w:t xml:space="preserve"> (</w:t>
      </w:r>
      <w:r w:rsidRPr="00F15AB9">
        <w:rPr>
          <w:rFonts w:eastAsia="Arial Unicode MS"/>
          <w:b/>
          <w:u w:color="000000"/>
        </w:rPr>
        <w:t xml:space="preserve">Attachment </w:t>
      </w:r>
      <w:r w:rsidR="00F2323F">
        <w:rPr>
          <w:rFonts w:eastAsia="Arial Unicode MS"/>
          <w:b/>
          <w:u w:color="000000"/>
        </w:rPr>
        <w:t>1</w:t>
      </w:r>
      <w:r w:rsidR="005360E3">
        <w:rPr>
          <w:rFonts w:eastAsia="Arial Unicode MS"/>
          <w:b/>
          <w:u w:color="000000"/>
        </w:rPr>
        <w:t>6</w:t>
      </w:r>
      <w:r w:rsidRPr="00F15AB9">
        <w:rPr>
          <w:rFonts w:eastAsia="Arial Unicode MS"/>
          <w:u w:color="000000"/>
        </w:rPr>
        <w:t>).</w:t>
      </w:r>
      <w:r>
        <w:rPr>
          <w:rFonts w:eastAsia="Arial Unicode MS"/>
          <w:u w:color="000000"/>
        </w:rPr>
        <w:t xml:space="preserve"> </w:t>
      </w:r>
      <w:r w:rsidR="00D12984">
        <w:rPr>
          <w:rFonts w:eastAsia="Arial Unicode MS"/>
          <w:u w:color="000000"/>
        </w:rPr>
        <w:t>I</w:t>
      </w:r>
      <w:r w:rsidRPr="00826686" w:rsidR="00D12984">
        <w:rPr>
          <w:rFonts w:eastAsia="Arial Unicode MS"/>
          <w:u w:color="000000"/>
        </w:rPr>
        <w:t xml:space="preserve">nvestigations will be undertaken to identify, characterize, </w:t>
      </w:r>
      <w:r w:rsidRPr="00826686" w:rsidR="00EE7A00">
        <w:rPr>
          <w:rFonts w:eastAsia="Arial Unicode MS"/>
          <w:u w:color="000000"/>
        </w:rPr>
        <w:t>and</w:t>
      </w:r>
      <w:r w:rsidR="008E17AC">
        <w:rPr>
          <w:rFonts w:eastAsia="Arial Unicode MS"/>
          <w:u w:color="000000"/>
        </w:rPr>
        <w:t xml:space="preserve"> </w:t>
      </w:r>
      <w:r w:rsidR="00D97921">
        <w:rPr>
          <w:rFonts w:eastAsia="Arial Unicode MS"/>
          <w:u w:color="000000"/>
        </w:rPr>
        <w:t>assist</w:t>
      </w:r>
      <w:r w:rsidR="008E17AC">
        <w:rPr>
          <w:rFonts w:eastAsia="Arial Unicode MS"/>
          <w:u w:color="000000"/>
        </w:rPr>
        <w:t xml:space="preserve"> with</w:t>
      </w:r>
      <w:r w:rsidRPr="00826686" w:rsidR="00D12984">
        <w:rPr>
          <w:rFonts w:eastAsia="Arial Unicode MS"/>
          <w:u w:color="000000"/>
        </w:rPr>
        <w:t xml:space="preserve"> an immediate public health</w:t>
      </w:r>
      <w:r w:rsidR="00D97921">
        <w:rPr>
          <w:rFonts w:eastAsia="Arial Unicode MS"/>
          <w:u w:color="000000"/>
        </w:rPr>
        <w:t xml:space="preserve"> emergency</w:t>
      </w:r>
      <w:r w:rsidR="00D50A8E">
        <w:rPr>
          <w:rFonts w:eastAsia="Arial Unicode MS"/>
          <w:u w:color="000000"/>
        </w:rPr>
        <w:t>.</w:t>
      </w:r>
      <w:r w:rsidRPr="00826686" w:rsidR="00D12984">
        <w:rPr>
          <w:rFonts w:eastAsia="Arial Unicode MS"/>
          <w:u w:color="000000"/>
        </w:rPr>
        <w:t xml:space="preserve"> </w:t>
      </w:r>
      <w:r w:rsidR="00D50A8E">
        <w:rPr>
          <w:rFonts w:eastAsia="Arial Unicode MS"/>
          <w:u w:color="000000"/>
        </w:rPr>
        <w:t>T</w:t>
      </w:r>
      <w:r w:rsidRPr="00826686" w:rsidR="00D12984">
        <w:rPr>
          <w:rFonts w:eastAsia="Arial Unicode MS"/>
          <w:u w:color="000000"/>
        </w:rPr>
        <w:t xml:space="preserve">he knowledge gained will directly benefit the affected community. </w:t>
      </w:r>
      <w:r w:rsidRPr="00F15AB9" w:rsidR="00D12984">
        <w:rPr>
          <w:rFonts w:eastAsia="Arial Unicode MS"/>
          <w:u w:color="000000"/>
        </w:rPr>
        <w:t xml:space="preserve">Although the investigations will use systematic methods, they will not be designed to develop or contribute to </w:t>
      </w:r>
      <w:r w:rsidRPr="00F15AB9" w:rsidR="00D12984">
        <w:rPr>
          <w:rFonts w:eastAsia="Arial Unicode MS"/>
          <w:u w:color="000000"/>
        </w:rPr>
        <w:t>generalizable</w:t>
      </w:r>
      <w:r w:rsidRPr="00F15AB9" w:rsidR="00D12984">
        <w:rPr>
          <w:rFonts w:eastAsia="Arial Unicode MS"/>
          <w:u w:color="000000"/>
        </w:rPr>
        <w:t xml:space="preserve"> knowledge </w:t>
      </w:r>
      <w:r w:rsidR="00083031">
        <w:t>to other populations or other public health emergencies</w:t>
      </w:r>
      <w:r w:rsidRPr="00F15AB9" w:rsidR="00D12984">
        <w:rPr>
          <w:rFonts w:eastAsia="Arial Unicode MS"/>
          <w:u w:color="000000"/>
        </w:rPr>
        <w:t xml:space="preserve">. </w:t>
      </w:r>
      <w:r w:rsidR="00083031">
        <w:t>As such, information collection and information dissemination activities are not intended to guide significant policy or rulemaking.</w:t>
      </w:r>
    </w:p>
    <w:p w:rsidR="00430266" w:rsidRPr="00264DAD" w:rsidP="00D12984" w14:paraId="566B382C" w14:textId="77777777">
      <w:pPr>
        <w:rPr>
          <w:rFonts w:eastAsia="Arial Unicode MS"/>
          <w:u w:color="000000"/>
        </w:rPr>
      </w:pPr>
      <w:r>
        <w:rPr>
          <w:rFonts w:eastAsia="Arial Unicode MS"/>
          <w:u w:color="000000"/>
        </w:rPr>
        <w:t xml:space="preserve">Each GenIC submitted under this Generic ICR will be reviewed </w:t>
      </w:r>
      <w:r w:rsidR="00DE5F81">
        <w:rPr>
          <w:rFonts w:eastAsia="Arial Unicode MS"/>
          <w:u w:color="000000"/>
        </w:rPr>
        <w:t>to assure</w:t>
      </w:r>
      <w:r>
        <w:rPr>
          <w:rFonts w:eastAsia="Arial Unicode MS"/>
          <w:u w:color="000000"/>
        </w:rPr>
        <w:t xml:space="preserve"> human subjects</w:t>
      </w:r>
      <w:r w:rsidR="00DE5F81">
        <w:rPr>
          <w:rFonts w:eastAsia="Arial Unicode MS"/>
          <w:u w:color="000000"/>
        </w:rPr>
        <w:t xml:space="preserve"> </w:t>
      </w:r>
      <w:r w:rsidR="00BB7E8A">
        <w:rPr>
          <w:rFonts w:eastAsia="Arial Unicode MS"/>
          <w:u w:color="000000"/>
        </w:rPr>
        <w:t>p</w:t>
      </w:r>
      <w:r w:rsidR="00DE5F81">
        <w:rPr>
          <w:rFonts w:eastAsia="Arial Unicode MS"/>
          <w:u w:color="000000"/>
        </w:rPr>
        <w:t>rotections</w:t>
      </w:r>
      <w:r w:rsidR="00DE5F81">
        <w:rPr>
          <w:rFonts w:eastAsia="Arial Unicode MS"/>
          <w:u w:color="000000"/>
        </w:rPr>
        <w:t>.</w:t>
      </w:r>
      <w:r>
        <w:rPr>
          <w:rFonts w:eastAsia="Arial Unicode MS"/>
          <w:u w:color="000000"/>
        </w:rPr>
        <w:t xml:space="preserve"> </w:t>
      </w:r>
      <w:r w:rsidR="00DE5F81">
        <w:rPr>
          <w:rFonts w:eastAsia="Arial Unicode MS"/>
          <w:u w:color="000000"/>
        </w:rPr>
        <w:t>A</w:t>
      </w:r>
      <w:r>
        <w:rPr>
          <w:rFonts w:eastAsia="Arial Unicode MS"/>
          <w:u w:color="000000"/>
        </w:rPr>
        <w:t xml:space="preserve"> separate research determination will be completed and submitted to OMB. </w:t>
      </w:r>
    </w:p>
    <w:p w:rsidR="00D02041" w:rsidP="00D02041" w14:paraId="6A56D775" w14:textId="77777777">
      <w:pPr>
        <w:rPr>
          <w:color w:val="000000"/>
        </w:rPr>
      </w:pPr>
      <w:r w:rsidRPr="00E96FE7">
        <w:rPr>
          <w:color w:val="000000"/>
        </w:rPr>
        <w:t>The majority of</w:t>
      </w:r>
      <w:r w:rsidRPr="00E96FE7">
        <w:rPr>
          <w:color w:val="000000"/>
        </w:rPr>
        <w:t xml:space="preserve"> questions asked will not be of a sensitive nature. However, some </w:t>
      </w:r>
      <w:r>
        <w:rPr>
          <w:color w:val="000000"/>
        </w:rPr>
        <w:t>respondents</w:t>
      </w:r>
      <w:r w:rsidRPr="00E96FE7">
        <w:rPr>
          <w:color w:val="000000"/>
        </w:rPr>
        <w:t xml:space="preserve"> may find thinking about and discussing </w:t>
      </w:r>
      <w:r w:rsidR="003753D4">
        <w:rPr>
          <w:color w:val="000000"/>
        </w:rPr>
        <w:t xml:space="preserve">symptoms of an exposure </w:t>
      </w:r>
      <w:r w:rsidRPr="00E96FE7">
        <w:rPr>
          <w:color w:val="000000"/>
        </w:rPr>
        <w:t>unpleasant</w:t>
      </w:r>
      <w:r>
        <w:rPr>
          <w:color w:val="000000"/>
        </w:rPr>
        <w:t>, or</w:t>
      </w:r>
      <w:r w:rsidRPr="00E96FE7">
        <w:rPr>
          <w:color w:val="000000"/>
        </w:rPr>
        <w:t xml:space="preserve"> </w:t>
      </w:r>
      <w:r>
        <w:rPr>
          <w:color w:val="000000"/>
        </w:rPr>
        <w:t xml:space="preserve">a portion of respondents could consider questions about race, ethnicity, demographic characteristics, or behaviors to be sensitive. </w:t>
      </w:r>
      <w:r w:rsidRPr="007A7BD4">
        <w:rPr>
          <w:color w:val="000000"/>
        </w:rPr>
        <w:t xml:space="preserve">Where relevant to the </w:t>
      </w:r>
      <w:r>
        <w:rPr>
          <w:color w:val="000000"/>
        </w:rPr>
        <w:t>information collection</w:t>
      </w:r>
      <w:r w:rsidRPr="007A7BD4">
        <w:rPr>
          <w:color w:val="000000"/>
        </w:rPr>
        <w:t xml:space="preserve">, </w:t>
      </w:r>
      <w:r>
        <w:rPr>
          <w:color w:val="000000"/>
        </w:rPr>
        <w:t>r</w:t>
      </w:r>
      <w:r w:rsidRPr="007A7BD4">
        <w:rPr>
          <w:color w:val="000000"/>
        </w:rPr>
        <w:t xml:space="preserve">ace and </w:t>
      </w:r>
      <w:r>
        <w:rPr>
          <w:color w:val="000000"/>
        </w:rPr>
        <w:t>e</w:t>
      </w:r>
      <w:r w:rsidRPr="007A7BD4">
        <w:rPr>
          <w:color w:val="000000"/>
        </w:rPr>
        <w:t xml:space="preserve">thnicity data will be collected </w:t>
      </w:r>
      <w:r w:rsidRPr="007A7BD4">
        <w:rPr>
          <w:color w:val="000000"/>
        </w:rPr>
        <w:t>consistent</w:t>
      </w:r>
      <w:r w:rsidRPr="007A7BD4">
        <w:rPr>
          <w:color w:val="000000"/>
        </w:rPr>
        <w:t xml:space="preserve"> with HHS policy and standard OMB classifications.</w:t>
      </w:r>
      <w:r w:rsidRPr="00AB6A01">
        <w:rPr>
          <w:color w:val="000000"/>
        </w:rPr>
        <w:t xml:space="preserve"> </w:t>
      </w:r>
    </w:p>
    <w:p w:rsidR="00D02041" w:rsidP="00D02041" w14:paraId="20949DCA" w14:textId="77777777">
      <w:pPr>
        <w:rPr>
          <w:color w:val="000000"/>
        </w:rPr>
      </w:pPr>
      <w:r w:rsidRPr="00E96FE7">
        <w:rPr>
          <w:color w:val="000000"/>
        </w:rPr>
        <w:t>Additionally</w:t>
      </w:r>
      <w:r>
        <w:rPr>
          <w:color w:val="000000"/>
        </w:rPr>
        <w:t>, some respondent</w:t>
      </w:r>
      <w:r w:rsidRPr="00E96FE7">
        <w:rPr>
          <w:color w:val="000000"/>
        </w:rPr>
        <w:t>s may feel uncomfortable answering</w:t>
      </w:r>
      <w:r>
        <w:rPr>
          <w:color w:val="000000"/>
        </w:rPr>
        <w:t xml:space="preserve"> particular </w:t>
      </w:r>
      <w:r w:rsidRPr="00E96FE7">
        <w:rPr>
          <w:color w:val="000000"/>
        </w:rPr>
        <w:t xml:space="preserve">questions about their </w:t>
      </w:r>
      <w:r w:rsidR="003753D4">
        <w:rPr>
          <w:color w:val="000000"/>
        </w:rPr>
        <w:t xml:space="preserve">course of treatment </w:t>
      </w:r>
      <w:r w:rsidR="003753D4">
        <w:rPr>
          <w:color w:val="000000"/>
        </w:rPr>
        <w:t>as a result of</w:t>
      </w:r>
      <w:r w:rsidR="003753D4">
        <w:rPr>
          <w:color w:val="000000"/>
        </w:rPr>
        <w:t xml:space="preserve"> the exposure</w:t>
      </w:r>
      <w:r w:rsidRPr="00E96FE7">
        <w:rPr>
          <w:color w:val="000000"/>
        </w:rPr>
        <w:t xml:space="preserve">. </w:t>
      </w:r>
      <w:r>
        <w:rPr>
          <w:color w:val="000000"/>
        </w:rPr>
        <w:t xml:space="preserve">Such questions, if asked, would be necessary for the purposes of a targeted CDC activity and thus to the information collection. </w:t>
      </w:r>
      <w:r w:rsidRPr="00E96FE7">
        <w:rPr>
          <w:color w:val="000000"/>
        </w:rPr>
        <w:t xml:space="preserve">To minimize psychological distress, the </w:t>
      </w:r>
      <w:r w:rsidR="001826BB">
        <w:rPr>
          <w:color w:val="000000"/>
        </w:rPr>
        <w:t>poison center interviewer</w:t>
      </w:r>
      <w:r>
        <w:rPr>
          <w:color w:val="000000"/>
        </w:rPr>
        <w:t xml:space="preserve"> </w:t>
      </w:r>
      <w:r w:rsidRPr="00E96FE7">
        <w:rPr>
          <w:color w:val="000000"/>
        </w:rPr>
        <w:t>will inform participants that they do not have to respond to any questions they do not want to answer and they may s</w:t>
      </w:r>
      <w:r>
        <w:rPr>
          <w:color w:val="000000"/>
        </w:rPr>
        <w:t xml:space="preserve">top participating at any time. </w:t>
      </w:r>
    </w:p>
    <w:p w:rsidR="001826BB" w:rsidRPr="001826BB" w:rsidP="001826BB" w14:paraId="007612A6" w14:textId="77777777">
      <w:pPr>
        <w:rPr>
          <w:color w:val="000000"/>
        </w:rPr>
      </w:pPr>
      <w:r w:rsidRPr="001826BB">
        <w:rPr>
          <w:color w:val="000000"/>
        </w:rPr>
        <w:t>Social security numbers will not be needed and will not be collected.</w:t>
      </w:r>
    </w:p>
    <w:p w:rsidR="00F63BD2" w:rsidP="00064993" w14:paraId="4CB609A0" w14:textId="77777777">
      <w:pPr>
        <w:pStyle w:val="Heading1"/>
        <w:jc w:val="left"/>
        <w:rPr>
          <w:b w:val="0"/>
          <w:sz w:val="36"/>
          <w:szCs w:val="36"/>
        </w:rPr>
      </w:pPr>
      <w:bookmarkStart w:id="31" w:name="_Toc441505150"/>
      <w:bookmarkStart w:id="32" w:name="_Toc224733943"/>
      <w:r w:rsidRPr="00064993">
        <w:rPr>
          <w:b w:val="0"/>
          <w:sz w:val="36"/>
          <w:szCs w:val="36"/>
        </w:rPr>
        <w:t xml:space="preserve">A.12. </w:t>
      </w:r>
      <w:r w:rsidRPr="00064993" w:rsidR="006430D2">
        <w:rPr>
          <w:b w:val="0"/>
          <w:sz w:val="36"/>
          <w:szCs w:val="36"/>
        </w:rPr>
        <w:t xml:space="preserve">Estimates of Annualized </w:t>
      </w:r>
      <w:r w:rsidRPr="00064993" w:rsidR="00CA553C">
        <w:rPr>
          <w:b w:val="0"/>
          <w:sz w:val="36"/>
          <w:szCs w:val="36"/>
        </w:rPr>
        <w:t xml:space="preserve">Burden </w:t>
      </w:r>
      <w:r w:rsidRPr="00064993" w:rsidR="006430D2">
        <w:rPr>
          <w:b w:val="0"/>
          <w:sz w:val="36"/>
          <w:szCs w:val="36"/>
        </w:rPr>
        <w:t>Hours and Costs</w:t>
      </w:r>
      <w:bookmarkEnd w:id="31"/>
      <w:bookmarkEnd w:id="32"/>
    </w:p>
    <w:p w:rsidR="003414D1" w:rsidP="00475AD1" w14:paraId="7E9C161D" w14:textId="77777777"/>
    <w:p w:rsidR="00022F45" w:rsidP="00475AD1" w14:paraId="45095DC8" w14:textId="77777777">
      <w:r w:rsidRPr="00F3597B">
        <w:t xml:space="preserve">Table </w:t>
      </w:r>
      <w:r w:rsidR="00AF18E5">
        <w:t>A</w:t>
      </w:r>
      <w:r>
        <w:t xml:space="preserve">12-1 </w:t>
      </w:r>
      <w:r w:rsidRPr="00A645FE">
        <w:t>presents the</w:t>
      </w:r>
      <w:r>
        <w:t xml:space="preserve"> estimated annual time burden to respondents for this data collection.</w:t>
      </w:r>
      <w:r w:rsidRPr="00A645FE">
        <w:t xml:space="preserve"> </w:t>
      </w:r>
      <w:r w:rsidRPr="00294D5C" w:rsidR="00304696">
        <w:t xml:space="preserve">The respondents </w:t>
      </w:r>
      <w:r w:rsidR="00DC1568">
        <w:t>for</w:t>
      </w:r>
      <w:r w:rsidRPr="00294D5C" w:rsidR="00304696">
        <w:t xml:space="preserve"> the information collection include adults, adolescents</w:t>
      </w:r>
      <w:r w:rsidR="002E2533">
        <w:t>,</w:t>
      </w:r>
      <w:r w:rsidRPr="00294D5C" w:rsidR="00304696">
        <w:t xml:space="preserve"> and parents or guardians of children with </w:t>
      </w:r>
      <w:r w:rsidRPr="00294D5C" w:rsidR="00304696">
        <w:t>an exposure</w:t>
      </w:r>
      <w:r w:rsidRPr="00294D5C" w:rsidR="00304696">
        <w:t xml:space="preserve"> during an </w:t>
      </w:r>
      <w:r w:rsidRPr="00294D5C" w:rsidR="000145D0">
        <w:t>emergency. The</w:t>
      </w:r>
      <w:r w:rsidRPr="00294D5C" w:rsidR="00D02041">
        <w:t xml:space="preserve"> </w:t>
      </w:r>
      <w:r w:rsidR="002E2533">
        <w:t>time</w:t>
      </w:r>
      <w:r w:rsidRPr="00294D5C" w:rsidR="00D02041">
        <w:t xml:space="preserve"> burden for each respondent will </w:t>
      </w:r>
      <w:r w:rsidRPr="00294D5C" w:rsidR="008F041A">
        <w:t xml:space="preserve">average </w:t>
      </w:r>
      <w:r w:rsidR="00597700">
        <w:t>10</w:t>
      </w:r>
      <w:r w:rsidRPr="00294D5C" w:rsidR="00D02041">
        <w:t xml:space="preserve"> minutes </w:t>
      </w:r>
      <w:r w:rsidR="00FD17A9">
        <w:t xml:space="preserve">as the upper limit </w:t>
      </w:r>
      <w:r w:rsidRPr="00294D5C" w:rsidR="00D02041">
        <w:t xml:space="preserve">for the </w:t>
      </w:r>
      <w:r w:rsidRPr="00294D5C" w:rsidR="00460BB6">
        <w:t>questionnaire</w:t>
      </w:r>
      <w:r w:rsidRPr="00294D5C" w:rsidR="00D02041">
        <w:t xml:space="preserve">. The estimated total number of respondents for all information collections has been calculated based on the following assumption: </w:t>
      </w:r>
      <w:r w:rsidR="00F42D83">
        <w:t>three</w:t>
      </w:r>
      <w:r w:rsidRPr="00294D5C" w:rsidR="004C0742">
        <w:t xml:space="preserve"> </w:t>
      </w:r>
      <w:r w:rsidRPr="00294D5C" w:rsidR="002E772D">
        <w:t>incidents</w:t>
      </w:r>
      <w:r w:rsidRPr="00294D5C" w:rsidR="00A416E0">
        <w:t xml:space="preserve"> per year</w:t>
      </w:r>
      <w:r w:rsidRPr="00294D5C" w:rsidR="00D02041">
        <w:t xml:space="preserve"> with </w:t>
      </w:r>
      <w:r w:rsidRPr="00294D5C" w:rsidR="006370CC">
        <w:t>a</w:t>
      </w:r>
      <w:r w:rsidRPr="00294D5C" w:rsidR="00D02041">
        <w:t xml:space="preserve"> sample size of</w:t>
      </w:r>
      <w:r w:rsidRPr="00294D5C" w:rsidR="00784E33">
        <w:t xml:space="preserve"> approximately</w:t>
      </w:r>
      <w:r w:rsidRPr="00294D5C" w:rsidR="00D02041">
        <w:t xml:space="preserve"> </w:t>
      </w:r>
      <w:r w:rsidR="00F42D83">
        <w:t>500</w:t>
      </w:r>
      <w:r w:rsidRPr="00294D5C" w:rsidR="00D02041">
        <w:t xml:space="preserve"> </w:t>
      </w:r>
      <w:r w:rsidRPr="00294D5C" w:rsidR="00060DD1">
        <w:t>respondents</w:t>
      </w:r>
      <w:r w:rsidRPr="00294D5C" w:rsidR="00D02041">
        <w:t xml:space="preserve"> (total = </w:t>
      </w:r>
      <w:r w:rsidR="00F42D83">
        <w:t>500</w:t>
      </w:r>
      <w:r w:rsidR="00323E6F">
        <w:t>*</w:t>
      </w:r>
      <w:r w:rsidR="00F42D83">
        <w:t>3</w:t>
      </w:r>
      <w:r w:rsidR="00323E6F">
        <w:t xml:space="preserve"> </w:t>
      </w:r>
      <w:r w:rsidRPr="00294D5C" w:rsidR="00323E6F">
        <w:t xml:space="preserve">= </w:t>
      </w:r>
      <w:r w:rsidR="00F42D83">
        <w:t>1500</w:t>
      </w:r>
      <w:r w:rsidRPr="00294D5C" w:rsidR="00D02041">
        <w:t>)</w:t>
      </w:r>
      <w:r w:rsidRPr="00294D5C" w:rsidR="006370CC">
        <w:t xml:space="preserve">.  </w:t>
      </w:r>
      <w:r w:rsidRPr="00294D5C" w:rsidR="00475AD1">
        <w:t xml:space="preserve">These estimates were derived from information gathered during previous data collections that had </w:t>
      </w:r>
      <w:r w:rsidR="00F42D83">
        <w:t>used</w:t>
      </w:r>
      <w:r w:rsidRPr="00294D5C" w:rsidR="00475AD1">
        <w:t xml:space="preserve"> NPDS</w:t>
      </w:r>
      <w:r w:rsidR="00F42D83">
        <w:t xml:space="preserve"> over the past 5 years</w:t>
      </w:r>
      <w:r w:rsidRPr="00294D5C" w:rsidR="00475AD1">
        <w:t xml:space="preserve">.  </w:t>
      </w:r>
      <w:r w:rsidR="00481985">
        <w:t>T</w:t>
      </w:r>
      <w:r w:rsidRPr="00294D5C" w:rsidR="00475AD1">
        <w:t xml:space="preserve">he number of participants can vary </w:t>
      </w:r>
      <w:r w:rsidR="00F42D83">
        <w:t>because of</w:t>
      </w:r>
      <w:r w:rsidRPr="00294D5C" w:rsidR="00475AD1">
        <w:t xml:space="preserve"> poison center capacity, the number of poison centers participating, the number of individuals affected, and funding constraints. </w:t>
      </w:r>
      <w:r w:rsidRPr="00294D5C" w:rsidR="001D42CA">
        <w:t>The respondent population</w:t>
      </w:r>
      <w:r w:rsidRPr="00294D5C" w:rsidR="00F40D20">
        <w:t>s</w:t>
      </w:r>
      <w:r w:rsidRPr="00294D5C" w:rsidR="00475AD1">
        <w:t xml:space="preserve"> </w:t>
      </w:r>
      <w:r w:rsidRPr="00294D5C" w:rsidR="00EA2865">
        <w:t xml:space="preserve">for a single incident </w:t>
      </w:r>
      <w:r w:rsidRPr="00294D5C" w:rsidR="00784E33">
        <w:t>have been</w:t>
      </w:r>
      <w:r w:rsidRPr="00294D5C" w:rsidR="00784E33">
        <w:t xml:space="preserve"> an average of </w:t>
      </w:r>
      <w:r w:rsidR="00F42D83">
        <w:t>less than 500</w:t>
      </w:r>
      <w:r w:rsidRPr="00294D5C" w:rsidR="00784E33">
        <w:t xml:space="preserve"> respondents</w:t>
      </w:r>
      <w:r w:rsidRPr="00294D5C" w:rsidR="00475AD1">
        <w:t>, which we believe is a</w:t>
      </w:r>
      <w:r w:rsidR="00D45D80">
        <w:t xml:space="preserve">n upper </w:t>
      </w:r>
      <w:r w:rsidRPr="00294D5C" w:rsidR="00475AD1">
        <w:t>estimate for</w:t>
      </w:r>
      <w:r w:rsidRPr="00294D5C" w:rsidR="00EA2865">
        <w:t xml:space="preserve"> each incident that is submitted under</w:t>
      </w:r>
      <w:r w:rsidRPr="00294D5C" w:rsidR="00475AD1">
        <w:t xml:space="preserve"> this data collection request.  </w:t>
      </w:r>
      <w:r w:rsidRPr="00294D5C" w:rsidR="00DD1B51">
        <w:t xml:space="preserve">Using these calculations, we anticipate a total annualized burden of </w:t>
      </w:r>
      <w:r w:rsidRPr="00294D5C" w:rsidR="006A747D">
        <w:t>2</w:t>
      </w:r>
      <w:r w:rsidR="00F42D83">
        <w:t>50</w:t>
      </w:r>
      <w:r w:rsidRPr="00294D5C" w:rsidR="00DD1B51">
        <w:t xml:space="preserve"> hours (</w:t>
      </w:r>
      <w:r w:rsidR="00B94FCB">
        <w:t>1</w:t>
      </w:r>
      <w:r w:rsidR="00F42D83">
        <w:t>500</w:t>
      </w:r>
      <w:r w:rsidRPr="00294D5C" w:rsidR="00DD1B51">
        <w:t>*</w:t>
      </w:r>
      <w:r w:rsidR="00F42D83">
        <w:t>1</w:t>
      </w:r>
      <w:r w:rsidRPr="00294D5C" w:rsidR="00DD1B51">
        <w:t>0/60).</w:t>
      </w:r>
      <w:r>
        <w:t xml:space="preserve"> </w:t>
      </w:r>
    </w:p>
    <w:p w:rsidR="00022F45" w:rsidP="00475AD1" w14:paraId="135F9641" w14:textId="77777777">
      <w:r>
        <w:t xml:space="preserve">See Section A3 for an </w:t>
      </w:r>
      <w:r w:rsidR="009214B4">
        <w:t xml:space="preserve">annual </w:t>
      </w:r>
      <w:r>
        <w:t>estimate of the number of respondents who will complete the call-back questionnaire through telephone surveys or through web surveys.</w:t>
      </w:r>
    </w:p>
    <w:p w:rsidR="00EA2865" w:rsidRPr="00AD60FE" w:rsidP="00475AD1" w14:paraId="5513F1DC" w14:textId="77777777">
      <w:pPr>
        <w:rPr>
          <w:b/>
        </w:rPr>
      </w:pPr>
      <w:r w:rsidRPr="00AD60FE">
        <w:rPr>
          <w:b/>
        </w:rPr>
        <w:t xml:space="preserve">Table </w:t>
      </w:r>
      <w:r w:rsidR="00AF18E5">
        <w:rPr>
          <w:b/>
        </w:rPr>
        <w:t>A</w:t>
      </w:r>
      <w:r w:rsidRPr="00AD60FE">
        <w:rPr>
          <w:b/>
        </w:rPr>
        <w:t>12-1: Estimated Annualized Burden Hours</w:t>
      </w:r>
    </w:p>
    <w:tbl>
      <w:tblPr>
        <w:tblStyle w:val="TableGrid"/>
        <w:tblW w:w="4901" w:type="pct"/>
        <w:tblLayout w:type="fixed"/>
        <w:tblLook w:val="0000"/>
      </w:tblPr>
      <w:tblGrid>
        <w:gridCol w:w="1885"/>
        <w:gridCol w:w="1980"/>
        <w:gridCol w:w="1325"/>
        <w:gridCol w:w="1325"/>
        <w:gridCol w:w="1327"/>
        <w:gridCol w:w="1323"/>
      </w:tblGrid>
      <w:tr w14:paraId="1C609030" w14:textId="77777777" w:rsidTr="00895214">
        <w:tblPrEx>
          <w:tblW w:w="4901" w:type="pct"/>
          <w:tblLayout w:type="fixed"/>
          <w:tblLook w:val="0000"/>
        </w:tblPrEx>
        <w:tc>
          <w:tcPr>
            <w:tcW w:w="1028" w:type="pct"/>
            <w:vAlign w:val="center"/>
          </w:tcPr>
          <w:p w:rsidR="00677474" w:rsidRPr="00343353" w:rsidP="00F754AF" w14:paraId="7932723D" w14:textId="77777777">
            <w:pPr>
              <w:tabs>
                <w:tab w:val="left" w:pos="-1080"/>
                <w:tab w:val="left" w:pos="-720"/>
                <w:tab w:val="left" w:pos="0"/>
                <w:tab w:val="left" w:pos="450"/>
                <w:tab w:val="left" w:pos="720"/>
                <w:tab w:val="left" w:pos="2160"/>
              </w:tabs>
              <w:jc w:val="center"/>
              <w:rPr>
                <w:sz w:val="22"/>
                <w:szCs w:val="22"/>
              </w:rPr>
            </w:pPr>
            <w:r w:rsidRPr="00343353">
              <w:rPr>
                <w:sz w:val="22"/>
                <w:szCs w:val="22"/>
              </w:rPr>
              <w:t>Type of Respondent</w:t>
            </w:r>
          </w:p>
        </w:tc>
        <w:tc>
          <w:tcPr>
            <w:tcW w:w="1080" w:type="pct"/>
            <w:vAlign w:val="center"/>
          </w:tcPr>
          <w:p w:rsidR="00677474" w:rsidRPr="00343353" w:rsidP="00F754AF" w14:paraId="1F558EE4" w14:textId="77777777">
            <w:pPr>
              <w:jc w:val="center"/>
              <w:rPr>
                <w:sz w:val="22"/>
                <w:szCs w:val="22"/>
              </w:rPr>
            </w:pPr>
            <w:r w:rsidRPr="00343353">
              <w:rPr>
                <w:sz w:val="22"/>
                <w:szCs w:val="22"/>
              </w:rPr>
              <w:t>Form Name</w:t>
            </w:r>
          </w:p>
        </w:tc>
        <w:tc>
          <w:tcPr>
            <w:tcW w:w="723" w:type="pct"/>
            <w:vAlign w:val="center"/>
          </w:tcPr>
          <w:p w:rsidR="00677474" w:rsidRPr="00343353" w:rsidP="00F754AF" w14:paraId="305776B4" w14:textId="77777777">
            <w:pPr>
              <w:tabs>
                <w:tab w:val="left" w:pos="-1080"/>
                <w:tab w:val="left" w:pos="-720"/>
                <w:tab w:val="left" w:pos="0"/>
                <w:tab w:val="left" w:pos="450"/>
                <w:tab w:val="left" w:pos="720"/>
                <w:tab w:val="left" w:pos="2160"/>
              </w:tabs>
              <w:jc w:val="center"/>
              <w:rPr>
                <w:sz w:val="22"/>
                <w:szCs w:val="22"/>
              </w:rPr>
            </w:pPr>
            <w:r w:rsidRPr="00343353">
              <w:rPr>
                <w:sz w:val="22"/>
                <w:szCs w:val="22"/>
              </w:rPr>
              <w:t>No. of Respondents</w:t>
            </w:r>
          </w:p>
        </w:tc>
        <w:tc>
          <w:tcPr>
            <w:tcW w:w="723" w:type="pct"/>
            <w:vAlign w:val="center"/>
          </w:tcPr>
          <w:p w:rsidR="00677474" w:rsidRPr="00343353" w:rsidP="00F754AF" w14:paraId="2671A1DF" w14:textId="77777777">
            <w:pPr>
              <w:tabs>
                <w:tab w:val="left" w:pos="-1080"/>
                <w:tab w:val="left" w:pos="-720"/>
                <w:tab w:val="left" w:pos="0"/>
                <w:tab w:val="left" w:pos="450"/>
                <w:tab w:val="left" w:pos="720"/>
                <w:tab w:val="left" w:pos="2160"/>
              </w:tabs>
              <w:jc w:val="center"/>
              <w:rPr>
                <w:sz w:val="22"/>
                <w:szCs w:val="22"/>
              </w:rPr>
            </w:pPr>
            <w:r w:rsidRPr="00343353">
              <w:rPr>
                <w:sz w:val="22"/>
                <w:szCs w:val="22"/>
              </w:rPr>
              <w:t>No. of Responses per Respondent</w:t>
            </w:r>
          </w:p>
        </w:tc>
        <w:tc>
          <w:tcPr>
            <w:tcW w:w="724" w:type="pct"/>
            <w:vAlign w:val="center"/>
          </w:tcPr>
          <w:p w:rsidR="00677474" w:rsidRPr="00343353" w:rsidP="00F754AF" w14:paraId="705BB09D" w14:textId="77777777">
            <w:pPr>
              <w:tabs>
                <w:tab w:val="left" w:pos="-1080"/>
                <w:tab w:val="left" w:pos="-720"/>
                <w:tab w:val="left" w:pos="0"/>
                <w:tab w:val="left" w:pos="450"/>
                <w:tab w:val="left" w:pos="720"/>
                <w:tab w:val="left" w:pos="2160"/>
              </w:tabs>
              <w:jc w:val="center"/>
              <w:rPr>
                <w:sz w:val="22"/>
                <w:szCs w:val="22"/>
              </w:rPr>
            </w:pPr>
            <w:r w:rsidRPr="00343353">
              <w:rPr>
                <w:sz w:val="22"/>
                <w:szCs w:val="22"/>
              </w:rPr>
              <w:t>Average Burden per Response (in hours)</w:t>
            </w:r>
          </w:p>
        </w:tc>
        <w:tc>
          <w:tcPr>
            <w:tcW w:w="722" w:type="pct"/>
            <w:vAlign w:val="center"/>
          </w:tcPr>
          <w:p w:rsidR="00677474" w:rsidRPr="00343353" w:rsidP="00F754AF" w14:paraId="0893779E" w14:textId="77777777">
            <w:pPr>
              <w:jc w:val="center"/>
              <w:rPr>
                <w:sz w:val="22"/>
                <w:szCs w:val="22"/>
              </w:rPr>
            </w:pPr>
            <w:r w:rsidRPr="00343353">
              <w:rPr>
                <w:sz w:val="22"/>
                <w:szCs w:val="22"/>
              </w:rPr>
              <w:t>Total Burden Hours</w:t>
            </w:r>
          </w:p>
        </w:tc>
      </w:tr>
      <w:tr w14:paraId="1069B6C8" w14:textId="77777777" w:rsidTr="00EB4D36">
        <w:tblPrEx>
          <w:tblW w:w="4901" w:type="pct"/>
          <w:tblLayout w:type="fixed"/>
          <w:tblLook w:val="0000"/>
        </w:tblPrEx>
        <w:tc>
          <w:tcPr>
            <w:tcW w:w="1028" w:type="pct"/>
            <w:vAlign w:val="center"/>
          </w:tcPr>
          <w:p w:rsidR="005D7997" w:rsidRPr="00343353" w:rsidP="005D7997" w14:paraId="3F884639" w14:textId="77777777">
            <w:pPr>
              <w:tabs>
                <w:tab w:val="left" w:pos="-1080"/>
                <w:tab w:val="left" w:pos="-720"/>
                <w:tab w:val="left" w:pos="0"/>
                <w:tab w:val="left" w:pos="450"/>
                <w:tab w:val="left" w:pos="720"/>
                <w:tab w:val="left" w:pos="2160"/>
              </w:tabs>
              <w:rPr>
                <w:sz w:val="22"/>
                <w:szCs w:val="22"/>
              </w:rPr>
            </w:pPr>
            <w:r w:rsidRPr="00343353">
              <w:rPr>
                <w:rFonts w:cs="Courier New"/>
                <w:sz w:val="22"/>
                <w:szCs w:val="22"/>
              </w:rPr>
              <w:t>Adult Poison Center Callers</w:t>
            </w:r>
          </w:p>
        </w:tc>
        <w:tc>
          <w:tcPr>
            <w:tcW w:w="1080" w:type="pct"/>
            <w:vAlign w:val="center"/>
          </w:tcPr>
          <w:p w:rsidR="005D7997" w:rsidRPr="00343353" w:rsidP="005D7997" w14:paraId="69FAC8CE" w14:textId="77777777">
            <w:pPr>
              <w:tabs>
                <w:tab w:val="left" w:pos="-1080"/>
                <w:tab w:val="left" w:pos="-720"/>
                <w:tab w:val="left" w:pos="0"/>
                <w:tab w:val="left" w:pos="450"/>
                <w:tab w:val="left" w:pos="720"/>
                <w:tab w:val="left" w:pos="2160"/>
              </w:tabs>
              <w:jc w:val="center"/>
              <w:rPr>
                <w:sz w:val="22"/>
                <w:szCs w:val="22"/>
              </w:rPr>
            </w:pPr>
            <w:r>
              <w:rPr>
                <w:sz w:val="22"/>
              </w:rPr>
              <w:t>Call-back Questionnaire for Self</w:t>
            </w:r>
          </w:p>
        </w:tc>
        <w:tc>
          <w:tcPr>
            <w:tcW w:w="723" w:type="pct"/>
            <w:vAlign w:val="center"/>
          </w:tcPr>
          <w:p w:rsidR="005D7997" w:rsidRPr="00343353" w:rsidP="005D7997" w14:paraId="54F66758" w14:textId="77777777">
            <w:pPr>
              <w:tabs>
                <w:tab w:val="left" w:pos="-1080"/>
                <w:tab w:val="left" w:pos="-720"/>
                <w:tab w:val="left" w:pos="0"/>
                <w:tab w:val="left" w:pos="450"/>
                <w:tab w:val="left" w:pos="720"/>
                <w:tab w:val="left" w:pos="2160"/>
              </w:tabs>
              <w:jc w:val="center"/>
              <w:rPr>
                <w:sz w:val="22"/>
                <w:szCs w:val="22"/>
              </w:rPr>
            </w:pPr>
            <w:r>
              <w:rPr>
                <w:sz w:val="22"/>
                <w:szCs w:val="22"/>
              </w:rPr>
              <w:t>1,200</w:t>
            </w:r>
          </w:p>
        </w:tc>
        <w:tc>
          <w:tcPr>
            <w:tcW w:w="723" w:type="pct"/>
            <w:vAlign w:val="center"/>
          </w:tcPr>
          <w:p w:rsidR="005D7997" w:rsidRPr="00343353" w:rsidP="005D7997" w14:paraId="0BE77303" w14:textId="77777777">
            <w:pPr>
              <w:tabs>
                <w:tab w:val="left" w:pos="-1080"/>
                <w:tab w:val="left" w:pos="-720"/>
                <w:tab w:val="left" w:pos="0"/>
                <w:tab w:val="left" w:pos="450"/>
                <w:tab w:val="left" w:pos="720"/>
                <w:tab w:val="left" w:pos="2160"/>
              </w:tabs>
              <w:jc w:val="center"/>
              <w:rPr>
                <w:sz w:val="22"/>
                <w:szCs w:val="22"/>
              </w:rPr>
            </w:pPr>
            <w:r w:rsidRPr="00343353">
              <w:rPr>
                <w:sz w:val="22"/>
                <w:szCs w:val="22"/>
              </w:rPr>
              <w:t>1</w:t>
            </w:r>
          </w:p>
        </w:tc>
        <w:tc>
          <w:tcPr>
            <w:tcW w:w="724" w:type="pct"/>
            <w:vAlign w:val="center"/>
          </w:tcPr>
          <w:p w:rsidR="005D7997" w:rsidRPr="00343353" w:rsidP="005D7997" w14:paraId="4933FDFA" w14:textId="77777777">
            <w:pPr>
              <w:tabs>
                <w:tab w:val="left" w:pos="-1080"/>
                <w:tab w:val="left" w:pos="-720"/>
                <w:tab w:val="left" w:pos="0"/>
                <w:tab w:val="left" w:pos="450"/>
                <w:tab w:val="left" w:pos="720"/>
                <w:tab w:val="left" w:pos="2160"/>
              </w:tabs>
              <w:jc w:val="center"/>
              <w:rPr>
                <w:sz w:val="22"/>
                <w:szCs w:val="22"/>
              </w:rPr>
            </w:pPr>
            <w:r>
              <w:rPr>
                <w:sz w:val="22"/>
                <w:szCs w:val="22"/>
              </w:rPr>
              <w:t>10</w:t>
            </w:r>
            <w:r w:rsidRPr="00343353">
              <w:rPr>
                <w:sz w:val="22"/>
                <w:szCs w:val="22"/>
              </w:rPr>
              <w:t>/60</w:t>
            </w:r>
          </w:p>
        </w:tc>
        <w:tc>
          <w:tcPr>
            <w:tcW w:w="722" w:type="pct"/>
            <w:vAlign w:val="center"/>
          </w:tcPr>
          <w:p w:rsidR="005D7997" w:rsidRPr="00343353" w:rsidP="005D7997" w14:paraId="6AA32906" w14:textId="77777777">
            <w:pPr>
              <w:tabs>
                <w:tab w:val="left" w:pos="-1080"/>
                <w:tab w:val="left" w:pos="-720"/>
                <w:tab w:val="left" w:pos="0"/>
                <w:tab w:val="left" w:pos="450"/>
                <w:tab w:val="left" w:pos="720"/>
                <w:tab w:val="left" w:pos="2160"/>
              </w:tabs>
              <w:jc w:val="center"/>
              <w:rPr>
                <w:sz w:val="22"/>
                <w:szCs w:val="22"/>
              </w:rPr>
            </w:pPr>
            <w:r>
              <w:rPr>
                <w:sz w:val="22"/>
                <w:szCs w:val="22"/>
              </w:rPr>
              <w:t>200</w:t>
            </w:r>
          </w:p>
        </w:tc>
      </w:tr>
      <w:tr w14:paraId="198A5898" w14:textId="77777777" w:rsidTr="00895214">
        <w:tblPrEx>
          <w:tblW w:w="4901" w:type="pct"/>
          <w:tblLayout w:type="fixed"/>
          <w:tblLook w:val="0000"/>
        </w:tblPrEx>
        <w:tc>
          <w:tcPr>
            <w:tcW w:w="1028" w:type="pct"/>
            <w:vAlign w:val="center"/>
          </w:tcPr>
          <w:p w:rsidR="005D7997" w:rsidRPr="00343353" w:rsidP="005D7997" w14:paraId="4295C3D7" w14:textId="77777777">
            <w:pPr>
              <w:tabs>
                <w:tab w:val="left" w:pos="-1080"/>
                <w:tab w:val="left" w:pos="-720"/>
                <w:tab w:val="left" w:pos="0"/>
                <w:tab w:val="left" w:pos="450"/>
                <w:tab w:val="left" w:pos="720"/>
                <w:tab w:val="left" w:pos="2160"/>
              </w:tabs>
              <w:rPr>
                <w:sz w:val="22"/>
                <w:szCs w:val="22"/>
              </w:rPr>
            </w:pPr>
            <w:r w:rsidRPr="00343353">
              <w:rPr>
                <w:rFonts w:cs="Courier New"/>
                <w:sz w:val="22"/>
                <w:szCs w:val="22"/>
              </w:rPr>
              <w:t>Adolescent Poison Center Callers</w:t>
            </w:r>
          </w:p>
        </w:tc>
        <w:tc>
          <w:tcPr>
            <w:tcW w:w="1080" w:type="pct"/>
            <w:vAlign w:val="center"/>
          </w:tcPr>
          <w:p w:rsidR="005D7997" w:rsidRPr="00343353" w:rsidP="005D7997" w14:paraId="0686D6E4" w14:textId="77777777">
            <w:pPr>
              <w:tabs>
                <w:tab w:val="left" w:pos="-1080"/>
                <w:tab w:val="left" w:pos="-720"/>
                <w:tab w:val="left" w:pos="0"/>
                <w:tab w:val="left" w:pos="450"/>
                <w:tab w:val="left" w:pos="720"/>
                <w:tab w:val="left" w:pos="2160"/>
              </w:tabs>
              <w:jc w:val="center"/>
              <w:rPr>
                <w:sz w:val="22"/>
                <w:szCs w:val="22"/>
              </w:rPr>
            </w:pPr>
            <w:r>
              <w:rPr>
                <w:sz w:val="22"/>
              </w:rPr>
              <w:t>Call-back Questionnaire for Self</w:t>
            </w:r>
          </w:p>
        </w:tc>
        <w:tc>
          <w:tcPr>
            <w:tcW w:w="723" w:type="pct"/>
            <w:vAlign w:val="center"/>
          </w:tcPr>
          <w:p w:rsidR="005D7997" w:rsidRPr="00343353" w:rsidP="005D7997" w14:paraId="7DEE9CC0" w14:textId="77777777">
            <w:pPr>
              <w:tabs>
                <w:tab w:val="left" w:pos="-1080"/>
                <w:tab w:val="left" w:pos="-720"/>
                <w:tab w:val="left" w:pos="0"/>
                <w:tab w:val="left" w:pos="450"/>
                <w:tab w:val="left" w:pos="720"/>
                <w:tab w:val="left" w:pos="2160"/>
              </w:tabs>
              <w:jc w:val="center"/>
              <w:rPr>
                <w:sz w:val="22"/>
                <w:szCs w:val="22"/>
              </w:rPr>
            </w:pPr>
            <w:r>
              <w:rPr>
                <w:sz w:val="22"/>
                <w:szCs w:val="22"/>
              </w:rPr>
              <w:t>1</w:t>
            </w:r>
            <w:r w:rsidR="00126F78">
              <w:rPr>
                <w:sz w:val="22"/>
                <w:szCs w:val="22"/>
              </w:rPr>
              <w:t>5</w:t>
            </w:r>
            <w:r>
              <w:rPr>
                <w:sz w:val="22"/>
                <w:szCs w:val="22"/>
              </w:rPr>
              <w:t>0</w:t>
            </w:r>
          </w:p>
        </w:tc>
        <w:tc>
          <w:tcPr>
            <w:tcW w:w="723" w:type="pct"/>
            <w:vAlign w:val="center"/>
          </w:tcPr>
          <w:p w:rsidR="005D7997" w:rsidRPr="00343353" w:rsidP="005D7997" w14:paraId="46006D3B" w14:textId="77777777">
            <w:pPr>
              <w:tabs>
                <w:tab w:val="left" w:pos="-1080"/>
                <w:tab w:val="left" w:pos="-720"/>
                <w:tab w:val="left" w:pos="0"/>
                <w:tab w:val="left" w:pos="450"/>
                <w:tab w:val="left" w:pos="720"/>
                <w:tab w:val="left" w:pos="2160"/>
              </w:tabs>
              <w:jc w:val="center"/>
              <w:rPr>
                <w:sz w:val="22"/>
                <w:szCs w:val="22"/>
              </w:rPr>
            </w:pPr>
            <w:r w:rsidRPr="00343353">
              <w:rPr>
                <w:sz w:val="22"/>
                <w:szCs w:val="22"/>
              </w:rPr>
              <w:t>1</w:t>
            </w:r>
          </w:p>
        </w:tc>
        <w:tc>
          <w:tcPr>
            <w:tcW w:w="724" w:type="pct"/>
            <w:vAlign w:val="center"/>
          </w:tcPr>
          <w:p w:rsidR="005D7997" w:rsidRPr="00343353" w:rsidP="005D7997" w14:paraId="196B5776" w14:textId="77777777">
            <w:pPr>
              <w:tabs>
                <w:tab w:val="left" w:pos="-1080"/>
                <w:tab w:val="left" w:pos="-720"/>
                <w:tab w:val="left" w:pos="0"/>
                <w:tab w:val="left" w:pos="450"/>
                <w:tab w:val="left" w:pos="720"/>
                <w:tab w:val="left" w:pos="2160"/>
              </w:tabs>
              <w:jc w:val="center"/>
              <w:rPr>
                <w:sz w:val="22"/>
                <w:szCs w:val="22"/>
              </w:rPr>
            </w:pPr>
            <w:r>
              <w:rPr>
                <w:sz w:val="22"/>
                <w:szCs w:val="22"/>
              </w:rPr>
              <w:t>10</w:t>
            </w:r>
            <w:r w:rsidRPr="00343353">
              <w:rPr>
                <w:sz w:val="22"/>
                <w:szCs w:val="22"/>
              </w:rPr>
              <w:t>/60</w:t>
            </w:r>
          </w:p>
        </w:tc>
        <w:tc>
          <w:tcPr>
            <w:tcW w:w="722" w:type="pct"/>
            <w:vAlign w:val="center"/>
          </w:tcPr>
          <w:p w:rsidR="005D7997" w:rsidRPr="00343353" w:rsidP="005D7997" w14:paraId="46071A57" w14:textId="77777777">
            <w:pPr>
              <w:tabs>
                <w:tab w:val="left" w:pos="-1080"/>
                <w:tab w:val="left" w:pos="-720"/>
                <w:tab w:val="left" w:pos="0"/>
                <w:tab w:val="left" w:pos="450"/>
                <w:tab w:val="left" w:pos="720"/>
                <w:tab w:val="left" w:pos="2160"/>
              </w:tabs>
              <w:jc w:val="center"/>
              <w:rPr>
                <w:sz w:val="22"/>
                <w:szCs w:val="22"/>
              </w:rPr>
            </w:pPr>
            <w:r>
              <w:rPr>
                <w:sz w:val="22"/>
                <w:szCs w:val="22"/>
              </w:rPr>
              <w:t>25</w:t>
            </w:r>
          </w:p>
        </w:tc>
      </w:tr>
      <w:tr w14:paraId="74DA93E5" w14:textId="77777777" w:rsidTr="00895214">
        <w:tblPrEx>
          <w:tblW w:w="4901" w:type="pct"/>
          <w:tblLayout w:type="fixed"/>
          <w:tblLook w:val="0000"/>
        </w:tblPrEx>
        <w:tc>
          <w:tcPr>
            <w:tcW w:w="1028" w:type="pct"/>
            <w:vAlign w:val="center"/>
          </w:tcPr>
          <w:p w:rsidR="005D7997" w:rsidRPr="00343353" w:rsidP="005D7997" w14:paraId="6B7582A7" w14:textId="77777777">
            <w:pPr>
              <w:tabs>
                <w:tab w:val="left" w:pos="-1080"/>
                <w:tab w:val="left" w:pos="-720"/>
                <w:tab w:val="left" w:pos="0"/>
                <w:tab w:val="left" w:pos="450"/>
                <w:tab w:val="left" w:pos="720"/>
                <w:tab w:val="left" w:pos="2160"/>
              </w:tabs>
              <w:rPr>
                <w:sz w:val="22"/>
                <w:szCs w:val="22"/>
              </w:rPr>
            </w:pPr>
            <w:r w:rsidRPr="00343353">
              <w:rPr>
                <w:rFonts w:cs="Courier New"/>
                <w:sz w:val="22"/>
                <w:szCs w:val="22"/>
              </w:rPr>
              <w:t>Parent or Guardian Poison Center Callers</w:t>
            </w:r>
          </w:p>
        </w:tc>
        <w:tc>
          <w:tcPr>
            <w:tcW w:w="1080" w:type="pct"/>
            <w:vAlign w:val="center"/>
          </w:tcPr>
          <w:p w:rsidR="005D7997" w:rsidRPr="00343353" w:rsidP="005D7997" w14:paraId="16222CCB" w14:textId="77777777">
            <w:pPr>
              <w:tabs>
                <w:tab w:val="left" w:pos="-1080"/>
                <w:tab w:val="left" w:pos="-720"/>
                <w:tab w:val="left" w:pos="0"/>
                <w:tab w:val="left" w:pos="450"/>
                <w:tab w:val="left" w:pos="720"/>
                <w:tab w:val="left" w:pos="2160"/>
              </w:tabs>
              <w:jc w:val="center"/>
              <w:rPr>
                <w:sz w:val="22"/>
                <w:szCs w:val="22"/>
              </w:rPr>
            </w:pPr>
            <w:r>
              <w:rPr>
                <w:sz w:val="22"/>
              </w:rPr>
              <w:t>Call-back Questionnaire for Proxy</w:t>
            </w:r>
          </w:p>
        </w:tc>
        <w:tc>
          <w:tcPr>
            <w:tcW w:w="723" w:type="pct"/>
            <w:vAlign w:val="center"/>
          </w:tcPr>
          <w:p w:rsidR="005D7997" w:rsidRPr="00343353" w:rsidP="005D7997" w14:paraId="381D1F6B" w14:textId="77777777">
            <w:pPr>
              <w:tabs>
                <w:tab w:val="left" w:pos="-1080"/>
                <w:tab w:val="left" w:pos="-720"/>
                <w:tab w:val="left" w:pos="0"/>
                <w:tab w:val="left" w:pos="450"/>
                <w:tab w:val="left" w:pos="720"/>
                <w:tab w:val="left" w:pos="2160"/>
              </w:tabs>
              <w:jc w:val="center"/>
              <w:rPr>
                <w:sz w:val="22"/>
                <w:szCs w:val="22"/>
              </w:rPr>
            </w:pPr>
            <w:r>
              <w:rPr>
                <w:sz w:val="22"/>
                <w:szCs w:val="22"/>
              </w:rPr>
              <w:t>1</w:t>
            </w:r>
            <w:r w:rsidR="00126F78">
              <w:rPr>
                <w:sz w:val="22"/>
                <w:szCs w:val="22"/>
              </w:rPr>
              <w:t>5</w:t>
            </w:r>
            <w:r>
              <w:rPr>
                <w:sz w:val="22"/>
                <w:szCs w:val="22"/>
              </w:rPr>
              <w:t>0</w:t>
            </w:r>
          </w:p>
        </w:tc>
        <w:tc>
          <w:tcPr>
            <w:tcW w:w="723" w:type="pct"/>
            <w:vAlign w:val="center"/>
          </w:tcPr>
          <w:p w:rsidR="005D7997" w:rsidRPr="00343353" w:rsidP="005D7997" w14:paraId="504B2423" w14:textId="77777777">
            <w:pPr>
              <w:tabs>
                <w:tab w:val="left" w:pos="-1080"/>
                <w:tab w:val="left" w:pos="-720"/>
                <w:tab w:val="left" w:pos="0"/>
                <w:tab w:val="left" w:pos="450"/>
                <w:tab w:val="left" w:pos="720"/>
                <w:tab w:val="left" w:pos="2160"/>
              </w:tabs>
              <w:jc w:val="center"/>
              <w:rPr>
                <w:sz w:val="22"/>
                <w:szCs w:val="22"/>
              </w:rPr>
            </w:pPr>
            <w:r w:rsidRPr="00343353">
              <w:rPr>
                <w:sz w:val="22"/>
                <w:szCs w:val="22"/>
              </w:rPr>
              <w:t>1</w:t>
            </w:r>
          </w:p>
        </w:tc>
        <w:tc>
          <w:tcPr>
            <w:tcW w:w="724" w:type="pct"/>
            <w:vAlign w:val="center"/>
          </w:tcPr>
          <w:p w:rsidR="005D7997" w:rsidRPr="00343353" w:rsidP="005D7997" w14:paraId="6DB62B81" w14:textId="77777777">
            <w:pPr>
              <w:tabs>
                <w:tab w:val="left" w:pos="-1080"/>
                <w:tab w:val="left" w:pos="-720"/>
                <w:tab w:val="left" w:pos="0"/>
                <w:tab w:val="left" w:pos="450"/>
                <w:tab w:val="left" w:pos="720"/>
                <w:tab w:val="left" w:pos="2160"/>
              </w:tabs>
              <w:jc w:val="center"/>
              <w:rPr>
                <w:sz w:val="22"/>
                <w:szCs w:val="22"/>
              </w:rPr>
            </w:pPr>
            <w:r>
              <w:rPr>
                <w:sz w:val="22"/>
                <w:szCs w:val="22"/>
              </w:rPr>
              <w:t>10</w:t>
            </w:r>
            <w:r w:rsidRPr="00343353">
              <w:rPr>
                <w:sz w:val="22"/>
                <w:szCs w:val="22"/>
              </w:rPr>
              <w:t>/60</w:t>
            </w:r>
          </w:p>
        </w:tc>
        <w:tc>
          <w:tcPr>
            <w:tcW w:w="722" w:type="pct"/>
            <w:vAlign w:val="center"/>
          </w:tcPr>
          <w:p w:rsidR="005D7997" w:rsidRPr="00343353" w:rsidP="005D7997" w14:paraId="00AFD713" w14:textId="77777777">
            <w:pPr>
              <w:tabs>
                <w:tab w:val="left" w:pos="-1080"/>
                <w:tab w:val="left" w:pos="-720"/>
                <w:tab w:val="left" w:pos="0"/>
                <w:tab w:val="left" w:pos="450"/>
                <w:tab w:val="left" w:pos="720"/>
                <w:tab w:val="left" w:pos="2160"/>
              </w:tabs>
              <w:jc w:val="center"/>
              <w:rPr>
                <w:sz w:val="22"/>
                <w:szCs w:val="22"/>
              </w:rPr>
            </w:pPr>
            <w:r>
              <w:rPr>
                <w:sz w:val="22"/>
                <w:szCs w:val="22"/>
              </w:rPr>
              <w:t>25</w:t>
            </w:r>
          </w:p>
        </w:tc>
      </w:tr>
      <w:tr w14:paraId="4FD00180" w14:textId="77777777" w:rsidTr="00895214">
        <w:tblPrEx>
          <w:tblW w:w="4901" w:type="pct"/>
          <w:tblLayout w:type="fixed"/>
          <w:tblLook w:val="0000"/>
        </w:tblPrEx>
        <w:trPr>
          <w:trHeight w:val="65"/>
        </w:trPr>
        <w:tc>
          <w:tcPr>
            <w:tcW w:w="1028" w:type="pct"/>
          </w:tcPr>
          <w:p w:rsidR="00A749EA" w:rsidRPr="003C4E4B" w:rsidP="00BC2076" w14:paraId="0068A78A" w14:textId="77777777">
            <w:pPr>
              <w:rPr>
                <w:b/>
              </w:rPr>
            </w:pPr>
            <w:r w:rsidRPr="003C4E4B">
              <w:rPr>
                <w:b/>
              </w:rPr>
              <w:t>Total</w:t>
            </w:r>
          </w:p>
        </w:tc>
        <w:tc>
          <w:tcPr>
            <w:tcW w:w="3250" w:type="pct"/>
            <w:gridSpan w:val="4"/>
          </w:tcPr>
          <w:p w:rsidR="00A749EA" w:rsidRPr="003C4E4B" w:rsidP="00BC2076" w14:paraId="49F01500" w14:textId="77777777">
            <w:pPr>
              <w:rPr>
                <w:b/>
              </w:rPr>
            </w:pPr>
          </w:p>
        </w:tc>
        <w:tc>
          <w:tcPr>
            <w:tcW w:w="722" w:type="pct"/>
            <w:vAlign w:val="center"/>
          </w:tcPr>
          <w:p w:rsidR="00A749EA" w:rsidRPr="003C4E4B" w:rsidP="00895214" w14:paraId="1A627FDD" w14:textId="77777777">
            <w:pPr>
              <w:jc w:val="center"/>
              <w:rPr>
                <w:b/>
              </w:rPr>
            </w:pPr>
            <w:r>
              <w:rPr>
                <w:b/>
              </w:rPr>
              <w:t>250</w:t>
            </w:r>
          </w:p>
        </w:tc>
      </w:tr>
    </w:tbl>
    <w:p w:rsidR="00CA553C" w:rsidP="00A645FE" w14:paraId="79D65886" w14:textId="77777777"/>
    <w:p w:rsidR="00EA2865" w:rsidP="00EA2865" w14:paraId="2F0F0265" w14:textId="2A987A37">
      <w:r w:rsidRPr="00F754AF">
        <w:t xml:space="preserve">Table </w:t>
      </w:r>
      <w:r w:rsidR="00AF18E5">
        <w:t>A</w:t>
      </w:r>
      <w:r w:rsidRPr="00F754AF" w:rsidR="007072DD">
        <w:t>12-2</w:t>
      </w:r>
      <w:r>
        <w:t xml:space="preserve"> </w:t>
      </w:r>
      <w:r w:rsidRPr="00A645FE">
        <w:t>presents the</w:t>
      </w:r>
      <w:r w:rsidR="006A747D">
        <w:t xml:space="preserve"> estimated annual burden</w:t>
      </w:r>
      <w:r w:rsidR="001C015B">
        <w:t xml:space="preserve"> costs</w:t>
      </w:r>
      <w:r w:rsidR="006A747D">
        <w:t xml:space="preserve"> to respondents for this data collection.</w:t>
      </w:r>
      <w:r w:rsidRPr="00A645FE">
        <w:t xml:space="preserve"> Hourly mean wage information is from the U.S. Department of Labor's Bureau of Labor Statistics website, specifically originating from the </w:t>
      </w:r>
      <w:r w:rsidR="00CA4DCF">
        <w:t xml:space="preserve">May </w:t>
      </w:r>
      <w:r w:rsidR="001A6D95">
        <w:t>2021</w:t>
      </w:r>
      <w:r w:rsidRPr="00A645FE">
        <w:t xml:space="preserve"> National Occupational Employment and Wage Estimates for the United States</w:t>
      </w:r>
      <w:r>
        <w:t xml:space="preserve"> (</w:t>
      </w:r>
      <w:hyperlink r:id="rId12" w:anchor="00-0000" w:history="1">
        <w:r w:rsidRPr="00E4043F">
          <w:rPr>
            <w:rStyle w:val="Hyperlink"/>
          </w:rPr>
          <w:t>http://www.bls.gov/oes/current/oes_nat.htm#00-0000</w:t>
        </w:r>
      </w:hyperlink>
      <w:r>
        <w:t>)</w:t>
      </w:r>
      <w:r w:rsidRPr="00A645FE">
        <w:t xml:space="preserve">. Since this data collection would include collecting data from members of the </w:t>
      </w:r>
      <w:r w:rsidRPr="00A645FE">
        <w:t>general public</w:t>
      </w:r>
      <w:r w:rsidRPr="00A645FE">
        <w:t>, an average rate for all occupations, or $</w:t>
      </w:r>
      <w:r w:rsidR="00FE30D1">
        <w:t>32.66</w:t>
      </w:r>
      <w:r w:rsidR="00655C83">
        <w:t xml:space="preserve"> </w:t>
      </w:r>
      <w:r w:rsidRPr="00A645FE">
        <w:t xml:space="preserve">per hour, is used. </w:t>
      </w:r>
      <w:r w:rsidR="0047664A">
        <w:t>For adolescents</w:t>
      </w:r>
      <w:r w:rsidR="00C25B4B">
        <w:t>,</w:t>
      </w:r>
      <w:r w:rsidR="0047664A">
        <w:t xml:space="preserve"> the federal minimum wage rate of $ 7.25, is used</w:t>
      </w:r>
      <w:r w:rsidR="00810CDD">
        <w:t xml:space="preserve"> </w:t>
      </w:r>
      <w:r w:rsidR="002B0513">
        <w:t>(</w:t>
      </w:r>
      <w:hyperlink r:id="rId13" w:history="1">
        <w:r w:rsidRPr="00771045" w:rsidR="00810CDD">
          <w:rPr>
            <w:rStyle w:val="Hyperlink"/>
          </w:rPr>
          <w:t>https://www.dol.gov/whd/minwage/q-a.htm</w:t>
        </w:r>
      </w:hyperlink>
      <w:r w:rsidR="002B0513">
        <w:t>)</w:t>
      </w:r>
      <w:r w:rsidR="00810CDD">
        <w:t>.</w:t>
      </w:r>
      <w:r w:rsidR="0047664A">
        <w:t xml:space="preserve"> </w:t>
      </w:r>
      <w:r w:rsidR="00DD1B51">
        <w:t xml:space="preserve">Using the burden hours calculated in Table </w:t>
      </w:r>
      <w:r w:rsidR="00AF18E5">
        <w:t>A</w:t>
      </w:r>
      <w:r w:rsidR="00DD1B51">
        <w:t>12-</w:t>
      </w:r>
      <w:r w:rsidR="009F5681">
        <w:t>1</w:t>
      </w:r>
      <w:r w:rsidR="00DD1B51">
        <w:t xml:space="preserve"> and </w:t>
      </w:r>
      <w:r w:rsidR="009A1626">
        <w:t>our</w:t>
      </w:r>
      <w:r w:rsidR="00DD1B51">
        <w:t xml:space="preserve"> wage estimates, t</w:t>
      </w:r>
      <w:r w:rsidRPr="005E7492">
        <w:t>he total estimated annualized respondent cost is $</w:t>
      </w:r>
      <w:r w:rsidR="00FF32C2">
        <w:t>7,</w:t>
      </w:r>
      <w:r w:rsidR="005D431C">
        <w:t>529.</w:t>
      </w:r>
      <w:r w:rsidR="00E42636">
        <w:t>7</w:t>
      </w:r>
      <w:r w:rsidR="005D431C">
        <w:t>5</w:t>
      </w:r>
      <w:r w:rsidR="00F114D0">
        <w:t xml:space="preserve"> </w:t>
      </w:r>
      <w:r w:rsidR="00DD1B51">
        <w:t>(</w:t>
      </w:r>
      <w:r w:rsidR="001B430A">
        <w:t>225</w:t>
      </w:r>
      <w:r w:rsidR="00DD1B51">
        <w:t>*$</w:t>
      </w:r>
      <w:r w:rsidR="009160BA">
        <w:t>32.66</w:t>
      </w:r>
      <w:r w:rsidR="009A1626">
        <w:t xml:space="preserve"> plus </w:t>
      </w:r>
      <w:r w:rsidR="001B430A">
        <w:t>25</w:t>
      </w:r>
      <w:r w:rsidR="009A1626">
        <w:t>*7.25</w:t>
      </w:r>
      <w:r w:rsidR="00DD1B51">
        <w:t>)</w:t>
      </w:r>
      <w:r w:rsidRPr="005E7492">
        <w:t>.</w:t>
      </w:r>
      <w:r w:rsidR="00BA03D0">
        <w:tab/>
      </w:r>
    </w:p>
    <w:p w:rsidR="00DD1B51" w:rsidRPr="00EA2865" w:rsidP="00DD1B51" w14:paraId="6DDB9DF4" w14:textId="77777777">
      <w:pPr>
        <w:rPr>
          <w:b/>
        </w:rPr>
      </w:pPr>
      <w:r>
        <w:rPr>
          <w:b/>
        </w:rPr>
        <w:t xml:space="preserve">Table </w:t>
      </w:r>
      <w:r w:rsidR="00AF18E5">
        <w:rPr>
          <w:b/>
        </w:rPr>
        <w:t>A</w:t>
      </w:r>
      <w:r w:rsidR="007072DD">
        <w:rPr>
          <w:b/>
        </w:rPr>
        <w:t>12-2</w:t>
      </w:r>
      <w:r>
        <w:rPr>
          <w:b/>
        </w:rPr>
        <w:t>: Estimated Annualized Burden Costs</w:t>
      </w:r>
    </w:p>
    <w:tbl>
      <w:tblPr>
        <w:tblStyle w:val="ListTable3"/>
        <w:tblW w:w="9175" w:type="dxa"/>
        <w:tblLayout w:type="fixed"/>
        <w:tblLook w:val="0000"/>
      </w:tblPr>
      <w:tblGrid>
        <w:gridCol w:w="1830"/>
        <w:gridCol w:w="1913"/>
        <w:gridCol w:w="1746"/>
        <w:gridCol w:w="1630"/>
        <w:gridCol w:w="2056"/>
      </w:tblGrid>
      <w:tr w14:paraId="79E9D79A" w14:textId="77777777" w:rsidTr="002D12F6">
        <w:tblPrEx>
          <w:tblW w:w="9175" w:type="dxa"/>
          <w:tblLayout w:type="fixed"/>
          <w:tblLook w:val="0000"/>
        </w:tblPrEx>
        <w:tc>
          <w:tcPr>
            <w:tcW w:w="1830" w:type="dxa"/>
            <w:vAlign w:val="center"/>
          </w:tcPr>
          <w:p w:rsidR="00C9755F" w:rsidRPr="00F90257" w:rsidP="00F754AF" w14:paraId="1D477B80" w14:textId="77777777">
            <w:pPr>
              <w:tabs>
                <w:tab w:val="left" w:pos="-1080"/>
                <w:tab w:val="left" w:pos="-720"/>
                <w:tab w:val="left" w:pos="0"/>
                <w:tab w:val="left" w:pos="450"/>
                <w:tab w:val="left" w:pos="720"/>
                <w:tab w:val="left" w:pos="2160"/>
              </w:tabs>
              <w:jc w:val="center"/>
            </w:pPr>
            <w:r w:rsidRPr="00F90257">
              <w:t>Type of Respondent</w:t>
            </w:r>
          </w:p>
        </w:tc>
        <w:tc>
          <w:tcPr>
            <w:tcW w:w="1913" w:type="dxa"/>
            <w:vAlign w:val="center"/>
          </w:tcPr>
          <w:p w:rsidR="00C9755F" w:rsidRPr="009E1D23" w:rsidP="00F754AF" w14:paraId="5A5999AB" w14:textId="77777777">
            <w:pPr>
              <w:tabs>
                <w:tab w:val="left" w:pos="-1080"/>
                <w:tab w:val="left" w:pos="-720"/>
                <w:tab w:val="left" w:pos="0"/>
                <w:tab w:val="left" w:pos="450"/>
                <w:tab w:val="left" w:pos="720"/>
                <w:tab w:val="left" w:pos="2160"/>
              </w:tabs>
              <w:jc w:val="center"/>
            </w:pPr>
            <w:r w:rsidRPr="009E1D23">
              <w:t>Form Name</w:t>
            </w:r>
          </w:p>
        </w:tc>
        <w:tc>
          <w:tcPr>
            <w:tcW w:w="1746" w:type="dxa"/>
            <w:vAlign w:val="center"/>
          </w:tcPr>
          <w:p w:rsidR="00C9755F" w:rsidRPr="009E1D23" w:rsidP="00F754AF" w14:paraId="3A69097E" w14:textId="77777777">
            <w:pPr>
              <w:tabs>
                <w:tab w:val="left" w:pos="-1080"/>
                <w:tab w:val="left" w:pos="-720"/>
                <w:tab w:val="left" w:pos="0"/>
                <w:tab w:val="left" w:pos="450"/>
                <w:tab w:val="left" w:pos="720"/>
                <w:tab w:val="left" w:pos="2160"/>
              </w:tabs>
              <w:jc w:val="center"/>
            </w:pPr>
            <w:r w:rsidRPr="009E1D23">
              <w:t>Total Burden Hours</w:t>
            </w:r>
          </w:p>
        </w:tc>
        <w:tc>
          <w:tcPr>
            <w:tcW w:w="1630" w:type="dxa"/>
            <w:vAlign w:val="center"/>
          </w:tcPr>
          <w:p w:rsidR="00C9755F" w:rsidRPr="009E1D23" w:rsidP="00F754AF" w14:paraId="6A9DEE7A" w14:textId="77777777">
            <w:pPr>
              <w:tabs>
                <w:tab w:val="left" w:pos="-1080"/>
                <w:tab w:val="left" w:pos="-720"/>
                <w:tab w:val="left" w:pos="0"/>
                <w:tab w:val="left" w:pos="450"/>
                <w:tab w:val="left" w:pos="720"/>
                <w:tab w:val="left" w:pos="2160"/>
              </w:tabs>
              <w:jc w:val="center"/>
            </w:pPr>
            <w:r w:rsidRPr="009E1D23">
              <w:t>Hourly Wage Rate</w:t>
            </w:r>
          </w:p>
        </w:tc>
        <w:tc>
          <w:tcPr>
            <w:tcW w:w="2056" w:type="dxa"/>
            <w:vAlign w:val="center"/>
          </w:tcPr>
          <w:p w:rsidR="00C9755F" w:rsidRPr="009E1D23" w:rsidP="00F754AF" w14:paraId="47D2B801" w14:textId="77777777">
            <w:pPr>
              <w:tabs>
                <w:tab w:val="left" w:pos="-1080"/>
                <w:tab w:val="left" w:pos="-720"/>
                <w:tab w:val="left" w:pos="0"/>
                <w:tab w:val="left" w:pos="450"/>
                <w:tab w:val="left" w:pos="720"/>
                <w:tab w:val="left" w:pos="2160"/>
              </w:tabs>
              <w:jc w:val="center"/>
            </w:pPr>
            <w:r w:rsidRPr="009E1D23">
              <w:t>Total Respondent Costs</w:t>
            </w:r>
          </w:p>
        </w:tc>
      </w:tr>
      <w:tr w14:paraId="0AF5F2B3" w14:textId="77777777" w:rsidTr="002D12F6">
        <w:tblPrEx>
          <w:tblW w:w="9175" w:type="dxa"/>
          <w:tblLayout w:type="fixed"/>
          <w:tblLook w:val="0000"/>
        </w:tblPrEx>
        <w:tc>
          <w:tcPr>
            <w:tcW w:w="1830" w:type="dxa"/>
            <w:vAlign w:val="center"/>
          </w:tcPr>
          <w:p w:rsidR="00B3780C" w:rsidRPr="00F90257" w:rsidP="00B3780C" w14:paraId="1B01159A" w14:textId="77777777">
            <w:pPr>
              <w:tabs>
                <w:tab w:val="left" w:pos="-1080"/>
                <w:tab w:val="left" w:pos="-720"/>
                <w:tab w:val="left" w:pos="0"/>
                <w:tab w:val="left" w:pos="450"/>
                <w:tab w:val="left" w:pos="720"/>
                <w:tab w:val="left" w:pos="2160"/>
              </w:tabs>
            </w:pPr>
            <w:r w:rsidRPr="00F90257">
              <w:rPr>
                <w:rFonts w:cs="Courier New"/>
              </w:rPr>
              <w:t>Adult Poison Center Callers</w:t>
            </w:r>
          </w:p>
        </w:tc>
        <w:tc>
          <w:tcPr>
            <w:tcW w:w="1913" w:type="dxa"/>
            <w:vAlign w:val="center"/>
          </w:tcPr>
          <w:p w:rsidR="00B3780C" w:rsidRPr="009E1D23" w:rsidP="00B3780C" w14:paraId="13A662BB" w14:textId="77777777">
            <w:pPr>
              <w:tabs>
                <w:tab w:val="left" w:pos="-1080"/>
                <w:tab w:val="left" w:pos="-720"/>
                <w:tab w:val="left" w:pos="0"/>
                <w:tab w:val="left" w:pos="450"/>
                <w:tab w:val="left" w:pos="720"/>
                <w:tab w:val="left" w:pos="2160"/>
              </w:tabs>
              <w:jc w:val="center"/>
            </w:pPr>
            <w:r>
              <w:t>Call-back Questionnaire for Self</w:t>
            </w:r>
          </w:p>
        </w:tc>
        <w:tc>
          <w:tcPr>
            <w:tcW w:w="1746" w:type="dxa"/>
            <w:vAlign w:val="center"/>
          </w:tcPr>
          <w:p w:rsidR="00B3780C" w:rsidRPr="009E1D23" w:rsidP="00B3780C" w14:paraId="712652BB" w14:textId="77777777">
            <w:pPr>
              <w:tabs>
                <w:tab w:val="left" w:pos="-1080"/>
                <w:tab w:val="left" w:pos="-720"/>
                <w:tab w:val="left" w:pos="0"/>
                <w:tab w:val="left" w:pos="450"/>
                <w:tab w:val="left" w:pos="720"/>
                <w:tab w:val="left" w:pos="2160"/>
              </w:tabs>
              <w:jc w:val="center"/>
            </w:pPr>
            <w:r w:rsidRPr="007C1D4A">
              <w:t>200</w:t>
            </w:r>
          </w:p>
        </w:tc>
        <w:tc>
          <w:tcPr>
            <w:tcW w:w="1630" w:type="dxa"/>
            <w:vAlign w:val="center"/>
          </w:tcPr>
          <w:p w:rsidR="00B3780C" w:rsidRPr="009E1D23" w:rsidP="00B3780C" w14:paraId="6640D5FA" w14:textId="7E757D50">
            <w:pPr>
              <w:tabs>
                <w:tab w:val="left" w:pos="-1080"/>
                <w:tab w:val="left" w:pos="-720"/>
                <w:tab w:val="left" w:pos="0"/>
                <w:tab w:val="left" w:pos="450"/>
                <w:tab w:val="left" w:pos="720"/>
                <w:tab w:val="left" w:pos="2160"/>
              </w:tabs>
              <w:jc w:val="center"/>
            </w:pPr>
            <w:r w:rsidRPr="009E1D23">
              <w:t>$</w:t>
            </w:r>
            <w:r w:rsidR="00FE30D1">
              <w:t>32.66</w:t>
            </w:r>
          </w:p>
        </w:tc>
        <w:tc>
          <w:tcPr>
            <w:tcW w:w="2056" w:type="dxa"/>
            <w:vAlign w:val="center"/>
          </w:tcPr>
          <w:p w:rsidR="00B3780C" w:rsidRPr="009E1D23" w:rsidP="00B3780C" w14:paraId="605DD65F" w14:textId="3E39B476">
            <w:pPr>
              <w:tabs>
                <w:tab w:val="left" w:pos="-1080"/>
                <w:tab w:val="left" w:pos="-720"/>
                <w:tab w:val="left" w:pos="0"/>
                <w:tab w:val="left" w:pos="450"/>
                <w:tab w:val="left" w:pos="720"/>
                <w:tab w:val="left" w:pos="2160"/>
              </w:tabs>
              <w:jc w:val="center"/>
            </w:pPr>
            <w:r w:rsidRPr="009E1D23">
              <w:t>$</w:t>
            </w:r>
            <w:r w:rsidR="00FF32C2">
              <w:t>6,532</w:t>
            </w:r>
          </w:p>
        </w:tc>
      </w:tr>
      <w:tr w14:paraId="3CF3E397" w14:textId="77777777" w:rsidTr="002D12F6">
        <w:tblPrEx>
          <w:tblW w:w="9175" w:type="dxa"/>
          <w:tblLayout w:type="fixed"/>
          <w:tblLook w:val="0000"/>
        </w:tblPrEx>
        <w:trPr>
          <w:trHeight w:val="345"/>
        </w:trPr>
        <w:tc>
          <w:tcPr>
            <w:tcW w:w="1830" w:type="dxa"/>
            <w:vAlign w:val="center"/>
          </w:tcPr>
          <w:p w:rsidR="00B3780C" w:rsidRPr="00F90257" w:rsidP="00B3780C" w14:paraId="186C7DFE" w14:textId="77777777">
            <w:pPr>
              <w:tabs>
                <w:tab w:val="left" w:pos="-1080"/>
                <w:tab w:val="left" w:pos="-720"/>
                <w:tab w:val="left" w:pos="0"/>
                <w:tab w:val="left" w:pos="450"/>
                <w:tab w:val="left" w:pos="720"/>
                <w:tab w:val="left" w:pos="2160"/>
              </w:tabs>
            </w:pPr>
            <w:r w:rsidRPr="00F90257">
              <w:rPr>
                <w:rFonts w:cs="Courier New"/>
              </w:rPr>
              <w:t>Adolescent Poison Center Callers</w:t>
            </w:r>
          </w:p>
        </w:tc>
        <w:tc>
          <w:tcPr>
            <w:tcW w:w="1913" w:type="dxa"/>
            <w:vAlign w:val="center"/>
          </w:tcPr>
          <w:p w:rsidR="00B3780C" w:rsidRPr="009E1D23" w:rsidP="00B3780C" w14:paraId="152A3F42" w14:textId="77777777">
            <w:pPr>
              <w:tabs>
                <w:tab w:val="left" w:pos="-1080"/>
                <w:tab w:val="left" w:pos="-720"/>
                <w:tab w:val="left" w:pos="0"/>
                <w:tab w:val="left" w:pos="450"/>
                <w:tab w:val="left" w:pos="720"/>
                <w:tab w:val="left" w:pos="2160"/>
              </w:tabs>
              <w:jc w:val="center"/>
            </w:pPr>
            <w:r>
              <w:t>Call-back Questionnaire for Self</w:t>
            </w:r>
          </w:p>
        </w:tc>
        <w:tc>
          <w:tcPr>
            <w:tcW w:w="1746" w:type="dxa"/>
            <w:vAlign w:val="center"/>
          </w:tcPr>
          <w:p w:rsidR="00B3780C" w:rsidRPr="009E1D23" w:rsidP="00B3780C" w14:paraId="10C9937B" w14:textId="77777777">
            <w:pPr>
              <w:tabs>
                <w:tab w:val="left" w:pos="-1080"/>
                <w:tab w:val="left" w:pos="-720"/>
                <w:tab w:val="left" w:pos="0"/>
                <w:tab w:val="left" w:pos="450"/>
                <w:tab w:val="left" w:pos="720"/>
                <w:tab w:val="left" w:pos="2160"/>
              </w:tabs>
              <w:jc w:val="center"/>
            </w:pPr>
            <w:r w:rsidRPr="007C1D4A">
              <w:t>25</w:t>
            </w:r>
          </w:p>
        </w:tc>
        <w:tc>
          <w:tcPr>
            <w:tcW w:w="1630" w:type="dxa"/>
            <w:vAlign w:val="center"/>
          </w:tcPr>
          <w:p w:rsidR="00B3780C" w:rsidRPr="009E1D23" w:rsidP="00B3780C" w14:paraId="202B9A9F" w14:textId="77777777">
            <w:pPr>
              <w:tabs>
                <w:tab w:val="left" w:pos="-1080"/>
                <w:tab w:val="left" w:pos="-720"/>
                <w:tab w:val="left" w:pos="0"/>
                <w:tab w:val="left" w:pos="450"/>
                <w:tab w:val="left" w:pos="720"/>
                <w:tab w:val="left" w:pos="2160"/>
              </w:tabs>
              <w:jc w:val="center"/>
            </w:pPr>
            <w:r w:rsidRPr="009E1D23">
              <w:t>$7.25</w:t>
            </w:r>
          </w:p>
        </w:tc>
        <w:tc>
          <w:tcPr>
            <w:tcW w:w="2056" w:type="dxa"/>
            <w:vAlign w:val="center"/>
          </w:tcPr>
          <w:p w:rsidR="00B3780C" w:rsidRPr="009E1D23" w:rsidP="00B3780C" w14:paraId="43D77D6F" w14:textId="3869C40B">
            <w:pPr>
              <w:tabs>
                <w:tab w:val="left" w:pos="-1080"/>
                <w:tab w:val="left" w:pos="-720"/>
                <w:tab w:val="left" w:pos="0"/>
                <w:tab w:val="left" w:pos="450"/>
                <w:tab w:val="left" w:pos="720"/>
                <w:tab w:val="left" w:pos="2160"/>
              </w:tabs>
              <w:jc w:val="center"/>
            </w:pPr>
            <w:r w:rsidRPr="009E1D23">
              <w:t>$</w:t>
            </w:r>
            <w:r w:rsidR="006C1224">
              <w:t>181</w:t>
            </w:r>
            <w:r w:rsidR="00694D2A">
              <w:t>.25</w:t>
            </w:r>
          </w:p>
        </w:tc>
      </w:tr>
      <w:tr w14:paraId="3B673E67" w14:textId="77777777" w:rsidTr="002D12F6">
        <w:tblPrEx>
          <w:tblW w:w="9175" w:type="dxa"/>
          <w:tblLayout w:type="fixed"/>
          <w:tblLook w:val="0000"/>
        </w:tblPrEx>
        <w:tc>
          <w:tcPr>
            <w:tcW w:w="1830" w:type="dxa"/>
            <w:vAlign w:val="center"/>
          </w:tcPr>
          <w:p w:rsidR="00B3780C" w:rsidRPr="00F90257" w:rsidP="00B3780C" w14:paraId="736EF0A5" w14:textId="77777777">
            <w:pPr>
              <w:tabs>
                <w:tab w:val="left" w:pos="-1080"/>
                <w:tab w:val="left" w:pos="-720"/>
                <w:tab w:val="left" w:pos="0"/>
                <w:tab w:val="left" w:pos="450"/>
                <w:tab w:val="left" w:pos="720"/>
                <w:tab w:val="left" w:pos="2160"/>
              </w:tabs>
            </w:pPr>
            <w:r w:rsidRPr="00F90257">
              <w:rPr>
                <w:rFonts w:cs="Courier New"/>
              </w:rPr>
              <w:t>Parent or Guardian Poison Center Callers</w:t>
            </w:r>
          </w:p>
        </w:tc>
        <w:tc>
          <w:tcPr>
            <w:tcW w:w="1913" w:type="dxa"/>
            <w:vAlign w:val="center"/>
          </w:tcPr>
          <w:p w:rsidR="00B3780C" w:rsidRPr="009E1D23" w:rsidP="00B3780C" w14:paraId="0212CD27" w14:textId="77777777">
            <w:pPr>
              <w:tabs>
                <w:tab w:val="left" w:pos="-1080"/>
                <w:tab w:val="left" w:pos="-720"/>
                <w:tab w:val="left" w:pos="0"/>
                <w:tab w:val="left" w:pos="450"/>
                <w:tab w:val="left" w:pos="720"/>
                <w:tab w:val="left" w:pos="2160"/>
              </w:tabs>
              <w:jc w:val="center"/>
            </w:pPr>
            <w:r>
              <w:t>Call-back Questionnaire for Proxy</w:t>
            </w:r>
          </w:p>
        </w:tc>
        <w:tc>
          <w:tcPr>
            <w:tcW w:w="1746" w:type="dxa"/>
            <w:vAlign w:val="center"/>
          </w:tcPr>
          <w:p w:rsidR="00B3780C" w:rsidRPr="009E1D23" w:rsidP="00B3780C" w14:paraId="2654F12A" w14:textId="77777777">
            <w:pPr>
              <w:tabs>
                <w:tab w:val="left" w:pos="-1080"/>
                <w:tab w:val="left" w:pos="-720"/>
                <w:tab w:val="left" w:pos="0"/>
                <w:tab w:val="left" w:pos="450"/>
                <w:tab w:val="left" w:pos="720"/>
                <w:tab w:val="left" w:pos="2160"/>
              </w:tabs>
              <w:jc w:val="center"/>
            </w:pPr>
            <w:r w:rsidRPr="007C1D4A">
              <w:t>25</w:t>
            </w:r>
          </w:p>
        </w:tc>
        <w:tc>
          <w:tcPr>
            <w:tcW w:w="1630" w:type="dxa"/>
            <w:vAlign w:val="center"/>
          </w:tcPr>
          <w:p w:rsidR="00B3780C" w:rsidRPr="009E1D23" w:rsidP="00B3780C" w14:paraId="23B4A13E" w14:textId="638FA976">
            <w:pPr>
              <w:tabs>
                <w:tab w:val="left" w:pos="-1080"/>
                <w:tab w:val="left" w:pos="-720"/>
                <w:tab w:val="left" w:pos="0"/>
                <w:tab w:val="left" w:pos="450"/>
                <w:tab w:val="left" w:pos="720"/>
                <w:tab w:val="left" w:pos="2160"/>
              </w:tabs>
              <w:jc w:val="center"/>
            </w:pPr>
            <w:r w:rsidRPr="009E1D23">
              <w:t>$</w:t>
            </w:r>
            <w:r w:rsidR="009160BA">
              <w:t>32.66</w:t>
            </w:r>
          </w:p>
        </w:tc>
        <w:tc>
          <w:tcPr>
            <w:tcW w:w="2056" w:type="dxa"/>
            <w:vAlign w:val="center"/>
          </w:tcPr>
          <w:p w:rsidR="00B3780C" w:rsidRPr="009E1D23" w:rsidP="00B3780C" w14:paraId="639A8EDA" w14:textId="24D6A2E1">
            <w:pPr>
              <w:tabs>
                <w:tab w:val="left" w:pos="-1080"/>
                <w:tab w:val="left" w:pos="-720"/>
                <w:tab w:val="left" w:pos="0"/>
                <w:tab w:val="left" w:pos="450"/>
                <w:tab w:val="left" w:pos="720"/>
                <w:tab w:val="left" w:pos="2160"/>
              </w:tabs>
              <w:jc w:val="center"/>
            </w:pPr>
            <w:r w:rsidRPr="009E1D23">
              <w:t>$</w:t>
            </w:r>
            <w:r w:rsidR="009160BA">
              <w:t>816.5</w:t>
            </w:r>
          </w:p>
        </w:tc>
      </w:tr>
      <w:tr w14:paraId="118F2D38" w14:textId="77777777" w:rsidTr="002D12F6">
        <w:tblPrEx>
          <w:tblW w:w="9175" w:type="dxa"/>
          <w:tblLayout w:type="fixed"/>
          <w:tblLook w:val="0000"/>
        </w:tblPrEx>
        <w:tc>
          <w:tcPr>
            <w:tcW w:w="1830" w:type="dxa"/>
          </w:tcPr>
          <w:p w:rsidR="00730126" w:rsidRPr="00C9755F" w:rsidP="00730126" w14:paraId="02D1BCE7" w14:textId="77777777">
            <w:pPr>
              <w:rPr>
                <w:b/>
                <w:sz w:val="20"/>
              </w:rPr>
            </w:pPr>
            <w:r>
              <w:rPr>
                <w:b/>
                <w:sz w:val="20"/>
              </w:rPr>
              <w:t>Total</w:t>
            </w:r>
          </w:p>
        </w:tc>
        <w:tc>
          <w:tcPr>
            <w:tcW w:w="5289" w:type="dxa"/>
            <w:gridSpan w:val="3"/>
          </w:tcPr>
          <w:p w:rsidR="00730126" w:rsidRPr="009E1D23" w:rsidP="00730126" w14:paraId="4348A855" w14:textId="77777777">
            <w:pPr>
              <w:rPr>
                <w:b/>
                <w:sz w:val="20"/>
              </w:rPr>
            </w:pPr>
            <w:r w:rsidRPr="009E1D23">
              <w:rPr>
                <w:b/>
                <w:sz w:val="20"/>
              </w:rPr>
              <w:t xml:space="preserve">            </w:t>
            </w:r>
          </w:p>
        </w:tc>
        <w:tc>
          <w:tcPr>
            <w:tcW w:w="2056" w:type="dxa"/>
          </w:tcPr>
          <w:p w:rsidR="00730126" w:rsidRPr="009E1D23" w:rsidP="00730126" w14:paraId="556EAA7C" w14:textId="3AEC2FB4">
            <w:pPr>
              <w:tabs>
                <w:tab w:val="left" w:pos="-1080"/>
                <w:tab w:val="left" w:pos="-720"/>
                <w:tab w:val="left" w:pos="0"/>
                <w:tab w:val="left" w:pos="450"/>
                <w:tab w:val="left" w:pos="720"/>
                <w:tab w:val="left" w:pos="2160"/>
              </w:tabs>
              <w:jc w:val="center"/>
              <w:rPr>
                <w:b/>
                <w:sz w:val="20"/>
              </w:rPr>
            </w:pPr>
            <w:r w:rsidRPr="009E1D23">
              <w:rPr>
                <w:b/>
                <w:sz w:val="20"/>
                <w:szCs w:val="20"/>
              </w:rPr>
              <w:t>$</w:t>
            </w:r>
            <w:r w:rsidR="00FF32C2">
              <w:rPr>
                <w:b/>
                <w:sz w:val="20"/>
                <w:szCs w:val="20"/>
              </w:rPr>
              <w:t>7,</w:t>
            </w:r>
            <w:r w:rsidR="005D431C">
              <w:rPr>
                <w:b/>
                <w:sz w:val="20"/>
                <w:szCs w:val="20"/>
              </w:rPr>
              <w:t>529.</w:t>
            </w:r>
            <w:r w:rsidR="00E42636">
              <w:rPr>
                <w:b/>
                <w:sz w:val="20"/>
                <w:szCs w:val="20"/>
              </w:rPr>
              <w:t>7</w:t>
            </w:r>
            <w:r w:rsidR="005D431C">
              <w:rPr>
                <w:b/>
                <w:sz w:val="20"/>
                <w:szCs w:val="20"/>
              </w:rPr>
              <w:t>5</w:t>
            </w:r>
          </w:p>
        </w:tc>
      </w:tr>
    </w:tbl>
    <w:p w:rsidR="00C9755F" w:rsidP="00A645FE" w14:paraId="3CC66C79" w14:textId="77777777"/>
    <w:p w:rsidR="00F63BD2" w:rsidP="00064993" w14:paraId="233C4177" w14:textId="77777777">
      <w:pPr>
        <w:pStyle w:val="Heading1"/>
        <w:jc w:val="left"/>
        <w:rPr>
          <w:b w:val="0"/>
          <w:sz w:val="36"/>
          <w:szCs w:val="36"/>
        </w:rPr>
      </w:pPr>
      <w:bookmarkStart w:id="33" w:name="_Toc441505151"/>
      <w:bookmarkStart w:id="34" w:name="_Toc224733944"/>
      <w:r w:rsidRPr="00064993">
        <w:rPr>
          <w:b w:val="0"/>
          <w:sz w:val="36"/>
          <w:szCs w:val="36"/>
        </w:rPr>
        <w:t xml:space="preserve">A.13. </w:t>
      </w:r>
      <w:r w:rsidRPr="00064993" w:rsidR="006430D2">
        <w:rPr>
          <w:b w:val="0"/>
          <w:sz w:val="36"/>
          <w:szCs w:val="36"/>
        </w:rPr>
        <w:t>Estimates of Other Total Annual Cost Burden to Respondents and Record Keepers</w:t>
      </w:r>
      <w:bookmarkEnd w:id="33"/>
      <w:bookmarkEnd w:id="34"/>
    </w:p>
    <w:p w:rsidR="00064993" w:rsidRPr="00064993" w:rsidP="00064993" w14:paraId="59A82E19" w14:textId="77777777"/>
    <w:p w:rsidR="004D4911" w:rsidRPr="002C7CC3" w:rsidP="004D4911" w14:paraId="23FD53F1" w14:textId="77777777">
      <w:pPr>
        <w:rPr>
          <w:rFonts w:cs="Arial"/>
        </w:rPr>
      </w:pPr>
      <w:r w:rsidRPr="002C7CC3">
        <w:rPr>
          <w:rFonts w:cs="Arial"/>
        </w:rPr>
        <w:t>No capital, start-up, or maintenance costs are involved.</w:t>
      </w:r>
    </w:p>
    <w:p w:rsidR="00F63BD2" w:rsidP="00064993" w14:paraId="488A1CBE" w14:textId="77777777">
      <w:pPr>
        <w:pStyle w:val="Heading1"/>
        <w:jc w:val="left"/>
        <w:rPr>
          <w:b w:val="0"/>
          <w:sz w:val="36"/>
          <w:szCs w:val="36"/>
        </w:rPr>
      </w:pPr>
      <w:bookmarkStart w:id="35" w:name="_Toc441505152"/>
      <w:bookmarkStart w:id="36" w:name="_Toc224733945"/>
      <w:r w:rsidRPr="00064993">
        <w:rPr>
          <w:b w:val="0"/>
          <w:sz w:val="36"/>
          <w:szCs w:val="36"/>
        </w:rPr>
        <w:t xml:space="preserve">A.14. </w:t>
      </w:r>
      <w:r w:rsidRPr="00064993" w:rsidR="006430D2">
        <w:rPr>
          <w:b w:val="0"/>
          <w:sz w:val="36"/>
          <w:szCs w:val="36"/>
        </w:rPr>
        <w:t>Annualized Cost</w:t>
      </w:r>
      <w:r w:rsidRPr="00064993" w:rsidR="00CA553C">
        <w:rPr>
          <w:b w:val="0"/>
          <w:sz w:val="36"/>
          <w:szCs w:val="36"/>
        </w:rPr>
        <w:t xml:space="preserve"> to</w:t>
      </w:r>
      <w:r w:rsidRPr="00064993" w:rsidR="006430D2">
        <w:rPr>
          <w:b w:val="0"/>
          <w:sz w:val="36"/>
          <w:szCs w:val="36"/>
        </w:rPr>
        <w:t xml:space="preserve"> the</w:t>
      </w:r>
      <w:r w:rsidRPr="00064993" w:rsidR="00CA553C">
        <w:rPr>
          <w:b w:val="0"/>
          <w:sz w:val="36"/>
          <w:szCs w:val="36"/>
        </w:rPr>
        <w:t xml:space="preserve"> Federal</w:t>
      </w:r>
      <w:r w:rsidRPr="00064993">
        <w:rPr>
          <w:b w:val="0"/>
          <w:sz w:val="36"/>
          <w:szCs w:val="36"/>
        </w:rPr>
        <w:t xml:space="preserve"> Government</w:t>
      </w:r>
      <w:bookmarkEnd w:id="35"/>
      <w:bookmarkEnd w:id="36"/>
    </w:p>
    <w:p w:rsidR="00064993" w:rsidRPr="00064993" w:rsidP="00064993" w14:paraId="757D76D8" w14:textId="77777777"/>
    <w:p w:rsidR="004D4911" w:rsidRPr="00A5285D" w:rsidP="00B53500" w14:paraId="694523CB" w14:textId="77777777">
      <w:pPr>
        <w:pStyle w:val="CommentText"/>
        <w:spacing w:after="0" w:line="276" w:lineRule="auto"/>
        <w:rPr>
          <w:sz w:val="22"/>
          <w:szCs w:val="22"/>
        </w:rPr>
      </w:pPr>
      <w:r w:rsidRPr="00A5285D">
        <w:rPr>
          <w:rFonts w:cs="Arial"/>
          <w:sz w:val="22"/>
          <w:szCs w:val="22"/>
        </w:rPr>
        <w:t xml:space="preserve">The only </w:t>
      </w:r>
      <w:r w:rsidR="00BF5511">
        <w:rPr>
          <w:rFonts w:cs="Arial"/>
          <w:sz w:val="22"/>
          <w:szCs w:val="22"/>
        </w:rPr>
        <w:t xml:space="preserve">direct </w:t>
      </w:r>
      <w:r w:rsidRPr="00A5285D">
        <w:rPr>
          <w:rFonts w:cs="Arial"/>
          <w:sz w:val="22"/>
          <w:szCs w:val="22"/>
        </w:rPr>
        <w:t>cost to the federal government w</w:t>
      </w:r>
      <w:r w:rsidR="00CC0AE7">
        <w:rPr>
          <w:rFonts w:cs="Arial"/>
          <w:sz w:val="22"/>
          <w:szCs w:val="22"/>
        </w:rPr>
        <w:t>ill</w:t>
      </w:r>
      <w:r w:rsidRPr="00A5285D">
        <w:rPr>
          <w:rFonts w:cs="Arial"/>
          <w:sz w:val="22"/>
          <w:szCs w:val="22"/>
        </w:rPr>
        <w:t xml:space="preserve"> be the salary of CDC staff supporting the data collection activities</w:t>
      </w:r>
      <w:r w:rsidRPr="00A5285D" w:rsidR="00F00743">
        <w:rPr>
          <w:rFonts w:cs="Arial"/>
          <w:sz w:val="22"/>
          <w:szCs w:val="22"/>
        </w:rPr>
        <w:t xml:space="preserve"> preparation</w:t>
      </w:r>
      <w:r w:rsidRPr="00A5285D">
        <w:rPr>
          <w:rFonts w:cs="Arial"/>
          <w:sz w:val="22"/>
          <w:szCs w:val="22"/>
        </w:rPr>
        <w:t xml:space="preserve"> and </w:t>
      </w:r>
      <w:r w:rsidRPr="00A5285D" w:rsidR="00F00743">
        <w:rPr>
          <w:rFonts w:cs="Arial"/>
          <w:sz w:val="22"/>
          <w:szCs w:val="22"/>
        </w:rPr>
        <w:t>data analysis</w:t>
      </w:r>
      <w:r w:rsidRPr="00A5285D">
        <w:rPr>
          <w:rFonts w:cs="Arial"/>
          <w:sz w:val="22"/>
          <w:szCs w:val="22"/>
        </w:rPr>
        <w:t xml:space="preserve">. The estimated </w:t>
      </w:r>
      <w:r w:rsidR="00DD1B51">
        <w:rPr>
          <w:rFonts w:cs="Arial"/>
          <w:sz w:val="22"/>
          <w:szCs w:val="22"/>
        </w:rPr>
        <w:t xml:space="preserve">annualized </w:t>
      </w:r>
      <w:r w:rsidR="00BF5511">
        <w:rPr>
          <w:rFonts w:cs="Arial"/>
          <w:sz w:val="22"/>
          <w:szCs w:val="22"/>
        </w:rPr>
        <w:t xml:space="preserve">direct </w:t>
      </w:r>
      <w:r w:rsidRPr="00A5285D">
        <w:rPr>
          <w:rFonts w:cs="Arial"/>
          <w:sz w:val="22"/>
          <w:szCs w:val="22"/>
        </w:rPr>
        <w:t>cost to the federal governme</w:t>
      </w:r>
      <w:r w:rsidRPr="00A5285D" w:rsidR="00B56070">
        <w:rPr>
          <w:rFonts w:cs="Arial"/>
          <w:sz w:val="22"/>
          <w:szCs w:val="22"/>
        </w:rPr>
        <w:t>nt is $</w:t>
      </w:r>
      <w:r w:rsidR="00F3781D">
        <w:rPr>
          <w:rFonts w:cs="Arial"/>
          <w:sz w:val="22"/>
          <w:szCs w:val="22"/>
        </w:rPr>
        <w:t>5726.40</w:t>
      </w:r>
      <w:r w:rsidRPr="00A5285D">
        <w:rPr>
          <w:rFonts w:cs="Arial"/>
          <w:sz w:val="22"/>
          <w:szCs w:val="22"/>
        </w:rPr>
        <w:t xml:space="preserve">.  </w:t>
      </w:r>
      <w:r w:rsidRPr="00F754AF">
        <w:rPr>
          <w:sz w:val="22"/>
        </w:rPr>
        <w:t xml:space="preserve">Table </w:t>
      </w:r>
      <w:r w:rsidR="00AF18E5">
        <w:rPr>
          <w:sz w:val="22"/>
        </w:rPr>
        <w:t>A</w:t>
      </w:r>
      <w:r w:rsidRPr="00F754AF" w:rsidR="00102660">
        <w:rPr>
          <w:sz w:val="22"/>
        </w:rPr>
        <w:t>14-1</w:t>
      </w:r>
      <w:r w:rsidRPr="00A5285D">
        <w:rPr>
          <w:rFonts w:cs="Arial"/>
          <w:sz w:val="22"/>
          <w:szCs w:val="22"/>
        </w:rPr>
        <w:t xml:space="preserve"> describes how this cost estimate was calculated.</w:t>
      </w:r>
      <w:r w:rsidRPr="00A5285D">
        <w:rPr>
          <w:sz w:val="22"/>
          <w:szCs w:val="22"/>
        </w:rPr>
        <w:t xml:space="preserve"> </w:t>
      </w:r>
    </w:p>
    <w:p w:rsidR="00F00743" w:rsidRPr="00A5285D" w:rsidP="00B53500" w14:paraId="1C7B0F2B" w14:textId="77777777">
      <w:pPr>
        <w:pStyle w:val="CommentText"/>
        <w:spacing w:after="0" w:line="276" w:lineRule="auto"/>
        <w:rPr>
          <w:sz w:val="22"/>
          <w:szCs w:val="22"/>
        </w:rPr>
      </w:pPr>
    </w:p>
    <w:p w:rsidR="00A5285D" w:rsidP="00A5285D" w14:paraId="3801B818" w14:textId="451A220D">
      <w:pPr>
        <w:pStyle w:val="CommentText"/>
        <w:spacing w:after="0" w:line="276" w:lineRule="auto"/>
        <w:rPr>
          <w:sz w:val="22"/>
          <w:szCs w:val="22"/>
        </w:rPr>
      </w:pPr>
      <w:r w:rsidRPr="08FB7CBF">
        <w:rPr>
          <w:sz w:val="22"/>
          <w:szCs w:val="22"/>
        </w:rPr>
        <w:t>Th</w:t>
      </w:r>
      <w:r w:rsidRPr="08FB7CBF" w:rsidR="71A7110F">
        <w:rPr>
          <w:sz w:val="22"/>
          <w:szCs w:val="22"/>
        </w:rPr>
        <w:t>ese</w:t>
      </w:r>
      <w:r w:rsidRPr="08FB7CBF">
        <w:rPr>
          <w:sz w:val="22"/>
          <w:szCs w:val="22"/>
        </w:rPr>
        <w:t xml:space="preserve"> data collection</w:t>
      </w:r>
      <w:r w:rsidRPr="08FB7CBF" w:rsidR="71A7110F">
        <w:rPr>
          <w:sz w:val="22"/>
          <w:szCs w:val="22"/>
        </w:rPr>
        <w:t>s</w:t>
      </w:r>
      <w:r w:rsidRPr="08FB7CBF">
        <w:rPr>
          <w:sz w:val="22"/>
          <w:szCs w:val="22"/>
        </w:rPr>
        <w:t xml:space="preserve"> will be </w:t>
      </w:r>
      <w:r w:rsidRPr="08FB7CBF" w:rsidR="71A7110F">
        <w:rPr>
          <w:sz w:val="22"/>
          <w:szCs w:val="22"/>
        </w:rPr>
        <w:t>conduct</w:t>
      </w:r>
      <w:r w:rsidRPr="08FB7CBF">
        <w:rPr>
          <w:sz w:val="22"/>
          <w:szCs w:val="22"/>
        </w:rPr>
        <w:t xml:space="preserve">ed by poison center staff. Since the data collection effort will go beyond the regular business operations of poison centers, participating poison centers will be paid </w:t>
      </w:r>
      <w:r w:rsidRPr="08FB7CBF" w:rsidR="7F69A679">
        <w:rPr>
          <w:sz w:val="22"/>
          <w:szCs w:val="22"/>
        </w:rPr>
        <w:t xml:space="preserve">for the tasks </w:t>
      </w:r>
      <w:r w:rsidRPr="08FB7CBF">
        <w:rPr>
          <w:sz w:val="22"/>
          <w:szCs w:val="22"/>
        </w:rPr>
        <w:t>by CDC</w:t>
      </w:r>
      <w:r w:rsidRPr="08FB7CBF" w:rsidR="7F69A679">
        <w:rPr>
          <w:sz w:val="22"/>
          <w:szCs w:val="22"/>
        </w:rPr>
        <w:t xml:space="preserve"> through </w:t>
      </w:r>
      <w:r w:rsidRPr="08FB7CBF" w:rsidR="3395CF40">
        <w:rPr>
          <w:sz w:val="22"/>
          <w:szCs w:val="22"/>
        </w:rPr>
        <w:t>the existing</w:t>
      </w:r>
      <w:r w:rsidRPr="08FB7CBF" w:rsidR="7F69A679">
        <w:rPr>
          <w:sz w:val="22"/>
          <w:szCs w:val="22"/>
        </w:rPr>
        <w:t xml:space="preserve"> cooperative agreement</w:t>
      </w:r>
      <w:r w:rsidRPr="08FB7CBF" w:rsidR="31877DDD">
        <w:rPr>
          <w:sz w:val="22"/>
          <w:szCs w:val="22"/>
        </w:rPr>
        <w:t xml:space="preserve"> in</w:t>
      </w:r>
      <w:r w:rsidRPr="08FB7CBF" w:rsidR="7F69A679">
        <w:rPr>
          <w:sz w:val="22"/>
          <w:szCs w:val="22"/>
        </w:rPr>
        <w:t xml:space="preserve"> place with </w:t>
      </w:r>
      <w:r w:rsidRPr="08FB7CBF" w:rsidR="532BC2EB">
        <w:rPr>
          <w:sz w:val="22"/>
          <w:szCs w:val="22"/>
        </w:rPr>
        <w:t>America’s Poison Centers™</w:t>
      </w:r>
      <w:r w:rsidRPr="08FB7CBF">
        <w:rPr>
          <w:sz w:val="22"/>
          <w:szCs w:val="22"/>
        </w:rPr>
        <w:t xml:space="preserve">. Participating poison centers will be identified using a vetting process through </w:t>
      </w:r>
      <w:r w:rsidRPr="08FB7CBF" w:rsidR="532BC2EB">
        <w:rPr>
          <w:sz w:val="22"/>
          <w:szCs w:val="22"/>
        </w:rPr>
        <w:t>America’s Poison Centers™</w:t>
      </w:r>
      <w:r w:rsidRPr="08FB7CBF">
        <w:rPr>
          <w:sz w:val="22"/>
          <w:szCs w:val="22"/>
        </w:rPr>
        <w:t xml:space="preserve"> where payment will be on a per-incident basis. </w:t>
      </w:r>
      <w:r w:rsidRPr="08FB7CBF" w:rsidR="3DE369C9">
        <w:rPr>
          <w:rFonts w:cs="Arial"/>
          <w:sz w:val="22"/>
          <w:szCs w:val="22"/>
        </w:rPr>
        <w:t>The estimated cost to the federal government for these other expenses is $</w:t>
      </w:r>
      <w:r w:rsidRPr="08FB7CBF" w:rsidR="4BB63586">
        <w:rPr>
          <w:rFonts w:cs="Arial"/>
          <w:sz w:val="22"/>
          <w:szCs w:val="22"/>
        </w:rPr>
        <w:t>120,000</w:t>
      </w:r>
      <w:r w:rsidRPr="08FB7CBF" w:rsidR="3DE369C9">
        <w:rPr>
          <w:rFonts w:cs="Arial"/>
          <w:sz w:val="22"/>
          <w:szCs w:val="22"/>
        </w:rPr>
        <w:t xml:space="preserve">.  </w:t>
      </w:r>
      <w:r w:rsidRPr="08FB7CBF">
        <w:rPr>
          <w:sz w:val="22"/>
          <w:szCs w:val="22"/>
        </w:rPr>
        <w:t xml:space="preserve">Estimates of the costs of reimbursing the poison centers for their data collection efforts are included in Table </w:t>
      </w:r>
      <w:r w:rsidRPr="08FB7CBF" w:rsidR="232885D1">
        <w:rPr>
          <w:sz w:val="22"/>
          <w:szCs w:val="22"/>
        </w:rPr>
        <w:t>A</w:t>
      </w:r>
      <w:r w:rsidRPr="08FB7CBF" w:rsidR="176DE2FE">
        <w:rPr>
          <w:sz w:val="22"/>
          <w:szCs w:val="22"/>
        </w:rPr>
        <w:t>14-1</w:t>
      </w:r>
      <w:r w:rsidRPr="08FB7CBF">
        <w:rPr>
          <w:sz w:val="22"/>
          <w:szCs w:val="22"/>
        </w:rPr>
        <w:t>.</w:t>
      </w:r>
    </w:p>
    <w:p w:rsidR="00A5285D" w:rsidP="00A5285D" w14:paraId="35003188" w14:textId="77777777">
      <w:pPr>
        <w:pStyle w:val="CommentText"/>
        <w:spacing w:after="0" w:line="276" w:lineRule="auto"/>
        <w:rPr>
          <w:sz w:val="22"/>
          <w:szCs w:val="22"/>
        </w:rPr>
      </w:pPr>
    </w:p>
    <w:p w:rsidR="00A5285D" w:rsidP="00BC2076" w14:paraId="63790CD0" w14:textId="77777777">
      <w:pPr>
        <w:pStyle w:val="CommentText"/>
        <w:spacing w:after="0" w:line="276" w:lineRule="auto"/>
        <w:rPr>
          <w:sz w:val="22"/>
          <w:szCs w:val="22"/>
        </w:rPr>
      </w:pPr>
      <w:r>
        <w:rPr>
          <w:sz w:val="22"/>
          <w:szCs w:val="22"/>
        </w:rPr>
        <w:t xml:space="preserve">The total annualized cost to the federal government, including direct costs and contractual </w:t>
      </w:r>
      <w:r>
        <w:rPr>
          <w:sz w:val="22"/>
          <w:szCs w:val="22"/>
        </w:rPr>
        <w:t>costs</w:t>
      </w:r>
      <w:r>
        <w:rPr>
          <w:sz w:val="22"/>
          <w:szCs w:val="22"/>
        </w:rPr>
        <w:t xml:space="preserve"> is $</w:t>
      </w:r>
      <w:r w:rsidR="006A747D">
        <w:rPr>
          <w:sz w:val="22"/>
          <w:szCs w:val="22"/>
        </w:rPr>
        <w:t>122,784</w:t>
      </w:r>
      <w:r>
        <w:rPr>
          <w:sz w:val="22"/>
          <w:szCs w:val="22"/>
        </w:rPr>
        <w:t>.</w:t>
      </w:r>
    </w:p>
    <w:p w:rsidR="00BC2076" w:rsidRPr="00BC2076" w:rsidP="00BC2076" w14:paraId="35ED82AC" w14:textId="77777777">
      <w:pPr>
        <w:pStyle w:val="CommentText"/>
        <w:spacing w:after="0" w:line="276" w:lineRule="auto"/>
        <w:rPr>
          <w:sz w:val="22"/>
          <w:szCs w:val="22"/>
        </w:rPr>
      </w:pPr>
    </w:p>
    <w:p w:rsidR="00B56070" w:rsidP="00102660" w14:paraId="73BAC4AB" w14:textId="77777777">
      <w:pPr>
        <w:pStyle w:val="Heading6"/>
        <w:ind w:left="0"/>
      </w:pPr>
      <w:r w:rsidRPr="00102660">
        <w:t xml:space="preserve">Table </w:t>
      </w:r>
      <w:r w:rsidR="00AF18E5">
        <w:t>A</w:t>
      </w:r>
      <w:r w:rsidRPr="00102660" w:rsidR="00102660">
        <w:t>14-1</w:t>
      </w:r>
      <w:r w:rsidRPr="00102660">
        <w:t>:</w:t>
      </w:r>
      <w:r w:rsidRPr="00711BFA">
        <w:t xml:space="preserve"> Estimated Annualized Cost to the Federal Government</w:t>
      </w:r>
    </w:p>
    <w:p w:rsidR="00102660" w:rsidRPr="00102660" w:rsidP="00102660" w14:paraId="5F17B933" w14:textId="77777777">
      <w:pPr>
        <w:spacing w:after="0"/>
        <w:rPr>
          <w:lang w:eastAsia="en-US"/>
        </w:rPr>
      </w:pPr>
    </w:p>
    <w:tbl>
      <w:tblPr>
        <w:tblW w:w="5000" w:type="pct"/>
        <w:tblCellMar>
          <w:top w:w="14" w:type="dxa"/>
          <w:left w:w="14" w:type="dxa"/>
          <w:bottom w:w="14" w:type="dxa"/>
          <w:right w:w="14" w:type="dxa"/>
        </w:tblCellMar>
        <w:tblLook w:val="04A0"/>
      </w:tblPr>
      <w:tblGrid>
        <w:gridCol w:w="3413"/>
        <w:gridCol w:w="3413"/>
        <w:gridCol w:w="2514"/>
      </w:tblGrid>
      <w:tr w14:paraId="78F1D015" w14:textId="77777777" w:rsidTr="00B56070">
        <w:tblPrEx>
          <w:tblW w:w="5000" w:type="pct"/>
          <w:tblCellMar>
            <w:top w:w="14" w:type="dxa"/>
            <w:left w:w="14" w:type="dxa"/>
            <w:bottom w:w="14" w:type="dxa"/>
            <w:right w:w="14" w:type="dxa"/>
          </w:tblCellMar>
          <w:tblLook w:val="04A0"/>
        </w:tblPrEx>
        <w:trPr>
          <w:cantSplit/>
        </w:trPr>
        <w:tc>
          <w:tcPr>
            <w:tcW w:w="1827"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B56070" w:rsidRPr="00A416E0" w:rsidP="0077411F" w14:paraId="2C28B4B7" w14:textId="77777777">
            <w:pPr>
              <w:rPr>
                <w:b/>
                <w:bCs/>
              </w:rPr>
            </w:pPr>
            <w:r w:rsidRPr="00A416E0">
              <w:rPr>
                <w:b/>
                <w:bCs/>
              </w:rPr>
              <w:t>Expense Type</w:t>
            </w:r>
          </w:p>
        </w:tc>
        <w:tc>
          <w:tcPr>
            <w:tcW w:w="1827"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B56070" w:rsidRPr="00A416E0" w:rsidP="0077411F" w14:paraId="30A9AC7E" w14:textId="77777777">
            <w:pPr>
              <w:rPr>
                <w:b/>
                <w:bCs/>
              </w:rPr>
            </w:pPr>
            <w:r w:rsidRPr="00A416E0">
              <w:rPr>
                <w:b/>
                <w:bCs/>
              </w:rPr>
              <w:t xml:space="preserve">Expense Explanation </w:t>
            </w:r>
          </w:p>
        </w:tc>
        <w:tc>
          <w:tcPr>
            <w:tcW w:w="1346"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B56070" w:rsidRPr="00A416E0" w:rsidP="0077411F" w14:paraId="784B39B5" w14:textId="77777777">
            <w:pPr>
              <w:rPr>
                <w:b/>
                <w:bCs/>
              </w:rPr>
            </w:pPr>
            <w:r w:rsidRPr="00A416E0">
              <w:rPr>
                <w:b/>
                <w:bCs/>
              </w:rPr>
              <w:t>Annual Costs (dollars)</w:t>
            </w:r>
          </w:p>
        </w:tc>
      </w:tr>
      <w:tr w14:paraId="01DD7F2A" w14:textId="77777777" w:rsidTr="00B56070">
        <w:tblPrEx>
          <w:tblW w:w="5000" w:type="pct"/>
          <w:tblCellMar>
            <w:top w:w="14" w:type="dxa"/>
            <w:left w:w="14" w:type="dxa"/>
            <w:bottom w:w="14" w:type="dxa"/>
            <w:right w:w="14" w:type="dxa"/>
          </w:tblCellMar>
          <w:tblLook w:val="04A0"/>
        </w:tblPrEx>
        <w:trPr>
          <w:cantSplit/>
          <w:trHeight w:val="376"/>
        </w:trPr>
        <w:tc>
          <w:tcPr>
            <w:tcW w:w="5000" w:type="pct"/>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rsidR="00B56070" w:rsidRPr="00A416E0" w:rsidP="00F754AF" w14:paraId="6FC8B53B" w14:textId="77777777">
            <w:pPr>
              <w:spacing w:after="0"/>
              <w:rPr>
                <w:i/>
                <w:iCs/>
              </w:rPr>
            </w:pPr>
            <w:r w:rsidRPr="00A416E0">
              <w:rPr>
                <w:b/>
                <w:bCs/>
                <w:i/>
                <w:iCs/>
              </w:rPr>
              <w:t>Direct Cost to the Federal Government</w:t>
            </w:r>
          </w:p>
        </w:tc>
      </w:tr>
      <w:tr w14:paraId="12A4FB23" w14:textId="77777777" w:rsidTr="00F754AF">
        <w:tblPrEx>
          <w:tblW w:w="5000" w:type="pct"/>
          <w:tblCellMar>
            <w:top w:w="14" w:type="dxa"/>
            <w:left w:w="14" w:type="dxa"/>
            <w:bottom w:w="14" w:type="dxa"/>
            <w:right w:w="14" w:type="dxa"/>
          </w:tblCellMar>
          <w:tblLook w:val="04A0"/>
        </w:tblPrEx>
        <w:trPr>
          <w:cantSplit/>
          <w:trHeight w:val="367"/>
        </w:trPr>
        <w:tc>
          <w:tcPr>
            <w:tcW w:w="1827"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B56070" w:rsidRPr="00A416E0" w:rsidP="00F754AF" w14:paraId="296422EF" w14:textId="77777777">
            <w:pPr>
              <w:spacing w:after="0"/>
            </w:pPr>
            <w:r>
              <w:t>Full Time Employee</w:t>
            </w:r>
            <w:r w:rsidRPr="00A416E0" w:rsidR="00A017CA">
              <w:t xml:space="preserve"> (GS-1</w:t>
            </w:r>
            <w:r>
              <w:t>3</w:t>
            </w:r>
            <w:r w:rsidRPr="00A416E0" w:rsidR="00A017CA">
              <w:t>) – Develops and changes the instrument, prepares OMB package, analyzes data</w:t>
            </w:r>
          </w:p>
        </w:tc>
        <w:tc>
          <w:tcPr>
            <w:tcW w:w="1827"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B56070" w:rsidRPr="00A416E0" w:rsidP="00F754AF" w14:paraId="019CF8E8" w14:textId="1830FD15">
            <w:pPr>
              <w:spacing w:after="0"/>
            </w:pPr>
            <w:r w:rsidRPr="00A416E0">
              <w:t>$</w:t>
            </w:r>
            <w:r w:rsidR="008B7E6C">
              <w:t>53.93</w:t>
            </w:r>
            <w:r w:rsidRPr="00A416E0">
              <w:t xml:space="preserve"> hourly salary, 40 hours staff time per data collection; </w:t>
            </w:r>
            <w:r w:rsidR="006F036E">
              <w:t>3</w:t>
            </w:r>
            <w:r w:rsidRPr="00A416E0">
              <w:t xml:space="preserve"> data collections per year</w:t>
            </w:r>
          </w:p>
          <w:p w:rsidR="00A017CA" w:rsidRPr="00A416E0" w:rsidP="00F754AF" w14:paraId="7E058ABC" w14:textId="07E8D447">
            <w:pPr>
              <w:spacing w:after="0"/>
            </w:pPr>
            <w:r w:rsidRPr="00A416E0">
              <w:t>$</w:t>
            </w:r>
            <w:r w:rsidR="00AE4744">
              <w:t>53.93</w:t>
            </w:r>
            <w:r w:rsidRPr="00A416E0">
              <w:t>*40*</w:t>
            </w:r>
            <w:r w:rsidR="006F036E">
              <w:t>3</w:t>
            </w:r>
          </w:p>
        </w:tc>
        <w:tc>
          <w:tcPr>
            <w:tcW w:w="1346"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B56070" w:rsidRPr="00A416E0" w:rsidP="00F754AF" w14:paraId="35A83FD1" w14:textId="20F19D0A">
            <w:pPr>
              <w:spacing w:after="0"/>
              <w:jc w:val="center"/>
            </w:pPr>
            <w:r w:rsidRPr="00A416E0">
              <w:t>$</w:t>
            </w:r>
            <w:r w:rsidR="00AE4744">
              <w:t>6,471.60</w:t>
            </w:r>
          </w:p>
        </w:tc>
      </w:tr>
      <w:tr w14:paraId="2261904E" w14:textId="77777777" w:rsidTr="00F754AF">
        <w:tblPrEx>
          <w:tblW w:w="5000" w:type="pct"/>
          <w:tblCellMar>
            <w:top w:w="14" w:type="dxa"/>
            <w:left w:w="14" w:type="dxa"/>
            <w:bottom w:w="14" w:type="dxa"/>
            <w:right w:w="14" w:type="dxa"/>
          </w:tblCellMar>
          <w:tblLook w:val="04A0"/>
        </w:tblPrEx>
        <w:trPr>
          <w:cantSplit/>
        </w:trPr>
        <w:tc>
          <w:tcPr>
            <w:tcW w:w="3654"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B56070" w:rsidRPr="00A416E0" w:rsidP="00F754AF" w14:paraId="5E4328C2" w14:textId="77777777">
            <w:pPr>
              <w:spacing w:after="0"/>
              <w:rPr>
                <w:b/>
                <w:iCs/>
              </w:rPr>
            </w:pPr>
            <w:r w:rsidRPr="00A416E0">
              <w:rPr>
                <w:b/>
                <w:iCs/>
              </w:rPr>
              <w:t>Subtotal, Direct Costs to the Government per year</w:t>
            </w:r>
          </w:p>
        </w:tc>
        <w:tc>
          <w:tcPr>
            <w:tcW w:w="1346"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B56070" w:rsidRPr="00A416E0" w:rsidP="00F754AF" w14:paraId="517F7969" w14:textId="67F656CE">
            <w:pPr>
              <w:spacing w:after="0"/>
              <w:jc w:val="center"/>
              <w:rPr>
                <w:b/>
                <w:iCs/>
              </w:rPr>
            </w:pPr>
            <w:r w:rsidRPr="00A416E0">
              <w:rPr>
                <w:b/>
                <w:iCs/>
              </w:rPr>
              <w:t>$</w:t>
            </w:r>
            <w:r w:rsidR="00AE4744">
              <w:rPr>
                <w:b/>
                <w:iCs/>
              </w:rPr>
              <w:t>6,471.60</w:t>
            </w:r>
          </w:p>
        </w:tc>
      </w:tr>
      <w:tr w14:paraId="0B9216F9" w14:textId="77777777" w:rsidTr="00F754AF">
        <w:tblPrEx>
          <w:tblW w:w="5000" w:type="pct"/>
          <w:tblCellMar>
            <w:top w:w="14" w:type="dxa"/>
            <w:left w:w="14" w:type="dxa"/>
            <w:bottom w:w="14" w:type="dxa"/>
            <w:right w:w="14" w:type="dxa"/>
          </w:tblCellMar>
          <w:tblLook w:val="04A0"/>
        </w:tblPrEx>
        <w:trPr>
          <w:cantSplit/>
        </w:trPr>
        <w:tc>
          <w:tcPr>
            <w:tcW w:w="5000" w:type="pct"/>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rsidR="00B56070" w:rsidRPr="00A416E0" w:rsidP="00F754AF" w14:paraId="13E9CE0A" w14:textId="77777777">
            <w:pPr>
              <w:spacing w:after="0"/>
              <w:jc w:val="center"/>
              <w:rPr>
                <w:b/>
                <w:bCs/>
                <w:i/>
                <w:iCs/>
              </w:rPr>
            </w:pPr>
            <w:r>
              <w:rPr>
                <w:b/>
                <w:bCs/>
                <w:i/>
                <w:iCs/>
              </w:rPr>
              <w:t>Cooperative</w:t>
            </w:r>
            <w:r w:rsidR="00537409">
              <w:rPr>
                <w:b/>
                <w:bCs/>
                <w:i/>
                <w:iCs/>
              </w:rPr>
              <w:t xml:space="preserve"> </w:t>
            </w:r>
            <w:r w:rsidR="00DE25C0">
              <w:rPr>
                <w:b/>
                <w:bCs/>
                <w:i/>
                <w:iCs/>
              </w:rPr>
              <w:t>A</w:t>
            </w:r>
            <w:r w:rsidR="00537409">
              <w:rPr>
                <w:b/>
                <w:bCs/>
                <w:i/>
                <w:iCs/>
              </w:rPr>
              <w:t xml:space="preserve">greement </w:t>
            </w:r>
            <w:r w:rsidR="00DE25C0">
              <w:rPr>
                <w:b/>
                <w:bCs/>
                <w:i/>
                <w:iCs/>
              </w:rPr>
              <w:t>C</w:t>
            </w:r>
            <w:r w:rsidR="00537409">
              <w:rPr>
                <w:b/>
                <w:bCs/>
                <w:i/>
                <w:iCs/>
              </w:rPr>
              <w:t>ost</w:t>
            </w:r>
            <w:r w:rsidRPr="00A416E0">
              <w:rPr>
                <w:b/>
                <w:bCs/>
                <w:i/>
                <w:iCs/>
              </w:rPr>
              <w:t xml:space="preserve"> and Other Expenses</w:t>
            </w:r>
          </w:p>
        </w:tc>
      </w:tr>
      <w:tr w14:paraId="6FF9658F" w14:textId="77777777" w:rsidTr="00E74B2C">
        <w:tblPrEx>
          <w:tblW w:w="5000" w:type="pct"/>
          <w:tblCellMar>
            <w:top w:w="14" w:type="dxa"/>
            <w:left w:w="14" w:type="dxa"/>
            <w:bottom w:w="14" w:type="dxa"/>
            <w:right w:w="14" w:type="dxa"/>
          </w:tblCellMar>
          <w:tblLook w:val="04A0"/>
        </w:tblPrEx>
        <w:trPr>
          <w:cantSplit/>
        </w:trPr>
        <w:tc>
          <w:tcPr>
            <w:tcW w:w="1827"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B56070" w:rsidRPr="00A416E0" w:rsidP="00F754AF" w14:paraId="7E8810EA" w14:textId="77777777">
            <w:pPr>
              <w:spacing w:after="0"/>
            </w:pPr>
            <w:r w:rsidRPr="00A416E0">
              <w:t>Funding for poison center data collection costs</w:t>
            </w:r>
          </w:p>
        </w:tc>
        <w:tc>
          <w:tcPr>
            <w:tcW w:w="1827" w:type="pct"/>
            <w:tcBorders>
              <w:top w:val="nil"/>
              <w:left w:val="single" w:sz="8" w:space="0" w:color="auto"/>
              <w:bottom w:val="single" w:sz="8" w:space="0" w:color="auto"/>
              <w:right w:val="single" w:sz="8" w:space="0" w:color="auto"/>
            </w:tcBorders>
            <w:vAlign w:val="center"/>
          </w:tcPr>
          <w:p w:rsidR="00B56070" w:rsidRPr="00A416E0" w:rsidP="00F754AF" w14:paraId="44FDE5A2" w14:textId="77777777">
            <w:pPr>
              <w:spacing w:after="0"/>
              <w:ind w:left="76"/>
            </w:pPr>
            <w:r w:rsidRPr="00A416E0">
              <w:t xml:space="preserve">Estimates derived from a previous study with costs of approximately </w:t>
            </w:r>
            <w:r w:rsidR="00BF42AF">
              <w:t xml:space="preserve">$150,000 </w:t>
            </w:r>
            <w:r w:rsidRPr="00A416E0">
              <w:t xml:space="preserve">per </w:t>
            </w:r>
            <w:r w:rsidR="0059732A">
              <w:t>study</w:t>
            </w:r>
            <w:r w:rsidR="009E4105">
              <w:t xml:space="preserve"> </w:t>
            </w:r>
          </w:p>
        </w:tc>
        <w:tc>
          <w:tcPr>
            <w:tcW w:w="1346"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B56070" w:rsidRPr="00A416E0" w:rsidP="00F754AF" w14:paraId="5B5F3ECF" w14:textId="77777777">
            <w:pPr>
              <w:spacing w:after="0"/>
              <w:jc w:val="center"/>
            </w:pPr>
            <w:r w:rsidRPr="00A416E0">
              <w:t>$</w:t>
            </w:r>
            <w:r w:rsidR="006A747D">
              <w:t>1</w:t>
            </w:r>
            <w:r w:rsidR="00BF42AF">
              <w:t>5</w:t>
            </w:r>
            <w:r w:rsidR="006A747D">
              <w:t>0,000</w:t>
            </w:r>
          </w:p>
        </w:tc>
      </w:tr>
      <w:tr w14:paraId="33531616" w14:textId="77777777" w:rsidTr="00F754AF">
        <w:tblPrEx>
          <w:tblW w:w="5000" w:type="pct"/>
          <w:tblCellMar>
            <w:top w:w="14" w:type="dxa"/>
            <w:left w:w="14" w:type="dxa"/>
            <w:bottom w:w="14" w:type="dxa"/>
            <w:right w:w="14" w:type="dxa"/>
          </w:tblCellMar>
          <w:tblLook w:val="04A0"/>
        </w:tblPrEx>
        <w:trPr>
          <w:cantSplit/>
        </w:trPr>
        <w:tc>
          <w:tcPr>
            <w:tcW w:w="3654"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B56070" w:rsidRPr="00A416E0" w:rsidP="00F754AF" w14:paraId="4DBA2166" w14:textId="77777777">
            <w:pPr>
              <w:spacing w:after="0"/>
              <w:ind w:left="76"/>
              <w:rPr>
                <w:b/>
              </w:rPr>
            </w:pPr>
            <w:r w:rsidRPr="00A416E0">
              <w:rPr>
                <w:b/>
                <w:iCs/>
              </w:rPr>
              <w:t>Subtotal, Contract and Other Expenses per year</w:t>
            </w:r>
          </w:p>
        </w:tc>
        <w:tc>
          <w:tcPr>
            <w:tcW w:w="1346"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B56070" w:rsidRPr="00A416E0" w:rsidP="00F754AF" w14:paraId="78A02908" w14:textId="77777777">
            <w:pPr>
              <w:spacing w:after="0"/>
              <w:jc w:val="center"/>
              <w:rPr>
                <w:i/>
                <w:iCs/>
              </w:rPr>
            </w:pPr>
            <w:r w:rsidRPr="00A416E0">
              <w:rPr>
                <w:i/>
                <w:iCs/>
              </w:rPr>
              <w:t>$</w:t>
            </w:r>
            <w:r w:rsidR="006A747D">
              <w:rPr>
                <w:i/>
                <w:iCs/>
              </w:rPr>
              <w:t>1</w:t>
            </w:r>
            <w:r w:rsidR="00BF42AF">
              <w:rPr>
                <w:i/>
                <w:iCs/>
              </w:rPr>
              <w:t>5</w:t>
            </w:r>
            <w:r w:rsidR="006A747D">
              <w:rPr>
                <w:i/>
                <w:iCs/>
              </w:rPr>
              <w:t>0,000</w:t>
            </w:r>
          </w:p>
        </w:tc>
      </w:tr>
      <w:tr w14:paraId="17AA1EAD" w14:textId="77777777" w:rsidTr="00E74B2C">
        <w:tblPrEx>
          <w:tblW w:w="5000" w:type="pct"/>
          <w:tblCellMar>
            <w:top w:w="14" w:type="dxa"/>
            <w:left w:w="14" w:type="dxa"/>
            <w:bottom w:w="14" w:type="dxa"/>
            <w:right w:w="14" w:type="dxa"/>
          </w:tblCellMar>
          <w:tblLook w:val="04A0"/>
        </w:tblPrEx>
        <w:trPr>
          <w:cantSplit/>
        </w:trPr>
        <w:tc>
          <w:tcPr>
            <w:tcW w:w="3654" w:type="pct"/>
            <w:gridSpan w:val="2"/>
            <w:tcBorders>
              <w:top w:val="nil"/>
              <w:left w:val="single" w:sz="8" w:space="0" w:color="auto"/>
              <w:bottom w:val="single" w:sz="8" w:space="0" w:color="auto"/>
              <w:right w:val="single" w:sz="8" w:space="0" w:color="auto"/>
            </w:tcBorders>
            <w:shd w:val="clear" w:color="auto" w:fill="C6D9F0" w:themeFill="text2" w:themeFillTint="33"/>
            <w:tcMar>
              <w:top w:w="0" w:type="dxa"/>
              <w:left w:w="115" w:type="dxa"/>
              <w:bottom w:w="0" w:type="dxa"/>
              <w:right w:w="115" w:type="dxa"/>
            </w:tcMar>
            <w:vAlign w:val="center"/>
            <w:hideMark/>
          </w:tcPr>
          <w:p w:rsidR="00B56070" w:rsidRPr="00A416E0" w:rsidP="00F754AF" w14:paraId="15831F57" w14:textId="77777777">
            <w:pPr>
              <w:spacing w:after="0"/>
              <w:ind w:left="76"/>
              <w:rPr>
                <w:b/>
                <w:i/>
                <w:iCs/>
              </w:rPr>
            </w:pPr>
            <w:r w:rsidRPr="00A416E0">
              <w:rPr>
                <w:b/>
                <w:i/>
                <w:iCs/>
              </w:rPr>
              <w:t xml:space="preserve">Total of all annualized expenses </w:t>
            </w:r>
          </w:p>
        </w:tc>
        <w:tc>
          <w:tcPr>
            <w:tcW w:w="1346" w:type="pct"/>
            <w:tcBorders>
              <w:top w:val="nil"/>
              <w:left w:val="nil"/>
              <w:bottom w:val="single" w:sz="8" w:space="0" w:color="auto"/>
              <w:right w:val="single" w:sz="8" w:space="0" w:color="auto"/>
            </w:tcBorders>
            <w:shd w:val="clear" w:color="auto" w:fill="C6D9F0" w:themeFill="text2" w:themeFillTint="33"/>
            <w:tcMar>
              <w:top w:w="0" w:type="dxa"/>
              <w:left w:w="115" w:type="dxa"/>
              <w:bottom w:w="0" w:type="dxa"/>
              <w:right w:w="115" w:type="dxa"/>
            </w:tcMar>
            <w:vAlign w:val="center"/>
            <w:hideMark/>
          </w:tcPr>
          <w:p w:rsidR="00B56070" w:rsidRPr="00A416E0" w:rsidP="00F754AF" w14:paraId="6255FBCF" w14:textId="7ACCD4EB">
            <w:pPr>
              <w:spacing w:after="0"/>
              <w:jc w:val="center"/>
              <w:rPr>
                <w:b/>
                <w:i/>
                <w:iCs/>
              </w:rPr>
            </w:pPr>
            <w:r w:rsidRPr="00A416E0">
              <w:rPr>
                <w:b/>
                <w:bCs/>
                <w:i/>
                <w:iCs/>
                <w:color w:val="000000"/>
              </w:rPr>
              <w:t>$</w:t>
            </w:r>
            <w:r w:rsidR="00BF42AF">
              <w:rPr>
                <w:b/>
                <w:bCs/>
                <w:i/>
                <w:iCs/>
                <w:color w:val="000000"/>
              </w:rPr>
              <w:t>15</w:t>
            </w:r>
            <w:r w:rsidR="00A224AE">
              <w:rPr>
                <w:b/>
                <w:bCs/>
                <w:i/>
                <w:iCs/>
                <w:color w:val="000000"/>
              </w:rPr>
              <w:t>6,471.60</w:t>
            </w:r>
          </w:p>
        </w:tc>
      </w:tr>
    </w:tbl>
    <w:p w:rsidR="00F63BD2" w:rsidP="00064993" w14:paraId="74678A97" w14:textId="77777777">
      <w:pPr>
        <w:pStyle w:val="Heading1"/>
        <w:jc w:val="left"/>
        <w:rPr>
          <w:b w:val="0"/>
          <w:sz w:val="36"/>
          <w:szCs w:val="36"/>
        </w:rPr>
      </w:pPr>
      <w:bookmarkStart w:id="37" w:name="_Toc441505153"/>
      <w:bookmarkStart w:id="38" w:name="_Toc224733946"/>
      <w:r w:rsidRPr="00064993">
        <w:rPr>
          <w:b w:val="0"/>
          <w:sz w:val="36"/>
          <w:szCs w:val="36"/>
        </w:rPr>
        <w:t xml:space="preserve">A.15. </w:t>
      </w:r>
      <w:r w:rsidRPr="00064993" w:rsidR="00F0796A">
        <w:rPr>
          <w:b w:val="0"/>
          <w:sz w:val="36"/>
          <w:szCs w:val="36"/>
        </w:rPr>
        <w:t>Explanation for Program Changes or Adjustments</w:t>
      </w:r>
      <w:bookmarkEnd w:id="37"/>
      <w:bookmarkEnd w:id="38"/>
    </w:p>
    <w:p w:rsidR="00064993" w:rsidRPr="00064993" w:rsidP="00064993" w14:paraId="433CC874" w14:textId="77777777"/>
    <w:p w:rsidR="00927E5E" w:rsidP="00662669" w14:paraId="0DE2DEE3" w14:textId="1E8B1AD3">
      <w:r w:rsidRPr="00A00CA7">
        <w:t xml:space="preserve">This is </w:t>
      </w:r>
      <w:r w:rsidR="00F2553C">
        <w:t xml:space="preserve">a revision </w:t>
      </w:r>
      <w:r w:rsidRPr="00A00CA7">
        <w:t>Gen</w:t>
      </w:r>
      <w:r w:rsidR="00997A93">
        <w:t xml:space="preserve">eric </w:t>
      </w:r>
      <w:r w:rsidRPr="00A00CA7">
        <w:t>ICR</w:t>
      </w:r>
      <w:r w:rsidR="00C53579">
        <w:t>.</w:t>
      </w:r>
      <w:r w:rsidRPr="00A00CA7">
        <w:t xml:space="preserve"> </w:t>
      </w:r>
      <w:r w:rsidR="00C53579">
        <w:t>T</w:t>
      </w:r>
      <w:r w:rsidRPr="00A00CA7">
        <w:t>he original Gen</w:t>
      </w:r>
      <w:r w:rsidR="00997A93">
        <w:t xml:space="preserve">eric </w:t>
      </w:r>
      <w:r w:rsidRPr="00A00CA7">
        <w:t xml:space="preserve">ICR </w:t>
      </w:r>
      <w:r w:rsidR="000B1CBE">
        <w:t xml:space="preserve">was </w:t>
      </w:r>
      <w:r w:rsidRPr="00A00CA7" w:rsidR="00240A44">
        <w:t xml:space="preserve">approved in February </w:t>
      </w:r>
      <w:r w:rsidRPr="00A00CA7" w:rsidR="00240A44">
        <w:t>2017</w:t>
      </w:r>
      <w:r w:rsidR="00843AEF">
        <w:t xml:space="preserve"> and </w:t>
      </w:r>
      <w:r w:rsidR="00C53579">
        <w:t xml:space="preserve">an </w:t>
      </w:r>
      <w:r w:rsidR="00F2553C">
        <w:t xml:space="preserve">extension </w:t>
      </w:r>
      <w:r w:rsidR="00C53579">
        <w:t xml:space="preserve">was </w:t>
      </w:r>
      <w:r w:rsidR="00F2553C">
        <w:t>granted</w:t>
      </w:r>
      <w:r w:rsidR="00592CB6">
        <w:t xml:space="preserve"> in March 2020</w:t>
      </w:r>
      <w:r w:rsidR="001B688A">
        <w:t xml:space="preserve"> and March 2023</w:t>
      </w:r>
      <w:r w:rsidRPr="00A00CA7">
        <w:t xml:space="preserve">. </w:t>
      </w:r>
      <w:r w:rsidR="00691BFE">
        <w:t>The following minor changes were made</w:t>
      </w:r>
      <w:r>
        <w:t>:</w:t>
      </w:r>
    </w:p>
    <w:p w:rsidR="000C00A5" w:rsidRPr="00477143" w:rsidP="000B1CBE" w14:paraId="7131205B" w14:textId="1DDEB30F">
      <w:pPr>
        <w:pStyle w:val="ListParagraph"/>
        <w:numPr>
          <w:ilvl w:val="0"/>
          <w:numId w:val="46"/>
        </w:numPr>
        <w:spacing w:after="120"/>
        <w:contextualSpacing w:val="0"/>
        <w:rPr>
          <w:szCs w:val="22"/>
        </w:rPr>
      </w:pPr>
      <w:r>
        <w:rPr>
          <w:bCs/>
          <w:szCs w:val="22"/>
        </w:rPr>
        <w:t xml:space="preserve">Updating </w:t>
      </w:r>
      <w:r w:rsidR="00EE26AC">
        <w:rPr>
          <w:bCs/>
          <w:szCs w:val="22"/>
        </w:rPr>
        <w:t>web</w:t>
      </w:r>
      <w:r w:rsidR="006E3D70">
        <w:rPr>
          <w:bCs/>
          <w:szCs w:val="22"/>
        </w:rPr>
        <w:t xml:space="preserve">-based questionnaire development from </w:t>
      </w:r>
      <w:r w:rsidRPr="006E3D70" w:rsidR="006E3D70">
        <w:rPr>
          <w:bCs/>
          <w:szCs w:val="22"/>
        </w:rPr>
        <w:t>EpiInfo</w:t>
      </w:r>
      <w:r w:rsidRPr="006E3D70" w:rsidR="006E3D70">
        <w:rPr>
          <w:bCs/>
          <w:szCs w:val="22"/>
          <w:vertAlign w:val="superscript"/>
        </w:rPr>
        <w:t xml:space="preserve"> TM</w:t>
      </w:r>
      <w:r w:rsidR="006E3D70">
        <w:rPr>
          <w:bCs/>
          <w:szCs w:val="22"/>
          <w:vertAlign w:val="superscript"/>
        </w:rPr>
        <w:t xml:space="preserve"> </w:t>
      </w:r>
      <w:r w:rsidR="006E3D70">
        <w:rPr>
          <w:bCs/>
          <w:szCs w:val="22"/>
        </w:rPr>
        <w:t xml:space="preserve">to REDCap because </w:t>
      </w:r>
      <w:r w:rsidRPr="006E3D70" w:rsidR="006E3D70">
        <w:rPr>
          <w:bCs/>
          <w:szCs w:val="22"/>
        </w:rPr>
        <w:t>EpiInfo</w:t>
      </w:r>
      <w:r w:rsidRPr="006E3D70" w:rsidR="006E3D70">
        <w:rPr>
          <w:bCs/>
          <w:szCs w:val="22"/>
          <w:vertAlign w:val="superscript"/>
        </w:rPr>
        <w:t xml:space="preserve"> TM</w:t>
      </w:r>
      <w:r w:rsidR="006E3D70">
        <w:rPr>
          <w:bCs/>
          <w:szCs w:val="22"/>
          <w:vertAlign w:val="superscript"/>
        </w:rPr>
        <w:t xml:space="preserve"> </w:t>
      </w:r>
      <w:r w:rsidR="006E3D70">
        <w:rPr>
          <w:bCs/>
          <w:szCs w:val="22"/>
        </w:rPr>
        <w:t xml:space="preserve">has been discontinued. </w:t>
      </w:r>
    </w:p>
    <w:p w:rsidR="00477143" w:rsidRPr="00895214" w:rsidP="000B1CBE" w14:paraId="24744627" w14:textId="503CF502">
      <w:pPr>
        <w:pStyle w:val="ListParagraph"/>
        <w:numPr>
          <w:ilvl w:val="0"/>
          <w:numId w:val="46"/>
        </w:numPr>
        <w:spacing w:after="120"/>
        <w:contextualSpacing w:val="0"/>
        <w:rPr>
          <w:szCs w:val="22"/>
        </w:rPr>
      </w:pPr>
      <w:r>
        <w:rPr>
          <w:bCs/>
          <w:szCs w:val="22"/>
        </w:rPr>
        <w:t xml:space="preserve">Updating the number of poison centers from 55 to 53. </w:t>
      </w:r>
    </w:p>
    <w:p w:rsidR="00F63BD2" w:rsidP="00064993" w14:paraId="105C5A58" w14:textId="77777777">
      <w:pPr>
        <w:pStyle w:val="Heading1"/>
        <w:jc w:val="left"/>
        <w:rPr>
          <w:b w:val="0"/>
          <w:sz w:val="36"/>
          <w:szCs w:val="36"/>
        </w:rPr>
      </w:pPr>
      <w:bookmarkStart w:id="39" w:name="_Toc441505154"/>
      <w:bookmarkStart w:id="40" w:name="_Toc224733947"/>
      <w:r w:rsidRPr="00064993">
        <w:rPr>
          <w:b w:val="0"/>
          <w:sz w:val="36"/>
          <w:szCs w:val="36"/>
        </w:rPr>
        <w:t xml:space="preserve">A.16. </w:t>
      </w:r>
      <w:r w:rsidRPr="00064993" w:rsidR="00F0796A">
        <w:rPr>
          <w:b w:val="0"/>
          <w:sz w:val="36"/>
          <w:szCs w:val="36"/>
        </w:rPr>
        <w:t xml:space="preserve">Plans for </w:t>
      </w:r>
      <w:r w:rsidRPr="00064993" w:rsidR="00CA553C">
        <w:rPr>
          <w:b w:val="0"/>
          <w:sz w:val="36"/>
          <w:szCs w:val="36"/>
        </w:rPr>
        <w:t xml:space="preserve">Tabulation </w:t>
      </w:r>
      <w:r w:rsidRPr="00064993" w:rsidR="00F0796A">
        <w:rPr>
          <w:b w:val="0"/>
          <w:sz w:val="36"/>
          <w:szCs w:val="36"/>
        </w:rPr>
        <w:t>and Publication and Project Time Schedule</w:t>
      </w:r>
      <w:bookmarkEnd w:id="39"/>
      <w:bookmarkEnd w:id="40"/>
    </w:p>
    <w:p w:rsidR="00134599" w:rsidP="001768B4" w14:paraId="4202979E" w14:textId="77777777">
      <w:pPr>
        <w:rPr>
          <w:rFonts w:eastAsia="Arial Unicode MS" w:cs="Times New Roman"/>
          <w:u w:color="000000"/>
        </w:rPr>
      </w:pPr>
    </w:p>
    <w:p w:rsidR="001768B4" w:rsidRPr="0092485F" w:rsidP="001768B4" w14:paraId="787F6455" w14:textId="77777777">
      <w:pPr>
        <w:rPr>
          <w:rFonts w:cs="Times New Roman"/>
        </w:rPr>
      </w:pPr>
      <w:r w:rsidRPr="005A41AA">
        <w:rPr>
          <w:rFonts w:eastAsia="Arial Unicode MS" w:cs="Times New Roman"/>
          <w:u w:color="000000"/>
        </w:rPr>
        <w:t>The epidemiologic data collected in each investigation provides information necessary for an effective public health response to a</w:t>
      </w:r>
      <w:r w:rsidRPr="005A41AA" w:rsidR="005F7956">
        <w:rPr>
          <w:rFonts w:eastAsia="Arial Unicode MS" w:cs="Times New Roman"/>
          <w:u w:color="000000"/>
        </w:rPr>
        <w:t>n</w:t>
      </w:r>
      <w:r w:rsidRPr="005A41AA">
        <w:rPr>
          <w:rFonts w:eastAsia="Arial Unicode MS" w:cs="Times New Roman"/>
          <w:u w:color="000000"/>
        </w:rPr>
        <w:t xml:space="preserve"> incident with adverse health consequences. </w:t>
      </w:r>
      <w:r w:rsidRPr="008E518D">
        <w:rPr>
          <w:rFonts w:cs="Times New Roman"/>
        </w:rPr>
        <w:t xml:space="preserve">Therefore, it is critical to collect data as soon as possible after the incident is identified. The duration of each investigation varies; </w:t>
      </w:r>
      <w:r w:rsidRPr="00B92498" w:rsidR="00A719BC">
        <w:rPr>
          <w:rFonts w:cs="Times New Roman"/>
        </w:rPr>
        <w:t>however</w:t>
      </w:r>
      <w:r w:rsidRPr="002E3E4E" w:rsidR="00A719BC">
        <w:rPr>
          <w:rFonts w:cs="Times New Roman"/>
        </w:rPr>
        <w:t xml:space="preserve">, </w:t>
      </w:r>
      <w:r w:rsidRPr="002E3E4E">
        <w:t xml:space="preserve">data collection </w:t>
      </w:r>
      <w:r w:rsidRPr="002E3E4E" w:rsidR="002E3E4E">
        <w:t>must</w:t>
      </w:r>
      <w:r w:rsidRPr="002E3E4E" w:rsidR="00F131EA">
        <w:t xml:space="preserve"> be completed within 6</w:t>
      </w:r>
      <w:r w:rsidRPr="00616EC9">
        <w:t>0 days of the incident.</w:t>
      </w:r>
      <w:r w:rsidRPr="00317444">
        <w:rPr>
          <w:rFonts w:cs="Times New Roman"/>
        </w:rPr>
        <w:t xml:space="preserve"> </w:t>
      </w:r>
    </w:p>
    <w:p w:rsidR="001768B4" w:rsidRPr="00B32723" w:rsidP="001768B4" w14:paraId="4A390C36" w14:textId="539B80CB">
      <w:pPr>
        <w:rPr>
          <w:rFonts w:cs="Times New Roman"/>
          <w:color w:val="7F7F7F" w:themeColor="text1" w:themeTint="80"/>
        </w:rPr>
      </w:pPr>
      <w:r w:rsidRPr="00B32723">
        <w:rPr>
          <w:rFonts w:cs="Times New Roman"/>
        </w:rPr>
        <w:t xml:space="preserve">For each investigation, the CDC staff is responsible for developing an analysis plan and conducting the data analysis of the de-identified data. Data analysis could include data cleaning, descriptive analyses, and </w:t>
      </w:r>
      <w:r w:rsidRPr="00B32723" w:rsidR="00333931">
        <w:rPr>
          <w:rFonts w:cs="Times New Roman"/>
        </w:rPr>
        <w:t>trend analysis</w:t>
      </w:r>
      <w:r w:rsidRPr="00B32723">
        <w:rPr>
          <w:rFonts w:cs="Times New Roman"/>
        </w:rPr>
        <w:t>.  Appropriate statistical software (e.g.,</w:t>
      </w:r>
      <w:r w:rsidR="003A6739">
        <w:rPr>
          <w:rFonts w:cs="Times New Roman"/>
        </w:rPr>
        <w:t xml:space="preserve"> R,</w:t>
      </w:r>
      <w:r w:rsidRPr="00B32723">
        <w:rPr>
          <w:rFonts w:cs="Times New Roman"/>
        </w:rPr>
        <w:t xml:space="preserve"> SAS</w:t>
      </w:r>
      <w:r w:rsidR="0000096F">
        <w:rPr>
          <w:rFonts w:cs="Times New Roman"/>
        </w:rPr>
        <w:t xml:space="preserve">, </w:t>
      </w:r>
      <w:r w:rsidR="00853468">
        <w:rPr>
          <w:rFonts w:cs="Times New Roman"/>
        </w:rPr>
        <w:t>Excel, NVivo</w:t>
      </w:r>
      <w:r w:rsidRPr="00B32723">
        <w:rPr>
          <w:rFonts w:cs="Times New Roman"/>
        </w:rPr>
        <w:t xml:space="preserve">) will be </w:t>
      </w:r>
      <w:r w:rsidR="0000096F">
        <w:rPr>
          <w:rFonts w:cs="Times New Roman"/>
        </w:rPr>
        <w:t>used</w:t>
      </w:r>
      <w:r w:rsidRPr="00B32723">
        <w:rPr>
          <w:rFonts w:cs="Times New Roman"/>
        </w:rPr>
        <w:t>, as necessary.</w:t>
      </w:r>
    </w:p>
    <w:p w:rsidR="001768B4" w:rsidRPr="005A41AA" w:rsidP="001768B4" w14:paraId="09964CDC" w14:textId="77777777">
      <w:pPr>
        <w:rPr>
          <w:rFonts w:cs="Times New Roman"/>
        </w:rPr>
      </w:pPr>
      <w:r w:rsidRPr="007B0682">
        <w:rPr>
          <w:rFonts w:cs="Times New Roman"/>
        </w:rPr>
        <w:t>F</w:t>
      </w:r>
      <w:r w:rsidRPr="00BF419D" w:rsidR="00CA2577">
        <w:rPr>
          <w:rFonts w:cs="Times New Roman"/>
        </w:rPr>
        <w:t>indings are generally provided to emergency responders and epidemiologists at the federal, state, and local level for situational awareness. Findings are shared with the CDC Emergency Operations Ce</w:t>
      </w:r>
      <w:r w:rsidRPr="000E3E76" w:rsidR="00CA2577">
        <w:rPr>
          <w:rFonts w:cs="Times New Roman"/>
        </w:rPr>
        <w:t>nter (EOC)</w:t>
      </w:r>
      <w:r w:rsidRPr="000E3E76" w:rsidR="00102660">
        <w:rPr>
          <w:rFonts w:cs="Times New Roman"/>
        </w:rPr>
        <w:t>,</w:t>
      </w:r>
      <w:r w:rsidRPr="00C25658" w:rsidR="00CA2577">
        <w:rPr>
          <w:rFonts w:cs="Times New Roman"/>
        </w:rPr>
        <w:t xml:space="preserve"> if activated, state emergency responders</w:t>
      </w:r>
      <w:r w:rsidRPr="00C25658" w:rsidR="001B6650">
        <w:rPr>
          <w:rFonts w:cs="Times New Roman"/>
        </w:rPr>
        <w:t>,</w:t>
      </w:r>
      <w:r w:rsidRPr="00C25658" w:rsidR="00CA2577">
        <w:rPr>
          <w:rFonts w:cs="Times New Roman"/>
        </w:rPr>
        <w:t xml:space="preserve"> and state epidemiologists.  </w:t>
      </w:r>
      <w:r w:rsidRPr="00C25658">
        <w:rPr>
          <w:rFonts w:cs="Times New Roman"/>
        </w:rPr>
        <w:t>Any publication of data derived from an investigation is subject to review by CDC</w:t>
      </w:r>
      <w:r w:rsidRPr="005A41AA" w:rsidR="00CA2577">
        <w:rPr>
          <w:rFonts w:cs="Times New Roman"/>
        </w:rPr>
        <w:t xml:space="preserve">, </w:t>
      </w:r>
      <w:r w:rsidR="005F563A">
        <w:rPr>
          <w:rFonts w:cs="Times New Roman"/>
        </w:rPr>
        <w:t>America’s Poison Centers™</w:t>
      </w:r>
      <w:r w:rsidRPr="005A41AA" w:rsidR="00CA2577">
        <w:rPr>
          <w:rFonts w:cs="Times New Roman"/>
        </w:rPr>
        <w:t>, poison centers</w:t>
      </w:r>
      <w:r w:rsidR="00853468">
        <w:rPr>
          <w:rFonts w:cs="Times New Roman"/>
        </w:rPr>
        <w:t>,</w:t>
      </w:r>
      <w:r w:rsidRPr="005A41AA" w:rsidR="00CA2577">
        <w:rPr>
          <w:rFonts w:cs="Times New Roman"/>
        </w:rPr>
        <w:t xml:space="preserve"> </w:t>
      </w:r>
      <w:r w:rsidR="00853468">
        <w:rPr>
          <w:rFonts w:cs="Times New Roman"/>
        </w:rPr>
        <w:t>STLT</w:t>
      </w:r>
      <w:r w:rsidRPr="005A41AA" w:rsidR="00CA2577">
        <w:rPr>
          <w:rFonts w:cs="Times New Roman"/>
        </w:rPr>
        <w:t xml:space="preserve"> health departments where the incident occurred, </w:t>
      </w:r>
      <w:r w:rsidRPr="005A41AA">
        <w:rPr>
          <w:rFonts w:cs="Times New Roman"/>
        </w:rPr>
        <w:t>and other collaborating federal agencies.</w:t>
      </w:r>
      <w:r w:rsidRPr="005A41AA" w:rsidR="00CA2577">
        <w:rPr>
          <w:rFonts w:cs="Times New Roman"/>
        </w:rPr>
        <w:t xml:space="preserve"> </w:t>
      </w:r>
    </w:p>
    <w:p w:rsidR="003B2208" w:rsidRPr="005A41AA" w:rsidP="003B2208" w14:paraId="660F5435" w14:textId="77777777">
      <w:pPr>
        <w:rPr>
          <w:rFonts w:cs="Times New Roman"/>
        </w:rPr>
      </w:pPr>
      <w:r w:rsidRPr="005A41AA">
        <w:rPr>
          <w:rFonts w:cs="Times New Roman"/>
        </w:rPr>
        <w:t>Final findings will be disseminated to the larger public health community through presentations and/or posters at meetings and publications in peer-reviewed journals.  Abstracts, poster presentations, and manuscripts will undergo a</w:t>
      </w:r>
      <w:r w:rsidRPr="005A41AA" w:rsidR="009A232D">
        <w:rPr>
          <w:rFonts w:cs="Times New Roman"/>
        </w:rPr>
        <w:t>n internal</w:t>
      </w:r>
      <w:r w:rsidRPr="005A41AA">
        <w:rPr>
          <w:rFonts w:cs="Times New Roman"/>
        </w:rPr>
        <w:t xml:space="preserve"> scientific review prior to submission to conferences or journals.  </w:t>
      </w:r>
      <w:r w:rsidRPr="005A41AA" w:rsidR="00B56070">
        <w:rPr>
          <w:rFonts w:cs="Times New Roman"/>
        </w:rPr>
        <w:t>CDC</w:t>
      </w:r>
      <w:r w:rsidRPr="005A41AA">
        <w:rPr>
          <w:rFonts w:cs="Times New Roman"/>
        </w:rPr>
        <w:t xml:space="preserve"> may</w:t>
      </w:r>
      <w:r w:rsidRPr="005A41AA" w:rsidR="00B56070">
        <w:rPr>
          <w:rFonts w:cs="Times New Roman"/>
        </w:rPr>
        <w:t xml:space="preserve"> also</w:t>
      </w:r>
      <w:r w:rsidRPr="005A41AA">
        <w:rPr>
          <w:rFonts w:cs="Times New Roman"/>
        </w:rPr>
        <w:t xml:space="preserve"> disseminate the findings, as appropriate, through Morbidity and Mortality Weekly Report (MMWR) publications, </w:t>
      </w:r>
      <w:r w:rsidR="00875F06">
        <w:rPr>
          <w:rFonts w:cs="Times New Roman"/>
        </w:rPr>
        <w:t xml:space="preserve">Health Alert Network </w:t>
      </w:r>
      <w:r w:rsidR="00077B58">
        <w:rPr>
          <w:rFonts w:cs="Times New Roman"/>
        </w:rPr>
        <w:t>announcements</w:t>
      </w:r>
      <w:r w:rsidR="00875F06">
        <w:rPr>
          <w:rFonts w:cs="Times New Roman"/>
        </w:rPr>
        <w:t xml:space="preserve"> (HANs), </w:t>
      </w:r>
      <w:r w:rsidRPr="005A41AA">
        <w:rPr>
          <w:rFonts w:cs="Times New Roman"/>
        </w:rPr>
        <w:t>Center reports, or CDC web pages.</w:t>
      </w:r>
      <w:r w:rsidRPr="005A41AA" w:rsidR="00B56070">
        <w:rPr>
          <w:rFonts w:cs="Times New Roman"/>
        </w:rPr>
        <w:t xml:space="preserve">  Information that is disseminated will remain de-identified.</w:t>
      </w:r>
    </w:p>
    <w:p w:rsidR="00F63BD2" w:rsidRPr="005A41AA" w:rsidP="001768B4" w14:paraId="751E6F9C" w14:textId="77777777">
      <w:pPr>
        <w:rPr>
          <w:rFonts w:cs="Times New Roman"/>
        </w:rPr>
      </w:pPr>
      <w:r w:rsidRPr="005A41AA">
        <w:rPr>
          <w:rFonts w:cs="Times New Roman"/>
        </w:rPr>
        <w:t xml:space="preserve">In some cases, the results of information collection will not be published; instead, the information will be used to inform activities across CDC or the community impacted by the public health </w:t>
      </w:r>
      <w:r w:rsidRPr="005A41AA" w:rsidR="00B56070">
        <w:rPr>
          <w:rFonts w:cs="Times New Roman"/>
        </w:rPr>
        <w:t>incident</w:t>
      </w:r>
      <w:r w:rsidRPr="005A41AA">
        <w:rPr>
          <w:rFonts w:cs="Times New Roman"/>
        </w:rPr>
        <w:t xml:space="preserve">. </w:t>
      </w:r>
    </w:p>
    <w:p w:rsidR="00F63BD2" w:rsidP="00064993" w14:paraId="2BACA544" w14:textId="77777777">
      <w:pPr>
        <w:pStyle w:val="Heading1"/>
        <w:jc w:val="left"/>
        <w:rPr>
          <w:b w:val="0"/>
          <w:sz w:val="36"/>
          <w:szCs w:val="36"/>
        </w:rPr>
      </w:pPr>
      <w:bookmarkStart w:id="41" w:name="_Toc441505155"/>
      <w:bookmarkStart w:id="42" w:name="_Toc224733948"/>
      <w:r w:rsidRPr="00064993">
        <w:rPr>
          <w:b w:val="0"/>
          <w:sz w:val="36"/>
          <w:szCs w:val="36"/>
        </w:rPr>
        <w:t xml:space="preserve">A.17. </w:t>
      </w:r>
      <w:r w:rsidRPr="00064993" w:rsidR="00F0796A">
        <w:rPr>
          <w:b w:val="0"/>
          <w:sz w:val="36"/>
          <w:szCs w:val="36"/>
        </w:rPr>
        <w:t xml:space="preserve">Reason(s) </w:t>
      </w:r>
      <w:r w:rsidRPr="00064993" w:rsidR="00CA553C">
        <w:rPr>
          <w:b w:val="0"/>
          <w:sz w:val="36"/>
          <w:szCs w:val="36"/>
        </w:rPr>
        <w:t xml:space="preserve">Display of OMB </w:t>
      </w:r>
      <w:r w:rsidRPr="00064993" w:rsidR="00F0796A">
        <w:rPr>
          <w:b w:val="0"/>
          <w:sz w:val="36"/>
          <w:szCs w:val="36"/>
        </w:rPr>
        <w:t>Expiration</w:t>
      </w:r>
      <w:r w:rsidRPr="00064993" w:rsidR="00CA553C">
        <w:rPr>
          <w:b w:val="0"/>
          <w:sz w:val="36"/>
          <w:szCs w:val="36"/>
        </w:rPr>
        <w:t xml:space="preserve"> Date</w:t>
      </w:r>
      <w:r w:rsidRPr="00064993" w:rsidR="00F0796A">
        <w:rPr>
          <w:b w:val="0"/>
          <w:sz w:val="36"/>
          <w:szCs w:val="36"/>
        </w:rPr>
        <w:t xml:space="preserve"> Is Inappropriate</w:t>
      </w:r>
      <w:bookmarkEnd w:id="41"/>
      <w:bookmarkEnd w:id="42"/>
    </w:p>
    <w:p w:rsidR="00064993" w:rsidRPr="00064993" w:rsidP="00064993" w14:paraId="194CE345" w14:textId="77777777"/>
    <w:p w:rsidR="005A019A" w:rsidP="001768B4" w14:paraId="35B77F12" w14:textId="77777777">
      <w:r w:rsidRPr="005A019A">
        <w:t>The display of the OMB expiration date is appropriate.</w:t>
      </w:r>
    </w:p>
    <w:p w:rsidR="00F63BD2" w:rsidP="00064993" w14:paraId="5B92A76F" w14:textId="77777777">
      <w:pPr>
        <w:pStyle w:val="Heading1"/>
        <w:jc w:val="left"/>
        <w:rPr>
          <w:b w:val="0"/>
          <w:sz w:val="36"/>
          <w:szCs w:val="36"/>
        </w:rPr>
      </w:pPr>
      <w:bookmarkStart w:id="43" w:name="_Toc441505156"/>
      <w:bookmarkStart w:id="44" w:name="_Toc224733949"/>
      <w:r w:rsidRPr="00064993">
        <w:rPr>
          <w:b w:val="0"/>
          <w:sz w:val="36"/>
          <w:szCs w:val="36"/>
        </w:rPr>
        <w:t>A.18. Exceptions to Certification for Paperwork Reduction Act Submissions</w:t>
      </w:r>
      <w:bookmarkEnd w:id="43"/>
      <w:bookmarkEnd w:id="44"/>
    </w:p>
    <w:p w:rsidR="001B0F34" w:rsidP="004825EC" w14:paraId="242E3B9F" w14:textId="77777777"/>
    <w:p w:rsidR="00CA229E" w14:paraId="1CB204A0" w14:textId="77777777">
      <w:pPr>
        <w:rPr>
          <w:rFonts w:eastAsiaTheme="majorEastAsia" w:cstheme="majorBidi"/>
          <w:bCs/>
          <w:sz w:val="36"/>
          <w:szCs w:val="36"/>
        </w:rPr>
      </w:pPr>
      <w:r w:rsidRPr="001B0F34">
        <w:t>There are no exceptions to the certification.</w:t>
      </w:r>
      <w:r w:rsidRPr="001B0F34" w:rsidR="00B81F77">
        <w:t xml:space="preserve"> </w:t>
      </w:r>
      <w:r w:rsidRPr="004C3133" w:rsidR="00B81F77">
        <w:t>These activities comply with the requirements in 5 CFR 1320.9.</w:t>
      </w:r>
      <w:r w:rsidRPr="001B0F34">
        <w:t xml:space="preserve">  </w:t>
      </w:r>
      <w:bookmarkStart w:id="45" w:name="_Toc441505157"/>
      <w:r>
        <w:rPr>
          <w:b/>
          <w:sz w:val="36"/>
          <w:szCs w:val="36"/>
        </w:rPr>
        <w:br w:type="page"/>
      </w:r>
    </w:p>
    <w:p w:rsidR="005E7492" w:rsidP="00F102EB" w14:paraId="74683B00" w14:textId="77777777">
      <w:pPr>
        <w:pStyle w:val="Heading1"/>
        <w:jc w:val="left"/>
        <w:rPr>
          <w:b w:val="0"/>
          <w:sz w:val="36"/>
          <w:szCs w:val="36"/>
        </w:rPr>
      </w:pPr>
      <w:bookmarkStart w:id="46" w:name="_Toc224733950"/>
      <w:r w:rsidRPr="00F102EB">
        <w:rPr>
          <w:b w:val="0"/>
          <w:sz w:val="36"/>
          <w:szCs w:val="36"/>
        </w:rPr>
        <w:t>References</w:t>
      </w:r>
      <w:bookmarkEnd w:id="45"/>
      <w:bookmarkEnd w:id="46"/>
    </w:p>
    <w:p w:rsidR="00F102EB" w:rsidRPr="00F102EB" w:rsidP="00F102EB" w14:paraId="5DAC56C6" w14:textId="77777777"/>
    <w:p w:rsidR="005E7492" w:rsidP="005E7492" w14:paraId="3789D9CC" w14:textId="77777777">
      <w:pPr>
        <w:pStyle w:val="ListParagraph"/>
        <w:numPr>
          <w:ilvl w:val="0"/>
          <w:numId w:val="18"/>
        </w:numPr>
        <w:spacing w:after="200" w:line="276" w:lineRule="auto"/>
      </w:pPr>
      <w:r w:rsidRPr="00DA53F8">
        <w:t>Nat</w:t>
      </w:r>
      <w:r>
        <w:t xml:space="preserve">ional Poison Data System. </w:t>
      </w:r>
      <w:r w:rsidRPr="00DA53F8">
        <w:t xml:space="preserve">Retrieved </w:t>
      </w:r>
      <w:r w:rsidR="007049A1">
        <w:t>27 July 2022</w:t>
      </w:r>
      <w:r w:rsidRPr="00DA53F8">
        <w:t xml:space="preserve"> from </w:t>
      </w:r>
      <w:hyperlink r:id="rId14" w:history="1">
        <w:r w:rsidRPr="00041B65" w:rsidR="00DF3807">
          <w:rPr>
            <w:rStyle w:val="Hyperlink"/>
          </w:rPr>
          <w:t>https://aapcc.org/national-poison-data-system</w:t>
        </w:r>
      </w:hyperlink>
      <w:r w:rsidR="00DF3807">
        <w:t xml:space="preserve"> </w:t>
      </w:r>
    </w:p>
    <w:p w:rsidR="005E7492" w:rsidP="005E7492" w14:paraId="3E754838" w14:textId="77777777">
      <w:pPr>
        <w:pStyle w:val="ListParagraph"/>
        <w:numPr>
          <w:ilvl w:val="0"/>
          <w:numId w:val="18"/>
        </w:numPr>
        <w:spacing w:after="200" w:line="276" w:lineRule="auto"/>
      </w:pPr>
      <w:r w:rsidRPr="00064AE7">
        <w:t>Mowry, J., Spyker, D., Cantilena, L., Mcmillan, N., &amp; Ford, M. (2014). 2013 Annual Report of the American Association of Poison Control Centers’ National Poison Data System (NPDS): 31st Annual Report.</w:t>
      </w:r>
      <w:r w:rsidRPr="00064AE7">
        <w:rPr>
          <w:rFonts w:eastAsiaTheme="majorEastAsia"/>
        </w:rPr>
        <w:t> </w:t>
      </w:r>
      <w:r w:rsidRPr="00E55C91">
        <w:rPr>
          <w:i/>
          <w:iCs/>
        </w:rPr>
        <w:t>Clinical Toxicology,</w:t>
      </w:r>
      <w:r w:rsidRPr="00064AE7">
        <w:rPr>
          <w:rFonts w:eastAsiaTheme="majorEastAsia"/>
        </w:rPr>
        <w:t> </w:t>
      </w:r>
      <w:r w:rsidRPr="00E55C91">
        <w:rPr>
          <w:i/>
          <w:iCs/>
        </w:rPr>
        <w:t>52</w:t>
      </w:r>
      <w:r w:rsidRPr="00064AE7">
        <w:t>, 1032-1283.</w:t>
      </w:r>
    </w:p>
    <w:p w:rsidR="00B92498" w:rsidP="00B92498" w14:paraId="34604F68" w14:textId="77777777">
      <w:pPr>
        <w:pStyle w:val="ListParagraph"/>
        <w:numPr>
          <w:ilvl w:val="0"/>
          <w:numId w:val="18"/>
        </w:numPr>
        <w:spacing w:after="200" w:line="276" w:lineRule="auto"/>
      </w:pPr>
      <w:r>
        <w:t>NPDS Elements</w:t>
      </w:r>
      <w:r w:rsidRPr="00DA53F8">
        <w:t xml:space="preserve">. Retrieved </w:t>
      </w:r>
      <w:r w:rsidR="00E958B7">
        <w:t>27 July 2022</w:t>
      </w:r>
      <w:r w:rsidRPr="00DA53F8">
        <w:t xml:space="preserve"> from </w:t>
      </w:r>
      <w:r w:rsidRPr="008B5F97" w:rsidR="008B5F97">
        <w:t>https://aapcc.org/npds/analytical-products</w:t>
      </w:r>
    </w:p>
    <w:p w:rsidR="005E7492" w:rsidP="00B92498" w14:paraId="6DD3120F" w14:textId="77777777">
      <w:pPr>
        <w:pStyle w:val="ListParagraph"/>
        <w:numPr>
          <w:ilvl w:val="0"/>
          <w:numId w:val="18"/>
        </w:numPr>
        <w:spacing w:after="200" w:line="276" w:lineRule="auto"/>
      </w:pPr>
      <w:r w:rsidRPr="00DA53F8">
        <w:t xml:space="preserve">National Chemical and Radiological Surveillance Program. (2012, January 12). Retrieved </w:t>
      </w:r>
      <w:r w:rsidR="00BE086C">
        <w:t>27 July 2022</w:t>
      </w:r>
      <w:r w:rsidRPr="00DA53F8">
        <w:t xml:space="preserve">, from </w:t>
      </w:r>
      <w:hyperlink r:id="rId15" w:history="1">
        <w:r w:rsidRPr="00054BAB">
          <w:rPr>
            <w:rStyle w:val="Hyperlink"/>
            <w:rFonts w:eastAsiaTheme="minorEastAsia"/>
          </w:rPr>
          <w:t>http://www.cdc.gov/nceh/hsb/chemicals/ncrs.htm</w:t>
        </w:r>
      </w:hyperlink>
      <w:r>
        <w:t>.</w:t>
      </w:r>
    </w:p>
    <w:p w:rsidR="005E7492" w:rsidP="005E7492" w14:paraId="5568BC03" w14:textId="77777777">
      <w:pPr>
        <w:pStyle w:val="ListParagraph"/>
        <w:numPr>
          <w:ilvl w:val="0"/>
          <w:numId w:val="18"/>
        </w:numPr>
        <w:spacing w:after="200" w:line="276" w:lineRule="auto"/>
      </w:pPr>
      <w:r w:rsidRPr="00DA53F8">
        <w:t>Law, R., Sheikh, S., Bronstein, A., Thomas, R., Spiller, H., &amp; Schier, J. (2014). Incidents of potential public health significance identified using national surveillance of US poison center data (2008–2012).</w:t>
      </w:r>
      <w:r w:rsidRPr="00DA53F8">
        <w:rPr>
          <w:rFonts w:eastAsiaTheme="majorEastAsia"/>
        </w:rPr>
        <w:t> </w:t>
      </w:r>
      <w:r w:rsidRPr="00E55C91">
        <w:rPr>
          <w:i/>
          <w:iCs/>
        </w:rPr>
        <w:t>Clinical Toxicology,</w:t>
      </w:r>
      <w:r w:rsidRPr="00DA53F8">
        <w:rPr>
          <w:rFonts w:eastAsiaTheme="majorEastAsia"/>
        </w:rPr>
        <w:t> </w:t>
      </w:r>
      <w:r w:rsidRPr="00E55C91">
        <w:rPr>
          <w:i/>
          <w:iCs/>
        </w:rPr>
        <w:t>52</w:t>
      </w:r>
      <w:r w:rsidRPr="00DA53F8">
        <w:t xml:space="preserve">(9), 958-963. </w:t>
      </w:r>
    </w:p>
    <w:p w:rsidR="005E7492" w:rsidRPr="00E55C91" w:rsidP="005E7492" w14:paraId="2E01B4F4" w14:textId="77777777">
      <w:pPr>
        <w:pStyle w:val="ListParagraph"/>
        <w:numPr>
          <w:ilvl w:val="0"/>
          <w:numId w:val="18"/>
        </w:numPr>
        <w:spacing w:after="200" w:line="276" w:lineRule="auto"/>
      </w:pPr>
      <w:r w:rsidRPr="00E55C91">
        <w:t xml:space="preserve">Law, R., Schier, J., Martin, C., Olivares, D., Thomas, R., Bronstein, A., &amp; Chang, A. (2013). National surveillance for radiological exposures and intentional potassium iodide and iodine product ingestions in the United States associated with the 2011 Japan radiological incident. </w:t>
      </w:r>
      <w:r w:rsidRPr="00E55C91">
        <w:rPr>
          <w:i/>
          <w:iCs/>
        </w:rPr>
        <w:t>Clinical Toxicology,</w:t>
      </w:r>
      <w:r w:rsidRPr="00E55C91">
        <w:t xml:space="preserve"> </w:t>
      </w:r>
      <w:r w:rsidRPr="00E55C91">
        <w:rPr>
          <w:i/>
          <w:iCs/>
        </w:rPr>
        <w:t>51</w:t>
      </w:r>
      <w:r w:rsidRPr="00E55C91">
        <w:t xml:space="preserve">, 41-46. </w:t>
      </w:r>
    </w:p>
    <w:p w:rsidR="005E7492" w:rsidP="005E7492" w14:paraId="1287C3C5" w14:textId="77777777">
      <w:pPr>
        <w:pStyle w:val="ListParagraph"/>
        <w:numPr>
          <w:ilvl w:val="0"/>
          <w:numId w:val="18"/>
        </w:numPr>
        <w:spacing w:after="200" w:line="276" w:lineRule="auto"/>
      </w:pPr>
      <w:r w:rsidRPr="00E55C91">
        <w:t>Centers for Disease Control and Prevention (CDC). Multistate outbreak of</w:t>
      </w:r>
      <w:r>
        <w:t xml:space="preserve"> </w:t>
      </w:r>
      <w:r w:rsidRPr="00E55C91">
        <w:t xml:space="preserve">Salmonella infections associated with peanut butter and peanut butter-containing products--United States, 2008-2009. </w:t>
      </w:r>
      <w:r w:rsidRPr="00E55C91">
        <w:rPr>
          <w:i/>
        </w:rPr>
        <w:t>MMWR Morb Mortal Wkly Rep</w:t>
      </w:r>
      <w:r w:rsidRPr="00E55C91">
        <w:t>. 2009 Feb</w:t>
      </w:r>
      <w:r>
        <w:t xml:space="preserve"> </w:t>
      </w:r>
      <w:r w:rsidRPr="00E55C91">
        <w:t>6;</w:t>
      </w:r>
      <w:r w:rsidRPr="00E55C91">
        <w:rPr>
          <w:i/>
        </w:rPr>
        <w:t>58</w:t>
      </w:r>
      <w:r w:rsidRPr="00E55C91">
        <w:t>(4):85-90.</w:t>
      </w:r>
    </w:p>
    <w:p w:rsidR="00614A7C" w:rsidP="005E7492" w14:paraId="7D6E08D8" w14:textId="77777777">
      <w:pPr>
        <w:pStyle w:val="ListParagraph"/>
        <w:numPr>
          <w:ilvl w:val="0"/>
          <w:numId w:val="18"/>
        </w:numPr>
        <w:spacing w:after="200" w:line="276" w:lineRule="auto"/>
      </w:pPr>
      <w:r w:rsidRPr="00E55C91">
        <w:t>Wolkin, A., Martin, C., Law, R., Schier, J., &amp; Bronstein, A. (2012). Using Poison Center Data for National Public Health Surveillance for Chemical and Poison Exposure and Associated Illness.</w:t>
      </w:r>
      <w:r w:rsidR="00444230">
        <w:t xml:space="preserve"> </w:t>
      </w:r>
      <w:r w:rsidRPr="00E55C91">
        <w:rPr>
          <w:i/>
          <w:iCs/>
        </w:rPr>
        <w:t>Annals of Emergency Medicine,</w:t>
      </w:r>
      <w:r w:rsidRPr="00E55C91">
        <w:rPr>
          <w:rFonts w:eastAsiaTheme="majorEastAsia"/>
        </w:rPr>
        <w:t> </w:t>
      </w:r>
      <w:r w:rsidRPr="00E55C91">
        <w:rPr>
          <w:i/>
          <w:iCs/>
        </w:rPr>
        <w:t>59</w:t>
      </w:r>
      <w:r w:rsidRPr="00E55C91">
        <w:t>(1), 56-61.</w:t>
      </w:r>
    </w:p>
    <w:p w:rsidR="0051762D" w:rsidP="00E12F2A" w14:paraId="01565416" w14:textId="77777777">
      <w:pPr>
        <w:pStyle w:val="ListParagraph"/>
        <w:numPr>
          <w:ilvl w:val="0"/>
          <w:numId w:val="18"/>
        </w:numPr>
        <w:spacing w:after="200" w:line="276" w:lineRule="auto"/>
      </w:pPr>
      <w:r>
        <w:t>Lavery</w:t>
      </w:r>
      <w:r w:rsidR="009B0A2C">
        <w:t xml:space="preserve"> AM. Kiesak S, </w:t>
      </w:r>
      <w:r w:rsidR="00E75ABD">
        <w:t xml:space="preserve">Law R, Bronstein A, Backer L. </w:t>
      </w:r>
      <w:r w:rsidRPr="009B0A2C" w:rsidR="009B0A2C">
        <w:t>Identifying Sources and Risk Factors for Harmful Algal Bloom Exposures through Poison Control Center Follow-up Questionnaires – United States, 2019</w:t>
      </w:r>
      <w:r w:rsidR="00823BF2">
        <w:t xml:space="preserve"> </w:t>
      </w:r>
    </w:p>
    <w:p w:rsidR="00E12F2A" w:rsidP="00E12F2A" w14:paraId="67E48F28" w14:textId="77777777">
      <w:pPr>
        <w:pStyle w:val="ListParagraph"/>
        <w:numPr>
          <w:ilvl w:val="0"/>
          <w:numId w:val="18"/>
        </w:numPr>
        <w:spacing w:after="200" w:line="276" w:lineRule="auto"/>
      </w:pPr>
      <w:r>
        <w:t xml:space="preserve">US Department of Health and Human Services. HHS PRA Waiver Notices. </w:t>
      </w:r>
      <w:r w:rsidRPr="00E23602">
        <w:t xml:space="preserve">https://aspe.hhs.gov/about/pra-waiver-irb-exemption/pra-waiver-notices </w:t>
      </w:r>
      <w:r>
        <w:t xml:space="preserve"> </w:t>
      </w:r>
    </w:p>
    <w:p w:rsidR="00E12F2A" w:rsidP="00E12F2A" w14:paraId="4654D018" w14:textId="77777777">
      <w:pPr>
        <w:pStyle w:val="ListParagraph"/>
        <w:spacing w:after="200" w:line="276" w:lineRule="auto"/>
      </w:pPr>
    </w:p>
    <w:p w:rsidR="00444230" w:rsidRPr="00E02610" w:rsidP="00E02610" w14:paraId="3EBFF080" w14:textId="77777777">
      <w:pPr>
        <w:rPr>
          <w:sz w:val="24"/>
          <w:szCs w:val="24"/>
        </w:rPr>
      </w:pPr>
    </w:p>
    <w:sectPr w:rsidSect="004825E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07B" w14:paraId="094686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0835642"/>
      <w:docPartObj>
        <w:docPartGallery w:val="Page Numbers (Bottom of Page)"/>
        <w:docPartUnique/>
      </w:docPartObj>
    </w:sdtPr>
    <w:sdtContent>
      <w:sdt>
        <w:sdtPr>
          <w:id w:val="860082579"/>
          <w:docPartObj>
            <w:docPartGallery w:val="Page Numbers (Top of Page)"/>
            <w:docPartUnique/>
          </w:docPartObj>
        </w:sdtPr>
        <w:sdtContent>
          <w:p w:rsidR="00753B1E" w14:paraId="363870D4" w14:textId="77777777">
            <w:pPr>
              <w:pStyle w:val="Footer"/>
              <w:jc w:val="right"/>
            </w:pPr>
            <w:r>
              <w:t>P</w:t>
            </w:r>
            <w:r w:rsidRPr="00697C23">
              <w:t xml:space="preserve">age </w:t>
            </w:r>
            <w:r w:rsidRPr="00697C23">
              <w:rPr>
                <w:b/>
                <w:bCs/>
              </w:rPr>
              <w:fldChar w:fldCharType="begin"/>
            </w:r>
            <w:r w:rsidRPr="00697C23">
              <w:rPr>
                <w:b/>
                <w:bCs/>
              </w:rPr>
              <w:instrText xml:space="preserve"> PAGE </w:instrText>
            </w:r>
            <w:r w:rsidRPr="00697C23">
              <w:rPr>
                <w:b/>
                <w:bCs/>
              </w:rPr>
              <w:fldChar w:fldCharType="separate"/>
            </w:r>
            <w:r>
              <w:rPr>
                <w:b/>
                <w:bCs/>
                <w:noProof/>
              </w:rPr>
              <w:t>7</w:t>
            </w:r>
            <w:r w:rsidRPr="00697C23">
              <w:rPr>
                <w:b/>
                <w:bCs/>
              </w:rPr>
              <w:fldChar w:fldCharType="end"/>
            </w:r>
            <w:r w:rsidRPr="00697C23">
              <w:t xml:space="preserve"> of </w:t>
            </w:r>
            <w:r w:rsidRPr="00697C23">
              <w:rPr>
                <w:b/>
                <w:bCs/>
              </w:rPr>
              <w:fldChar w:fldCharType="begin"/>
            </w:r>
            <w:r w:rsidRPr="00697C23">
              <w:rPr>
                <w:b/>
                <w:bCs/>
              </w:rPr>
              <w:instrText xml:space="preserve"> NUMPAGES  </w:instrText>
            </w:r>
            <w:r w:rsidRPr="00697C23">
              <w:rPr>
                <w:b/>
                <w:bCs/>
              </w:rPr>
              <w:fldChar w:fldCharType="separate"/>
            </w:r>
            <w:r>
              <w:rPr>
                <w:b/>
                <w:bCs/>
                <w:noProof/>
              </w:rPr>
              <w:t>19</w:t>
            </w:r>
            <w:r w:rsidRPr="00697C23">
              <w:rPr>
                <w:b/>
                <w:bCs/>
              </w:rPr>
              <w:fldChar w:fldCharType="end"/>
            </w:r>
          </w:p>
        </w:sdtContent>
      </w:sdt>
    </w:sdtContent>
  </w:sdt>
  <w:p w:rsidR="00753B1E" w14:paraId="2E4D55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07B" w14:paraId="131426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0A12" w:rsidP="00727598" w14:paraId="0DB222AF" w14:textId="77777777">
      <w:pPr>
        <w:spacing w:after="0" w:line="240" w:lineRule="auto"/>
      </w:pPr>
      <w:r>
        <w:separator/>
      </w:r>
    </w:p>
  </w:footnote>
  <w:footnote w:type="continuationSeparator" w:id="1">
    <w:p w:rsidR="005D0A12" w:rsidP="00727598" w14:paraId="62531414" w14:textId="77777777">
      <w:pPr>
        <w:spacing w:after="0" w:line="240" w:lineRule="auto"/>
      </w:pPr>
      <w:r>
        <w:continuationSeparator/>
      </w:r>
    </w:p>
  </w:footnote>
  <w:footnote w:type="continuationNotice" w:id="2">
    <w:p w:rsidR="005D0A12" w14:paraId="3F8A30A2" w14:textId="77777777">
      <w:pPr>
        <w:spacing w:after="0" w:line="240" w:lineRule="auto"/>
      </w:pPr>
    </w:p>
  </w:footnote>
  <w:footnote w:id="3">
    <w:p w:rsidR="00DC25BF" w14:paraId="41B32E50" w14:textId="77777777">
      <w:pPr>
        <w:pStyle w:val="FootnoteText"/>
      </w:pPr>
      <w:r>
        <w:rPr>
          <w:rStyle w:val="FootnoteReference"/>
        </w:rPr>
        <w:footnoteRef/>
      </w:r>
      <w:r>
        <w:t xml:space="preserve"> </w:t>
      </w:r>
      <w:r w:rsidRPr="00481985">
        <w:rPr>
          <w:sz w:val="16"/>
          <w:szCs w:val="16"/>
        </w:rPr>
        <w:t>5 CFR part 1320.3(b)(2)</w:t>
      </w:r>
      <w:r>
        <w:rPr>
          <w:sz w:val="16"/>
          <w:szCs w:val="16"/>
        </w:rPr>
        <w:t xml:space="preserve">: </w:t>
      </w:r>
      <w:r w:rsidRPr="00481985">
        <w:rPr>
          <w:i/>
          <w:sz w:val="16"/>
          <w:szCs w:val="16"/>
        </w:rPr>
        <w:t>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07B" w14:paraId="1AAE46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07B" w14:paraId="007125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07B" w14:paraId="6BCBB8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F214A"/>
    <w:multiLevelType w:val="hybridMultilevel"/>
    <w:tmpl w:val="82D48B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8012F1"/>
    <w:multiLevelType w:val="hybridMultilevel"/>
    <w:tmpl w:val="BC58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BD68DF"/>
    <w:multiLevelType w:val="hybridMultilevel"/>
    <w:tmpl w:val="EE42D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385B72"/>
    <w:multiLevelType w:val="hybridMultilevel"/>
    <w:tmpl w:val="BD6A0C80"/>
    <w:lvl w:ilvl="0">
      <w:start w:val="1"/>
      <w:numFmt w:val="upp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A87969"/>
    <w:multiLevelType w:val="hybridMultilevel"/>
    <w:tmpl w:val="39DC0E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7150A0"/>
    <w:multiLevelType w:val="hybridMultilevel"/>
    <w:tmpl w:val="A7D417C8"/>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CC1DEE"/>
    <w:multiLevelType w:val="hybridMultilevel"/>
    <w:tmpl w:val="A81CB96E"/>
    <w:lvl w:ilvl="0">
      <w:start w:val="12"/>
      <w:numFmt w:val="bullet"/>
      <w:lvlText w:val="-"/>
      <w:lvlJc w:val="left"/>
      <w:pPr>
        <w:ind w:left="720" w:hanging="360"/>
      </w:pPr>
      <w:rPr>
        <w:rFonts w:ascii="Cambria" w:hAnsi="Cambria"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456ED2"/>
    <w:multiLevelType w:val="hybridMultilevel"/>
    <w:tmpl w:val="68E21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2D28C0"/>
    <w:multiLevelType w:val="hybridMultilevel"/>
    <w:tmpl w:val="0778D1D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F219F2"/>
    <w:multiLevelType w:val="hybridMultilevel"/>
    <w:tmpl w:val="316AF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946AD3"/>
    <w:multiLevelType w:val="multilevel"/>
    <w:tmpl w:val="DD4EB4C0"/>
    <w:lvl w:ilvl="0">
      <w:start w:val="1"/>
      <w:numFmt w:val="decimal"/>
      <w:pStyle w:val="Heading4"/>
      <w:lvlText w:val="%1."/>
      <w:lvlJc w:val="left"/>
      <w:pPr>
        <w:ind w:left="36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1E670789"/>
    <w:multiLevelType w:val="hybridMultilevel"/>
    <w:tmpl w:val="9FDEAD0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651F56"/>
    <w:multiLevelType w:val="hybridMultilevel"/>
    <w:tmpl w:val="8FFC2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0EC4164"/>
    <w:multiLevelType w:val="hybridMultilevel"/>
    <w:tmpl w:val="99C0F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BC3EB6"/>
    <w:multiLevelType w:val="hybridMultilevel"/>
    <w:tmpl w:val="63227D3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EB41BF"/>
    <w:multiLevelType w:val="hybridMultilevel"/>
    <w:tmpl w:val="F6C6AB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B20458"/>
    <w:multiLevelType w:val="hybridMultilevel"/>
    <w:tmpl w:val="7A9E845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1C57C1"/>
    <w:multiLevelType w:val="hybridMultilevel"/>
    <w:tmpl w:val="D152E5F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1330E1"/>
    <w:multiLevelType w:val="hybridMultilevel"/>
    <w:tmpl w:val="D4B85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260B9B"/>
    <w:multiLevelType w:val="hybridMultilevel"/>
    <w:tmpl w:val="032050E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206D86"/>
    <w:multiLevelType w:val="hybridMultilevel"/>
    <w:tmpl w:val="1214F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3C1B46"/>
    <w:multiLevelType w:val="hybridMultilevel"/>
    <w:tmpl w:val="22B4D7F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DF03DC"/>
    <w:multiLevelType w:val="hybridMultilevel"/>
    <w:tmpl w:val="A07637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3F432D"/>
    <w:multiLevelType w:val="hybridMultilevel"/>
    <w:tmpl w:val="90C8D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883625"/>
    <w:multiLevelType w:val="hybridMultilevel"/>
    <w:tmpl w:val="E4567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8522FB4"/>
    <w:multiLevelType w:val="hybridMultilevel"/>
    <w:tmpl w:val="759A29A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1618D0"/>
    <w:multiLevelType w:val="hybridMultilevel"/>
    <w:tmpl w:val="53CC0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5E5E6B"/>
    <w:multiLevelType w:val="hybridMultilevel"/>
    <w:tmpl w:val="EE6AECC8"/>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DD5262A"/>
    <w:multiLevelType w:val="hybridMultilevel"/>
    <w:tmpl w:val="AF8407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E263B6B"/>
    <w:multiLevelType w:val="hybridMultilevel"/>
    <w:tmpl w:val="92EC057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F13E60"/>
    <w:multiLevelType w:val="hybridMultilevel"/>
    <w:tmpl w:val="618C91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57C37AE"/>
    <w:multiLevelType w:val="hybridMultilevel"/>
    <w:tmpl w:val="01AED0A4"/>
    <w:lvl w:ilvl="0">
      <w:start w:val="0"/>
      <w:numFmt w:val="bullet"/>
      <w:lvlText w:val="-"/>
      <w:lvlJc w:val="left"/>
      <w:pPr>
        <w:ind w:left="720" w:hanging="360"/>
      </w:pPr>
      <w:rPr>
        <w:rFonts w:ascii="Cambria" w:hAnsi="Cambria"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91A7763"/>
    <w:multiLevelType w:val="hybridMultilevel"/>
    <w:tmpl w:val="CDCA3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510002"/>
    <w:multiLevelType w:val="hybridMultilevel"/>
    <w:tmpl w:val="09E03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1C0745"/>
    <w:multiLevelType w:val="hybridMultilevel"/>
    <w:tmpl w:val="2F147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4F2654"/>
    <w:multiLevelType w:val="hybridMultilevel"/>
    <w:tmpl w:val="154EA888"/>
    <w:lvl w:ilvl="0">
      <w:start w:val="2"/>
      <w:numFmt w:val="decimal"/>
      <w:pStyle w:val="Heading2"/>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40436CE"/>
    <w:multiLevelType w:val="hybridMultilevel"/>
    <w:tmpl w:val="00E48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2E0BD1"/>
    <w:multiLevelType w:val="hybridMultilevel"/>
    <w:tmpl w:val="F06870AA"/>
    <w:lvl w:ilvl="0">
      <w:start w:val="1"/>
      <w:numFmt w:val="decimal"/>
      <w:lvlText w:val="%1."/>
      <w:lvlJc w:val="left"/>
      <w:pPr>
        <w:ind w:left="3690" w:hanging="360"/>
      </w:pPr>
    </w:lvl>
    <w:lvl w:ilvl="1" w:tentative="1">
      <w:start w:val="1"/>
      <w:numFmt w:val="lowerLetter"/>
      <w:lvlText w:val="%2."/>
      <w:lvlJc w:val="left"/>
      <w:pPr>
        <w:ind w:left="4410" w:hanging="360"/>
      </w:pPr>
    </w:lvl>
    <w:lvl w:ilvl="2" w:tentative="1">
      <w:start w:val="1"/>
      <w:numFmt w:val="lowerRoman"/>
      <w:lvlText w:val="%3."/>
      <w:lvlJc w:val="right"/>
      <w:pPr>
        <w:ind w:left="5130" w:hanging="180"/>
      </w:pPr>
    </w:lvl>
    <w:lvl w:ilvl="3" w:tentative="1">
      <w:start w:val="1"/>
      <w:numFmt w:val="decimal"/>
      <w:lvlText w:val="%4."/>
      <w:lvlJc w:val="left"/>
      <w:pPr>
        <w:ind w:left="5850" w:hanging="360"/>
      </w:pPr>
    </w:lvl>
    <w:lvl w:ilvl="4" w:tentative="1">
      <w:start w:val="1"/>
      <w:numFmt w:val="lowerLetter"/>
      <w:lvlText w:val="%5."/>
      <w:lvlJc w:val="left"/>
      <w:pPr>
        <w:ind w:left="6570" w:hanging="360"/>
      </w:pPr>
    </w:lvl>
    <w:lvl w:ilvl="5" w:tentative="1">
      <w:start w:val="1"/>
      <w:numFmt w:val="lowerRoman"/>
      <w:lvlText w:val="%6."/>
      <w:lvlJc w:val="right"/>
      <w:pPr>
        <w:ind w:left="7290" w:hanging="180"/>
      </w:pPr>
    </w:lvl>
    <w:lvl w:ilvl="6" w:tentative="1">
      <w:start w:val="1"/>
      <w:numFmt w:val="decimal"/>
      <w:lvlText w:val="%7."/>
      <w:lvlJc w:val="left"/>
      <w:pPr>
        <w:ind w:left="8010" w:hanging="360"/>
      </w:pPr>
    </w:lvl>
    <w:lvl w:ilvl="7" w:tentative="1">
      <w:start w:val="1"/>
      <w:numFmt w:val="lowerLetter"/>
      <w:lvlText w:val="%8."/>
      <w:lvlJc w:val="left"/>
      <w:pPr>
        <w:ind w:left="8730" w:hanging="360"/>
      </w:pPr>
    </w:lvl>
    <w:lvl w:ilvl="8" w:tentative="1">
      <w:start w:val="1"/>
      <w:numFmt w:val="lowerRoman"/>
      <w:lvlText w:val="%9."/>
      <w:lvlJc w:val="right"/>
      <w:pPr>
        <w:ind w:left="9450" w:hanging="180"/>
      </w:pPr>
    </w:lvl>
  </w:abstractNum>
  <w:abstractNum w:abstractNumId="38">
    <w:nsid w:val="6B9E6941"/>
    <w:multiLevelType w:val="hybridMultilevel"/>
    <w:tmpl w:val="6986AAA0"/>
    <w:lvl w:ilvl="0">
      <w:start w:val="1"/>
      <w:numFmt w:val="decimal"/>
      <w:lvlText w:val="%1."/>
      <w:lvlJc w:val="left"/>
      <w:pPr>
        <w:ind w:left="117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CB955EE"/>
    <w:multiLevelType w:val="hybridMultilevel"/>
    <w:tmpl w:val="2CBA2740"/>
    <w:lvl w:ilvl="0">
      <w:start w:val="0"/>
      <w:numFmt w:val="bullet"/>
      <w:lvlText w:val="-"/>
      <w:lvlJc w:val="left"/>
      <w:pPr>
        <w:ind w:left="720" w:hanging="360"/>
      </w:pPr>
      <w:rPr>
        <w:rFonts w:ascii="Cambria" w:hAnsi="Cambria"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FCF2B1E"/>
    <w:multiLevelType w:val="hybridMultilevel"/>
    <w:tmpl w:val="AE661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8286EF5"/>
    <w:multiLevelType w:val="hybridMultilevel"/>
    <w:tmpl w:val="EFCAAE32"/>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42">
    <w:nsid w:val="7CC6126A"/>
    <w:multiLevelType w:val="hybridMultilevel"/>
    <w:tmpl w:val="5B3689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DA159D4"/>
    <w:multiLevelType w:val="hybridMultilevel"/>
    <w:tmpl w:val="CD721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F362168"/>
    <w:multiLevelType w:val="hybridMultilevel"/>
    <w:tmpl w:val="5B1A8D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73549881">
    <w:abstractNumId w:val="10"/>
  </w:num>
  <w:num w:numId="2" w16cid:durableId="1023284915">
    <w:abstractNumId w:val="4"/>
  </w:num>
  <w:num w:numId="3" w16cid:durableId="964891535">
    <w:abstractNumId w:val="32"/>
  </w:num>
  <w:num w:numId="4" w16cid:durableId="297272229">
    <w:abstractNumId w:val="30"/>
  </w:num>
  <w:num w:numId="5" w16cid:durableId="114183472">
    <w:abstractNumId w:val="3"/>
  </w:num>
  <w:num w:numId="6" w16cid:durableId="1693845571">
    <w:abstractNumId w:val="23"/>
  </w:num>
  <w:num w:numId="7" w16cid:durableId="798718372">
    <w:abstractNumId w:val="10"/>
  </w:num>
  <w:num w:numId="8" w16cid:durableId="1373115301">
    <w:abstractNumId w:val="2"/>
  </w:num>
  <w:num w:numId="9" w16cid:durableId="1150823169">
    <w:abstractNumId w:val="33"/>
  </w:num>
  <w:num w:numId="10" w16cid:durableId="2091345311">
    <w:abstractNumId w:val="11"/>
  </w:num>
  <w:num w:numId="11" w16cid:durableId="499202722">
    <w:abstractNumId w:val="39"/>
  </w:num>
  <w:num w:numId="12" w16cid:durableId="1401291889">
    <w:abstractNumId w:val="37"/>
  </w:num>
  <w:num w:numId="13" w16cid:durableId="1373267574">
    <w:abstractNumId w:val="16"/>
  </w:num>
  <w:num w:numId="14" w16cid:durableId="1663243268">
    <w:abstractNumId w:val="13"/>
  </w:num>
  <w:num w:numId="15" w16cid:durableId="1047946945">
    <w:abstractNumId w:val="29"/>
  </w:num>
  <w:num w:numId="16" w16cid:durableId="1482308318">
    <w:abstractNumId w:val="7"/>
  </w:num>
  <w:num w:numId="17" w16cid:durableId="2007317678">
    <w:abstractNumId w:val="21"/>
  </w:num>
  <w:num w:numId="18" w16cid:durableId="404959283">
    <w:abstractNumId w:val="22"/>
  </w:num>
  <w:num w:numId="19" w16cid:durableId="902443462">
    <w:abstractNumId w:val="1"/>
  </w:num>
  <w:num w:numId="20" w16cid:durableId="596064408">
    <w:abstractNumId w:val="6"/>
  </w:num>
  <w:num w:numId="21" w16cid:durableId="1559323157">
    <w:abstractNumId w:val="10"/>
  </w:num>
  <w:num w:numId="22" w16cid:durableId="488063899">
    <w:abstractNumId w:val="35"/>
  </w:num>
  <w:num w:numId="23" w16cid:durableId="870411216">
    <w:abstractNumId w:val="28"/>
  </w:num>
  <w:num w:numId="24" w16cid:durableId="348800488">
    <w:abstractNumId w:val="26"/>
  </w:num>
  <w:num w:numId="25" w16cid:durableId="759326853">
    <w:abstractNumId w:val="42"/>
  </w:num>
  <w:num w:numId="26" w16cid:durableId="1071195603">
    <w:abstractNumId w:val="40"/>
  </w:num>
  <w:num w:numId="27" w16cid:durableId="2073850237">
    <w:abstractNumId w:val="17"/>
  </w:num>
  <w:num w:numId="28" w16cid:durableId="45764842">
    <w:abstractNumId w:val="8"/>
  </w:num>
  <w:num w:numId="29" w16cid:durableId="1694334903">
    <w:abstractNumId w:val="35"/>
  </w:num>
  <w:num w:numId="30" w16cid:durableId="206339745">
    <w:abstractNumId w:val="31"/>
  </w:num>
  <w:num w:numId="31" w16cid:durableId="615252425">
    <w:abstractNumId w:val="35"/>
  </w:num>
  <w:num w:numId="32" w16cid:durableId="2096052772">
    <w:abstractNumId w:val="0"/>
  </w:num>
  <w:num w:numId="33" w16cid:durableId="854657516">
    <w:abstractNumId w:val="14"/>
  </w:num>
  <w:num w:numId="34" w16cid:durableId="1156991071">
    <w:abstractNumId w:val="25"/>
  </w:num>
  <w:num w:numId="35" w16cid:durableId="956832995">
    <w:abstractNumId w:val="12"/>
  </w:num>
  <w:num w:numId="36" w16cid:durableId="72435550">
    <w:abstractNumId w:val="38"/>
  </w:num>
  <w:num w:numId="37" w16cid:durableId="49378194">
    <w:abstractNumId w:val="27"/>
  </w:num>
  <w:num w:numId="38" w16cid:durableId="311641981">
    <w:abstractNumId w:val="5"/>
  </w:num>
  <w:num w:numId="39" w16cid:durableId="635061232">
    <w:abstractNumId w:val="15"/>
  </w:num>
  <w:num w:numId="40" w16cid:durableId="1657563607">
    <w:abstractNumId w:val="44"/>
  </w:num>
  <w:num w:numId="41" w16cid:durableId="1740324055">
    <w:abstractNumId w:val="12"/>
  </w:num>
  <w:num w:numId="42" w16cid:durableId="1483307115">
    <w:abstractNumId w:val="19"/>
  </w:num>
  <w:num w:numId="43" w16cid:durableId="1587181366">
    <w:abstractNumId w:val="34"/>
  </w:num>
  <w:num w:numId="44" w16cid:durableId="323047057">
    <w:abstractNumId w:val="36"/>
  </w:num>
  <w:num w:numId="45" w16cid:durableId="199973935">
    <w:abstractNumId w:val="41"/>
  </w:num>
  <w:num w:numId="46" w16cid:durableId="360207790">
    <w:abstractNumId w:val="43"/>
  </w:num>
  <w:num w:numId="47" w16cid:durableId="811092760">
    <w:abstractNumId w:val="9"/>
  </w:num>
  <w:num w:numId="48" w16cid:durableId="535848069">
    <w:abstractNumId w:val="18"/>
  </w:num>
  <w:num w:numId="49" w16cid:durableId="1065757972">
    <w:abstractNumId w:val="20"/>
  </w:num>
  <w:num w:numId="50" w16cid:durableId="19286156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D2"/>
    <w:rsid w:val="0000096F"/>
    <w:rsid w:val="0000165A"/>
    <w:rsid w:val="000020D0"/>
    <w:rsid w:val="00003D46"/>
    <w:rsid w:val="00004CD2"/>
    <w:rsid w:val="00005038"/>
    <w:rsid w:val="00005568"/>
    <w:rsid w:val="00007521"/>
    <w:rsid w:val="000077A5"/>
    <w:rsid w:val="00011628"/>
    <w:rsid w:val="00011824"/>
    <w:rsid w:val="00011A1A"/>
    <w:rsid w:val="00013839"/>
    <w:rsid w:val="00014308"/>
    <w:rsid w:val="000145D0"/>
    <w:rsid w:val="0001466A"/>
    <w:rsid w:val="000148CE"/>
    <w:rsid w:val="00014F34"/>
    <w:rsid w:val="00015564"/>
    <w:rsid w:val="00017C6B"/>
    <w:rsid w:val="00021722"/>
    <w:rsid w:val="00022B15"/>
    <w:rsid w:val="00022F45"/>
    <w:rsid w:val="00026B99"/>
    <w:rsid w:val="0003021F"/>
    <w:rsid w:val="00031EA3"/>
    <w:rsid w:val="0003282F"/>
    <w:rsid w:val="000329B2"/>
    <w:rsid w:val="00035CE9"/>
    <w:rsid w:val="00036812"/>
    <w:rsid w:val="00036F8F"/>
    <w:rsid w:val="00040793"/>
    <w:rsid w:val="00041AC8"/>
    <w:rsid w:val="00041B65"/>
    <w:rsid w:val="0004390E"/>
    <w:rsid w:val="00044319"/>
    <w:rsid w:val="00044487"/>
    <w:rsid w:val="00044944"/>
    <w:rsid w:val="0004513C"/>
    <w:rsid w:val="0004518A"/>
    <w:rsid w:val="000472C9"/>
    <w:rsid w:val="00047853"/>
    <w:rsid w:val="00050092"/>
    <w:rsid w:val="0005255B"/>
    <w:rsid w:val="00054BAB"/>
    <w:rsid w:val="00056E47"/>
    <w:rsid w:val="0006001B"/>
    <w:rsid w:val="00060DD1"/>
    <w:rsid w:val="00061427"/>
    <w:rsid w:val="000621DC"/>
    <w:rsid w:val="00062418"/>
    <w:rsid w:val="00064993"/>
    <w:rsid w:val="00064AE7"/>
    <w:rsid w:val="00066337"/>
    <w:rsid w:val="00066D0F"/>
    <w:rsid w:val="00066E2A"/>
    <w:rsid w:val="000675C8"/>
    <w:rsid w:val="00067C54"/>
    <w:rsid w:val="000705EF"/>
    <w:rsid w:val="00071C14"/>
    <w:rsid w:val="0007307A"/>
    <w:rsid w:val="00073359"/>
    <w:rsid w:val="00074987"/>
    <w:rsid w:val="0007567C"/>
    <w:rsid w:val="00076E7F"/>
    <w:rsid w:val="00077518"/>
    <w:rsid w:val="00077B58"/>
    <w:rsid w:val="00081D51"/>
    <w:rsid w:val="0008297D"/>
    <w:rsid w:val="00083031"/>
    <w:rsid w:val="0008418C"/>
    <w:rsid w:val="0008433A"/>
    <w:rsid w:val="00085533"/>
    <w:rsid w:val="00085AC2"/>
    <w:rsid w:val="000866A6"/>
    <w:rsid w:val="00086BBE"/>
    <w:rsid w:val="00087A1C"/>
    <w:rsid w:val="00090BC7"/>
    <w:rsid w:val="000912F3"/>
    <w:rsid w:val="000925F9"/>
    <w:rsid w:val="00092CB8"/>
    <w:rsid w:val="00095384"/>
    <w:rsid w:val="00095E2F"/>
    <w:rsid w:val="00097A0D"/>
    <w:rsid w:val="00097A23"/>
    <w:rsid w:val="000A017A"/>
    <w:rsid w:val="000A2157"/>
    <w:rsid w:val="000A49E6"/>
    <w:rsid w:val="000A6677"/>
    <w:rsid w:val="000A6A18"/>
    <w:rsid w:val="000B12B4"/>
    <w:rsid w:val="000B1CBE"/>
    <w:rsid w:val="000B2341"/>
    <w:rsid w:val="000B247C"/>
    <w:rsid w:val="000B32F0"/>
    <w:rsid w:val="000B43CB"/>
    <w:rsid w:val="000B519F"/>
    <w:rsid w:val="000B533F"/>
    <w:rsid w:val="000B5ACA"/>
    <w:rsid w:val="000B68BD"/>
    <w:rsid w:val="000C00A5"/>
    <w:rsid w:val="000C06B5"/>
    <w:rsid w:val="000C1815"/>
    <w:rsid w:val="000C5770"/>
    <w:rsid w:val="000C7FCA"/>
    <w:rsid w:val="000D11BF"/>
    <w:rsid w:val="000D11FD"/>
    <w:rsid w:val="000D12CF"/>
    <w:rsid w:val="000D31DA"/>
    <w:rsid w:val="000D347A"/>
    <w:rsid w:val="000D4769"/>
    <w:rsid w:val="000D4BB7"/>
    <w:rsid w:val="000E075D"/>
    <w:rsid w:val="000E3E76"/>
    <w:rsid w:val="000E579F"/>
    <w:rsid w:val="000E5F2A"/>
    <w:rsid w:val="000F1A61"/>
    <w:rsid w:val="000F6896"/>
    <w:rsid w:val="000F774E"/>
    <w:rsid w:val="00101571"/>
    <w:rsid w:val="001016F1"/>
    <w:rsid w:val="00101A3C"/>
    <w:rsid w:val="0010223C"/>
    <w:rsid w:val="00102660"/>
    <w:rsid w:val="00103CBC"/>
    <w:rsid w:val="00104E66"/>
    <w:rsid w:val="00105C62"/>
    <w:rsid w:val="001109C5"/>
    <w:rsid w:val="00110C50"/>
    <w:rsid w:val="0011131E"/>
    <w:rsid w:val="00112407"/>
    <w:rsid w:val="00114C29"/>
    <w:rsid w:val="00115397"/>
    <w:rsid w:val="00115665"/>
    <w:rsid w:val="001156EF"/>
    <w:rsid w:val="00116982"/>
    <w:rsid w:val="00120D18"/>
    <w:rsid w:val="00123FEA"/>
    <w:rsid w:val="0012442B"/>
    <w:rsid w:val="00124F7C"/>
    <w:rsid w:val="0012642C"/>
    <w:rsid w:val="00126F78"/>
    <w:rsid w:val="0012720F"/>
    <w:rsid w:val="00130CAE"/>
    <w:rsid w:val="001321C2"/>
    <w:rsid w:val="00133846"/>
    <w:rsid w:val="00133CAA"/>
    <w:rsid w:val="00133FF0"/>
    <w:rsid w:val="00134599"/>
    <w:rsid w:val="001346EB"/>
    <w:rsid w:val="00142346"/>
    <w:rsid w:val="00142CDE"/>
    <w:rsid w:val="00142D24"/>
    <w:rsid w:val="00143E1D"/>
    <w:rsid w:val="00144A1C"/>
    <w:rsid w:val="00145534"/>
    <w:rsid w:val="00146C02"/>
    <w:rsid w:val="00147DE1"/>
    <w:rsid w:val="00147FD3"/>
    <w:rsid w:val="00150EC2"/>
    <w:rsid w:val="0015552C"/>
    <w:rsid w:val="00156E2E"/>
    <w:rsid w:val="00160032"/>
    <w:rsid w:val="00162CCB"/>
    <w:rsid w:val="00163696"/>
    <w:rsid w:val="00164877"/>
    <w:rsid w:val="00164EF2"/>
    <w:rsid w:val="001651E3"/>
    <w:rsid w:val="00165B1C"/>
    <w:rsid w:val="00165B25"/>
    <w:rsid w:val="00166543"/>
    <w:rsid w:val="001678E9"/>
    <w:rsid w:val="001718D9"/>
    <w:rsid w:val="001720B1"/>
    <w:rsid w:val="00172C16"/>
    <w:rsid w:val="00173612"/>
    <w:rsid w:val="00174B19"/>
    <w:rsid w:val="00176350"/>
    <w:rsid w:val="001768B4"/>
    <w:rsid w:val="00176A5E"/>
    <w:rsid w:val="00181204"/>
    <w:rsid w:val="00181215"/>
    <w:rsid w:val="00181F2D"/>
    <w:rsid w:val="001826BB"/>
    <w:rsid w:val="001837AA"/>
    <w:rsid w:val="001855EA"/>
    <w:rsid w:val="001858CE"/>
    <w:rsid w:val="001867B9"/>
    <w:rsid w:val="0018738A"/>
    <w:rsid w:val="00187D43"/>
    <w:rsid w:val="001923FD"/>
    <w:rsid w:val="00194B53"/>
    <w:rsid w:val="001953FA"/>
    <w:rsid w:val="00195F39"/>
    <w:rsid w:val="001A4605"/>
    <w:rsid w:val="001A4BD2"/>
    <w:rsid w:val="001A5603"/>
    <w:rsid w:val="001A5F87"/>
    <w:rsid w:val="001A6298"/>
    <w:rsid w:val="001A6D95"/>
    <w:rsid w:val="001A72BD"/>
    <w:rsid w:val="001A76E3"/>
    <w:rsid w:val="001B0D53"/>
    <w:rsid w:val="001B0F34"/>
    <w:rsid w:val="001B2872"/>
    <w:rsid w:val="001B28EC"/>
    <w:rsid w:val="001B3593"/>
    <w:rsid w:val="001B3813"/>
    <w:rsid w:val="001B430A"/>
    <w:rsid w:val="001B6650"/>
    <w:rsid w:val="001B673E"/>
    <w:rsid w:val="001B688A"/>
    <w:rsid w:val="001B6DCF"/>
    <w:rsid w:val="001B7365"/>
    <w:rsid w:val="001C015B"/>
    <w:rsid w:val="001C3689"/>
    <w:rsid w:val="001C41F6"/>
    <w:rsid w:val="001C51C8"/>
    <w:rsid w:val="001C54A1"/>
    <w:rsid w:val="001C70D1"/>
    <w:rsid w:val="001C71DD"/>
    <w:rsid w:val="001C7785"/>
    <w:rsid w:val="001D0774"/>
    <w:rsid w:val="001D124D"/>
    <w:rsid w:val="001D1C8F"/>
    <w:rsid w:val="001D243D"/>
    <w:rsid w:val="001D42CA"/>
    <w:rsid w:val="001D5861"/>
    <w:rsid w:val="001D6022"/>
    <w:rsid w:val="001D6CE3"/>
    <w:rsid w:val="001D78AB"/>
    <w:rsid w:val="001E1320"/>
    <w:rsid w:val="001E3F75"/>
    <w:rsid w:val="001E5DE5"/>
    <w:rsid w:val="001F0494"/>
    <w:rsid w:val="001F0B4E"/>
    <w:rsid w:val="001F2F4F"/>
    <w:rsid w:val="001F4541"/>
    <w:rsid w:val="001F4802"/>
    <w:rsid w:val="001F7312"/>
    <w:rsid w:val="001F779A"/>
    <w:rsid w:val="002003E2"/>
    <w:rsid w:val="00202B64"/>
    <w:rsid w:val="00203E27"/>
    <w:rsid w:val="00204D06"/>
    <w:rsid w:val="0020514F"/>
    <w:rsid w:val="00205BCA"/>
    <w:rsid w:val="00206A08"/>
    <w:rsid w:val="002070E4"/>
    <w:rsid w:val="00207D42"/>
    <w:rsid w:val="002111E6"/>
    <w:rsid w:val="00213EB2"/>
    <w:rsid w:val="00215A66"/>
    <w:rsid w:val="00217481"/>
    <w:rsid w:val="00220E77"/>
    <w:rsid w:val="002215B4"/>
    <w:rsid w:val="002224E4"/>
    <w:rsid w:val="00222CEA"/>
    <w:rsid w:val="002230B4"/>
    <w:rsid w:val="002256B2"/>
    <w:rsid w:val="00227E1C"/>
    <w:rsid w:val="00232998"/>
    <w:rsid w:val="00233A11"/>
    <w:rsid w:val="00234B76"/>
    <w:rsid w:val="0023531D"/>
    <w:rsid w:val="0023570E"/>
    <w:rsid w:val="00240235"/>
    <w:rsid w:val="00240A44"/>
    <w:rsid w:val="00240EA7"/>
    <w:rsid w:val="00241FBB"/>
    <w:rsid w:val="00243027"/>
    <w:rsid w:val="002439FD"/>
    <w:rsid w:val="0024503A"/>
    <w:rsid w:val="00246C81"/>
    <w:rsid w:val="00246D1A"/>
    <w:rsid w:val="0025006A"/>
    <w:rsid w:val="00250C91"/>
    <w:rsid w:val="0025411F"/>
    <w:rsid w:val="002547B4"/>
    <w:rsid w:val="00254D98"/>
    <w:rsid w:val="002554E6"/>
    <w:rsid w:val="0026098A"/>
    <w:rsid w:val="002610F6"/>
    <w:rsid w:val="002630D8"/>
    <w:rsid w:val="00264A61"/>
    <w:rsid w:val="00264DAD"/>
    <w:rsid w:val="002653F3"/>
    <w:rsid w:val="002672F6"/>
    <w:rsid w:val="0027080D"/>
    <w:rsid w:val="002711A1"/>
    <w:rsid w:val="002711CE"/>
    <w:rsid w:val="00271470"/>
    <w:rsid w:val="00271F1D"/>
    <w:rsid w:val="00272132"/>
    <w:rsid w:val="00272DAD"/>
    <w:rsid w:val="0027440E"/>
    <w:rsid w:val="00274891"/>
    <w:rsid w:val="00281756"/>
    <w:rsid w:val="00281853"/>
    <w:rsid w:val="002825C0"/>
    <w:rsid w:val="00282ACA"/>
    <w:rsid w:val="00282FB3"/>
    <w:rsid w:val="00283D51"/>
    <w:rsid w:val="00283FBE"/>
    <w:rsid w:val="00284436"/>
    <w:rsid w:val="00285F22"/>
    <w:rsid w:val="00286001"/>
    <w:rsid w:val="00290196"/>
    <w:rsid w:val="00290A90"/>
    <w:rsid w:val="00290AB2"/>
    <w:rsid w:val="00291E1E"/>
    <w:rsid w:val="00294D5C"/>
    <w:rsid w:val="00295034"/>
    <w:rsid w:val="002954ED"/>
    <w:rsid w:val="00295AA9"/>
    <w:rsid w:val="00296845"/>
    <w:rsid w:val="00296A1C"/>
    <w:rsid w:val="00297E10"/>
    <w:rsid w:val="002A0440"/>
    <w:rsid w:val="002A0B56"/>
    <w:rsid w:val="002A2472"/>
    <w:rsid w:val="002A399A"/>
    <w:rsid w:val="002A3BB8"/>
    <w:rsid w:val="002A4161"/>
    <w:rsid w:val="002A5388"/>
    <w:rsid w:val="002A7272"/>
    <w:rsid w:val="002B0513"/>
    <w:rsid w:val="002B2023"/>
    <w:rsid w:val="002B66C4"/>
    <w:rsid w:val="002B6FAD"/>
    <w:rsid w:val="002B76E2"/>
    <w:rsid w:val="002C012A"/>
    <w:rsid w:val="002C03B6"/>
    <w:rsid w:val="002C2A0C"/>
    <w:rsid w:val="002C30FE"/>
    <w:rsid w:val="002C3623"/>
    <w:rsid w:val="002C53D8"/>
    <w:rsid w:val="002C7707"/>
    <w:rsid w:val="002C7CC3"/>
    <w:rsid w:val="002C7E90"/>
    <w:rsid w:val="002D0FFC"/>
    <w:rsid w:val="002D12F6"/>
    <w:rsid w:val="002D210C"/>
    <w:rsid w:val="002D2F7C"/>
    <w:rsid w:val="002D31D0"/>
    <w:rsid w:val="002D3ACA"/>
    <w:rsid w:val="002D3BB1"/>
    <w:rsid w:val="002D3BE6"/>
    <w:rsid w:val="002D4632"/>
    <w:rsid w:val="002D5726"/>
    <w:rsid w:val="002D6112"/>
    <w:rsid w:val="002D6230"/>
    <w:rsid w:val="002D6D5A"/>
    <w:rsid w:val="002E0532"/>
    <w:rsid w:val="002E0908"/>
    <w:rsid w:val="002E2533"/>
    <w:rsid w:val="002E2C7F"/>
    <w:rsid w:val="002E3DA2"/>
    <w:rsid w:val="002E3E4E"/>
    <w:rsid w:val="002E4845"/>
    <w:rsid w:val="002E500C"/>
    <w:rsid w:val="002E57BD"/>
    <w:rsid w:val="002E63CE"/>
    <w:rsid w:val="002E6936"/>
    <w:rsid w:val="002E6B93"/>
    <w:rsid w:val="002E7470"/>
    <w:rsid w:val="002E772D"/>
    <w:rsid w:val="002E78A6"/>
    <w:rsid w:val="002F090D"/>
    <w:rsid w:val="002F14FC"/>
    <w:rsid w:val="002F1C79"/>
    <w:rsid w:val="002F1DD2"/>
    <w:rsid w:val="002F23E9"/>
    <w:rsid w:val="002F41D3"/>
    <w:rsid w:val="002F45DE"/>
    <w:rsid w:val="002F63D1"/>
    <w:rsid w:val="002F6551"/>
    <w:rsid w:val="0030022C"/>
    <w:rsid w:val="00301012"/>
    <w:rsid w:val="003022ED"/>
    <w:rsid w:val="00302861"/>
    <w:rsid w:val="0030405C"/>
    <w:rsid w:val="00304696"/>
    <w:rsid w:val="0031009B"/>
    <w:rsid w:val="003115B4"/>
    <w:rsid w:val="00312D08"/>
    <w:rsid w:val="00313ED3"/>
    <w:rsid w:val="00315843"/>
    <w:rsid w:val="00316620"/>
    <w:rsid w:val="00317444"/>
    <w:rsid w:val="00317698"/>
    <w:rsid w:val="00317D6F"/>
    <w:rsid w:val="00320026"/>
    <w:rsid w:val="00320384"/>
    <w:rsid w:val="00320690"/>
    <w:rsid w:val="003216EF"/>
    <w:rsid w:val="00322057"/>
    <w:rsid w:val="003236C7"/>
    <w:rsid w:val="00323881"/>
    <w:rsid w:val="00323DE0"/>
    <w:rsid w:val="00323E6F"/>
    <w:rsid w:val="00325A70"/>
    <w:rsid w:val="00325F78"/>
    <w:rsid w:val="00326C8C"/>
    <w:rsid w:val="00330311"/>
    <w:rsid w:val="00330FA9"/>
    <w:rsid w:val="003313C6"/>
    <w:rsid w:val="003318ED"/>
    <w:rsid w:val="0033222D"/>
    <w:rsid w:val="003327F4"/>
    <w:rsid w:val="00332F4D"/>
    <w:rsid w:val="0033335F"/>
    <w:rsid w:val="00333931"/>
    <w:rsid w:val="00340150"/>
    <w:rsid w:val="003401E9"/>
    <w:rsid w:val="00340DD0"/>
    <w:rsid w:val="00341201"/>
    <w:rsid w:val="00341319"/>
    <w:rsid w:val="003414D1"/>
    <w:rsid w:val="00342A0D"/>
    <w:rsid w:val="00343346"/>
    <w:rsid w:val="00343353"/>
    <w:rsid w:val="003436AA"/>
    <w:rsid w:val="00345F7A"/>
    <w:rsid w:val="00346A4E"/>
    <w:rsid w:val="0034752F"/>
    <w:rsid w:val="003477C9"/>
    <w:rsid w:val="00347954"/>
    <w:rsid w:val="003528F1"/>
    <w:rsid w:val="0035316E"/>
    <w:rsid w:val="003537E9"/>
    <w:rsid w:val="003545B7"/>
    <w:rsid w:val="00354A0F"/>
    <w:rsid w:val="00354F48"/>
    <w:rsid w:val="00356DD0"/>
    <w:rsid w:val="00357121"/>
    <w:rsid w:val="00360971"/>
    <w:rsid w:val="00361196"/>
    <w:rsid w:val="00361C57"/>
    <w:rsid w:val="00362E77"/>
    <w:rsid w:val="00362F46"/>
    <w:rsid w:val="00363673"/>
    <w:rsid w:val="00363CF9"/>
    <w:rsid w:val="00364C3D"/>
    <w:rsid w:val="003667B9"/>
    <w:rsid w:val="00372821"/>
    <w:rsid w:val="00372FED"/>
    <w:rsid w:val="00374F4A"/>
    <w:rsid w:val="003753D4"/>
    <w:rsid w:val="00375567"/>
    <w:rsid w:val="003764ED"/>
    <w:rsid w:val="003768E4"/>
    <w:rsid w:val="00376ABC"/>
    <w:rsid w:val="00376AFD"/>
    <w:rsid w:val="003802CD"/>
    <w:rsid w:val="0038231C"/>
    <w:rsid w:val="00383918"/>
    <w:rsid w:val="00383C73"/>
    <w:rsid w:val="00383FC0"/>
    <w:rsid w:val="003848F8"/>
    <w:rsid w:val="0038582D"/>
    <w:rsid w:val="003872B8"/>
    <w:rsid w:val="00390304"/>
    <w:rsid w:val="00392F2A"/>
    <w:rsid w:val="0039309C"/>
    <w:rsid w:val="0039401B"/>
    <w:rsid w:val="003940E9"/>
    <w:rsid w:val="00395939"/>
    <w:rsid w:val="00396A5A"/>
    <w:rsid w:val="00396DE1"/>
    <w:rsid w:val="003A010E"/>
    <w:rsid w:val="003A0716"/>
    <w:rsid w:val="003A1D17"/>
    <w:rsid w:val="003A1F64"/>
    <w:rsid w:val="003A316D"/>
    <w:rsid w:val="003A3DEB"/>
    <w:rsid w:val="003A5754"/>
    <w:rsid w:val="003A6739"/>
    <w:rsid w:val="003B2208"/>
    <w:rsid w:val="003B282D"/>
    <w:rsid w:val="003B2B02"/>
    <w:rsid w:val="003B5920"/>
    <w:rsid w:val="003B742F"/>
    <w:rsid w:val="003C0E9D"/>
    <w:rsid w:val="003C19DA"/>
    <w:rsid w:val="003C2EA8"/>
    <w:rsid w:val="003C2EBE"/>
    <w:rsid w:val="003C30E2"/>
    <w:rsid w:val="003C4E4B"/>
    <w:rsid w:val="003C51E9"/>
    <w:rsid w:val="003C59F2"/>
    <w:rsid w:val="003C754F"/>
    <w:rsid w:val="003C7BBE"/>
    <w:rsid w:val="003D043C"/>
    <w:rsid w:val="003D2163"/>
    <w:rsid w:val="003D4D3E"/>
    <w:rsid w:val="003E0764"/>
    <w:rsid w:val="003E0E3D"/>
    <w:rsid w:val="003E0F83"/>
    <w:rsid w:val="003E2257"/>
    <w:rsid w:val="003E4163"/>
    <w:rsid w:val="003E4882"/>
    <w:rsid w:val="003E4BAC"/>
    <w:rsid w:val="003E7F8A"/>
    <w:rsid w:val="003F1709"/>
    <w:rsid w:val="003F2B97"/>
    <w:rsid w:val="003F2F4A"/>
    <w:rsid w:val="003F33C8"/>
    <w:rsid w:val="003F3FC8"/>
    <w:rsid w:val="003F47DE"/>
    <w:rsid w:val="003F492F"/>
    <w:rsid w:val="003F5609"/>
    <w:rsid w:val="003F5EF8"/>
    <w:rsid w:val="003F64BB"/>
    <w:rsid w:val="003F68D4"/>
    <w:rsid w:val="003F735E"/>
    <w:rsid w:val="003F7DA9"/>
    <w:rsid w:val="004000E7"/>
    <w:rsid w:val="00400441"/>
    <w:rsid w:val="00400DF7"/>
    <w:rsid w:val="004015A4"/>
    <w:rsid w:val="004019DF"/>
    <w:rsid w:val="00401D36"/>
    <w:rsid w:val="004041F3"/>
    <w:rsid w:val="00405758"/>
    <w:rsid w:val="00411173"/>
    <w:rsid w:val="004121D8"/>
    <w:rsid w:val="004122B0"/>
    <w:rsid w:val="0041231B"/>
    <w:rsid w:val="00412C42"/>
    <w:rsid w:val="004130F9"/>
    <w:rsid w:val="00413E8C"/>
    <w:rsid w:val="00415370"/>
    <w:rsid w:val="00415E4F"/>
    <w:rsid w:val="00416C66"/>
    <w:rsid w:val="00417B0B"/>
    <w:rsid w:val="00420FE9"/>
    <w:rsid w:val="004210A5"/>
    <w:rsid w:val="0042135D"/>
    <w:rsid w:val="00421499"/>
    <w:rsid w:val="00421729"/>
    <w:rsid w:val="00421781"/>
    <w:rsid w:val="0042497B"/>
    <w:rsid w:val="00424D0B"/>
    <w:rsid w:val="004252F2"/>
    <w:rsid w:val="00425322"/>
    <w:rsid w:val="00430266"/>
    <w:rsid w:val="00430605"/>
    <w:rsid w:val="00431A05"/>
    <w:rsid w:val="00432584"/>
    <w:rsid w:val="004331C8"/>
    <w:rsid w:val="004332DA"/>
    <w:rsid w:val="0043340A"/>
    <w:rsid w:val="004340BB"/>
    <w:rsid w:val="00435782"/>
    <w:rsid w:val="004363FA"/>
    <w:rsid w:val="00440BE9"/>
    <w:rsid w:val="004417FA"/>
    <w:rsid w:val="00444230"/>
    <w:rsid w:val="00444368"/>
    <w:rsid w:val="004447FD"/>
    <w:rsid w:val="00444D43"/>
    <w:rsid w:val="00446826"/>
    <w:rsid w:val="00447CB4"/>
    <w:rsid w:val="00453A8D"/>
    <w:rsid w:val="00453DBC"/>
    <w:rsid w:val="004544E6"/>
    <w:rsid w:val="004545C6"/>
    <w:rsid w:val="00456F62"/>
    <w:rsid w:val="00457D70"/>
    <w:rsid w:val="00457F3E"/>
    <w:rsid w:val="00460BB6"/>
    <w:rsid w:val="004622AB"/>
    <w:rsid w:val="0046256A"/>
    <w:rsid w:val="00462B7C"/>
    <w:rsid w:val="00462E9E"/>
    <w:rsid w:val="00464DCB"/>
    <w:rsid w:val="00464FA1"/>
    <w:rsid w:val="00465DBD"/>
    <w:rsid w:val="00466641"/>
    <w:rsid w:val="00467634"/>
    <w:rsid w:val="00467A33"/>
    <w:rsid w:val="004719F9"/>
    <w:rsid w:val="004720BF"/>
    <w:rsid w:val="00473F52"/>
    <w:rsid w:val="004758CC"/>
    <w:rsid w:val="00475AD1"/>
    <w:rsid w:val="0047664A"/>
    <w:rsid w:val="00477143"/>
    <w:rsid w:val="00477447"/>
    <w:rsid w:val="00477CD9"/>
    <w:rsid w:val="00480E3D"/>
    <w:rsid w:val="00480E55"/>
    <w:rsid w:val="00480FDD"/>
    <w:rsid w:val="00481985"/>
    <w:rsid w:val="00481C68"/>
    <w:rsid w:val="004825EC"/>
    <w:rsid w:val="0048335B"/>
    <w:rsid w:val="00483A4B"/>
    <w:rsid w:val="00483E39"/>
    <w:rsid w:val="00484B6E"/>
    <w:rsid w:val="00485E01"/>
    <w:rsid w:val="00486031"/>
    <w:rsid w:val="0048662C"/>
    <w:rsid w:val="00486E33"/>
    <w:rsid w:val="004874F0"/>
    <w:rsid w:val="004878B2"/>
    <w:rsid w:val="004909AF"/>
    <w:rsid w:val="00490A1C"/>
    <w:rsid w:val="00490B8A"/>
    <w:rsid w:val="0049164A"/>
    <w:rsid w:val="00492D9E"/>
    <w:rsid w:val="00493E54"/>
    <w:rsid w:val="0049525A"/>
    <w:rsid w:val="00496148"/>
    <w:rsid w:val="00497EEE"/>
    <w:rsid w:val="004A0DBF"/>
    <w:rsid w:val="004A2E04"/>
    <w:rsid w:val="004A3C53"/>
    <w:rsid w:val="004A5970"/>
    <w:rsid w:val="004A63C4"/>
    <w:rsid w:val="004A7D36"/>
    <w:rsid w:val="004B13F7"/>
    <w:rsid w:val="004B1614"/>
    <w:rsid w:val="004B1EF7"/>
    <w:rsid w:val="004B3A56"/>
    <w:rsid w:val="004B4F6D"/>
    <w:rsid w:val="004B524D"/>
    <w:rsid w:val="004B5F9D"/>
    <w:rsid w:val="004B6011"/>
    <w:rsid w:val="004B6E5F"/>
    <w:rsid w:val="004B760F"/>
    <w:rsid w:val="004C00C8"/>
    <w:rsid w:val="004C0742"/>
    <w:rsid w:val="004C3133"/>
    <w:rsid w:val="004C3278"/>
    <w:rsid w:val="004C33A5"/>
    <w:rsid w:val="004C3537"/>
    <w:rsid w:val="004C3D59"/>
    <w:rsid w:val="004C3F59"/>
    <w:rsid w:val="004C3FA6"/>
    <w:rsid w:val="004C50FD"/>
    <w:rsid w:val="004C5F4A"/>
    <w:rsid w:val="004D0519"/>
    <w:rsid w:val="004D0D1D"/>
    <w:rsid w:val="004D2BCD"/>
    <w:rsid w:val="004D4911"/>
    <w:rsid w:val="004D4AD5"/>
    <w:rsid w:val="004D5905"/>
    <w:rsid w:val="004E09AE"/>
    <w:rsid w:val="004E18B5"/>
    <w:rsid w:val="004E1C3A"/>
    <w:rsid w:val="004E2424"/>
    <w:rsid w:val="004E2C55"/>
    <w:rsid w:val="004E43BC"/>
    <w:rsid w:val="004E5039"/>
    <w:rsid w:val="004E5BDE"/>
    <w:rsid w:val="004F0B56"/>
    <w:rsid w:val="004F0C61"/>
    <w:rsid w:val="004F1C70"/>
    <w:rsid w:val="004F2028"/>
    <w:rsid w:val="004F303F"/>
    <w:rsid w:val="004F3136"/>
    <w:rsid w:val="004F5D19"/>
    <w:rsid w:val="004F70A4"/>
    <w:rsid w:val="004F7B7F"/>
    <w:rsid w:val="00502DBF"/>
    <w:rsid w:val="00503006"/>
    <w:rsid w:val="00503B9A"/>
    <w:rsid w:val="00503F93"/>
    <w:rsid w:val="00505E28"/>
    <w:rsid w:val="005067FD"/>
    <w:rsid w:val="00506B3C"/>
    <w:rsid w:val="0050708C"/>
    <w:rsid w:val="00510B80"/>
    <w:rsid w:val="00510CBC"/>
    <w:rsid w:val="00510EFC"/>
    <w:rsid w:val="00511C30"/>
    <w:rsid w:val="00512E57"/>
    <w:rsid w:val="005132DC"/>
    <w:rsid w:val="005142D1"/>
    <w:rsid w:val="00514C69"/>
    <w:rsid w:val="00515C67"/>
    <w:rsid w:val="0051762D"/>
    <w:rsid w:val="00520A41"/>
    <w:rsid w:val="00520B71"/>
    <w:rsid w:val="005217D9"/>
    <w:rsid w:val="00522365"/>
    <w:rsid w:val="005233D1"/>
    <w:rsid w:val="00523C72"/>
    <w:rsid w:val="00524498"/>
    <w:rsid w:val="00525B48"/>
    <w:rsid w:val="00525F20"/>
    <w:rsid w:val="0052693C"/>
    <w:rsid w:val="005300DB"/>
    <w:rsid w:val="00531881"/>
    <w:rsid w:val="00531E3D"/>
    <w:rsid w:val="0053442F"/>
    <w:rsid w:val="005360E3"/>
    <w:rsid w:val="0053640C"/>
    <w:rsid w:val="005365F8"/>
    <w:rsid w:val="0053686B"/>
    <w:rsid w:val="00536F86"/>
    <w:rsid w:val="00537409"/>
    <w:rsid w:val="0054178B"/>
    <w:rsid w:val="0054198D"/>
    <w:rsid w:val="00543F75"/>
    <w:rsid w:val="0054472B"/>
    <w:rsid w:val="00544E36"/>
    <w:rsid w:val="0054534E"/>
    <w:rsid w:val="00545F65"/>
    <w:rsid w:val="00546792"/>
    <w:rsid w:val="0054787A"/>
    <w:rsid w:val="005528AB"/>
    <w:rsid w:val="00552B2A"/>
    <w:rsid w:val="00553194"/>
    <w:rsid w:val="00553AD2"/>
    <w:rsid w:val="00553D48"/>
    <w:rsid w:val="00555F0D"/>
    <w:rsid w:val="005560F1"/>
    <w:rsid w:val="00556787"/>
    <w:rsid w:val="00557095"/>
    <w:rsid w:val="00560F95"/>
    <w:rsid w:val="00561E44"/>
    <w:rsid w:val="005621DE"/>
    <w:rsid w:val="00562C55"/>
    <w:rsid w:val="00564AC6"/>
    <w:rsid w:val="00564D0E"/>
    <w:rsid w:val="00565803"/>
    <w:rsid w:val="005661A2"/>
    <w:rsid w:val="005662B3"/>
    <w:rsid w:val="00566CF9"/>
    <w:rsid w:val="00567382"/>
    <w:rsid w:val="005700FD"/>
    <w:rsid w:val="00570F57"/>
    <w:rsid w:val="00571861"/>
    <w:rsid w:val="00573105"/>
    <w:rsid w:val="00573C43"/>
    <w:rsid w:val="005759FF"/>
    <w:rsid w:val="00576275"/>
    <w:rsid w:val="0057706D"/>
    <w:rsid w:val="00577481"/>
    <w:rsid w:val="00586537"/>
    <w:rsid w:val="005865EA"/>
    <w:rsid w:val="00587268"/>
    <w:rsid w:val="00590936"/>
    <w:rsid w:val="00590CB6"/>
    <w:rsid w:val="005916A3"/>
    <w:rsid w:val="005929CC"/>
    <w:rsid w:val="00592CB6"/>
    <w:rsid w:val="00593323"/>
    <w:rsid w:val="00593747"/>
    <w:rsid w:val="0059732A"/>
    <w:rsid w:val="00597700"/>
    <w:rsid w:val="005A019A"/>
    <w:rsid w:val="005A024A"/>
    <w:rsid w:val="005A06E0"/>
    <w:rsid w:val="005A1A8F"/>
    <w:rsid w:val="005A1FD0"/>
    <w:rsid w:val="005A2999"/>
    <w:rsid w:val="005A2EC8"/>
    <w:rsid w:val="005A41AA"/>
    <w:rsid w:val="005A4445"/>
    <w:rsid w:val="005A547F"/>
    <w:rsid w:val="005A710B"/>
    <w:rsid w:val="005B06FA"/>
    <w:rsid w:val="005B078C"/>
    <w:rsid w:val="005B0DB0"/>
    <w:rsid w:val="005B2342"/>
    <w:rsid w:val="005B290F"/>
    <w:rsid w:val="005B2B26"/>
    <w:rsid w:val="005B442E"/>
    <w:rsid w:val="005B49D7"/>
    <w:rsid w:val="005B5F27"/>
    <w:rsid w:val="005B66D9"/>
    <w:rsid w:val="005B6ABA"/>
    <w:rsid w:val="005B6B6E"/>
    <w:rsid w:val="005C0688"/>
    <w:rsid w:val="005C2652"/>
    <w:rsid w:val="005C2EA2"/>
    <w:rsid w:val="005C3682"/>
    <w:rsid w:val="005C37DC"/>
    <w:rsid w:val="005C4500"/>
    <w:rsid w:val="005C457E"/>
    <w:rsid w:val="005C534A"/>
    <w:rsid w:val="005C6059"/>
    <w:rsid w:val="005C6E57"/>
    <w:rsid w:val="005D0A12"/>
    <w:rsid w:val="005D267B"/>
    <w:rsid w:val="005D431C"/>
    <w:rsid w:val="005D453B"/>
    <w:rsid w:val="005D4834"/>
    <w:rsid w:val="005D4A2F"/>
    <w:rsid w:val="005D631F"/>
    <w:rsid w:val="005D662F"/>
    <w:rsid w:val="005D7024"/>
    <w:rsid w:val="005D7997"/>
    <w:rsid w:val="005E04C9"/>
    <w:rsid w:val="005E1EB2"/>
    <w:rsid w:val="005E2950"/>
    <w:rsid w:val="005E392D"/>
    <w:rsid w:val="005E4444"/>
    <w:rsid w:val="005E49C2"/>
    <w:rsid w:val="005E5501"/>
    <w:rsid w:val="005E70DA"/>
    <w:rsid w:val="005E7492"/>
    <w:rsid w:val="005E7B89"/>
    <w:rsid w:val="005E7C81"/>
    <w:rsid w:val="005F014E"/>
    <w:rsid w:val="005F10DE"/>
    <w:rsid w:val="005F159E"/>
    <w:rsid w:val="005F2F46"/>
    <w:rsid w:val="005F3294"/>
    <w:rsid w:val="005F3299"/>
    <w:rsid w:val="005F34B9"/>
    <w:rsid w:val="005F37D2"/>
    <w:rsid w:val="005F3F5C"/>
    <w:rsid w:val="005F43A2"/>
    <w:rsid w:val="005F4D6C"/>
    <w:rsid w:val="005F4E83"/>
    <w:rsid w:val="005F563A"/>
    <w:rsid w:val="005F7956"/>
    <w:rsid w:val="006016D6"/>
    <w:rsid w:val="00601DC9"/>
    <w:rsid w:val="006033AC"/>
    <w:rsid w:val="00604E1A"/>
    <w:rsid w:val="0060524F"/>
    <w:rsid w:val="00611CEB"/>
    <w:rsid w:val="00614A7C"/>
    <w:rsid w:val="0061554F"/>
    <w:rsid w:val="00615E9B"/>
    <w:rsid w:val="00616EC9"/>
    <w:rsid w:val="00617A14"/>
    <w:rsid w:val="00620548"/>
    <w:rsid w:val="0062091F"/>
    <w:rsid w:val="00621332"/>
    <w:rsid w:val="00621C41"/>
    <w:rsid w:val="00622057"/>
    <w:rsid w:val="00624109"/>
    <w:rsid w:val="00626E67"/>
    <w:rsid w:val="0063137A"/>
    <w:rsid w:val="00632A30"/>
    <w:rsid w:val="00632C1B"/>
    <w:rsid w:val="006331EF"/>
    <w:rsid w:val="00634980"/>
    <w:rsid w:val="00636355"/>
    <w:rsid w:val="006370CC"/>
    <w:rsid w:val="00637E3B"/>
    <w:rsid w:val="00640806"/>
    <w:rsid w:val="00642730"/>
    <w:rsid w:val="006430D2"/>
    <w:rsid w:val="006446E4"/>
    <w:rsid w:val="006449E3"/>
    <w:rsid w:val="0064581F"/>
    <w:rsid w:val="00645C91"/>
    <w:rsid w:val="006476CF"/>
    <w:rsid w:val="00650632"/>
    <w:rsid w:val="00651D6C"/>
    <w:rsid w:val="00651DD2"/>
    <w:rsid w:val="00654468"/>
    <w:rsid w:val="00655BD0"/>
    <w:rsid w:val="00655C83"/>
    <w:rsid w:val="00656782"/>
    <w:rsid w:val="00656785"/>
    <w:rsid w:val="00656DDA"/>
    <w:rsid w:val="00657A70"/>
    <w:rsid w:val="00660537"/>
    <w:rsid w:val="00660712"/>
    <w:rsid w:val="00661496"/>
    <w:rsid w:val="006615E2"/>
    <w:rsid w:val="00661AA6"/>
    <w:rsid w:val="006623F4"/>
    <w:rsid w:val="00662620"/>
    <w:rsid w:val="00662669"/>
    <w:rsid w:val="00663BC7"/>
    <w:rsid w:val="006653E9"/>
    <w:rsid w:val="00667F96"/>
    <w:rsid w:val="006702E4"/>
    <w:rsid w:val="006708D5"/>
    <w:rsid w:val="00670B3D"/>
    <w:rsid w:val="00671468"/>
    <w:rsid w:val="0067194D"/>
    <w:rsid w:val="0067591C"/>
    <w:rsid w:val="006761A5"/>
    <w:rsid w:val="006767D1"/>
    <w:rsid w:val="00677102"/>
    <w:rsid w:val="00677474"/>
    <w:rsid w:val="00677D12"/>
    <w:rsid w:val="00680578"/>
    <w:rsid w:val="00680897"/>
    <w:rsid w:val="006822CD"/>
    <w:rsid w:val="0068320F"/>
    <w:rsid w:val="0068458C"/>
    <w:rsid w:val="00685E6B"/>
    <w:rsid w:val="006861BC"/>
    <w:rsid w:val="00687AC7"/>
    <w:rsid w:val="00691BFE"/>
    <w:rsid w:val="00694D2A"/>
    <w:rsid w:val="006950F8"/>
    <w:rsid w:val="006960F7"/>
    <w:rsid w:val="006976BE"/>
    <w:rsid w:val="00697C23"/>
    <w:rsid w:val="006A0461"/>
    <w:rsid w:val="006A08A4"/>
    <w:rsid w:val="006A38A9"/>
    <w:rsid w:val="006A5173"/>
    <w:rsid w:val="006A5BC3"/>
    <w:rsid w:val="006A5C0C"/>
    <w:rsid w:val="006A747D"/>
    <w:rsid w:val="006B04BF"/>
    <w:rsid w:val="006B0FED"/>
    <w:rsid w:val="006B18E2"/>
    <w:rsid w:val="006B1E59"/>
    <w:rsid w:val="006B2674"/>
    <w:rsid w:val="006B2F4A"/>
    <w:rsid w:val="006B30C1"/>
    <w:rsid w:val="006B46E1"/>
    <w:rsid w:val="006B547F"/>
    <w:rsid w:val="006B6E4F"/>
    <w:rsid w:val="006B71D8"/>
    <w:rsid w:val="006C02C4"/>
    <w:rsid w:val="006C0F69"/>
    <w:rsid w:val="006C1224"/>
    <w:rsid w:val="006C1759"/>
    <w:rsid w:val="006C3F69"/>
    <w:rsid w:val="006D04ED"/>
    <w:rsid w:val="006D57FB"/>
    <w:rsid w:val="006D75D7"/>
    <w:rsid w:val="006E0C2C"/>
    <w:rsid w:val="006E1ACE"/>
    <w:rsid w:val="006E2230"/>
    <w:rsid w:val="006E27FF"/>
    <w:rsid w:val="006E3D70"/>
    <w:rsid w:val="006E4DB1"/>
    <w:rsid w:val="006E614A"/>
    <w:rsid w:val="006E698B"/>
    <w:rsid w:val="006E6CD7"/>
    <w:rsid w:val="006E7A66"/>
    <w:rsid w:val="006E7CCF"/>
    <w:rsid w:val="006F036E"/>
    <w:rsid w:val="006F1141"/>
    <w:rsid w:val="006F1EBC"/>
    <w:rsid w:val="006F1F3E"/>
    <w:rsid w:val="006F2EE8"/>
    <w:rsid w:val="006F3BCE"/>
    <w:rsid w:val="006F4DF0"/>
    <w:rsid w:val="006F53A3"/>
    <w:rsid w:val="006F6B76"/>
    <w:rsid w:val="00701E70"/>
    <w:rsid w:val="00703EEC"/>
    <w:rsid w:val="007049A1"/>
    <w:rsid w:val="00704E9D"/>
    <w:rsid w:val="0070642D"/>
    <w:rsid w:val="007065BF"/>
    <w:rsid w:val="00706B28"/>
    <w:rsid w:val="007072DD"/>
    <w:rsid w:val="007074A8"/>
    <w:rsid w:val="00707659"/>
    <w:rsid w:val="00711BFA"/>
    <w:rsid w:val="007129AB"/>
    <w:rsid w:val="007134A3"/>
    <w:rsid w:val="00714A05"/>
    <w:rsid w:val="007158D4"/>
    <w:rsid w:val="007162AF"/>
    <w:rsid w:val="00720BAD"/>
    <w:rsid w:val="0072175E"/>
    <w:rsid w:val="007224BD"/>
    <w:rsid w:val="007239A6"/>
    <w:rsid w:val="007242C4"/>
    <w:rsid w:val="007245AB"/>
    <w:rsid w:val="00724A8C"/>
    <w:rsid w:val="00726B65"/>
    <w:rsid w:val="0072719C"/>
    <w:rsid w:val="00727598"/>
    <w:rsid w:val="00730126"/>
    <w:rsid w:val="00730C76"/>
    <w:rsid w:val="00732A23"/>
    <w:rsid w:val="00732A7D"/>
    <w:rsid w:val="00734063"/>
    <w:rsid w:val="00734219"/>
    <w:rsid w:val="00737F4D"/>
    <w:rsid w:val="00740868"/>
    <w:rsid w:val="00742A83"/>
    <w:rsid w:val="00744DD5"/>
    <w:rsid w:val="00744FB3"/>
    <w:rsid w:val="00747130"/>
    <w:rsid w:val="007476FD"/>
    <w:rsid w:val="00751B18"/>
    <w:rsid w:val="00751B92"/>
    <w:rsid w:val="00751EBC"/>
    <w:rsid w:val="00753B1E"/>
    <w:rsid w:val="00754752"/>
    <w:rsid w:val="00757622"/>
    <w:rsid w:val="00757680"/>
    <w:rsid w:val="0076184F"/>
    <w:rsid w:val="00761B71"/>
    <w:rsid w:val="00762789"/>
    <w:rsid w:val="00763803"/>
    <w:rsid w:val="00763F56"/>
    <w:rsid w:val="007646E2"/>
    <w:rsid w:val="00765859"/>
    <w:rsid w:val="00766F7C"/>
    <w:rsid w:val="00770CCE"/>
    <w:rsid w:val="00771045"/>
    <w:rsid w:val="00771B68"/>
    <w:rsid w:val="00772574"/>
    <w:rsid w:val="00773C82"/>
    <w:rsid w:val="0077411F"/>
    <w:rsid w:val="007773F5"/>
    <w:rsid w:val="00777BBC"/>
    <w:rsid w:val="00777E17"/>
    <w:rsid w:val="00780B5D"/>
    <w:rsid w:val="007813FF"/>
    <w:rsid w:val="007830C6"/>
    <w:rsid w:val="00783BFD"/>
    <w:rsid w:val="00783EFE"/>
    <w:rsid w:val="00784C7A"/>
    <w:rsid w:val="00784E33"/>
    <w:rsid w:val="00784F09"/>
    <w:rsid w:val="00785188"/>
    <w:rsid w:val="00786382"/>
    <w:rsid w:val="00786BB3"/>
    <w:rsid w:val="00786C26"/>
    <w:rsid w:val="00786E5C"/>
    <w:rsid w:val="00787D88"/>
    <w:rsid w:val="00790665"/>
    <w:rsid w:val="00791111"/>
    <w:rsid w:val="0079203B"/>
    <w:rsid w:val="00792333"/>
    <w:rsid w:val="007945F4"/>
    <w:rsid w:val="00797C8F"/>
    <w:rsid w:val="007A12EF"/>
    <w:rsid w:val="007A17B7"/>
    <w:rsid w:val="007A383C"/>
    <w:rsid w:val="007A4CAD"/>
    <w:rsid w:val="007A57A2"/>
    <w:rsid w:val="007A5B5A"/>
    <w:rsid w:val="007A7BD4"/>
    <w:rsid w:val="007B03DD"/>
    <w:rsid w:val="007B0682"/>
    <w:rsid w:val="007B1603"/>
    <w:rsid w:val="007B18A2"/>
    <w:rsid w:val="007B2807"/>
    <w:rsid w:val="007B4FE4"/>
    <w:rsid w:val="007B648D"/>
    <w:rsid w:val="007B687A"/>
    <w:rsid w:val="007B7428"/>
    <w:rsid w:val="007C0819"/>
    <w:rsid w:val="007C1A73"/>
    <w:rsid w:val="007C1D4A"/>
    <w:rsid w:val="007C262A"/>
    <w:rsid w:val="007C3B66"/>
    <w:rsid w:val="007C4A6F"/>
    <w:rsid w:val="007C7D16"/>
    <w:rsid w:val="007D0659"/>
    <w:rsid w:val="007D1212"/>
    <w:rsid w:val="007D260D"/>
    <w:rsid w:val="007D3CEB"/>
    <w:rsid w:val="007D4E28"/>
    <w:rsid w:val="007D4E97"/>
    <w:rsid w:val="007D6B67"/>
    <w:rsid w:val="007D6C7F"/>
    <w:rsid w:val="007D70D7"/>
    <w:rsid w:val="007D7D15"/>
    <w:rsid w:val="007E0394"/>
    <w:rsid w:val="007E050F"/>
    <w:rsid w:val="007E14EB"/>
    <w:rsid w:val="007E2C24"/>
    <w:rsid w:val="007E2F6F"/>
    <w:rsid w:val="007E3187"/>
    <w:rsid w:val="007E4307"/>
    <w:rsid w:val="007E68A1"/>
    <w:rsid w:val="007E6EB6"/>
    <w:rsid w:val="007F1CDC"/>
    <w:rsid w:val="007F485C"/>
    <w:rsid w:val="007F6300"/>
    <w:rsid w:val="007F7005"/>
    <w:rsid w:val="00800FE8"/>
    <w:rsid w:val="00801E71"/>
    <w:rsid w:val="00804EC1"/>
    <w:rsid w:val="0081043A"/>
    <w:rsid w:val="00810CDD"/>
    <w:rsid w:val="0081131F"/>
    <w:rsid w:val="00813239"/>
    <w:rsid w:val="0081480F"/>
    <w:rsid w:val="00814D0F"/>
    <w:rsid w:val="008158D3"/>
    <w:rsid w:val="00815EAD"/>
    <w:rsid w:val="00816BC0"/>
    <w:rsid w:val="00820228"/>
    <w:rsid w:val="00821258"/>
    <w:rsid w:val="00823015"/>
    <w:rsid w:val="00823BF2"/>
    <w:rsid w:val="00824350"/>
    <w:rsid w:val="00824666"/>
    <w:rsid w:val="008247AA"/>
    <w:rsid w:val="008258F5"/>
    <w:rsid w:val="00826686"/>
    <w:rsid w:val="008267C8"/>
    <w:rsid w:val="00827445"/>
    <w:rsid w:val="00830201"/>
    <w:rsid w:val="00831147"/>
    <w:rsid w:val="00831CD9"/>
    <w:rsid w:val="00832852"/>
    <w:rsid w:val="008332EB"/>
    <w:rsid w:val="008367C5"/>
    <w:rsid w:val="00840BE0"/>
    <w:rsid w:val="00841E76"/>
    <w:rsid w:val="00843AEF"/>
    <w:rsid w:val="008440B5"/>
    <w:rsid w:val="00844361"/>
    <w:rsid w:val="00844C3C"/>
    <w:rsid w:val="00845963"/>
    <w:rsid w:val="00845D71"/>
    <w:rsid w:val="00845EB2"/>
    <w:rsid w:val="0084640B"/>
    <w:rsid w:val="00846CC2"/>
    <w:rsid w:val="00846F1E"/>
    <w:rsid w:val="0085030A"/>
    <w:rsid w:val="008510E9"/>
    <w:rsid w:val="00852AFA"/>
    <w:rsid w:val="008531DC"/>
    <w:rsid w:val="00853468"/>
    <w:rsid w:val="0085370B"/>
    <w:rsid w:val="008544D1"/>
    <w:rsid w:val="00854886"/>
    <w:rsid w:val="008559CF"/>
    <w:rsid w:val="008561DE"/>
    <w:rsid w:val="00857EDA"/>
    <w:rsid w:val="00862E77"/>
    <w:rsid w:val="008630FD"/>
    <w:rsid w:val="008643E5"/>
    <w:rsid w:val="00864E9A"/>
    <w:rsid w:val="00864ECF"/>
    <w:rsid w:val="0086542A"/>
    <w:rsid w:val="008658FF"/>
    <w:rsid w:val="00867783"/>
    <w:rsid w:val="008708D5"/>
    <w:rsid w:val="00872B9D"/>
    <w:rsid w:val="00872DF3"/>
    <w:rsid w:val="008732BB"/>
    <w:rsid w:val="00873EE9"/>
    <w:rsid w:val="008756D4"/>
    <w:rsid w:val="00875DD9"/>
    <w:rsid w:val="00875F06"/>
    <w:rsid w:val="00876D47"/>
    <w:rsid w:val="008774C6"/>
    <w:rsid w:val="00877E69"/>
    <w:rsid w:val="00880138"/>
    <w:rsid w:val="0088093E"/>
    <w:rsid w:val="00880A35"/>
    <w:rsid w:val="00880C1B"/>
    <w:rsid w:val="00880C40"/>
    <w:rsid w:val="008812C0"/>
    <w:rsid w:val="008819E5"/>
    <w:rsid w:val="008826D6"/>
    <w:rsid w:val="0088334B"/>
    <w:rsid w:val="00883ABA"/>
    <w:rsid w:val="008843EE"/>
    <w:rsid w:val="008862EF"/>
    <w:rsid w:val="00886E57"/>
    <w:rsid w:val="00887CA6"/>
    <w:rsid w:val="008909B4"/>
    <w:rsid w:val="00890B41"/>
    <w:rsid w:val="00890DCB"/>
    <w:rsid w:val="008910C0"/>
    <w:rsid w:val="00893601"/>
    <w:rsid w:val="00893ED8"/>
    <w:rsid w:val="00894026"/>
    <w:rsid w:val="008944B7"/>
    <w:rsid w:val="00895214"/>
    <w:rsid w:val="00895FCA"/>
    <w:rsid w:val="00896AAD"/>
    <w:rsid w:val="00896FEC"/>
    <w:rsid w:val="00897E57"/>
    <w:rsid w:val="008A18D3"/>
    <w:rsid w:val="008A2D9B"/>
    <w:rsid w:val="008A3FB4"/>
    <w:rsid w:val="008A4894"/>
    <w:rsid w:val="008B045D"/>
    <w:rsid w:val="008B2B9D"/>
    <w:rsid w:val="008B31C5"/>
    <w:rsid w:val="008B43A5"/>
    <w:rsid w:val="008B5F97"/>
    <w:rsid w:val="008B7E6C"/>
    <w:rsid w:val="008C069B"/>
    <w:rsid w:val="008C0E5B"/>
    <w:rsid w:val="008C2871"/>
    <w:rsid w:val="008C6E1C"/>
    <w:rsid w:val="008C6FCF"/>
    <w:rsid w:val="008D0A13"/>
    <w:rsid w:val="008D0CF7"/>
    <w:rsid w:val="008D1BD3"/>
    <w:rsid w:val="008D3FE1"/>
    <w:rsid w:val="008D4F45"/>
    <w:rsid w:val="008D619B"/>
    <w:rsid w:val="008D723F"/>
    <w:rsid w:val="008E0F55"/>
    <w:rsid w:val="008E17AC"/>
    <w:rsid w:val="008E2349"/>
    <w:rsid w:val="008E36CA"/>
    <w:rsid w:val="008E518D"/>
    <w:rsid w:val="008E608F"/>
    <w:rsid w:val="008E60A8"/>
    <w:rsid w:val="008E69C6"/>
    <w:rsid w:val="008E74EB"/>
    <w:rsid w:val="008F041A"/>
    <w:rsid w:val="008F132F"/>
    <w:rsid w:val="008F2C92"/>
    <w:rsid w:val="008F343E"/>
    <w:rsid w:val="008F35D9"/>
    <w:rsid w:val="008F44C8"/>
    <w:rsid w:val="008F57A2"/>
    <w:rsid w:val="008F69DD"/>
    <w:rsid w:val="008F6BC0"/>
    <w:rsid w:val="0090019D"/>
    <w:rsid w:val="00901159"/>
    <w:rsid w:val="0090222B"/>
    <w:rsid w:val="009027D4"/>
    <w:rsid w:val="009037A4"/>
    <w:rsid w:val="009050BE"/>
    <w:rsid w:val="009053D0"/>
    <w:rsid w:val="009061A3"/>
    <w:rsid w:val="00906766"/>
    <w:rsid w:val="0090745C"/>
    <w:rsid w:val="00907D97"/>
    <w:rsid w:val="0091010D"/>
    <w:rsid w:val="009123CC"/>
    <w:rsid w:val="009158F2"/>
    <w:rsid w:val="00915DA4"/>
    <w:rsid w:val="00915E8B"/>
    <w:rsid w:val="009160BA"/>
    <w:rsid w:val="00916243"/>
    <w:rsid w:val="00916749"/>
    <w:rsid w:val="00920124"/>
    <w:rsid w:val="00920A62"/>
    <w:rsid w:val="009214B4"/>
    <w:rsid w:val="009229A5"/>
    <w:rsid w:val="0092485F"/>
    <w:rsid w:val="00927E5E"/>
    <w:rsid w:val="00931A02"/>
    <w:rsid w:val="0093271B"/>
    <w:rsid w:val="009335BF"/>
    <w:rsid w:val="009348A3"/>
    <w:rsid w:val="00935DB9"/>
    <w:rsid w:val="00935EB8"/>
    <w:rsid w:val="00936795"/>
    <w:rsid w:val="00936D11"/>
    <w:rsid w:val="00937ABD"/>
    <w:rsid w:val="009417FE"/>
    <w:rsid w:val="0094195A"/>
    <w:rsid w:val="00941B3C"/>
    <w:rsid w:val="009426B4"/>
    <w:rsid w:val="009433EF"/>
    <w:rsid w:val="009434FC"/>
    <w:rsid w:val="00943726"/>
    <w:rsid w:val="00944F4C"/>
    <w:rsid w:val="00946187"/>
    <w:rsid w:val="00947674"/>
    <w:rsid w:val="009501ED"/>
    <w:rsid w:val="009502D9"/>
    <w:rsid w:val="0095061F"/>
    <w:rsid w:val="009506CF"/>
    <w:rsid w:val="00953A5F"/>
    <w:rsid w:val="00960A11"/>
    <w:rsid w:val="00960FB3"/>
    <w:rsid w:val="00961823"/>
    <w:rsid w:val="00961EE3"/>
    <w:rsid w:val="0096307B"/>
    <w:rsid w:val="0096372F"/>
    <w:rsid w:val="009641DD"/>
    <w:rsid w:val="00964EEE"/>
    <w:rsid w:val="0096500D"/>
    <w:rsid w:val="0097065E"/>
    <w:rsid w:val="00970E7C"/>
    <w:rsid w:val="00970E82"/>
    <w:rsid w:val="009712F6"/>
    <w:rsid w:val="00971592"/>
    <w:rsid w:val="0097296D"/>
    <w:rsid w:val="00976087"/>
    <w:rsid w:val="009773EF"/>
    <w:rsid w:val="0097745C"/>
    <w:rsid w:val="00981070"/>
    <w:rsid w:val="0098236C"/>
    <w:rsid w:val="00982D54"/>
    <w:rsid w:val="00983B84"/>
    <w:rsid w:val="00987106"/>
    <w:rsid w:val="00987D78"/>
    <w:rsid w:val="00991D31"/>
    <w:rsid w:val="00991F9C"/>
    <w:rsid w:val="0099206B"/>
    <w:rsid w:val="00992832"/>
    <w:rsid w:val="009943A2"/>
    <w:rsid w:val="00994D1E"/>
    <w:rsid w:val="00995292"/>
    <w:rsid w:val="009959EF"/>
    <w:rsid w:val="00997A93"/>
    <w:rsid w:val="009A071A"/>
    <w:rsid w:val="009A1626"/>
    <w:rsid w:val="009A1C9F"/>
    <w:rsid w:val="009A1DAC"/>
    <w:rsid w:val="009A232D"/>
    <w:rsid w:val="009A4370"/>
    <w:rsid w:val="009A6BAA"/>
    <w:rsid w:val="009B04CE"/>
    <w:rsid w:val="009B0A2C"/>
    <w:rsid w:val="009B2714"/>
    <w:rsid w:val="009B5048"/>
    <w:rsid w:val="009B57B7"/>
    <w:rsid w:val="009B6171"/>
    <w:rsid w:val="009C06E2"/>
    <w:rsid w:val="009C3059"/>
    <w:rsid w:val="009C35B6"/>
    <w:rsid w:val="009C3E53"/>
    <w:rsid w:val="009C47FC"/>
    <w:rsid w:val="009C481C"/>
    <w:rsid w:val="009C54D9"/>
    <w:rsid w:val="009C62DB"/>
    <w:rsid w:val="009C66BB"/>
    <w:rsid w:val="009D0E53"/>
    <w:rsid w:val="009D0FDC"/>
    <w:rsid w:val="009D246F"/>
    <w:rsid w:val="009D2D0B"/>
    <w:rsid w:val="009D2FD8"/>
    <w:rsid w:val="009D3E82"/>
    <w:rsid w:val="009D548A"/>
    <w:rsid w:val="009D5D6E"/>
    <w:rsid w:val="009D7CF1"/>
    <w:rsid w:val="009E03B8"/>
    <w:rsid w:val="009E04D7"/>
    <w:rsid w:val="009E10CA"/>
    <w:rsid w:val="009E1190"/>
    <w:rsid w:val="009E1D23"/>
    <w:rsid w:val="009E1EFC"/>
    <w:rsid w:val="009E3FAF"/>
    <w:rsid w:val="009E4105"/>
    <w:rsid w:val="009E4483"/>
    <w:rsid w:val="009E5E49"/>
    <w:rsid w:val="009E5F91"/>
    <w:rsid w:val="009E68A1"/>
    <w:rsid w:val="009E6B99"/>
    <w:rsid w:val="009E7E0A"/>
    <w:rsid w:val="009F0692"/>
    <w:rsid w:val="009F109C"/>
    <w:rsid w:val="009F17EA"/>
    <w:rsid w:val="009F202C"/>
    <w:rsid w:val="009F2134"/>
    <w:rsid w:val="009F32C8"/>
    <w:rsid w:val="009F3EAD"/>
    <w:rsid w:val="009F4B4D"/>
    <w:rsid w:val="009F51B8"/>
    <w:rsid w:val="009F5681"/>
    <w:rsid w:val="009F63DA"/>
    <w:rsid w:val="009F75E7"/>
    <w:rsid w:val="009F797C"/>
    <w:rsid w:val="00A00595"/>
    <w:rsid w:val="00A00C9B"/>
    <w:rsid w:val="00A00CA7"/>
    <w:rsid w:val="00A017CA"/>
    <w:rsid w:val="00A01A6C"/>
    <w:rsid w:val="00A01BBD"/>
    <w:rsid w:val="00A01EE4"/>
    <w:rsid w:val="00A0374C"/>
    <w:rsid w:val="00A0521F"/>
    <w:rsid w:val="00A0718A"/>
    <w:rsid w:val="00A0735A"/>
    <w:rsid w:val="00A07690"/>
    <w:rsid w:val="00A07D53"/>
    <w:rsid w:val="00A105A3"/>
    <w:rsid w:val="00A10B61"/>
    <w:rsid w:val="00A12698"/>
    <w:rsid w:val="00A151E3"/>
    <w:rsid w:val="00A175EA"/>
    <w:rsid w:val="00A20FB6"/>
    <w:rsid w:val="00A215BC"/>
    <w:rsid w:val="00A21B96"/>
    <w:rsid w:val="00A224AE"/>
    <w:rsid w:val="00A2352F"/>
    <w:rsid w:val="00A2391B"/>
    <w:rsid w:val="00A23C66"/>
    <w:rsid w:val="00A2792D"/>
    <w:rsid w:val="00A31254"/>
    <w:rsid w:val="00A31585"/>
    <w:rsid w:val="00A32184"/>
    <w:rsid w:val="00A32728"/>
    <w:rsid w:val="00A32B22"/>
    <w:rsid w:val="00A33C69"/>
    <w:rsid w:val="00A33D65"/>
    <w:rsid w:val="00A3446A"/>
    <w:rsid w:val="00A3581E"/>
    <w:rsid w:val="00A35E76"/>
    <w:rsid w:val="00A40C02"/>
    <w:rsid w:val="00A41193"/>
    <w:rsid w:val="00A416E0"/>
    <w:rsid w:val="00A41F3A"/>
    <w:rsid w:val="00A42C04"/>
    <w:rsid w:val="00A43C1C"/>
    <w:rsid w:val="00A4417E"/>
    <w:rsid w:val="00A44582"/>
    <w:rsid w:val="00A50E20"/>
    <w:rsid w:val="00A518D7"/>
    <w:rsid w:val="00A52273"/>
    <w:rsid w:val="00A5283D"/>
    <w:rsid w:val="00A5285D"/>
    <w:rsid w:val="00A52F09"/>
    <w:rsid w:val="00A5530C"/>
    <w:rsid w:val="00A556D6"/>
    <w:rsid w:val="00A57248"/>
    <w:rsid w:val="00A5749D"/>
    <w:rsid w:val="00A5774B"/>
    <w:rsid w:val="00A61877"/>
    <w:rsid w:val="00A645FE"/>
    <w:rsid w:val="00A64A42"/>
    <w:rsid w:val="00A64A6F"/>
    <w:rsid w:val="00A665B6"/>
    <w:rsid w:val="00A66A71"/>
    <w:rsid w:val="00A66DC4"/>
    <w:rsid w:val="00A719BC"/>
    <w:rsid w:val="00A72590"/>
    <w:rsid w:val="00A73EFB"/>
    <w:rsid w:val="00A740AF"/>
    <w:rsid w:val="00A749EA"/>
    <w:rsid w:val="00A74C00"/>
    <w:rsid w:val="00A7696D"/>
    <w:rsid w:val="00A77A36"/>
    <w:rsid w:val="00A77C27"/>
    <w:rsid w:val="00A77EAB"/>
    <w:rsid w:val="00A808FA"/>
    <w:rsid w:val="00A811C3"/>
    <w:rsid w:val="00A816AC"/>
    <w:rsid w:val="00A8192A"/>
    <w:rsid w:val="00A82CB2"/>
    <w:rsid w:val="00A83470"/>
    <w:rsid w:val="00A84A06"/>
    <w:rsid w:val="00A84A76"/>
    <w:rsid w:val="00A85B15"/>
    <w:rsid w:val="00A86209"/>
    <w:rsid w:val="00A86A91"/>
    <w:rsid w:val="00A86DEB"/>
    <w:rsid w:val="00A87B02"/>
    <w:rsid w:val="00A87CF3"/>
    <w:rsid w:val="00A9027E"/>
    <w:rsid w:val="00A943C2"/>
    <w:rsid w:val="00A945FA"/>
    <w:rsid w:val="00A94613"/>
    <w:rsid w:val="00A95452"/>
    <w:rsid w:val="00A95488"/>
    <w:rsid w:val="00A96687"/>
    <w:rsid w:val="00AA16A2"/>
    <w:rsid w:val="00AA1BD8"/>
    <w:rsid w:val="00AA29FE"/>
    <w:rsid w:val="00AA44E8"/>
    <w:rsid w:val="00AA49B1"/>
    <w:rsid w:val="00AA5FEA"/>
    <w:rsid w:val="00AB0435"/>
    <w:rsid w:val="00AB1E28"/>
    <w:rsid w:val="00AB22A4"/>
    <w:rsid w:val="00AB598A"/>
    <w:rsid w:val="00AB63E4"/>
    <w:rsid w:val="00AB6A01"/>
    <w:rsid w:val="00AB6D2C"/>
    <w:rsid w:val="00AC15BB"/>
    <w:rsid w:val="00AC4C50"/>
    <w:rsid w:val="00AC6383"/>
    <w:rsid w:val="00AC654A"/>
    <w:rsid w:val="00AD0BF6"/>
    <w:rsid w:val="00AD3485"/>
    <w:rsid w:val="00AD4F83"/>
    <w:rsid w:val="00AD6021"/>
    <w:rsid w:val="00AD60FE"/>
    <w:rsid w:val="00AD61E2"/>
    <w:rsid w:val="00AD6F96"/>
    <w:rsid w:val="00AD7145"/>
    <w:rsid w:val="00AD73B3"/>
    <w:rsid w:val="00AD7A2A"/>
    <w:rsid w:val="00AE194D"/>
    <w:rsid w:val="00AE35C3"/>
    <w:rsid w:val="00AE367E"/>
    <w:rsid w:val="00AE4744"/>
    <w:rsid w:val="00AE54E6"/>
    <w:rsid w:val="00AE7BEB"/>
    <w:rsid w:val="00AF0D35"/>
    <w:rsid w:val="00AF18E5"/>
    <w:rsid w:val="00AF1BC6"/>
    <w:rsid w:val="00AF29C9"/>
    <w:rsid w:val="00AF4769"/>
    <w:rsid w:val="00AF4BFB"/>
    <w:rsid w:val="00AF51BF"/>
    <w:rsid w:val="00AF5EBE"/>
    <w:rsid w:val="00AF6335"/>
    <w:rsid w:val="00AF78C3"/>
    <w:rsid w:val="00B0072D"/>
    <w:rsid w:val="00B00A24"/>
    <w:rsid w:val="00B00CC8"/>
    <w:rsid w:val="00B01AE8"/>
    <w:rsid w:val="00B01E00"/>
    <w:rsid w:val="00B04A75"/>
    <w:rsid w:val="00B04E9C"/>
    <w:rsid w:val="00B05D97"/>
    <w:rsid w:val="00B07A94"/>
    <w:rsid w:val="00B10D03"/>
    <w:rsid w:val="00B111AD"/>
    <w:rsid w:val="00B115DC"/>
    <w:rsid w:val="00B11B3A"/>
    <w:rsid w:val="00B13007"/>
    <w:rsid w:val="00B21CE2"/>
    <w:rsid w:val="00B232E9"/>
    <w:rsid w:val="00B23B4B"/>
    <w:rsid w:val="00B23CFB"/>
    <w:rsid w:val="00B2555F"/>
    <w:rsid w:val="00B27748"/>
    <w:rsid w:val="00B27AA6"/>
    <w:rsid w:val="00B30FCC"/>
    <w:rsid w:val="00B32723"/>
    <w:rsid w:val="00B32B8A"/>
    <w:rsid w:val="00B330CB"/>
    <w:rsid w:val="00B3353F"/>
    <w:rsid w:val="00B335CC"/>
    <w:rsid w:val="00B33FC6"/>
    <w:rsid w:val="00B340E4"/>
    <w:rsid w:val="00B363C9"/>
    <w:rsid w:val="00B36929"/>
    <w:rsid w:val="00B36988"/>
    <w:rsid w:val="00B37418"/>
    <w:rsid w:val="00B3780C"/>
    <w:rsid w:val="00B378EC"/>
    <w:rsid w:val="00B40A61"/>
    <w:rsid w:val="00B417BA"/>
    <w:rsid w:val="00B44B35"/>
    <w:rsid w:val="00B44CC5"/>
    <w:rsid w:val="00B44D58"/>
    <w:rsid w:val="00B501FB"/>
    <w:rsid w:val="00B522C2"/>
    <w:rsid w:val="00B53081"/>
    <w:rsid w:val="00B53500"/>
    <w:rsid w:val="00B5357A"/>
    <w:rsid w:val="00B54CED"/>
    <w:rsid w:val="00B55324"/>
    <w:rsid w:val="00B55BD7"/>
    <w:rsid w:val="00B56070"/>
    <w:rsid w:val="00B5611D"/>
    <w:rsid w:val="00B5626E"/>
    <w:rsid w:val="00B569D2"/>
    <w:rsid w:val="00B574EC"/>
    <w:rsid w:val="00B57C7A"/>
    <w:rsid w:val="00B57CDE"/>
    <w:rsid w:val="00B60EDD"/>
    <w:rsid w:val="00B61872"/>
    <w:rsid w:val="00B62A9F"/>
    <w:rsid w:val="00B62C8B"/>
    <w:rsid w:val="00B640B0"/>
    <w:rsid w:val="00B64591"/>
    <w:rsid w:val="00B649CB"/>
    <w:rsid w:val="00B64A66"/>
    <w:rsid w:val="00B64CFE"/>
    <w:rsid w:val="00B65EA9"/>
    <w:rsid w:val="00B66479"/>
    <w:rsid w:val="00B66D0C"/>
    <w:rsid w:val="00B677BC"/>
    <w:rsid w:val="00B70BAD"/>
    <w:rsid w:val="00B72164"/>
    <w:rsid w:val="00B72521"/>
    <w:rsid w:val="00B7428F"/>
    <w:rsid w:val="00B75D5F"/>
    <w:rsid w:val="00B75D6D"/>
    <w:rsid w:val="00B766DF"/>
    <w:rsid w:val="00B8090B"/>
    <w:rsid w:val="00B81F77"/>
    <w:rsid w:val="00B83AD5"/>
    <w:rsid w:val="00B83AF9"/>
    <w:rsid w:val="00B84111"/>
    <w:rsid w:val="00B8534A"/>
    <w:rsid w:val="00B91C03"/>
    <w:rsid w:val="00B92498"/>
    <w:rsid w:val="00B94FCB"/>
    <w:rsid w:val="00B952A8"/>
    <w:rsid w:val="00B96A4C"/>
    <w:rsid w:val="00B9700E"/>
    <w:rsid w:val="00B97038"/>
    <w:rsid w:val="00BA03D0"/>
    <w:rsid w:val="00BA0402"/>
    <w:rsid w:val="00BA15FE"/>
    <w:rsid w:val="00BA1BEF"/>
    <w:rsid w:val="00BA2078"/>
    <w:rsid w:val="00BA258B"/>
    <w:rsid w:val="00BA2989"/>
    <w:rsid w:val="00BA3209"/>
    <w:rsid w:val="00BA492F"/>
    <w:rsid w:val="00BA5EBB"/>
    <w:rsid w:val="00BA6618"/>
    <w:rsid w:val="00BA7B04"/>
    <w:rsid w:val="00BB0BA6"/>
    <w:rsid w:val="00BB3776"/>
    <w:rsid w:val="00BB4249"/>
    <w:rsid w:val="00BB5FFF"/>
    <w:rsid w:val="00BB66B8"/>
    <w:rsid w:val="00BB6C71"/>
    <w:rsid w:val="00BB7169"/>
    <w:rsid w:val="00BB74AF"/>
    <w:rsid w:val="00BB7A7F"/>
    <w:rsid w:val="00BB7E8A"/>
    <w:rsid w:val="00BC1B93"/>
    <w:rsid w:val="00BC2076"/>
    <w:rsid w:val="00BC42C3"/>
    <w:rsid w:val="00BC4706"/>
    <w:rsid w:val="00BC55AF"/>
    <w:rsid w:val="00BC5A72"/>
    <w:rsid w:val="00BC7631"/>
    <w:rsid w:val="00BD1172"/>
    <w:rsid w:val="00BD135D"/>
    <w:rsid w:val="00BD152E"/>
    <w:rsid w:val="00BD2930"/>
    <w:rsid w:val="00BD2EED"/>
    <w:rsid w:val="00BD4478"/>
    <w:rsid w:val="00BD4E62"/>
    <w:rsid w:val="00BD614F"/>
    <w:rsid w:val="00BD6BE4"/>
    <w:rsid w:val="00BD6C2E"/>
    <w:rsid w:val="00BD72E7"/>
    <w:rsid w:val="00BD7599"/>
    <w:rsid w:val="00BD7EEE"/>
    <w:rsid w:val="00BE031C"/>
    <w:rsid w:val="00BE086C"/>
    <w:rsid w:val="00BE51D5"/>
    <w:rsid w:val="00BE6118"/>
    <w:rsid w:val="00BE644C"/>
    <w:rsid w:val="00BE6DC7"/>
    <w:rsid w:val="00BF3AE3"/>
    <w:rsid w:val="00BF3F72"/>
    <w:rsid w:val="00BF419D"/>
    <w:rsid w:val="00BF42AF"/>
    <w:rsid w:val="00BF4F0D"/>
    <w:rsid w:val="00BF5511"/>
    <w:rsid w:val="00BF670A"/>
    <w:rsid w:val="00C03594"/>
    <w:rsid w:val="00C04078"/>
    <w:rsid w:val="00C04D1B"/>
    <w:rsid w:val="00C04DAB"/>
    <w:rsid w:val="00C05564"/>
    <w:rsid w:val="00C05F97"/>
    <w:rsid w:val="00C10FEE"/>
    <w:rsid w:val="00C1193D"/>
    <w:rsid w:val="00C13B06"/>
    <w:rsid w:val="00C143E7"/>
    <w:rsid w:val="00C1648B"/>
    <w:rsid w:val="00C2320D"/>
    <w:rsid w:val="00C235E9"/>
    <w:rsid w:val="00C2388F"/>
    <w:rsid w:val="00C238FC"/>
    <w:rsid w:val="00C24064"/>
    <w:rsid w:val="00C25658"/>
    <w:rsid w:val="00C25B4B"/>
    <w:rsid w:val="00C26342"/>
    <w:rsid w:val="00C2666F"/>
    <w:rsid w:val="00C26793"/>
    <w:rsid w:val="00C26E5C"/>
    <w:rsid w:val="00C2725A"/>
    <w:rsid w:val="00C30D12"/>
    <w:rsid w:val="00C31A8D"/>
    <w:rsid w:val="00C31E0E"/>
    <w:rsid w:val="00C3335F"/>
    <w:rsid w:val="00C34BBE"/>
    <w:rsid w:val="00C3541D"/>
    <w:rsid w:val="00C35D16"/>
    <w:rsid w:val="00C40B2C"/>
    <w:rsid w:val="00C40EC4"/>
    <w:rsid w:val="00C421AA"/>
    <w:rsid w:val="00C43230"/>
    <w:rsid w:val="00C437DC"/>
    <w:rsid w:val="00C476F3"/>
    <w:rsid w:val="00C51B0C"/>
    <w:rsid w:val="00C53579"/>
    <w:rsid w:val="00C5373F"/>
    <w:rsid w:val="00C54036"/>
    <w:rsid w:val="00C557F6"/>
    <w:rsid w:val="00C55887"/>
    <w:rsid w:val="00C565BE"/>
    <w:rsid w:val="00C5663B"/>
    <w:rsid w:val="00C56BB2"/>
    <w:rsid w:val="00C6055C"/>
    <w:rsid w:val="00C60648"/>
    <w:rsid w:val="00C607DF"/>
    <w:rsid w:val="00C60A9F"/>
    <w:rsid w:val="00C615D5"/>
    <w:rsid w:val="00C635D3"/>
    <w:rsid w:val="00C64748"/>
    <w:rsid w:val="00C65495"/>
    <w:rsid w:val="00C654A0"/>
    <w:rsid w:val="00C65EA5"/>
    <w:rsid w:val="00C66C38"/>
    <w:rsid w:val="00C66F4B"/>
    <w:rsid w:val="00C70EDF"/>
    <w:rsid w:val="00C70EE5"/>
    <w:rsid w:val="00C710A0"/>
    <w:rsid w:val="00C72557"/>
    <w:rsid w:val="00C73472"/>
    <w:rsid w:val="00C76E0D"/>
    <w:rsid w:val="00C77844"/>
    <w:rsid w:val="00C77E90"/>
    <w:rsid w:val="00C814E2"/>
    <w:rsid w:val="00C8167C"/>
    <w:rsid w:val="00C85D98"/>
    <w:rsid w:val="00C90CE9"/>
    <w:rsid w:val="00C931B3"/>
    <w:rsid w:val="00C93F4C"/>
    <w:rsid w:val="00C941E3"/>
    <w:rsid w:val="00C95245"/>
    <w:rsid w:val="00C95379"/>
    <w:rsid w:val="00C95E9D"/>
    <w:rsid w:val="00C9755F"/>
    <w:rsid w:val="00C977C7"/>
    <w:rsid w:val="00CA03E9"/>
    <w:rsid w:val="00CA229E"/>
    <w:rsid w:val="00CA2577"/>
    <w:rsid w:val="00CA313C"/>
    <w:rsid w:val="00CA484F"/>
    <w:rsid w:val="00CA4DCF"/>
    <w:rsid w:val="00CA51EC"/>
    <w:rsid w:val="00CA5331"/>
    <w:rsid w:val="00CA553C"/>
    <w:rsid w:val="00CA574D"/>
    <w:rsid w:val="00CA6D78"/>
    <w:rsid w:val="00CA714E"/>
    <w:rsid w:val="00CB0367"/>
    <w:rsid w:val="00CB1FB0"/>
    <w:rsid w:val="00CB38E0"/>
    <w:rsid w:val="00CB45A2"/>
    <w:rsid w:val="00CB4ACE"/>
    <w:rsid w:val="00CB5277"/>
    <w:rsid w:val="00CB66F7"/>
    <w:rsid w:val="00CB7816"/>
    <w:rsid w:val="00CC0AE7"/>
    <w:rsid w:val="00CC15BA"/>
    <w:rsid w:val="00CC2517"/>
    <w:rsid w:val="00CC2EB4"/>
    <w:rsid w:val="00CC301B"/>
    <w:rsid w:val="00CC3F52"/>
    <w:rsid w:val="00CC43C3"/>
    <w:rsid w:val="00CC5333"/>
    <w:rsid w:val="00CC593A"/>
    <w:rsid w:val="00CC7021"/>
    <w:rsid w:val="00CC7B6A"/>
    <w:rsid w:val="00CD0171"/>
    <w:rsid w:val="00CD0925"/>
    <w:rsid w:val="00CD215F"/>
    <w:rsid w:val="00CD255E"/>
    <w:rsid w:val="00CD37A0"/>
    <w:rsid w:val="00CD39D6"/>
    <w:rsid w:val="00CD4405"/>
    <w:rsid w:val="00CD704D"/>
    <w:rsid w:val="00CD7837"/>
    <w:rsid w:val="00CE018B"/>
    <w:rsid w:val="00CE20B6"/>
    <w:rsid w:val="00CE2B8D"/>
    <w:rsid w:val="00CE3FCB"/>
    <w:rsid w:val="00CE758A"/>
    <w:rsid w:val="00CE7F3F"/>
    <w:rsid w:val="00CF02DF"/>
    <w:rsid w:val="00CF2382"/>
    <w:rsid w:val="00CF25FA"/>
    <w:rsid w:val="00CF321A"/>
    <w:rsid w:val="00CF6478"/>
    <w:rsid w:val="00CF7DD2"/>
    <w:rsid w:val="00D0140E"/>
    <w:rsid w:val="00D02041"/>
    <w:rsid w:val="00D0258D"/>
    <w:rsid w:val="00D03958"/>
    <w:rsid w:val="00D03AA1"/>
    <w:rsid w:val="00D03E54"/>
    <w:rsid w:val="00D0446D"/>
    <w:rsid w:val="00D06432"/>
    <w:rsid w:val="00D065EB"/>
    <w:rsid w:val="00D06EA4"/>
    <w:rsid w:val="00D07432"/>
    <w:rsid w:val="00D07CA8"/>
    <w:rsid w:val="00D11ACD"/>
    <w:rsid w:val="00D121F6"/>
    <w:rsid w:val="00D12984"/>
    <w:rsid w:val="00D12B86"/>
    <w:rsid w:val="00D13BDD"/>
    <w:rsid w:val="00D13E06"/>
    <w:rsid w:val="00D1423B"/>
    <w:rsid w:val="00D16CDC"/>
    <w:rsid w:val="00D21938"/>
    <w:rsid w:val="00D21E2C"/>
    <w:rsid w:val="00D23056"/>
    <w:rsid w:val="00D247DC"/>
    <w:rsid w:val="00D2583B"/>
    <w:rsid w:val="00D27B2A"/>
    <w:rsid w:val="00D30527"/>
    <w:rsid w:val="00D309EB"/>
    <w:rsid w:val="00D30B31"/>
    <w:rsid w:val="00D31054"/>
    <w:rsid w:val="00D3127E"/>
    <w:rsid w:val="00D34480"/>
    <w:rsid w:val="00D357A9"/>
    <w:rsid w:val="00D37B12"/>
    <w:rsid w:val="00D419D3"/>
    <w:rsid w:val="00D42F4C"/>
    <w:rsid w:val="00D44675"/>
    <w:rsid w:val="00D44D06"/>
    <w:rsid w:val="00D45414"/>
    <w:rsid w:val="00D45D80"/>
    <w:rsid w:val="00D469C0"/>
    <w:rsid w:val="00D50A8E"/>
    <w:rsid w:val="00D5142E"/>
    <w:rsid w:val="00D51ECC"/>
    <w:rsid w:val="00D52ABA"/>
    <w:rsid w:val="00D52D3B"/>
    <w:rsid w:val="00D53052"/>
    <w:rsid w:val="00D53552"/>
    <w:rsid w:val="00D54194"/>
    <w:rsid w:val="00D5485A"/>
    <w:rsid w:val="00D54B16"/>
    <w:rsid w:val="00D55391"/>
    <w:rsid w:val="00D55D10"/>
    <w:rsid w:val="00D563A4"/>
    <w:rsid w:val="00D5657B"/>
    <w:rsid w:val="00D60F98"/>
    <w:rsid w:val="00D6251B"/>
    <w:rsid w:val="00D63487"/>
    <w:rsid w:val="00D636E9"/>
    <w:rsid w:val="00D653F3"/>
    <w:rsid w:val="00D65988"/>
    <w:rsid w:val="00D65B2D"/>
    <w:rsid w:val="00D65CDA"/>
    <w:rsid w:val="00D66D76"/>
    <w:rsid w:val="00D66E92"/>
    <w:rsid w:val="00D67FE9"/>
    <w:rsid w:val="00D709EB"/>
    <w:rsid w:val="00D71DFF"/>
    <w:rsid w:val="00D72CA4"/>
    <w:rsid w:val="00D73329"/>
    <w:rsid w:val="00D73BD1"/>
    <w:rsid w:val="00D743B2"/>
    <w:rsid w:val="00D745D4"/>
    <w:rsid w:val="00D74691"/>
    <w:rsid w:val="00D754FB"/>
    <w:rsid w:val="00D759D7"/>
    <w:rsid w:val="00D76537"/>
    <w:rsid w:val="00D778B4"/>
    <w:rsid w:val="00D83556"/>
    <w:rsid w:val="00D852B0"/>
    <w:rsid w:val="00D868AA"/>
    <w:rsid w:val="00D869F2"/>
    <w:rsid w:val="00D90245"/>
    <w:rsid w:val="00D90AAE"/>
    <w:rsid w:val="00D9116E"/>
    <w:rsid w:val="00D915D7"/>
    <w:rsid w:val="00D92517"/>
    <w:rsid w:val="00D93CD7"/>
    <w:rsid w:val="00D93F66"/>
    <w:rsid w:val="00D952B7"/>
    <w:rsid w:val="00D96394"/>
    <w:rsid w:val="00D96948"/>
    <w:rsid w:val="00D9726C"/>
    <w:rsid w:val="00D97921"/>
    <w:rsid w:val="00DA080B"/>
    <w:rsid w:val="00DA0D3E"/>
    <w:rsid w:val="00DA53F8"/>
    <w:rsid w:val="00DA6BB5"/>
    <w:rsid w:val="00DB131A"/>
    <w:rsid w:val="00DB17FD"/>
    <w:rsid w:val="00DB1883"/>
    <w:rsid w:val="00DB1D61"/>
    <w:rsid w:val="00DB35C6"/>
    <w:rsid w:val="00DB3CEF"/>
    <w:rsid w:val="00DB4861"/>
    <w:rsid w:val="00DB4959"/>
    <w:rsid w:val="00DB4AF3"/>
    <w:rsid w:val="00DB6957"/>
    <w:rsid w:val="00DB70F4"/>
    <w:rsid w:val="00DB729D"/>
    <w:rsid w:val="00DB7EBC"/>
    <w:rsid w:val="00DC0284"/>
    <w:rsid w:val="00DC0C89"/>
    <w:rsid w:val="00DC0E0B"/>
    <w:rsid w:val="00DC1568"/>
    <w:rsid w:val="00DC1CD9"/>
    <w:rsid w:val="00DC1F1C"/>
    <w:rsid w:val="00DC25BF"/>
    <w:rsid w:val="00DC39B2"/>
    <w:rsid w:val="00DC4621"/>
    <w:rsid w:val="00DC5C8E"/>
    <w:rsid w:val="00DC6E25"/>
    <w:rsid w:val="00DC7C93"/>
    <w:rsid w:val="00DC7F61"/>
    <w:rsid w:val="00DD077B"/>
    <w:rsid w:val="00DD1B51"/>
    <w:rsid w:val="00DD2461"/>
    <w:rsid w:val="00DD25E0"/>
    <w:rsid w:val="00DD2A3B"/>
    <w:rsid w:val="00DD40A2"/>
    <w:rsid w:val="00DD504E"/>
    <w:rsid w:val="00DD53B9"/>
    <w:rsid w:val="00DD605E"/>
    <w:rsid w:val="00DD66BF"/>
    <w:rsid w:val="00DD67E6"/>
    <w:rsid w:val="00DD7294"/>
    <w:rsid w:val="00DD7B4F"/>
    <w:rsid w:val="00DD7C01"/>
    <w:rsid w:val="00DE0438"/>
    <w:rsid w:val="00DE1AC2"/>
    <w:rsid w:val="00DE2057"/>
    <w:rsid w:val="00DE25C0"/>
    <w:rsid w:val="00DE28E0"/>
    <w:rsid w:val="00DE32C4"/>
    <w:rsid w:val="00DE32CA"/>
    <w:rsid w:val="00DE3559"/>
    <w:rsid w:val="00DE5F81"/>
    <w:rsid w:val="00DE606B"/>
    <w:rsid w:val="00DE6756"/>
    <w:rsid w:val="00DE7868"/>
    <w:rsid w:val="00DF0DD1"/>
    <w:rsid w:val="00DF3807"/>
    <w:rsid w:val="00DF3DDF"/>
    <w:rsid w:val="00DF54CC"/>
    <w:rsid w:val="00DF6FF7"/>
    <w:rsid w:val="00E0042C"/>
    <w:rsid w:val="00E02610"/>
    <w:rsid w:val="00E03C96"/>
    <w:rsid w:val="00E03F8B"/>
    <w:rsid w:val="00E04434"/>
    <w:rsid w:val="00E05466"/>
    <w:rsid w:val="00E105FF"/>
    <w:rsid w:val="00E12F2A"/>
    <w:rsid w:val="00E14150"/>
    <w:rsid w:val="00E17A62"/>
    <w:rsid w:val="00E200A7"/>
    <w:rsid w:val="00E20514"/>
    <w:rsid w:val="00E2211E"/>
    <w:rsid w:val="00E23602"/>
    <w:rsid w:val="00E2407A"/>
    <w:rsid w:val="00E24A2B"/>
    <w:rsid w:val="00E24BC9"/>
    <w:rsid w:val="00E2740D"/>
    <w:rsid w:val="00E27F65"/>
    <w:rsid w:val="00E307A7"/>
    <w:rsid w:val="00E313A5"/>
    <w:rsid w:val="00E318E3"/>
    <w:rsid w:val="00E32095"/>
    <w:rsid w:val="00E33017"/>
    <w:rsid w:val="00E3601B"/>
    <w:rsid w:val="00E3749C"/>
    <w:rsid w:val="00E37A30"/>
    <w:rsid w:val="00E4043F"/>
    <w:rsid w:val="00E40C01"/>
    <w:rsid w:val="00E40CCF"/>
    <w:rsid w:val="00E4222A"/>
    <w:rsid w:val="00E42636"/>
    <w:rsid w:val="00E42D3C"/>
    <w:rsid w:val="00E433F5"/>
    <w:rsid w:val="00E467EA"/>
    <w:rsid w:val="00E46E99"/>
    <w:rsid w:val="00E47746"/>
    <w:rsid w:val="00E512D0"/>
    <w:rsid w:val="00E5271A"/>
    <w:rsid w:val="00E530E8"/>
    <w:rsid w:val="00E53E08"/>
    <w:rsid w:val="00E552B6"/>
    <w:rsid w:val="00E5562D"/>
    <w:rsid w:val="00E55C91"/>
    <w:rsid w:val="00E566C5"/>
    <w:rsid w:val="00E5696D"/>
    <w:rsid w:val="00E57AE4"/>
    <w:rsid w:val="00E60633"/>
    <w:rsid w:val="00E611D1"/>
    <w:rsid w:val="00E62613"/>
    <w:rsid w:val="00E62DBD"/>
    <w:rsid w:val="00E6329F"/>
    <w:rsid w:val="00E63580"/>
    <w:rsid w:val="00E63CF5"/>
    <w:rsid w:val="00E6543B"/>
    <w:rsid w:val="00E657E1"/>
    <w:rsid w:val="00E6745D"/>
    <w:rsid w:val="00E677EF"/>
    <w:rsid w:val="00E67D16"/>
    <w:rsid w:val="00E70D0D"/>
    <w:rsid w:val="00E71BE4"/>
    <w:rsid w:val="00E725B1"/>
    <w:rsid w:val="00E729FB"/>
    <w:rsid w:val="00E72C8B"/>
    <w:rsid w:val="00E73C82"/>
    <w:rsid w:val="00E74B2C"/>
    <w:rsid w:val="00E7569A"/>
    <w:rsid w:val="00E75ABD"/>
    <w:rsid w:val="00E80964"/>
    <w:rsid w:val="00E80A53"/>
    <w:rsid w:val="00E815E9"/>
    <w:rsid w:val="00E82124"/>
    <w:rsid w:val="00E85744"/>
    <w:rsid w:val="00E87E02"/>
    <w:rsid w:val="00E9213C"/>
    <w:rsid w:val="00E93260"/>
    <w:rsid w:val="00E93446"/>
    <w:rsid w:val="00E93B61"/>
    <w:rsid w:val="00E958B7"/>
    <w:rsid w:val="00E96428"/>
    <w:rsid w:val="00E96FE7"/>
    <w:rsid w:val="00EA20A6"/>
    <w:rsid w:val="00EA2865"/>
    <w:rsid w:val="00EA2983"/>
    <w:rsid w:val="00EA4758"/>
    <w:rsid w:val="00EA5873"/>
    <w:rsid w:val="00EA631F"/>
    <w:rsid w:val="00EA6320"/>
    <w:rsid w:val="00EA6BCF"/>
    <w:rsid w:val="00EA7715"/>
    <w:rsid w:val="00EA7C45"/>
    <w:rsid w:val="00EB13D9"/>
    <w:rsid w:val="00EB1FDF"/>
    <w:rsid w:val="00EB2387"/>
    <w:rsid w:val="00EB2975"/>
    <w:rsid w:val="00EB4D36"/>
    <w:rsid w:val="00EB6750"/>
    <w:rsid w:val="00EC3CCB"/>
    <w:rsid w:val="00EC5E7F"/>
    <w:rsid w:val="00EC62D8"/>
    <w:rsid w:val="00ED11D9"/>
    <w:rsid w:val="00ED16FD"/>
    <w:rsid w:val="00ED4C43"/>
    <w:rsid w:val="00ED4EF1"/>
    <w:rsid w:val="00ED518F"/>
    <w:rsid w:val="00ED5613"/>
    <w:rsid w:val="00ED65C4"/>
    <w:rsid w:val="00ED6F10"/>
    <w:rsid w:val="00ED7273"/>
    <w:rsid w:val="00ED7DBD"/>
    <w:rsid w:val="00EE03C3"/>
    <w:rsid w:val="00EE1059"/>
    <w:rsid w:val="00EE113F"/>
    <w:rsid w:val="00EE1910"/>
    <w:rsid w:val="00EE1C45"/>
    <w:rsid w:val="00EE26AC"/>
    <w:rsid w:val="00EE546D"/>
    <w:rsid w:val="00EE5C97"/>
    <w:rsid w:val="00EE6E1F"/>
    <w:rsid w:val="00EE7168"/>
    <w:rsid w:val="00EE78ED"/>
    <w:rsid w:val="00EE7900"/>
    <w:rsid w:val="00EE7A00"/>
    <w:rsid w:val="00EF09D3"/>
    <w:rsid w:val="00EF0C41"/>
    <w:rsid w:val="00EF0ED6"/>
    <w:rsid w:val="00EF2D60"/>
    <w:rsid w:val="00EF2EDB"/>
    <w:rsid w:val="00EF41F3"/>
    <w:rsid w:val="00EF476F"/>
    <w:rsid w:val="00EF4873"/>
    <w:rsid w:val="00EF49EC"/>
    <w:rsid w:val="00EF4C14"/>
    <w:rsid w:val="00EF5B9A"/>
    <w:rsid w:val="00EF6070"/>
    <w:rsid w:val="00EF6A2F"/>
    <w:rsid w:val="00F00743"/>
    <w:rsid w:val="00F02C40"/>
    <w:rsid w:val="00F0351E"/>
    <w:rsid w:val="00F03BB3"/>
    <w:rsid w:val="00F03C49"/>
    <w:rsid w:val="00F0491D"/>
    <w:rsid w:val="00F059CD"/>
    <w:rsid w:val="00F060DA"/>
    <w:rsid w:val="00F074FF"/>
    <w:rsid w:val="00F0796A"/>
    <w:rsid w:val="00F07F98"/>
    <w:rsid w:val="00F102EB"/>
    <w:rsid w:val="00F10315"/>
    <w:rsid w:val="00F10A88"/>
    <w:rsid w:val="00F113F0"/>
    <w:rsid w:val="00F114D0"/>
    <w:rsid w:val="00F11E0C"/>
    <w:rsid w:val="00F131EA"/>
    <w:rsid w:val="00F14212"/>
    <w:rsid w:val="00F15345"/>
    <w:rsid w:val="00F15AB9"/>
    <w:rsid w:val="00F16AE7"/>
    <w:rsid w:val="00F16D72"/>
    <w:rsid w:val="00F21125"/>
    <w:rsid w:val="00F2323F"/>
    <w:rsid w:val="00F23DC9"/>
    <w:rsid w:val="00F2538C"/>
    <w:rsid w:val="00F2553C"/>
    <w:rsid w:val="00F25ACD"/>
    <w:rsid w:val="00F25D38"/>
    <w:rsid w:val="00F3057B"/>
    <w:rsid w:val="00F320BF"/>
    <w:rsid w:val="00F323C5"/>
    <w:rsid w:val="00F325AA"/>
    <w:rsid w:val="00F33185"/>
    <w:rsid w:val="00F33973"/>
    <w:rsid w:val="00F33ABA"/>
    <w:rsid w:val="00F340E5"/>
    <w:rsid w:val="00F3597B"/>
    <w:rsid w:val="00F3781D"/>
    <w:rsid w:val="00F406AF"/>
    <w:rsid w:val="00F406B2"/>
    <w:rsid w:val="00F40D20"/>
    <w:rsid w:val="00F4148B"/>
    <w:rsid w:val="00F4164D"/>
    <w:rsid w:val="00F41869"/>
    <w:rsid w:val="00F41BD9"/>
    <w:rsid w:val="00F41D0D"/>
    <w:rsid w:val="00F42933"/>
    <w:rsid w:val="00F42C62"/>
    <w:rsid w:val="00F42D83"/>
    <w:rsid w:val="00F43B11"/>
    <w:rsid w:val="00F452B2"/>
    <w:rsid w:val="00F47CAA"/>
    <w:rsid w:val="00F50F1D"/>
    <w:rsid w:val="00F521FE"/>
    <w:rsid w:val="00F5262B"/>
    <w:rsid w:val="00F52691"/>
    <w:rsid w:val="00F52B29"/>
    <w:rsid w:val="00F52EDB"/>
    <w:rsid w:val="00F533E0"/>
    <w:rsid w:val="00F53A58"/>
    <w:rsid w:val="00F53A5B"/>
    <w:rsid w:val="00F54F27"/>
    <w:rsid w:val="00F560A0"/>
    <w:rsid w:val="00F60DAF"/>
    <w:rsid w:val="00F61660"/>
    <w:rsid w:val="00F63BD2"/>
    <w:rsid w:val="00F640B4"/>
    <w:rsid w:val="00F644D6"/>
    <w:rsid w:val="00F64F63"/>
    <w:rsid w:val="00F704AB"/>
    <w:rsid w:val="00F705CB"/>
    <w:rsid w:val="00F706B0"/>
    <w:rsid w:val="00F71E54"/>
    <w:rsid w:val="00F743E0"/>
    <w:rsid w:val="00F754AF"/>
    <w:rsid w:val="00F7652C"/>
    <w:rsid w:val="00F77823"/>
    <w:rsid w:val="00F80BF6"/>
    <w:rsid w:val="00F80D71"/>
    <w:rsid w:val="00F80E3A"/>
    <w:rsid w:val="00F8141A"/>
    <w:rsid w:val="00F81601"/>
    <w:rsid w:val="00F8363D"/>
    <w:rsid w:val="00F84CCE"/>
    <w:rsid w:val="00F85CC9"/>
    <w:rsid w:val="00F85EB7"/>
    <w:rsid w:val="00F866E8"/>
    <w:rsid w:val="00F86709"/>
    <w:rsid w:val="00F86B4B"/>
    <w:rsid w:val="00F87896"/>
    <w:rsid w:val="00F87A5C"/>
    <w:rsid w:val="00F90257"/>
    <w:rsid w:val="00F906AF"/>
    <w:rsid w:val="00F90790"/>
    <w:rsid w:val="00F91F3F"/>
    <w:rsid w:val="00F94580"/>
    <w:rsid w:val="00F956DD"/>
    <w:rsid w:val="00F96384"/>
    <w:rsid w:val="00FA162D"/>
    <w:rsid w:val="00FA302E"/>
    <w:rsid w:val="00FA317B"/>
    <w:rsid w:val="00FA42E5"/>
    <w:rsid w:val="00FA4FE2"/>
    <w:rsid w:val="00FA543C"/>
    <w:rsid w:val="00FA58D3"/>
    <w:rsid w:val="00FA760B"/>
    <w:rsid w:val="00FB0E69"/>
    <w:rsid w:val="00FB107C"/>
    <w:rsid w:val="00FB1592"/>
    <w:rsid w:val="00FB312A"/>
    <w:rsid w:val="00FB34AD"/>
    <w:rsid w:val="00FB38E2"/>
    <w:rsid w:val="00FB3B8F"/>
    <w:rsid w:val="00FB3ED6"/>
    <w:rsid w:val="00FB4362"/>
    <w:rsid w:val="00FB522B"/>
    <w:rsid w:val="00FB5C94"/>
    <w:rsid w:val="00FB7D0D"/>
    <w:rsid w:val="00FC034E"/>
    <w:rsid w:val="00FC1A15"/>
    <w:rsid w:val="00FC25A4"/>
    <w:rsid w:val="00FC44BC"/>
    <w:rsid w:val="00FC4C1D"/>
    <w:rsid w:val="00FC51C4"/>
    <w:rsid w:val="00FC5525"/>
    <w:rsid w:val="00FD0087"/>
    <w:rsid w:val="00FD1138"/>
    <w:rsid w:val="00FD17A9"/>
    <w:rsid w:val="00FD1BA0"/>
    <w:rsid w:val="00FD3D6E"/>
    <w:rsid w:val="00FD422D"/>
    <w:rsid w:val="00FD67CB"/>
    <w:rsid w:val="00FD7870"/>
    <w:rsid w:val="00FE072A"/>
    <w:rsid w:val="00FE1D4F"/>
    <w:rsid w:val="00FE30D1"/>
    <w:rsid w:val="00FE377B"/>
    <w:rsid w:val="00FE3AE4"/>
    <w:rsid w:val="00FE4CE0"/>
    <w:rsid w:val="00FE6C5C"/>
    <w:rsid w:val="00FE7AC5"/>
    <w:rsid w:val="00FF016C"/>
    <w:rsid w:val="00FF02DE"/>
    <w:rsid w:val="00FF03C2"/>
    <w:rsid w:val="00FF0DEA"/>
    <w:rsid w:val="00FF16E5"/>
    <w:rsid w:val="00FF24C1"/>
    <w:rsid w:val="00FF32C2"/>
    <w:rsid w:val="00FF32C7"/>
    <w:rsid w:val="00FF4D85"/>
    <w:rsid w:val="00FF5306"/>
    <w:rsid w:val="00FF7056"/>
    <w:rsid w:val="08FB7CBF"/>
    <w:rsid w:val="176DE2FE"/>
    <w:rsid w:val="232885D1"/>
    <w:rsid w:val="255735C0"/>
    <w:rsid w:val="2D459B34"/>
    <w:rsid w:val="31877DDD"/>
    <w:rsid w:val="323B7819"/>
    <w:rsid w:val="3395CF40"/>
    <w:rsid w:val="3DE369C9"/>
    <w:rsid w:val="4BB63586"/>
    <w:rsid w:val="532BC2EB"/>
    <w:rsid w:val="56B78395"/>
    <w:rsid w:val="5A7894FF"/>
    <w:rsid w:val="71A7110F"/>
    <w:rsid w:val="7F69A6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85D84E"/>
  <w15:docId w15:val="{AF232707-4F6D-44C2-B1BF-B2BB8C4E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D2"/>
    <w:rPr>
      <w:rFonts w:asciiTheme="majorHAnsi" w:eastAsiaTheme="minorEastAsia" w:hAnsiTheme="majorHAnsi"/>
      <w:lang w:eastAsia="zh-CN"/>
    </w:rPr>
  </w:style>
  <w:style w:type="paragraph" w:styleId="Heading1">
    <w:name w:val="heading 1"/>
    <w:basedOn w:val="Normal"/>
    <w:next w:val="Normal"/>
    <w:link w:val="Heading1Char"/>
    <w:uiPriority w:val="9"/>
    <w:qFormat/>
    <w:rsid w:val="00F63BD2"/>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B61872"/>
    <w:pPr>
      <w:numPr>
        <w:numId w:val="22"/>
      </w:numPr>
      <w:outlineLvl w:val="1"/>
    </w:pPr>
    <w:rPr>
      <w:b/>
      <w:sz w:val="24"/>
      <w:szCs w:val="24"/>
    </w:rPr>
  </w:style>
  <w:style w:type="paragraph" w:styleId="Heading3">
    <w:name w:val="heading 3"/>
    <w:basedOn w:val="Normal"/>
    <w:next w:val="Normal"/>
    <w:link w:val="Heading3Char"/>
    <w:uiPriority w:val="9"/>
    <w:unhideWhenUsed/>
    <w:qFormat/>
    <w:rsid w:val="00F63BD2"/>
    <w:pPr>
      <w:outlineLvl w:val="2"/>
    </w:pPr>
    <w:rPr>
      <w:rFonts w:cs="Arial"/>
      <w:b/>
      <w:sz w:val="28"/>
      <w:szCs w:val="28"/>
    </w:rPr>
  </w:style>
  <w:style w:type="paragraph" w:styleId="Heading4">
    <w:name w:val="heading 4"/>
    <w:basedOn w:val="Heading2"/>
    <w:next w:val="Normal"/>
    <w:link w:val="Heading4Char"/>
    <w:uiPriority w:val="9"/>
    <w:unhideWhenUsed/>
    <w:qFormat/>
    <w:rsid w:val="00F63BD2"/>
    <w:pPr>
      <w:numPr>
        <w:numId w:val="1"/>
      </w:numPr>
      <w:outlineLvl w:val="3"/>
    </w:pPr>
    <w:rPr>
      <w:sz w:val="22"/>
      <w:szCs w:val="22"/>
    </w:rPr>
  </w:style>
  <w:style w:type="paragraph" w:styleId="Heading5">
    <w:name w:val="heading 5"/>
    <w:basedOn w:val="ListParagraph"/>
    <w:next w:val="Normal"/>
    <w:link w:val="Heading5Char"/>
    <w:uiPriority w:val="9"/>
    <w:unhideWhenUsed/>
    <w:qFormat/>
    <w:rsid w:val="00F63BD2"/>
    <w:pPr>
      <w:ind w:left="270"/>
      <w:outlineLvl w:val="4"/>
    </w:pPr>
    <w:rPr>
      <w:rFonts w:cs="Arial"/>
      <w:b/>
      <w:szCs w:val="22"/>
    </w:rPr>
  </w:style>
  <w:style w:type="paragraph" w:styleId="Heading6">
    <w:name w:val="heading 6"/>
    <w:basedOn w:val="Heading5"/>
    <w:next w:val="Normal"/>
    <w:link w:val="Heading6Char"/>
    <w:uiPriority w:val="9"/>
    <w:unhideWhenUsed/>
    <w:qFormat/>
    <w:rsid w:val="00F63BD2"/>
    <w:pPr>
      <w:outlineLvl w:val="5"/>
    </w:pPr>
  </w:style>
  <w:style w:type="paragraph" w:styleId="Heading7">
    <w:name w:val="heading 7"/>
    <w:basedOn w:val="Normal"/>
    <w:next w:val="Normal"/>
    <w:link w:val="Heading7Char"/>
    <w:uiPriority w:val="9"/>
    <w:unhideWhenUsed/>
    <w:qFormat/>
    <w:rsid w:val="00F63BD2"/>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BD2"/>
    <w:rPr>
      <w:rFonts w:asciiTheme="majorHAnsi" w:eastAsiaTheme="majorEastAsia" w:hAnsiTheme="majorHAnsi" w:cstheme="majorBidi"/>
      <w:b/>
      <w:bCs/>
      <w:sz w:val="40"/>
      <w:szCs w:val="40"/>
      <w:lang w:eastAsia="zh-CN"/>
    </w:rPr>
  </w:style>
  <w:style w:type="character" w:customStyle="1" w:styleId="Heading2Char">
    <w:name w:val="Heading 2 Char"/>
    <w:basedOn w:val="DefaultParagraphFont"/>
    <w:link w:val="Heading2"/>
    <w:uiPriority w:val="9"/>
    <w:rsid w:val="00B61872"/>
    <w:rPr>
      <w:rFonts w:asciiTheme="majorHAnsi" w:eastAsiaTheme="minorEastAsia" w:hAnsiTheme="majorHAnsi"/>
      <w:b/>
      <w:sz w:val="24"/>
      <w:szCs w:val="24"/>
      <w:lang w:eastAsia="zh-CN"/>
    </w:rPr>
  </w:style>
  <w:style w:type="character" w:customStyle="1" w:styleId="Heading3Char">
    <w:name w:val="Heading 3 Char"/>
    <w:basedOn w:val="DefaultParagraphFont"/>
    <w:link w:val="Heading3"/>
    <w:uiPriority w:val="9"/>
    <w:rsid w:val="00F63BD2"/>
    <w:rPr>
      <w:rFonts w:asciiTheme="majorHAnsi" w:eastAsiaTheme="minorEastAsia" w:hAnsiTheme="majorHAnsi" w:cs="Arial"/>
      <w:b/>
      <w:sz w:val="28"/>
      <w:szCs w:val="28"/>
      <w:lang w:eastAsia="zh-CN"/>
    </w:rPr>
  </w:style>
  <w:style w:type="character" w:customStyle="1" w:styleId="Heading4Char">
    <w:name w:val="Heading 4 Char"/>
    <w:basedOn w:val="DefaultParagraphFont"/>
    <w:link w:val="Heading4"/>
    <w:uiPriority w:val="9"/>
    <w:rsid w:val="00F63BD2"/>
    <w:rPr>
      <w:rFonts w:asciiTheme="majorHAnsi" w:eastAsiaTheme="minorEastAsia" w:hAnsiTheme="majorHAnsi"/>
      <w:b/>
      <w:lang w:eastAsia="zh-CN"/>
    </w:rPr>
  </w:style>
  <w:style w:type="character" w:customStyle="1" w:styleId="Heading5Char">
    <w:name w:val="Heading 5 Char"/>
    <w:basedOn w:val="DefaultParagraphFont"/>
    <w:link w:val="Heading5"/>
    <w:uiPriority w:val="9"/>
    <w:rsid w:val="00F63BD2"/>
    <w:rPr>
      <w:rFonts w:eastAsia="Times New Roman" w:asciiTheme="majorHAnsi" w:hAnsiTheme="majorHAnsi" w:cs="Arial"/>
      <w:b/>
    </w:rPr>
  </w:style>
  <w:style w:type="character" w:customStyle="1" w:styleId="Heading6Char">
    <w:name w:val="Heading 6 Char"/>
    <w:basedOn w:val="DefaultParagraphFont"/>
    <w:link w:val="Heading6"/>
    <w:uiPriority w:val="9"/>
    <w:rsid w:val="00F63BD2"/>
    <w:rPr>
      <w:rFonts w:eastAsia="Times New Roman" w:asciiTheme="majorHAnsi" w:hAnsiTheme="majorHAnsi" w:cs="Arial"/>
      <w:b/>
    </w:rPr>
  </w:style>
  <w:style w:type="character" w:customStyle="1" w:styleId="Heading7Char">
    <w:name w:val="Heading 7 Char"/>
    <w:basedOn w:val="DefaultParagraphFont"/>
    <w:link w:val="Heading7"/>
    <w:uiPriority w:val="9"/>
    <w:rsid w:val="00F63BD2"/>
    <w:rPr>
      <w:rFonts w:asciiTheme="majorHAnsi" w:eastAsiaTheme="minorEastAsia" w:hAnsiTheme="majorHAnsi"/>
      <w:u w:val="single"/>
      <w:lang w:eastAsia="zh-CN"/>
    </w:rPr>
  </w:style>
  <w:style w:type="paragraph" w:styleId="ListParagraph">
    <w:name w:val="List Paragraph"/>
    <w:basedOn w:val="Normal"/>
    <w:uiPriority w:val="34"/>
    <w:qFormat/>
    <w:rsid w:val="00F63BD2"/>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F63BD2"/>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F63BD2"/>
    <w:rPr>
      <w:rFonts w:eastAsia="Times New Roman" w:asciiTheme="majorHAnsi" w:hAnsiTheme="majorHAnsi" w:cs="Times New Roman"/>
      <w:szCs w:val="24"/>
    </w:rPr>
  </w:style>
  <w:style w:type="table" w:styleId="TableGrid">
    <w:name w:val="Table Grid"/>
    <w:basedOn w:val="TableNormal"/>
    <w:uiPriority w:val="59"/>
    <w:rsid w:val="00F63B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63BD2"/>
    <w:rPr>
      <w:color w:val="0000FF" w:themeColor="hyperlink"/>
      <w:u w:val="single"/>
    </w:rPr>
  </w:style>
  <w:style w:type="character" w:customStyle="1" w:styleId="reference-text">
    <w:name w:val="reference-text"/>
    <w:basedOn w:val="DefaultParagraphFont"/>
    <w:rsid w:val="00F63BD2"/>
  </w:style>
  <w:style w:type="paragraph" w:styleId="Footer">
    <w:name w:val="footer"/>
    <w:basedOn w:val="Normal"/>
    <w:link w:val="FooterChar"/>
    <w:uiPriority w:val="99"/>
    <w:unhideWhenUsed/>
    <w:rsid w:val="00F63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BD2"/>
    <w:rPr>
      <w:rFonts w:asciiTheme="majorHAnsi" w:eastAsiaTheme="minorEastAsia" w:hAnsiTheme="majorHAnsi"/>
      <w:lang w:eastAsia="zh-CN"/>
    </w:rPr>
  </w:style>
  <w:style w:type="paragraph" w:styleId="BalloonText">
    <w:name w:val="Balloon Text"/>
    <w:basedOn w:val="Normal"/>
    <w:link w:val="BalloonTextChar"/>
    <w:uiPriority w:val="99"/>
    <w:semiHidden/>
    <w:unhideWhenUsed/>
    <w:rsid w:val="00F63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BD2"/>
    <w:rPr>
      <w:rFonts w:ascii="Tahoma" w:hAnsi="Tahoma" w:eastAsiaTheme="minorEastAsia" w:cs="Tahoma"/>
      <w:sz w:val="16"/>
      <w:szCs w:val="16"/>
      <w:lang w:eastAsia="zh-CN"/>
    </w:rPr>
  </w:style>
  <w:style w:type="character" w:styleId="CommentReference">
    <w:name w:val="annotation reference"/>
    <w:basedOn w:val="DefaultParagraphFont"/>
    <w:uiPriority w:val="99"/>
    <w:unhideWhenUsed/>
    <w:rsid w:val="00A740AF"/>
    <w:rPr>
      <w:sz w:val="16"/>
      <w:szCs w:val="16"/>
    </w:rPr>
  </w:style>
  <w:style w:type="paragraph" w:styleId="CommentText">
    <w:name w:val="annotation text"/>
    <w:basedOn w:val="Normal"/>
    <w:link w:val="CommentTextChar"/>
    <w:uiPriority w:val="99"/>
    <w:unhideWhenUsed/>
    <w:rsid w:val="00A740AF"/>
    <w:pPr>
      <w:spacing w:line="240" w:lineRule="auto"/>
    </w:pPr>
    <w:rPr>
      <w:sz w:val="20"/>
      <w:szCs w:val="20"/>
    </w:rPr>
  </w:style>
  <w:style w:type="character" w:customStyle="1" w:styleId="CommentTextChar">
    <w:name w:val="Comment Text Char"/>
    <w:basedOn w:val="DefaultParagraphFont"/>
    <w:link w:val="CommentText"/>
    <w:uiPriority w:val="99"/>
    <w:rsid w:val="00A740AF"/>
    <w:rPr>
      <w:rFonts w:asciiTheme="majorHAnsi" w:eastAsiaTheme="minorEastAsia" w:hAnsiTheme="majorHAnsi"/>
      <w:sz w:val="20"/>
      <w:szCs w:val="20"/>
      <w:lang w:eastAsia="zh-CN"/>
    </w:rPr>
  </w:style>
  <w:style w:type="paragraph" w:styleId="CommentSubject">
    <w:name w:val="annotation subject"/>
    <w:basedOn w:val="CommentText"/>
    <w:next w:val="CommentText"/>
    <w:link w:val="CommentSubjectChar"/>
    <w:uiPriority w:val="99"/>
    <w:semiHidden/>
    <w:unhideWhenUsed/>
    <w:rsid w:val="00A740AF"/>
    <w:rPr>
      <w:b/>
      <w:bCs/>
    </w:rPr>
  </w:style>
  <w:style w:type="character" w:customStyle="1" w:styleId="CommentSubjectChar">
    <w:name w:val="Comment Subject Char"/>
    <w:basedOn w:val="CommentTextChar"/>
    <w:link w:val="CommentSubject"/>
    <w:uiPriority w:val="99"/>
    <w:semiHidden/>
    <w:rsid w:val="00A740AF"/>
    <w:rPr>
      <w:rFonts w:asciiTheme="majorHAnsi" w:eastAsiaTheme="minorEastAsia" w:hAnsiTheme="majorHAnsi"/>
      <w:b/>
      <w:bCs/>
      <w:sz w:val="20"/>
      <w:szCs w:val="20"/>
      <w:lang w:eastAsia="zh-CN"/>
    </w:rPr>
  </w:style>
  <w:style w:type="paragraph" w:customStyle="1" w:styleId="Style1">
    <w:name w:val="Style 1"/>
    <w:basedOn w:val="Normal"/>
    <w:link w:val="Style1Char"/>
    <w:rsid w:val="002C7CC3"/>
    <w:pPr>
      <w:widowControl w:val="0"/>
      <w:autoSpaceDE w:val="0"/>
      <w:autoSpaceDN w:val="0"/>
      <w:adjustRightInd w:val="0"/>
      <w:spacing w:before="40" w:after="240" w:line="240" w:lineRule="auto"/>
      <w:contextualSpacing/>
    </w:pPr>
    <w:rPr>
      <w:rFonts w:ascii="Times New Roman" w:eastAsia="Times New Roman" w:hAnsi="Times New Roman" w:cs="Times New Roman"/>
      <w:color w:val="7F7F7F" w:themeColor="text1" w:themeTint="80"/>
      <w:sz w:val="24"/>
      <w:szCs w:val="24"/>
      <w:lang w:eastAsia="en-US"/>
    </w:rPr>
  </w:style>
  <w:style w:type="character" w:customStyle="1" w:styleId="Style1Char">
    <w:name w:val="Style 1 Char"/>
    <w:basedOn w:val="DefaultParagraphFont"/>
    <w:link w:val="Style1"/>
    <w:rsid w:val="002C7CC3"/>
    <w:rPr>
      <w:rFonts w:ascii="Times New Roman" w:eastAsia="Times New Roman" w:hAnsi="Times New Roman" w:cs="Times New Roman"/>
      <w:color w:val="7F7F7F" w:themeColor="text1" w:themeTint="80"/>
      <w:sz w:val="24"/>
      <w:szCs w:val="24"/>
    </w:rPr>
  </w:style>
  <w:style w:type="paragraph" w:styleId="Revision">
    <w:name w:val="Revision"/>
    <w:hidden/>
    <w:uiPriority w:val="99"/>
    <w:semiHidden/>
    <w:rsid w:val="0004518A"/>
    <w:pPr>
      <w:spacing w:after="0" w:line="240" w:lineRule="auto"/>
    </w:pPr>
    <w:rPr>
      <w:rFonts w:asciiTheme="majorHAnsi" w:eastAsiaTheme="minorEastAsia" w:hAnsiTheme="majorHAnsi"/>
      <w:lang w:eastAsia="zh-CN"/>
    </w:rPr>
  </w:style>
  <w:style w:type="paragraph" w:customStyle="1" w:styleId="Body1">
    <w:name w:val="Body 1"/>
    <w:rsid w:val="008559CF"/>
    <w:pPr>
      <w:spacing w:after="0" w:line="240" w:lineRule="auto"/>
      <w:outlineLvl w:val="0"/>
    </w:pPr>
    <w:rPr>
      <w:rFonts w:ascii="Times New Roman" w:eastAsia="Arial Unicode MS" w:hAnsi="Times New Roman" w:cs="Times New Roman"/>
      <w:color w:val="000000"/>
      <w:sz w:val="24"/>
      <w:szCs w:val="20"/>
      <w:u w:color="000000"/>
    </w:rPr>
  </w:style>
  <w:style w:type="paragraph" w:styleId="TOCHeading">
    <w:name w:val="TOC Heading"/>
    <w:basedOn w:val="Heading1"/>
    <w:next w:val="Normal"/>
    <w:uiPriority w:val="39"/>
    <w:unhideWhenUsed/>
    <w:qFormat/>
    <w:rsid w:val="00BC2076"/>
    <w:pPr>
      <w:jc w:val="left"/>
      <w:outlineLvl w:val="9"/>
    </w:pPr>
    <w:rPr>
      <w:color w:val="365F91" w:themeColor="accent1" w:themeShade="BF"/>
      <w:sz w:val="28"/>
      <w:szCs w:val="28"/>
      <w:lang w:eastAsia="en-US"/>
    </w:rPr>
  </w:style>
  <w:style w:type="paragraph" w:styleId="TOC1">
    <w:name w:val="toc 1"/>
    <w:basedOn w:val="Normal"/>
    <w:next w:val="Normal"/>
    <w:autoRedefine/>
    <w:uiPriority w:val="39"/>
    <w:unhideWhenUsed/>
    <w:rsid w:val="007A17B7"/>
    <w:pPr>
      <w:tabs>
        <w:tab w:val="right" w:leader="dot" w:pos="9350"/>
      </w:tabs>
      <w:spacing w:after="100"/>
    </w:pPr>
  </w:style>
  <w:style w:type="paragraph" w:styleId="TOC3">
    <w:name w:val="toc 3"/>
    <w:basedOn w:val="Normal"/>
    <w:next w:val="Normal"/>
    <w:autoRedefine/>
    <w:uiPriority w:val="39"/>
    <w:unhideWhenUsed/>
    <w:rsid w:val="00BC2076"/>
    <w:pPr>
      <w:spacing w:after="100"/>
      <w:ind w:left="440"/>
    </w:pPr>
  </w:style>
  <w:style w:type="paragraph" w:styleId="NoSpacing">
    <w:name w:val="No Spacing"/>
    <w:uiPriority w:val="1"/>
    <w:qFormat/>
    <w:rsid w:val="00BC2076"/>
    <w:pPr>
      <w:spacing w:after="0" w:line="240" w:lineRule="auto"/>
    </w:pPr>
    <w:rPr>
      <w:rFonts w:asciiTheme="majorHAnsi" w:eastAsiaTheme="minorEastAsia" w:hAnsiTheme="majorHAnsi"/>
      <w:lang w:eastAsia="zh-CN"/>
    </w:rPr>
  </w:style>
  <w:style w:type="paragraph" w:styleId="TOC2">
    <w:name w:val="toc 2"/>
    <w:basedOn w:val="Normal"/>
    <w:next w:val="Normal"/>
    <w:autoRedefine/>
    <w:uiPriority w:val="39"/>
    <w:unhideWhenUsed/>
    <w:rsid w:val="00BC2076"/>
    <w:pPr>
      <w:spacing w:after="100"/>
      <w:ind w:left="220"/>
    </w:pPr>
  </w:style>
  <w:style w:type="paragraph" w:styleId="Caption">
    <w:name w:val="caption"/>
    <w:basedOn w:val="Normal"/>
    <w:next w:val="Normal"/>
    <w:uiPriority w:val="35"/>
    <w:unhideWhenUsed/>
    <w:qFormat/>
    <w:rsid w:val="00B61872"/>
    <w:pPr>
      <w:spacing w:line="240" w:lineRule="auto"/>
    </w:pPr>
    <w:rPr>
      <w:b/>
      <w:bCs/>
      <w:color w:val="4F81BD" w:themeColor="accent1"/>
      <w:sz w:val="18"/>
      <w:szCs w:val="18"/>
    </w:rPr>
  </w:style>
  <w:style w:type="paragraph" w:styleId="PlainText">
    <w:name w:val="Plain Text"/>
    <w:basedOn w:val="Normal"/>
    <w:link w:val="PlainTextChar"/>
    <w:uiPriority w:val="99"/>
    <w:unhideWhenUsed/>
    <w:rsid w:val="00E37A30"/>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E37A30"/>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560F95"/>
    <w:rPr>
      <w:color w:val="800080" w:themeColor="followedHyperlink"/>
      <w:u w:val="single"/>
    </w:rPr>
  </w:style>
  <w:style w:type="paragraph" w:styleId="Title">
    <w:name w:val="Title"/>
    <w:basedOn w:val="Normal"/>
    <w:next w:val="Normal"/>
    <w:link w:val="TitleChar"/>
    <w:uiPriority w:val="10"/>
    <w:qFormat/>
    <w:rsid w:val="00701E7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01E70"/>
    <w:rPr>
      <w:rFonts w:asciiTheme="majorHAnsi" w:eastAsiaTheme="majorEastAsia" w:hAnsiTheme="majorHAnsi" w:cstheme="majorBidi"/>
      <w:spacing w:val="-10"/>
      <w:kern w:val="28"/>
      <w:sz w:val="56"/>
      <w:szCs w:val="56"/>
      <w:lang w:eastAsia="zh-CN"/>
    </w:rPr>
  </w:style>
  <w:style w:type="table" w:styleId="ListTable3">
    <w:name w:val="List Table 3"/>
    <w:basedOn w:val="TableNormal"/>
    <w:uiPriority w:val="48"/>
    <w:rsid w:val="006408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basedOn w:val="Normal"/>
    <w:link w:val="FootnoteTextChar"/>
    <w:uiPriority w:val="99"/>
    <w:semiHidden/>
    <w:unhideWhenUsed/>
    <w:rsid w:val="00FB5C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5C94"/>
    <w:rPr>
      <w:rFonts w:asciiTheme="majorHAnsi" w:eastAsiaTheme="minorEastAsia" w:hAnsiTheme="majorHAnsi"/>
      <w:sz w:val="20"/>
      <w:szCs w:val="20"/>
      <w:lang w:eastAsia="zh-CN"/>
    </w:rPr>
  </w:style>
  <w:style w:type="character" w:styleId="FootnoteReference">
    <w:name w:val="footnote reference"/>
    <w:basedOn w:val="DefaultParagraphFont"/>
    <w:uiPriority w:val="99"/>
    <w:semiHidden/>
    <w:unhideWhenUsed/>
    <w:rsid w:val="00FB5C94"/>
    <w:rPr>
      <w:vertAlign w:val="superscript"/>
    </w:rPr>
  </w:style>
  <w:style w:type="character" w:customStyle="1" w:styleId="apple-converted-space">
    <w:name w:val="apple-converted-space"/>
    <w:basedOn w:val="DefaultParagraphFont"/>
    <w:rsid w:val="00732A23"/>
  </w:style>
  <w:style w:type="character" w:styleId="UnresolvedMention">
    <w:name w:val="Unresolved Mention"/>
    <w:basedOn w:val="DefaultParagraphFont"/>
    <w:uiPriority w:val="99"/>
    <w:semiHidden/>
    <w:unhideWhenUsed/>
    <w:rsid w:val="00F406AF"/>
    <w:rPr>
      <w:color w:val="605E5C"/>
      <w:shd w:val="clear" w:color="auto" w:fill="E1DFDD"/>
    </w:rPr>
  </w:style>
  <w:style w:type="paragraph" w:customStyle="1" w:styleId="xmsonormal">
    <w:name w:val="x_msonormal"/>
    <w:basedOn w:val="Normal"/>
    <w:rsid w:val="00C90CE9"/>
    <w:pPr>
      <w:spacing w:after="0" w:line="240" w:lineRule="auto"/>
    </w:pPr>
    <w:rPr>
      <w:rFonts w:ascii="Calibri" w:hAnsi="Calibri" w:eastAsiaTheme="minorHAns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GHU5@cdc.gov" TargetMode="External" /><Relationship Id="rId11" Type="http://schemas.openxmlformats.org/officeDocument/2006/relationships/hyperlink" Target="https://www.regulations.gov/docket/CDC-2025-1014/comments" TargetMode="External" /><Relationship Id="rId12" Type="http://schemas.openxmlformats.org/officeDocument/2006/relationships/hyperlink" Target="http://www.bls.gov/oes/current/oes_nat.htm" TargetMode="External" /><Relationship Id="rId13" Type="http://schemas.openxmlformats.org/officeDocument/2006/relationships/hyperlink" Target="https://www.dol.gov/whd/minwage/q-a.htm" TargetMode="External" /><Relationship Id="rId14" Type="http://schemas.openxmlformats.org/officeDocument/2006/relationships/hyperlink" Target="https://aapcc.org/national-poison-data-system" TargetMode="External" /><Relationship Id="rId15" Type="http://schemas.openxmlformats.org/officeDocument/2006/relationships/hyperlink" Target="http://www.cdc.gov/nceh/hsb/chemicals/ncrs.htm"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D7910-901F-475A-839C-0FC3A4F671D6}">
  <ds:schemaRefs>
    <ds:schemaRef ds:uri="http://schemas.openxmlformats.org/officeDocument/2006/bibliography"/>
  </ds:schemaRefs>
</ds:datastoreItem>
</file>

<file path=customXml/itemProps2.xml><?xml version="1.0" encoding="utf-8"?>
<ds:datastoreItem xmlns:ds="http://schemas.openxmlformats.org/officeDocument/2006/customXml" ds:itemID="{173DE563-D9E0-4FD0-91C1-40827D59BFD4}">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3.xml><?xml version="1.0" encoding="utf-8"?>
<ds:datastoreItem xmlns:ds="http://schemas.openxmlformats.org/officeDocument/2006/customXml" ds:itemID="{C74A673E-DE71-484C-88AD-B6D3FEDB1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D1A029-3B26-4C53-8CB1-327F582A5BD7}">
  <ds:schemaRefs>
    <ds:schemaRef ds:uri="http://schemas.openxmlformats.org/officeDocument/2006/bibliography"/>
  </ds:schemaRefs>
</ds:datastoreItem>
</file>

<file path=customXml/itemProps5.xml><?xml version="1.0" encoding="utf-8"?>
<ds:datastoreItem xmlns:ds="http://schemas.openxmlformats.org/officeDocument/2006/customXml" ds:itemID="{877A091E-971B-4B66-9D9A-36C0054E97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6200</Words>
  <Characters>35774</Characters>
  <Application>Microsoft Office Word</Application>
  <DocSecurity>0</DocSecurity>
  <Lines>831</Lines>
  <Paragraphs>381</Paragraphs>
  <ScaleCrop>false</ScaleCrop>
  <Company>SciMetrika, LLC.</Company>
  <LinksUpToDate>false</LinksUpToDate>
  <CharactersWithSpaces>41593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Hanchey, Arianna (CDC/NCEH/DEHSP)</cp:lastModifiedBy>
  <cp:revision>73</cp:revision>
  <cp:lastPrinted>2016-06-08T18:29:00Z</cp:lastPrinted>
  <dcterms:created xsi:type="dcterms:W3CDTF">2026-03-16T21:23:00Z</dcterms:created>
  <dcterms:modified xsi:type="dcterms:W3CDTF">2026-03-27T13:03:00Z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ba0cf53d-232f-4c9a-87d6-dfb5fe8f53ff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2022-06-25T01:12:15Z</vt:lpwstr>
  </property>
  <property fmtid="{D5CDD505-2E9C-101B-9397-08002B2CF9AE}" pid="11" name="MSIP_Label_7b94a7b8-f06c-4dfe-bdcc-9b548fd58c31_SiteId">
    <vt:lpwstr>9ce70869-60db-44fd-abe8-d2767077fc8f</vt:lpwstr>
  </property>
</Properties>
</file>