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0211" w:rsidR="00DE3747" w:rsidP="006F7638" w:rsidRDefault="00DE3747" w14:paraId="072886DF" w14:textId="77777777">
      <w:pPr>
        <w:pStyle w:val="Heading1"/>
        <w:pBdr>
          <w:bottom w:val="none" w:color="auto" w:sz="0" w:space="0"/>
        </w:pBdr>
        <w:spacing w:before="0"/>
        <w:rPr>
          <w:rFonts w:ascii="Cambria" w:hAnsi="Cambria"/>
          <w:color w:val="auto"/>
        </w:rPr>
      </w:pPr>
      <w:bookmarkStart w:name="_Toc531906679" w:id="0"/>
      <w:r w:rsidRPr="00D20211">
        <w:rPr>
          <w:rFonts w:ascii="Cambria" w:hAnsi="Cambria"/>
          <w:color w:val="auto"/>
        </w:rPr>
        <w:t>List of Attachments</w:t>
      </w:r>
      <w:bookmarkEnd w:id="0"/>
    </w:p>
    <w:p w:rsidRPr="00D20211" w:rsidR="00DE3747" w:rsidP="00B71D78" w:rsidRDefault="00DE3747" w14:paraId="38CAD03C" w14:textId="77777777">
      <w:pPr>
        <w:spacing w:after="0" w:line="240" w:lineRule="auto"/>
      </w:pPr>
    </w:p>
    <w:p w:rsidRPr="00F2756F" w:rsidR="00DE3747" w:rsidP="00B71D78" w:rsidRDefault="00DE3747" w14:paraId="57A3629D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2756F">
        <w:rPr>
          <w:rFonts w:cstheme="minorHAnsi"/>
          <w:sz w:val="24"/>
          <w:szCs w:val="24"/>
        </w:rPr>
        <w:t>Attachment 1. Authorizing Legislation</w:t>
      </w:r>
    </w:p>
    <w:p w:rsidRPr="00F2756F" w:rsidR="00DE3747" w:rsidP="00B71D78" w:rsidRDefault="00DE3747" w14:paraId="320B128D" w14:textId="77777777">
      <w:pPr>
        <w:tabs>
          <w:tab w:val="left" w:pos="720"/>
          <w:tab w:val="left" w:pos="1440"/>
        </w:tabs>
        <w:spacing w:after="0" w:line="240" w:lineRule="auto"/>
        <w:ind w:left="1197" w:hanging="567"/>
        <w:rPr>
          <w:rFonts w:cstheme="minorHAnsi"/>
          <w:color w:val="000000"/>
          <w:sz w:val="24"/>
          <w:szCs w:val="24"/>
        </w:rPr>
      </w:pPr>
      <w:r w:rsidRPr="00F2756F">
        <w:rPr>
          <w:rFonts w:eastAsia="Arial Unicode MS" w:cstheme="minorHAnsi"/>
          <w:sz w:val="24"/>
          <w:szCs w:val="24"/>
          <w:u w:color="000000"/>
        </w:rPr>
        <w:tab/>
        <w:t xml:space="preserve">1a.  </w:t>
      </w:r>
      <w:r w:rsidRPr="00F2756F">
        <w:rPr>
          <w:rFonts w:cstheme="minorHAnsi"/>
          <w:color w:val="000000"/>
          <w:sz w:val="24"/>
          <w:szCs w:val="24"/>
        </w:rPr>
        <w:t>42 USC Section 264 – Quarantine and Inspection - Regulations to Control Communicable Diseases</w:t>
      </w:r>
    </w:p>
    <w:p w:rsidRPr="00F2756F" w:rsidR="00DE3747" w:rsidP="00B71D78" w:rsidRDefault="00DE3747" w14:paraId="6DD38C2D" w14:textId="77777777">
      <w:pPr>
        <w:tabs>
          <w:tab w:val="left" w:pos="0"/>
          <w:tab w:val="left" w:pos="720"/>
          <w:tab w:val="left" w:pos="1440"/>
        </w:tabs>
        <w:spacing w:after="0" w:line="240" w:lineRule="auto"/>
        <w:ind w:firstLine="360"/>
        <w:rPr>
          <w:rFonts w:cstheme="minorHAnsi"/>
          <w:color w:val="000000"/>
          <w:sz w:val="24"/>
          <w:szCs w:val="24"/>
        </w:rPr>
      </w:pPr>
      <w:r w:rsidRPr="00F2756F">
        <w:rPr>
          <w:rFonts w:cstheme="minorHAnsi"/>
          <w:color w:val="000000"/>
          <w:sz w:val="24"/>
          <w:szCs w:val="24"/>
        </w:rPr>
        <w:tab/>
      </w:r>
      <w:r w:rsidRPr="00F2756F">
        <w:rPr>
          <w:rFonts w:eastAsia="Arial Unicode MS" w:cstheme="minorHAnsi"/>
          <w:sz w:val="24"/>
          <w:szCs w:val="24"/>
          <w:u w:color="000000"/>
        </w:rPr>
        <w:t xml:space="preserve">1b.  </w:t>
      </w:r>
      <w:r w:rsidRPr="00F2756F">
        <w:rPr>
          <w:rFonts w:cstheme="minorHAnsi"/>
          <w:color w:val="000000"/>
          <w:sz w:val="24"/>
          <w:szCs w:val="24"/>
        </w:rPr>
        <w:t xml:space="preserve">42 USC Section 269 – Quarantine and Inspection – Bills of Health </w:t>
      </w:r>
    </w:p>
    <w:p w:rsidRPr="00F2756F" w:rsidR="00DE3747" w:rsidP="00E80721" w:rsidRDefault="00DE3747" w14:paraId="67B59C32" w14:textId="77777777">
      <w:pPr>
        <w:tabs>
          <w:tab w:val="left" w:pos="0"/>
          <w:tab w:val="left" w:pos="720"/>
          <w:tab w:val="left" w:pos="1440"/>
        </w:tabs>
        <w:spacing w:line="240" w:lineRule="auto"/>
        <w:ind w:firstLine="360"/>
        <w:rPr>
          <w:rFonts w:eastAsia="Arial Unicode MS" w:cstheme="minorHAnsi"/>
          <w:sz w:val="24"/>
          <w:szCs w:val="24"/>
          <w:u w:color="000000"/>
        </w:rPr>
      </w:pPr>
      <w:r w:rsidRPr="00F2756F">
        <w:rPr>
          <w:rFonts w:cstheme="minorHAnsi"/>
          <w:color w:val="000000"/>
          <w:sz w:val="24"/>
          <w:szCs w:val="24"/>
        </w:rPr>
        <w:tab/>
        <w:t xml:space="preserve">1c.  42 CFR Part </w:t>
      </w:r>
      <w:r>
        <w:rPr>
          <w:rFonts w:cstheme="minorHAnsi"/>
          <w:color w:val="000000"/>
          <w:sz w:val="24"/>
          <w:szCs w:val="24"/>
        </w:rPr>
        <w:t>71</w:t>
      </w:r>
      <w:r w:rsidRPr="00F2756F">
        <w:rPr>
          <w:rFonts w:cstheme="minorHAnsi"/>
          <w:color w:val="000000"/>
          <w:sz w:val="24"/>
          <w:szCs w:val="24"/>
        </w:rPr>
        <w:t xml:space="preserve"> – Foreign Quarantine</w:t>
      </w:r>
      <w:r>
        <w:rPr>
          <w:rFonts w:cstheme="minorHAnsi"/>
          <w:color w:val="000000"/>
          <w:sz w:val="24"/>
          <w:szCs w:val="24"/>
        </w:rPr>
        <w:t xml:space="preserve"> Regulations</w:t>
      </w:r>
    </w:p>
    <w:p w:rsidRPr="00F2756F" w:rsidR="00DE3747" w:rsidP="00E80721" w:rsidRDefault="00DE3747" w14:paraId="3D362220" w14:textId="77777777">
      <w:pPr>
        <w:spacing w:line="240" w:lineRule="auto"/>
        <w:rPr>
          <w:rFonts w:cstheme="minorHAnsi"/>
          <w:sz w:val="24"/>
          <w:szCs w:val="24"/>
        </w:rPr>
      </w:pPr>
      <w:r w:rsidRPr="00F2756F">
        <w:rPr>
          <w:rFonts w:cstheme="minorHAnsi"/>
          <w:sz w:val="24"/>
          <w:szCs w:val="24"/>
        </w:rPr>
        <w:t>Attachment 2. 60-day Federal Register Notice</w:t>
      </w:r>
    </w:p>
    <w:p w:rsidRPr="00F2756F" w:rsidR="00DE3747" w:rsidP="00835E4D" w:rsidRDefault="00DE3747" w14:paraId="60C7F80B" w14:textId="77777777">
      <w:pPr>
        <w:tabs>
          <w:tab w:val="left" w:pos="0"/>
          <w:tab w:val="left" w:pos="720"/>
          <w:tab w:val="left" w:pos="144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 w:rsidRPr="00F2756F">
        <w:rPr>
          <w:rFonts w:eastAsia="Arial Unicode MS" w:cstheme="minorHAnsi"/>
          <w:sz w:val="24"/>
          <w:szCs w:val="24"/>
          <w:u w:color="000000"/>
        </w:rPr>
        <w:t>Attachment 3.  Vessel Sanitation Program Delegation</w:t>
      </w:r>
    </w:p>
    <w:p w:rsidRPr="00F2756F" w:rsidR="00DE3747" w:rsidP="00835E4D" w:rsidRDefault="00DE3747" w14:paraId="7283B6B4" w14:textId="77777777">
      <w:pPr>
        <w:tabs>
          <w:tab w:val="left" w:pos="0"/>
          <w:tab w:val="left" w:pos="720"/>
          <w:tab w:val="left" w:pos="1260"/>
        </w:tabs>
        <w:spacing w:after="0" w:line="240" w:lineRule="auto"/>
        <w:ind w:firstLine="360"/>
        <w:rPr>
          <w:rFonts w:eastAsia="Arial Unicode MS" w:cstheme="minorHAnsi"/>
          <w:sz w:val="24"/>
          <w:szCs w:val="24"/>
          <w:u w:color="000000"/>
        </w:rPr>
      </w:pPr>
      <w:r w:rsidRPr="00F2756F">
        <w:rPr>
          <w:rFonts w:eastAsia="Arial Unicode MS" w:cstheme="minorHAnsi"/>
          <w:sz w:val="24"/>
          <w:szCs w:val="24"/>
          <w:u w:color="000000"/>
        </w:rPr>
        <w:tab/>
        <w:t>3a.  1985 Federal Register Notice VSP in DGMQ</w:t>
      </w:r>
    </w:p>
    <w:p w:rsidRPr="00F2756F" w:rsidR="00DE3747" w:rsidP="00E80721" w:rsidRDefault="00DE3747" w14:paraId="42050922" w14:textId="77777777">
      <w:pPr>
        <w:tabs>
          <w:tab w:val="left" w:pos="0"/>
          <w:tab w:val="left" w:pos="720"/>
          <w:tab w:val="left" w:pos="1260"/>
        </w:tabs>
        <w:spacing w:line="240" w:lineRule="auto"/>
        <w:ind w:firstLine="360"/>
        <w:rPr>
          <w:rFonts w:eastAsia="Arial Unicode MS" w:cstheme="minorHAnsi"/>
          <w:sz w:val="24"/>
          <w:szCs w:val="24"/>
          <w:u w:color="000000"/>
        </w:rPr>
      </w:pPr>
      <w:r w:rsidRPr="00F2756F">
        <w:rPr>
          <w:rFonts w:eastAsia="Arial Unicode MS" w:cstheme="minorHAnsi"/>
          <w:sz w:val="24"/>
          <w:szCs w:val="24"/>
          <w:u w:color="000000"/>
        </w:rPr>
        <w:tab/>
        <w:t>3b.  1987 Federal Register Notice VSP from DGMQ to NCEH</w:t>
      </w:r>
    </w:p>
    <w:p w:rsidR="00DE3747" w:rsidP="00B71D78" w:rsidRDefault="00DE3747" w14:paraId="563C2D00" w14:textId="77777777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 w:rsidRPr="00F2756F">
        <w:rPr>
          <w:rFonts w:eastAsia="Arial Unicode MS" w:cstheme="minorHAnsi"/>
          <w:sz w:val="24"/>
          <w:szCs w:val="24"/>
          <w:u w:color="000000"/>
        </w:rPr>
        <w:t xml:space="preserve">Attachment 4.  </w:t>
      </w:r>
      <w:r>
        <w:rPr>
          <w:rFonts w:eastAsia="Arial Unicode MS" w:cstheme="minorHAnsi"/>
          <w:sz w:val="24"/>
          <w:szCs w:val="24"/>
          <w:u w:color="000000"/>
        </w:rPr>
        <w:t>AGE Case Definition</w:t>
      </w:r>
    </w:p>
    <w:p w:rsidR="00DE3747" w:rsidP="00B71D78" w:rsidRDefault="00DE3747" w14:paraId="5D97360F" w14:textId="77777777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>4a. 42 CFR §71.1(b) ii</w:t>
      </w:r>
    </w:p>
    <w:p w:rsidR="00DE3747" w:rsidP="00E80721" w:rsidRDefault="00DE3747" w14:paraId="0D01CE38" w14:textId="77777777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>4b. VSP 2018 Operations Manual</w:t>
      </w:r>
    </w:p>
    <w:p w:rsidR="00DE3747" w:rsidP="00835E4D" w:rsidRDefault="00DE3747" w14:paraId="1950FBFC" w14:textId="73258E9F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>Attachment 5. Medical Record</w:t>
      </w:r>
      <w:r w:rsidR="009E4BCA">
        <w:rPr>
          <w:rFonts w:eastAsia="Arial Unicode MS" w:cstheme="minorHAnsi"/>
          <w:sz w:val="24"/>
          <w:szCs w:val="24"/>
          <w:u w:color="000000"/>
        </w:rPr>
        <w:t xml:space="preserve"> Report</w:t>
      </w:r>
      <w:r w:rsidR="001C2061">
        <w:rPr>
          <w:rFonts w:eastAsia="Arial Unicode MS" w:cstheme="minorHAnsi"/>
          <w:sz w:val="24"/>
          <w:szCs w:val="24"/>
          <w:u w:color="000000"/>
        </w:rPr>
        <w:t xml:space="preserve"> Forms</w:t>
      </w:r>
    </w:p>
    <w:p w:rsidR="00FA1F71" w:rsidP="00835E4D" w:rsidRDefault="00DE3747" w14:paraId="37F91182" w14:textId="33D08E81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 xml:space="preserve">5a. </w:t>
      </w:r>
      <w:r w:rsidR="00FA1F71">
        <w:rPr>
          <w:rFonts w:eastAsia="Arial Unicode MS" w:cstheme="minorHAnsi"/>
          <w:sz w:val="24"/>
          <w:szCs w:val="24"/>
          <w:u w:color="000000"/>
        </w:rPr>
        <w:t>Modes of MIDRS Reporting</w:t>
      </w:r>
    </w:p>
    <w:p w:rsidRPr="00F2756F" w:rsidR="00FA1F71" w:rsidP="00835E4D" w:rsidRDefault="00FA1F71" w14:paraId="58C9864E" w14:textId="75D7F7D2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</w:r>
      <w:r>
        <w:rPr>
          <w:rFonts w:eastAsia="Arial Unicode MS" w:cstheme="minorHAnsi"/>
          <w:sz w:val="24"/>
          <w:szCs w:val="24"/>
          <w:u w:color="000000"/>
        </w:rPr>
        <w:tab/>
      </w:r>
      <w:bookmarkStart w:name="_Hlk86123772" w:id="1"/>
      <w:r>
        <w:rPr>
          <w:rFonts w:eastAsia="Arial Unicode MS" w:cstheme="minorHAnsi"/>
          <w:sz w:val="24"/>
          <w:szCs w:val="24"/>
          <w:u w:color="000000"/>
        </w:rPr>
        <w:t xml:space="preserve">5a1. </w:t>
      </w:r>
      <w:r w:rsidR="00220A42">
        <w:rPr>
          <w:rFonts w:eastAsia="Arial Unicode MS" w:cstheme="minorHAnsi"/>
          <w:sz w:val="24"/>
          <w:szCs w:val="24"/>
          <w:u w:color="000000"/>
        </w:rPr>
        <w:t>24/4-hr AGE Illness</w:t>
      </w:r>
      <w:r w:rsidR="009A42C8">
        <w:rPr>
          <w:rFonts w:eastAsia="Arial Unicode MS" w:cstheme="minorHAnsi"/>
          <w:sz w:val="24"/>
          <w:szCs w:val="24"/>
          <w:u w:color="000000"/>
        </w:rPr>
        <w:t xml:space="preserve"> Report</w:t>
      </w:r>
      <w:r w:rsidR="00220A42">
        <w:rPr>
          <w:rFonts w:eastAsia="Arial Unicode MS" w:cstheme="minorHAnsi"/>
          <w:sz w:val="24"/>
          <w:szCs w:val="24"/>
          <w:u w:color="000000"/>
        </w:rPr>
        <w:t xml:space="preserve"> (</w:t>
      </w:r>
      <w:r w:rsidR="00AE3079">
        <w:rPr>
          <w:rFonts w:eastAsia="Arial Unicode MS" w:cstheme="minorHAnsi"/>
          <w:sz w:val="24"/>
          <w:szCs w:val="24"/>
          <w:u w:color="000000"/>
        </w:rPr>
        <w:t>web</w:t>
      </w:r>
      <w:r w:rsidR="00707321">
        <w:rPr>
          <w:rFonts w:eastAsia="Arial Unicode MS" w:cstheme="minorHAnsi"/>
          <w:sz w:val="24"/>
          <w:szCs w:val="24"/>
          <w:u w:color="000000"/>
        </w:rPr>
        <w:t>)</w:t>
      </w:r>
    </w:p>
    <w:bookmarkEnd w:id="1"/>
    <w:p w:rsidRPr="00232ED3" w:rsidR="006A4851" w:rsidP="00835E4D" w:rsidRDefault="00FA1F71" w14:paraId="5DAFD027" w14:textId="71D0290A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</w:r>
      <w:r>
        <w:rPr>
          <w:rFonts w:eastAsia="Arial Unicode MS" w:cstheme="minorHAnsi"/>
          <w:sz w:val="24"/>
          <w:szCs w:val="24"/>
          <w:u w:color="000000"/>
        </w:rPr>
        <w:tab/>
        <w:t xml:space="preserve">5a2. </w:t>
      </w:r>
      <w:r w:rsidRPr="00232ED3">
        <w:rPr>
          <w:rFonts w:eastAsia="Arial Unicode MS" w:cstheme="minorHAnsi"/>
          <w:sz w:val="24"/>
          <w:szCs w:val="24"/>
          <w:u w:color="000000"/>
        </w:rPr>
        <w:t>24/4-hr AGE Illness Report (</w:t>
      </w:r>
      <w:r w:rsidRPr="00232ED3" w:rsidR="005C7DBC">
        <w:rPr>
          <w:rFonts w:eastAsia="Arial Unicode MS" w:cstheme="minorHAnsi"/>
          <w:sz w:val="24"/>
          <w:szCs w:val="24"/>
          <w:u w:color="000000"/>
        </w:rPr>
        <w:t>phone</w:t>
      </w:r>
      <w:r w:rsidRPr="00232ED3" w:rsidR="009146F7">
        <w:rPr>
          <w:rFonts w:eastAsia="Arial Unicode MS" w:cstheme="minorHAnsi"/>
          <w:sz w:val="24"/>
          <w:szCs w:val="24"/>
          <w:u w:color="000000"/>
        </w:rPr>
        <w:t>/email/fax</w:t>
      </w:r>
      <w:r w:rsidRPr="00232ED3">
        <w:rPr>
          <w:rFonts w:eastAsia="Arial Unicode MS" w:cstheme="minorHAnsi"/>
          <w:sz w:val="24"/>
          <w:szCs w:val="24"/>
          <w:u w:color="000000"/>
        </w:rPr>
        <w:t>)</w:t>
      </w:r>
    </w:p>
    <w:p w:rsidR="00435BA1" w:rsidP="009146F7" w:rsidRDefault="00FA1F71" w14:paraId="745542AE" w14:textId="77777777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cstheme="minorHAnsi"/>
          <w:sz w:val="24"/>
          <w:szCs w:val="24"/>
        </w:rPr>
      </w:pPr>
      <w:r w:rsidRPr="00232ED3">
        <w:rPr>
          <w:rFonts w:eastAsia="Arial Unicode MS" w:cstheme="minorHAnsi"/>
          <w:sz w:val="24"/>
          <w:szCs w:val="24"/>
          <w:u w:color="000000"/>
        </w:rPr>
        <w:tab/>
      </w:r>
      <w:r w:rsidRPr="00232ED3">
        <w:rPr>
          <w:rFonts w:eastAsia="Arial Unicode MS" w:cstheme="minorHAnsi"/>
          <w:sz w:val="24"/>
          <w:szCs w:val="24"/>
          <w:u w:color="000000"/>
        </w:rPr>
        <w:tab/>
      </w:r>
      <w:bookmarkStart w:name="_Hlk86124774" w:id="2"/>
      <w:bookmarkStart w:name="_Hlk86124355" w:id="3"/>
      <w:r w:rsidRPr="00232ED3">
        <w:rPr>
          <w:rFonts w:eastAsia="Arial Unicode MS" w:cstheme="minorHAnsi"/>
          <w:sz w:val="24"/>
          <w:szCs w:val="24"/>
          <w:u w:color="000000"/>
        </w:rPr>
        <w:t xml:space="preserve">5a3. </w:t>
      </w:r>
      <w:r w:rsidRPr="00232ED3" w:rsidR="00232ED3">
        <w:rPr>
          <w:rFonts w:cstheme="minorHAnsi"/>
          <w:sz w:val="24"/>
          <w:szCs w:val="24"/>
        </w:rPr>
        <w:t>Special Reports exceeding 2%-3% AGE Threshold (web/phone/email/fax)</w:t>
      </w:r>
      <w:bookmarkEnd w:id="2"/>
    </w:p>
    <w:p w:rsidR="00FA1F71" w:rsidP="009146F7" w:rsidRDefault="00435BA1" w14:paraId="3766262D" w14:textId="6181519E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(non-standard)</w:t>
      </w:r>
    </w:p>
    <w:p w:rsidR="00E232E3" w:rsidP="009146F7" w:rsidRDefault="00E232E3" w14:paraId="392505C5" w14:textId="3AE885DD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5a4. </w:t>
      </w:r>
      <w:r w:rsidRPr="00E232E3">
        <w:rPr>
          <w:rFonts w:cstheme="minorHAnsi"/>
          <w:sz w:val="24"/>
          <w:szCs w:val="24"/>
        </w:rPr>
        <w:t>MIDRS quick reference guide</w:t>
      </w:r>
    </w:p>
    <w:bookmarkEnd w:id="3"/>
    <w:p w:rsidRPr="00232ED3" w:rsidR="00DE3747" w:rsidP="00835E4D" w:rsidRDefault="00DE3747" w14:paraId="699D7E17" w14:textId="1DA2B805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 w:rsidRPr="00232ED3">
        <w:rPr>
          <w:rFonts w:eastAsia="Arial Unicode MS" w:cstheme="minorHAnsi"/>
          <w:sz w:val="24"/>
          <w:szCs w:val="24"/>
          <w:u w:color="000000"/>
        </w:rPr>
        <w:tab/>
        <w:t>5b.</w:t>
      </w:r>
      <w:r w:rsidRPr="00232ED3" w:rsidR="006A4851">
        <w:rPr>
          <w:rFonts w:eastAsia="Arial Unicode MS" w:cstheme="minorHAnsi"/>
          <w:sz w:val="24"/>
          <w:szCs w:val="24"/>
          <w:u w:color="000000"/>
        </w:rPr>
        <w:t xml:space="preserve"> </w:t>
      </w:r>
      <w:r w:rsidR="008D46B7">
        <w:rPr>
          <w:rFonts w:eastAsia="Arial Unicode MS" w:cstheme="minorHAnsi"/>
          <w:sz w:val="24"/>
          <w:szCs w:val="24"/>
          <w:u w:color="000000"/>
        </w:rPr>
        <w:t xml:space="preserve">Daily Reports of </w:t>
      </w:r>
      <w:r w:rsidRPr="00232ED3">
        <w:rPr>
          <w:rFonts w:eastAsia="Arial Unicode MS" w:cstheme="minorHAnsi"/>
          <w:sz w:val="24"/>
          <w:szCs w:val="24"/>
          <w:u w:color="000000"/>
        </w:rPr>
        <w:t>AGE Log</w:t>
      </w:r>
      <w:r w:rsidRPr="00232ED3" w:rsidR="00154A13">
        <w:rPr>
          <w:rFonts w:eastAsia="Arial Unicode MS" w:cstheme="minorHAnsi"/>
          <w:sz w:val="24"/>
          <w:szCs w:val="24"/>
          <w:u w:color="000000"/>
        </w:rPr>
        <w:t>s</w:t>
      </w:r>
    </w:p>
    <w:p w:rsidR="00E97B80" w:rsidP="00EB001C" w:rsidRDefault="00DE3747" w14:paraId="325DEAAD" w14:textId="5ED25743">
      <w:pPr>
        <w:tabs>
          <w:tab w:val="left" w:pos="720"/>
          <w:tab w:val="left" w:pos="1260"/>
        </w:tabs>
        <w:spacing w:after="0" w:line="240" w:lineRule="auto"/>
        <w:ind w:left="1080" w:hanging="540"/>
        <w:rPr>
          <w:rFonts w:eastAsia="Arial Unicode MS" w:cstheme="minorHAnsi"/>
          <w:sz w:val="24"/>
          <w:szCs w:val="24"/>
          <w:u w:color="000000"/>
        </w:rPr>
      </w:pPr>
      <w:r w:rsidRPr="00232ED3">
        <w:rPr>
          <w:rFonts w:eastAsia="Arial Unicode MS" w:cstheme="minorHAnsi"/>
          <w:sz w:val="24"/>
          <w:szCs w:val="24"/>
          <w:u w:color="000000"/>
        </w:rPr>
        <w:tab/>
        <w:t xml:space="preserve">5c. </w:t>
      </w:r>
      <w:r w:rsidRPr="00232ED3" w:rsidR="00E97B80">
        <w:rPr>
          <w:rFonts w:eastAsia="Arial Unicode MS" w:cstheme="minorHAnsi"/>
          <w:sz w:val="24"/>
          <w:szCs w:val="24"/>
          <w:u w:color="000000"/>
        </w:rPr>
        <w:t>72-hr Food/Activity</w:t>
      </w:r>
      <w:r w:rsidR="00E97B80">
        <w:rPr>
          <w:rFonts w:eastAsia="Arial Unicode MS" w:cstheme="minorHAnsi"/>
          <w:sz w:val="24"/>
          <w:szCs w:val="24"/>
          <w:u w:color="000000"/>
        </w:rPr>
        <w:t xml:space="preserve"> History</w:t>
      </w:r>
      <w:r w:rsidR="00232ED3">
        <w:rPr>
          <w:rFonts w:eastAsia="Arial Unicode MS" w:cstheme="minorHAnsi"/>
          <w:sz w:val="24"/>
          <w:szCs w:val="24"/>
          <w:u w:color="000000"/>
        </w:rPr>
        <w:t xml:space="preserve"> Template </w:t>
      </w:r>
    </w:p>
    <w:p w:rsidR="00E97B80" w:rsidP="00835E4D" w:rsidRDefault="00E97B80" w14:paraId="0DF44BE1" w14:textId="6593854C">
      <w:pPr>
        <w:tabs>
          <w:tab w:val="left" w:pos="720"/>
          <w:tab w:val="left" w:pos="1260"/>
        </w:tabs>
        <w:spacing w:after="0" w:line="240" w:lineRule="auto"/>
        <w:ind w:left="1080" w:hanging="540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>5</w:t>
      </w:r>
      <w:r w:rsidR="00EB001C">
        <w:rPr>
          <w:rFonts w:eastAsia="Arial Unicode MS" w:cstheme="minorHAnsi"/>
          <w:sz w:val="24"/>
          <w:szCs w:val="24"/>
          <w:u w:color="000000"/>
        </w:rPr>
        <w:t>d</w:t>
      </w:r>
      <w:r>
        <w:rPr>
          <w:rFonts w:eastAsia="Arial Unicode MS" w:cstheme="minorHAnsi"/>
          <w:sz w:val="24"/>
          <w:szCs w:val="24"/>
          <w:u w:color="000000"/>
        </w:rPr>
        <w:t>. Interviews to Determine AGE Status</w:t>
      </w:r>
      <w:r w:rsidR="006F7638">
        <w:rPr>
          <w:rFonts w:eastAsia="Arial Unicode MS" w:cstheme="minorHAnsi"/>
          <w:sz w:val="24"/>
          <w:szCs w:val="24"/>
          <w:u w:color="000000"/>
        </w:rPr>
        <w:t xml:space="preserve"> (initial, 24-, 48-hour)</w:t>
      </w:r>
      <w:r w:rsidR="00707321">
        <w:rPr>
          <w:rFonts w:eastAsia="Arial Unicode MS" w:cstheme="minorHAnsi"/>
          <w:sz w:val="24"/>
          <w:szCs w:val="24"/>
          <w:u w:color="000000"/>
        </w:rPr>
        <w:t xml:space="preserve"> (non-standard)</w:t>
      </w:r>
    </w:p>
    <w:p w:rsidR="00EB001C" w:rsidP="00EB001C" w:rsidRDefault="00EB001C" w14:paraId="36E4E2AF" w14:textId="111880C5">
      <w:pPr>
        <w:tabs>
          <w:tab w:val="left" w:pos="720"/>
          <w:tab w:val="left" w:pos="1260"/>
        </w:tabs>
        <w:spacing w:after="0" w:line="240" w:lineRule="auto"/>
        <w:ind w:left="1080" w:hanging="540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>5e. Three-day Pre-embarkation AGE Illness Assessment</w:t>
      </w:r>
      <w:r w:rsidR="00707321">
        <w:rPr>
          <w:rFonts w:eastAsia="Arial Unicode MS" w:cstheme="minorHAnsi"/>
          <w:sz w:val="24"/>
          <w:szCs w:val="24"/>
          <w:u w:color="000000"/>
        </w:rPr>
        <w:t xml:space="preserve"> (non-standard)</w:t>
      </w:r>
    </w:p>
    <w:p w:rsidR="006A4851" w:rsidP="00570D30" w:rsidRDefault="001C2FEC" w14:paraId="04ACFBC1" w14:textId="3D6EEF3C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</w:r>
      <w:bookmarkStart w:name="_Hlk84772621" w:id="4"/>
      <w:r>
        <w:rPr>
          <w:rFonts w:eastAsia="Arial Unicode MS" w:cstheme="minorHAnsi"/>
          <w:sz w:val="24"/>
          <w:szCs w:val="24"/>
          <w:u w:color="000000"/>
        </w:rPr>
        <w:t>5</w:t>
      </w:r>
      <w:r w:rsidR="00E97B80">
        <w:rPr>
          <w:rFonts w:eastAsia="Arial Unicode MS" w:cstheme="minorHAnsi"/>
          <w:sz w:val="24"/>
          <w:szCs w:val="24"/>
          <w:u w:color="000000"/>
        </w:rPr>
        <w:t>f</w:t>
      </w:r>
      <w:r>
        <w:rPr>
          <w:rFonts w:eastAsia="Arial Unicode MS" w:cstheme="minorHAnsi"/>
          <w:sz w:val="24"/>
          <w:szCs w:val="24"/>
          <w:u w:color="000000"/>
        </w:rPr>
        <w:t xml:space="preserve">. </w:t>
      </w:r>
      <w:r w:rsidR="00F84BA5">
        <w:rPr>
          <w:rFonts w:eastAsia="Arial Unicode MS" w:cstheme="minorHAnsi"/>
          <w:sz w:val="24"/>
          <w:szCs w:val="24"/>
          <w:u w:color="000000"/>
        </w:rPr>
        <w:t>Last Symptom Check and Return to Work</w:t>
      </w:r>
      <w:r w:rsidR="001044FF">
        <w:rPr>
          <w:rFonts w:eastAsia="Arial Unicode MS" w:cstheme="minorHAnsi"/>
          <w:sz w:val="24"/>
          <w:szCs w:val="24"/>
          <w:u w:color="000000"/>
        </w:rPr>
        <w:t xml:space="preserve"> Clearance</w:t>
      </w:r>
      <w:r w:rsidR="00707321">
        <w:rPr>
          <w:rFonts w:eastAsia="Arial Unicode MS" w:cstheme="minorHAnsi"/>
          <w:sz w:val="24"/>
          <w:szCs w:val="24"/>
          <w:u w:color="000000"/>
        </w:rPr>
        <w:t xml:space="preserve"> (non-standard)</w:t>
      </w:r>
    </w:p>
    <w:bookmarkEnd w:id="4"/>
    <w:p w:rsidR="00EB001C" w:rsidP="00AA2CED" w:rsidRDefault="001C2061" w14:paraId="3C754FE2" w14:textId="39EDB096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 xml:space="preserve">Attachment 6. </w:t>
      </w:r>
      <w:r w:rsidR="004E742E">
        <w:rPr>
          <w:rFonts w:eastAsia="Arial Unicode MS" w:cstheme="minorHAnsi"/>
          <w:sz w:val="24"/>
          <w:szCs w:val="24"/>
          <w:u w:color="000000"/>
        </w:rPr>
        <w:t xml:space="preserve">Required </w:t>
      </w:r>
      <w:r>
        <w:rPr>
          <w:rFonts w:eastAsia="Arial Unicode MS" w:cstheme="minorHAnsi"/>
          <w:sz w:val="24"/>
          <w:szCs w:val="24"/>
          <w:u w:color="000000"/>
        </w:rPr>
        <w:t>Recordkeeping</w:t>
      </w:r>
      <w:bookmarkStart w:name="_Hlk84774367" w:id="5"/>
    </w:p>
    <w:p w:rsidR="005C7DBC" w:rsidP="00197622" w:rsidRDefault="005C7DBC" w14:paraId="645AEB6C" w14:textId="2FAC4DE8">
      <w:pPr>
        <w:tabs>
          <w:tab w:val="left" w:pos="0"/>
          <w:tab w:val="left" w:pos="720"/>
          <w:tab w:val="left" w:pos="1260"/>
        </w:tabs>
        <w:spacing w:after="0"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>6a. AGE Surveillance Records</w:t>
      </w:r>
    </w:p>
    <w:p w:rsidR="005C7DBC" w:rsidP="00AA2CED" w:rsidRDefault="005C7DBC" w14:paraId="00357BC7" w14:textId="05295DC1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ab/>
        <w:t>6b. Engineering and Sanitation Records</w:t>
      </w:r>
    </w:p>
    <w:bookmarkEnd w:id="5"/>
    <w:p w:rsidR="00DE3747" w:rsidP="00E80721" w:rsidRDefault="00DE3747" w14:paraId="1314F5E3" w14:textId="63DCAB9C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 xml:space="preserve">Attachment </w:t>
      </w:r>
      <w:r w:rsidR="001044FF">
        <w:rPr>
          <w:rFonts w:eastAsia="Arial Unicode MS" w:cstheme="minorHAnsi"/>
          <w:sz w:val="24"/>
          <w:szCs w:val="24"/>
          <w:u w:color="000000"/>
        </w:rPr>
        <w:t>7</w:t>
      </w:r>
      <w:r>
        <w:rPr>
          <w:rFonts w:eastAsia="Arial Unicode MS" w:cstheme="minorHAnsi"/>
          <w:sz w:val="24"/>
          <w:szCs w:val="24"/>
          <w:u w:color="000000"/>
        </w:rPr>
        <w:t>. Research Determination Form</w:t>
      </w:r>
    </w:p>
    <w:p w:rsidR="00DE3747" w:rsidP="00E80721" w:rsidRDefault="00DE3747" w14:paraId="5C8A2819" w14:textId="382E4850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 xml:space="preserve">Attachment </w:t>
      </w:r>
      <w:r w:rsidR="001044FF">
        <w:rPr>
          <w:rFonts w:eastAsia="Arial Unicode MS" w:cstheme="minorHAnsi"/>
          <w:sz w:val="24"/>
          <w:szCs w:val="24"/>
          <w:u w:color="000000"/>
        </w:rPr>
        <w:t>8</w:t>
      </w:r>
      <w:r>
        <w:rPr>
          <w:rFonts w:eastAsia="Arial Unicode MS" w:cstheme="minorHAnsi"/>
          <w:sz w:val="24"/>
          <w:szCs w:val="24"/>
          <w:u w:color="000000"/>
        </w:rPr>
        <w:t>. International Convention of Safety of Life at Sea</w:t>
      </w:r>
    </w:p>
    <w:p w:rsidRPr="00F2756F" w:rsidR="00DE3747" w:rsidP="00E80721" w:rsidRDefault="00DE3747" w14:paraId="3B312D49" w14:textId="6298E772">
      <w:pPr>
        <w:tabs>
          <w:tab w:val="left" w:pos="0"/>
          <w:tab w:val="left" w:pos="720"/>
          <w:tab w:val="left" w:pos="1260"/>
        </w:tabs>
        <w:spacing w:line="240" w:lineRule="auto"/>
        <w:rPr>
          <w:rFonts w:eastAsia="Arial Unicode MS" w:cstheme="minorHAnsi"/>
          <w:sz w:val="24"/>
          <w:szCs w:val="24"/>
          <w:u w:color="000000"/>
        </w:rPr>
      </w:pPr>
      <w:r>
        <w:rPr>
          <w:rFonts w:eastAsia="Arial Unicode MS" w:cstheme="minorHAnsi"/>
          <w:sz w:val="24"/>
          <w:szCs w:val="24"/>
          <w:u w:color="000000"/>
        </w:rPr>
        <w:t xml:space="preserve">Attachment </w:t>
      </w:r>
      <w:r w:rsidR="001044FF">
        <w:rPr>
          <w:rFonts w:eastAsia="Arial Unicode MS" w:cstheme="minorHAnsi"/>
          <w:sz w:val="24"/>
          <w:szCs w:val="24"/>
          <w:u w:color="000000"/>
        </w:rPr>
        <w:t>9</w:t>
      </w:r>
      <w:r>
        <w:rPr>
          <w:rFonts w:eastAsia="Arial Unicode MS" w:cstheme="minorHAnsi"/>
          <w:sz w:val="24"/>
          <w:szCs w:val="24"/>
          <w:u w:color="000000"/>
        </w:rPr>
        <w:t>. Privacy Impact Assessment Form</w:t>
      </w:r>
    </w:p>
    <w:p w:rsidRPr="00D20211" w:rsidR="00DE3747" w:rsidP="00835E4D" w:rsidRDefault="00DE3747" w14:paraId="68A31A11" w14:textId="77777777">
      <w:pPr>
        <w:spacing w:after="0" w:line="240" w:lineRule="auto"/>
      </w:pPr>
      <w:r>
        <w:t xml:space="preserve"> </w:t>
      </w:r>
    </w:p>
    <w:p w:rsidR="001A79EA" w:rsidP="00835E4D" w:rsidRDefault="00E232E3" w14:paraId="67A38269" w14:textId="77777777">
      <w:pPr>
        <w:spacing w:after="0" w:line="240" w:lineRule="auto"/>
      </w:pPr>
    </w:p>
    <w:sectPr w:rsidR="001A79EA" w:rsidSect="00DE37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D490" w14:textId="77777777" w:rsidR="00EE0AEE" w:rsidRDefault="00EE0AEE" w:rsidP="00EE0AEE">
      <w:pPr>
        <w:spacing w:after="0" w:line="240" w:lineRule="auto"/>
      </w:pPr>
      <w:r>
        <w:separator/>
      </w:r>
    </w:p>
  </w:endnote>
  <w:endnote w:type="continuationSeparator" w:id="0">
    <w:p w14:paraId="6313BC1D" w14:textId="77777777" w:rsidR="00EE0AEE" w:rsidRDefault="00EE0AEE" w:rsidP="00EE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2928" w14:textId="77777777" w:rsidR="00EE0AEE" w:rsidRDefault="00EE0AEE" w:rsidP="00EE0AEE">
      <w:pPr>
        <w:spacing w:after="0" w:line="240" w:lineRule="auto"/>
      </w:pPr>
      <w:r>
        <w:separator/>
      </w:r>
    </w:p>
  </w:footnote>
  <w:footnote w:type="continuationSeparator" w:id="0">
    <w:p w14:paraId="3EFC9DC1" w14:textId="77777777" w:rsidR="00EE0AEE" w:rsidRDefault="00EE0AEE" w:rsidP="00EE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EE"/>
    <w:rsid w:val="00033643"/>
    <w:rsid w:val="00077EF4"/>
    <w:rsid w:val="001044FF"/>
    <w:rsid w:val="00154A13"/>
    <w:rsid w:val="001919E9"/>
    <w:rsid w:val="00197622"/>
    <w:rsid w:val="001A14C6"/>
    <w:rsid w:val="001C2061"/>
    <w:rsid w:val="001C2FEC"/>
    <w:rsid w:val="0020013F"/>
    <w:rsid w:val="00220A42"/>
    <w:rsid w:val="00231DD1"/>
    <w:rsid w:val="00232ED3"/>
    <w:rsid w:val="00287546"/>
    <w:rsid w:val="003337D4"/>
    <w:rsid w:val="003404FF"/>
    <w:rsid w:val="0042494D"/>
    <w:rsid w:val="00435BA1"/>
    <w:rsid w:val="004E742E"/>
    <w:rsid w:val="0050329E"/>
    <w:rsid w:val="00510A8F"/>
    <w:rsid w:val="00570D30"/>
    <w:rsid w:val="00573A72"/>
    <w:rsid w:val="005C7DBC"/>
    <w:rsid w:val="00684615"/>
    <w:rsid w:val="006856BE"/>
    <w:rsid w:val="006A4851"/>
    <w:rsid w:val="006F7638"/>
    <w:rsid w:val="00707321"/>
    <w:rsid w:val="00835E4D"/>
    <w:rsid w:val="008D46B7"/>
    <w:rsid w:val="009146F7"/>
    <w:rsid w:val="009A42C8"/>
    <w:rsid w:val="009E4BCA"/>
    <w:rsid w:val="00A540A9"/>
    <w:rsid w:val="00A57D18"/>
    <w:rsid w:val="00AA2CED"/>
    <w:rsid w:val="00AA781F"/>
    <w:rsid w:val="00AD5FCB"/>
    <w:rsid w:val="00AE3079"/>
    <w:rsid w:val="00AE7471"/>
    <w:rsid w:val="00B21DBD"/>
    <w:rsid w:val="00B71D78"/>
    <w:rsid w:val="00CC1AB8"/>
    <w:rsid w:val="00DE3747"/>
    <w:rsid w:val="00E232E3"/>
    <w:rsid w:val="00E35C48"/>
    <w:rsid w:val="00E80721"/>
    <w:rsid w:val="00E97B80"/>
    <w:rsid w:val="00EB001C"/>
    <w:rsid w:val="00EB3DF1"/>
    <w:rsid w:val="00EE0AEE"/>
    <w:rsid w:val="00F71F81"/>
    <w:rsid w:val="00F84BA5"/>
    <w:rsid w:val="00FA1F71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FB9BC"/>
  <w15:chartTrackingRefBased/>
  <w15:docId w15:val="{3353FA3C-A84A-4863-A367-7B7DAFB7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47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74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4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F71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F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F81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E4D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 of Attachments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Jenkins, Keisha A. (CDC/DDNID/NCEH/DEHSP)</cp:lastModifiedBy>
  <cp:revision>2</cp:revision>
  <dcterms:created xsi:type="dcterms:W3CDTF">2022-01-25T13:49:00Z</dcterms:created>
  <dcterms:modified xsi:type="dcterms:W3CDTF">2022-01-25T13:49:00Z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2021-10-07T19:35:53Z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981a9352-363b-45b7-806f-61cca7e453aa</vt:lpwstr>
  </property>
  <property fmtid="{D5CDD505-2E9C-101B-9397-08002B2CF9AE}" pid="8" name="MSIP_Label_7b94a7b8-f06c-4dfe-bdcc-9b548fd58c31_ContentBits">
    <vt:lpwstr>0</vt:lpwstr>
  </property>
</Properties>
</file>