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21B3" w:rsidR="00A20336" w:rsidP="00A74088" w:rsidRDefault="004653BD" w14:paraId="4FC43394" w14:textId="77777777">
      <w:pPr>
        <w:pStyle w:val="Default"/>
        <w:spacing w:after="120"/>
        <w:jc w:val="center"/>
        <w:rPr>
          <w:rFonts w:cs="Times New Roman" w:asciiTheme="minorHAnsi" w:hAnsiTheme="minorHAnsi"/>
          <w:b/>
          <w:sz w:val="20"/>
          <w:szCs w:val="20"/>
          <w:u w:val="single"/>
        </w:rPr>
      </w:pPr>
      <w:r w:rsidRPr="007121B3">
        <w:rPr>
          <w:rFonts w:cs="Times New Roman" w:asciiTheme="minorHAnsi" w:hAnsiTheme="minorHAnsi"/>
          <w:b/>
          <w:sz w:val="20"/>
          <w:szCs w:val="20"/>
          <w:u w:val="single"/>
        </w:rPr>
        <w:t>PRIVACY ACT DETERMINATION</w:t>
      </w:r>
    </w:p>
    <w:p w:rsidRPr="00EA711A" w:rsidR="00AC2FEC" w:rsidP="007121B3" w:rsidRDefault="00AA378E" w14:paraId="15C85B4F" w14:textId="55371B89">
      <w:pPr>
        <w:pStyle w:val="Default"/>
        <w:spacing w:before="240" w:after="240"/>
        <w:rPr>
          <w:rFonts w:asciiTheme="minorHAnsi" w:hAnsiTheme="minorHAnsi" w:cstheme="minorHAnsi"/>
          <w:sz w:val="20"/>
          <w:szCs w:val="20"/>
        </w:rPr>
      </w:pPr>
      <w:r w:rsidRPr="00A74088">
        <w:rPr>
          <w:rFonts w:cs="Times New Roman" w:asciiTheme="minorHAnsi" w:hAnsiTheme="minorHAnsi"/>
          <w:sz w:val="20"/>
          <w:szCs w:val="20"/>
        </w:rPr>
        <w:t xml:space="preserve">On </w:t>
      </w:r>
      <w:r w:rsidRPr="00A74088" w:rsidR="00D61F9E">
        <w:rPr>
          <w:rFonts w:cs="Times New Roman" w:asciiTheme="minorHAnsi" w:hAnsiTheme="minorHAnsi"/>
          <w:sz w:val="20"/>
          <w:szCs w:val="20"/>
        </w:rPr>
        <w:t>03/23/2018</w:t>
      </w:r>
      <w:r w:rsidRPr="00A74088" w:rsidR="001B3D85">
        <w:rPr>
          <w:rFonts w:cs="Times New Roman" w:asciiTheme="minorHAnsi" w:hAnsiTheme="minorHAnsi"/>
          <w:sz w:val="20"/>
          <w:szCs w:val="20"/>
        </w:rPr>
        <w:t>, t</w:t>
      </w:r>
      <w:r w:rsidRPr="00A74088" w:rsidR="005214A8">
        <w:rPr>
          <w:rFonts w:cs="Times New Roman" w:asciiTheme="minorHAnsi" w:hAnsiTheme="minorHAnsi"/>
          <w:sz w:val="20"/>
          <w:szCs w:val="20"/>
        </w:rPr>
        <w:t xml:space="preserve">he </w:t>
      </w:r>
      <w:r w:rsidRPr="00A74088" w:rsidR="00544546">
        <w:rPr>
          <w:rFonts w:cs="Times New Roman" w:asciiTheme="minorHAnsi" w:hAnsiTheme="minorHAnsi"/>
          <w:sz w:val="20"/>
          <w:szCs w:val="20"/>
        </w:rPr>
        <w:t>CDC Chief Privacy Officer</w:t>
      </w:r>
      <w:r w:rsidRPr="00A74088" w:rsidR="00E27555">
        <w:rPr>
          <w:rFonts w:cs="Times New Roman" w:asciiTheme="minorHAnsi" w:hAnsiTheme="minorHAnsi"/>
          <w:sz w:val="20"/>
          <w:szCs w:val="20"/>
        </w:rPr>
        <w:t xml:space="preserve"> conducted this review</w:t>
      </w:r>
      <w:r w:rsidRPr="00A74088" w:rsidR="00737B5E">
        <w:rPr>
          <w:rFonts w:cs="Times New Roman" w:asciiTheme="minorHAnsi" w:hAnsiTheme="minorHAnsi"/>
          <w:sz w:val="20"/>
          <w:szCs w:val="20"/>
        </w:rPr>
        <w:t xml:space="preserve"> and has </w:t>
      </w:r>
      <w:r w:rsidRPr="00A74088" w:rsidR="00BC6455">
        <w:rPr>
          <w:rFonts w:cs="Times New Roman" w:asciiTheme="minorHAnsi" w:hAnsiTheme="minorHAnsi"/>
          <w:sz w:val="20"/>
          <w:szCs w:val="20"/>
        </w:rPr>
        <w:t>determined</w:t>
      </w:r>
      <w:r w:rsidRPr="00A74088" w:rsidR="00D87021">
        <w:rPr>
          <w:rFonts w:cs="Times New Roman" w:asciiTheme="minorHAnsi" w:hAnsiTheme="minorHAnsi"/>
          <w:sz w:val="20"/>
          <w:szCs w:val="20"/>
        </w:rPr>
        <w:t xml:space="preserve"> that the Pr</w:t>
      </w:r>
      <w:r w:rsidRPr="00A74088">
        <w:rPr>
          <w:rFonts w:cs="Times New Roman" w:asciiTheme="minorHAnsi" w:hAnsiTheme="minorHAnsi"/>
          <w:sz w:val="20"/>
          <w:szCs w:val="20"/>
        </w:rPr>
        <w:t>ivacy Act does not apply</w:t>
      </w:r>
      <w:r w:rsidRPr="00A74088" w:rsidR="00E27555">
        <w:rPr>
          <w:rFonts w:cs="Times New Roman" w:asciiTheme="minorHAnsi" w:hAnsiTheme="minorHAnsi"/>
          <w:sz w:val="20"/>
          <w:szCs w:val="20"/>
        </w:rPr>
        <w:t>.</w:t>
      </w:r>
      <w:r w:rsidRPr="00A74088" w:rsidR="00D61F9E">
        <w:rPr>
          <w:rFonts w:cs="Times New Roman" w:asciiTheme="minorHAnsi" w:hAnsiTheme="minorHAnsi"/>
          <w:sz w:val="20"/>
          <w:szCs w:val="20"/>
        </w:rPr>
        <w:t xml:space="preserve"> </w:t>
      </w:r>
      <w:r w:rsidRPr="00A74088" w:rsidR="00A74088">
        <w:rPr>
          <w:rFonts w:asciiTheme="minorHAnsi" w:hAnsiTheme="minorHAnsi" w:cstheme="minorHAnsi"/>
          <w:sz w:val="20"/>
          <w:szCs w:val="20"/>
        </w:rPr>
        <w:t>A System of Records Notice is not applicable.</w:t>
      </w:r>
    </w:p>
    <w:p w:rsidRPr="007121B3" w:rsidR="00D61F9E" w:rsidP="007121B3" w:rsidRDefault="00AC2FEC" w14:paraId="40145B60" w14:textId="39FE7068">
      <w:pPr>
        <w:pStyle w:val="Default"/>
        <w:spacing w:before="240" w:after="240"/>
        <w:rPr>
          <w:rFonts w:cs="Times New Roman" w:asciiTheme="minorHAnsi" w:hAnsiTheme="minorHAnsi"/>
          <w:sz w:val="20"/>
          <w:szCs w:val="20"/>
        </w:rPr>
      </w:pPr>
      <w:r w:rsidRPr="00EA711A">
        <w:rPr>
          <w:rFonts w:cs="Times New Roman" w:asciiTheme="minorHAnsi" w:hAnsiTheme="minorHAnsi"/>
          <w:sz w:val="20"/>
          <w:szCs w:val="20"/>
        </w:rPr>
        <w:t>In 2022, t</w:t>
      </w:r>
      <w:r w:rsidRPr="00EA711A" w:rsidR="00D61F9E">
        <w:rPr>
          <w:rFonts w:cs="Times New Roman" w:asciiTheme="minorHAnsi" w:hAnsiTheme="minorHAnsi"/>
          <w:sz w:val="20"/>
          <w:szCs w:val="20"/>
        </w:rPr>
        <w:t>he Vessel Sanitation Program (VSP) attests that MIDRS has</w:t>
      </w:r>
      <w:r w:rsidRPr="00EA711A" w:rsidR="00470D5C">
        <w:rPr>
          <w:rFonts w:cs="Times New Roman" w:asciiTheme="minorHAnsi" w:hAnsiTheme="minorHAnsi"/>
          <w:sz w:val="20"/>
          <w:szCs w:val="20"/>
        </w:rPr>
        <w:t xml:space="preserve"> </w:t>
      </w:r>
      <w:r w:rsidRPr="00EA711A" w:rsidR="00F87086">
        <w:rPr>
          <w:rFonts w:cs="Times New Roman" w:asciiTheme="minorHAnsi" w:hAnsiTheme="minorHAnsi"/>
          <w:sz w:val="20"/>
          <w:szCs w:val="20"/>
        </w:rPr>
        <w:t>not</w:t>
      </w:r>
      <w:r w:rsidRPr="00EA711A" w:rsidR="00D61F9E">
        <w:rPr>
          <w:rFonts w:cs="Times New Roman" w:asciiTheme="minorHAnsi" w:hAnsiTheme="minorHAnsi"/>
          <w:sz w:val="20"/>
          <w:szCs w:val="20"/>
        </w:rPr>
        <w:t xml:space="preserve"> undergone major system changes; therefore, the NCEH/ATSDR Information Systems Security Officer (ISSO) has agreed that a Privacy Threshold Assessment (PTA) reassessment is not necessary. </w:t>
      </w:r>
    </w:p>
    <w:p w:rsidRPr="00A74088" w:rsidR="00737B5E" w:rsidP="007121B3" w:rsidRDefault="00D61F9E" w14:paraId="34FB9041" w14:textId="30970B8B">
      <w:pPr>
        <w:pStyle w:val="Default"/>
        <w:spacing w:before="240" w:after="240"/>
        <w:rPr>
          <w:rFonts w:cs="Times New Roman" w:asciiTheme="minorHAnsi" w:hAnsiTheme="minorHAnsi"/>
          <w:sz w:val="20"/>
          <w:szCs w:val="20"/>
        </w:rPr>
      </w:pPr>
      <w:r w:rsidRPr="007121B3">
        <w:rPr>
          <w:rFonts w:cs="Times New Roman" w:asciiTheme="minorHAnsi" w:hAnsiTheme="minorHAnsi"/>
          <w:sz w:val="20"/>
          <w:szCs w:val="20"/>
        </w:rPr>
        <w:t>If a major change occurs in</w:t>
      </w:r>
      <w:r w:rsidRPr="007121B3" w:rsidR="00F87086">
        <w:rPr>
          <w:rFonts w:cs="Times New Roman" w:asciiTheme="minorHAnsi" w:hAnsiTheme="minorHAnsi"/>
          <w:sz w:val="20"/>
          <w:szCs w:val="20"/>
        </w:rPr>
        <w:t xml:space="preserve"> the future</w:t>
      </w:r>
      <w:r w:rsidRPr="007121B3">
        <w:rPr>
          <w:rFonts w:cs="Times New Roman" w:asciiTheme="minorHAnsi" w:hAnsiTheme="minorHAnsi"/>
          <w:sz w:val="20"/>
          <w:szCs w:val="20"/>
        </w:rPr>
        <w:t>, the VSP will submit a new request for a PTA or a Privacy Impact Assessment (PIA), as applicable.</w:t>
      </w:r>
    </w:p>
    <w:p w:rsidRPr="007121B3" w:rsidR="00E27555" w:rsidP="00A20336" w:rsidRDefault="00E27555" w14:paraId="0005D288" w14:textId="77777777">
      <w:pPr>
        <w:pStyle w:val="Default"/>
        <w:spacing w:after="120"/>
        <w:contextualSpacing/>
        <w:rPr>
          <w:rFonts w:asciiTheme="minorHAnsi" w:hAnsiTheme="minorHAnsi" w:cstheme="minorHAnsi"/>
          <w:sz w:val="20"/>
          <w:szCs w:val="20"/>
        </w:rPr>
      </w:pPr>
      <w:r w:rsidRPr="007121B3">
        <w:rPr>
          <w:rFonts w:asciiTheme="minorHAnsi" w:hAnsiTheme="minorHAnsi" w:cstheme="minorHAnsi"/>
          <w:b/>
          <w:sz w:val="20"/>
          <w:szCs w:val="20"/>
        </w:rPr>
        <w:t xml:space="preserve">The </w:t>
      </w:r>
      <w:r w:rsidRPr="007121B3">
        <w:rPr>
          <w:rFonts w:asciiTheme="minorHAnsi" w:hAnsiTheme="minorHAnsi" w:cstheme="minorHAnsi"/>
          <w:b/>
          <w:bCs/>
          <w:sz w:val="20"/>
          <w:szCs w:val="20"/>
        </w:rPr>
        <w:t xml:space="preserve">Privacy Act Checklist </w:t>
      </w:r>
      <w:r w:rsidRPr="007121B3">
        <w:rPr>
          <w:rFonts w:asciiTheme="minorHAnsi" w:hAnsiTheme="minorHAnsi" w:cstheme="minorHAnsi"/>
          <w:sz w:val="20"/>
          <w:szCs w:val="20"/>
        </w:rPr>
        <w:t xml:space="preserve">(include a brief narrative addressing): </w:t>
      </w:r>
    </w:p>
    <w:p w:rsidRPr="00082FAC" w:rsidR="00E27555" w:rsidP="00A20336" w:rsidRDefault="008869D4" w14:paraId="7A6A5DC1" w14:textId="4199DAB7">
      <w:pPr>
        <w:pStyle w:val="Default"/>
        <w:numPr>
          <w:ilvl w:val="0"/>
          <w:numId w:val="1"/>
        </w:numPr>
        <w:spacing w:after="120"/>
        <w:contextualSpacing/>
        <w:rPr>
          <w:rFonts w:asciiTheme="minorHAnsi" w:hAnsiTheme="minorHAnsi" w:cstheme="minorHAnsi"/>
          <w:sz w:val="20"/>
          <w:szCs w:val="20"/>
        </w:rPr>
      </w:pPr>
      <w:r w:rsidRPr="007121B3">
        <w:rPr>
          <w:rFonts w:asciiTheme="minorHAnsi" w:hAnsiTheme="minorHAnsi" w:cstheme="minorHAnsi"/>
          <w:sz w:val="20"/>
          <w:szCs w:val="20"/>
        </w:rPr>
        <w:t>T</w:t>
      </w:r>
      <w:r w:rsidRPr="007121B3" w:rsidR="00E27555">
        <w:rPr>
          <w:rFonts w:asciiTheme="minorHAnsi" w:hAnsiTheme="minorHAnsi" w:cstheme="minorHAnsi"/>
          <w:sz w:val="20"/>
          <w:szCs w:val="20"/>
        </w:rPr>
        <w:t xml:space="preserve">he data collection involves collecting sensitive </w:t>
      </w:r>
      <w:r w:rsidRPr="007121B3" w:rsidR="00D61F9E">
        <w:rPr>
          <w:rFonts w:asciiTheme="minorHAnsi" w:hAnsiTheme="minorHAnsi" w:cstheme="minorHAnsi"/>
          <w:sz w:val="20"/>
          <w:szCs w:val="20"/>
        </w:rPr>
        <w:t>but not</w:t>
      </w:r>
      <w:r w:rsidRPr="007121B3" w:rsidR="00E27555">
        <w:rPr>
          <w:rFonts w:asciiTheme="minorHAnsi" w:hAnsiTheme="minorHAnsi" w:cstheme="minorHAnsi"/>
          <w:sz w:val="20"/>
          <w:szCs w:val="20"/>
        </w:rPr>
        <w:t xml:space="preserve"> personally identifiable information</w:t>
      </w:r>
      <w:r w:rsidRPr="007121B3" w:rsidR="00D61F9E">
        <w:rPr>
          <w:rFonts w:asciiTheme="minorHAnsi" w:hAnsiTheme="minorHAnsi" w:cstheme="minorHAnsi"/>
          <w:sz w:val="20"/>
          <w:szCs w:val="20"/>
        </w:rPr>
        <w:t xml:space="preserve"> (PII)</w:t>
      </w:r>
      <w:r w:rsidRPr="007121B3" w:rsidR="00251EA6">
        <w:rPr>
          <w:rFonts w:asciiTheme="minorHAnsi" w:hAnsiTheme="minorHAnsi" w:cstheme="minorHAnsi"/>
          <w:sz w:val="20"/>
          <w:szCs w:val="20"/>
        </w:rPr>
        <w:t xml:space="preserve"> [see </w:t>
      </w:r>
      <w:hyperlink w:tooltip="PDF Format" w:history="1" r:id="rId7">
        <w:r w:rsidRPr="007121B3" w:rsidR="00251EA6">
          <w:rPr>
            <w:rStyle w:val="Hyperlink"/>
            <w:rFonts w:asciiTheme="minorHAnsi" w:hAnsiTheme="minorHAnsi" w:cstheme="minorHAnsi"/>
            <w:sz w:val="20"/>
            <w:szCs w:val="20"/>
          </w:rPr>
          <w:t>OMB Circular No. A-130</w:t>
        </w:r>
      </w:hyperlink>
      <w:r w:rsidRPr="001417D9" w:rsidR="00143BB5">
        <w:rPr>
          <w:rStyle w:val="Hyperlink"/>
          <w:rFonts w:asciiTheme="minorHAnsi" w:hAnsiTheme="minorHAnsi" w:cstheme="minorHAnsi"/>
          <w:sz w:val="20"/>
          <w:szCs w:val="20"/>
          <w:u w:val="none"/>
        </w:rPr>
        <w:t xml:space="preserve">. </w:t>
      </w:r>
      <w:r w:rsidRPr="001417D9" w:rsidR="00143BB5">
        <w:rPr>
          <w:rFonts w:asciiTheme="minorHAnsi" w:hAnsiTheme="minorHAnsi" w:cstheme="minorHAnsi"/>
          <w:sz w:val="20"/>
          <w:szCs w:val="20"/>
        </w:rPr>
        <w:t>Please consult with your agency's privacy program when making this determination</w:t>
      </w:r>
      <w:r w:rsidRPr="00082FAC" w:rsidR="00143BB5">
        <w:rPr>
          <w:rFonts w:asciiTheme="minorHAnsi" w:hAnsiTheme="minorHAnsi" w:cstheme="minorHAnsi"/>
          <w:sz w:val="20"/>
          <w:szCs w:val="20"/>
        </w:rPr>
        <w:t>.]</w:t>
      </w:r>
      <w:r w:rsidRPr="00082FAC" w:rsidR="00E27555">
        <w:rPr>
          <w:rFonts w:asciiTheme="minorHAnsi" w:hAnsiTheme="minorHAnsi" w:cstheme="minorHAnsi"/>
          <w:sz w:val="20"/>
          <w:szCs w:val="20"/>
        </w:rPr>
        <w:t>.</w:t>
      </w:r>
    </w:p>
    <w:p w:rsidRPr="007121B3" w:rsidR="008B6137" w:rsidP="008B6137" w:rsidRDefault="004A07ED" w14:paraId="4C01C9F1" w14:textId="1AC0F54B">
      <w:pPr>
        <w:pStyle w:val="Default"/>
        <w:numPr>
          <w:ilvl w:val="0"/>
          <w:numId w:val="1"/>
        </w:numPr>
        <w:spacing w:after="120"/>
        <w:contextualSpacing/>
        <w:rPr>
          <w:rFonts w:asciiTheme="minorHAnsi" w:hAnsiTheme="minorHAnsi" w:cstheme="minorHAnsi"/>
          <w:sz w:val="20"/>
          <w:szCs w:val="20"/>
        </w:rPr>
      </w:pPr>
      <w:r w:rsidRPr="007121B3">
        <w:rPr>
          <w:rFonts w:asciiTheme="minorHAnsi" w:hAnsiTheme="minorHAnsi" w:cstheme="minorHAnsi"/>
          <w:sz w:val="20"/>
          <w:szCs w:val="20"/>
        </w:rPr>
        <w:t>T</w:t>
      </w:r>
      <w:r w:rsidRPr="007121B3" w:rsidR="00E27555">
        <w:rPr>
          <w:rFonts w:asciiTheme="minorHAnsi" w:hAnsiTheme="minorHAnsi" w:cstheme="minorHAnsi"/>
          <w:sz w:val="20"/>
          <w:szCs w:val="20"/>
        </w:rPr>
        <w:t>he</w:t>
      </w:r>
      <w:r w:rsidRPr="007121B3" w:rsidR="008B6137">
        <w:rPr>
          <w:rFonts w:asciiTheme="minorHAnsi" w:hAnsiTheme="minorHAnsi" w:cstheme="minorHAnsi"/>
          <w:sz w:val="20"/>
          <w:szCs w:val="20"/>
        </w:rPr>
        <w:t>re is no consent/advisement language for mandatory reporting.</w:t>
      </w:r>
    </w:p>
    <w:p w:rsidRPr="007121B3" w:rsidR="008B6137" w:rsidP="007121B3" w:rsidRDefault="008B6137" w14:paraId="472673A8" w14:textId="33664F85">
      <w:pPr>
        <w:spacing w:after="0" w:line="240" w:lineRule="auto"/>
        <w:ind w:left="720"/>
        <w:rPr>
          <w:rFonts w:cstheme="minorHAnsi"/>
          <w:i/>
          <w:iCs/>
          <w:sz w:val="20"/>
          <w:szCs w:val="20"/>
          <w:u w:color="000000"/>
        </w:rPr>
      </w:pPr>
      <w:r w:rsidRPr="007121B3">
        <w:rPr>
          <w:rFonts w:cstheme="minorHAnsi"/>
          <w:i/>
          <w:iCs/>
          <w:color w:val="000000"/>
          <w:sz w:val="20"/>
          <w:szCs w:val="20"/>
        </w:rPr>
        <w:t xml:space="preserve">Under Section 361(a) of the Public Health Service Act (42 USC Section 264[a]) (Attachment 1a), the U.S. Secretary of Health and Human Services is authorized </w:t>
      </w:r>
      <w:r w:rsidRPr="007121B3">
        <w:rPr>
          <w:rFonts w:cstheme="minorHAnsi"/>
          <w:i/>
          <w:iCs/>
          <w:sz w:val="20"/>
          <w:szCs w:val="20"/>
          <w:u w:color="000000"/>
        </w:rPr>
        <w:t>to make and enforce regulations necessary to prevent the introduction, transmission, or spread of communicable diseases into the U.S. from a foreign country</w:t>
      </w:r>
      <w:r w:rsidRPr="007121B3">
        <w:rPr>
          <w:rFonts w:cstheme="minorHAnsi"/>
          <w:i/>
          <w:iCs/>
          <w:color w:val="000000"/>
          <w:sz w:val="20"/>
          <w:szCs w:val="20"/>
        </w:rPr>
        <w:t xml:space="preserve">.  The authority for carrying out these functions </w:t>
      </w:r>
      <w:proofErr w:type="gramStart"/>
      <w:r w:rsidRPr="007121B3">
        <w:rPr>
          <w:rFonts w:cstheme="minorHAnsi"/>
          <w:i/>
          <w:iCs/>
          <w:color w:val="000000"/>
          <w:sz w:val="20"/>
          <w:szCs w:val="20"/>
        </w:rPr>
        <w:t>on a daily basis</w:t>
      </w:r>
      <w:proofErr w:type="gramEnd"/>
      <w:r w:rsidRPr="007121B3">
        <w:rPr>
          <w:rFonts w:cstheme="minorHAnsi"/>
          <w:i/>
          <w:iCs/>
          <w:color w:val="000000"/>
          <w:sz w:val="20"/>
          <w:szCs w:val="20"/>
        </w:rPr>
        <w:t xml:space="preserve"> has been delegated to CDC.</w:t>
      </w:r>
      <w:r w:rsidRPr="007121B3">
        <w:rPr>
          <w:rFonts w:cstheme="minorHAnsi"/>
          <w:i/>
          <w:iCs/>
          <w:sz w:val="20"/>
          <w:szCs w:val="20"/>
        </w:rPr>
        <w:t xml:space="preserve">  VSP operates under the authority of the Public Health Service Act (42 U.S.C. Section 264 Quarantine and Inspection Regulations to Control Communicable Diseases) (Attachment 1a). </w:t>
      </w:r>
      <w:r w:rsidRPr="007121B3">
        <w:rPr>
          <w:rFonts w:cstheme="minorHAnsi"/>
          <w:i/>
          <w:iCs/>
          <w:sz w:val="20"/>
          <w:szCs w:val="20"/>
          <w:u w:color="000000"/>
        </w:rPr>
        <w:t xml:space="preserve">  In addition, Section 366(c) of the Public Health Service Act (42 USC Section 269[c]) (Attachment 1b) authorizes the promulgation of regulations applicable to vessels for preventing the introduction into the U.S. of "any communicable disease by securing the best sanitary condition of such vessels, their cargoes, passengers, and crews.” </w:t>
      </w:r>
    </w:p>
    <w:p w:rsidRPr="00A20336" w:rsidR="004653BD" w:rsidP="007121B3" w:rsidRDefault="004653BD" w14:paraId="635253BA" w14:textId="77777777">
      <w:pPr>
        <w:pStyle w:val="Default"/>
        <w:spacing w:before="240" w:after="120"/>
        <w:jc w:val="center"/>
        <w:rPr>
          <w:rFonts w:cs="Times New Roman" w:asciiTheme="minorHAnsi" w:hAnsiTheme="minorHAnsi"/>
          <w:b/>
          <w:u w:val="single"/>
        </w:rPr>
      </w:pPr>
      <w:r w:rsidRPr="00154E9D">
        <w:rPr>
          <w:rFonts w:cs="Times New Roman" w:asciiTheme="minorHAnsi" w:hAnsiTheme="minorHAnsi"/>
          <w:b/>
          <w:u w:val="single"/>
        </w:rPr>
        <w:t>ICR CERTIFICATION</w:t>
      </w:r>
    </w:p>
    <w:p w:rsidRPr="00A20336" w:rsidR="00154E9D" w:rsidP="00A20336" w:rsidRDefault="00154E9D" w14:paraId="6862F144" w14:textId="77777777">
      <w:pPr>
        <w:autoSpaceDE w:val="0"/>
        <w:autoSpaceDN w:val="0"/>
        <w:adjustRightInd w:val="0"/>
        <w:spacing w:line="240" w:lineRule="auto"/>
        <w:contextualSpacing/>
        <w:rPr>
          <w:rFonts w:cs="ITCFranklinGothicStd-Book"/>
          <w:sz w:val="20"/>
          <w:szCs w:val="20"/>
        </w:rPr>
      </w:pPr>
      <w:r w:rsidRPr="00A20336">
        <w:rPr>
          <w:rFonts w:cs="ITCFranklinGothicStd-Book"/>
          <w:sz w:val="20"/>
          <w:szCs w:val="20"/>
        </w:rPr>
        <w:t xml:space="preserve">The following checklist indicates whether </w:t>
      </w:r>
      <w:r w:rsidRPr="00A20336" w:rsidR="00AC7387">
        <w:rPr>
          <w:rFonts w:cs="ITCFranklinGothicStd-Book"/>
          <w:sz w:val="20"/>
          <w:szCs w:val="20"/>
        </w:rPr>
        <w:t xml:space="preserve">statements on </w:t>
      </w:r>
      <w:r w:rsidRPr="00A20336">
        <w:rPr>
          <w:rFonts w:cs="ITCFranklinGothicStd-Book"/>
          <w:sz w:val="20"/>
          <w:szCs w:val="20"/>
        </w:rPr>
        <w:t xml:space="preserve">the required elements of certification </w:t>
      </w:r>
      <w:r w:rsidRPr="00A20336" w:rsidR="00E959D7">
        <w:rPr>
          <w:rFonts w:cs="ITCFranklinGothicStd-Book"/>
          <w:sz w:val="20"/>
          <w:szCs w:val="20"/>
        </w:rPr>
        <w:t>are address</w:t>
      </w:r>
      <w:r w:rsidRPr="00A20336">
        <w:rPr>
          <w:rFonts w:cs="ITCFranklinGothicStd-Book"/>
          <w:sz w:val="20"/>
          <w:szCs w:val="20"/>
        </w:rPr>
        <w:t xml:space="preserve">ed </w:t>
      </w:r>
      <w:r w:rsidRPr="00A20336" w:rsidR="00AC7387">
        <w:rPr>
          <w:rFonts w:cs="ITCFranklinGothicStd-Book"/>
          <w:sz w:val="20"/>
          <w:szCs w:val="20"/>
        </w:rPr>
        <w:t>in the ICR</w:t>
      </w:r>
      <w:r w:rsidRPr="00A20336" w:rsidR="00E959D7">
        <w:rPr>
          <w:rFonts w:cs="ITCFranklinGothicStd-Book"/>
          <w:sz w:val="20"/>
          <w:szCs w:val="20"/>
        </w:rPr>
        <w:t>. For all “NO” responses, indicate whether a justification has been provided in the Supporting Statement(s)</w:t>
      </w:r>
      <w:r w:rsidRPr="00A20336">
        <w:rPr>
          <w:rFonts w:cs="ITCFranklinGothicStd-Book"/>
          <w:sz w:val="20"/>
          <w:szCs w:val="20"/>
        </w:rPr>
        <w:t>:</w:t>
      </w:r>
    </w:p>
    <w:p w:rsidRPr="00A20336" w:rsidR="00154E9D" w:rsidP="00A20336" w:rsidRDefault="00154E9D" w14:paraId="36CEB0B8" w14:textId="36B61E53">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 xml:space="preserve">Necessary for the proper </w:t>
      </w:r>
      <w:r w:rsidRPr="00A20336" w:rsidR="00A20336">
        <w:rPr>
          <w:rFonts w:cs="ITCFranklinGothicStd-Book"/>
          <w:sz w:val="20"/>
          <w:szCs w:val="20"/>
        </w:rPr>
        <w:t>performance of agency functions</w:t>
      </w:r>
    </w:p>
    <w:p w:rsidRPr="00A20336" w:rsidR="00154E9D" w:rsidP="00A20336" w:rsidRDefault="00154E9D" w14:paraId="325E55B7" w14:textId="03B616BF">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sidR="00A20336">
        <w:rPr>
          <w:rFonts w:cs="ITCFranklinGothicStd-Book"/>
          <w:sz w:val="20"/>
          <w:szCs w:val="20"/>
        </w:rPr>
        <w:t>Avoids unnecessary duplication</w:t>
      </w:r>
    </w:p>
    <w:p w:rsidRPr="00A20336" w:rsidR="00154E9D" w:rsidP="00A20336" w:rsidRDefault="00154E9D" w14:paraId="680B2345" w14:textId="7B934086">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Reduces burden</w:t>
      </w:r>
      <w:r w:rsidRPr="00A20336" w:rsidR="00A20336">
        <w:rPr>
          <w:rFonts w:cs="ITCFranklinGothicStd-Book"/>
          <w:sz w:val="20"/>
          <w:szCs w:val="20"/>
        </w:rPr>
        <w:t xml:space="preserve"> on small entities</w:t>
      </w:r>
    </w:p>
    <w:p w:rsidRPr="00A20336" w:rsidR="00154E9D" w:rsidP="00A20336" w:rsidRDefault="00154E9D" w14:paraId="0E550D73" w14:textId="5B1F5C26">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Uses plain, coherent, and unambiguous terminology that i</w:t>
      </w:r>
      <w:r w:rsidRPr="00A20336" w:rsidR="00A20336">
        <w:rPr>
          <w:rFonts w:cs="ITCFranklinGothicStd-Book"/>
          <w:sz w:val="20"/>
          <w:szCs w:val="20"/>
        </w:rPr>
        <w:t>s understandable to respondents</w:t>
      </w:r>
    </w:p>
    <w:p w:rsidRPr="00A20336" w:rsidR="00154E9D" w:rsidP="00A20336" w:rsidRDefault="00154E9D" w14:paraId="6FF1A029" w14:textId="5D1F073A">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Consistent and compatible with current report</w:t>
      </w:r>
      <w:r w:rsidRPr="00A20336" w:rsidR="00A20336">
        <w:rPr>
          <w:rFonts w:cs="ITCFranklinGothicStd-Book"/>
          <w:sz w:val="20"/>
          <w:szCs w:val="20"/>
        </w:rPr>
        <w:t>ing and recordkeeping practices</w:t>
      </w:r>
    </w:p>
    <w:p w:rsidRPr="00A20336" w:rsidR="00154E9D" w:rsidP="00A20336" w:rsidRDefault="00154E9D" w14:paraId="239A2541" w14:textId="05847FF8">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Written to indicate the retention period</w:t>
      </w:r>
      <w:r w:rsidRPr="00A20336" w:rsidR="00A20336">
        <w:rPr>
          <w:rFonts w:cs="ITCFranklinGothicStd-Book"/>
          <w:sz w:val="20"/>
          <w:szCs w:val="20"/>
        </w:rPr>
        <w:t xml:space="preserve"> for recordkeeping requirements</w:t>
      </w:r>
    </w:p>
    <w:p w:rsidRPr="00A20336" w:rsidR="00154E9D" w:rsidP="00A20336" w:rsidRDefault="00154E9D" w14:paraId="6B93F8DD" w14:textId="0A652BB8">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Written to inform respondents of the information call</w:t>
      </w:r>
      <w:r w:rsidRPr="00A20336" w:rsidR="00A20336">
        <w:rPr>
          <w:rFonts w:cs="ITCFranklinGothicStd-Book"/>
          <w:sz w:val="20"/>
          <w:szCs w:val="20"/>
        </w:rPr>
        <w:t>ed for under 5 CFR 1320.8(b)(3):</w:t>
      </w:r>
    </w:p>
    <w:p w:rsidRPr="00A20336" w:rsidR="00154E9D" w:rsidP="00A20336" w:rsidRDefault="00154E9D" w14:paraId="26BF36B7" w14:textId="664AD7AE">
      <w:pPr>
        <w:pStyle w:val="ListParagraph"/>
        <w:numPr>
          <w:ilvl w:val="1"/>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Why the</w:t>
      </w:r>
      <w:r w:rsidRPr="00A20336" w:rsidR="00A20336">
        <w:rPr>
          <w:rFonts w:cs="ITCFranklinGothicStd-Book"/>
          <w:sz w:val="20"/>
          <w:szCs w:val="20"/>
        </w:rPr>
        <w:t xml:space="preserve"> information is being collected</w:t>
      </w:r>
    </w:p>
    <w:p w:rsidRPr="00A20336" w:rsidR="00154E9D" w:rsidP="00A20336" w:rsidRDefault="00154E9D" w14:paraId="10A2CAD9" w14:textId="604123FF">
      <w:pPr>
        <w:pStyle w:val="ListParagraph"/>
        <w:numPr>
          <w:ilvl w:val="1"/>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sidR="00A20336">
        <w:rPr>
          <w:rFonts w:cs="ITCFranklinGothicStd-Book"/>
          <w:sz w:val="20"/>
          <w:szCs w:val="20"/>
        </w:rPr>
        <w:t>Use of information</w:t>
      </w:r>
    </w:p>
    <w:p w:rsidRPr="00A20336" w:rsidR="00154E9D" w:rsidP="00A20336" w:rsidRDefault="00154E9D" w14:paraId="504C9B6E" w14:textId="3E0EDC28">
      <w:pPr>
        <w:pStyle w:val="ListParagraph"/>
        <w:numPr>
          <w:ilvl w:val="1"/>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sidR="00A20336">
        <w:rPr>
          <w:rFonts w:cs="ITCFranklinGothicStd-Book"/>
          <w:sz w:val="20"/>
          <w:szCs w:val="20"/>
        </w:rPr>
        <w:t>Burden estimate</w:t>
      </w:r>
    </w:p>
    <w:p w:rsidRPr="00A20336" w:rsidR="00154E9D" w:rsidP="00A20336" w:rsidRDefault="00154E9D" w14:paraId="25F3B86F" w14:textId="4822E8F2">
      <w:pPr>
        <w:pStyle w:val="ListParagraph"/>
        <w:numPr>
          <w:ilvl w:val="1"/>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Nature of response (</w:t>
      </w:r>
      <w:r w:rsidRPr="00A20336" w:rsidR="00A20336">
        <w:rPr>
          <w:rFonts w:cs="ITCFranklinGothicStd-Book"/>
          <w:sz w:val="20"/>
          <w:szCs w:val="20"/>
        </w:rPr>
        <w:t>mandatory)</w:t>
      </w:r>
    </w:p>
    <w:p w:rsidRPr="00A20336" w:rsidR="00154E9D" w:rsidP="00A20336" w:rsidRDefault="00154E9D" w14:paraId="11F73C44" w14:textId="7E4F7124">
      <w:pPr>
        <w:pStyle w:val="ListParagraph"/>
        <w:numPr>
          <w:ilvl w:val="1"/>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Nature an</w:t>
      </w:r>
      <w:r w:rsidRPr="00A20336" w:rsidR="00A20336">
        <w:rPr>
          <w:rFonts w:cs="ITCFranklinGothicStd-Book"/>
          <w:sz w:val="20"/>
          <w:szCs w:val="20"/>
        </w:rPr>
        <w:t>d extent of confidentiality</w:t>
      </w:r>
    </w:p>
    <w:p w:rsidRPr="00A20336" w:rsidR="00154E9D" w:rsidP="00A20336" w:rsidRDefault="00154E9D" w14:paraId="54CFAA2F" w14:textId="48B45B21">
      <w:pPr>
        <w:pStyle w:val="ListParagraph"/>
        <w:numPr>
          <w:ilvl w:val="1"/>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Need to display cur</w:t>
      </w:r>
      <w:r w:rsidRPr="00A20336" w:rsidR="00A20336">
        <w:rPr>
          <w:rFonts w:cs="ITCFranklinGothicStd-Book"/>
          <w:sz w:val="20"/>
          <w:szCs w:val="20"/>
        </w:rPr>
        <w:t>rently valid OMB control number</w:t>
      </w:r>
    </w:p>
    <w:p w:rsidRPr="00A20336" w:rsidR="00154E9D" w:rsidP="00A20336" w:rsidRDefault="00154E9D" w14:paraId="3DC0B0BB" w14:textId="4A18CDF0">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 xml:space="preserve">Developed by an office that has planned and allocated resources for the efficient and effective management and use of </w:t>
      </w:r>
      <w:r w:rsidRPr="00A20336" w:rsidR="00A20336">
        <w:rPr>
          <w:rFonts w:cs="ITCFranklinGothicStd-Book"/>
          <w:sz w:val="20"/>
          <w:szCs w:val="20"/>
        </w:rPr>
        <w:t>the information to be collected</w:t>
      </w:r>
    </w:p>
    <w:p w:rsidRPr="00A20336" w:rsidR="00154E9D" w:rsidP="00A20336" w:rsidRDefault="00154E9D" w14:paraId="2448BFBD" w14:textId="4A163491">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(NO) </w:t>
      </w:r>
      <w:r w:rsidR="00470D5C">
        <w:rPr>
          <w:rFonts w:cs="Times New Roman"/>
          <w:sz w:val="20"/>
          <w:szCs w:val="20"/>
        </w:rPr>
        <w:t>–</w:t>
      </w:r>
      <w:r w:rsidRPr="00A20336">
        <w:rPr>
          <w:rFonts w:cs="Times New Roman"/>
          <w:sz w:val="20"/>
          <w:szCs w:val="20"/>
        </w:rPr>
        <w:t xml:space="preserve"> </w:t>
      </w:r>
      <w:r w:rsidR="00470D5C">
        <w:rPr>
          <w:rFonts w:cs="ITCFranklinGothicStd-Book"/>
          <w:sz w:val="20"/>
          <w:szCs w:val="20"/>
        </w:rPr>
        <w:t>Does not m</w:t>
      </w:r>
      <w:r w:rsidRPr="00A20336">
        <w:rPr>
          <w:rFonts w:cs="ITCFranklinGothicStd-Book"/>
          <w:sz w:val="20"/>
          <w:szCs w:val="20"/>
        </w:rPr>
        <w:t xml:space="preserve">ake use of effective and efficient statistical survey </w:t>
      </w:r>
      <w:r w:rsidRPr="00A20336" w:rsidR="00A20336">
        <w:rPr>
          <w:rFonts w:cs="ITCFranklinGothicStd-Book"/>
          <w:sz w:val="20"/>
          <w:szCs w:val="20"/>
        </w:rPr>
        <w:t>methodology (</w:t>
      </w:r>
      <w:r w:rsidR="00F5794A">
        <w:rPr>
          <w:rFonts w:cs="ITCFranklinGothicStd-Book"/>
          <w:sz w:val="20"/>
          <w:szCs w:val="20"/>
        </w:rPr>
        <w:t xml:space="preserve">because </w:t>
      </w:r>
      <w:r w:rsidR="00830351">
        <w:rPr>
          <w:rFonts w:cs="ITCFranklinGothicStd-Book"/>
          <w:sz w:val="20"/>
          <w:szCs w:val="20"/>
        </w:rPr>
        <w:t>not</w:t>
      </w:r>
      <w:r w:rsidRPr="00A20336" w:rsidR="00A20336">
        <w:rPr>
          <w:rFonts w:cs="ITCFranklinGothicStd-Book"/>
          <w:sz w:val="20"/>
          <w:szCs w:val="20"/>
        </w:rPr>
        <w:t xml:space="preserve"> applicable)</w:t>
      </w:r>
    </w:p>
    <w:p w:rsidRPr="00A20336" w:rsidR="00154E9D" w:rsidP="00A20336" w:rsidRDefault="00154E9D" w14:paraId="15F08C48" w14:textId="083F8C63">
      <w:pPr>
        <w:pStyle w:val="ListParagraph"/>
        <w:numPr>
          <w:ilvl w:val="0"/>
          <w:numId w:val="4"/>
        </w:numPr>
        <w:autoSpaceDE w:val="0"/>
        <w:autoSpaceDN w:val="0"/>
        <w:adjustRightInd w:val="0"/>
        <w:spacing w:line="240" w:lineRule="auto"/>
        <w:rPr>
          <w:rFonts w:cs="ITCFranklinGothicStd-Book"/>
          <w:sz w:val="20"/>
          <w:szCs w:val="20"/>
        </w:rPr>
      </w:pPr>
      <w:r w:rsidRPr="00A20336">
        <w:rPr>
          <w:rFonts w:cs="Times New Roman"/>
          <w:sz w:val="20"/>
          <w:szCs w:val="20"/>
        </w:rPr>
        <w:t xml:space="preserve">(YES) - </w:t>
      </w:r>
      <w:r w:rsidRPr="00A20336">
        <w:rPr>
          <w:rFonts w:cs="ITCFranklinGothicStd-Book"/>
          <w:sz w:val="20"/>
          <w:szCs w:val="20"/>
        </w:rPr>
        <w:t>Makes appropriat</w:t>
      </w:r>
      <w:r w:rsidRPr="00A20336" w:rsidR="00A20336">
        <w:rPr>
          <w:rFonts w:cs="ITCFranklinGothicStd-Book"/>
          <w:sz w:val="20"/>
          <w:szCs w:val="20"/>
        </w:rPr>
        <w:t>e use of information technology</w:t>
      </w:r>
    </w:p>
    <w:p w:rsidR="00154E9D" w:rsidP="004653BD" w:rsidRDefault="00154E9D" w14:paraId="484258BC" w14:textId="77777777">
      <w:pPr>
        <w:pStyle w:val="Default"/>
        <w:spacing w:after="38"/>
        <w:ind w:left="720"/>
      </w:pPr>
    </w:p>
    <w:sectPr w:rsidR="00154E9D" w:rsidSect="007121B3">
      <w:headerReference w:type="even" r:id="rId8"/>
      <w:headerReference w:type="default" r:id="rId9"/>
      <w:footerReference w:type="even" r:id="rId10"/>
      <w:footerReference w:type="default" r:id="rId11"/>
      <w:headerReference w:type="first" r:id="rId12"/>
      <w:footerReference w:type="first" r:id="rId13"/>
      <w:pgSz w:w="12240" w:h="15840"/>
      <w:pgMar w:top="1080" w:right="990" w:bottom="1170" w:left="108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4B326" w14:textId="77777777" w:rsidR="00A20336" w:rsidRDefault="00A20336" w:rsidP="00A20336">
      <w:pPr>
        <w:spacing w:after="0" w:line="240" w:lineRule="auto"/>
      </w:pPr>
      <w:r>
        <w:separator/>
      </w:r>
    </w:p>
  </w:endnote>
  <w:endnote w:type="continuationSeparator" w:id="0">
    <w:p w14:paraId="2AA927B8" w14:textId="77777777" w:rsidR="00A20336" w:rsidRDefault="00A20336" w:rsidP="00A2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F6F" w14:textId="77777777" w:rsidR="00EA711A" w:rsidRDefault="00EA7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CDBD4" w14:textId="77777777" w:rsidR="00EA711A" w:rsidRDefault="00EA7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44C4" w14:textId="77777777" w:rsidR="00EA711A" w:rsidRDefault="00EA7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CC51B" w14:textId="77777777" w:rsidR="00A20336" w:rsidRDefault="00A20336" w:rsidP="00A20336">
      <w:pPr>
        <w:spacing w:after="0" w:line="240" w:lineRule="auto"/>
      </w:pPr>
      <w:r>
        <w:separator/>
      </w:r>
    </w:p>
  </w:footnote>
  <w:footnote w:type="continuationSeparator" w:id="0">
    <w:p w14:paraId="7F4E6A9D" w14:textId="77777777" w:rsidR="00A20336" w:rsidRDefault="00A20336" w:rsidP="00A2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9B9B0" w14:textId="77777777" w:rsidR="00EA711A" w:rsidRDefault="00EA7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899051"/>
      <w:docPartObj>
        <w:docPartGallery w:val="Page Numbers (Top of Page)"/>
        <w:docPartUnique/>
      </w:docPartObj>
    </w:sdtPr>
    <w:sdtEndPr>
      <w:rPr>
        <w:noProof/>
      </w:rPr>
    </w:sdtEndPr>
    <w:sdtContent>
      <w:p w14:paraId="75AD96E7" w14:textId="6F06BD74" w:rsidR="00A74088" w:rsidRDefault="00A74088">
        <w:pPr>
          <w:pStyle w:val="Header"/>
        </w:pPr>
        <w:r>
          <w:fldChar w:fldCharType="begin"/>
        </w:r>
        <w:r>
          <w:instrText xml:space="preserve"> PAGE   \* MERGEFORMAT </w:instrText>
        </w:r>
        <w:r>
          <w:fldChar w:fldCharType="separate"/>
        </w:r>
        <w:r>
          <w:rPr>
            <w:noProof/>
          </w:rPr>
          <w:t>2</w:t>
        </w:r>
        <w:r>
          <w:rPr>
            <w:noProof/>
          </w:rPr>
          <w:fldChar w:fldCharType="end"/>
        </w:r>
      </w:p>
    </w:sdtContent>
  </w:sdt>
  <w:p w14:paraId="0756DAC7" w14:textId="15DA6050" w:rsidR="00A20336" w:rsidRPr="00A20336" w:rsidRDefault="00A20336" w:rsidP="007121B3">
    <w:pPr>
      <w:pStyle w:val="Default"/>
      <w:pBdr>
        <w:bottom w:val="single" w:sz="12" w:space="1" w:color="auto"/>
      </w:pBdr>
      <w:spacing w:after="120"/>
      <w:contextualSpacing/>
      <w:rPr>
        <w:rFonts w:asciiTheme="minorHAnsi" w:hAnsiTheme="minorHAnsi" w:cs="Times New Roman"/>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463D8" w14:textId="77777777" w:rsidR="00A74088" w:rsidRPr="002A3BC9" w:rsidRDefault="00A74088" w:rsidP="00A74088">
    <w:pPr>
      <w:pStyle w:val="Default"/>
      <w:spacing w:after="120"/>
      <w:contextualSpacing/>
      <w:jc w:val="center"/>
      <w:rPr>
        <w:rFonts w:asciiTheme="minorHAnsi" w:hAnsiTheme="minorHAnsi" w:cs="Times New Roman"/>
        <w:b/>
        <w:bCs/>
        <w:sz w:val="22"/>
        <w:szCs w:val="22"/>
      </w:rPr>
    </w:pPr>
    <w:r>
      <w:tab/>
    </w:r>
    <w:r w:rsidRPr="002A3BC9">
      <w:rPr>
        <w:rFonts w:asciiTheme="minorHAnsi" w:hAnsiTheme="minorHAnsi" w:cs="Times New Roman"/>
        <w:b/>
        <w:bCs/>
        <w:sz w:val="22"/>
        <w:szCs w:val="22"/>
      </w:rPr>
      <w:t>NCEH/ATSDR Office of Science</w:t>
    </w:r>
  </w:p>
  <w:p w14:paraId="726713BB" w14:textId="77777777" w:rsidR="00A74088" w:rsidRPr="002A3BC9" w:rsidRDefault="00A74088" w:rsidP="00A74088">
    <w:pPr>
      <w:pStyle w:val="Default"/>
      <w:pBdr>
        <w:bottom w:val="single" w:sz="12" w:space="1" w:color="auto"/>
      </w:pBdr>
      <w:spacing w:after="120"/>
      <w:contextualSpacing/>
      <w:jc w:val="center"/>
      <w:rPr>
        <w:rFonts w:asciiTheme="minorHAnsi" w:hAnsiTheme="minorHAnsi" w:cs="Times New Roman"/>
        <w:b/>
        <w:bCs/>
        <w:sz w:val="22"/>
        <w:szCs w:val="22"/>
      </w:rPr>
    </w:pPr>
    <w:r w:rsidRPr="002A3BC9">
      <w:rPr>
        <w:rFonts w:asciiTheme="minorHAnsi" w:hAnsiTheme="minorHAnsi" w:cs="Times New Roman"/>
        <w:b/>
        <w:bCs/>
        <w:sz w:val="22"/>
        <w:szCs w:val="22"/>
      </w:rPr>
      <w:t xml:space="preserve">Privacy Act and Information Collection Request (ICR) Certification Checklists </w:t>
    </w:r>
  </w:p>
  <w:p w14:paraId="776CEAF6" w14:textId="77777777" w:rsidR="00A74088" w:rsidRPr="00E06987" w:rsidRDefault="00A74088" w:rsidP="00A74088">
    <w:pPr>
      <w:pStyle w:val="Default"/>
      <w:spacing w:after="120"/>
      <w:contextualSpacing/>
      <w:jc w:val="center"/>
      <w:rPr>
        <w:rFonts w:asciiTheme="minorHAnsi" w:hAnsiTheme="minorHAnsi" w:cs="Times New Roman"/>
      </w:rPr>
    </w:pPr>
    <w:r w:rsidRPr="00154E9D">
      <w:rPr>
        <w:rFonts w:asciiTheme="minorHAnsi" w:hAnsiTheme="minorHAnsi" w:cs="Times New Roman"/>
        <w:b/>
        <w:bCs/>
      </w:rPr>
      <w:t>ICR Name:</w:t>
    </w:r>
    <w:r>
      <w:rPr>
        <w:rFonts w:asciiTheme="minorHAnsi" w:hAnsiTheme="minorHAnsi" w:cs="Times New Roman"/>
        <w:b/>
        <w:bCs/>
      </w:rPr>
      <w:t xml:space="preserve"> </w:t>
    </w:r>
    <w:r>
      <w:rPr>
        <w:rFonts w:asciiTheme="minorHAnsi" w:hAnsiTheme="minorHAnsi" w:cs="Times New Roman"/>
      </w:rPr>
      <w:t>Maritime Illness Database Illness and Reporting System Database (MIDRS)</w:t>
    </w:r>
  </w:p>
  <w:p w14:paraId="287ECD4A" w14:textId="77777777" w:rsidR="00A74088" w:rsidRPr="00E06987" w:rsidRDefault="00A74088" w:rsidP="00A74088">
    <w:pPr>
      <w:pStyle w:val="Default"/>
      <w:spacing w:after="120"/>
      <w:contextualSpacing/>
      <w:jc w:val="center"/>
      <w:rPr>
        <w:rFonts w:asciiTheme="minorHAnsi" w:hAnsiTheme="minorHAnsi" w:cs="Times New Roman"/>
      </w:rPr>
    </w:pPr>
    <w:r w:rsidRPr="00154E9D">
      <w:rPr>
        <w:rFonts w:asciiTheme="minorHAnsi" w:hAnsiTheme="minorHAnsi" w:cs="Times New Roman"/>
        <w:b/>
        <w:bCs/>
      </w:rPr>
      <w:t>OMB ID:</w:t>
    </w:r>
    <w:r>
      <w:rPr>
        <w:rFonts w:asciiTheme="minorHAnsi" w:hAnsiTheme="minorHAnsi" w:cs="Times New Roman"/>
        <w:b/>
        <w:bCs/>
      </w:rPr>
      <w:t xml:space="preserve"> </w:t>
    </w:r>
    <w:r>
      <w:rPr>
        <w:rFonts w:asciiTheme="minorHAnsi" w:hAnsiTheme="minorHAnsi" w:cs="Times New Roman"/>
      </w:rPr>
      <w:t>0920-1260</w:t>
    </w:r>
  </w:p>
  <w:p w14:paraId="23965558" w14:textId="77777777" w:rsidR="00A74088" w:rsidRPr="00154E9D" w:rsidRDefault="00A74088" w:rsidP="00A74088">
    <w:pPr>
      <w:pStyle w:val="Default"/>
      <w:spacing w:after="120"/>
      <w:contextualSpacing/>
      <w:jc w:val="center"/>
      <w:rPr>
        <w:rFonts w:asciiTheme="minorHAnsi" w:hAnsiTheme="minorHAnsi" w:cs="Times New Roman"/>
        <w:b/>
        <w:bCs/>
      </w:rPr>
    </w:pPr>
    <w:r w:rsidRPr="00154E9D">
      <w:rPr>
        <w:rFonts w:asciiTheme="minorHAnsi" w:hAnsiTheme="minorHAnsi" w:cs="Times New Roman"/>
        <w:b/>
        <w:bCs/>
      </w:rPr>
      <w:t>ICR Classification:</w:t>
    </w:r>
    <w:r>
      <w:rPr>
        <w:rFonts w:asciiTheme="minorHAnsi" w:hAnsiTheme="minorHAnsi" w:cs="Times New Roman"/>
      </w:rPr>
      <w:t xml:space="preserve"> Revision</w:t>
    </w:r>
  </w:p>
  <w:p w14:paraId="5954D30E" w14:textId="77777777" w:rsidR="00A74088" w:rsidRPr="00A20336" w:rsidRDefault="00A74088" w:rsidP="00A74088">
    <w:pPr>
      <w:pStyle w:val="Default"/>
      <w:pBdr>
        <w:bottom w:val="single" w:sz="12" w:space="1" w:color="auto"/>
      </w:pBdr>
      <w:spacing w:after="120"/>
      <w:contextualSpacing/>
      <w:jc w:val="center"/>
      <w:rPr>
        <w:rFonts w:asciiTheme="minorHAnsi" w:hAnsiTheme="minorHAnsi" w:cs="Times New Roman"/>
        <w:bCs/>
      </w:rPr>
    </w:pPr>
    <w:r w:rsidRPr="00154E9D">
      <w:rPr>
        <w:rFonts w:asciiTheme="minorHAnsi" w:hAnsiTheme="minorHAnsi" w:cs="Times New Roman"/>
        <w:b/>
        <w:bCs/>
      </w:rPr>
      <w:t>Requested Expiration Date:</w:t>
    </w:r>
    <w:r w:rsidRPr="00154E9D">
      <w:rPr>
        <w:rFonts w:asciiTheme="minorHAnsi" w:hAnsiTheme="minorHAnsi" w:cs="Times New Roman"/>
        <w:bCs/>
      </w:rPr>
      <w:t xml:space="preserve"> Three years from approval date</w:t>
    </w:r>
  </w:p>
  <w:p w14:paraId="411E75FC" w14:textId="2631A1DF" w:rsidR="00A74088" w:rsidRDefault="00A74088" w:rsidP="007121B3">
    <w:pPr>
      <w:pStyle w:val="Header"/>
      <w:tabs>
        <w:tab w:val="clear" w:pos="4680"/>
        <w:tab w:val="clear" w:pos="9360"/>
        <w:tab w:val="left" w:pos="5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A2890"/>
    <w:multiLevelType w:val="hybridMultilevel"/>
    <w:tmpl w:val="A97EE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55E3F"/>
    <w:multiLevelType w:val="hybridMultilevel"/>
    <w:tmpl w:val="E2E86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35C4A"/>
    <w:multiLevelType w:val="hybridMultilevel"/>
    <w:tmpl w:val="E2E86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55"/>
    <w:rsid w:val="00082FAC"/>
    <w:rsid w:val="000C1F0C"/>
    <w:rsid w:val="000F6083"/>
    <w:rsid w:val="001417D9"/>
    <w:rsid w:val="00143BB5"/>
    <w:rsid w:val="001519D3"/>
    <w:rsid w:val="00154E9D"/>
    <w:rsid w:val="00193544"/>
    <w:rsid w:val="001B3D85"/>
    <w:rsid w:val="001F2F64"/>
    <w:rsid w:val="00235958"/>
    <w:rsid w:val="00251EA6"/>
    <w:rsid w:val="00252F77"/>
    <w:rsid w:val="002E3147"/>
    <w:rsid w:val="00302CE2"/>
    <w:rsid w:val="00322A57"/>
    <w:rsid w:val="00352158"/>
    <w:rsid w:val="003527CD"/>
    <w:rsid w:val="0036323C"/>
    <w:rsid w:val="003A22CB"/>
    <w:rsid w:val="003B69F3"/>
    <w:rsid w:val="003F54FC"/>
    <w:rsid w:val="003F6009"/>
    <w:rsid w:val="00434238"/>
    <w:rsid w:val="004653BD"/>
    <w:rsid w:val="00470D5C"/>
    <w:rsid w:val="00495C60"/>
    <w:rsid w:val="004A07ED"/>
    <w:rsid w:val="004A54B7"/>
    <w:rsid w:val="004A7FCA"/>
    <w:rsid w:val="004E57DE"/>
    <w:rsid w:val="004F3752"/>
    <w:rsid w:val="005214A8"/>
    <w:rsid w:val="00544546"/>
    <w:rsid w:val="00560435"/>
    <w:rsid w:val="0057232D"/>
    <w:rsid w:val="005A7E1B"/>
    <w:rsid w:val="00603224"/>
    <w:rsid w:val="00611480"/>
    <w:rsid w:val="00660CD0"/>
    <w:rsid w:val="007121B3"/>
    <w:rsid w:val="00737B5E"/>
    <w:rsid w:val="0074424E"/>
    <w:rsid w:val="00785923"/>
    <w:rsid w:val="00830351"/>
    <w:rsid w:val="008869D4"/>
    <w:rsid w:val="008B6137"/>
    <w:rsid w:val="008F19FD"/>
    <w:rsid w:val="009779E3"/>
    <w:rsid w:val="00981CEE"/>
    <w:rsid w:val="00A20336"/>
    <w:rsid w:val="00A37848"/>
    <w:rsid w:val="00A378FC"/>
    <w:rsid w:val="00A74088"/>
    <w:rsid w:val="00AA378E"/>
    <w:rsid w:val="00AC2FEC"/>
    <w:rsid w:val="00AC7387"/>
    <w:rsid w:val="00B44443"/>
    <w:rsid w:val="00BC6455"/>
    <w:rsid w:val="00C125F6"/>
    <w:rsid w:val="00C24566"/>
    <w:rsid w:val="00CC378C"/>
    <w:rsid w:val="00CF70AC"/>
    <w:rsid w:val="00D10784"/>
    <w:rsid w:val="00D61F9E"/>
    <w:rsid w:val="00D62D7F"/>
    <w:rsid w:val="00D87021"/>
    <w:rsid w:val="00D91E18"/>
    <w:rsid w:val="00DB2CDD"/>
    <w:rsid w:val="00E06987"/>
    <w:rsid w:val="00E256BA"/>
    <w:rsid w:val="00E27555"/>
    <w:rsid w:val="00E30CD0"/>
    <w:rsid w:val="00E772FD"/>
    <w:rsid w:val="00E959D7"/>
    <w:rsid w:val="00EA711A"/>
    <w:rsid w:val="00EC02DA"/>
    <w:rsid w:val="00ED4288"/>
    <w:rsid w:val="00EF4E01"/>
    <w:rsid w:val="00F43F59"/>
    <w:rsid w:val="00F54FC1"/>
    <w:rsid w:val="00F5794A"/>
    <w:rsid w:val="00F87086"/>
    <w:rsid w:val="00FD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B100FE"/>
  <w15:docId w15:val="{8D717B77-D3E1-46B4-B6BA-F46FA29E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9D"/>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5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C378C"/>
    <w:rPr>
      <w:color w:val="0000FF" w:themeColor="hyperlink"/>
      <w:u w:val="single"/>
    </w:rPr>
  </w:style>
  <w:style w:type="paragraph" w:styleId="NormalWeb">
    <w:name w:val="Normal (Web)"/>
    <w:basedOn w:val="Normal"/>
    <w:uiPriority w:val="99"/>
    <w:unhideWhenUsed/>
    <w:rsid w:val="00495C60"/>
    <w:pPr>
      <w:spacing w:after="240" w:line="312" w:lineRule="atLeas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34238"/>
    <w:rPr>
      <w:color w:val="800080" w:themeColor="followedHyperlink"/>
      <w:u w:val="single"/>
    </w:rPr>
  </w:style>
  <w:style w:type="paragraph" w:styleId="ListParagraph">
    <w:name w:val="List Paragraph"/>
    <w:basedOn w:val="Normal"/>
    <w:uiPriority w:val="99"/>
    <w:qFormat/>
    <w:rsid w:val="00154E9D"/>
    <w:pPr>
      <w:ind w:left="720"/>
      <w:contextualSpacing/>
    </w:pPr>
  </w:style>
  <w:style w:type="paragraph" w:styleId="Header">
    <w:name w:val="header"/>
    <w:basedOn w:val="Normal"/>
    <w:link w:val="HeaderChar"/>
    <w:uiPriority w:val="99"/>
    <w:unhideWhenUsed/>
    <w:rsid w:val="00A2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36"/>
    <w:rPr>
      <w:rFonts w:eastAsiaTheme="minorEastAsia"/>
      <w:sz w:val="21"/>
      <w:szCs w:val="21"/>
    </w:rPr>
  </w:style>
  <w:style w:type="paragraph" w:styleId="Footer">
    <w:name w:val="footer"/>
    <w:basedOn w:val="Normal"/>
    <w:link w:val="FooterChar"/>
    <w:uiPriority w:val="99"/>
    <w:unhideWhenUsed/>
    <w:rsid w:val="00A2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36"/>
    <w:rPr>
      <w:rFonts w:eastAsiaTheme="minorEastAsia"/>
      <w:sz w:val="21"/>
      <w:szCs w:val="21"/>
    </w:rPr>
  </w:style>
  <w:style w:type="character" w:styleId="CommentReference">
    <w:name w:val="annotation reference"/>
    <w:basedOn w:val="DefaultParagraphFont"/>
    <w:uiPriority w:val="99"/>
    <w:semiHidden/>
    <w:unhideWhenUsed/>
    <w:rsid w:val="000F6083"/>
    <w:rPr>
      <w:sz w:val="16"/>
      <w:szCs w:val="16"/>
    </w:rPr>
  </w:style>
  <w:style w:type="paragraph" w:styleId="CommentText">
    <w:name w:val="annotation text"/>
    <w:basedOn w:val="Normal"/>
    <w:link w:val="CommentTextChar"/>
    <w:uiPriority w:val="99"/>
    <w:semiHidden/>
    <w:unhideWhenUsed/>
    <w:rsid w:val="000F6083"/>
    <w:pPr>
      <w:spacing w:line="240" w:lineRule="auto"/>
    </w:pPr>
    <w:rPr>
      <w:sz w:val="20"/>
      <w:szCs w:val="20"/>
    </w:rPr>
  </w:style>
  <w:style w:type="character" w:customStyle="1" w:styleId="CommentTextChar">
    <w:name w:val="Comment Text Char"/>
    <w:basedOn w:val="DefaultParagraphFont"/>
    <w:link w:val="CommentText"/>
    <w:uiPriority w:val="99"/>
    <w:semiHidden/>
    <w:rsid w:val="000F608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6083"/>
    <w:rPr>
      <w:b/>
      <w:bCs/>
    </w:rPr>
  </w:style>
  <w:style w:type="character" w:customStyle="1" w:styleId="CommentSubjectChar">
    <w:name w:val="Comment Subject Char"/>
    <w:basedOn w:val="CommentTextChar"/>
    <w:link w:val="CommentSubject"/>
    <w:uiPriority w:val="99"/>
    <w:semiHidden/>
    <w:rsid w:val="000F6083"/>
    <w:rPr>
      <w:rFonts w:eastAsiaTheme="minorEastAsia"/>
      <w:b/>
      <w:bCs/>
      <w:sz w:val="20"/>
      <w:szCs w:val="20"/>
    </w:rPr>
  </w:style>
  <w:style w:type="paragraph" w:styleId="BalloonText">
    <w:name w:val="Balloon Text"/>
    <w:basedOn w:val="Normal"/>
    <w:link w:val="BalloonTextChar"/>
    <w:uiPriority w:val="99"/>
    <w:semiHidden/>
    <w:unhideWhenUsed/>
    <w:rsid w:val="000F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83"/>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36323C"/>
    <w:rPr>
      <w:color w:val="605E5C"/>
      <w:shd w:val="clear" w:color="auto" w:fill="E1DFDD"/>
    </w:rPr>
  </w:style>
  <w:style w:type="character" w:customStyle="1" w:styleId="sr-only">
    <w:name w:val="sr-only"/>
    <w:basedOn w:val="DefaultParagraphFont"/>
    <w:rsid w:val="00F5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353766">
      <w:bodyDiv w:val="1"/>
      <w:marLeft w:val="4"/>
      <w:marRight w:val="4"/>
      <w:marTop w:val="4"/>
      <w:marBottom w:val="4"/>
      <w:divBdr>
        <w:top w:val="none" w:sz="0" w:space="0" w:color="auto"/>
        <w:left w:val="none" w:sz="0" w:space="0" w:color="auto"/>
        <w:bottom w:val="none" w:sz="0" w:space="0" w:color="auto"/>
        <w:right w:val="none" w:sz="0" w:space="0" w:color="auto"/>
      </w:divBdr>
      <w:divsChild>
        <w:div w:id="2060978719">
          <w:marLeft w:val="4"/>
          <w:marRight w:val="4"/>
          <w:marTop w:val="4"/>
          <w:marBottom w:val="4"/>
          <w:divBdr>
            <w:top w:val="none" w:sz="0" w:space="0" w:color="auto"/>
            <w:left w:val="none" w:sz="0" w:space="0" w:color="auto"/>
            <w:bottom w:val="none" w:sz="0" w:space="0" w:color="auto"/>
            <w:right w:val="none" w:sz="0" w:space="0" w:color="auto"/>
          </w:divBdr>
          <w:divsChild>
            <w:div w:id="128793380">
              <w:marLeft w:val="4"/>
              <w:marRight w:val="4"/>
              <w:marTop w:val="4"/>
              <w:marBottom w:val="4"/>
              <w:divBdr>
                <w:top w:val="none" w:sz="0" w:space="0" w:color="auto"/>
                <w:left w:val="none" w:sz="0" w:space="0" w:color="auto"/>
                <w:bottom w:val="none" w:sz="0" w:space="0" w:color="auto"/>
                <w:right w:val="none" w:sz="0" w:space="0" w:color="auto"/>
              </w:divBdr>
              <w:divsChild>
                <w:div w:id="175535753">
                  <w:marLeft w:val="0"/>
                  <w:marRight w:val="0"/>
                  <w:marTop w:val="0"/>
                  <w:marBottom w:val="0"/>
                  <w:divBdr>
                    <w:top w:val="none" w:sz="0" w:space="0" w:color="auto"/>
                    <w:left w:val="none" w:sz="0" w:space="0" w:color="auto"/>
                    <w:bottom w:val="none" w:sz="0" w:space="0" w:color="auto"/>
                    <w:right w:val="none" w:sz="0" w:space="0" w:color="auto"/>
                  </w:divBdr>
                  <w:divsChild>
                    <w:div w:id="1793094087">
                      <w:marLeft w:val="4"/>
                      <w:marRight w:val="4"/>
                      <w:marTop w:val="4"/>
                      <w:marBottom w:val="4"/>
                      <w:divBdr>
                        <w:top w:val="none" w:sz="0" w:space="0" w:color="auto"/>
                        <w:left w:val="none" w:sz="0" w:space="0" w:color="auto"/>
                        <w:bottom w:val="none" w:sz="0" w:space="0" w:color="auto"/>
                        <w:right w:val="none" w:sz="0" w:space="0" w:color="auto"/>
                      </w:divBdr>
                      <w:divsChild>
                        <w:div w:id="17357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ocis.gov/rocis/jsp3/common/2016-17872.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Reviewer</dc:creator>
  <cp:lastModifiedBy>Jenkins, Keisha A. (CDC/DDNID/NCEH/DEHSP)</cp:lastModifiedBy>
  <cp:revision>2</cp:revision>
  <cp:lastPrinted>2013-02-07T21:28:00Z</cp:lastPrinted>
  <dcterms:created xsi:type="dcterms:W3CDTF">2022-01-04T18:49:00Z</dcterms:created>
  <dcterms:modified xsi:type="dcterms:W3CDTF">2022-01-04T18:49:00Z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2021-10-08T14:20:26Z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5602a518-3191-466e-a6f1-6f74ab428105</vt:lpwstr>
  </property>
  <property fmtid="{D5CDD505-2E9C-101B-9397-08002B2CF9AE}" pid="8" name="MSIP_Label_7b94a7b8-f06c-4dfe-bdcc-9b548fd58c31_ContentBits">
    <vt:lpwstr>0</vt:lpwstr>
  </property>
</Properties>
</file>