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467B0" w:rsidRPr="0049344C" w:rsidP="0049344C" w14:paraId="5FF4AD9D" w14:textId="275F008B">
      <w:pPr>
        <w:jc w:val="center"/>
        <w:rPr>
          <w:b/>
          <w:bCs/>
          <w:sz w:val="32"/>
          <w:szCs w:val="32"/>
        </w:rPr>
      </w:pPr>
      <w:r w:rsidRPr="00CC5626">
        <w:rPr>
          <w:b/>
          <w:bCs/>
          <w:sz w:val="32"/>
          <w:szCs w:val="32"/>
        </w:rPr>
        <w:t>PATIENT SAFETY STRUCTURAL MEASURE</w:t>
      </w:r>
    </w:p>
    <w:tbl>
      <w:tblPr>
        <w:tblStyle w:val="TableGrid"/>
        <w:tblW w:w="1116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805"/>
        <w:gridCol w:w="3955"/>
      </w:tblGrid>
      <w:tr w14:paraId="1623F04B" w14:textId="77777777" w:rsidTr="009E7C8F">
        <w:tblPrEx>
          <w:tblW w:w="1116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7467B0" w:rsidRPr="0049344C" w:rsidP="002F6B1A" w14:paraId="48B550CD" w14:textId="4C4CA7CE">
            <w:pPr>
              <w:pStyle w:val="Header"/>
              <w:rPr>
                <w:sz w:val="20"/>
                <w:szCs w:val="20"/>
              </w:rPr>
            </w:pPr>
            <w:r w:rsidRPr="0049344C">
              <w:rPr>
                <w:sz w:val="20"/>
                <w:szCs w:val="20"/>
              </w:rPr>
              <w:t>*</w:t>
            </w:r>
            <w:r w:rsidRPr="0049344C">
              <w:rPr>
                <w:sz w:val="20"/>
                <w:szCs w:val="20"/>
              </w:rPr>
              <w:t>required</w:t>
            </w:r>
            <w:r w:rsidRPr="0049344C">
              <w:rPr>
                <w:sz w:val="20"/>
                <w:szCs w:val="20"/>
              </w:rPr>
              <w:t xml:space="preserve"> for saving</w:t>
            </w:r>
          </w:p>
        </w:tc>
        <w:tc>
          <w:tcPr>
            <w:tcW w:w="5760" w:type="dxa"/>
            <w:gridSpan w:val="2"/>
          </w:tcPr>
          <w:p w:rsidR="007467B0" w:rsidRPr="0049344C" w:rsidP="002F6B1A" w14:paraId="6EE9B078" w14:textId="77777777">
            <w:pPr>
              <w:pStyle w:val="Header"/>
              <w:rPr>
                <w:sz w:val="20"/>
                <w:szCs w:val="20"/>
              </w:rPr>
            </w:pPr>
          </w:p>
        </w:tc>
      </w:tr>
      <w:tr w14:paraId="72656CCA" w14:textId="77777777" w:rsidTr="00E83B86">
        <w:tblPrEx>
          <w:tblW w:w="11160" w:type="dxa"/>
          <w:tblInd w:w="-725" w:type="dxa"/>
          <w:tblLook w:val="04A0"/>
        </w:tblPrEx>
        <w:tc>
          <w:tcPr>
            <w:tcW w:w="7205" w:type="dxa"/>
            <w:gridSpan w:val="2"/>
          </w:tcPr>
          <w:p w:rsidR="007467B0" w:rsidRPr="00493250" w:rsidP="002F6B1A" w14:paraId="7BC63B18" w14:textId="77777777">
            <w:pPr>
              <w:pStyle w:val="Header"/>
              <w:rPr>
                <w:sz w:val="24"/>
                <w:szCs w:val="24"/>
              </w:rPr>
            </w:pPr>
            <w:r w:rsidRPr="00493250">
              <w:rPr>
                <w:sz w:val="24"/>
                <w:szCs w:val="24"/>
              </w:rPr>
              <w:t>Facility ID:</w:t>
            </w:r>
          </w:p>
        </w:tc>
        <w:tc>
          <w:tcPr>
            <w:tcW w:w="3955" w:type="dxa"/>
          </w:tcPr>
          <w:p w:rsidR="007467B0" w:rsidP="002F6B1A" w14:paraId="00E155D0" w14:textId="77777777">
            <w:pPr>
              <w:pStyle w:val="Header"/>
              <w:rPr>
                <w:sz w:val="24"/>
                <w:szCs w:val="24"/>
              </w:rPr>
            </w:pPr>
            <w:r w:rsidRPr="00493250">
              <w:rPr>
                <w:sz w:val="24"/>
                <w:szCs w:val="24"/>
              </w:rPr>
              <w:t>*Survey Year:</w:t>
            </w:r>
          </w:p>
          <w:p w:rsidR="00B80763" w:rsidRPr="00493250" w:rsidP="002F6B1A" w14:paraId="7ED5FD5A" w14:textId="5578AE28">
            <w:pPr>
              <w:pStyle w:val="Header"/>
              <w:rPr>
                <w:sz w:val="24"/>
                <w:szCs w:val="24"/>
              </w:rPr>
            </w:pPr>
          </w:p>
        </w:tc>
      </w:tr>
    </w:tbl>
    <w:p w:rsidR="007467B0" w:rsidRPr="00776217" w:rsidP="007467B0" w14:paraId="643C2983" w14:textId="102DFA4A">
      <w:pPr>
        <w:pStyle w:val="Header"/>
        <w:rPr>
          <w:sz w:val="20"/>
          <w:szCs w:val="20"/>
        </w:rPr>
      </w:pPr>
      <w:r w:rsidRPr="00B80763">
        <w:rPr>
          <w:sz w:val="20"/>
          <w:szCs w:val="20"/>
        </w:rPr>
        <w:t>Attest whether the hospital engaged in the following activities. Select all that apply (Note: affirmative attestation of all statements within a domain is required for the hospital to receive a point for the domain).</w:t>
      </w:r>
    </w:p>
    <w:tbl>
      <w:tblPr>
        <w:tblStyle w:val="TableGrid"/>
        <w:tblW w:w="11430" w:type="dxa"/>
        <w:tblInd w:w="-545" w:type="dxa"/>
        <w:tblLook w:val="04A0"/>
      </w:tblPr>
      <w:tblGrid>
        <w:gridCol w:w="764"/>
        <w:gridCol w:w="7378"/>
        <w:gridCol w:w="1164"/>
        <w:gridCol w:w="965"/>
        <w:gridCol w:w="1159"/>
      </w:tblGrid>
      <w:tr w14:paraId="47F2096B" w14:textId="77777777" w:rsidTr="009747AA">
        <w:tblPrEx>
          <w:tblW w:w="11430" w:type="dxa"/>
          <w:tblInd w:w="-545" w:type="dxa"/>
          <w:tblLook w:val="04A0"/>
        </w:tblPrEx>
        <w:trPr>
          <w:trHeight w:val="377"/>
        </w:trPr>
        <w:tc>
          <w:tcPr>
            <w:tcW w:w="8142" w:type="dxa"/>
            <w:gridSpan w:val="2"/>
            <w:shd w:val="clear" w:color="auto" w:fill="auto"/>
            <w:vAlign w:val="center"/>
          </w:tcPr>
          <w:p w:rsidR="00B80763" w:rsidRPr="009747AA" w:rsidP="009747AA" w14:paraId="4116BA07" w14:textId="6D8EA7CB">
            <w:pPr>
              <w:jc w:val="center"/>
              <w:rPr>
                <w:rFonts w:ascii="Calibri" w:eastAsia="Calibri" w:hAnsi="Calibri" w:cs="Arial"/>
                <w:b/>
                <w:bCs/>
                <w:kern w:val="2"/>
                <w14:ligatures w14:val="standardContextual"/>
              </w:rPr>
            </w:pPr>
            <w:r w:rsidRPr="00762D5C">
              <w:rPr>
                <w:b/>
                <w:bCs/>
              </w:rPr>
              <w:t>Attestation Statements</w:t>
            </w:r>
          </w:p>
        </w:tc>
        <w:tc>
          <w:tcPr>
            <w:tcW w:w="2129" w:type="dxa"/>
            <w:gridSpan w:val="2"/>
            <w:shd w:val="clear" w:color="auto" w:fill="auto"/>
            <w:vAlign w:val="center"/>
          </w:tcPr>
          <w:p w:rsidR="00B80763" w:rsidRPr="009747AA" w:rsidP="00B80763" w14:paraId="1FEB7CE1" w14:textId="5BADE580">
            <w:pPr>
              <w:jc w:val="center"/>
              <w:rPr>
                <w:b/>
                <w:bCs/>
              </w:rPr>
            </w:pPr>
            <w:r w:rsidRPr="009747AA">
              <w:rPr>
                <w:b/>
                <w:bCs/>
              </w:rPr>
              <w:t>Attest</w:t>
            </w:r>
          </w:p>
        </w:tc>
        <w:tc>
          <w:tcPr>
            <w:tcW w:w="1159" w:type="dxa"/>
            <w:shd w:val="clear" w:color="auto" w:fill="auto"/>
            <w:vAlign w:val="center"/>
          </w:tcPr>
          <w:p w:rsidR="00B80763" w:rsidRPr="009747AA" w:rsidP="00B80763" w14:paraId="697EDFCF" w14:textId="77777777">
            <w:pPr>
              <w:jc w:val="center"/>
              <w:rPr>
                <w:b/>
                <w:bCs/>
              </w:rPr>
            </w:pPr>
            <w:r w:rsidRPr="009747AA">
              <w:rPr>
                <w:b/>
                <w:bCs/>
              </w:rPr>
              <w:t>Domain</w:t>
            </w:r>
          </w:p>
          <w:p w:rsidR="00B80763" w:rsidRPr="009747AA" w:rsidP="00B80763" w14:paraId="28229184" w14:textId="27C905A5">
            <w:pPr>
              <w:jc w:val="center"/>
              <w:rPr>
                <w:b/>
                <w:bCs/>
              </w:rPr>
            </w:pPr>
            <w:r w:rsidRPr="009747AA">
              <w:rPr>
                <w:b/>
                <w:bCs/>
              </w:rPr>
              <w:t>Score</w:t>
            </w:r>
          </w:p>
        </w:tc>
      </w:tr>
      <w:tr w14:paraId="4A371287" w14:textId="7B3BE1D3" w:rsidTr="009747AA">
        <w:tblPrEx>
          <w:tblW w:w="11430" w:type="dxa"/>
          <w:tblInd w:w="-545" w:type="dxa"/>
          <w:tblLook w:val="04A0"/>
        </w:tblPrEx>
        <w:trPr>
          <w:trHeight w:val="233"/>
        </w:trPr>
        <w:tc>
          <w:tcPr>
            <w:tcW w:w="8142" w:type="dxa"/>
            <w:gridSpan w:val="2"/>
            <w:shd w:val="clear" w:color="auto" w:fill="D9E2F3" w:themeFill="accent1" w:themeFillTint="33"/>
            <w:vAlign w:val="center"/>
          </w:tcPr>
          <w:p w:rsidR="00B80763" w:rsidRPr="00762D5C" w:rsidP="007A14AB" w14:paraId="5CEB4EB3" w14:textId="141CAC47">
            <w:pPr>
              <w:rPr>
                <w:b/>
                <w:bCs/>
                <w:sz w:val="20"/>
                <w:szCs w:val="20"/>
              </w:rPr>
            </w:pPr>
            <w:r w:rsidRPr="00762D5C">
              <w:rPr>
                <w:rFonts w:ascii="Calibri" w:eastAsia="Calibri" w:hAnsi="Calibri" w:cs="Arial"/>
                <w:b/>
                <w:bCs/>
                <w:kern w:val="2"/>
                <w:sz w:val="20"/>
                <w:szCs w:val="20"/>
                <w14:ligatures w14:val="standardContextual"/>
              </w:rPr>
              <w:t>Domain 1:  Leadership Commitment to Eliminating Preventable Harm</w:t>
            </w:r>
          </w:p>
        </w:tc>
        <w:tc>
          <w:tcPr>
            <w:tcW w:w="1164" w:type="dxa"/>
            <w:shd w:val="clear" w:color="auto" w:fill="D9E2F3" w:themeFill="accent1" w:themeFillTint="33"/>
          </w:tcPr>
          <w:p w:rsidR="00B80763" w:rsidRPr="009747AA" w:rsidP="009501DD" w14:paraId="6AFEFCF7" w14:textId="7391E46E">
            <w:pPr>
              <w:jc w:val="center"/>
              <w:rPr>
                <w:b/>
                <w:bCs/>
                <w:sz w:val="20"/>
                <w:szCs w:val="20"/>
              </w:rPr>
            </w:pPr>
            <w:r w:rsidRPr="009747AA">
              <w:rPr>
                <w:b/>
                <w:bCs/>
                <w:sz w:val="20"/>
                <w:szCs w:val="20"/>
              </w:rPr>
              <w:t>YES</w:t>
            </w:r>
          </w:p>
        </w:tc>
        <w:tc>
          <w:tcPr>
            <w:tcW w:w="965" w:type="dxa"/>
            <w:shd w:val="clear" w:color="auto" w:fill="D9E2F3" w:themeFill="accent1" w:themeFillTint="33"/>
          </w:tcPr>
          <w:p w:rsidR="00B80763" w:rsidRPr="009747AA" w:rsidP="00B80763" w14:paraId="186B2315" w14:textId="45E2D1E5">
            <w:pPr>
              <w:jc w:val="center"/>
              <w:rPr>
                <w:b/>
                <w:bCs/>
                <w:sz w:val="20"/>
                <w:szCs w:val="20"/>
              </w:rPr>
            </w:pPr>
            <w:r w:rsidRPr="009747AA">
              <w:rPr>
                <w:b/>
                <w:bCs/>
                <w:sz w:val="20"/>
                <w:szCs w:val="20"/>
              </w:rPr>
              <w:t>NO</w:t>
            </w:r>
          </w:p>
        </w:tc>
        <w:tc>
          <w:tcPr>
            <w:tcW w:w="1159" w:type="dxa"/>
            <w:shd w:val="clear" w:color="auto" w:fill="D9E2F3" w:themeFill="accent1" w:themeFillTint="33"/>
          </w:tcPr>
          <w:p w:rsidR="00B80763" w:rsidRPr="009747AA" w:rsidP="009501DD" w14:paraId="4353678B" w14:textId="77777777">
            <w:pPr>
              <w:jc w:val="center"/>
              <w:rPr>
                <w:sz w:val="18"/>
                <w:szCs w:val="18"/>
              </w:rPr>
            </w:pPr>
          </w:p>
        </w:tc>
      </w:tr>
      <w:tr w14:paraId="39C53451" w14:textId="7455434E" w:rsidTr="009747AA">
        <w:tblPrEx>
          <w:tblW w:w="11430" w:type="dxa"/>
          <w:tblInd w:w="-545" w:type="dxa"/>
          <w:tblLook w:val="04A0"/>
        </w:tblPrEx>
        <w:trPr>
          <w:trHeight w:val="734"/>
        </w:trPr>
        <w:tc>
          <w:tcPr>
            <w:tcW w:w="764" w:type="dxa"/>
          </w:tcPr>
          <w:p w:rsidR="00B80763" w:rsidRPr="004E1329" w:rsidP="00A340C1" w14:paraId="0894AC7B" w14:textId="667DE099">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*D1-A</w:t>
            </w:r>
          </w:p>
        </w:tc>
        <w:tc>
          <w:tcPr>
            <w:tcW w:w="7378" w:type="dxa"/>
          </w:tcPr>
          <w:p w:rsidR="00B80763" w:rsidRPr="004E1329" w:rsidP="00CC5626" w14:paraId="39422654" w14:textId="58BBEFFE">
            <w:pPr>
              <w:rPr>
                <w:b/>
                <w:bCs/>
                <w:sz w:val="20"/>
                <w:szCs w:val="20"/>
              </w:rPr>
            </w:pPr>
            <w:r w:rsidRPr="004E1329">
              <w:rPr>
                <w:rStyle w:val="s2"/>
                <w:rFonts w:eastAsia="Times New Roman"/>
                <w:sz w:val="20"/>
                <w:szCs w:val="20"/>
              </w:rPr>
              <w:t>Our hospital senior governing board prioritizes safety as a core value, holds hospital leadership accountable for patient safety, and includes patient safety metrics to inform annual leadership performance reviews and compensation.</w:t>
            </w:r>
          </w:p>
        </w:tc>
        <w:tc>
          <w:tcPr>
            <w:tcW w:w="1164" w:type="dxa"/>
          </w:tcPr>
          <w:p w:rsidR="00B80763" w:rsidRPr="004E1329" w:rsidP="00A3559F" w14:paraId="429C0F5C" w14:textId="77777777">
            <w:pPr>
              <w:jc w:val="center"/>
              <w:rPr>
                <w:b/>
                <w:bCs/>
                <w:sz w:val="18"/>
                <w:szCs w:val="18"/>
              </w:rPr>
            </w:pPr>
          </w:p>
        </w:tc>
        <w:tc>
          <w:tcPr>
            <w:tcW w:w="965" w:type="dxa"/>
          </w:tcPr>
          <w:p w:rsidR="00B80763" w:rsidRPr="004E1329" w:rsidP="00A3559F" w14:paraId="12407EE5" w14:textId="0E49DC7B">
            <w:pPr>
              <w:jc w:val="center"/>
              <w:rPr>
                <w:b/>
                <w:bCs/>
                <w:sz w:val="18"/>
                <w:szCs w:val="18"/>
              </w:rPr>
            </w:pPr>
          </w:p>
        </w:tc>
        <w:tc>
          <w:tcPr>
            <w:tcW w:w="1159" w:type="dxa"/>
            <w:shd w:val="clear" w:color="auto" w:fill="000000" w:themeFill="text1"/>
          </w:tcPr>
          <w:p w:rsidR="00B80763" w:rsidRPr="004E1329" w:rsidP="00A3559F" w14:paraId="0603EC0B" w14:textId="77777777">
            <w:pPr>
              <w:jc w:val="center"/>
              <w:rPr>
                <w:b/>
                <w:bCs/>
                <w:sz w:val="18"/>
                <w:szCs w:val="18"/>
              </w:rPr>
            </w:pPr>
          </w:p>
        </w:tc>
      </w:tr>
      <w:tr w14:paraId="42A0710D" w14:textId="5F831A44" w:rsidTr="009747AA">
        <w:tblPrEx>
          <w:tblW w:w="11430" w:type="dxa"/>
          <w:tblInd w:w="-545" w:type="dxa"/>
          <w:tblLook w:val="04A0"/>
        </w:tblPrEx>
        <w:trPr>
          <w:trHeight w:val="720"/>
        </w:trPr>
        <w:tc>
          <w:tcPr>
            <w:tcW w:w="764" w:type="dxa"/>
          </w:tcPr>
          <w:p w:rsidR="00B80763" w:rsidRPr="004E1329" w:rsidP="00A340C1" w14:paraId="2773AC26" w14:textId="4FD23546">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*D1-B</w:t>
            </w:r>
          </w:p>
        </w:tc>
        <w:tc>
          <w:tcPr>
            <w:tcW w:w="7378" w:type="dxa"/>
          </w:tcPr>
          <w:p w:rsidR="00B80763" w:rsidRPr="004E1329" w:rsidP="00CC5626" w14:paraId="650D19B7" w14:textId="61F939C3">
            <w:pPr>
              <w:rPr>
                <w:b/>
                <w:bCs/>
                <w:sz w:val="20"/>
                <w:szCs w:val="20"/>
              </w:rPr>
            </w:pPr>
            <w:r w:rsidRPr="004E1329">
              <w:rPr>
                <w:rFonts w:ascii="Calibri" w:eastAsia="Calibri" w:hAnsi="Calibri" w:cs="Arial"/>
                <w:kern w:val="2"/>
                <w:sz w:val="20"/>
                <w:szCs w:val="20"/>
                <w14:ligatures w14:val="standardContextual"/>
              </w:rPr>
              <w:t>Our hospital leaders, including C-suite executives, place patient safety as a core institutional value. One or more C-suite leaders oversee a system-wide assessment on safety (examples provided in the Attestation Guide), and the execution of patient safety initiatives and operations, with specific improvement plans and metrics. These plans and metrics are widely shared across the hospital and governing board.</w:t>
            </w:r>
          </w:p>
        </w:tc>
        <w:tc>
          <w:tcPr>
            <w:tcW w:w="1164" w:type="dxa"/>
          </w:tcPr>
          <w:p w:rsidR="00B80763" w:rsidRPr="004E1329" w:rsidP="00CC5626" w14:paraId="2AE2C9C4" w14:textId="77777777">
            <w:pPr>
              <w:rPr>
                <w:b/>
                <w:bCs/>
                <w:sz w:val="18"/>
                <w:szCs w:val="18"/>
              </w:rPr>
            </w:pPr>
          </w:p>
        </w:tc>
        <w:tc>
          <w:tcPr>
            <w:tcW w:w="965" w:type="dxa"/>
          </w:tcPr>
          <w:p w:rsidR="00B80763" w:rsidRPr="004E1329" w:rsidP="00CC5626" w14:paraId="76BA7E8B" w14:textId="006E84A1">
            <w:pPr>
              <w:rPr>
                <w:b/>
                <w:bCs/>
                <w:sz w:val="18"/>
                <w:szCs w:val="18"/>
              </w:rPr>
            </w:pPr>
          </w:p>
        </w:tc>
        <w:tc>
          <w:tcPr>
            <w:tcW w:w="1159" w:type="dxa"/>
            <w:shd w:val="clear" w:color="auto" w:fill="000000" w:themeFill="text1"/>
          </w:tcPr>
          <w:p w:rsidR="00B80763" w:rsidRPr="004E1329" w:rsidP="00CC5626" w14:paraId="43938C5A" w14:textId="77777777">
            <w:pPr>
              <w:rPr>
                <w:b/>
                <w:bCs/>
                <w:sz w:val="18"/>
                <w:szCs w:val="18"/>
              </w:rPr>
            </w:pPr>
          </w:p>
        </w:tc>
      </w:tr>
      <w:tr w14:paraId="2007DCD6" w14:textId="0E7C36E2" w:rsidTr="009747AA">
        <w:tblPrEx>
          <w:tblW w:w="11430" w:type="dxa"/>
          <w:tblInd w:w="-545" w:type="dxa"/>
          <w:tblLook w:val="04A0"/>
        </w:tblPrEx>
        <w:trPr>
          <w:trHeight w:val="720"/>
        </w:trPr>
        <w:tc>
          <w:tcPr>
            <w:tcW w:w="764" w:type="dxa"/>
          </w:tcPr>
          <w:p w:rsidR="00B80763" w:rsidRPr="004E1329" w:rsidP="00A340C1" w14:paraId="4F70D3A7" w14:textId="52BF3431">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*D1-C</w:t>
            </w:r>
          </w:p>
        </w:tc>
        <w:tc>
          <w:tcPr>
            <w:tcW w:w="7378" w:type="dxa"/>
          </w:tcPr>
          <w:p w:rsidR="00B80763" w:rsidRPr="004E1329" w:rsidP="00CC5626" w14:paraId="2ECA400C" w14:textId="01890888">
            <w:pPr>
              <w:rPr>
                <w:b/>
                <w:bCs/>
                <w:sz w:val="20"/>
                <w:szCs w:val="20"/>
              </w:rPr>
            </w:pPr>
            <w:r w:rsidRPr="004E1329">
              <w:rPr>
                <w:rFonts w:ascii="Calibri" w:eastAsia="Calibri" w:hAnsi="Calibri" w:cs="Arial"/>
                <w:kern w:val="2"/>
                <w:sz w:val="20"/>
                <w:szCs w:val="20"/>
                <w14:ligatures w14:val="standardContextual"/>
              </w:rPr>
              <w:t>Our hospital governing board, in collaboration with leadership, ensures adequate resources to support patient safety (such as equipment, training, systems, personnel, and technology).</w:t>
            </w:r>
          </w:p>
        </w:tc>
        <w:tc>
          <w:tcPr>
            <w:tcW w:w="1164" w:type="dxa"/>
          </w:tcPr>
          <w:p w:rsidR="00B80763" w:rsidRPr="004E1329" w:rsidP="00CC5626" w14:paraId="4DE94D4B" w14:textId="77777777">
            <w:pPr>
              <w:rPr>
                <w:b/>
                <w:bCs/>
                <w:sz w:val="18"/>
                <w:szCs w:val="18"/>
              </w:rPr>
            </w:pPr>
          </w:p>
        </w:tc>
        <w:tc>
          <w:tcPr>
            <w:tcW w:w="965" w:type="dxa"/>
          </w:tcPr>
          <w:p w:rsidR="00B80763" w:rsidRPr="004E1329" w:rsidP="00CC5626" w14:paraId="71699D5F" w14:textId="53C52A01">
            <w:pPr>
              <w:rPr>
                <w:b/>
                <w:bCs/>
                <w:sz w:val="18"/>
                <w:szCs w:val="18"/>
              </w:rPr>
            </w:pPr>
          </w:p>
        </w:tc>
        <w:tc>
          <w:tcPr>
            <w:tcW w:w="1159" w:type="dxa"/>
            <w:shd w:val="clear" w:color="auto" w:fill="000000" w:themeFill="text1"/>
          </w:tcPr>
          <w:p w:rsidR="00B80763" w:rsidRPr="004E1329" w:rsidP="00CC5626" w14:paraId="4E523BF1" w14:textId="77777777">
            <w:pPr>
              <w:rPr>
                <w:b/>
                <w:bCs/>
                <w:sz w:val="18"/>
                <w:szCs w:val="18"/>
              </w:rPr>
            </w:pPr>
          </w:p>
        </w:tc>
      </w:tr>
      <w:tr w14:paraId="08785D35" w14:textId="43D25D19" w:rsidTr="009747AA">
        <w:tblPrEx>
          <w:tblW w:w="11430" w:type="dxa"/>
          <w:tblInd w:w="-545" w:type="dxa"/>
          <w:tblLook w:val="04A0"/>
        </w:tblPrEx>
        <w:trPr>
          <w:trHeight w:val="720"/>
        </w:trPr>
        <w:tc>
          <w:tcPr>
            <w:tcW w:w="764" w:type="dxa"/>
          </w:tcPr>
          <w:p w:rsidR="00B80763" w:rsidRPr="004E1329" w:rsidP="00A340C1" w14:paraId="5FBC9A35" w14:textId="7A4AF2CE">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*D1-D</w:t>
            </w:r>
          </w:p>
        </w:tc>
        <w:tc>
          <w:tcPr>
            <w:tcW w:w="7378" w:type="dxa"/>
          </w:tcPr>
          <w:p w:rsidR="00B80763" w:rsidRPr="004E1329" w:rsidP="00CC5626" w14:paraId="5AFF1FEB" w14:textId="2AD3188F">
            <w:pPr>
              <w:rPr>
                <w:b/>
                <w:bCs/>
                <w:sz w:val="20"/>
                <w:szCs w:val="20"/>
              </w:rPr>
            </w:pPr>
            <w:r w:rsidRPr="004E1329">
              <w:rPr>
                <w:rStyle w:val="s2"/>
                <w:rFonts w:eastAsia="Times New Roman"/>
                <w:sz w:val="20"/>
                <w:szCs w:val="20"/>
              </w:rPr>
              <w:t>Reporting on patient and workforce safety events and initiatives (such as safety outcomes, improvement work, risk assessments, event cause analysis, infection outbreak, culture of safety, or other patient safety topics) accounts for at least 20% of the regular board agenda and discussion time for senior governing board meetings.</w:t>
            </w:r>
          </w:p>
        </w:tc>
        <w:tc>
          <w:tcPr>
            <w:tcW w:w="1164" w:type="dxa"/>
          </w:tcPr>
          <w:p w:rsidR="00B80763" w:rsidRPr="004E1329" w:rsidP="00CC5626" w14:paraId="39E2EDA1" w14:textId="77777777">
            <w:pPr>
              <w:rPr>
                <w:b/>
                <w:bCs/>
                <w:sz w:val="18"/>
                <w:szCs w:val="18"/>
              </w:rPr>
            </w:pPr>
          </w:p>
        </w:tc>
        <w:tc>
          <w:tcPr>
            <w:tcW w:w="965" w:type="dxa"/>
          </w:tcPr>
          <w:p w:rsidR="00B80763" w:rsidRPr="004E1329" w:rsidP="00CC5626" w14:paraId="08F86D4B" w14:textId="1110503D">
            <w:pPr>
              <w:rPr>
                <w:b/>
                <w:bCs/>
                <w:sz w:val="18"/>
                <w:szCs w:val="18"/>
              </w:rPr>
            </w:pPr>
          </w:p>
        </w:tc>
        <w:tc>
          <w:tcPr>
            <w:tcW w:w="1159" w:type="dxa"/>
            <w:shd w:val="clear" w:color="auto" w:fill="000000" w:themeFill="text1"/>
          </w:tcPr>
          <w:p w:rsidR="00B80763" w:rsidRPr="004E1329" w:rsidP="00CC5626" w14:paraId="784A6C09" w14:textId="77777777">
            <w:pPr>
              <w:rPr>
                <w:b/>
                <w:bCs/>
                <w:sz w:val="18"/>
                <w:szCs w:val="18"/>
              </w:rPr>
            </w:pPr>
          </w:p>
        </w:tc>
      </w:tr>
      <w:tr w14:paraId="0C6B38A7" w14:textId="5A1F7AF2" w:rsidTr="009747AA">
        <w:tblPrEx>
          <w:tblW w:w="11430" w:type="dxa"/>
          <w:tblInd w:w="-545" w:type="dxa"/>
          <w:tblLook w:val="04A0"/>
        </w:tblPrEx>
        <w:trPr>
          <w:trHeight w:val="720"/>
        </w:trPr>
        <w:tc>
          <w:tcPr>
            <w:tcW w:w="764" w:type="dxa"/>
          </w:tcPr>
          <w:p w:rsidR="00B80763" w:rsidRPr="004E1329" w:rsidP="00A340C1" w14:paraId="4197BD10" w14:textId="64275B8D">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*D1-E</w:t>
            </w:r>
          </w:p>
        </w:tc>
        <w:tc>
          <w:tcPr>
            <w:tcW w:w="7378" w:type="dxa"/>
          </w:tcPr>
          <w:p w:rsidR="00B80763" w:rsidRPr="004E1329" w:rsidP="00CC5626" w14:paraId="3DCA13ED" w14:textId="08772AF6">
            <w:pPr>
              <w:rPr>
                <w:b/>
                <w:bCs/>
                <w:sz w:val="20"/>
                <w:szCs w:val="20"/>
              </w:rPr>
            </w:pPr>
            <w:r w:rsidRPr="004E1329">
              <w:rPr>
                <w:rFonts w:ascii="Calibri" w:eastAsia="Calibri" w:hAnsi="Calibri" w:cs="Arial"/>
                <w:kern w:val="2"/>
                <w:sz w:val="20"/>
                <w:szCs w:val="20"/>
                <w14:ligatures w14:val="standardContextual"/>
              </w:rPr>
              <w:t>C-suite executives and individuals on the governing board are notified within 3 business days of any confirmed serious safety events resulting in significant morbidity, mortality, or other harm.</w:t>
            </w:r>
          </w:p>
        </w:tc>
        <w:tc>
          <w:tcPr>
            <w:tcW w:w="1164" w:type="dxa"/>
          </w:tcPr>
          <w:p w:rsidR="00B80763" w:rsidRPr="004E1329" w:rsidP="00CC5626" w14:paraId="5233B8F8" w14:textId="77777777">
            <w:pPr>
              <w:rPr>
                <w:b/>
                <w:bCs/>
                <w:sz w:val="18"/>
                <w:szCs w:val="18"/>
              </w:rPr>
            </w:pPr>
          </w:p>
        </w:tc>
        <w:tc>
          <w:tcPr>
            <w:tcW w:w="965" w:type="dxa"/>
          </w:tcPr>
          <w:p w:rsidR="00B80763" w:rsidRPr="004E1329" w:rsidP="00CC5626" w14:paraId="18A20C8C" w14:textId="1618D86E">
            <w:pPr>
              <w:rPr>
                <w:b/>
                <w:bCs/>
                <w:sz w:val="18"/>
                <w:szCs w:val="18"/>
              </w:rPr>
            </w:pPr>
          </w:p>
        </w:tc>
        <w:tc>
          <w:tcPr>
            <w:tcW w:w="1159" w:type="dxa"/>
            <w:shd w:val="clear" w:color="auto" w:fill="000000" w:themeFill="text1"/>
          </w:tcPr>
          <w:p w:rsidR="00B80763" w:rsidRPr="004E1329" w:rsidP="00CC5626" w14:paraId="04BC827D" w14:textId="77777777">
            <w:pPr>
              <w:rPr>
                <w:b/>
                <w:bCs/>
                <w:sz w:val="18"/>
                <w:szCs w:val="18"/>
              </w:rPr>
            </w:pPr>
          </w:p>
        </w:tc>
      </w:tr>
      <w:tr w14:paraId="4AF81DB4" w14:textId="4EE6B074" w:rsidTr="009747AA">
        <w:tblPrEx>
          <w:tblW w:w="11430" w:type="dxa"/>
          <w:tblInd w:w="-545" w:type="dxa"/>
          <w:tblLook w:val="04A0"/>
        </w:tblPrEx>
        <w:trPr>
          <w:trHeight w:val="260"/>
        </w:trPr>
        <w:tc>
          <w:tcPr>
            <w:tcW w:w="8142" w:type="dxa"/>
            <w:gridSpan w:val="2"/>
            <w:shd w:val="clear" w:color="auto" w:fill="D9E2F3" w:themeFill="accent1" w:themeFillTint="33"/>
            <w:vAlign w:val="center"/>
          </w:tcPr>
          <w:p w:rsidR="00B80763" w:rsidRPr="00762D5C" w:rsidP="00B80763" w14:paraId="41B4AA5A" w14:textId="3FBBE981">
            <w:pPr>
              <w:rPr>
                <w:b/>
                <w:bCs/>
                <w:sz w:val="20"/>
                <w:szCs w:val="20"/>
              </w:rPr>
            </w:pPr>
            <w:r w:rsidRPr="00762D5C">
              <w:rPr>
                <w:rFonts w:ascii="Calibri" w:eastAsia="Calibri" w:hAnsi="Calibri" w:cs="Arial"/>
                <w:b/>
                <w:bCs/>
                <w:kern w:val="2"/>
                <w:sz w:val="20"/>
                <w:szCs w:val="20"/>
                <w14:ligatures w14:val="standardContextual"/>
              </w:rPr>
              <w:t>Domain 2:  Strategic Planning &amp; Organizational Policy</w:t>
            </w:r>
          </w:p>
        </w:tc>
        <w:tc>
          <w:tcPr>
            <w:tcW w:w="1164" w:type="dxa"/>
            <w:shd w:val="clear" w:color="auto" w:fill="D9E2F3" w:themeFill="accent1" w:themeFillTint="33"/>
          </w:tcPr>
          <w:p w:rsidR="00B80763" w:rsidRPr="009747AA" w:rsidP="00B80763" w14:paraId="100EF27F" w14:textId="3D451845">
            <w:pPr>
              <w:jc w:val="center"/>
              <w:rPr>
                <w:b/>
                <w:bCs/>
                <w:sz w:val="20"/>
                <w:szCs w:val="20"/>
              </w:rPr>
            </w:pPr>
            <w:r w:rsidRPr="009747AA">
              <w:rPr>
                <w:b/>
                <w:bCs/>
                <w:sz w:val="20"/>
                <w:szCs w:val="20"/>
              </w:rPr>
              <w:t>YES</w:t>
            </w:r>
          </w:p>
        </w:tc>
        <w:tc>
          <w:tcPr>
            <w:tcW w:w="965" w:type="dxa"/>
            <w:shd w:val="clear" w:color="auto" w:fill="D9E2F3" w:themeFill="accent1" w:themeFillTint="33"/>
          </w:tcPr>
          <w:p w:rsidR="00B80763" w:rsidRPr="009747AA" w:rsidP="00B80763" w14:paraId="483D9F5B" w14:textId="39E6AFCA">
            <w:pPr>
              <w:jc w:val="center"/>
              <w:rPr>
                <w:b/>
                <w:bCs/>
                <w:sz w:val="20"/>
                <w:szCs w:val="20"/>
              </w:rPr>
            </w:pPr>
            <w:r w:rsidRPr="009747AA">
              <w:rPr>
                <w:b/>
                <w:bCs/>
                <w:sz w:val="20"/>
                <w:szCs w:val="20"/>
              </w:rPr>
              <w:t>NO</w:t>
            </w:r>
          </w:p>
        </w:tc>
        <w:tc>
          <w:tcPr>
            <w:tcW w:w="1159" w:type="dxa"/>
            <w:shd w:val="clear" w:color="auto" w:fill="D9E2F3" w:themeFill="accent1" w:themeFillTint="33"/>
          </w:tcPr>
          <w:p w:rsidR="00B80763" w:rsidRPr="004E1329" w:rsidP="00B80763" w14:paraId="030C3114" w14:textId="77777777">
            <w:pPr>
              <w:jc w:val="center"/>
              <w:rPr>
                <w:b/>
                <w:bCs/>
                <w:sz w:val="18"/>
                <w:szCs w:val="18"/>
              </w:rPr>
            </w:pPr>
          </w:p>
        </w:tc>
      </w:tr>
      <w:tr w14:paraId="0096137E" w14:textId="2B57E143" w:rsidTr="009747AA">
        <w:tblPrEx>
          <w:tblW w:w="11430" w:type="dxa"/>
          <w:tblInd w:w="-545" w:type="dxa"/>
          <w:tblLook w:val="04A0"/>
        </w:tblPrEx>
        <w:tc>
          <w:tcPr>
            <w:tcW w:w="764" w:type="dxa"/>
          </w:tcPr>
          <w:p w:rsidR="00B80763" w:rsidRPr="004E1329" w:rsidP="00B80763" w14:paraId="1DB98202" w14:textId="1A6DDA94">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*D2-A</w:t>
            </w:r>
          </w:p>
        </w:tc>
        <w:tc>
          <w:tcPr>
            <w:tcW w:w="7378" w:type="dxa"/>
          </w:tcPr>
          <w:p w:rsidR="00B80763" w:rsidRPr="001D2017" w:rsidP="00B80763" w14:paraId="29C18849" w14:textId="71085257">
            <w:pPr>
              <w:rPr>
                <w:b/>
                <w:bCs/>
                <w:sz w:val="20"/>
                <w:szCs w:val="20"/>
              </w:rPr>
            </w:pPr>
            <w:r w:rsidRPr="001D2017">
              <w:rPr>
                <w:rFonts w:ascii="Calibri" w:eastAsia="Calibri" w:hAnsi="Calibri" w:cs="Arial"/>
                <w:kern w:val="2"/>
                <w:sz w:val="20"/>
                <w:szCs w:val="20"/>
                <w14:ligatures w14:val="standardContextual"/>
              </w:rPr>
              <w:t xml:space="preserve">Our hospital has a strategic plan that publicly shares its commitment to patient safety as a core value and outlines specific safety goals and associated metrics, including the goal of </w:t>
            </w:r>
            <w:r w:rsidR="001D2017">
              <w:rPr>
                <w:rFonts w:ascii="Calibri" w:eastAsia="Calibri" w:hAnsi="Calibri" w:cs="Arial"/>
                <w:kern w:val="2"/>
                <w:sz w:val="20"/>
                <w:szCs w:val="20"/>
                <w14:ligatures w14:val="standardContextual"/>
              </w:rPr>
              <w:t>“</w:t>
            </w:r>
            <w:r w:rsidRPr="001D2017">
              <w:rPr>
                <w:rFonts w:ascii="Calibri" w:eastAsia="Calibri" w:hAnsi="Calibri" w:cs="Arial"/>
                <w:kern w:val="2"/>
                <w:sz w:val="20"/>
                <w:szCs w:val="20"/>
                <w14:ligatures w14:val="standardContextual"/>
              </w:rPr>
              <w:t>zero preventable harm."</w:t>
            </w:r>
          </w:p>
        </w:tc>
        <w:tc>
          <w:tcPr>
            <w:tcW w:w="1164" w:type="dxa"/>
            <w:tcBorders>
              <w:top w:val="single" w:sz="4" w:space="0" w:color="auto"/>
            </w:tcBorders>
          </w:tcPr>
          <w:p w:rsidR="00B80763" w:rsidRPr="004E1329" w:rsidP="00B80763" w14:paraId="5C3CF9E1" w14:textId="77777777">
            <w:pPr>
              <w:rPr>
                <w:b/>
                <w:bCs/>
                <w:sz w:val="18"/>
                <w:szCs w:val="18"/>
              </w:rPr>
            </w:pPr>
          </w:p>
        </w:tc>
        <w:tc>
          <w:tcPr>
            <w:tcW w:w="965" w:type="dxa"/>
            <w:tcBorders>
              <w:top w:val="single" w:sz="4" w:space="0" w:color="auto"/>
            </w:tcBorders>
          </w:tcPr>
          <w:p w:rsidR="00B80763" w:rsidRPr="004E1329" w:rsidP="00B80763" w14:paraId="74E8C3E6" w14:textId="1E8B2CA8">
            <w:pPr>
              <w:rPr>
                <w:b/>
                <w:bCs/>
                <w:sz w:val="18"/>
                <w:szCs w:val="18"/>
              </w:rPr>
            </w:pPr>
          </w:p>
        </w:tc>
        <w:tc>
          <w:tcPr>
            <w:tcW w:w="1159" w:type="dxa"/>
            <w:tcBorders>
              <w:top w:val="single" w:sz="4" w:space="0" w:color="auto"/>
            </w:tcBorders>
            <w:shd w:val="clear" w:color="auto" w:fill="000000" w:themeFill="text1"/>
          </w:tcPr>
          <w:p w:rsidR="00B80763" w:rsidRPr="004E1329" w:rsidP="00B80763" w14:paraId="65698AC6" w14:textId="77777777">
            <w:pPr>
              <w:rPr>
                <w:b/>
                <w:bCs/>
                <w:sz w:val="18"/>
                <w:szCs w:val="18"/>
              </w:rPr>
            </w:pPr>
          </w:p>
        </w:tc>
      </w:tr>
      <w:tr w14:paraId="5604F9B6" w14:textId="1CFDBA0E" w:rsidTr="009747AA">
        <w:tblPrEx>
          <w:tblW w:w="11430" w:type="dxa"/>
          <w:tblInd w:w="-545" w:type="dxa"/>
          <w:tblLook w:val="04A0"/>
        </w:tblPrEx>
        <w:tc>
          <w:tcPr>
            <w:tcW w:w="764" w:type="dxa"/>
          </w:tcPr>
          <w:p w:rsidR="00B80763" w:rsidRPr="004E1329" w:rsidP="00B80763" w14:paraId="79950FED" w14:textId="2628CE60">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*D2-B</w:t>
            </w:r>
          </w:p>
        </w:tc>
        <w:tc>
          <w:tcPr>
            <w:tcW w:w="7378" w:type="dxa"/>
          </w:tcPr>
          <w:p w:rsidR="00B80763" w:rsidRPr="001D2017" w:rsidP="00B80763" w14:paraId="62118AC1" w14:textId="38D45F7C">
            <w:pPr>
              <w:rPr>
                <w:b/>
                <w:bCs/>
                <w:sz w:val="20"/>
                <w:szCs w:val="20"/>
              </w:rPr>
            </w:pPr>
            <w:r w:rsidRPr="001D2017">
              <w:rPr>
                <w:rFonts w:ascii="Calibri" w:eastAsia="Calibri" w:hAnsi="Calibri" w:cs="Arial"/>
                <w:kern w:val="2"/>
                <w:sz w:val="20"/>
                <w:szCs w:val="20"/>
                <w14:ligatures w14:val="standardContextual"/>
              </w:rPr>
              <w:t xml:space="preserve">Our hospital safety goals include the use of metrics to identify and address </w:t>
            </w:r>
            <w:r w:rsidRPr="001D2017" w:rsidR="00762D5C">
              <w:rPr>
                <w:rFonts w:ascii="Calibri" w:eastAsia="Calibri" w:hAnsi="Calibri" w:cs="Arial"/>
                <w:kern w:val="2"/>
                <w:sz w:val="20"/>
                <w:szCs w:val="20"/>
                <w14:ligatures w14:val="standardContextual"/>
              </w:rPr>
              <w:t xml:space="preserve">gaps </w:t>
            </w:r>
            <w:r w:rsidRPr="001D2017">
              <w:rPr>
                <w:rFonts w:ascii="Calibri" w:eastAsia="Calibri" w:hAnsi="Calibri" w:cs="Arial"/>
                <w:kern w:val="2"/>
                <w:sz w:val="20"/>
                <w:szCs w:val="20"/>
                <w14:ligatures w14:val="standardContextual"/>
              </w:rPr>
              <w:t>in safety outcomes based on the patient characteristics determined by the hospital to be most important to health care outcomes for the specific populations served.</w:t>
            </w:r>
          </w:p>
        </w:tc>
        <w:tc>
          <w:tcPr>
            <w:tcW w:w="1164" w:type="dxa"/>
          </w:tcPr>
          <w:p w:rsidR="00B80763" w:rsidRPr="004E1329" w:rsidP="00B80763" w14:paraId="6C6D8B69" w14:textId="77777777">
            <w:pPr>
              <w:rPr>
                <w:b/>
                <w:bCs/>
                <w:sz w:val="18"/>
                <w:szCs w:val="18"/>
              </w:rPr>
            </w:pPr>
          </w:p>
        </w:tc>
        <w:tc>
          <w:tcPr>
            <w:tcW w:w="965" w:type="dxa"/>
          </w:tcPr>
          <w:p w:rsidR="00B80763" w:rsidRPr="004E1329" w:rsidP="00B80763" w14:paraId="6FE1A3BD" w14:textId="07D75F3E">
            <w:pPr>
              <w:rPr>
                <w:b/>
                <w:bCs/>
                <w:sz w:val="18"/>
                <w:szCs w:val="18"/>
              </w:rPr>
            </w:pPr>
          </w:p>
        </w:tc>
        <w:tc>
          <w:tcPr>
            <w:tcW w:w="1159" w:type="dxa"/>
            <w:shd w:val="clear" w:color="auto" w:fill="000000" w:themeFill="text1"/>
          </w:tcPr>
          <w:p w:rsidR="00B80763" w:rsidRPr="004E1329" w:rsidP="00B80763" w14:paraId="4CD762AF" w14:textId="77777777">
            <w:pPr>
              <w:rPr>
                <w:b/>
                <w:bCs/>
                <w:sz w:val="18"/>
                <w:szCs w:val="18"/>
              </w:rPr>
            </w:pPr>
          </w:p>
        </w:tc>
      </w:tr>
      <w:tr w14:paraId="776E9732" w14:textId="7DF1A4DE" w:rsidTr="009747AA">
        <w:tblPrEx>
          <w:tblW w:w="11430" w:type="dxa"/>
          <w:tblInd w:w="-545" w:type="dxa"/>
          <w:tblLook w:val="04A0"/>
        </w:tblPrEx>
        <w:tc>
          <w:tcPr>
            <w:tcW w:w="764" w:type="dxa"/>
          </w:tcPr>
          <w:p w:rsidR="00B80763" w:rsidRPr="004E1329" w:rsidP="00B80763" w14:paraId="4F103B5A" w14:textId="45517C75">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*D2-C</w:t>
            </w:r>
          </w:p>
        </w:tc>
        <w:tc>
          <w:tcPr>
            <w:tcW w:w="7378" w:type="dxa"/>
          </w:tcPr>
          <w:p w:rsidR="00B80763" w:rsidRPr="001D2017" w:rsidP="00B80763" w14:paraId="72BDD3AD" w14:textId="17DA41B5">
            <w:pPr>
              <w:rPr>
                <w:b/>
                <w:bCs/>
                <w:sz w:val="20"/>
                <w:szCs w:val="20"/>
              </w:rPr>
            </w:pPr>
            <w:r w:rsidRPr="001D2017">
              <w:rPr>
                <w:rFonts w:ascii="Calibri" w:eastAsia="Calibri" w:hAnsi="Calibri" w:cs="Arial"/>
                <w:kern w:val="2"/>
                <w:sz w:val="20"/>
                <w:szCs w:val="20"/>
                <w14:ligatures w14:val="standardContextual"/>
              </w:rPr>
              <w:t xml:space="preserve">Our hospital has implemented written policies and protocols to cultivate a "just culture" that balances no-blame and appropriate accountability and reflects the distinction between human error, at-risk behavior, and reckless behavior. </w:t>
            </w:r>
          </w:p>
        </w:tc>
        <w:tc>
          <w:tcPr>
            <w:tcW w:w="1164" w:type="dxa"/>
          </w:tcPr>
          <w:p w:rsidR="00B80763" w:rsidRPr="004E1329" w:rsidP="00B80763" w14:paraId="041656B9" w14:textId="77777777">
            <w:pPr>
              <w:rPr>
                <w:b/>
                <w:bCs/>
                <w:sz w:val="18"/>
                <w:szCs w:val="18"/>
              </w:rPr>
            </w:pPr>
          </w:p>
        </w:tc>
        <w:tc>
          <w:tcPr>
            <w:tcW w:w="965" w:type="dxa"/>
          </w:tcPr>
          <w:p w:rsidR="00B80763" w:rsidRPr="004E1329" w:rsidP="00B80763" w14:paraId="2EAEF191" w14:textId="5693EDCB">
            <w:pPr>
              <w:rPr>
                <w:b/>
                <w:bCs/>
                <w:sz w:val="18"/>
                <w:szCs w:val="18"/>
              </w:rPr>
            </w:pPr>
          </w:p>
        </w:tc>
        <w:tc>
          <w:tcPr>
            <w:tcW w:w="1159" w:type="dxa"/>
            <w:shd w:val="clear" w:color="auto" w:fill="000000" w:themeFill="text1"/>
          </w:tcPr>
          <w:p w:rsidR="00B80763" w:rsidRPr="004E1329" w:rsidP="00B80763" w14:paraId="3A4EDBEC" w14:textId="77777777">
            <w:pPr>
              <w:rPr>
                <w:b/>
                <w:bCs/>
                <w:sz w:val="18"/>
                <w:szCs w:val="18"/>
              </w:rPr>
            </w:pPr>
          </w:p>
        </w:tc>
      </w:tr>
      <w:tr w14:paraId="753FB760" w14:textId="7E57CF90" w:rsidTr="009747AA">
        <w:tblPrEx>
          <w:tblW w:w="11430" w:type="dxa"/>
          <w:tblInd w:w="-545" w:type="dxa"/>
          <w:tblLook w:val="04A0"/>
        </w:tblPrEx>
        <w:tc>
          <w:tcPr>
            <w:tcW w:w="764" w:type="dxa"/>
          </w:tcPr>
          <w:p w:rsidR="00B80763" w:rsidRPr="004E1329" w:rsidP="00B80763" w14:paraId="674277E6" w14:textId="105E6158">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*D2-D</w:t>
            </w:r>
          </w:p>
        </w:tc>
        <w:tc>
          <w:tcPr>
            <w:tcW w:w="7378" w:type="dxa"/>
          </w:tcPr>
          <w:p w:rsidR="00B80763" w:rsidRPr="001D2017" w:rsidP="00B80763" w14:paraId="7519AE46" w14:textId="4CB72D8A">
            <w:pPr>
              <w:rPr>
                <w:b/>
                <w:bCs/>
                <w:sz w:val="20"/>
                <w:szCs w:val="20"/>
              </w:rPr>
            </w:pPr>
            <w:r w:rsidRPr="001D2017">
              <w:rPr>
                <w:rFonts w:ascii="Calibri" w:eastAsia="Calibri" w:hAnsi="Calibri" w:cs="Arial"/>
                <w:kern w:val="2"/>
                <w:sz w:val="20"/>
                <w:szCs w:val="20"/>
                <w14:ligatures w14:val="standardContextual"/>
              </w:rPr>
              <w:t>Our hospital requires implementation of a patient safety curriculum and competencies for all clinical and non-clinical hospital staff, including C-suite executives and individuals on the governing board, regular assessments of these competencies for all roles, and action plans for advancing safety skills and behaviors.</w:t>
            </w:r>
          </w:p>
        </w:tc>
        <w:tc>
          <w:tcPr>
            <w:tcW w:w="1164" w:type="dxa"/>
          </w:tcPr>
          <w:p w:rsidR="00B80763" w:rsidRPr="004E1329" w:rsidP="00B80763" w14:paraId="214FDEA5" w14:textId="77777777">
            <w:pPr>
              <w:rPr>
                <w:b/>
                <w:bCs/>
                <w:sz w:val="18"/>
                <w:szCs w:val="18"/>
              </w:rPr>
            </w:pPr>
          </w:p>
        </w:tc>
        <w:tc>
          <w:tcPr>
            <w:tcW w:w="965" w:type="dxa"/>
          </w:tcPr>
          <w:p w:rsidR="00B80763" w:rsidRPr="004E1329" w:rsidP="00B80763" w14:paraId="747A21E2" w14:textId="60F49047">
            <w:pPr>
              <w:rPr>
                <w:b/>
                <w:bCs/>
                <w:sz w:val="18"/>
                <w:szCs w:val="18"/>
              </w:rPr>
            </w:pPr>
          </w:p>
        </w:tc>
        <w:tc>
          <w:tcPr>
            <w:tcW w:w="1159" w:type="dxa"/>
            <w:shd w:val="clear" w:color="auto" w:fill="000000" w:themeFill="text1"/>
          </w:tcPr>
          <w:p w:rsidR="00B80763" w:rsidRPr="004E1329" w:rsidP="00B80763" w14:paraId="09C2B78F" w14:textId="77777777">
            <w:pPr>
              <w:rPr>
                <w:b/>
                <w:bCs/>
                <w:sz w:val="18"/>
                <w:szCs w:val="18"/>
              </w:rPr>
            </w:pPr>
          </w:p>
        </w:tc>
      </w:tr>
      <w:tr w14:paraId="5023B0E9" w14:textId="0E08A053" w:rsidTr="009747AA">
        <w:tblPrEx>
          <w:tblW w:w="11430" w:type="dxa"/>
          <w:tblInd w:w="-545" w:type="dxa"/>
          <w:tblLook w:val="04A0"/>
        </w:tblPrEx>
        <w:tc>
          <w:tcPr>
            <w:tcW w:w="764" w:type="dxa"/>
            <w:tcBorders>
              <w:bottom w:val="single" w:sz="4" w:space="0" w:color="auto"/>
            </w:tcBorders>
          </w:tcPr>
          <w:p w:rsidR="00B80763" w:rsidRPr="004E1329" w:rsidP="00B80763" w14:paraId="2CD8EE80" w14:textId="3230A41D">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*D2-E</w:t>
            </w:r>
          </w:p>
        </w:tc>
        <w:tc>
          <w:tcPr>
            <w:tcW w:w="7378" w:type="dxa"/>
            <w:tcBorders>
              <w:bottom w:val="single" w:sz="4" w:space="0" w:color="auto"/>
            </w:tcBorders>
          </w:tcPr>
          <w:p w:rsidR="00B80763" w:rsidP="00B80763" w14:paraId="0C8F44B8" w14:textId="77777777">
            <w:pPr>
              <w:rPr>
                <w:rFonts w:ascii="Calibri" w:eastAsia="Calibri" w:hAnsi="Calibri" w:cs="Arial"/>
                <w:kern w:val="2"/>
                <w:sz w:val="20"/>
                <w:szCs w:val="20"/>
                <w14:ligatures w14:val="standardContextual"/>
              </w:rPr>
            </w:pPr>
            <w:r w:rsidRPr="001D2017">
              <w:rPr>
                <w:rFonts w:ascii="Calibri" w:eastAsia="Calibri" w:hAnsi="Calibri" w:cs="Arial"/>
                <w:kern w:val="2"/>
                <w:sz w:val="20"/>
                <w:szCs w:val="20"/>
                <w14:ligatures w14:val="standardContextual"/>
              </w:rPr>
              <w:t>Our hospital has an action plan for workforce safety with improvement activities, metrics and trends that address issues such as slips/trips/falls prevention, safe patient handling, exposures, sharps injuries, violence prevention, fire/electrical safety, and psychological safety.</w:t>
            </w:r>
          </w:p>
          <w:p w:rsidR="005A03E6" w:rsidRPr="001D2017" w:rsidP="00B80763" w14:paraId="253DD511" w14:textId="68B5A2BD">
            <w:pPr>
              <w:rPr>
                <w:b/>
                <w:bCs/>
                <w:sz w:val="20"/>
                <w:szCs w:val="20"/>
              </w:rPr>
            </w:pPr>
          </w:p>
        </w:tc>
        <w:tc>
          <w:tcPr>
            <w:tcW w:w="1164" w:type="dxa"/>
          </w:tcPr>
          <w:p w:rsidR="00B80763" w:rsidRPr="004E1329" w:rsidP="00B80763" w14:paraId="77040416" w14:textId="77777777">
            <w:pPr>
              <w:rPr>
                <w:b/>
                <w:bCs/>
                <w:sz w:val="18"/>
                <w:szCs w:val="18"/>
              </w:rPr>
            </w:pPr>
          </w:p>
        </w:tc>
        <w:tc>
          <w:tcPr>
            <w:tcW w:w="965" w:type="dxa"/>
          </w:tcPr>
          <w:p w:rsidR="00B80763" w:rsidRPr="004E1329" w:rsidP="00B80763" w14:paraId="6A8791E2" w14:textId="0D0AEBC8">
            <w:pPr>
              <w:rPr>
                <w:b/>
                <w:bCs/>
                <w:sz w:val="18"/>
                <w:szCs w:val="18"/>
              </w:rPr>
            </w:pPr>
          </w:p>
        </w:tc>
        <w:tc>
          <w:tcPr>
            <w:tcW w:w="1159" w:type="dxa"/>
            <w:shd w:val="clear" w:color="auto" w:fill="000000" w:themeFill="text1"/>
          </w:tcPr>
          <w:p w:rsidR="00B80763" w:rsidRPr="004E1329" w:rsidP="00B80763" w14:paraId="7BFB4C8B" w14:textId="77777777">
            <w:pPr>
              <w:rPr>
                <w:b/>
                <w:bCs/>
                <w:sz w:val="18"/>
                <w:szCs w:val="18"/>
              </w:rPr>
            </w:pPr>
          </w:p>
        </w:tc>
      </w:tr>
      <w:tr w14:paraId="1E39786C" w14:textId="72B459C5" w:rsidTr="009747AA">
        <w:tblPrEx>
          <w:tblW w:w="11430" w:type="dxa"/>
          <w:tblInd w:w="-545" w:type="dxa"/>
          <w:tblLook w:val="04A0"/>
        </w:tblPrEx>
        <w:trPr>
          <w:trHeight w:val="260"/>
        </w:trPr>
        <w:tc>
          <w:tcPr>
            <w:tcW w:w="8142" w:type="dxa"/>
            <w:gridSpan w:val="2"/>
            <w:shd w:val="clear" w:color="auto" w:fill="D9E2F3" w:themeFill="accent1" w:themeFillTint="33"/>
            <w:vAlign w:val="center"/>
          </w:tcPr>
          <w:p w:rsidR="00762D5C" w:rsidRPr="004E1329" w:rsidP="00762D5C" w14:paraId="512F4A12" w14:textId="42AC0E09">
            <w:pPr>
              <w:rPr>
                <w:b/>
                <w:bCs/>
                <w:sz w:val="20"/>
                <w:szCs w:val="20"/>
              </w:rPr>
            </w:pPr>
            <w:r w:rsidRPr="004E1329">
              <w:rPr>
                <w:rFonts w:ascii="Calibri" w:eastAsia="Calibri" w:hAnsi="Calibri" w:cs="Arial"/>
                <w:b/>
                <w:bCs/>
                <w:kern w:val="2"/>
                <w:sz w:val="20"/>
                <w:szCs w:val="20"/>
                <w14:ligatures w14:val="standardContextual"/>
              </w:rPr>
              <w:t>Domain 3:  Culture of Safety &amp; Learning Health System</w:t>
            </w:r>
          </w:p>
        </w:tc>
        <w:tc>
          <w:tcPr>
            <w:tcW w:w="1164" w:type="dxa"/>
            <w:shd w:val="clear" w:color="auto" w:fill="D9E2F3" w:themeFill="accent1" w:themeFillTint="33"/>
          </w:tcPr>
          <w:p w:rsidR="00762D5C" w:rsidRPr="009747AA" w:rsidP="00B80763" w14:paraId="1953E43E" w14:textId="46A3E103">
            <w:pPr>
              <w:jc w:val="center"/>
              <w:rPr>
                <w:b/>
                <w:bCs/>
                <w:sz w:val="20"/>
                <w:szCs w:val="20"/>
              </w:rPr>
            </w:pPr>
            <w:r w:rsidRPr="009747AA">
              <w:rPr>
                <w:b/>
                <w:bCs/>
                <w:sz w:val="20"/>
                <w:szCs w:val="20"/>
              </w:rPr>
              <w:t>YES</w:t>
            </w:r>
          </w:p>
        </w:tc>
        <w:tc>
          <w:tcPr>
            <w:tcW w:w="965" w:type="dxa"/>
            <w:shd w:val="clear" w:color="auto" w:fill="D9E2F3" w:themeFill="accent1" w:themeFillTint="33"/>
          </w:tcPr>
          <w:p w:rsidR="00762D5C" w:rsidRPr="009747AA" w:rsidP="006B21B1" w14:paraId="3E12DC7F" w14:textId="7F227494">
            <w:pPr>
              <w:rPr>
                <w:b/>
                <w:bCs/>
                <w:sz w:val="20"/>
                <w:szCs w:val="20"/>
              </w:rPr>
            </w:pPr>
            <w:r w:rsidRPr="009747AA">
              <w:rPr>
                <w:b/>
                <w:bCs/>
                <w:sz w:val="20"/>
                <w:szCs w:val="20"/>
              </w:rPr>
              <w:t>NO</w:t>
            </w:r>
          </w:p>
        </w:tc>
        <w:tc>
          <w:tcPr>
            <w:tcW w:w="1159" w:type="dxa"/>
            <w:shd w:val="clear" w:color="auto" w:fill="D9E2F3" w:themeFill="accent1" w:themeFillTint="33"/>
          </w:tcPr>
          <w:p w:rsidR="00762D5C" w:rsidRPr="004E1329" w:rsidP="00B80763" w14:paraId="0BE4BC5A" w14:textId="77777777">
            <w:pPr>
              <w:jc w:val="center"/>
              <w:rPr>
                <w:b/>
                <w:bCs/>
                <w:sz w:val="18"/>
                <w:szCs w:val="18"/>
              </w:rPr>
            </w:pPr>
          </w:p>
        </w:tc>
      </w:tr>
      <w:tr w14:paraId="18090E35" w14:textId="5C3BE4BC" w:rsidTr="009747AA">
        <w:tblPrEx>
          <w:tblW w:w="11430" w:type="dxa"/>
          <w:tblInd w:w="-545" w:type="dxa"/>
          <w:tblLook w:val="04A0"/>
        </w:tblPrEx>
        <w:tc>
          <w:tcPr>
            <w:tcW w:w="764" w:type="dxa"/>
          </w:tcPr>
          <w:p w:rsidR="00B80763" w:rsidRPr="004E1329" w:rsidP="00B80763" w14:paraId="75712E7B" w14:textId="2845227E">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*D3-A</w:t>
            </w:r>
          </w:p>
        </w:tc>
        <w:tc>
          <w:tcPr>
            <w:tcW w:w="7378" w:type="dxa"/>
          </w:tcPr>
          <w:p w:rsidR="00B80763" w:rsidRPr="004E1329" w:rsidP="00B80763" w14:paraId="36EC0859" w14:textId="14BA07A4">
            <w:pPr>
              <w:rPr>
                <w:b/>
                <w:bCs/>
                <w:sz w:val="20"/>
                <w:szCs w:val="20"/>
              </w:rPr>
            </w:pPr>
            <w:r w:rsidRPr="004E1329">
              <w:rPr>
                <w:rFonts w:ascii="Calibri" w:eastAsia="Calibri" w:hAnsi="Calibri" w:cs="Arial"/>
                <w:kern w:val="2"/>
                <w:sz w:val="20"/>
                <w:szCs w:val="20"/>
                <w14:ligatures w14:val="standardContextual"/>
              </w:rPr>
              <w:t xml:space="preserve">Our hospital conducts a hospital-wide culture of safety </w:t>
            </w:r>
            <w:r w:rsidRPr="004E1329">
              <w:rPr>
                <w:rFonts w:ascii="Calibri" w:eastAsia="Calibri" w:hAnsi="Calibri" w:cs="Arial"/>
                <w:kern w:val="2"/>
                <w:sz w:val="20"/>
                <w:szCs w:val="20"/>
                <w14:ligatures w14:val="standardContextual"/>
              </w:rPr>
              <w:t>survey</w:t>
            </w:r>
            <w:r w:rsidRPr="004E1329">
              <w:rPr>
                <w:rFonts w:ascii="Calibri" w:eastAsia="Calibri" w:hAnsi="Calibri" w:cs="Arial"/>
                <w:kern w:val="2"/>
                <w:sz w:val="20"/>
                <w:szCs w:val="20"/>
                <w14:ligatures w14:val="standardContextual"/>
              </w:rPr>
              <w:t xml:space="preserve"> using a validated instrument annually, or every 2 years with pulse surveys on target units during non-survey years. Results are shared with the governing board and hospital staff and used to inform unit-based interventions to reduce harm.</w:t>
            </w:r>
          </w:p>
        </w:tc>
        <w:tc>
          <w:tcPr>
            <w:tcW w:w="1164" w:type="dxa"/>
          </w:tcPr>
          <w:p w:rsidR="00B80763" w:rsidRPr="004E1329" w:rsidP="00B80763" w14:paraId="3C0C797B" w14:textId="77777777">
            <w:pPr>
              <w:rPr>
                <w:b/>
                <w:bCs/>
                <w:sz w:val="18"/>
                <w:szCs w:val="18"/>
              </w:rPr>
            </w:pPr>
          </w:p>
        </w:tc>
        <w:tc>
          <w:tcPr>
            <w:tcW w:w="965" w:type="dxa"/>
          </w:tcPr>
          <w:p w:rsidR="00B80763" w:rsidRPr="004E1329" w:rsidP="00B80763" w14:paraId="5DCA8F61" w14:textId="38875D20">
            <w:pPr>
              <w:rPr>
                <w:b/>
                <w:bCs/>
                <w:sz w:val="18"/>
                <w:szCs w:val="18"/>
              </w:rPr>
            </w:pPr>
          </w:p>
        </w:tc>
        <w:tc>
          <w:tcPr>
            <w:tcW w:w="1159" w:type="dxa"/>
            <w:shd w:val="clear" w:color="auto" w:fill="000000" w:themeFill="text1"/>
          </w:tcPr>
          <w:p w:rsidR="00B80763" w:rsidRPr="004E1329" w:rsidP="00B80763" w14:paraId="00C2F9AF" w14:textId="77777777">
            <w:pPr>
              <w:rPr>
                <w:b/>
                <w:bCs/>
                <w:sz w:val="18"/>
                <w:szCs w:val="18"/>
              </w:rPr>
            </w:pPr>
          </w:p>
        </w:tc>
      </w:tr>
      <w:tr w14:paraId="43FFE63E" w14:textId="52F16BF1" w:rsidTr="009747AA">
        <w:tblPrEx>
          <w:tblW w:w="11430" w:type="dxa"/>
          <w:tblInd w:w="-545" w:type="dxa"/>
          <w:tblLook w:val="04A0"/>
        </w:tblPrEx>
        <w:tc>
          <w:tcPr>
            <w:tcW w:w="764" w:type="dxa"/>
          </w:tcPr>
          <w:p w:rsidR="00B80763" w:rsidRPr="004E1329" w:rsidP="00B80763" w14:paraId="326ADA8B" w14:textId="2F0EB965">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*D3-B</w:t>
            </w:r>
          </w:p>
        </w:tc>
        <w:tc>
          <w:tcPr>
            <w:tcW w:w="7378" w:type="dxa"/>
          </w:tcPr>
          <w:p w:rsidR="00B80763" w:rsidRPr="004E1329" w:rsidP="00B80763" w14:paraId="156E5001" w14:textId="06CA62F9">
            <w:pPr>
              <w:rPr>
                <w:b/>
                <w:bCs/>
                <w:sz w:val="20"/>
                <w:szCs w:val="20"/>
              </w:rPr>
            </w:pPr>
            <w:r w:rsidRPr="004E1329">
              <w:rPr>
                <w:rFonts w:ascii="Calibri" w:eastAsia="Calibri" w:hAnsi="Calibri" w:cs="Arial"/>
                <w:kern w:val="2"/>
                <w:sz w:val="20"/>
                <w:szCs w:val="20"/>
                <w14:ligatures w14:val="standardContextual"/>
              </w:rPr>
              <w:t>Our hospital has a dedicated team that conducts event analysis of serious safety events using an evidence-based approach, such as the National Patient Safety Foundation's Root Cause Analysis and Action (RCA2).</w:t>
            </w:r>
          </w:p>
        </w:tc>
        <w:tc>
          <w:tcPr>
            <w:tcW w:w="1164" w:type="dxa"/>
          </w:tcPr>
          <w:p w:rsidR="00B80763" w:rsidRPr="004E1329" w:rsidP="00B80763" w14:paraId="397A7892" w14:textId="77777777">
            <w:pPr>
              <w:rPr>
                <w:b/>
                <w:bCs/>
                <w:sz w:val="18"/>
                <w:szCs w:val="18"/>
              </w:rPr>
            </w:pPr>
          </w:p>
        </w:tc>
        <w:tc>
          <w:tcPr>
            <w:tcW w:w="965" w:type="dxa"/>
          </w:tcPr>
          <w:p w:rsidR="00B80763" w:rsidRPr="004E1329" w:rsidP="00B80763" w14:paraId="175A3509" w14:textId="751B7593">
            <w:pPr>
              <w:rPr>
                <w:b/>
                <w:bCs/>
                <w:sz w:val="18"/>
                <w:szCs w:val="18"/>
              </w:rPr>
            </w:pPr>
          </w:p>
        </w:tc>
        <w:tc>
          <w:tcPr>
            <w:tcW w:w="1159" w:type="dxa"/>
            <w:shd w:val="clear" w:color="auto" w:fill="000000" w:themeFill="text1"/>
          </w:tcPr>
          <w:p w:rsidR="00B80763" w:rsidRPr="004E1329" w:rsidP="00B80763" w14:paraId="12C6CD54" w14:textId="77777777">
            <w:pPr>
              <w:rPr>
                <w:b/>
                <w:bCs/>
                <w:sz w:val="18"/>
                <w:szCs w:val="18"/>
              </w:rPr>
            </w:pPr>
          </w:p>
        </w:tc>
      </w:tr>
      <w:tr w14:paraId="2EA748BC" w14:textId="6FBFC71C" w:rsidTr="009747AA">
        <w:tblPrEx>
          <w:tblW w:w="11430" w:type="dxa"/>
          <w:tblInd w:w="-545" w:type="dxa"/>
          <w:tblLook w:val="04A0"/>
        </w:tblPrEx>
        <w:tc>
          <w:tcPr>
            <w:tcW w:w="764" w:type="dxa"/>
          </w:tcPr>
          <w:p w:rsidR="00B80763" w:rsidRPr="004E1329" w:rsidP="00B80763" w14:paraId="2B8F5684" w14:textId="7797917D">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*D3-C</w:t>
            </w:r>
          </w:p>
        </w:tc>
        <w:tc>
          <w:tcPr>
            <w:tcW w:w="7378" w:type="dxa"/>
          </w:tcPr>
          <w:p w:rsidR="00B80763" w:rsidRPr="004E1329" w:rsidP="00B80763" w14:paraId="7A9E86D3" w14:textId="44FF129B">
            <w:pPr>
              <w:rPr>
                <w:b/>
                <w:bCs/>
                <w:sz w:val="20"/>
                <w:szCs w:val="20"/>
              </w:rPr>
            </w:pPr>
            <w:r w:rsidRPr="004E1329">
              <w:rPr>
                <w:rFonts w:ascii="Calibri" w:eastAsia="Calibri" w:hAnsi="Calibri" w:cs="Arial"/>
                <w:kern w:val="2"/>
                <w:sz w:val="20"/>
                <w:szCs w:val="20"/>
                <w14:ligatures w14:val="standardContextual"/>
              </w:rPr>
              <w:t>Our hospital has a patient safety metrics dashboard and uses external benchmarks (such as CMS Star Ratings or other national databases) to monitor performance and inform improvement activities on safety events (</w:t>
            </w:r>
            <w:r w:rsidRPr="004E1329">
              <w:rPr>
                <w:rFonts w:ascii="Calibri" w:eastAsia="Calibri" w:hAnsi="Calibri" w:cs="Arial"/>
                <w:kern w:val="2"/>
                <w:sz w:val="20"/>
                <w:szCs w:val="20"/>
                <w14:ligatures w14:val="standardContextual"/>
              </w:rPr>
              <w:t>such as:</w:t>
            </w:r>
            <w:r w:rsidRPr="004E1329">
              <w:rPr>
                <w:rFonts w:ascii="Calibri" w:eastAsia="Calibri" w:hAnsi="Calibri" w:cs="Arial"/>
                <w:kern w:val="2"/>
                <w:sz w:val="20"/>
                <w:szCs w:val="20"/>
                <w14:ligatures w14:val="standardContextual"/>
              </w:rPr>
              <w:t xml:space="preserve"> medication errors, surgical/procedural harm, falls, pressure injuries, diagnostic errors, and healthcare-associated infections).</w:t>
            </w:r>
          </w:p>
        </w:tc>
        <w:tc>
          <w:tcPr>
            <w:tcW w:w="1164" w:type="dxa"/>
          </w:tcPr>
          <w:p w:rsidR="00B80763" w:rsidRPr="004E1329" w:rsidP="00B80763" w14:paraId="6F727E33" w14:textId="77777777">
            <w:pPr>
              <w:rPr>
                <w:b/>
                <w:bCs/>
                <w:sz w:val="18"/>
                <w:szCs w:val="18"/>
              </w:rPr>
            </w:pPr>
          </w:p>
        </w:tc>
        <w:tc>
          <w:tcPr>
            <w:tcW w:w="965" w:type="dxa"/>
          </w:tcPr>
          <w:p w:rsidR="00B80763" w:rsidRPr="004E1329" w:rsidP="00B80763" w14:paraId="2689818C" w14:textId="487FF1F7">
            <w:pPr>
              <w:rPr>
                <w:b/>
                <w:bCs/>
                <w:sz w:val="18"/>
                <w:szCs w:val="18"/>
              </w:rPr>
            </w:pPr>
          </w:p>
        </w:tc>
        <w:tc>
          <w:tcPr>
            <w:tcW w:w="1159" w:type="dxa"/>
            <w:shd w:val="clear" w:color="auto" w:fill="000000" w:themeFill="text1"/>
          </w:tcPr>
          <w:p w:rsidR="00B80763" w:rsidRPr="004E1329" w:rsidP="00B80763" w14:paraId="2B4674D5" w14:textId="77777777">
            <w:pPr>
              <w:rPr>
                <w:b/>
                <w:bCs/>
                <w:sz w:val="18"/>
                <w:szCs w:val="18"/>
              </w:rPr>
            </w:pPr>
          </w:p>
        </w:tc>
      </w:tr>
      <w:tr w14:paraId="2E82E99A" w14:textId="48FCEC5D" w:rsidTr="009747AA">
        <w:tblPrEx>
          <w:tblW w:w="11430" w:type="dxa"/>
          <w:tblInd w:w="-545" w:type="dxa"/>
          <w:tblLook w:val="04A0"/>
        </w:tblPrEx>
        <w:tc>
          <w:tcPr>
            <w:tcW w:w="764" w:type="dxa"/>
          </w:tcPr>
          <w:p w:rsidR="00B80763" w:rsidRPr="004E1329" w:rsidP="00B80763" w14:paraId="2B27E533" w14:textId="268C6002">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*D3-D</w:t>
            </w:r>
          </w:p>
        </w:tc>
        <w:tc>
          <w:tcPr>
            <w:tcW w:w="7378" w:type="dxa"/>
          </w:tcPr>
          <w:p w:rsidR="00B80763" w:rsidRPr="004E1329" w:rsidP="00B80763" w14:paraId="49265FE8" w14:textId="77777777">
            <w:p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Our hospital implements a minimum of 4 of the following high reliability practices:</w:t>
            </w:r>
          </w:p>
          <w:p w:rsidR="00B80763" w:rsidRPr="004E1329" w:rsidP="00B80763" w14:paraId="603A10EF"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Tiered and escalating (for example, unit, department, facility, system) safety huddles at least 5 days a week, with 1 day being a weekend, that include key clinical and non-clinical (for example, lab, housekeeping, security) units and leaders, with a method in place for follow-up on issues identified.</w:t>
            </w:r>
          </w:p>
          <w:p w:rsidR="00B80763" w:rsidRPr="004E1329" w:rsidP="00B80763" w14:paraId="2EA88FDF"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Hospital leaders participate in monthly rounding for safety on all units, with C-suite executives rounding at least quarterly, with a method in place for follow-up on issues identified.</w:t>
            </w:r>
          </w:p>
          <w:p w:rsidR="00B80763" w:rsidRPr="004E1329" w:rsidP="00B80763" w14:paraId="13A418D5" w14:textId="77777777">
            <w:pPr>
              <w:pStyle w:val="ListParagraph"/>
              <w:numPr>
                <w:ilvl w:val="0"/>
                <w:numId w:val="5"/>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A data infrastructure to measure safety, based on patient safety evidence (for example, systematic reviews, national guidelines) and data from the electronic medical record that enables identification and tracking of serious safety events and precursor events. These data are shared with C-suite executives at least monthly, and the governing board at every regularly scheduled meeting.</w:t>
            </w:r>
          </w:p>
          <w:p w:rsidR="00B80763" w:rsidRPr="004E1329" w:rsidP="00B80763" w14:paraId="19596D69"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Technologies, including a computerized physician order entry system and a barcode medication administration system, that promote safety and standardization of care using evidence-based practices.</w:t>
            </w:r>
          </w:p>
          <w:p w:rsidR="00B80763" w:rsidRPr="004E1329" w:rsidP="00B80763" w14:paraId="16C71A4E"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The use of a defined improvement method (or hybrid of proven methods), such as Lean, Six Sigma, Plan-Do-Study-Act, and/or high reliability frameworks.</w:t>
            </w:r>
          </w:p>
          <w:p w:rsidR="00B80763" w:rsidRPr="004E1329" w:rsidP="00B80763" w14:paraId="6F48EEE9"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Team communication and collaboration training of all staff.</w:t>
            </w:r>
          </w:p>
          <w:p w:rsidR="00B80763" w:rsidRPr="005A03E6" w:rsidP="005A03E6" w14:paraId="28ED3124" w14:textId="34F3BC76">
            <w:pPr>
              <w:pStyle w:val="ListParagraph"/>
              <w:numPr>
                <w:ilvl w:val="0"/>
                <w:numId w:val="6"/>
              </w:numPr>
              <w:rPr>
                <w:b/>
                <w:bCs/>
                <w:sz w:val="20"/>
                <w:szCs w:val="20"/>
              </w:rPr>
            </w:pPr>
            <w:r w:rsidRPr="005A03E6">
              <w:rPr>
                <w:rFonts w:ascii="Calibri" w:eastAsia="Calibri" w:hAnsi="Calibri" w:cs="Arial"/>
                <w:kern w:val="2"/>
                <w:sz w:val="20"/>
                <w:szCs w:val="20"/>
                <w14:ligatures w14:val="standardContextual"/>
              </w:rPr>
              <w:t>The use of human factors engineering principles in selection and design of devices, equipment, and processes.</w:t>
            </w:r>
          </w:p>
        </w:tc>
        <w:tc>
          <w:tcPr>
            <w:tcW w:w="1164" w:type="dxa"/>
          </w:tcPr>
          <w:p w:rsidR="00B80763" w:rsidRPr="004E1329" w:rsidP="00B80763" w14:paraId="760E0A70" w14:textId="77777777">
            <w:pPr>
              <w:rPr>
                <w:b/>
                <w:bCs/>
                <w:sz w:val="18"/>
                <w:szCs w:val="18"/>
              </w:rPr>
            </w:pPr>
          </w:p>
        </w:tc>
        <w:tc>
          <w:tcPr>
            <w:tcW w:w="965" w:type="dxa"/>
          </w:tcPr>
          <w:p w:rsidR="00B80763" w:rsidRPr="004E1329" w:rsidP="00B80763" w14:paraId="7FD112FF" w14:textId="21312967">
            <w:pPr>
              <w:rPr>
                <w:b/>
                <w:bCs/>
                <w:sz w:val="18"/>
                <w:szCs w:val="18"/>
              </w:rPr>
            </w:pPr>
          </w:p>
        </w:tc>
        <w:tc>
          <w:tcPr>
            <w:tcW w:w="1159" w:type="dxa"/>
            <w:shd w:val="clear" w:color="auto" w:fill="000000" w:themeFill="text1"/>
          </w:tcPr>
          <w:p w:rsidR="00B80763" w:rsidRPr="004E1329" w:rsidP="00B80763" w14:paraId="2A049596" w14:textId="77777777">
            <w:pPr>
              <w:rPr>
                <w:b/>
                <w:bCs/>
                <w:sz w:val="18"/>
                <w:szCs w:val="18"/>
              </w:rPr>
            </w:pPr>
          </w:p>
        </w:tc>
      </w:tr>
      <w:tr w14:paraId="70760524" w14:textId="0CEB6141" w:rsidTr="009747AA">
        <w:tblPrEx>
          <w:tblW w:w="11430" w:type="dxa"/>
          <w:tblInd w:w="-545" w:type="dxa"/>
          <w:tblLook w:val="04A0"/>
        </w:tblPrEx>
        <w:tc>
          <w:tcPr>
            <w:tcW w:w="764" w:type="dxa"/>
          </w:tcPr>
          <w:p w:rsidR="00B80763" w:rsidRPr="004E1329" w:rsidP="00B80763" w14:paraId="723E276C" w14:textId="66EA39C6">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*D3-E</w:t>
            </w:r>
          </w:p>
        </w:tc>
        <w:tc>
          <w:tcPr>
            <w:tcW w:w="7378" w:type="dxa"/>
          </w:tcPr>
          <w:p w:rsidR="00B80763" w:rsidRPr="004E1329" w:rsidP="00B80763" w14:paraId="7591ABBA" w14:textId="7D8F035C">
            <w:pPr>
              <w:rPr>
                <w:b/>
                <w:bCs/>
                <w:sz w:val="20"/>
                <w:szCs w:val="20"/>
              </w:rPr>
            </w:pPr>
            <w:r w:rsidRPr="004E1329">
              <w:rPr>
                <w:rFonts w:ascii="Calibri" w:eastAsia="Calibri" w:hAnsi="Calibri" w:cs="Arial"/>
                <w:kern w:val="2"/>
                <w:sz w:val="20"/>
                <w:szCs w:val="20"/>
                <w14:ligatures w14:val="standardContextual"/>
              </w:rPr>
              <w:t>Our hospital participates in large-scale learning network(s) for patient safety improvement (such as national or state safety improvement collaboratives), shares data on safety events and outcomes with these network(s</w:t>
            </w:r>
            <w:r w:rsidRPr="004E1329">
              <w:rPr>
                <w:rFonts w:ascii="Calibri" w:eastAsia="Calibri" w:hAnsi="Calibri" w:cs="Arial"/>
                <w:kern w:val="2"/>
                <w:sz w:val="20"/>
                <w:szCs w:val="20"/>
                <w14:ligatures w14:val="standardContextual"/>
              </w:rPr>
              <w:t>), and</w:t>
            </w:r>
            <w:r w:rsidRPr="004E1329">
              <w:rPr>
                <w:rFonts w:ascii="Calibri" w:eastAsia="Calibri" w:hAnsi="Calibri" w:cs="Arial"/>
                <w:kern w:val="2"/>
                <w:sz w:val="20"/>
                <w:szCs w:val="20"/>
                <w14:ligatures w14:val="standardContextual"/>
              </w:rPr>
              <w:t xml:space="preserve"> has implemented at least one best practice from the network or collaborative.</w:t>
            </w:r>
          </w:p>
        </w:tc>
        <w:tc>
          <w:tcPr>
            <w:tcW w:w="1164" w:type="dxa"/>
            <w:tcBorders>
              <w:bottom w:val="single" w:sz="4" w:space="0" w:color="auto"/>
            </w:tcBorders>
          </w:tcPr>
          <w:p w:rsidR="00B80763" w:rsidRPr="004E1329" w:rsidP="00B80763" w14:paraId="798220B0" w14:textId="77777777">
            <w:pPr>
              <w:rPr>
                <w:b/>
                <w:bCs/>
                <w:sz w:val="18"/>
                <w:szCs w:val="18"/>
              </w:rPr>
            </w:pPr>
          </w:p>
        </w:tc>
        <w:tc>
          <w:tcPr>
            <w:tcW w:w="965" w:type="dxa"/>
            <w:tcBorders>
              <w:bottom w:val="single" w:sz="4" w:space="0" w:color="auto"/>
            </w:tcBorders>
          </w:tcPr>
          <w:p w:rsidR="00B80763" w:rsidRPr="004E1329" w:rsidP="00B80763" w14:paraId="5BA40D38" w14:textId="20806A7E">
            <w:pPr>
              <w:rPr>
                <w:b/>
                <w:bCs/>
                <w:sz w:val="18"/>
                <w:szCs w:val="18"/>
              </w:rPr>
            </w:pPr>
          </w:p>
        </w:tc>
        <w:tc>
          <w:tcPr>
            <w:tcW w:w="1159" w:type="dxa"/>
            <w:tcBorders>
              <w:bottom w:val="single" w:sz="4" w:space="0" w:color="auto"/>
            </w:tcBorders>
            <w:shd w:val="clear" w:color="auto" w:fill="000000" w:themeFill="text1"/>
          </w:tcPr>
          <w:p w:rsidR="00B80763" w:rsidRPr="004E1329" w:rsidP="00B80763" w14:paraId="3CFEB236" w14:textId="77777777">
            <w:pPr>
              <w:rPr>
                <w:b/>
                <w:bCs/>
                <w:sz w:val="18"/>
                <w:szCs w:val="18"/>
              </w:rPr>
            </w:pPr>
          </w:p>
        </w:tc>
      </w:tr>
      <w:tr w14:paraId="5178B263" w14:textId="120792EB" w:rsidTr="009747AA">
        <w:tblPrEx>
          <w:tblW w:w="11430" w:type="dxa"/>
          <w:tblInd w:w="-545" w:type="dxa"/>
          <w:tblLook w:val="04A0"/>
        </w:tblPrEx>
        <w:trPr>
          <w:trHeight w:val="323"/>
        </w:trPr>
        <w:tc>
          <w:tcPr>
            <w:tcW w:w="8142" w:type="dxa"/>
            <w:gridSpan w:val="2"/>
            <w:shd w:val="clear" w:color="auto" w:fill="D9E2F3" w:themeFill="accent1" w:themeFillTint="33"/>
            <w:vAlign w:val="center"/>
          </w:tcPr>
          <w:p w:rsidR="00762D5C" w:rsidRPr="00762D5C" w:rsidP="00762D5C" w14:paraId="1308BE49" w14:textId="631D528E">
            <w:pPr>
              <w:rPr>
                <w:b/>
                <w:bCs/>
                <w:sz w:val="20"/>
                <w:szCs w:val="20"/>
              </w:rPr>
            </w:pPr>
            <w:r w:rsidRPr="00762D5C">
              <w:rPr>
                <w:rFonts w:ascii="Calibri" w:eastAsia="Calibri" w:hAnsi="Calibri" w:cs="Arial"/>
                <w:b/>
                <w:bCs/>
                <w:kern w:val="2"/>
                <w:sz w:val="20"/>
                <w:szCs w:val="20"/>
                <w14:ligatures w14:val="standardContextual"/>
              </w:rPr>
              <w:t>Domain 4:  Accountability &amp; Transparency</w:t>
            </w:r>
          </w:p>
        </w:tc>
        <w:tc>
          <w:tcPr>
            <w:tcW w:w="1164" w:type="dxa"/>
            <w:shd w:val="clear" w:color="auto" w:fill="D9E2F3" w:themeFill="accent1" w:themeFillTint="33"/>
            <w:vAlign w:val="center"/>
          </w:tcPr>
          <w:p w:rsidR="00762D5C" w:rsidRPr="009747AA" w:rsidP="00762D5C" w14:paraId="51314046" w14:textId="610C2DC7">
            <w:pPr>
              <w:jc w:val="center"/>
              <w:rPr>
                <w:b/>
                <w:bCs/>
                <w:sz w:val="20"/>
                <w:szCs w:val="20"/>
              </w:rPr>
            </w:pPr>
            <w:r w:rsidRPr="009747AA">
              <w:rPr>
                <w:b/>
                <w:bCs/>
                <w:sz w:val="20"/>
                <w:szCs w:val="20"/>
              </w:rPr>
              <w:t>YES</w:t>
            </w:r>
          </w:p>
        </w:tc>
        <w:tc>
          <w:tcPr>
            <w:tcW w:w="965" w:type="dxa"/>
            <w:shd w:val="clear" w:color="auto" w:fill="D9E2F3" w:themeFill="accent1" w:themeFillTint="33"/>
            <w:vAlign w:val="center"/>
          </w:tcPr>
          <w:p w:rsidR="00762D5C" w:rsidRPr="009747AA" w:rsidP="00762D5C" w14:paraId="41B99CA9" w14:textId="7D9853CA">
            <w:pPr>
              <w:jc w:val="center"/>
              <w:rPr>
                <w:b/>
                <w:bCs/>
                <w:sz w:val="20"/>
                <w:szCs w:val="20"/>
              </w:rPr>
            </w:pPr>
            <w:r w:rsidRPr="009747AA">
              <w:rPr>
                <w:b/>
                <w:bCs/>
                <w:sz w:val="20"/>
                <w:szCs w:val="20"/>
              </w:rPr>
              <w:t>NO</w:t>
            </w:r>
          </w:p>
        </w:tc>
        <w:tc>
          <w:tcPr>
            <w:tcW w:w="1159" w:type="dxa"/>
            <w:shd w:val="clear" w:color="auto" w:fill="D9E2F3" w:themeFill="accent1" w:themeFillTint="33"/>
            <w:vAlign w:val="center"/>
          </w:tcPr>
          <w:p w:rsidR="00762D5C" w:rsidRPr="009747AA" w:rsidP="00762D5C" w14:paraId="479BF7EB" w14:textId="77777777">
            <w:pPr>
              <w:jc w:val="center"/>
              <w:rPr>
                <w:b/>
                <w:bCs/>
                <w:sz w:val="20"/>
                <w:szCs w:val="20"/>
              </w:rPr>
            </w:pPr>
          </w:p>
        </w:tc>
      </w:tr>
      <w:tr w14:paraId="47CB71AB" w14:textId="4D6BB510" w:rsidTr="009747AA">
        <w:tblPrEx>
          <w:tblW w:w="11430" w:type="dxa"/>
          <w:tblInd w:w="-545" w:type="dxa"/>
          <w:tblLook w:val="04A0"/>
        </w:tblPrEx>
        <w:tc>
          <w:tcPr>
            <w:tcW w:w="764" w:type="dxa"/>
          </w:tcPr>
          <w:p w:rsidR="00B80763" w:rsidRPr="004E1329" w:rsidP="00B80763" w14:paraId="41665BAB" w14:textId="0AE06309">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*D4-A</w:t>
            </w:r>
          </w:p>
        </w:tc>
        <w:tc>
          <w:tcPr>
            <w:tcW w:w="7378" w:type="dxa"/>
          </w:tcPr>
          <w:p w:rsidR="00B80763" w:rsidRPr="004E1329" w:rsidP="00B80763" w14:paraId="7EF2E86C" w14:textId="4E538BC7">
            <w:pPr>
              <w:rPr>
                <w:b/>
                <w:bCs/>
                <w:sz w:val="20"/>
                <w:szCs w:val="20"/>
              </w:rPr>
            </w:pPr>
            <w:r w:rsidRPr="004E1329">
              <w:rPr>
                <w:rFonts w:ascii="Calibri" w:eastAsia="Calibri" w:hAnsi="Calibri" w:cs="Arial"/>
                <w:kern w:val="2"/>
                <w:sz w:val="20"/>
                <w:szCs w:val="20"/>
                <w14:ligatures w14:val="standardContextual"/>
              </w:rPr>
              <w:t>Our hospital has a confidential safety reporting system that allows staff to report patient safety events, near misses, precursor events, unsafe conditions, and other concerns, and prompts a feedback loop to those who report.</w:t>
            </w:r>
          </w:p>
        </w:tc>
        <w:tc>
          <w:tcPr>
            <w:tcW w:w="1164" w:type="dxa"/>
          </w:tcPr>
          <w:p w:rsidR="00B80763" w:rsidRPr="004E1329" w:rsidP="00B80763" w14:paraId="6D748709" w14:textId="77777777">
            <w:pPr>
              <w:rPr>
                <w:b/>
                <w:bCs/>
                <w:sz w:val="18"/>
                <w:szCs w:val="18"/>
              </w:rPr>
            </w:pPr>
          </w:p>
        </w:tc>
        <w:tc>
          <w:tcPr>
            <w:tcW w:w="965" w:type="dxa"/>
          </w:tcPr>
          <w:p w:rsidR="00B80763" w:rsidRPr="004E1329" w:rsidP="00B80763" w14:paraId="4D644C0A" w14:textId="58E1E755">
            <w:pPr>
              <w:rPr>
                <w:b/>
                <w:bCs/>
                <w:sz w:val="18"/>
                <w:szCs w:val="18"/>
              </w:rPr>
            </w:pPr>
          </w:p>
        </w:tc>
        <w:tc>
          <w:tcPr>
            <w:tcW w:w="1159" w:type="dxa"/>
            <w:shd w:val="clear" w:color="auto" w:fill="000000" w:themeFill="text1"/>
          </w:tcPr>
          <w:p w:rsidR="00B80763" w:rsidRPr="004E1329" w:rsidP="00B80763" w14:paraId="380E07C5" w14:textId="77777777">
            <w:pPr>
              <w:rPr>
                <w:b/>
                <w:bCs/>
                <w:sz w:val="18"/>
                <w:szCs w:val="18"/>
              </w:rPr>
            </w:pPr>
          </w:p>
        </w:tc>
      </w:tr>
      <w:tr w14:paraId="11EF06D4" w14:textId="0D4CEC0F" w:rsidTr="009747AA">
        <w:tblPrEx>
          <w:tblW w:w="11430" w:type="dxa"/>
          <w:tblInd w:w="-545" w:type="dxa"/>
          <w:tblLook w:val="04A0"/>
        </w:tblPrEx>
        <w:tc>
          <w:tcPr>
            <w:tcW w:w="764" w:type="dxa"/>
          </w:tcPr>
          <w:p w:rsidR="00B80763" w:rsidRPr="004E1329" w:rsidP="00B80763" w14:paraId="48B6BA21" w14:textId="1459532F">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*D4-B</w:t>
            </w:r>
          </w:p>
        </w:tc>
        <w:tc>
          <w:tcPr>
            <w:tcW w:w="7378" w:type="dxa"/>
          </w:tcPr>
          <w:p w:rsidR="00B80763" w:rsidRPr="004E1329" w:rsidP="00B80763" w14:paraId="587B6C1A" w14:textId="5DBEF4E3">
            <w:pPr>
              <w:rPr>
                <w:b/>
                <w:bCs/>
                <w:sz w:val="20"/>
                <w:szCs w:val="20"/>
              </w:rPr>
            </w:pPr>
            <w:r w:rsidRPr="004E1329">
              <w:rPr>
                <w:rFonts w:ascii="Calibri" w:eastAsia="Calibri" w:hAnsi="Calibri" w:cs="Arial"/>
                <w:kern w:val="2"/>
                <w:sz w:val="20"/>
                <w:szCs w:val="20"/>
                <w14:ligatures w14:val="standardContextual"/>
              </w:rPr>
              <w:t xml:space="preserve">Our hospital </w:t>
            </w:r>
            <w:r w:rsidR="00AF75B5">
              <w:rPr>
                <w:rFonts w:ascii="Calibri" w:eastAsia="Calibri" w:hAnsi="Calibri" w:cs="Arial"/>
                <w:kern w:val="2"/>
                <w:sz w:val="20"/>
                <w:szCs w:val="20"/>
                <w14:ligatures w14:val="standardContextual"/>
              </w:rPr>
              <w:t xml:space="preserve">voluntarily works with </w:t>
            </w:r>
            <w:r w:rsidRPr="004E1329">
              <w:rPr>
                <w:rFonts w:ascii="Calibri" w:eastAsia="Calibri" w:hAnsi="Calibri" w:cs="Arial"/>
                <w:kern w:val="2"/>
                <w:sz w:val="20"/>
                <w:szCs w:val="20"/>
                <w14:ligatures w14:val="standardContextual"/>
              </w:rPr>
              <w:t>a Patient Safety Organization listed by the Agency for Healthcare Research and Quality (AHRQ)</w:t>
            </w:r>
            <w:r w:rsidR="00BD7456">
              <w:rPr>
                <w:rFonts w:ascii="Calibri" w:eastAsia="Calibri" w:hAnsi="Calibri" w:cs="Arial"/>
                <w:kern w:val="2"/>
                <w:sz w:val="20"/>
                <w:szCs w:val="20"/>
                <w14:ligatures w14:val="standardContextual"/>
              </w:rPr>
              <w:t xml:space="preserve"> </w:t>
            </w:r>
            <w:r w:rsidRPr="00BD7456" w:rsidR="00BD7456">
              <w:rPr>
                <w:rFonts w:ascii="Calibri" w:eastAsia="Calibri" w:hAnsi="Calibri" w:cs="Arial"/>
                <w:kern w:val="2"/>
                <w:sz w:val="20"/>
                <w:szCs w:val="20"/>
                <w14:ligatures w14:val="standardContextual"/>
              </w:rPr>
              <w:t>to carry out patient safety activities as described in 42 CFR 3.20, such as, but not limited to, the collection and analysis of patient safety work product, dissemination of information such as best practices, encouraging a culture of safety, or activities related to the operation of a patient safety evaluation system.</w:t>
            </w:r>
          </w:p>
        </w:tc>
        <w:tc>
          <w:tcPr>
            <w:tcW w:w="1164" w:type="dxa"/>
          </w:tcPr>
          <w:p w:rsidR="00B80763" w:rsidRPr="004E1329" w:rsidP="00B80763" w14:paraId="348EF5CD" w14:textId="77777777">
            <w:pPr>
              <w:rPr>
                <w:b/>
                <w:bCs/>
                <w:sz w:val="18"/>
                <w:szCs w:val="18"/>
              </w:rPr>
            </w:pPr>
          </w:p>
        </w:tc>
        <w:tc>
          <w:tcPr>
            <w:tcW w:w="965" w:type="dxa"/>
          </w:tcPr>
          <w:p w:rsidR="00B80763" w:rsidRPr="004E1329" w:rsidP="00B80763" w14:paraId="5407FB89" w14:textId="0CCD219B">
            <w:pPr>
              <w:rPr>
                <w:b/>
                <w:bCs/>
                <w:sz w:val="18"/>
                <w:szCs w:val="18"/>
              </w:rPr>
            </w:pPr>
          </w:p>
        </w:tc>
        <w:tc>
          <w:tcPr>
            <w:tcW w:w="1159" w:type="dxa"/>
            <w:shd w:val="clear" w:color="auto" w:fill="000000" w:themeFill="text1"/>
          </w:tcPr>
          <w:p w:rsidR="00B80763" w:rsidRPr="004E1329" w:rsidP="00B80763" w14:paraId="5B08A69B" w14:textId="77777777">
            <w:pPr>
              <w:rPr>
                <w:b/>
                <w:bCs/>
                <w:sz w:val="18"/>
                <w:szCs w:val="18"/>
              </w:rPr>
            </w:pPr>
          </w:p>
        </w:tc>
      </w:tr>
      <w:tr w14:paraId="0F04578E" w14:textId="75EC7A1F" w:rsidTr="009747AA">
        <w:tblPrEx>
          <w:tblW w:w="11430" w:type="dxa"/>
          <w:tblInd w:w="-545" w:type="dxa"/>
          <w:tblLook w:val="04A0"/>
        </w:tblPrEx>
        <w:tc>
          <w:tcPr>
            <w:tcW w:w="764" w:type="dxa"/>
          </w:tcPr>
          <w:p w:rsidR="00B80763" w:rsidRPr="004E1329" w:rsidP="00B80763" w14:paraId="4DEB631F" w14:textId="3A3894E5">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*D4-C</w:t>
            </w:r>
          </w:p>
        </w:tc>
        <w:tc>
          <w:tcPr>
            <w:tcW w:w="7378" w:type="dxa"/>
          </w:tcPr>
          <w:p w:rsidR="00B80763" w:rsidRPr="004E1329" w:rsidP="00B80763" w14:paraId="5BBD7A29" w14:textId="64F53B9D">
            <w:pPr>
              <w:rPr>
                <w:b/>
                <w:bCs/>
                <w:sz w:val="20"/>
                <w:szCs w:val="20"/>
              </w:rPr>
            </w:pPr>
            <w:r w:rsidRPr="004E1329">
              <w:rPr>
                <w:rFonts w:ascii="Calibri" w:eastAsia="Calibri" w:hAnsi="Calibri" w:cs="Arial"/>
                <w:kern w:val="2"/>
                <w:sz w:val="20"/>
                <w:szCs w:val="20"/>
                <w14:ligatures w14:val="standardContextual"/>
              </w:rPr>
              <w:t>Patient safety metrics are tracked and reported to all clinical and non-clinical staff and made public in hospital units (for example, displayed on units so that staff, patients, families, and visitors can see).</w:t>
            </w:r>
          </w:p>
        </w:tc>
        <w:tc>
          <w:tcPr>
            <w:tcW w:w="1164" w:type="dxa"/>
          </w:tcPr>
          <w:p w:rsidR="00B80763" w:rsidRPr="004E1329" w:rsidP="00B80763" w14:paraId="5AC03644" w14:textId="77777777">
            <w:pPr>
              <w:rPr>
                <w:b/>
                <w:bCs/>
                <w:sz w:val="18"/>
                <w:szCs w:val="18"/>
              </w:rPr>
            </w:pPr>
          </w:p>
        </w:tc>
        <w:tc>
          <w:tcPr>
            <w:tcW w:w="965" w:type="dxa"/>
          </w:tcPr>
          <w:p w:rsidR="00B80763" w:rsidRPr="004E1329" w:rsidP="00B80763" w14:paraId="41AA84FF" w14:textId="14389BDD">
            <w:pPr>
              <w:rPr>
                <w:b/>
                <w:bCs/>
                <w:sz w:val="18"/>
                <w:szCs w:val="18"/>
              </w:rPr>
            </w:pPr>
          </w:p>
        </w:tc>
        <w:tc>
          <w:tcPr>
            <w:tcW w:w="1159" w:type="dxa"/>
            <w:shd w:val="clear" w:color="auto" w:fill="000000" w:themeFill="text1"/>
          </w:tcPr>
          <w:p w:rsidR="00B80763" w:rsidRPr="004E1329" w:rsidP="00B80763" w14:paraId="0C15F419" w14:textId="77777777">
            <w:pPr>
              <w:rPr>
                <w:b/>
                <w:bCs/>
                <w:sz w:val="18"/>
                <w:szCs w:val="18"/>
              </w:rPr>
            </w:pPr>
          </w:p>
        </w:tc>
      </w:tr>
      <w:tr w14:paraId="16139909" w14:textId="414207DF" w:rsidTr="009747AA">
        <w:tblPrEx>
          <w:tblW w:w="11430" w:type="dxa"/>
          <w:tblInd w:w="-545" w:type="dxa"/>
          <w:tblLook w:val="04A0"/>
        </w:tblPrEx>
        <w:tc>
          <w:tcPr>
            <w:tcW w:w="764" w:type="dxa"/>
          </w:tcPr>
          <w:p w:rsidR="00B80763" w:rsidRPr="004E1329" w:rsidP="00B80763" w14:paraId="10026AD7" w14:textId="608B36E0">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*D4-D</w:t>
            </w:r>
          </w:p>
        </w:tc>
        <w:tc>
          <w:tcPr>
            <w:tcW w:w="7378" w:type="dxa"/>
          </w:tcPr>
          <w:p w:rsidR="00B80763" w:rsidRPr="004E1329" w:rsidP="00B80763" w14:paraId="269410A7" w14:textId="7B7896A8">
            <w:p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Our hospital has a defined, evidence-based communication and resolution program reliably implemented after harm events, such as AHRQ's Communication and Optimal Resolution (CANDOR) toolkit, that contains the following elements:</w:t>
            </w:r>
          </w:p>
          <w:p w:rsidR="00B80763" w:rsidRPr="004E1329" w:rsidP="00B80763" w14:paraId="194F9EAD"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Harm event identification</w:t>
            </w:r>
          </w:p>
          <w:p w:rsidR="00B80763" w:rsidRPr="004E1329" w:rsidP="00B80763" w14:paraId="1E871BAE"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 xml:space="preserve">Open and ongoing communication with patients and families about the </w:t>
            </w:r>
            <w:r w:rsidRPr="004E1329">
              <w:rPr>
                <w:rFonts w:ascii="Calibri" w:eastAsia="Calibri" w:hAnsi="Calibri" w:cs="Arial"/>
                <w:kern w:val="2"/>
                <w:sz w:val="20"/>
                <w:szCs w:val="20"/>
                <w14:ligatures w14:val="standardContextual"/>
              </w:rPr>
              <w:t>harm</w:t>
            </w:r>
            <w:r w:rsidRPr="004E1329">
              <w:rPr>
                <w:rFonts w:ascii="Calibri" w:eastAsia="Calibri" w:hAnsi="Calibri" w:cs="Arial"/>
                <w:kern w:val="2"/>
                <w:sz w:val="20"/>
                <w:szCs w:val="20"/>
                <w14:ligatures w14:val="standardContextual"/>
              </w:rPr>
              <w:t xml:space="preserve"> event</w:t>
            </w:r>
          </w:p>
          <w:p w:rsidR="00B80763" w:rsidRPr="004E1329" w:rsidP="00B80763" w14:paraId="403DAAF7"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Event investigation, prevention, and learning</w:t>
            </w:r>
          </w:p>
          <w:p w:rsidR="00B80763" w:rsidRPr="004E1329" w:rsidP="00B80763" w14:paraId="18D4ADE2"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Care-for-the-caregiver</w:t>
            </w:r>
          </w:p>
          <w:p w:rsidR="00B80763" w:rsidRPr="004E1329" w:rsidP="00B80763" w14:paraId="321F7D03"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Financial and non-financial reconciliation</w:t>
            </w:r>
          </w:p>
          <w:p w:rsidR="00B80763" w:rsidRPr="00622A89" w:rsidP="00622A89" w14:paraId="152A628E" w14:textId="4F5F0272">
            <w:pPr>
              <w:pStyle w:val="ListParagraph"/>
              <w:numPr>
                <w:ilvl w:val="0"/>
                <w:numId w:val="3"/>
              </w:numPr>
              <w:rPr>
                <w:b/>
                <w:bCs/>
                <w:sz w:val="20"/>
                <w:szCs w:val="20"/>
              </w:rPr>
            </w:pPr>
            <w:r w:rsidRPr="00622A89">
              <w:rPr>
                <w:rFonts w:ascii="Calibri" w:eastAsia="Calibri" w:hAnsi="Calibri" w:cs="Arial"/>
                <w:kern w:val="2"/>
                <w:sz w:val="20"/>
                <w:szCs w:val="20"/>
                <w14:ligatures w14:val="standardContextual"/>
              </w:rPr>
              <w:t>Patient-family engagement and on-going support</w:t>
            </w:r>
          </w:p>
        </w:tc>
        <w:tc>
          <w:tcPr>
            <w:tcW w:w="1164" w:type="dxa"/>
          </w:tcPr>
          <w:p w:rsidR="00B80763" w:rsidRPr="004E1329" w:rsidP="00B80763" w14:paraId="05A08602" w14:textId="77777777">
            <w:pPr>
              <w:rPr>
                <w:b/>
                <w:bCs/>
                <w:sz w:val="18"/>
                <w:szCs w:val="18"/>
              </w:rPr>
            </w:pPr>
          </w:p>
        </w:tc>
        <w:tc>
          <w:tcPr>
            <w:tcW w:w="965" w:type="dxa"/>
          </w:tcPr>
          <w:p w:rsidR="00B80763" w:rsidRPr="004E1329" w:rsidP="00B80763" w14:paraId="53F1AA22" w14:textId="0CAA8AEE">
            <w:pPr>
              <w:rPr>
                <w:b/>
                <w:bCs/>
                <w:sz w:val="18"/>
                <w:szCs w:val="18"/>
              </w:rPr>
            </w:pPr>
          </w:p>
        </w:tc>
        <w:tc>
          <w:tcPr>
            <w:tcW w:w="1159" w:type="dxa"/>
            <w:shd w:val="clear" w:color="auto" w:fill="000000" w:themeFill="text1"/>
          </w:tcPr>
          <w:p w:rsidR="00B80763" w:rsidRPr="004E1329" w:rsidP="00B80763" w14:paraId="1D34D6F9" w14:textId="77777777">
            <w:pPr>
              <w:rPr>
                <w:b/>
                <w:bCs/>
                <w:sz w:val="18"/>
                <w:szCs w:val="18"/>
              </w:rPr>
            </w:pPr>
          </w:p>
        </w:tc>
      </w:tr>
      <w:tr w14:paraId="5A1674D8" w14:textId="0F27C396" w:rsidTr="009747AA">
        <w:tblPrEx>
          <w:tblW w:w="11430" w:type="dxa"/>
          <w:tblInd w:w="-545" w:type="dxa"/>
          <w:tblLook w:val="04A0"/>
        </w:tblPrEx>
        <w:tc>
          <w:tcPr>
            <w:tcW w:w="764" w:type="dxa"/>
            <w:tcBorders>
              <w:bottom w:val="single" w:sz="4" w:space="0" w:color="auto"/>
            </w:tcBorders>
          </w:tcPr>
          <w:p w:rsidR="00B80763" w:rsidRPr="004E1329" w:rsidP="00B80763" w14:paraId="10970765" w14:textId="3CE855B0">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*D4-E</w:t>
            </w:r>
          </w:p>
        </w:tc>
        <w:tc>
          <w:tcPr>
            <w:tcW w:w="7378" w:type="dxa"/>
            <w:tcBorders>
              <w:bottom w:val="single" w:sz="4" w:space="0" w:color="auto"/>
            </w:tcBorders>
          </w:tcPr>
          <w:p w:rsidR="00B80763" w:rsidRPr="004E1329" w:rsidP="00B80763" w14:paraId="57BBC8E2" w14:textId="1E3CC93B">
            <w:pPr>
              <w:rPr>
                <w:b/>
                <w:bCs/>
                <w:sz w:val="20"/>
                <w:szCs w:val="20"/>
              </w:rPr>
            </w:pPr>
            <w:r w:rsidRPr="004E1329">
              <w:rPr>
                <w:rFonts w:ascii="Calibri" w:eastAsia="Calibri" w:hAnsi="Calibri" w:cs="Arial"/>
                <w:kern w:val="2"/>
                <w:sz w:val="20"/>
                <w:szCs w:val="20"/>
                <w14:ligatures w14:val="standardContextual"/>
              </w:rPr>
              <w:t>Our hospital uses standard measures to track the performance of our communication and resolution program and reports these measures to the governing board at least quarterly.</w:t>
            </w:r>
          </w:p>
        </w:tc>
        <w:tc>
          <w:tcPr>
            <w:tcW w:w="1164" w:type="dxa"/>
          </w:tcPr>
          <w:p w:rsidR="00B80763" w:rsidRPr="004E1329" w:rsidP="00B80763" w14:paraId="5E5F9F5C" w14:textId="77777777">
            <w:pPr>
              <w:rPr>
                <w:b/>
                <w:bCs/>
                <w:sz w:val="18"/>
                <w:szCs w:val="18"/>
              </w:rPr>
            </w:pPr>
          </w:p>
        </w:tc>
        <w:tc>
          <w:tcPr>
            <w:tcW w:w="965" w:type="dxa"/>
          </w:tcPr>
          <w:p w:rsidR="00B80763" w:rsidRPr="004E1329" w:rsidP="00B80763" w14:paraId="2D583C42" w14:textId="31C49A49">
            <w:pPr>
              <w:rPr>
                <w:b/>
                <w:bCs/>
                <w:sz w:val="18"/>
                <w:szCs w:val="18"/>
              </w:rPr>
            </w:pPr>
          </w:p>
        </w:tc>
        <w:tc>
          <w:tcPr>
            <w:tcW w:w="1159" w:type="dxa"/>
            <w:shd w:val="clear" w:color="auto" w:fill="000000" w:themeFill="text1"/>
          </w:tcPr>
          <w:p w:rsidR="00B80763" w:rsidRPr="004E1329" w:rsidP="00B80763" w14:paraId="0386FCA8" w14:textId="77777777">
            <w:pPr>
              <w:rPr>
                <w:b/>
                <w:bCs/>
                <w:sz w:val="18"/>
                <w:szCs w:val="18"/>
              </w:rPr>
            </w:pPr>
          </w:p>
        </w:tc>
      </w:tr>
      <w:tr w14:paraId="04F9C099" w14:textId="6C975E1E" w:rsidTr="009747AA">
        <w:tblPrEx>
          <w:tblW w:w="11430" w:type="dxa"/>
          <w:tblInd w:w="-545" w:type="dxa"/>
          <w:tblLook w:val="04A0"/>
        </w:tblPrEx>
        <w:trPr>
          <w:trHeight w:val="242"/>
        </w:trPr>
        <w:tc>
          <w:tcPr>
            <w:tcW w:w="8142" w:type="dxa"/>
            <w:gridSpan w:val="2"/>
            <w:tcBorders>
              <w:top w:val="single" w:sz="4" w:space="0" w:color="auto"/>
              <w:left w:val="single" w:sz="4" w:space="0" w:color="auto"/>
            </w:tcBorders>
            <w:shd w:val="clear" w:color="auto" w:fill="D9E2F3" w:themeFill="accent1" w:themeFillTint="33"/>
          </w:tcPr>
          <w:p w:rsidR="00762D5C" w:rsidRPr="00762D5C" w:rsidP="00762D5C" w14:paraId="2DC8A1F3" w14:textId="049EA7B8">
            <w:pPr>
              <w:rPr>
                <w:b/>
                <w:bCs/>
                <w:sz w:val="20"/>
                <w:szCs w:val="20"/>
              </w:rPr>
            </w:pPr>
            <w:r w:rsidRPr="00762D5C">
              <w:rPr>
                <w:rFonts w:ascii="Calibri" w:eastAsia="Calibri" w:hAnsi="Calibri" w:cs="Arial"/>
                <w:b/>
                <w:bCs/>
                <w:kern w:val="2"/>
                <w:sz w:val="20"/>
                <w:szCs w:val="20"/>
                <w14:ligatures w14:val="standardContextual"/>
              </w:rPr>
              <w:t>Domain 5: Patient &amp; Family Engagement</w:t>
            </w:r>
          </w:p>
        </w:tc>
        <w:tc>
          <w:tcPr>
            <w:tcW w:w="1164" w:type="dxa"/>
            <w:shd w:val="clear" w:color="auto" w:fill="D9E2F3" w:themeFill="accent1" w:themeFillTint="33"/>
          </w:tcPr>
          <w:p w:rsidR="00762D5C" w:rsidRPr="009747AA" w:rsidP="00762D5C" w14:paraId="177505ED" w14:textId="76EC8CCF">
            <w:pPr>
              <w:jc w:val="center"/>
              <w:rPr>
                <w:b/>
                <w:bCs/>
                <w:sz w:val="20"/>
                <w:szCs w:val="20"/>
              </w:rPr>
            </w:pPr>
            <w:r w:rsidRPr="009747AA">
              <w:rPr>
                <w:b/>
                <w:bCs/>
                <w:sz w:val="20"/>
                <w:szCs w:val="20"/>
              </w:rPr>
              <w:t>YES</w:t>
            </w:r>
          </w:p>
        </w:tc>
        <w:tc>
          <w:tcPr>
            <w:tcW w:w="965" w:type="dxa"/>
            <w:shd w:val="clear" w:color="auto" w:fill="D9E2F3" w:themeFill="accent1" w:themeFillTint="33"/>
          </w:tcPr>
          <w:p w:rsidR="00762D5C" w:rsidRPr="009747AA" w:rsidP="00762D5C" w14:paraId="5D157BFB" w14:textId="55E25F86">
            <w:pPr>
              <w:jc w:val="center"/>
              <w:rPr>
                <w:b/>
                <w:bCs/>
                <w:sz w:val="20"/>
                <w:szCs w:val="20"/>
              </w:rPr>
            </w:pPr>
            <w:r w:rsidRPr="009747AA">
              <w:rPr>
                <w:b/>
                <w:bCs/>
                <w:sz w:val="20"/>
                <w:szCs w:val="20"/>
              </w:rPr>
              <w:t>NO</w:t>
            </w:r>
          </w:p>
        </w:tc>
        <w:tc>
          <w:tcPr>
            <w:tcW w:w="1159" w:type="dxa"/>
            <w:shd w:val="clear" w:color="auto" w:fill="D9E2F3" w:themeFill="accent1" w:themeFillTint="33"/>
          </w:tcPr>
          <w:p w:rsidR="00762D5C" w:rsidRPr="004E1329" w:rsidP="00B80763" w14:paraId="0602A1BC" w14:textId="77777777">
            <w:pPr>
              <w:jc w:val="center"/>
              <w:rPr>
                <w:b/>
                <w:bCs/>
                <w:sz w:val="18"/>
                <w:szCs w:val="18"/>
              </w:rPr>
            </w:pPr>
          </w:p>
        </w:tc>
      </w:tr>
      <w:tr w14:paraId="74D92FCC" w14:textId="0401D207" w:rsidTr="009747AA">
        <w:tblPrEx>
          <w:tblW w:w="11430" w:type="dxa"/>
          <w:tblInd w:w="-545" w:type="dxa"/>
          <w:tblLook w:val="04A0"/>
        </w:tblPrEx>
        <w:tc>
          <w:tcPr>
            <w:tcW w:w="764" w:type="dxa"/>
            <w:tcBorders>
              <w:top w:val="single" w:sz="4" w:space="0" w:color="auto"/>
            </w:tcBorders>
          </w:tcPr>
          <w:p w:rsidR="00B80763" w:rsidRPr="004E1329" w:rsidP="00B80763" w14:paraId="3B8BADAB" w14:textId="0E2BE00E">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*D5-A</w:t>
            </w:r>
          </w:p>
        </w:tc>
        <w:tc>
          <w:tcPr>
            <w:tcW w:w="7378" w:type="dxa"/>
            <w:tcBorders>
              <w:top w:val="single" w:sz="4" w:space="0" w:color="auto"/>
            </w:tcBorders>
          </w:tcPr>
          <w:p w:rsidR="00B80763" w:rsidRPr="004E1329" w:rsidP="00B80763" w14:paraId="1F1B4956" w14:textId="1A46006C">
            <w:pPr>
              <w:rPr>
                <w:b/>
                <w:bCs/>
                <w:sz w:val="20"/>
                <w:szCs w:val="20"/>
              </w:rPr>
            </w:pPr>
            <w:r w:rsidRPr="004E1329">
              <w:rPr>
                <w:rFonts w:ascii="Calibri" w:eastAsia="Calibri" w:hAnsi="Calibri" w:cs="Arial"/>
                <w:kern w:val="2"/>
                <w:sz w:val="20"/>
                <w:szCs w:val="20"/>
                <w14:ligatures w14:val="standardContextual"/>
              </w:rPr>
              <w:t xml:space="preserve">Our hospital has a Patient and Family Advisory Council that ensures patient, family, caregiver, and community input to safety related activities, including representation at board meetings, consultation on safety </w:t>
            </w:r>
            <w:r w:rsidRPr="004E1329">
              <w:rPr>
                <w:rFonts w:ascii="Calibri" w:eastAsia="Calibri" w:hAnsi="Calibri" w:cs="Arial"/>
                <w:kern w:val="2"/>
                <w:sz w:val="20"/>
                <w:szCs w:val="20"/>
                <w14:ligatures w14:val="standardContextual"/>
              </w:rPr>
              <w:t>goal-setting</w:t>
            </w:r>
            <w:r w:rsidRPr="004E1329">
              <w:rPr>
                <w:rFonts w:ascii="Calibri" w:eastAsia="Calibri" w:hAnsi="Calibri" w:cs="Arial"/>
                <w:kern w:val="2"/>
                <w:sz w:val="20"/>
                <w:szCs w:val="20"/>
                <w14:ligatures w14:val="standardContextual"/>
              </w:rPr>
              <w:t xml:space="preserve"> and metrics, and participation in safety improvement initiatives.</w:t>
            </w:r>
          </w:p>
        </w:tc>
        <w:tc>
          <w:tcPr>
            <w:tcW w:w="1164" w:type="dxa"/>
            <w:tcBorders>
              <w:top w:val="single" w:sz="4" w:space="0" w:color="auto"/>
            </w:tcBorders>
          </w:tcPr>
          <w:p w:rsidR="00B80763" w:rsidRPr="004E1329" w:rsidP="00B80763" w14:paraId="48CF73B8" w14:textId="77777777">
            <w:pPr>
              <w:rPr>
                <w:b/>
                <w:bCs/>
                <w:sz w:val="18"/>
                <w:szCs w:val="18"/>
              </w:rPr>
            </w:pPr>
          </w:p>
        </w:tc>
        <w:tc>
          <w:tcPr>
            <w:tcW w:w="965" w:type="dxa"/>
            <w:tcBorders>
              <w:top w:val="single" w:sz="4" w:space="0" w:color="auto"/>
            </w:tcBorders>
          </w:tcPr>
          <w:p w:rsidR="00B80763" w:rsidRPr="004E1329" w:rsidP="00B80763" w14:paraId="5A334BC8" w14:textId="6B0563B8">
            <w:pPr>
              <w:rPr>
                <w:b/>
                <w:bCs/>
                <w:sz w:val="18"/>
                <w:szCs w:val="18"/>
              </w:rPr>
            </w:pPr>
          </w:p>
        </w:tc>
        <w:tc>
          <w:tcPr>
            <w:tcW w:w="1159" w:type="dxa"/>
            <w:tcBorders>
              <w:top w:val="single" w:sz="4" w:space="0" w:color="auto"/>
            </w:tcBorders>
            <w:shd w:val="clear" w:color="auto" w:fill="000000" w:themeFill="text1"/>
          </w:tcPr>
          <w:p w:rsidR="00B80763" w:rsidRPr="004E1329" w:rsidP="00B80763" w14:paraId="54E306A5" w14:textId="77777777">
            <w:pPr>
              <w:rPr>
                <w:b/>
                <w:bCs/>
                <w:sz w:val="18"/>
                <w:szCs w:val="18"/>
              </w:rPr>
            </w:pPr>
          </w:p>
        </w:tc>
      </w:tr>
      <w:tr w14:paraId="6882C8B4" w14:textId="2482D94F" w:rsidTr="009747AA">
        <w:tblPrEx>
          <w:tblW w:w="11430" w:type="dxa"/>
          <w:tblInd w:w="-545" w:type="dxa"/>
          <w:tblLook w:val="04A0"/>
        </w:tblPrEx>
        <w:tc>
          <w:tcPr>
            <w:tcW w:w="764" w:type="dxa"/>
          </w:tcPr>
          <w:p w:rsidR="00B80763" w:rsidRPr="004E1329" w:rsidP="00B80763" w14:paraId="3FA94297" w14:textId="48B9C9AC">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*D5-B</w:t>
            </w:r>
          </w:p>
        </w:tc>
        <w:tc>
          <w:tcPr>
            <w:tcW w:w="7378" w:type="dxa"/>
          </w:tcPr>
          <w:p w:rsidR="00B80763" w:rsidRPr="004E1329" w:rsidP="00B80763" w14:paraId="691F1558" w14:textId="0B9FD2A1">
            <w:pPr>
              <w:rPr>
                <w:b/>
                <w:bCs/>
                <w:sz w:val="20"/>
                <w:szCs w:val="20"/>
              </w:rPr>
            </w:pPr>
            <w:r w:rsidRPr="004E1329">
              <w:rPr>
                <w:rFonts w:ascii="Calibri" w:eastAsia="Calibri" w:hAnsi="Calibri" w:cs="Arial"/>
                <w:kern w:val="2"/>
                <w:sz w:val="20"/>
                <w:szCs w:val="20"/>
                <w14:ligatures w14:val="standardContextual"/>
              </w:rPr>
              <w:t>Our hospital's Patient and Family Advisory Council includes patients and caregivers of patients who are representative of the patient population.</w:t>
            </w:r>
          </w:p>
        </w:tc>
        <w:tc>
          <w:tcPr>
            <w:tcW w:w="1164" w:type="dxa"/>
          </w:tcPr>
          <w:p w:rsidR="00B80763" w:rsidRPr="004E1329" w:rsidP="00B80763" w14:paraId="696E9AA8" w14:textId="77777777">
            <w:pPr>
              <w:rPr>
                <w:b/>
                <w:bCs/>
                <w:sz w:val="18"/>
                <w:szCs w:val="18"/>
              </w:rPr>
            </w:pPr>
          </w:p>
        </w:tc>
        <w:tc>
          <w:tcPr>
            <w:tcW w:w="965" w:type="dxa"/>
          </w:tcPr>
          <w:p w:rsidR="00B80763" w:rsidRPr="004E1329" w:rsidP="00B80763" w14:paraId="506860CC" w14:textId="47642F12">
            <w:pPr>
              <w:rPr>
                <w:b/>
                <w:bCs/>
                <w:sz w:val="18"/>
                <w:szCs w:val="18"/>
              </w:rPr>
            </w:pPr>
          </w:p>
        </w:tc>
        <w:tc>
          <w:tcPr>
            <w:tcW w:w="1159" w:type="dxa"/>
            <w:shd w:val="clear" w:color="auto" w:fill="000000" w:themeFill="text1"/>
          </w:tcPr>
          <w:p w:rsidR="00B80763" w:rsidRPr="004E1329" w:rsidP="00B80763" w14:paraId="4AD77EB8" w14:textId="77777777">
            <w:pPr>
              <w:rPr>
                <w:b/>
                <w:bCs/>
                <w:sz w:val="18"/>
                <w:szCs w:val="18"/>
              </w:rPr>
            </w:pPr>
          </w:p>
        </w:tc>
      </w:tr>
      <w:tr w14:paraId="3FB1A5B2" w14:textId="48253C93" w:rsidTr="009747AA">
        <w:tblPrEx>
          <w:tblW w:w="11430" w:type="dxa"/>
          <w:tblInd w:w="-545" w:type="dxa"/>
          <w:tblLook w:val="04A0"/>
        </w:tblPrEx>
        <w:tc>
          <w:tcPr>
            <w:tcW w:w="764" w:type="dxa"/>
          </w:tcPr>
          <w:p w:rsidR="00B80763" w:rsidRPr="004E1329" w:rsidP="00B80763" w14:paraId="1A14CCB4" w14:textId="6CF48088">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*D5-C</w:t>
            </w:r>
          </w:p>
        </w:tc>
        <w:tc>
          <w:tcPr>
            <w:tcW w:w="7378" w:type="dxa"/>
          </w:tcPr>
          <w:p w:rsidR="00B80763" w:rsidRPr="004E1329" w:rsidP="00B80763" w14:paraId="64CDA14B" w14:textId="6713F4A2">
            <w:pPr>
              <w:rPr>
                <w:b/>
                <w:bCs/>
                <w:sz w:val="20"/>
                <w:szCs w:val="20"/>
              </w:rPr>
            </w:pPr>
            <w:r w:rsidRPr="004E1329">
              <w:rPr>
                <w:rFonts w:ascii="Calibri" w:eastAsia="Calibri" w:hAnsi="Calibri" w:cs="Arial"/>
                <w:kern w:val="2"/>
                <w:sz w:val="20"/>
                <w:szCs w:val="20"/>
                <w14:ligatures w14:val="standardContextual"/>
              </w:rPr>
              <w:t>Patients have comprehensive access to and are encouraged to view their own medical records and clinician notes via patient portals and other options, and the hospital provides support to help patients interpret information that is appropriate</w:t>
            </w:r>
            <w:r w:rsidR="00264E21">
              <w:rPr>
                <w:rFonts w:ascii="Calibri" w:eastAsia="Calibri" w:hAnsi="Calibri" w:cs="Arial"/>
                <w:kern w:val="2"/>
                <w:sz w:val="20"/>
                <w:szCs w:val="20"/>
                <w14:ligatures w14:val="standardContextual"/>
              </w:rPr>
              <w:t>,</w:t>
            </w:r>
            <w:r w:rsidRPr="004E1329">
              <w:rPr>
                <w:rFonts w:ascii="Calibri" w:eastAsia="Calibri" w:hAnsi="Calibri" w:cs="Arial"/>
                <w:kern w:val="2"/>
                <w:sz w:val="20"/>
                <w:szCs w:val="20"/>
                <w14:ligatures w14:val="standardContextual"/>
              </w:rPr>
              <w:t xml:space="preserve"> as well as submit comments for potential correction to their record.</w:t>
            </w:r>
          </w:p>
        </w:tc>
        <w:tc>
          <w:tcPr>
            <w:tcW w:w="1164" w:type="dxa"/>
          </w:tcPr>
          <w:p w:rsidR="00B80763" w:rsidRPr="004E1329" w:rsidP="00B80763" w14:paraId="2A26E5A4" w14:textId="77777777">
            <w:pPr>
              <w:rPr>
                <w:b/>
                <w:bCs/>
                <w:sz w:val="18"/>
                <w:szCs w:val="18"/>
              </w:rPr>
            </w:pPr>
          </w:p>
        </w:tc>
        <w:tc>
          <w:tcPr>
            <w:tcW w:w="965" w:type="dxa"/>
          </w:tcPr>
          <w:p w:rsidR="00B80763" w:rsidRPr="004E1329" w:rsidP="00B80763" w14:paraId="3BC96EE7" w14:textId="3562CB88">
            <w:pPr>
              <w:rPr>
                <w:b/>
                <w:bCs/>
                <w:sz w:val="18"/>
                <w:szCs w:val="18"/>
              </w:rPr>
            </w:pPr>
          </w:p>
        </w:tc>
        <w:tc>
          <w:tcPr>
            <w:tcW w:w="1159" w:type="dxa"/>
            <w:shd w:val="clear" w:color="auto" w:fill="000000" w:themeFill="text1"/>
          </w:tcPr>
          <w:p w:rsidR="00B80763" w:rsidRPr="004E1329" w:rsidP="00B80763" w14:paraId="5791A42D" w14:textId="77777777">
            <w:pPr>
              <w:rPr>
                <w:b/>
                <w:bCs/>
                <w:sz w:val="18"/>
                <w:szCs w:val="18"/>
              </w:rPr>
            </w:pPr>
          </w:p>
        </w:tc>
      </w:tr>
      <w:tr w14:paraId="3524AE12" w14:textId="095424D9" w:rsidTr="009747AA">
        <w:tblPrEx>
          <w:tblW w:w="11430" w:type="dxa"/>
          <w:tblInd w:w="-545" w:type="dxa"/>
          <w:tblLook w:val="04A0"/>
        </w:tblPrEx>
        <w:tc>
          <w:tcPr>
            <w:tcW w:w="764" w:type="dxa"/>
          </w:tcPr>
          <w:p w:rsidR="00B80763" w:rsidRPr="004E1329" w:rsidP="00B80763" w14:paraId="4648C25F" w14:textId="758B18CD">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*D5-D</w:t>
            </w:r>
          </w:p>
        </w:tc>
        <w:tc>
          <w:tcPr>
            <w:tcW w:w="7378" w:type="dxa"/>
          </w:tcPr>
          <w:p w:rsidR="00B80763" w:rsidRPr="004E1329" w:rsidP="00B80763" w14:paraId="1FFC826F" w14:textId="6FF199D6">
            <w:pPr>
              <w:rPr>
                <w:b/>
                <w:bCs/>
                <w:sz w:val="20"/>
                <w:szCs w:val="20"/>
              </w:rPr>
            </w:pPr>
            <w:r w:rsidRPr="004E1329">
              <w:rPr>
                <w:rFonts w:ascii="Calibri" w:eastAsia="Calibri" w:hAnsi="Calibri" w:cs="Arial"/>
                <w:kern w:val="2"/>
                <w:sz w:val="20"/>
                <w:szCs w:val="20"/>
                <w14:ligatures w14:val="standardContextual"/>
              </w:rPr>
              <w:t>Our hospital incorporates patient and caregiver input about patient safety events or issues (such as patient submission of safety events, safety signals from patient complaints or other patient safety experience data).</w:t>
            </w:r>
          </w:p>
        </w:tc>
        <w:tc>
          <w:tcPr>
            <w:tcW w:w="1164" w:type="dxa"/>
          </w:tcPr>
          <w:p w:rsidR="00B80763" w:rsidRPr="004E1329" w:rsidP="00B80763" w14:paraId="07974CA6" w14:textId="77777777">
            <w:pPr>
              <w:rPr>
                <w:b/>
                <w:bCs/>
                <w:sz w:val="18"/>
                <w:szCs w:val="18"/>
              </w:rPr>
            </w:pPr>
          </w:p>
        </w:tc>
        <w:tc>
          <w:tcPr>
            <w:tcW w:w="965" w:type="dxa"/>
          </w:tcPr>
          <w:p w:rsidR="00B80763" w:rsidRPr="004E1329" w:rsidP="00B80763" w14:paraId="782851A4" w14:textId="4396B47F">
            <w:pPr>
              <w:rPr>
                <w:b/>
                <w:bCs/>
                <w:sz w:val="18"/>
                <w:szCs w:val="18"/>
              </w:rPr>
            </w:pPr>
          </w:p>
        </w:tc>
        <w:tc>
          <w:tcPr>
            <w:tcW w:w="1159" w:type="dxa"/>
            <w:shd w:val="clear" w:color="auto" w:fill="000000" w:themeFill="text1"/>
          </w:tcPr>
          <w:p w:rsidR="00B80763" w:rsidRPr="004E1329" w:rsidP="00B80763" w14:paraId="7C164BC8" w14:textId="77777777">
            <w:pPr>
              <w:rPr>
                <w:b/>
                <w:bCs/>
                <w:sz w:val="18"/>
                <w:szCs w:val="18"/>
              </w:rPr>
            </w:pPr>
          </w:p>
        </w:tc>
      </w:tr>
      <w:tr w14:paraId="2E8D213B" w14:textId="7E662546" w:rsidTr="009747AA">
        <w:tblPrEx>
          <w:tblW w:w="11430" w:type="dxa"/>
          <w:tblInd w:w="-545" w:type="dxa"/>
          <w:tblLook w:val="04A0"/>
        </w:tblPrEx>
        <w:tc>
          <w:tcPr>
            <w:tcW w:w="764" w:type="dxa"/>
          </w:tcPr>
          <w:p w:rsidR="00B80763" w:rsidRPr="004E1329" w:rsidP="00B80763" w14:paraId="46FD1123" w14:textId="57AB8C99">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*D5-E</w:t>
            </w:r>
          </w:p>
        </w:tc>
        <w:tc>
          <w:tcPr>
            <w:tcW w:w="7378" w:type="dxa"/>
          </w:tcPr>
          <w:p w:rsidR="00B80763" w:rsidRPr="004E1329" w:rsidP="00B80763" w14:paraId="5F7BE1AA" w14:textId="432EB813">
            <w:pPr>
              <w:rPr>
                <w:b/>
                <w:bCs/>
                <w:sz w:val="20"/>
                <w:szCs w:val="20"/>
              </w:rPr>
            </w:pPr>
            <w:r w:rsidRPr="004E1329">
              <w:rPr>
                <w:rFonts w:ascii="Calibri" w:eastAsia="Calibri" w:hAnsi="Calibri" w:cs="Arial"/>
                <w:kern w:val="2"/>
                <w:sz w:val="20"/>
                <w:szCs w:val="20"/>
                <w14:ligatures w14:val="standardContextual"/>
              </w:rPr>
              <w:t xml:space="preserve">Our hospital supports the presence of family and other designated </w:t>
            </w:r>
            <w:r w:rsidRPr="004E1329">
              <w:rPr>
                <w:rFonts w:ascii="Calibri" w:eastAsia="Calibri" w:hAnsi="Calibri" w:cs="Arial"/>
                <w:kern w:val="2"/>
                <w:sz w:val="20"/>
                <w:szCs w:val="20"/>
                <w14:ligatures w14:val="standardContextual"/>
              </w:rPr>
              <w:t>persons</w:t>
            </w:r>
            <w:r w:rsidRPr="004E1329">
              <w:rPr>
                <w:rFonts w:ascii="Calibri" w:eastAsia="Calibri" w:hAnsi="Calibri" w:cs="Arial"/>
                <w:kern w:val="2"/>
                <w:sz w:val="20"/>
                <w:szCs w:val="20"/>
                <w14:ligatures w14:val="standardContextual"/>
              </w:rPr>
              <w:t xml:space="preserve"> (as defined by the patient) as essential members of a safe care team and encourages engagement in activities such as bedside rounding and shift reporting, discharge planning, and visitation 24 hours a day, as feasible.</w:t>
            </w:r>
          </w:p>
        </w:tc>
        <w:tc>
          <w:tcPr>
            <w:tcW w:w="1164" w:type="dxa"/>
          </w:tcPr>
          <w:p w:rsidR="00B80763" w:rsidRPr="004E1329" w:rsidP="00B80763" w14:paraId="1ED3B85A" w14:textId="77777777">
            <w:pPr>
              <w:rPr>
                <w:b/>
                <w:bCs/>
                <w:sz w:val="18"/>
                <w:szCs w:val="18"/>
              </w:rPr>
            </w:pPr>
          </w:p>
        </w:tc>
        <w:tc>
          <w:tcPr>
            <w:tcW w:w="965" w:type="dxa"/>
          </w:tcPr>
          <w:p w:rsidR="00B80763" w:rsidRPr="004E1329" w:rsidP="00B80763" w14:paraId="7E993D99" w14:textId="60D9CE7F">
            <w:pPr>
              <w:rPr>
                <w:b/>
                <w:bCs/>
                <w:sz w:val="18"/>
                <w:szCs w:val="18"/>
              </w:rPr>
            </w:pPr>
          </w:p>
        </w:tc>
        <w:tc>
          <w:tcPr>
            <w:tcW w:w="1159" w:type="dxa"/>
            <w:shd w:val="clear" w:color="auto" w:fill="000000" w:themeFill="text1"/>
          </w:tcPr>
          <w:p w:rsidR="00B80763" w:rsidRPr="004E1329" w:rsidP="00B80763" w14:paraId="2FB0E4BE" w14:textId="77777777">
            <w:pPr>
              <w:rPr>
                <w:b/>
                <w:bCs/>
                <w:sz w:val="18"/>
                <w:szCs w:val="18"/>
              </w:rPr>
            </w:pPr>
          </w:p>
        </w:tc>
      </w:tr>
    </w:tbl>
    <w:p w:rsidR="00320C6C" w:rsidRPr="00CC5626" w:rsidP="00CC5626" w14:paraId="723B7457" w14:textId="62371461">
      <w:pPr>
        <w:rPr>
          <w:b/>
          <w:bCs/>
          <w:sz w:val="32"/>
          <w:szCs w:val="32"/>
        </w:rPr>
      </w:pPr>
      <w:r w:rsidRPr="00CC5626">
        <w:rPr>
          <w:b/>
          <w:bCs/>
          <w:sz w:val="32"/>
          <w:szCs w:val="32"/>
        </w:rPr>
        <w:t xml:space="preserve"> </w:t>
      </w:r>
    </w:p>
    <w:sectPr w:rsidSect="009E7C8F">
      <w:headerReference w:type="default" r:id="rId7"/>
      <w:footerReference w:type="default" r:id="rId8"/>
      <w:headerReference w:type="first" r:id="rId9"/>
      <w:footerReference w:type="first" r:id="rId10"/>
      <w:pgSz w:w="12240" w:h="15840"/>
      <w:pgMar w:top="1440" w:right="1152" w:bottom="144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10"/>
      <w:gridCol w:w="3310"/>
      <w:gridCol w:w="3310"/>
    </w:tblGrid>
    <w:tr w14:paraId="3C5D2F3C" w14:textId="77777777" w:rsidTr="69783C9E">
      <w:tblPrEx>
        <w:tblW w:w="0" w:type="auto"/>
        <w:tblLayout w:type="fixed"/>
        <w:tblLook w:val="06A0"/>
      </w:tblPrEx>
      <w:trPr>
        <w:trHeight w:val="300"/>
      </w:trPr>
      <w:tc>
        <w:tcPr>
          <w:tcW w:w="3310" w:type="dxa"/>
        </w:tcPr>
        <w:p w:rsidR="69783C9E" w:rsidP="69783C9E" w14:paraId="5270A891" w14:textId="1D4F3BE7">
          <w:pPr>
            <w:pStyle w:val="Header"/>
            <w:ind w:left="-115"/>
          </w:pPr>
        </w:p>
      </w:tc>
      <w:tc>
        <w:tcPr>
          <w:tcW w:w="3310" w:type="dxa"/>
        </w:tcPr>
        <w:p w:rsidR="69783C9E" w:rsidP="69783C9E" w14:paraId="4029375E" w14:textId="4980CCF4">
          <w:pPr>
            <w:pStyle w:val="Header"/>
            <w:jc w:val="center"/>
          </w:pPr>
        </w:p>
      </w:tc>
      <w:tc>
        <w:tcPr>
          <w:tcW w:w="3310" w:type="dxa"/>
        </w:tcPr>
        <w:p w:rsidR="69783C9E" w:rsidP="69783C9E" w14:paraId="1910D42F" w14:textId="1B10568C">
          <w:pPr>
            <w:pStyle w:val="Header"/>
            <w:ind w:right="-115"/>
            <w:jc w:val="right"/>
          </w:pPr>
        </w:p>
      </w:tc>
    </w:tr>
  </w:tbl>
  <w:p w:rsidR="69783C9E" w:rsidP="69783C9E" w14:paraId="53F2642E" w14:textId="6A0B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127" w:rsidRPr="00684127" w:rsidP="00684127" w14:paraId="1C6A4D39" w14:textId="22CB6708">
    <w:pPr>
      <w:spacing w:after="0" w:line="240" w:lineRule="auto"/>
      <w:contextualSpacing/>
      <w:rPr>
        <w:rFonts w:ascii="Times New Roman" w:hAnsi="Times New Roman" w:cs="Times New Roman"/>
        <w:sz w:val="13"/>
        <w:szCs w:val="13"/>
        <w:shd w:val="clear" w:color="auto" w:fill="FFFFFF"/>
      </w:rPr>
    </w:pPr>
    <w:r w:rsidRPr="00684127">
      <w:rPr>
        <w:rFonts w:ascii="Times New Roman" w:hAnsi="Times New Roman" w:cs="Times New Roman"/>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684127" w:rsidRPr="00684127" w:rsidP="00684127" w14:paraId="352136F5" w14:textId="77777777">
    <w:pPr>
      <w:spacing w:after="0" w:line="240" w:lineRule="auto"/>
      <w:contextualSpacing/>
      <w:rPr>
        <w:rFonts w:ascii="Times New Roman" w:hAnsi="Times New Roman" w:cs="Times New Roman"/>
        <w:sz w:val="13"/>
        <w:szCs w:val="13"/>
        <w:shd w:val="clear" w:color="auto" w:fill="FFFFFF"/>
      </w:rPr>
    </w:pPr>
  </w:p>
  <w:p w:rsidR="00684127" w:rsidRPr="00684127" w:rsidP="00684127" w14:paraId="56463822" w14:textId="0D25EE28">
    <w:pPr>
      <w:spacing w:after="0" w:line="240" w:lineRule="auto"/>
      <w:contextualSpacing/>
      <w:rPr>
        <w:rFonts w:ascii="Times New Roman" w:hAnsi="Times New Roman" w:cs="Times New Roman"/>
        <w:sz w:val="13"/>
        <w:szCs w:val="13"/>
        <w:shd w:val="clear" w:color="auto" w:fill="FFFFFF"/>
      </w:rPr>
    </w:pPr>
    <w:r w:rsidRPr="00684127">
      <w:rPr>
        <w:rFonts w:ascii="Times New Roman" w:hAnsi="Times New Roman" w:cs="Times New Roman"/>
        <w:sz w:val="13"/>
        <w:szCs w:val="13"/>
        <w:shd w:val="clear" w:color="auto" w:fill="FFFFFF"/>
      </w:rPr>
      <w:t xml:space="preserve">Public reporting burden of this collection of information is estimated to average </w:t>
    </w:r>
    <w:r>
      <w:rPr>
        <w:rFonts w:ascii="Times New Roman" w:hAnsi="Times New Roman" w:cs="Times New Roman"/>
        <w:sz w:val="13"/>
        <w:szCs w:val="13"/>
        <w:shd w:val="clear" w:color="auto" w:fill="FFFFFF"/>
      </w:rPr>
      <w:t>10</w:t>
    </w:r>
    <w:r w:rsidRPr="00684127">
      <w:rPr>
        <w:rFonts w:ascii="Times New Roman" w:hAnsi="Times New Roman" w:cs="Times New Roman"/>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684127">
      <w:rPr>
        <w:rFonts w:ascii="Times New Roman" w:hAnsi="Times New Roman" w:cs="Times New Roman"/>
        <w:color w:val="000000"/>
        <w:sz w:val="13"/>
        <w:szCs w:val="13"/>
        <w:shd w:val="clear" w:color="auto" w:fill="FFFFFF"/>
      </w:rPr>
      <w:t>MS H21-8</w:t>
    </w:r>
    <w:r w:rsidRPr="00684127">
      <w:rPr>
        <w:rFonts w:ascii="Times New Roman" w:hAnsi="Times New Roman" w:cs="Times New Roman"/>
        <w:sz w:val="13"/>
        <w:szCs w:val="13"/>
        <w:shd w:val="clear" w:color="auto" w:fill="FFFFFF"/>
      </w:rPr>
      <w:t>, Atlanta, GA 30333, ATTN:  PRA (0920-0666).</w:t>
    </w:r>
  </w:p>
  <w:p w:rsidR="00684127" w:rsidRPr="00684127" w:rsidP="00684127" w14:paraId="35F7185D" w14:textId="77777777">
    <w:pPr>
      <w:pStyle w:val="Footer"/>
      <w:rPr>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3298"/>
      <w:docPartObj>
        <w:docPartGallery w:val="Page Numbers (Top of Page)"/>
        <w:docPartUnique/>
      </w:docPartObj>
    </w:sdtPr>
    <w:sdtContent>
      <w:p w:rsidR="00320C6C" w:rsidP="00320C6C" w14:paraId="69E754A1"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7467B0" w:rsidP="00320C6C" w14:paraId="3C49CC7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sz w:val="16"/>
        <w:szCs w:val="16"/>
      </w:rPr>
    </w:sdtEndPr>
    <w:sdtContent>
      <w:p w:rsidR="00493250" w:rsidRPr="00493250" w:rsidP="00493250" w14:paraId="5AC1D708" w14:textId="73106B6F">
        <w:pPr>
          <w:spacing w:after="0"/>
          <w:rPr>
            <w:rFonts w:ascii="Times New Roman" w:hAnsi="Times New Roman" w:cs="Times New Roman"/>
            <w:sz w:val="16"/>
            <w:szCs w:val="16"/>
          </w:rPr>
        </w:pPr>
        <w:r w:rsidRPr="00684127">
          <w:rPr>
            <w:rFonts w:ascii="Calibri" w:eastAsia="Calibri" w:hAnsi="Calibri"/>
            <w:noProof/>
          </w:rPr>
          <w:drawing>
            <wp:anchor distT="0" distB="0" distL="114300" distR="114300" simplePos="0" relativeHeight="251658240" behindDoc="0" locked="0" layoutInCell="1" allowOverlap="1">
              <wp:simplePos x="0" y="0"/>
              <wp:positionH relativeFrom="column">
                <wp:posOffset>27473</wp:posOffset>
              </wp:positionH>
              <wp:positionV relativeFrom="paragraph">
                <wp:posOffset>-69574</wp:posOffset>
              </wp:positionV>
              <wp:extent cx="1377950" cy="482600"/>
              <wp:effectExtent l="0" t="0" r="0" b="0"/>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7950" cy="482600"/>
                      </a:xfrm>
                      <a:prstGeom prst="rect">
                        <a:avLst/>
                      </a:prstGeom>
                    </pic:spPr>
                  </pic:pic>
                </a:graphicData>
              </a:graphic>
            </wp:anchor>
          </w:drawing>
        </w:r>
        <w:r>
          <w:tab/>
        </w:r>
        <w:r>
          <w:tab/>
        </w:r>
        <w:r>
          <w:tab/>
        </w:r>
        <w:r>
          <w:tab/>
        </w:r>
        <w:r>
          <w:tab/>
        </w:r>
        <w:r>
          <w:tab/>
        </w:r>
        <w:r>
          <w:tab/>
        </w:r>
        <w:r>
          <w:tab/>
        </w:r>
        <w:r>
          <w:tab/>
        </w:r>
        <w:r>
          <w:tab/>
        </w:r>
        <w:r>
          <w:tab/>
        </w:r>
        <w:r>
          <w:tab/>
        </w:r>
        <w:r>
          <w:tab/>
          <w:t xml:space="preserve">         </w:t>
        </w:r>
        <w:r w:rsidRPr="00493250">
          <w:rPr>
            <w:rFonts w:ascii="Times New Roman" w:hAnsi="Times New Roman" w:cs="Times New Roman"/>
            <w:sz w:val="16"/>
            <w:szCs w:val="16"/>
          </w:rPr>
          <w:t>Form Approved</w:t>
        </w:r>
      </w:p>
      <w:p w:rsidR="00493250" w:rsidRPr="00493250" w:rsidP="00493250" w14:paraId="59633C0D" w14:textId="40455890">
        <w:pPr>
          <w:spacing w:after="0" w:line="240" w:lineRule="auto"/>
          <w:ind w:left="7344" w:firstLine="432"/>
          <w:contextualSpacing/>
          <w:rPr>
            <w:rFonts w:ascii="Times New Roman" w:hAnsi="Times New Roman" w:cs="Times New Roman"/>
            <w:sz w:val="16"/>
            <w:szCs w:val="16"/>
          </w:rPr>
        </w:pPr>
        <w:r>
          <w:rPr>
            <w:rFonts w:ascii="Times New Roman" w:hAnsi="Times New Roman" w:cs="Times New Roman"/>
            <w:sz w:val="16"/>
            <w:szCs w:val="16"/>
          </w:rPr>
          <w:t xml:space="preserve">   </w:t>
        </w:r>
        <w:r w:rsidRPr="00493250">
          <w:rPr>
            <w:rFonts w:ascii="Times New Roman" w:hAnsi="Times New Roman" w:cs="Times New Roman"/>
            <w:sz w:val="16"/>
            <w:szCs w:val="16"/>
          </w:rPr>
          <w:t>OMB No.</w:t>
        </w:r>
        <w:r>
          <w:rPr>
            <w:rFonts w:ascii="Times New Roman" w:hAnsi="Times New Roman" w:cs="Times New Roman"/>
            <w:sz w:val="16"/>
            <w:szCs w:val="16"/>
          </w:rPr>
          <w:t xml:space="preserve"> 0920-0666</w:t>
        </w:r>
      </w:p>
      <w:p w:rsidR="00493250" w:rsidRPr="00493250" w:rsidP="00493250" w14:paraId="4F039903" w14:textId="68F9B5DE">
        <w:pPr>
          <w:spacing w:after="0" w:line="240" w:lineRule="auto"/>
          <w:ind w:left="7344" w:firstLine="432"/>
          <w:contextualSpacing/>
          <w:rPr>
            <w:rFonts w:ascii="Times New Roman" w:hAnsi="Times New Roman" w:cs="Times New Roman"/>
            <w:b/>
            <w:bCs/>
            <w:sz w:val="16"/>
            <w:szCs w:val="16"/>
          </w:rPr>
        </w:pPr>
        <w:r w:rsidRPr="69783C9E">
          <w:rPr>
            <w:rFonts w:ascii="Times New Roman" w:hAnsi="Times New Roman" w:cs="Times New Roman"/>
            <w:sz w:val="16"/>
            <w:szCs w:val="16"/>
          </w:rPr>
          <w:t>Exp. Date:  12/31/2027</w:t>
        </w:r>
      </w:p>
      <w:p w:rsidR="00493250" w:rsidP="00493250" w14:paraId="2535FC6A" w14:textId="61C7944A">
        <w:pPr>
          <w:pStyle w:val="Header"/>
          <w:tabs>
            <w:tab w:val="left" w:pos="7635"/>
            <w:tab w:val="right" w:pos="8320"/>
            <w:tab w:val="right" w:pos="10800"/>
          </w:tabs>
          <w:ind w:left="7200" w:firstLine="720"/>
          <w:rPr>
            <w:rFonts w:ascii="Times New Roman" w:hAnsi="Times New Roman" w:cs="Times New Roman"/>
            <w:color w:val="0563C1" w:themeColor="hyperlink"/>
            <w:sz w:val="16"/>
            <w:szCs w:val="16"/>
            <w:u w:val="single"/>
          </w:rPr>
        </w:pPr>
        <w:r>
          <w:rPr>
            <w:rFonts w:ascii="Calibri" w:hAnsi="Calibri" w:cs="Calibri"/>
            <w:sz w:val="16"/>
            <w:szCs w:val="16"/>
          </w:rPr>
          <w:t xml:space="preserve">    </w:t>
        </w:r>
        <w:hyperlink r:id="rId2" w:history="1">
          <w:r w:rsidRPr="00762775">
            <w:rPr>
              <w:rStyle w:val="Hyperlink"/>
              <w:rFonts w:ascii="Times New Roman" w:hAnsi="Times New Roman" w:cs="Times New Roman"/>
              <w:sz w:val="16"/>
              <w:szCs w:val="16"/>
            </w:rPr>
            <w:t>www.cdc.gov/nhsn</w:t>
          </w:r>
        </w:hyperlink>
      </w:p>
      <w:p w:rsidR="007467B0" w:rsidRPr="00684127" w:rsidP="00493250" w14:paraId="7953F9A4" w14:textId="24D86B1C">
        <w:pPr>
          <w:pStyle w:val="Header"/>
          <w:tabs>
            <w:tab w:val="left" w:pos="7635"/>
            <w:tab w:val="right" w:pos="8320"/>
            <w:tab w:val="right" w:pos="10800"/>
          </w:tabs>
          <w:ind w:left="7200" w:firstLine="720"/>
          <w:jc w:val="center"/>
          <w:rPr>
            <w:sz w:val="16"/>
            <w:szCs w:val="16"/>
          </w:rPr>
        </w:pPr>
        <w:r>
          <w:rPr>
            <w:sz w:val="16"/>
            <w:szCs w:val="16"/>
          </w:rPr>
          <w:t xml:space="preserve"> </w:t>
        </w:r>
        <w:r w:rsidRPr="00493250">
          <w:rPr>
            <w:sz w:val="16"/>
            <w:szCs w:val="16"/>
          </w:rPr>
          <w:t>Page</w:t>
        </w:r>
        <w:r w:rsidRPr="00684127">
          <w:rPr>
            <w:sz w:val="16"/>
            <w:szCs w:val="16"/>
          </w:rPr>
          <w:t xml:space="preserve"> </w:t>
        </w:r>
        <w:r w:rsidRPr="00684127">
          <w:rPr>
            <w:sz w:val="16"/>
            <w:szCs w:val="16"/>
          </w:rPr>
          <w:fldChar w:fldCharType="begin"/>
        </w:r>
        <w:r w:rsidRPr="00684127">
          <w:rPr>
            <w:sz w:val="16"/>
            <w:szCs w:val="16"/>
          </w:rPr>
          <w:instrText xml:space="preserve"> PAGE </w:instrText>
        </w:r>
        <w:r w:rsidRPr="00684127">
          <w:rPr>
            <w:sz w:val="16"/>
            <w:szCs w:val="16"/>
          </w:rPr>
          <w:fldChar w:fldCharType="separate"/>
        </w:r>
        <w:r w:rsidRPr="00684127">
          <w:rPr>
            <w:noProof/>
            <w:sz w:val="16"/>
            <w:szCs w:val="16"/>
          </w:rPr>
          <w:t>2</w:t>
        </w:r>
        <w:r w:rsidRPr="00684127">
          <w:rPr>
            <w:sz w:val="16"/>
            <w:szCs w:val="16"/>
          </w:rPr>
          <w:fldChar w:fldCharType="end"/>
        </w:r>
        <w:r w:rsidRPr="00684127">
          <w:rPr>
            <w:sz w:val="16"/>
            <w:szCs w:val="16"/>
          </w:rPr>
          <w:t xml:space="preserve"> of </w:t>
        </w:r>
        <w:r w:rsidRPr="00684127">
          <w:rPr>
            <w:sz w:val="16"/>
            <w:szCs w:val="16"/>
          </w:rPr>
          <w:fldChar w:fldCharType="begin"/>
        </w:r>
        <w:r w:rsidRPr="00684127">
          <w:rPr>
            <w:sz w:val="16"/>
            <w:szCs w:val="16"/>
          </w:rPr>
          <w:instrText xml:space="preserve"> NUMPAGES  </w:instrText>
        </w:r>
        <w:r w:rsidRPr="00684127">
          <w:rPr>
            <w:sz w:val="16"/>
            <w:szCs w:val="16"/>
          </w:rPr>
          <w:fldChar w:fldCharType="separate"/>
        </w:r>
        <w:r w:rsidRPr="00684127">
          <w:rPr>
            <w:noProof/>
            <w:sz w:val="16"/>
            <w:szCs w:val="16"/>
          </w:rPr>
          <w:t>2</w:t>
        </w:r>
        <w:r w:rsidRPr="00684127">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2414B0"/>
    <w:multiLevelType w:val="hybridMultilevel"/>
    <w:tmpl w:val="F94470F2"/>
    <w:lvl w:ilvl="0">
      <w:start w:val="0"/>
      <w:numFmt w:val="bullet"/>
      <w:lvlText w:val="•"/>
      <w:lvlJc w:val="left"/>
      <w:pPr>
        <w:ind w:left="792" w:hanging="360"/>
      </w:pPr>
      <w:rPr>
        <w:rFonts w:ascii="Calibri" w:eastAsia="Calibri" w:hAnsi="Calibri" w:cs="Calibri"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4FB818A7"/>
    <w:multiLevelType w:val="hybridMultilevel"/>
    <w:tmpl w:val="C30A1240"/>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E262980"/>
    <w:multiLevelType w:val="hybridMultilevel"/>
    <w:tmpl w:val="D9C2856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5FC27130"/>
    <w:multiLevelType w:val="hybridMultilevel"/>
    <w:tmpl w:val="06F68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F4385E"/>
    <w:multiLevelType w:val="hybridMultilevel"/>
    <w:tmpl w:val="4D8EC072"/>
    <w:lvl w:ilvl="0">
      <w:start w:val="0"/>
      <w:numFmt w:val="bullet"/>
      <w:lvlText w:val=""/>
      <w:lvlJc w:val="left"/>
      <w:pPr>
        <w:ind w:left="1440" w:hanging="72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88B38F2"/>
    <w:multiLevelType w:val="hybridMultilevel"/>
    <w:tmpl w:val="41DCFA22"/>
    <w:lvl w:ilvl="0">
      <w:start w:val="0"/>
      <w:numFmt w:val="bullet"/>
      <w:lvlText w:val=""/>
      <w:lvlJc w:val="left"/>
      <w:pPr>
        <w:ind w:left="1080" w:hanging="72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441327">
    <w:abstractNumId w:val="5"/>
  </w:num>
  <w:num w:numId="2" w16cid:durableId="1433166288">
    <w:abstractNumId w:val="4"/>
  </w:num>
  <w:num w:numId="3" w16cid:durableId="1051729516">
    <w:abstractNumId w:val="2"/>
  </w:num>
  <w:num w:numId="4" w16cid:durableId="458568862">
    <w:abstractNumId w:val="0"/>
  </w:num>
  <w:num w:numId="5" w16cid:durableId="2073043181">
    <w:abstractNumId w:val="3"/>
  </w:num>
  <w:num w:numId="6" w16cid:durableId="206471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6"/>
    <w:rsid w:val="000017D0"/>
    <w:rsid w:val="00041066"/>
    <w:rsid w:val="00076F16"/>
    <w:rsid w:val="00093556"/>
    <w:rsid w:val="000A05D6"/>
    <w:rsid w:val="000B2EF1"/>
    <w:rsid w:val="000D316B"/>
    <w:rsid w:val="000D6662"/>
    <w:rsid w:val="001004F6"/>
    <w:rsid w:val="00113149"/>
    <w:rsid w:val="00172953"/>
    <w:rsid w:val="00175FB0"/>
    <w:rsid w:val="001875CC"/>
    <w:rsid w:val="00190987"/>
    <w:rsid w:val="001A5B03"/>
    <w:rsid w:val="001A64EA"/>
    <w:rsid w:val="001B6258"/>
    <w:rsid w:val="001C1457"/>
    <w:rsid w:val="001D2017"/>
    <w:rsid w:val="00207092"/>
    <w:rsid w:val="00212A1A"/>
    <w:rsid w:val="002230C0"/>
    <w:rsid w:val="002357FF"/>
    <w:rsid w:val="00251FC4"/>
    <w:rsid w:val="00264E21"/>
    <w:rsid w:val="002706AB"/>
    <w:rsid w:val="00283DAF"/>
    <w:rsid w:val="002C581F"/>
    <w:rsid w:val="002D323A"/>
    <w:rsid w:val="002F6B1A"/>
    <w:rsid w:val="003175B6"/>
    <w:rsid w:val="00320448"/>
    <w:rsid w:val="00320C6C"/>
    <w:rsid w:val="00335237"/>
    <w:rsid w:val="00337A52"/>
    <w:rsid w:val="003420B4"/>
    <w:rsid w:val="00357FC4"/>
    <w:rsid w:val="00360CC8"/>
    <w:rsid w:val="00381491"/>
    <w:rsid w:val="00381A04"/>
    <w:rsid w:val="003821F7"/>
    <w:rsid w:val="0039384E"/>
    <w:rsid w:val="003D0BAB"/>
    <w:rsid w:val="003E788E"/>
    <w:rsid w:val="003F61A2"/>
    <w:rsid w:val="00413EDA"/>
    <w:rsid w:val="00415E16"/>
    <w:rsid w:val="00437BB1"/>
    <w:rsid w:val="00493250"/>
    <w:rsid w:val="0049344C"/>
    <w:rsid w:val="004A49F8"/>
    <w:rsid w:val="004B34B4"/>
    <w:rsid w:val="004C0E96"/>
    <w:rsid w:val="004C232E"/>
    <w:rsid w:val="004E1329"/>
    <w:rsid w:val="0052496A"/>
    <w:rsid w:val="00551F43"/>
    <w:rsid w:val="0056287C"/>
    <w:rsid w:val="00580127"/>
    <w:rsid w:val="00581C75"/>
    <w:rsid w:val="0059139F"/>
    <w:rsid w:val="00596DEB"/>
    <w:rsid w:val="005A03E6"/>
    <w:rsid w:val="005B4155"/>
    <w:rsid w:val="005D53E6"/>
    <w:rsid w:val="006131C2"/>
    <w:rsid w:val="00622A89"/>
    <w:rsid w:val="0064020A"/>
    <w:rsid w:val="00656256"/>
    <w:rsid w:val="006607E3"/>
    <w:rsid w:val="00671C3A"/>
    <w:rsid w:val="00684127"/>
    <w:rsid w:val="006A3061"/>
    <w:rsid w:val="006B21B1"/>
    <w:rsid w:val="006B250E"/>
    <w:rsid w:val="006D0382"/>
    <w:rsid w:val="006F2E8B"/>
    <w:rsid w:val="00703EC3"/>
    <w:rsid w:val="0071582E"/>
    <w:rsid w:val="00722494"/>
    <w:rsid w:val="00730FE6"/>
    <w:rsid w:val="007311FA"/>
    <w:rsid w:val="007467B0"/>
    <w:rsid w:val="00762775"/>
    <w:rsid w:val="00762D5C"/>
    <w:rsid w:val="00776217"/>
    <w:rsid w:val="00785D56"/>
    <w:rsid w:val="007A14AB"/>
    <w:rsid w:val="007B4B78"/>
    <w:rsid w:val="007D6F34"/>
    <w:rsid w:val="007F0297"/>
    <w:rsid w:val="0080642E"/>
    <w:rsid w:val="0081213E"/>
    <w:rsid w:val="0082471C"/>
    <w:rsid w:val="00831D6C"/>
    <w:rsid w:val="00836B6B"/>
    <w:rsid w:val="00856E57"/>
    <w:rsid w:val="008C31DA"/>
    <w:rsid w:val="008E58B9"/>
    <w:rsid w:val="0091678C"/>
    <w:rsid w:val="009501DD"/>
    <w:rsid w:val="00950A3B"/>
    <w:rsid w:val="00956B0B"/>
    <w:rsid w:val="00966C91"/>
    <w:rsid w:val="009747AA"/>
    <w:rsid w:val="0099485A"/>
    <w:rsid w:val="009C2325"/>
    <w:rsid w:val="009C5EF2"/>
    <w:rsid w:val="009E463A"/>
    <w:rsid w:val="009E7C8F"/>
    <w:rsid w:val="009F032F"/>
    <w:rsid w:val="00A056BC"/>
    <w:rsid w:val="00A32110"/>
    <w:rsid w:val="00A340C1"/>
    <w:rsid w:val="00A34451"/>
    <w:rsid w:val="00A3559F"/>
    <w:rsid w:val="00A759C6"/>
    <w:rsid w:val="00A931DB"/>
    <w:rsid w:val="00AB1483"/>
    <w:rsid w:val="00AF6FBF"/>
    <w:rsid w:val="00AF75B5"/>
    <w:rsid w:val="00B17DA2"/>
    <w:rsid w:val="00B52407"/>
    <w:rsid w:val="00B74588"/>
    <w:rsid w:val="00B80763"/>
    <w:rsid w:val="00B874DC"/>
    <w:rsid w:val="00BB1C12"/>
    <w:rsid w:val="00BC4EEC"/>
    <w:rsid w:val="00BD7456"/>
    <w:rsid w:val="00BF55EB"/>
    <w:rsid w:val="00C2645D"/>
    <w:rsid w:val="00C35BD9"/>
    <w:rsid w:val="00C6433C"/>
    <w:rsid w:val="00CC5626"/>
    <w:rsid w:val="00CE2187"/>
    <w:rsid w:val="00D01B0E"/>
    <w:rsid w:val="00D11515"/>
    <w:rsid w:val="00D164DE"/>
    <w:rsid w:val="00D20DB4"/>
    <w:rsid w:val="00D42759"/>
    <w:rsid w:val="00D7072D"/>
    <w:rsid w:val="00D83A2B"/>
    <w:rsid w:val="00D9691C"/>
    <w:rsid w:val="00DA0C0D"/>
    <w:rsid w:val="00DC0794"/>
    <w:rsid w:val="00DE4A70"/>
    <w:rsid w:val="00E36776"/>
    <w:rsid w:val="00E378AB"/>
    <w:rsid w:val="00E420BE"/>
    <w:rsid w:val="00E4259E"/>
    <w:rsid w:val="00E5598B"/>
    <w:rsid w:val="00E727D9"/>
    <w:rsid w:val="00E83B86"/>
    <w:rsid w:val="00E9528B"/>
    <w:rsid w:val="00EB41DC"/>
    <w:rsid w:val="00F11A30"/>
    <w:rsid w:val="00F245FA"/>
    <w:rsid w:val="00F378E2"/>
    <w:rsid w:val="00F56E35"/>
    <w:rsid w:val="00F761DA"/>
    <w:rsid w:val="00F87C45"/>
    <w:rsid w:val="00FA5CAD"/>
    <w:rsid w:val="00FC6ED1"/>
    <w:rsid w:val="00FD6E22"/>
    <w:rsid w:val="00FE5637"/>
    <w:rsid w:val="00FF26CA"/>
    <w:rsid w:val="077C7F5C"/>
    <w:rsid w:val="18A11B8F"/>
    <w:rsid w:val="1B1A5B58"/>
    <w:rsid w:val="362278AC"/>
    <w:rsid w:val="41317A02"/>
    <w:rsid w:val="69783C9E"/>
    <w:rsid w:val="7E297330"/>
    <w:rsid w:val="7E36D9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6F3C3A"/>
  <w15:chartTrackingRefBased/>
  <w15:docId w15:val="{936FB8FC-E061-4F6C-9BB0-15C537C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26"/>
  </w:style>
  <w:style w:type="paragraph" w:styleId="Footer">
    <w:name w:val="footer"/>
    <w:basedOn w:val="Normal"/>
    <w:link w:val="FooterChar"/>
    <w:uiPriority w:val="99"/>
    <w:unhideWhenUsed/>
    <w:rsid w:val="00CC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26"/>
  </w:style>
  <w:style w:type="table" w:styleId="TableGrid">
    <w:name w:val="Table Grid"/>
    <w:basedOn w:val="TableNormal"/>
    <w:uiPriority w:val="39"/>
    <w:rsid w:val="00CC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21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13E"/>
    <w:rPr>
      <w:sz w:val="20"/>
      <w:szCs w:val="20"/>
    </w:rPr>
  </w:style>
  <w:style w:type="character" w:styleId="CommentReference">
    <w:name w:val="annotation reference"/>
    <w:basedOn w:val="DefaultParagraphFont"/>
    <w:uiPriority w:val="99"/>
    <w:semiHidden/>
    <w:unhideWhenUsed/>
    <w:rsid w:val="000B2EF1"/>
    <w:rPr>
      <w:sz w:val="16"/>
      <w:szCs w:val="16"/>
    </w:rPr>
  </w:style>
  <w:style w:type="paragraph" w:styleId="CommentText">
    <w:name w:val="annotation text"/>
    <w:basedOn w:val="Normal"/>
    <w:link w:val="CommentTextChar"/>
    <w:uiPriority w:val="99"/>
    <w:unhideWhenUsed/>
    <w:rsid w:val="000B2EF1"/>
    <w:pPr>
      <w:spacing w:line="240" w:lineRule="auto"/>
    </w:pPr>
    <w:rPr>
      <w:sz w:val="20"/>
      <w:szCs w:val="20"/>
    </w:rPr>
  </w:style>
  <w:style w:type="character" w:customStyle="1" w:styleId="CommentTextChar">
    <w:name w:val="Comment Text Char"/>
    <w:basedOn w:val="DefaultParagraphFont"/>
    <w:link w:val="CommentText"/>
    <w:uiPriority w:val="99"/>
    <w:rsid w:val="000B2EF1"/>
    <w:rPr>
      <w:sz w:val="20"/>
      <w:szCs w:val="20"/>
    </w:rPr>
  </w:style>
  <w:style w:type="paragraph" w:styleId="CommentSubject">
    <w:name w:val="annotation subject"/>
    <w:basedOn w:val="CommentText"/>
    <w:next w:val="CommentText"/>
    <w:link w:val="CommentSubjectChar"/>
    <w:uiPriority w:val="99"/>
    <w:semiHidden/>
    <w:unhideWhenUsed/>
    <w:rsid w:val="000B2EF1"/>
    <w:rPr>
      <w:b/>
      <w:bCs/>
    </w:rPr>
  </w:style>
  <w:style w:type="character" w:customStyle="1" w:styleId="CommentSubjectChar">
    <w:name w:val="Comment Subject Char"/>
    <w:basedOn w:val="CommentTextChar"/>
    <w:link w:val="CommentSubject"/>
    <w:uiPriority w:val="99"/>
    <w:semiHidden/>
    <w:rsid w:val="000B2EF1"/>
    <w:rPr>
      <w:b/>
      <w:bCs/>
      <w:sz w:val="20"/>
      <w:szCs w:val="20"/>
    </w:rPr>
  </w:style>
  <w:style w:type="character" w:customStyle="1" w:styleId="s2">
    <w:name w:val="s2"/>
    <w:basedOn w:val="DefaultParagraphFont"/>
    <w:rsid w:val="00F761DA"/>
  </w:style>
  <w:style w:type="paragraph" w:styleId="ListParagraph">
    <w:name w:val="List Paragraph"/>
    <w:basedOn w:val="Normal"/>
    <w:uiPriority w:val="34"/>
    <w:qFormat/>
    <w:rsid w:val="008C31DA"/>
    <w:pPr>
      <w:ind w:left="720"/>
      <w:contextualSpacing/>
    </w:pPr>
  </w:style>
  <w:style w:type="character" w:styleId="Hyperlink">
    <w:name w:val="Hyperlink"/>
    <w:basedOn w:val="DefaultParagraphFont"/>
    <w:uiPriority w:val="99"/>
    <w:unhideWhenUsed/>
    <w:rsid w:val="00493250"/>
    <w:rPr>
      <w:color w:val="0563C1" w:themeColor="hyperlink"/>
      <w:u w:val="single"/>
    </w:rPr>
  </w:style>
  <w:style w:type="character" w:styleId="UnresolvedMention">
    <w:name w:val="Unresolved Mention"/>
    <w:basedOn w:val="DefaultParagraphFont"/>
    <w:uiPriority w:val="99"/>
    <w:semiHidden/>
    <w:unhideWhenUsed/>
    <w:rsid w:val="00493250"/>
    <w:rPr>
      <w:color w:val="605E5C"/>
      <w:shd w:val="clear" w:color="auto" w:fill="E1DFDD"/>
    </w:rPr>
  </w:style>
  <w:style w:type="paragraph" w:styleId="Revision">
    <w:name w:val="Revision"/>
    <w:hidden/>
    <w:uiPriority w:val="99"/>
    <w:semiHidden/>
    <w:rsid w:val="00B807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0AEE2-5260-4758-94EA-3FEDEF73A30F}">
  <ds:schemaRefs>
    <ds:schemaRef ds:uri="http://schemas.microsoft.com/sharepoint/v3/contenttype/forms"/>
  </ds:schemaRefs>
</ds:datastoreItem>
</file>

<file path=customXml/itemProps2.xml><?xml version="1.0" encoding="utf-8"?>
<ds:datastoreItem xmlns:ds="http://schemas.openxmlformats.org/officeDocument/2006/customXml" ds:itemID="{8BB710C9-39DB-40E1-8C91-9258BF0203A0}">
  <ds:schemaRef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3077af0-6fc0-4200-a300-39d4b8ef3a1a"/>
    <ds:schemaRef ds:uri="http://schemas.microsoft.com/office/2006/documentManagement/types"/>
    <ds:schemaRef ds:uri="2c697e34-8d4f-4da9-ba98-6e6ffd29aac3"/>
    <ds:schemaRef ds:uri="http://purl.org/dc/terms/"/>
  </ds:schemaRefs>
</ds:datastoreItem>
</file>

<file path=customXml/itemProps3.xml><?xml version="1.0" encoding="utf-8"?>
<ds:datastoreItem xmlns:ds="http://schemas.openxmlformats.org/officeDocument/2006/customXml" ds:itemID="{C3A23C65-7B19-4CD8-A0E6-8A0BE5BD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(CDC/NCEZID/DHQP/SB)</dc:creator>
  <cp:lastModifiedBy>Farrell, Paula (CDC/NCEZID/DHQP/SB) (CTR)</cp:lastModifiedBy>
  <cp:revision>2</cp:revision>
  <dcterms:created xsi:type="dcterms:W3CDTF">2025-09-16T20:03:00Z</dcterms:created>
  <dcterms:modified xsi:type="dcterms:W3CDTF">2025-09-16T20:03:00Z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9de362dc-cc99-4728-9a72-0c13ab7e5cc1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2024-03-28T01:17:18Z</vt:lpwstr>
  </property>
  <property fmtid="{D5CDD505-2E9C-101B-9397-08002B2CF9AE}" pid="10" name="MSIP_Label_7b94a7b8-f06c-4dfe-bdcc-9b548fd58c31_SiteId">
    <vt:lpwstr>9ce70869-60db-44fd-abe8-d2767077fc8f</vt:lpwstr>
  </property>
</Properties>
</file>