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F14BB" w:rsidP="00F358C7" w14:paraId="22220B45" w14:textId="77777777">
      <w:pPr>
        <w:pStyle w:val="BodyText"/>
        <w:ind w:right="283"/>
      </w:pPr>
    </w:p>
    <w:p w:rsidR="005C0F82" w:rsidP="32B534BB" w14:paraId="1C9E5521" w14:textId="20C5DF5E">
      <w:pPr>
        <w:pStyle w:val="BodyText"/>
        <w:ind w:right="283"/>
        <w:jc w:val="center"/>
        <w:rPr>
          <w:b/>
          <w:bCs/>
          <w:sz w:val="27"/>
          <w:szCs w:val="27"/>
        </w:rPr>
      </w:pPr>
      <w:r w:rsidRPr="32B534BB">
        <w:rPr>
          <w:b/>
          <w:bCs/>
          <w:sz w:val="27"/>
          <w:szCs w:val="27"/>
        </w:rPr>
        <w:t xml:space="preserve">Definitions </w:t>
      </w:r>
      <w:r w:rsidRPr="32B534BB" w:rsidR="07EB85F9">
        <w:rPr>
          <w:b/>
          <w:bCs/>
          <w:sz w:val="27"/>
          <w:szCs w:val="27"/>
        </w:rPr>
        <w:t>for Determining Categories of</w:t>
      </w:r>
      <w:r w:rsidRPr="32B534BB">
        <w:rPr>
          <w:b/>
          <w:bCs/>
          <w:sz w:val="27"/>
          <w:szCs w:val="27"/>
        </w:rPr>
        <w:t xml:space="preserve"> Survivorship</w:t>
      </w:r>
      <w:r>
        <w:rPr>
          <w:rStyle w:val="FootnoteReference"/>
          <w:b/>
          <w:bCs/>
          <w:sz w:val="27"/>
          <w:szCs w:val="27"/>
        </w:rPr>
        <w:footnoteReference w:id="2"/>
      </w:r>
      <w:r w:rsidRPr="32B534BB" w:rsidR="02F5CB04">
        <w:rPr>
          <w:b/>
          <w:bCs/>
          <w:sz w:val="27"/>
          <w:szCs w:val="27"/>
        </w:rPr>
        <w:t xml:space="preserve"> </w:t>
      </w:r>
      <w:r w:rsidRPr="32B534BB" w:rsidR="1768492C">
        <w:rPr>
          <w:b/>
          <w:bCs/>
          <w:sz w:val="27"/>
          <w:szCs w:val="27"/>
        </w:rPr>
        <w:t>for</w:t>
      </w:r>
      <w:r w:rsidRPr="32B534BB" w:rsidR="02F5CB04">
        <w:rPr>
          <w:b/>
          <w:bCs/>
          <w:sz w:val="27"/>
          <w:szCs w:val="27"/>
        </w:rPr>
        <w:t xml:space="preserve"> CICP </w:t>
      </w:r>
      <w:r w:rsidRPr="32B534BB" w:rsidR="075669E1">
        <w:rPr>
          <w:b/>
          <w:bCs/>
          <w:sz w:val="27"/>
          <w:szCs w:val="27"/>
        </w:rPr>
        <w:t>D</w:t>
      </w:r>
      <w:r w:rsidRPr="32B534BB" w:rsidR="02F5CB04">
        <w:rPr>
          <w:b/>
          <w:bCs/>
          <w:sz w:val="27"/>
          <w:szCs w:val="27"/>
        </w:rPr>
        <w:t xml:space="preserve">eath </w:t>
      </w:r>
      <w:r w:rsidRPr="32B534BB" w:rsidR="075669E1">
        <w:rPr>
          <w:b/>
          <w:bCs/>
          <w:sz w:val="27"/>
          <w:szCs w:val="27"/>
        </w:rPr>
        <w:t>B</w:t>
      </w:r>
      <w:r w:rsidRPr="32B534BB" w:rsidR="02F5CB04">
        <w:rPr>
          <w:b/>
          <w:bCs/>
          <w:sz w:val="27"/>
          <w:szCs w:val="27"/>
        </w:rPr>
        <w:t>enefit</w:t>
      </w:r>
    </w:p>
    <w:p w:rsidR="00415BF3" w:rsidP="32B534BB" w14:paraId="3EBF0CA6" w14:textId="4E1BA1B5">
      <w:pPr>
        <w:pStyle w:val="BodyText"/>
        <w:ind w:right="283"/>
        <w:jc w:val="center"/>
        <w:rPr>
          <w:b/>
          <w:bCs/>
        </w:rPr>
      </w:pPr>
    </w:p>
    <w:p w:rsidR="00415BF3" w:rsidP="238D86E8" w14:paraId="724C72DF" w14:textId="1D48F528">
      <w:r w:rsidRPr="238D86E8">
        <w:rPr>
          <w:sz w:val="24"/>
          <w:szCs w:val="24"/>
        </w:rPr>
        <w:t>This document provides a glossary of terms related to claims for countermeasure recipients, as defined in 28 C.F.R. § 32.3 and 28 C.F.R. § 32.13.</w:t>
      </w:r>
    </w:p>
    <w:p w:rsidR="00415BF3" w:rsidP="238D86E8" w14:paraId="7EFF5EEB" w14:textId="33C9806E">
      <w:pPr>
        <w:spacing w:line="276" w:lineRule="auto"/>
        <w:jc w:val="center"/>
      </w:pPr>
      <w:r>
        <w:rPr>
          <w:noProof/>
        </w:rPr>
        <w:drawing>
          <wp:inline distT="0" distB="0" distL="0" distR="0">
            <wp:extent cx="5919730" cy="54869"/>
            <wp:effectExtent l="0" t="0" r="0" b="0"/>
            <wp:docPr id="429407182" name="Picture 429407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407182" name=""/>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919730" cy="54869"/>
                    </a:xfrm>
                    <a:prstGeom prst="rect">
                      <a:avLst/>
                    </a:prstGeom>
                  </pic:spPr>
                </pic:pic>
              </a:graphicData>
            </a:graphic>
          </wp:inline>
        </w:drawing>
      </w:r>
    </w:p>
    <w:p w:rsidR="00415BF3" w:rsidP="238D86E8" w14:paraId="31045BC1" w14:textId="0A5B5B91">
      <w:r w:rsidRPr="238D86E8">
        <w:rPr>
          <w:b/>
          <w:bCs/>
          <w:sz w:val="26"/>
          <w:szCs w:val="26"/>
        </w:rPr>
        <w:t>Family and Relationship Definitions</w:t>
      </w:r>
    </w:p>
    <w:p w:rsidR="00415BF3" w:rsidP="55A2F222" w14:paraId="30D70D70" w14:textId="336B7188">
      <w:pPr>
        <w:pStyle w:val="BodyText"/>
        <w:ind w:right="283"/>
        <w:jc w:val="center"/>
        <w:rPr>
          <w:b/>
          <w:bCs/>
        </w:rPr>
      </w:pPr>
    </w:p>
    <w:p w:rsidR="7E6622DC" w:rsidP="55A2F222" w14:paraId="091F7516" w14:textId="076345D6">
      <w:pPr>
        <w:pStyle w:val="BodyText"/>
        <w:spacing w:line="276" w:lineRule="auto"/>
        <w:ind w:left="721" w:right="248"/>
      </w:pPr>
      <w:r>
        <w:t xml:space="preserve">The definitions of the survivor categories </w:t>
      </w:r>
      <w:r w:rsidR="075669E1">
        <w:t>outlined</w:t>
      </w:r>
      <w:r>
        <w:t xml:space="preserve"> below apply to</w:t>
      </w:r>
      <w:r w:rsidR="76CD5886">
        <w:t xml:space="preserve"> (active)</w:t>
      </w:r>
      <w:r>
        <w:t xml:space="preserve"> relationships at the time</w:t>
      </w:r>
      <w:r w:rsidR="755241FB">
        <w:t xml:space="preserve"> </w:t>
      </w:r>
      <w:r>
        <w:t xml:space="preserve">of the </w:t>
      </w:r>
      <w:r w:rsidR="3448D94A">
        <w:t xml:space="preserve">injury of the </w:t>
      </w:r>
      <w:r w:rsidRPr="0E2E03E8" w:rsidR="3448D94A">
        <w:rPr>
          <w:color w:val="FF0000"/>
        </w:rPr>
        <w:t>deceased</w:t>
      </w:r>
      <w:r w:rsidRPr="0E2E03E8" w:rsidR="719553A5">
        <w:rPr>
          <w:color w:val="FF0000"/>
        </w:rPr>
        <w:t xml:space="preserve"> </w:t>
      </w:r>
      <w:r w:rsidR="3448D94A">
        <w:t>countermeasure recipient</w:t>
      </w:r>
      <w:r w:rsidR="59046F05">
        <w:t xml:space="preserve"> unless otherwise specified</w:t>
      </w:r>
      <w:r w:rsidR="3448D94A">
        <w:t>.</w:t>
      </w:r>
    </w:p>
    <w:p w:rsidR="55A2F222" w:rsidP="238D86E8" w14:paraId="1004F537" w14:textId="4E0B1AD1">
      <w:pPr>
        <w:pStyle w:val="BodyText"/>
        <w:spacing w:line="276" w:lineRule="auto"/>
        <w:ind w:left="721" w:right="248"/>
        <w:rPr>
          <w:b/>
          <w:bCs/>
        </w:rPr>
      </w:pPr>
    </w:p>
    <w:p w:rsidR="00EF14BB" w:rsidRPr="005D192E" w14:paraId="6DF209E8" w14:textId="6744C31A">
      <w:pPr>
        <w:pStyle w:val="BodyText"/>
        <w:spacing w:line="276" w:lineRule="auto"/>
        <w:ind w:left="721" w:right="248"/>
      </w:pPr>
      <w:r w:rsidRPr="238D86E8">
        <w:rPr>
          <w:b/>
          <w:bCs/>
        </w:rPr>
        <w:t>S</w:t>
      </w:r>
      <w:r w:rsidRPr="238D86E8" w:rsidR="7330B554">
        <w:rPr>
          <w:b/>
          <w:bCs/>
        </w:rPr>
        <w:t>p</w:t>
      </w:r>
      <w:r w:rsidRPr="238D86E8" w:rsidR="5A4386FB">
        <w:rPr>
          <w:b/>
          <w:bCs/>
        </w:rPr>
        <w:t>ouse</w:t>
      </w:r>
      <w:r w:rsidRPr="238D86E8" w:rsidR="27DB129F">
        <w:rPr>
          <w:b/>
          <w:bCs/>
        </w:rPr>
        <w:t>:</w:t>
      </w:r>
      <w:r w:rsidRPr="238D86E8" w:rsidR="27DB129F">
        <w:rPr>
          <w:b/>
          <w:bCs/>
          <w:i/>
          <w:iCs/>
        </w:rPr>
        <w:t xml:space="preserve"> </w:t>
      </w:r>
      <w:r w:rsidRPr="238D86E8" w:rsidR="715B55EB">
        <w:t>A</w:t>
      </w:r>
      <w:r w:rsidR="5A4386FB">
        <w:t>n individual with whom another individual lawfully entered into marriage under the law of the jurisdiction in which it was entered into, and includes a spouse living apart from the other individual, other than pursuant to divorce. except that—</w:t>
      </w:r>
    </w:p>
    <w:p w:rsidR="00EF14BB" w:rsidRPr="005D192E" w:rsidP="00F358C7" w14:paraId="7972F9F8" w14:textId="77777777">
      <w:pPr>
        <w:pStyle w:val="BodyText"/>
        <w:spacing w:line="276" w:lineRule="auto"/>
        <w:ind w:left="721" w:right="248"/>
      </w:pPr>
      <w:r>
        <w:t>(1) In connection with a claim, the term does not include anyone upon whose injury the claim is predicated; and</w:t>
      </w:r>
    </w:p>
    <w:p w:rsidR="00EF14BB" w:rsidRPr="005D192E" w:rsidP="00F358C7" w14:paraId="4AECA67D" w14:textId="77777777">
      <w:pPr>
        <w:pStyle w:val="BodyText"/>
        <w:spacing w:line="276" w:lineRule="auto"/>
        <w:ind w:left="721" w:right="248"/>
      </w:pPr>
      <w:r>
        <w:t>(2) Notwithstanding any other provision of law—</w:t>
      </w:r>
    </w:p>
    <w:p w:rsidR="00EF14BB" w:rsidRPr="005D192E" w:rsidP="00F358C7" w14:paraId="73BBEBF0" w14:textId="77777777">
      <w:pPr>
        <w:pStyle w:val="BodyText"/>
        <w:spacing w:line="276" w:lineRule="auto"/>
        <w:ind w:left="721" w:right="248"/>
      </w:pPr>
      <w:r>
        <w:t>(i) For an individual purporting to be a spouse on the basis of a common-law marriage (or a putative marriage), or on any other basis, to be considered a spouse within the meaning of this definition, it is necessary (but not sufficient) for the jurisdiction of domicile of the parties to recognize such individual as the lawful spouse of the other individual; and</w:t>
      </w:r>
    </w:p>
    <w:p w:rsidR="00EF14BB" w:rsidP="00F358C7" w14:paraId="2FC83598" w14:textId="6633B84C">
      <w:pPr>
        <w:pStyle w:val="BodyText"/>
        <w:spacing w:line="276" w:lineRule="auto"/>
        <w:ind w:left="721" w:right="248"/>
      </w:pPr>
      <w:r>
        <w:t xml:space="preserve">(ii) In deciding who may be the spouse of an injured countermeasure recipient, the relevant date is that of the injured countermeasure recipient’s death. </w:t>
      </w:r>
    </w:p>
    <w:p w:rsidR="238D86E8" w:rsidP="238D86E8" w14:paraId="0B6E3F48" w14:textId="3FA11F95">
      <w:pPr>
        <w:pStyle w:val="BodyText"/>
        <w:spacing w:line="276" w:lineRule="auto"/>
        <w:ind w:left="721" w:right="248"/>
      </w:pPr>
    </w:p>
    <w:p w:rsidR="00EF14BB" w:rsidRPr="00FA7BB4" w:rsidP="55A2F222" w14:paraId="2EBCC31D" w14:textId="34E06631">
      <w:pPr>
        <w:pStyle w:val="BodyText"/>
        <w:spacing w:line="276" w:lineRule="auto"/>
        <w:ind w:left="721" w:right="248"/>
      </w:pPr>
      <w:r w:rsidRPr="0E2E03E8">
        <w:rPr>
          <w:b/>
          <w:bCs/>
        </w:rPr>
        <w:t>Divorce</w:t>
      </w:r>
      <w:r w:rsidRPr="0E2E03E8" w:rsidR="3538F21B">
        <w:rPr>
          <w:b/>
          <w:bCs/>
        </w:rPr>
        <w:t xml:space="preserve">: </w:t>
      </w:r>
      <w:r w:rsidR="6203454D">
        <w:t xml:space="preserve">means a </w:t>
      </w:r>
      <w:r w:rsidR="5A4386FB">
        <w:t>legally-valid (for civil purposes) dissolution of the bond of wedlock (i.e., the bond of marriage), except that, otherwise, and notwithstanding any other provision of law, a spouse (or purported spouse) of an individual shall be considered to be divorced from that individual within the meaning of this definition if, subsequent to his marriage (or purported marriage) to that individual (and while that individual is living), the spouse (or purported spouse)—</w:t>
      </w:r>
    </w:p>
    <w:p w:rsidR="00EF14BB" w:rsidRPr="00FA7BB4" w:rsidP="00F358C7" w14:paraId="1A960089" w14:textId="77777777">
      <w:pPr>
        <w:pStyle w:val="BodyText"/>
        <w:spacing w:line="276" w:lineRule="auto"/>
        <w:ind w:left="721" w:right="248"/>
      </w:pPr>
      <w:r w:rsidRPr="00FA7BB4">
        <w:t>(1) Holds himself out as being divorced from, or not being married to, the individual;</w:t>
      </w:r>
    </w:p>
    <w:p w:rsidR="00EF14BB" w:rsidRPr="00FA7BB4" w:rsidP="00F358C7" w14:paraId="079F48D0" w14:textId="77777777">
      <w:pPr>
        <w:pStyle w:val="BodyText"/>
        <w:spacing w:line="276" w:lineRule="auto"/>
        <w:ind w:left="721" w:right="248"/>
      </w:pPr>
      <w:r w:rsidRPr="00FA7BB4">
        <w:t>(2) Holds himself out as being married to another individual; or</w:t>
      </w:r>
    </w:p>
    <w:p w:rsidR="00ED3124" w:rsidP="238D86E8" w14:paraId="3C665CAF" w14:textId="2C8EC600">
      <w:pPr>
        <w:pStyle w:val="BodyText"/>
        <w:spacing w:line="276" w:lineRule="auto"/>
        <w:ind w:left="721" w:right="248"/>
      </w:pPr>
      <w:r>
        <w:t xml:space="preserve">(3) Was a party to a ceremony purported by the parties thereto to be a marriage between the spouse (or purported spouse) and another individual. </w:t>
      </w:r>
    </w:p>
    <w:p w:rsidR="238D86E8" w:rsidP="238D86E8" w14:paraId="21360463" w14:textId="247B4F9C">
      <w:pPr>
        <w:pStyle w:val="BodyText"/>
        <w:spacing w:line="276" w:lineRule="auto"/>
        <w:ind w:left="721" w:right="248"/>
      </w:pPr>
    </w:p>
    <w:p w:rsidR="00EF14BB" w14:paraId="6796F9C4" w14:textId="38BA393A">
      <w:pPr>
        <w:pStyle w:val="BodyText"/>
        <w:spacing w:line="276" w:lineRule="auto"/>
        <w:ind w:left="601" w:right="248"/>
      </w:pPr>
      <w:r w:rsidRPr="238D86E8">
        <w:rPr>
          <w:b/>
          <w:bCs/>
        </w:rPr>
        <w:t>Child:</w:t>
      </w:r>
      <w:r w:rsidRPr="238D86E8" w:rsidR="79CC3018">
        <w:rPr>
          <w:b/>
          <w:bCs/>
        </w:rPr>
        <w:t xml:space="preserve"> </w:t>
      </w:r>
      <w:r w:rsidR="416A9AD0">
        <w:t>A</w:t>
      </w:r>
      <w:r w:rsidR="5A4386FB">
        <w:t xml:space="preserve"> natural, illegitimate, adopted,</w:t>
      </w:r>
      <w:r w:rsidR="5A4386FB">
        <w:rPr>
          <w:spacing w:val="-4"/>
        </w:rPr>
        <w:t xml:space="preserve"> </w:t>
      </w:r>
      <w:r w:rsidR="5A4386FB">
        <w:t>posthumous</w:t>
      </w:r>
      <w:r w:rsidR="5A4386FB">
        <w:rPr>
          <w:spacing w:val="-4"/>
        </w:rPr>
        <w:t xml:space="preserve"> </w:t>
      </w:r>
      <w:r w:rsidR="5A4386FB">
        <w:t>child,</w:t>
      </w:r>
      <w:r w:rsidR="5A4386FB">
        <w:rPr>
          <w:spacing w:val="-4"/>
        </w:rPr>
        <w:t xml:space="preserve"> </w:t>
      </w:r>
      <w:r w:rsidR="5A4386FB">
        <w:t>or</w:t>
      </w:r>
      <w:r w:rsidR="5A4386FB">
        <w:rPr>
          <w:spacing w:val="-5"/>
        </w:rPr>
        <w:t xml:space="preserve"> </w:t>
      </w:r>
      <w:r w:rsidR="5A4386FB">
        <w:t>stepchild</w:t>
      </w:r>
      <w:r w:rsidR="5A4386FB">
        <w:rPr>
          <w:spacing w:val="-4"/>
        </w:rPr>
        <w:t xml:space="preserve"> </w:t>
      </w:r>
      <w:r w:rsidR="5A4386FB">
        <w:t>of</w:t>
      </w:r>
      <w:r w:rsidR="5A4386FB">
        <w:rPr>
          <w:spacing w:val="-5"/>
        </w:rPr>
        <w:t xml:space="preserve"> </w:t>
      </w:r>
      <w:r w:rsidR="5A4386FB">
        <w:t>a</w:t>
      </w:r>
      <w:r w:rsidR="5A4386FB">
        <w:rPr>
          <w:spacing w:val="-5"/>
        </w:rPr>
        <w:t xml:space="preserve"> </w:t>
      </w:r>
      <w:r w:rsidR="5A4386FB">
        <w:t>deceased</w:t>
      </w:r>
      <w:r w:rsidR="5A4386FB">
        <w:rPr>
          <w:spacing w:val="-4"/>
        </w:rPr>
        <w:t xml:space="preserve"> </w:t>
      </w:r>
      <w:r w:rsidR="5A4386FB">
        <w:t>injured</w:t>
      </w:r>
      <w:r w:rsidR="5A4386FB">
        <w:rPr>
          <w:spacing w:val="-4"/>
        </w:rPr>
        <w:t xml:space="preserve"> </w:t>
      </w:r>
      <w:r w:rsidR="5A4386FB">
        <w:t>countermeasure</w:t>
      </w:r>
      <w:r w:rsidR="5A4386FB">
        <w:rPr>
          <w:spacing w:val="-5"/>
        </w:rPr>
        <w:t xml:space="preserve"> </w:t>
      </w:r>
      <w:r w:rsidR="5A4386FB">
        <w:t>recipient who, at the time of the countermeasure recipient’s death, is:</w:t>
      </w:r>
    </w:p>
    <w:p w:rsidR="00EF14BB" w:rsidP="00F358C7" w14:paraId="25F8B6BC" w14:textId="77777777">
      <w:pPr>
        <w:pStyle w:val="ListParagraph"/>
        <w:numPr>
          <w:ilvl w:val="1"/>
          <w:numId w:val="2"/>
        </w:numPr>
        <w:tabs>
          <w:tab w:val="left" w:pos="1559"/>
        </w:tabs>
        <w:ind w:left="1440" w:hanging="359"/>
        <w:contextualSpacing w:val="0"/>
        <w:rPr>
          <w:sz w:val="24"/>
        </w:rPr>
      </w:pPr>
      <w:r>
        <w:rPr>
          <w:sz w:val="24"/>
        </w:rPr>
        <w:t>18</w:t>
      </w:r>
      <w:r>
        <w:rPr>
          <w:spacing w:val="-1"/>
          <w:sz w:val="24"/>
        </w:rPr>
        <w:t xml:space="preserve"> </w:t>
      </w:r>
      <w:r>
        <w:rPr>
          <w:sz w:val="24"/>
        </w:rPr>
        <w:t>years</w:t>
      </w:r>
      <w:r>
        <w:rPr>
          <w:spacing w:val="-2"/>
          <w:sz w:val="24"/>
        </w:rPr>
        <w:t xml:space="preserve"> </w:t>
      </w:r>
      <w:r>
        <w:rPr>
          <w:sz w:val="24"/>
        </w:rPr>
        <w:t>old</w:t>
      </w:r>
      <w:r>
        <w:rPr>
          <w:spacing w:val="-2"/>
          <w:sz w:val="24"/>
        </w:rPr>
        <w:t xml:space="preserve"> </w:t>
      </w:r>
      <w:r>
        <w:rPr>
          <w:sz w:val="24"/>
        </w:rPr>
        <w:t>or</w:t>
      </w:r>
      <w:r>
        <w:rPr>
          <w:spacing w:val="2"/>
          <w:sz w:val="24"/>
        </w:rPr>
        <w:t xml:space="preserve"> </w:t>
      </w:r>
      <w:r>
        <w:rPr>
          <w:sz w:val="24"/>
        </w:rPr>
        <w:t xml:space="preserve">younger, </w:t>
      </w:r>
      <w:r>
        <w:rPr>
          <w:spacing w:val="-5"/>
          <w:sz w:val="24"/>
        </w:rPr>
        <w:t>or</w:t>
      </w:r>
    </w:p>
    <w:p w:rsidR="00EF14BB" w:rsidP="00F358C7" w14:paraId="51871EAA" w14:textId="77777777">
      <w:pPr>
        <w:pStyle w:val="ListParagraph"/>
        <w:numPr>
          <w:ilvl w:val="1"/>
          <w:numId w:val="2"/>
        </w:numPr>
        <w:tabs>
          <w:tab w:val="left" w:pos="1560"/>
        </w:tabs>
        <w:spacing w:before="41"/>
        <w:ind w:left="1441"/>
        <w:contextualSpacing w:val="0"/>
        <w:rPr>
          <w:sz w:val="24"/>
        </w:rPr>
      </w:pPr>
      <w:r>
        <w:rPr>
          <w:sz w:val="24"/>
        </w:rPr>
        <w:t>between</w:t>
      </w:r>
      <w:r>
        <w:rPr>
          <w:spacing w:val="-4"/>
          <w:sz w:val="24"/>
        </w:rPr>
        <w:t xml:space="preserve"> </w:t>
      </w:r>
      <w:r>
        <w:rPr>
          <w:sz w:val="24"/>
        </w:rPr>
        <w:t>19</w:t>
      </w:r>
      <w:r>
        <w:rPr>
          <w:spacing w:val="1"/>
          <w:sz w:val="24"/>
        </w:rPr>
        <w:t xml:space="preserve"> </w:t>
      </w:r>
      <w:r>
        <w:rPr>
          <w:sz w:val="24"/>
        </w:rPr>
        <w:t>and</w:t>
      </w:r>
      <w:r>
        <w:rPr>
          <w:spacing w:val="-2"/>
          <w:sz w:val="24"/>
        </w:rPr>
        <w:t xml:space="preserve"> </w:t>
      </w:r>
      <w:r>
        <w:rPr>
          <w:sz w:val="24"/>
        </w:rPr>
        <w:t>22</w:t>
      </w:r>
      <w:r>
        <w:rPr>
          <w:spacing w:val="3"/>
          <w:sz w:val="24"/>
        </w:rPr>
        <w:t xml:space="preserve"> </w:t>
      </w:r>
      <w:r>
        <w:rPr>
          <w:sz w:val="24"/>
        </w:rPr>
        <w:t>years</w:t>
      </w:r>
      <w:r>
        <w:rPr>
          <w:spacing w:val="1"/>
          <w:sz w:val="24"/>
        </w:rPr>
        <w:t xml:space="preserve"> </w:t>
      </w:r>
      <w:r>
        <w:rPr>
          <w:sz w:val="24"/>
        </w:rPr>
        <w:t>of</w:t>
      </w:r>
      <w:r>
        <w:rPr>
          <w:spacing w:val="-3"/>
          <w:sz w:val="24"/>
        </w:rPr>
        <w:t xml:space="preserve"> </w:t>
      </w:r>
      <w:r>
        <w:rPr>
          <w:sz w:val="24"/>
        </w:rPr>
        <w:t>age</w:t>
      </w:r>
      <w:r>
        <w:rPr>
          <w:spacing w:val="-2"/>
          <w:sz w:val="24"/>
        </w:rPr>
        <w:t xml:space="preserve"> </w:t>
      </w:r>
      <w:r>
        <w:rPr>
          <w:sz w:val="24"/>
        </w:rPr>
        <w:t>and</w:t>
      </w:r>
      <w:r>
        <w:rPr>
          <w:spacing w:val="1"/>
          <w:sz w:val="24"/>
        </w:rPr>
        <w:t xml:space="preserve"> </w:t>
      </w:r>
      <w:r>
        <w:rPr>
          <w:sz w:val="24"/>
        </w:rPr>
        <w:t>a</w:t>
      </w:r>
      <w:r>
        <w:rPr>
          <w:spacing w:val="-3"/>
          <w:sz w:val="24"/>
        </w:rPr>
        <w:t xml:space="preserve"> </w:t>
      </w:r>
      <w:r>
        <w:rPr>
          <w:sz w:val="24"/>
        </w:rPr>
        <w:t>full-time</w:t>
      </w:r>
      <w:r>
        <w:rPr>
          <w:spacing w:val="-2"/>
          <w:sz w:val="24"/>
        </w:rPr>
        <w:t xml:space="preserve"> </w:t>
      </w:r>
      <w:r>
        <w:rPr>
          <w:sz w:val="24"/>
        </w:rPr>
        <w:t>student,</w:t>
      </w:r>
      <w:r>
        <w:rPr>
          <w:spacing w:val="-1"/>
          <w:sz w:val="24"/>
        </w:rPr>
        <w:t xml:space="preserve"> </w:t>
      </w:r>
      <w:r>
        <w:rPr>
          <w:spacing w:val="-5"/>
          <w:sz w:val="24"/>
        </w:rPr>
        <w:t>or</w:t>
      </w:r>
    </w:p>
    <w:p w:rsidR="00EF14BB" w:rsidRPr="003F5E54" w:rsidP="00F358C7" w14:paraId="47B04DD4" w14:textId="77777777">
      <w:pPr>
        <w:pStyle w:val="ListParagraph"/>
        <w:numPr>
          <w:ilvl w:val="1"/>
          <w:numId w:val="2"/>
        </w:numPr>
        <w:tabs>
          <w:tab w:val="left" w:pos="1558"/>
        </w:tabs>
        <w:spacing w:before="41"/>
        <w:ind w:left="1439" w:hanging="359"/>
        <w:contextualSpacing w:val="0"/>
        <w:rPr>
          <w:sz w:val="24"/>
          <w:szCs w:val="24"/>
        </w:rPr>
      </w:pPr>
      <w:r w:rsidRPr="4D780A50">
        <w:rPr>
          <w:sz w:val="24"/>
          <w:szCs w:val="24"/>
        </w:rPr>
        <w:t>over 18 years old and incapable</w:t>
      </w:r>
      <w:r w:rsidRPr="4D780A50">
        <w:rPr>
          <w:spacing w:val="-3"/>
          <w:sz w:val="24"/>
          <w:szCs w:val="24"/>
        </w:rPr>
        <w:t xml:space="preserve"> </w:t>
      </w:r>
      <w:r w:rsidRPr="4D780A50">
        <w:rPr>
          <w:sz w:val="24"/>
          <w:szCs w:val="24"/>
        </w:rPr>
        <w:t>of</w:t>
      </w:r>
      <w:r w:rsidRPr="4D780A50">
        <w:rPr>
          <w:spacing w:val="-2"/>
          <w:sz w:val="24"/>
          <w:szCs w:val="24"/>
        </w:rPr>
        <w:t xml:space="preserve"> </w:t>
      </w:r>
      <w:r w:rsidRPr="4D780A50">
        <w:rPr>
          <w:sz w:val="24"/>
          <w:szCs w:val="24"/>
        </w:rPr>
        <w:t>self-support</w:t>
      </w:r>
      <w:r w:rsidRPr="4D780A50">
        <w:rPr>
          <w:spacing w:val="1"/>
          <w:sz w:val="24"/>
          <w:szCs w:val="24"/>
        </w:rPr>
        <w:t xml:space="preserve"> </w:t>
      </w:r>
      <w:r w:rsidRPr="4D780A50">
        <w:rPr>
          <w:sz w:val="24"/>
          <w:szCs w:val="24"/>
        </w:rPr>
        <w:t>due</w:t>
      </w:r>
      <w:r w:rsidRPr="4D780A50">
        <w:rPr>
          <w:spacing w:val="-2"/>
          <w:sz w:val="24"/>
          <w:szCs w:val="24"/>
        </w:rPr>
        <w:t xml:space="preserve"> </w:t>
      </w:r>
      <w:r w:rsidRPr="4D780A50">
        <w:rPr>
          <w:sz w:val="24"/>
          <w:szCs w:val="24"/>
        </w:rPr>
        <w:t>to</w:t>
      </w:r>
      <w:r w:rsidRPr="4D780A50">
        <w:rPr>
          <w:spacing w:val="-2"/>
          <w:sz w:val="24"/>
          <w:szCs w:val="24"/>
        </w:rPr>
        <w:t xml:space="preserve"> </w:t>
      </w:r>
      <w:r w:rsidRPr="4D780A50">
        <w:rPr>
          <w:sz w:val="24"/>
          <w:szCs w:val="24"/>
        </w:rPr>
        <w:t>a</w:t>
      </w:r>
      <w:r w:rsidRPr="4D780A50">
        <w:rPr>
          <w:spacing w:val="-2"/>
          <w:sz w:val="24"/>
          <w:szCs w:val="24"/>
        </w:rPr>
        <w:t xml:space="preserve"> </w:t>
      </w:r>
      <w:r w:rsidRPr="4D780A50">
        <w:rPr>
          <w:sz w:val="24"/>
          <w:szCs w:val="24"/>
        </w:rPr>
        <w:t>physical</w:t>
      </w:r>
      <w:r w:rsidRPr="4D780A50">
        <w:rPr>
          <w:spacing w:val="-1"/>
          <w:sz w:val="24"/>
          <w:szCs w:val="24"/>
        </w:rPr>
        <w:t xml:space="preserve"> </w:t>
      </w:r>
      <w:r w:rsidRPr="4D780A50">
        <w:rPr>
          <w:sz w:val="24"/>
          <w:szCs w:val="24"/>
        </w:rPr>
        <w:t>or</w:t>
      </w:r>
      <w:r w:rsidRPr="4D780A50">
        <w:rPr>
          <w:spacing w:val="-2"/>
          <w:sz w:val="24"/>
          <w:szCs w:val="24"/>
        </w:rPr>
        <w:t xml:space="preserve"> </w:t>
      </w:r>
      <w:r w:rsidRPr="4D780A50">
        <w:rPr>
          <w:sz w:val="24"/>
          <w:szCs w:val="24"/>
        </w:rPr>
        <w:t>mental</w:t>
      </w:r>
      <w:r w:rsidRPr="4D780A50">
        <w:rPr>
          <w:spacing w:val="-2"/>
          <w:sz w:val="24"/>
          <w:szCs w:val="24"/>
        </w:rPr>
        <w:t xml:space="preserve"> </w:t>
      </w:r>
      <w:r w:rsidRPr="4D780A50">
        <w:rPr>
          <w:sz w:val="24"/>
          <w:szCs w:val="24"/>
        </w:rPr>
        <w:t xml:space="preserve">disability, and </w:t>
      </w:r>
    </w:p>
    <w:p w:rsidR="00EF14BB" w:rsidRPr="003F5E54" w:rsidP="00F358C7" w14:paraId="51A69156" w14:textId="77777777">
      <w:pPr>
        <w:pStyle w:val="ListParagraph"/>
        <w:numPr>
          <w:ilvl w:val="1"/>
          <w:numId w:val="2"/>
        </w:numPr>
        <w:tabs>
          <w:tab w:val="left" w:pos="1558"/>
        </w:tabs>
        <w:spacing w:before="41"/>
        <w:ind w:left="1439" w:hanging="359"/>
        <w:contextualSpacing w:val="0"/>
        <w:rPr>
          <w:sz w:val="24"/>
        </w:rPr>
      </w:pPr>
      <w:r>
        <w:rPr>
          <w:spacing w:val="-4"/>
          <w:sz w:val="24"/>
        </w:rPr>
        <w:t>with respect to whom the injured countermeasure recipient’s parental rights have not been terminated.</w:t>
      </w:r>
    </w:p>
    <w:p w:rsidR="00EF14BB" w:rsidRPr="003F5E54" w:rsidP="00F358C7" w14:paraId="7E22697A" w14:textId="77777777">
      <w:pPr>
        <w:pStyle w:val="CommentText"/>
        <w:ind w:left="721"/>
        <w:rPr>
          <w:sz w:val="24"/>
          <w:szCs w:val="24"/>
        </w:rPr>
      </w:pPr>
    </w:p>
    <w:p w:rsidR="00EF14BB" w:rsidP="00F358C7" w14:paraId="09357A57" w14:textId="039C3DE2">
      <w:pPr>
        <w:pStyle w:val="CommentText"/>
        <w:ind w:left="721"/>
        <w:rPr>
          <w:sz w:val="24"/>
          <w:szCs w:val="24"/>
        </w:rPr>
      </w:pPr>
      <w:r w:rsidRPr="238D86E8">
        <w:rPr>
          <w:b/>
          <w:bCs/>
          <w:sz w:val="24"/>
          <w:szCs w:val="24"/>
        </w:rPr>
        <w:t xml:space="preserve">Adopted </w:t>
      </w:r>
      <w:r w:rsidRPr="238D86E8" w:rsidR="1557C4C7">
        <w:rPr>
          <w:b/>
          <w:bCs/>
          <w:sz w:val="24"/>
          <w:szCs w:val="24"/>
        </w:rPr>
        <w:t>c</w:t>
      </w:r>
      <w:r w:rsidRPr="238D86E8">
        <w:rPr>
          <w:b/>
          <w:bCs/>
          <w:sz w:val="24"/>
          <w:szCs w:val="24"/>
        </w:rPr>
        <w:t>hild</w:t>
      </w:r>
      <w:r w:rsidRPr="238D86E8" w:rsidR="39C11F70">
        <w:rPr>
          <w:b/>
          <w:bCs/>
          <w:sz w:val="24"/>
          <w:szCs w:val="24"/>
        </w:rPr>
        <w:t>:</w:t>
      </w:r>
      <w:r w:rsidRPr="238D86E8">
        <w:rPr>
          <w:sz w:val="24"/>
          <w:szCs w:val="24"/>
        </w:rPr>
        <w:t xml:space="preserve">  </w:t>
      </w:r>
      <w:r w:rsidRPr="238D86E8" w:rsidR="70E30833">
        <w:rPr>
          <w:sz w:val="24"/>
          <w:szCs w:val="24"/>
        </w:rPr>
        <w:t xml:space="preserve">A </w:t>
      </w:r>
      <w:r w:rsidRPr="238D86E8">
        <w:rPr>
          <w:sz w:val="24"/>
          <w:szCs w:val="24"/>
        </w:rPr>
        <w:t xml:space="preserve">child of an injured countermeasure recipient that is: (1) legally adopted by the injured countermeasure recipient; or (2) as of the injury date, and not being a stepchild, the individual was (i) known by the injured countermeasure recipient not to be his biological first-generation offspring; and (ii) after the injured countermeasure recipient obtained such knowledge, in a parent-child relationship with the injured countermeasure recipient. </w:t>
      </w:r>
    </w:p>
    <w:p w:rsidR="00EF14BB" w:rsidP="238D86E8" w14:paraId="63A30963" w14:textId="77777777">
      <w:pPr>
        <w:pStyle w:val="CommentText"/>
        <w:ind w:left="721"/>
        <w:rPr>
          <w:b/>
          <w:bCs/>
          <w:sz w:val="24"/>
          <w:szCs w:val="24"/>
        </w:rPr>
      </w:pPr>
    </w:p>
    <w:p w:rsidR="00EF14BB" w:rsidP="238D86E8" w14:paraId="00ABF422" w14:textId="65E26876">
      <w:pPr>
        <w:pStyle w:val="CommentText"/>
        <w:ind w:left="721"/>
        <w:rPr>
          <w:i/>
          <w:iCs/>
          <w:sz w:val="24"/>
          <w:szCs w:val="24"/>
        </w:rPr>
      </w:pPr>
      <w:r w:rsidRPr="238D86E8">
        <w:rPr>
          <w:b/>
          <w:bCs/>
          <w:sz w:val="24"/>
          <w:szCs w:val="24"/>
        </w:rPr>
        <w:t>Parent-child relationship</w:t>
      </w:r>
      <w:r w:rsidRPr="238D86E8" w:rsidR="6BC1EAF3">
        <w:rPr>
          <w:b/>
          <w:bCs/>
          <w:sz w:val="24"/>
          <w:szCs w:val="24"/>
        </w:rPr>
        <w:t>:</w:t>
      </w:r>
      <w:r w:rsidRPr="238D86E8">
        <w:rPr>
          <w:sz w:val="24"/>
          <w:szCs w:val="24"/>
        </w:rPr>
        <w:t xml:space="preserve">  </w:t>
      </w:r>
      <w:r w:rsidRPr="238D86E8" w:rsidR="5B329BBA">
        <w:rPr>
          <w:sz w:val="24"/>
          <w:szCs w:val="24"/>
        </w:rPr>
        <w:t>A</w:t>
      </w:r>
      <w:r w:rsidRPr="238D86E8">
        <w:rPr>
          <w:sz w:val="24"/>
          <w:szCs w:val="24"/>
        </w:rPr>
        <w:t xml:space="preserve"> relationship between an injured countermeasure recipient and another individual, in which the injured countermeasure recipient has the role of parent (other than biological or legally-adoptive), as shown by convincing evidence. </w:t>
      </w:r>
      <w:r w:rsidRPr="238D86E8">
        <w:rPr>
          <w:i/>
          <w:iCs/>
          <w:sz w:val="24"/>
          <w:szCs w:val="24"/>
        </w:rPr>
        <w:t xml:space="preserve"> </w:t>
      </w:r>
    </w:p>
    <w:p w:rsidR="55A2F222" w:rsidP="55A2F222" w14:paraId="04111FE6" w14:textId="6E2024AD">
      <w:pPr>
        <w:pStyle w:val="CommentText"/>
        <w:ind w:left="721"/>
        <w:rPr>
          <w:i/>
          <w:iCs/>
          <w:sz w:val="24"/>
          <w:szCs w:val="24"/>
        </w:rPr>
      </w:pPr>
    </w:p>
    <w:p w:rsidR="00EF14BB" w:rsidP="00F358C7" w14:paraId="1BCC1F9B" w14:textId="66BAA05D">
      <w:pPr>
        <w:pStyle w:val="CommentText"/>
        <w:ind w:left="721"/>
        <w:rPr>
          <w:sz w:val="24"/>
          <w:szCs w:val="24"/>
        </w:rPr>
      </w:pPr>
      <w:r w:rsidRPr="29178FD7">
        <w:rPr>
          <w:b/>
          <w:bCs/>
          <w:sz w:val="24"/>
          <w:szCs w:val="24"/>
        </w:rPr>
        <w:t xml:space="preserve">Illegitimate </w:t>
      </w:r>
      <w:r w:rsidRPr="29178FD7" w:rsidR="21877F61">
        <w:rPr>
          <w:b/>
          <w:bCs/>
          <w:sz w:val="24"/>
          <w:szCs w:val="24"/>
        </w:rPr>
        <w:t>c</w:t>
      </w:r>
      <w:r w:rsidRPr="29178FD7">
        <w:rPr>
          <w:b/>
          <w:bCs/>
          <w:sz w:val="24"/>
          <w:szCs w:val="24"/>
        </w:rPr>
        <w:t>hild</w:t>
      </w:r>
      <w:r w:rsidRPr="29178FD7" w:rsidR="37C3B4B1">
        <w:rPr>
          <w:b/>
          <w:bCs/>
          <w:sz w:val="24"/>
          <w:szCs w:val="24"/>
        </w:rPr>
        <w:t xml:space="preserve">: </w:t>
      </w:r>
      <w:r w:rsidRPr="29178FD7">
        <w:rPr>
          <w:sz w:val="24"/>
          <w:szCs w:val="24"/>
        </w:rPr>
        <w:t xml:space="preserve">An individual is an illegitimate child of an injured countermeasure recipient only if he is a natural child of the injured countermeasure recipient, and the injured countermeasure recipient is not married to the other biological parent at (or at any time after) the time of his conception. </w:t>
      </w:r>
    </w:p>
    <w:p w:rsidR="00EF14BB" w:rsidP="00F358C7" w14:paraId="00E52D44" w14:textId="77777777">
      <w:pPr>
        <w:pStyle w:val="CommentText"/>
        <w:ind w:left="721"/>
      </w:pPr>
    </w:p>
    <w:p w:rsidR="00EF14BB" w:rsidP="238D86E8" w14:paraId="52D5CED4" w14:textId="123FEEB5">
      <w:pPr>
        <w:pStyle w:val="CommentText"/>
        <w:ind w:left="721"/>
        <w:rPr>
          <w:sz w:val="24"/>
          <w:szCs w:val="24"/>
        </w:rPr>
      </w:pPr>
      <w:r w:rsidRPr="238D86E8">
        <w:rPr>
          <w:b/>
          <w:bCs/>
          <w:sz w:val="24"/>
          <w:szCs w:val="24"/>
        </w:rPr>
        <w:t>Natural child</w:t>
      </w:r>
      <w:r w:rsidRPr="238D86E8" w:rsidR="3F2C528B">
        <w:rPr>
          <w:b/>
          <w:bCs/>
          <w:sz w:val="24"/>
          <w:szCs w:val="24"/>
        </w:rPr>
        <w:t xml:space="preserve">: </w:t>
      </w:r>
      <w:r w:rsidRPr="238D86E8">
        <w:rPr>
          <w:sz w:val="24"/>
          <w:szCs w:val="24"/>
        </w:rPr>
        <w:t xml:space="preserve">An individual is a natural child of an injured countermeasure recipient only if he is a biological child of the injured countermeasure recipient, and the injured countermeasure recipient is alive at the time of his birth. </w:t>
      </w:r>
    </w:p>
    <w:p w:rsidR="238D86E8" w:rsidP="238D86E8" w14:paraId="1358000D" w14:textId="28D47FE0">
      <w:pPr>
        <w:pStyle w:val="CommentText"/>
        <w:ind w:left="721"/>
        <w:rPr>
          <w:sz w:val="24"/>
          <w:szCs w:val="24"/>
        </w:rPr>
      </w:pPr>
    </w:p>
    <w:p w:rsidR="00EF14BB" w:rsidP="00F358C7" w14:paraId="31E5238A" w14:textId="706E204D">
      <w:pPr>
        <w:pStyle w:val="CommentText"/>
        <w:ind w:left="721"/>
        <w:rPr>
          <w:sz w:val="24"/>
          <w:szCs w:val="24"/>
        </w:rPr>
      </w:pPr>
      <w:r w:rsidRPr="238D86E8">
        <w:rPr>
          <w:b/>
          <w:bCs/>
          <w:sz w:val="24"/>
          <w:szCs w:val="24"/>
        </w:rPr>
        <w:t>Biological</w:t>
      </w:r>
      <w:r w:rsidRPr="238D86E8" w:rsidR="392D99D7">
        <w:rPr>
          <w:b/>
          <w:bCs/>
          <w:sz w:val="24"/>
          <w:szCs w:val="24"/>
        </w:rPr>
        <w:t xml:space="preserve">: </w:t>
      </w:r>
      <w:r w:rsidRPr="238D86E8" w:rsidR="392D99D7">
        <w:rPr>
          <w:sz w:val="24"/>
          <w:szCs w:val="24"/>
        </w:rPr>
        <w:t>G</w:t>
      </w:r>
      <w:r w:rsidRPr="238D86E8">
        <w:rPr>
          <w:sz w:val="24"/>
          <w:szCs w:val="24"/>
        </w:rPr>
        <w:t>enetic,</w:t>
      </w:r>
      <w:r w:rsidRPr="238D86E8" w:rsidR="6E1AF955">
        <w:rPr>
          <w:sz w:val="24"/>
          <w:szCs w:val="24"/>
        </w:rPr>
        <w:t xml:space="preserve"> </w:t>
      </w:r>
      <w:r w:rsidRPr="238D86E8">
        <w:rPr>
          <w:sz w:val="24"/>
          <w:szCs w:val="24"/>
        </w:rPr>
        <w:t xml:space="preserve">but does not include circumstances where the genetic donation (under the laws of the jurisdiction where the offspring is conceived) does not (as of the time of such conception) legally confer parental rights and obligations. </w:t>
      </w:r>
    </w:p>
    <w:p w:rsidR="238D86E8" w:rsidP="238D86E8" w14:paraId="0FBB47DF" w14:textId="2CEFB843">
      <w:pPr>
        <w:pStyle w:val="CommentText"/>
        <w:ind w:left="721"/>
        <w:rPr>
          <w:sz w:val="24"/>
          <w:szCs w:val="24"/>
        </w:rPr>
      </w:pPr>
    </w:p>
    <w:p w:rsidR="00EF14BB" w:rsidRPr="00DB2911" w:rsidP="00F358C7" w14:paraId="3E9125CC" w14:textId="612BC05D">
      <w:pPr>
        <w:pStyle w:val="CommentText"/>
        <w:ind w:left="721"/>
        <w:rPr>
          <w:sz w:val="24"/>
          <w:szCs w:val="24"/>
        </w:rPr>
      </w:pPr>
      <w:r w:rsidRPr="238D86E8">
        <w:rPr>
          <w:b/>
          <w:bCs/>
          <w:sz w:val="24"/>
          <w:szCs w:val="24"/>
        </w:rPr>
        <w:t>Posthumous child</w:t>
      </w:r>
      <w:r w:rsidRPr="238D86E8" w:rsidR="20CC42B8">
        <w:rPr>
          <w:b/>
          <w:bCs/>
          <w:sz w:val="24"/>
          <w:szCs w:val="24"/>
        </w:rPr>
        <w:t xml:space="preserve">: </w:t>
      </w:r>
      <w:r w:rsidRPr="238D86E8">
        <w:rPr>
          <w:sz w:val="24"/>
          <w:szCs w:val="24"/>
        </w:rPr>
        <w:t>An individual is a posthumous child of an injured countermeasure recipient only if he is a biological child of the injured countermeasure recipient, and the injured countermeasure recipient is—</w:t>
      </w:r>
    </w:p>
    <w:p w:rsidR="00EF14BB" w:rsidRPr="00DB2911" w:rsidP="00F358C7" w14:paraId="6163D395" w14:textId="77777777">
      <w:pPr>
        <w:pStyle w:val="CommentText"/>
        <w:ind w:left="721"/>
        <w:rPr>
          <w:sz w:val="24"/>
          <w:szCs w:val="24"/>
        </w:rPr>
      </w:pPr>
      <w:r w:rsidRPr="00DB2911">
        <w:rPr>
          <w:sz w:val="24"/>
          <w:szCs w:val="24"/>
        </w:rPr>
        <w:t>(1) Alive at the time of his conception; and</w:t>
      </w:r>
    </w:p>
    <w:p w:rsidR="00EF14BB" w:rsidRPr="00DB2911" w:rsidP="00F358C7" w14:paraId="4DB8D81D" w14:textId="6FB1A481">
      <w:pPr>
        <w:pStyle w:val="CommentText"/>
        <w:ind w:left="721"/>
        <w:rPr>
          <w:sz w:val="24"/>
          <w:szCs w:val="24"/>
        </w:rPr>
      </w:pPr>
      <w:r w:rsidRPr="238D86E8">
        <w:rPr>
          <w:sz w:val="24"/>
          <w:szCs w:val="24"/>
        </w:rPr>
        <w:t>(2) Deceased at or before the time of his birth.</w:t>
      </w:r>
      <w:r w:rsidRPr="238D86E8" w:rsidR="17C76829">
        <w:rPr>
          <w:sz w:val="24"/>
          <w:szCs w:val="24"/>
        </w:rPr>
        <w:t xml:space="preserve"> </w:t>
      </w:r>
    </w:p>
    <w:p w:rsidR="00EF14BB" w:rsidP="00F358C7" w14:paraId="4747BA55" w14:textId="77777777">
      <w:pPr>
        <w:pStyle w:val="CommentText"/>
        <w:rPr>
          <w:sz w:val="24"/>
          <w:szCs w:val="24"/>
        </w:rPr>
      </w:pPr>
    </w:p>
    <w:p w:rsidR="00EF14BB" w:rsidP="00F358C7" w14:paraId="25C43B01" w14:textId="77777777">
      <w:pPr>
        <w:pStyle w:val="CommentText"/>
        <w:ind w:left="721"/>
        <w:rPr>
          <w:sz w:val="24"/>
          <w:szCs w:val="24"/>
        </w:rPr>
      </w:pPr>
    </w:p>
    <w:p w:rsidR="00EF14BB" w:rsidRPr="00426495" w:rsidP="00F358C7" w14:paraId="74184CF5" w14:textId="04A7F175">
      <w:pPr>
        <w:pStyle w:val="CommentText"/>
        <w:ind w:left="721"/>
        <w:rPr>
          <w:sz w:val="24"/>
          <w:szCs w:val="24"/>
        </w:rPr>
      </w:pPr>
      <w:r w:rsidRPr="238D86E8">
        <w:rPr>
          <w:b/>
          <w:bCs/>
          <w:sz w:val="24"/>
          <w:szCs w:val="24"/>
        </w:rPr>
        <w:t>Stepchild</w:t>
      </w:r>
      <w:r w:rsidRPr="238D86E8" w:rsidR="35222FE0">
        <w:rPr>
          <w:b/>
          <w:bCs/>
          <w:sz w:val="24"/>
          <w:szCs w:val="24"/>
        </w:rPr>
        <w:t xml:space="preserve">: </w:t>
      </w:r>
      <w:r w:rsidRPr="238D86E8">
        <w:rPr>
          <w:sz w:val="24"/>
          <w:szCs w:val="24"/>
        </w:rPr>
        <w:t>An individual is a stepchild of an injured countermeasure recipient only if the individual is the legally-adoptive or biological first-generation offspring of an injured countermeasure recipient’s current, deceased, or former spouse, which offspring (not having been legally adopted by the injured countermeasure recipient)—</w:t>
      </w:r>
    </w:p>
    <w:p w:rsidR="00EF14BB" w:rsidRPr="00426495" w:rsidP="00F358C7" w14:paraId="634D4AAA" w14:textId="77777777">
      <w:pPr>
        <w:pStyle w:val="CommentText"/>
        <w:ind w:left="721"/>
        <w:rPr>
          <w:sz w:val="24"/>
          <w:szCs w:val="24"/>
        </w:rPr>
      </w:pPr>
      <w:r w:rsidRPr="00426495">
        <w:rPr>
          <w:sz w:val="24"/>
          <w:szCs w:val="24"/>
        </w:rPr>
        <w:t xml:space="preserve">(1) Was conceived before the marriage of the </w:t>
      </w:r>
      <w:r>
        <w:rPr>
          <w:sz w:val="24"/>
          <w:szCs w:val="24"/>
        </w:rPr>
        <w:t xml:space="preserve">injured countermeasure recipient </w:t>
      </w:r>
      <w:r w:rsidRPr="00426495">
        <w:rPr>
          <w:sz w:val="24"/>
          <w:szCs w:val="24"/>
        </w:rPr>
        <w:t>and the spouse; and</w:t>
      </w:r>
    </w:p>
    <w:p w:rsidR="00EF14BB" w:rsidRPr="00426495" w:rsidP="00F358C7" w14:paraId="273638BF" w14:textId="77777777">
      <w:pPr>
        <w:pStyle w:val="CommentText"/>
        <w:ind w:left="721"/>
        <w:rPr>
          <w:sz w:val="24"/>
          <w:szCs w:val="24"/>
        </w:rPr>
      </w:pPr>
      <w:r w:rsidRPr="00426495">
        <w:rPr>
          <w:sz w:val="24"/>
          <w:szCs w:val="24"/>
        </w:rPr>
        <w:t>(2) As of the injury date—</w:t>
      </w:r>
    </w:p>
    <w:p w:rsidR="00EF14BB" w:rsidRPr="00426495" w:rsidP="00F358C7" w14:paraId="662BBAD2" w14:textId="77777777">
      <w:pPr>
        <w:pStyle w:val="CommentText"/>
        <w:ind w:left="721"/>
        <w:rPr>
          <w:sz w:val="24"/>
          <w:szCs w:val="24"/>
        </w:rPr>
      </w:pPr>
      <w:r w:rsidRPr="00426495">
        <w:rPr>
          <w:sz w:val="24"/>
          <w:szCs w:val="24"/>
        </w:rPr>
        <w:t xml:space="preserve">(i) Was known by the </w:t>
      </w:r>
      <w:r>
        <w:rPr>
          <w:sz w:val="24"/>
          <w:szCs w:val="24"/>
        </w:rPr>
        <w:t xml:space="preserve">injured countermeasure recipient </w:t>
      </w:r>
      <w:r w:rsidRPr="00426495">
        <w:rPr>
          <w:sz w:val="24"/>
          <w:szCs w:val="24"/>
        </w:rPr>
        <w:t>not to be his biological first-generation offspring; and</w:t>
      </w:r>
    </w:p>
    <w:p w:rsidR="00EF14BB" w:rsidRPr="00426495" w:rsidP="00F358C7" w14:paraId="36AAF669" w14:textId="77777777">
      <w:pPr>
        <w:pStyle w:val="CommentText"/>
        <w:ind w:left="721"/>
        <w:rPr>
          <w:sz w:val="24"/>
          <w:szCs w:val="24"/>
        </w:rPr>
      </w:pPr>
      <w:r w:rsidRPr="00426495">
        <w:rPr>
          <w:sz w:val="24"/>
          <w:szCs w:val="24"/>
        </w:rPr>
        <w:t xml:space="preserve">(ii) After the </w:t>
      </w:r>
      <w:r>
        <w:rPr>
          <w:sz w:val="24"/>
          <w:szCs w:val="24"/>
        </w:rPr>
        <w:t xml:space="preserve">injured countermeasure recipient </w:t>
      </w:r>
      <w:r w:rsidRPr="00426495">
        <w:rPr>
          <w:sz w:val="24"/>
          <w:szCs w:val="24"/>
        </w:rPr>
        <w:t>obtained such knowledge—</w:t>
      </w:r>
    </w:p>
    <w:p w:rsidR="00EF14BB" w:rsidRPr="00426495" w:rsidP="00F358C7" w14:paraId="57BBF81A" w14:textId="77777777">
      <w:pPr>
        <w:pStyle w:val="CommentText"/>
        <w:ind w:left="721"/>
        <w:rPr>
          <w:sz w:val="24"/>
          <w:szCs w:val="24"/>
        </w:rPr>
      </w:pPr>
      <w:r w:rsidRPr="00426495">
        <w:rPr>
          <w:sz w:val="24"/>
          <w:szCs w:val="24"/>
        </w:rPr>
        <w:t xml:space="preserve">(A) Received over half of his support from the </w:t>
      </w:r>
      <w:r>
        <w:rPr>
          <w:sz w:val="24"/>
          <w:szCs w:val="24"/>
        </w:rPr>
        <w:t>injured countermeasure recipient</w:t>
      </w:r>
      <w:r w:rsidRPr="00426495">
        <w:rPr>
          <w:sz w:val="24"/>
          <w:szCs w:val="24"/>
        </w:rPr>
        <w:t>;</w:t>
      </w:r>
    </w:p>
    <w:p w:rsidR="00F358C7" w:rsidP="00F358C7" w14:paraId="7ED3D468" w14:textId="77777777">
      <w:pPr>
        <w:pStyle w:val="CommentText"/>
        <w:ind w:left="721"/>
        <w:rPr>
          <w:sz w:val="24"/>
          <w:szCs w:val="24"/>
        </w:rPr>
      </w:pPr>
      <w:r w:rsidRPr="00426495">
        <w:rPr>
          <w:sz w:val="24"/>
          <w:szCs w:val="24"/>
        </w:rPr>
        <w:t xml:space="preserve">(B) Had as his principal place of abode the home of the </w:t>
      </w:r>
      <w:r>
        <w:rPr>
          <w:sz w:val="24"/>
          <w:szCs w:val="24"/>
        </w:rPr>
        <w:t>injured countermeasure recipient</w:t>
      </w:r>
      <w:r w:rsidRPr="00426495">
        <w:rPr>
          <w:sz w:val="24"/>
          <w:szCs w:val="24"/>
        </w:rPr>
        <w:t xml:space="preserve"> and was a member of the </w:t>
      </w:r>
      <w:r>
        <w:rPr>
          <w:sz w:val="24"/>
          <w:szCs w:val="24"/>
        </w:rPr>
        <w:t>injured countermeasure recipient’s</w:t>
      </w:r>
      <w:r w:rsidRPr="00426495">
        <w:rPr>
          <w:sz w:val="24"/>
          <w:szCs w:val="24"/>
        </w:rPr>
        <w:t xml:space="preserve"> household; or</w:t>
      </w:r>
    </w:p>
    <w:p w:rsidR="00EF14BB" w:rsidP="32B534BB" w14:paraId="1F1B471A" w14:textId="2AC80023">
      <w:pPr>
        <w:pStyle w:val="CommentText"/>
        <w:spacing w:before="82"/>
        <w:ind w:left="721"/>
        <w:rPr>
          <w:sz w:val="24"/>
          <w:szCs w:val="24"/>
        </w:rPr>
      </w:pPr>
      <w:r w:rsidRPr="238D86E8">
        <w:rPr>
          <w:sz w:val="24"/>
          <w:szCs w:val="24"/>
        </w:rPr>
        <w:t xml:space="preserve">(C) Was in a parent-child relationship with the injured countermeasure recipient. </w:t>
      </w:r>
    </w:p>
    <w:p w:rsidR="00EF14BB" w:rsidP="32B534BB" w14:paraId="3D703565" w14:textId="782CC2ED">
      <w:pPr>
        <w:spacing w:before="82"/>
      </w:pPr>
      <w:r>
        <w:rPr>
          <w:noProof/>
        </w:rPr>
        <w:drawing>
          <wp:inline distT="0" distB="0" distL="0" distR="0">
            <wp:extent cx="6129280" cy="54869"/>
            <wp:effectExtent l="0" t="0" r="0" b="0"/>
            <wp:docPr id="1246322179" name="Picture 1246322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322179" name=""/>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6129280" cy="54869"/>
                    </a:xfrm>
                    <a:prstGeom prst="rect">
                      <a:avLst/>
                    </a:prstGeom>
                  </pic:spPr>
                </pic:pic>
              </a:graphicData>
            </a:graphic>
          </wp:inline>
        </w:drawing>
      </w:r>
    </w:p>
    <w:p w:rsidR="00EF14BB" w:rsidP="32B534BB" w14:paraId="57564F47" w14:textId="50DE2660">
      <w:pPr>
        <w:spacing w:after="160"/>
      </w:pPr>
      <w:r w:rsidRPr="32B534BB">
        <w:rPr>
          <w:b/>
          <w:bCs/>
          <w:sz w:val="26"/>
          <w:szCs w:val="26"/>
        </w:rPr>
        <w:t>Parental Definitions</w:t>
      </w:r>
    </w:p>
    <w:p w:rsidR="00EF14BB" w:rsidP="238D86E8" w14:paraId="66EDBDA5" w14:textId="29321618">
      <w:pPr>
        <w:pStyle w:val="BodyText"/>
        <w:spacing w:before="82"/>
      </w:pPr>
    </w:p>
    <w:p w:rsidR="00EF14BB" w:rsidRPr="003F5E54" w:rsidP="238D86E8" w14:paraId="35B55DE6" w14:textId="1DEE9F6C">
      <w:pPr>
        <w:pStyle w:val="CommentText"/>
        <w:ind w:left="601"/>
        <w:rPr>
          <w:sz w:val="24"/>
          <w:szCs w:val="24"/>
        </w:rPr>
      </w:pPr>
      <w:r w:rsidRPr="0E2E03E8">
        <w:rPr>
          <w:b/>
          <w:bCs/>
          <w:sz w:val="24"/>
          <w:szCs w:val="24"/>
        </w:rPr>
        <w:t>Parent</w:t>
      </w:r>
      <w:r w:rsidRPr="0E2E03E8" w:rsidR="4579F615">
        <w:rPr>
          <w:b/>
          <w:bCs/>
          <w:sz w:val="24"/>
          <w:szCs w:val="24"/>
        </w:rPr>
        <w:t>:</w:t>
      </w:r>
      <w:r w:rsidRPr="0E2E03E8">
        <w:rPr>
          <w:b/>
          <w:bCs/>
          <w:sz w:val="24"/>
          <w:szCs w:val="24"/>
        </w:rPr>
        <w:t xml:space="preserve"> </w:t>
      </w:r>
      <w:r w:rsidRPr="0E2E03E8">
        <w:rPr>
          <w:i/>
          <w:iCs/>
          <w:sz w:val="24"/>
          <w:szCs w:val="24"/>
        </w:rPr>
        <w:t>of an injured countermeasure recipient</w:t>
      </w:r>
      <w:r w:rsidRPr="0E2E03E8">
        <w:rPr>
          <w:sz w:val="24"/>
          <w:szCs w:val="24"/>
        </w:rPr>
        <w:t xml:space="preserve"> means an injured countermeasure recipient’s surviving—(1) Biological or adoptive parent whose parental rights have not been terminated, as of the injury date; or (2) Step-parent. </w:t>
      </w:r>
    </w:p>
    <w:p w:rsidR="00EF14BB" w:rsidRPr="003F5E54" w:rsidP="238D86E8" w14:paraId="05ABC89B" w14:textId="25FF9669">
      <w:pPr>
        <w:pStyle w:val="CommentText"/>
        <w:ind w:left="601"/>
        <w:rPr>
          <w:sz w:val="24"/>
          <w:szCs w:val="24"/>
        </w:rPr>
      </w:pPr>
      <w:r w:rsidRPr="238D86E8">
        <w:rPr>
          <w:sz w:val="24"/>
          <w:szCs w:val="24"/>
        </w:rPr>
        <w:t xml:space="preserve"> </w:t>
      </w:r>
      <w:r>
        <w:tab/>
      </w:r>
    </w:p>
    <w:p w:rsidR="00EF14BB" w:rsidP="00F358C7" w14:paraId="4CBCDCDF" w14:textId="4FA3169D">
      <w:pPr>
        <w:pStyle w:val="CommentText"/>
        <w:ind w:left="601"/>
        <w:rPr>
          <w:sz w:val="24"/>
          <w:szCs w:val="24"/>
        </w:rPr>
      </w:pPr>
      <w:r w:rsidRPr="238D86E8">
        <w:rPr>
          <w:b/>
          <w:bCs/>
          <w:sz w:val="24"/>
          <w:szCs w:val="24"/>
        </w:rPr>
        <w:t>Adoptive parent of an injured countermeasure recipient</w:t>
      </w:r>
      <w:r w:rsidRPr="238D86E8" w:rsidR="719C1530">
        <w:rPr>
          <w:b/>
          <w:bCs/>
          <w:sz w:val="24"/>
          <w:szCs w:val="24"/>
        </w:rPr>
        <w:t>:</w:t>
      </w:r>
      <w:r w:rsidRPr="238D86E8">
        <w:rPr>
          <w:sz w:val="24"/>
          <w:szCs w:val="24"/>
        </w:rPr>
        <w:t xml:space="preserve"> </w:t>
      </w:r>
      <w:r w:rsidRPr="238D86E8" w:rsidR="0CAD7020">
        <w:rPr>
          <w:sz w:val="24"/>
          <w:szCs w:val="24"/>
        </w:rPr>
        <w:t>A</w:t>
      </w:r>
      <w:r w:rsidRPr="238D86E8">
        <w:rPr>
          <w:sz w:val="24"/>
          <w:szCs w:val="24"/>
        </w:rPr>
        <w:t xml:space="preserve">ny individual who (not being a step-parent), as of the injury date, was the legally-adoptive parent of the injured countermeasure recipient, or otherwise was in a child-parent relationship with him. </w:t>
      </w:r>
    </w:p>
    <w:p w:rsidR="238D86E8" w:rsidP="238D86E8" w14:paraId="2590F5D0" w14:textId="7E453EB8">
      <w:pPr>
        <w:pStyle w:val="CommentText"/>
        <w:ind w:left="601"/>
        <w:rPr>
          <w:sz w:val="24"/>
          <w:szCs w:val="24"/>
        </w:rPr>
      </w:pPr>
    </w:p>
    <w:p w:rsidR="00EF14BB" w:rsidP="00F358C7" w14:paraId="2A05A12C" w14:textId="54A4BF8B">
      <w:pPr>
        <w:pStyle w:val="CommentText"/>
        <w:ind w:left="601"/>
        <w:rPr>
          <w:sz w:val="24"/>
          <w:szCs w:val="24"/>
        </w:rPr>
      </w:pPr>
      <w:r w:rsidRPr="238D86E8">
        <w:rPr>
          <w:b/>
          <w:bCs/>
          <w:sz w:val="24"/>
          <w:szCs w:val="24"/>
        </w:rPr>
        <w:t>Child-parent relationship</w:t>
      </w:r>
      <w:r w:rsidRPr="238D86E8" w:rsidR="27D0308F">
        <w:rPr>
          <w:b/>
          <w:bCs/>
          <w:sz w:val="24"/>
          <w:szCs w:val="24"/>
        </w:rPr>
        <w:t>:</w:t>
      </w:r>
      <w:r w:rsidRPr="238D86E8">
        <w:rPr>
          <w:sz w:val="24"/>
          <w:szCs w:val="24"/>
        </w:rPr>
        <w:t xml:space="preserve"> </w:t>
      </w:r>
      <w:r w:rsidRPr="238D86E8" w:rsidR="3C6C9E2E">
        <w:rPr>
          <w:sz w:val="24"/>
          <w:szCs w:val="24"/>
        </w:rPr>
        <w:t xml:space="preserve">A </w:t>
      </w:r>
      <w:r w:rsidRPr="238D86E8">
        <w:rPr>
          <w:sz w:val="24"/>
          <w:szCs w:val="24"/>
        </w:rPr>
        <w:t xml:space="preserve">relationship between an injured countermeasure recipient and another individual, in which the individual (other than the injured countermeasure recipient’s biological or legally-adoptive parent) has the role of parent, as shown by convincing evidence. </w:t>
      </w:r>
    </w:p>
    <w:p w:rsidR="238D86E8" w:rsidP="238D86E8" w14:paraId="7C8307A5" w14:textId="5B58E002">
      <w:pPr>
        <w:pStyle w:val="CommentText"/>
        <w:ind w:left="601"/>
        <w:rPr>
          <w:sz w:val="24"/>
          <w:szCs w:val="24"/>
        </w:rPr>
      </w:pPr>
    </w:p>
    <w:p w:rsidR="00EF14BB" w:rsidRPr="00EC73D3" w:rsidP="00F358C7" w14:paraId="3504E934" w14:textId="1B2E6E1C">
      <w:pPr>
        <w:pStyle w:val="CommentText"/>
        <w:ind w:left="601"/>
        <w:rPr>
          <w:sz w:val="24"/>
          <w:szCs w:val="24"/>
        </w:rPr>
      </w:pPr>
      <w:r w:rsidRPr="29178FD7">
        <w:rPr>
          <w:b/>
          <w:bCs/>
          <w:sz w:val="24"/>
          <w:szCs w:val="24"/>
        </w:rPr>
        <w:t>Step-parent of an injured countermeasure recipient</w:t>
      </w:r>
      <w:r w:rsidRPr="29178FD7" w:rsidR="5F30A5FC">
        <w:rPr>
          <w:b/>
          <w:bCs/>
          <w:sz w:val="24"/>
          <w:szCs w:val="24"/>
        </w:rPr>
        <w:t>:</w:t>
      </w:r>
      <w:r w:rsidRPr="29178FD7">
        <w:rPr>
          <w:b/>
          <w:bCs/>
          <w:sz w:val="24"/>
          <w:szCs w:val="24"/>
        </w:rPr>
        <w:t xml:space="preserve"> </w:t>
      </w:r>
      <w:r w:rsidRPr="29178FD7" w:rsidR="2FA6F54C">
        <w:rPr>
          <w:sz w:val="24"/>
          <w:szCs w:val="24"/>
        </w:rPr>
        <w:t>A</w:t>
      </w:r>
      <w:r w:rsidRPr="29178FD7">
        <w:rPr>
          <w:sz w:val="24"/>
          <w:szCs w:val="24"/>
        </w:rPr>
        <w:t xml:space="preserve"> current or former spouse of the legally-adoptive or biological parent (living or deceased) of an injured countermeasure recipient conceived (or legally adopted) by that parent before the marriage of the spouse and the parent, which spouse (not being a legally-adoptive parent of the injured countermeasure recipient), as of the injury date,</w:t>
      </w:r>
    </w:p>
    <w:p w:rsidR="00EF14BB" w:rsidRPr="00EC73D3" w:rsidP="00F358C7" w14:paraId="18735007" w14:textId="77777777">
      <w:pPr>
        <w:pStyle w:val="CommentText"/>
        <w:ind w:left="601"/>
        <w:rPr>
          <w:sz w:val="24"/>
          <w:szCs w:val="24"/>
        </w:rPr>
      </w:pPr>
      <w:r w:rsidRPr="00EC73D3">
        <w:rPr>
          <w:sz w:val="24"/>
          <w:szCs w:val="24"/>
        </w:rPr>
        <w:t xml:space="preserve">(1) Received over half of his support from the </w:t>
      </w:r>
      <w:r>
        <w:rPr>
          <w:sz w:val="24"/>
          <w:szCs w:val="24"/>
        </w:rPr>
        <w:t>injured countermeasure recipient</w:t>
      </w:r>
      <w:r w:rsidRPr="00EC73D3">
        <w:rPr>
          <w:sz w:val="24"/>
          <w:szCs w:val="24"/>
        </w:rPr>
        <w:t>;</w:t>
      </w:r>
    </w:p>
    <w:p w:rsidR="00EF14BB" w:rsidRPr="00EC73D3" w:rsidP="00F358C7" w14:paraId="1AD1D1BF" w14:textId="77777777">
      <w:pPr>
        <w:pStyle w:val="CommentText"/>
        <w:ind w:left="601"/>
        <w:rPr>
          <w:sz w:val="24"/>
          <w:szCs w:val="24"/>
        </w:rPr>
      </w:pPr>
      <w:r w:rsidRPr="00EC73D3">
        <w:rPr>
          <w:sz w:val="24"/>
          <w:szCs w:val="24"/>
        </w:rPr>
        <w:t xml:space="preserve">(2) Had as his principal place of abode the home of the </w:t>
      </w:r>
      <w:r>
        <w:rPr>
          <w:sz w:val="24"/>
          <w:szCs w:val="24"/>
        </w:rPr>
        <w:t xml:space="preserve">injured countermeasure recipient </w:t>
      </w:r>
      <w:r w:rsidRPr="00EC73D3">
        <w:rPr>
          <w:sz w:val="24"/>
          <w:szCs w:val="24"/>
        </w:rPr>
        <w:t xml:space="preserve">and was a member of the </w:t>
      </w:r>
      <w:r>
        <w:rPr>
          <w:sz w:val="24"/>
          <w:szCs w:val="24"/>
        </w:rPr>
        <w:t>injured countermeasure recipient’s</w:t>
      </w:r>
      <w:r w:rsidRPr="00EC73D3">
        <w:rPr>
          <w:sz w:val="24"/>
          <w:szCs w:val="24"/>
        </w:rPr>
        <w:t xml:space="preserve"> household; or</w:t>
      </w:r>
    </w:p>
    <w:p w:rsidR="5A4386FB" w:rsidP="238D86E8" w14:paraId="1CE1D20B" w14:textId="69963B38">
      <w:pPr>
        <w:pStyle w:val="CommentText"/>
        <w:ind w:left="601"/>
        <w:rPr>
          <w:sz w:val="24"/>
          <w:szCs w:val="24"/>
        </w:rPr>
      </w:pPr>
      <w:r w:rsidRPr="238D86E8">
        <w:rPr>
          <w:sz w:val="24"/>
          <w:szCs w:val="24"/>
        </w:rPr>
        <w:t xml:space="preserve">(3) Was in a child-parent relationship with the injured countermeasure recipient. </w:t>
      </w:r>
    </w:p>
    <w:p w:rsidR="238D86E8" w:rsidP="238D86E8" w14:paraId="43353468" w14:textId="28729FB8">
      <w:pPr>
        <w:pStyle w:val="CommentText"/>
        <w:ind w:left="601"/>
        <w:rPr>
          <w:sz w:val="24"/>
          <w:szCs w:val="24"/>
        </w:rPr>
      </w:pPr>
    </w:p>
    <w:p w:rsidR="1E944430" w:rsidP="238D86E8" w14:paraId="2AD5A070" w14:textId="4156485D">
      <w:pPr>
        <w:spacing w:after="160"/>
      </w:pPr>
      <w:r w:rsidRPr="238D86E8">
        <w:rPr>
          <w:b/>
          <w:bCs/>
          <w:sz w:val="26"/>
          <w:szCs w:val="26"/>
        </w:rPr>
        <w:t>Other Definitions</w:t>
      </w:r>
    </w:p>
    <w:p w:rsidR="000729AF" w:rsidRPr="00CB0CEA" w:rsidP="238D86E8" w14:paraId="05C3E109" w14:textId="5E4629CE">
      <w:pPr>
        <w:ind w:firstLine="720"/>
        <w:rPr>
          <w:sz w:val="24"/>
          <w:szCs w:val="24"/>
        </w:rPr>
      </w:pPr>
      <w:r w:rsidRPr="238D86E8">
        <w:rPr>
          <w:b/>
          <w:bCs/>
          <w:sz w:val="24"/>
          <w:szCs w:val="24"/>
        </w:rPr>
        <w:t xml:space="preserve">Legal guardian of a </w:t>
      </w:r>
      <w:r w:rsidRPr="238D86E8" w:rsidR="07792BD6">
        <w:rPr>
          <w:b/>
          <w:bCs/>
          <w:sz w:val="24"/>
          <w:szCs w:val="24"/>
        </w:rPr>
        <w:t xml:space="preserve">minor </w:t>
      </w:r>
      <w:r w:rsidRPr="238D86E8">
        <w:rPr>
          <w:b/>
          <w:bCs/>
          <w:sz w:val="24"/>
          <w:szCs w:val="24"/>
        </w:rPr>
        <w:t>deceased injured countermeasure recipient</w:t>
      </w:r>
      <w:r w:rsidRPr="238D86E8" w:rsidR="453BB40B">
        <w:rPr>
          <w:b/>
          <w:bCs/>
          <w:sz w:val="24"/>
          <w:szCs w:val="24"/>
        </w:rPr>
        <w:t xml:space="preserve">: </w:t>
      </w:r>
      <w:r w:rsidRPr="238D86E8" w:rsidR="453BB40B">
        <w:rPr>
          <w:sz w:val="24"/>
          <w:szCs w:val="24"/>
        </w:rPr>
        <w:t>T</w:t>
      </w:r>
      <w:r w:rsidRPr="238D86E8" w:rsidR="07792BD6">
        <w:rPr>
          <w:sz w:val="24"/>
          <w:szCs w:val="24"/>
        </w:rPr>
        <w:t>he</w:t>
      </w:r>
      <w:r w:rsidRPr="238D86E8">
        <w:rPr>
          <w:sz w:val="24"/>
          <w:szCs w:val="24"/>
        </w:rPr>
        <w:t xml:space="preserve"> minor’s </w:t>
      </w:r>
      <w:r w:rsidR="00CB0CEA">
        <w:tab/>
      </w:r>
      <w:r w:rsidRPr="238D86E8">
        <w:rPr>
          <w:sz w:val="24"/>
          <w:szCs w:val="24"/>
        </w:rPr>
        <w:t>guardian as documented by appointment of guardianship by a court of competent</w:t>
      </w:r>
      <w:r w:rsidRPr="238D86E8" w:rsidR="5FCB97F8">
        <w:rPr>
          <w:sz w:val="24"/>
          <w:szCs w:val="24"/>
        </w:rPr>
        <w:t xml:space="preserve"> </w:t>
      </w:r>
      <w:r w:rsidR="00CB0CEA">
        <w:tab/>
      </w:r>
      <w:r w:rsidRPr="238D86E8">
        <w:rPr>
          <w:sz w:val="24"/>
          <w:szCs w:val="24"/>
        </w:rPr>
        <w:t>jurisdiction in accordance with state law</w:t>
      </w:r>
      <w:r w:rsidRPr="238D86E8" w:rsidR="79BA0ACB">
        <w:rPr>
          <w:sz w:val="24"/>
          <w:szCs w:val="24"/>
        </w:rPr>
        <w:t>.</w:t>
      </w:r>
    </w:p>
    <w:p w:rsidR="000729AF" w:rsidP="000729AF" w14:paraId="469CC759" w14:textId="77777777">
      <w:pPr>
        <w:rPr>
          <w:b/>
          <w:bCs/>
          <w:i/>
          <w:iCs/>
          <w:sz w:val="23"/>
          <w:szCs w:val="23"/>
        </w:rPr>
      </w:pPr>
    </w:p>
    <w:p w:rsidR="000729AF" w:rsidP="238D86E8" w14:paraId="25989EB7" w14:textId="2634BBF5">
      <w:pPr>
        <w:spacing w:before="42"/>
      </w:pPr>
      <w:r>
        <w:rPr>
          <w:noProof/>
        </w:rPr>
        <w:drawing>
          <wp:inline distT="0" distB="0" distL="0" distR="0">
            <wp:extent cx="5943600" cy="53207"/>
            <wp:effectExtent l="0" t="0" r="0" b="0"/>
            <wp:docPr id="634073619" name="Picture 634073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073619" name=""/>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943600" cy="53207"/>
                    </a:xfrm>
                    <a:prstGeom prst="rect">
                      <a:avLst/>
                    </a:prstGeom>
                  </pic:spPr>
                </pic:pic>
              </a:graphicData>
            </a:graphic>
          </wp:inline>
        </w:drawing>
      </w:r>
    </w:p>
    <w:p w:rsidR="00EF14BB" w:rsidP="238D86E8" w14:paraId="31F7841A" w14:textId="089151EC">
      <w:pPr>
        <w:spacing w:after="160" w:line="276" w:lineRule="auto"/>
      </w:pPr>
      <w:r w:rsidRPr="238D86E8">
        <w:rPr>
          <w:b/>
          <w:bCs/>
          <w:sz w:val="26"/>
          <w:szCs w:val="26"/>
        </w:rPr>
        <w:t>Additional definitions used for determining survivorship under the Alternative Calculation</w:t>
      </w:r>
    </w:p>
    <w:p w:rsidR="00EF14BB" w:rsidP="00F358C7" w14:paraId="6D6D8910" w14:textId="797B61C2">
      <w:pPr>
        <w:pStyle w:val="BodyText"/>
        <w:spacing w:before="1" w:line="276" w:lineRule="auto"/>
        <w:ind w:left="720" w:right="229"/>
      </w:pPr>
    </w:p>
    <w:p w:rsidR="00F358C7" w:rsidP="00F358C7" w14:paraId="35F0BD8F" w14:textId="4AADE224">
      <w:pPr>
        <w:pStyle w:val="CommentText"/>
        <w:ind w:left="601"/>
        <w:rPr>
          <w:sz w:val="24"/>
          <w:szCs w:val="24"/>
        </w:rPr>
      </w:pPr>
      <w:r w:rsidRPr="238D86E8">
        <w:rPr>
          <w:b/>
          <w:bCs/>
          <w:sz w:val="24"/>
          <w:szCs w:val="24"/>
        </w:rPr>
        <w:t>Minor dependent</w:t>
      </w:r>
      <w:r w:rsidRPr="238D86E8" w:rsidR="170C68A3">
        <w:rPr>
          <w:b/>
          <w:bCs/>
          <w:sz w:val="24"/>
          <w:szCs w:val="24"/>
        </w:rPr>
        <w:t xml:space="preserve">: </w:t>
      </w:r>
      <w:r w:rsidRPr="238D86E8" w:rsidR="170C68A3">
        <w:rPr>
          <w:sz w:val="24"/>
          <w:szCs w:val="24"/>
        </w:rPr>
        <w:t>A</w:t>
      </w:r>
      <w:r w:rsidRPr="238D86E8" w:rsidR="02F5CB04">
        <w:rPr>
          <w:sz w:val="24"/>
          <w:szCs w:val="24"/>
        </w:rPr>
        <w:t xml:space="preserve"> </w:t>
      </w:r>
      <w:r w:rsidRPr="238D86E8" w:rsidR="5A4386FB">
        <w:rPr>
          <w:sz w:val="24"/>
          <w:szCs w:val="24"/>
        </w:rPr>
        <w:t xml:space="preserve">person whom the Internal Revenue Service would consider to be the deceased injured countermeasure recipient’s dependent at the time the covered injury was sustained and who is younger than the age of 18 at the time of the filing of the Request Form. </w:t>
      </w:r>
      <w:r w:rsidRPr="238D86E8" w:rsidR="02F5CB04">
        <w:rPr>
          <w:sz w:val="24"/>
          <w:szCs w:val="24"/>
        </w:rPr>
        <w:t xml:space="preserve">“Minor dependents” includes the individuals who qualify under the category above under “child” who is younger than the age of 18, and dependents of the deceased injured countermeasure recipient such as nieces, nephews, foster children and other minors. </w:t>
      </w:r>
    </w:p>
    <w:p w:rsidR="00EF14BB" w:rsidP="00F358C7" w14:paraId="36F9BE0C" w14:textId="77777777">
      <w:pPr>
        <w:pStyle w:val="BodyText"/>
      </w:pPr>
    </w:p>
    <w:p w:rsidR="0E2E03E8" w:rsidP="0E2E03E8" w14:paraId="6DCFC696" w14:textId="6C4C84EC">
      <w:pPr>
        <w:pStyle w:val="BodyText"/>
      </w:pPr>
    </w:p>
    <w:p w:rsidR="417BCA2D" w:rsidP="0E2E03E8" w14:paraId="2B4E20F1" w14:textId="5F5D81D8">
      <w:r w:rsidRPr="0E2E03E8">
        <w:rPr>
          <w:rFonts w:ascii="Arial" w:eastAsia="Arial" w:hAnsi="Arial" w:cs="Arial"/>
          <w:b/>
          <w:bCs/>
          <w:color w:val="000000" w:themeColor="text1"/>
          <w:sz w:val="23"/>
          <w:szCs w:val="23"/>
        </w:rPr>
        <w:t xml:space="preserve">PUBLIC BURDEN STATEMENT </w:t>
      </w:r>
      <w:r w:rsidRPr="0E2E03E8">
        <w:rPr>
          <w:rFonts w:ascii="Arial" w:eastAsia="Arial" w:hAnsi="Arial" w:cs="Arial"/>
          <w:color w:val="000000" w:themeColor="text1"/>
          <w:sz w:val="23"/>
          <w:szCs w:val="23"/>
        </w:rPr>
        <w:t>The purpose of this data collection is to gather information to allow the Secretary of Health and Human Services to determine if requesters are eligible for Countermeasure Injury Compensation Program (CICP) benefits. Requesters (or their representatives) must submit appropriate documentation forms and relevant medical records as specified in 42 CFR</w:t>
      </w:r>
      <w:r w:rsidRPr="0E2E03E8">
        <w:rPr>
          <w:rFonts w:ascii="Arial" w:eastAsia="Arial" w:hAnsi="Arial" w:cs="Arial"/>
          <w:sz w:val="23"/>
          <w:szCs w:val="23"/>
          <w:u w:val="single"/>
        </w:rPr>
        <w:t xml:space="preserve"> Part</w:t>
      </w:r>
      <w:r w:rsidRPr="0E2E03E8">
        <w:rPr>
          <w:rFonts w:ascii="Arial" w:eastAsia="Arial" w:hAnsi="Arial" w:cs="Arial"/>
          <w:sz w:val="23"/>
          <w:szCs w:val="23"/>
        </w:rPr>
        <w:t xml:space="preserve"> 110</w:t>
      </w:r>
      <w:r w:rsidRPr="0E2E03E8">
        <w:rPr>
          <w:rFonts w:ascii="Arial" w:eastAsia="Arial" w:hAnsi="Arial" w:cs="Arial"/>
          <w:sz w:val="23"/>
          <w:szCs w:val="23"/>
          <w:u w:val="single"/>
        </w:rPr>
        <w:t>, subpart G.</w:t>
      </w:r>
      <w:r w:rsidRPr="0E2E03E8">
        <w:rPr>
          <w:rFonts w:ascii="Arial" w:eastAsia="Arial" w:hAnsi="Arial" w:cs="Arial"/>
          <w:color w:val="0078D4"/>
          <w:sz w:val="23"/>
          <w:szCs w:val="23"/>
          <w:u w:val="single"/>
        </w:rPr>
        <w:t xml:space="preserve"> </w:t>
      </w:r>
      <w:r w:rsidRPr="0E2E03E8">
        <w:rPr>
          <w:rFonts w:ascii="Arial" w:eastAsia="Arial" w:hAnsi="Arial" w:cs="Arial"/>
          <w:color w:val="000000" w:themeColor="text1"/>
          <w:sz w:val="23"/>
          <w:szCs w:val="23"/>
        </w:rPr>
        <w:t xml:space="preserve">to the CICP. An agency may not conduct or sponsor, and a person is not required to respond to, a collection of information unless it displays a currently valid OMB control number. The OMB control number for this information collection is 0915-0334 and it is valid until 4/30/2026. This information collection is required to obtain or retain a benefit (42 CFR Part 110). Access to these records is strictly limited to authorized users who are aware of their responsibilities under the Privacy Act and who are required to maintain Privacy Act safeguards with respect to such records. The System of Records Notice for Injury Compensation Programs, HHS/HRSA/HSB, System No. 09–15–0056, identifies authorized users. Public reporting burden for this collection of information is estimated to average </w:t>
      </w:r>
      <w:r w:rsidRPr="005A2FF9" w:rsidR="005A2FF9">
        <w:rPr>
          <w:rFonts w:ascii="Arial" w:eastAsia="Arial" w:hAnsi="Arial" w:cs="Arial"/>
          <w:sz w:val="23"/>
          <w:szCs w:val="23"/>
        </w:rPr>
        <w:t>10</w:t>
      </w:r>
      <w:r w:rsidRPr="005A2FF9">
        <w:rPr>
          <w:rFonts w:ascii="Arial" w:eastAsia="Arial" w:hAnsi="Arial" w:cs="Arial"/>
          <w:sz w:val="23"/>
          <w:szCs w:val="23"/>
        </w:rPr>
        <w:t xml:space="preserve"> </w:t>
      </w:r>
      <w:r w:rsidRPr="0E2E03E8">
        <w:rPr>
          <w:rFonts w:ascii="Arial" w:eastAsia="Arial" w:hAnsi="Arial" w:cs="Arial"/>
          <w:color w:val="000000" w:themeColor="text1"/>
          <w:sz w:val="23"/>
          <w:szCs w:val="23"/>
        </w:rPr>
        <w:t>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Please do not send documents related to an individual claim to paperwork@hrsa.gov.</w:t>
      </w:r>
    </w:p>
    <w:p w:rsidR="0E2E03E8" w:rsidP="0E2E03E8" w14:paraId="6A7B5490" w14:textId="7BD45F56">
      <w:pPr>
        <w:pStyle w:val="BodyText"/>
      </w:pPr>
    </w:p>
    <w:p w:rsidR="00EF14BB" w:rsidP="00F358C7" w14:paraId="0EE970CF" w14:textId="77777777"/>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0BCF961" w14:textId="77777777" w:rsidTr="55A2F222">
      <w:tblPrEx>
        <w:tblW w:w="0" w:type="auto"/>
        <w:tblLayout w:type="fixed"/>
        <w:tblLook w:val="06A0"/>
      </w:tblPrEx>
      <w:trPr>
        <w:trHeight w:val="300"/>
      </w:trPr>
      <w:tc>
        <w:tcPr>
          <w:tcW w:w="3120" w:type="dxa"/>
        </w:tcPr>
        <w:p w:rsidR="55A2F222" w:rsidP="55A2F222" w14:paraId="5A6F76A4" w14:textId="0D856BEF">
          <w:pPr>
            <w:pStyle w:val="Header"/>
            <w:ind w:left="-115"/>
          </w:pPr>
        </w:p>
      </w:tc>
      <w:tc>
        <w:tcPr>
          <w:tcW w:w="3120" w:type="dxa"/>
        </w:tcPr>
        <w:p w:rsidR="55A2F222" w:rsidP="55A2F222" w14:paraId="74EBF460" w14:textId="12615860">
          <w:pPr>
            <w:pStyle w:val="Header"/>
            <w:jc w:val="center"/>
          </w:pPr>
        </w:p>
      </w:tc>
      <w:tc>
        <w:tcPr>
          <w:tcW w:w="3120" w:type="dxa"/>
        </w:tcPr>
        <w:p w:rsidR="55A2F222" w:rsidP="55A2F222" w14:paraId="3C3F836A" w14:textId="485B2BDE">
          <w:pPr>
            <w:pStyle w:val="Header"/>
            <w:ind w:right="-115"/>
            <w:jc w:val="right"/>
          </w:pPr>
        </w:p>
      </w:tc>
    </w:tr>
  </w:tbl>
  <w:p w:rsidR="55A2F222" w:rsidP="55A2F222" w14:paraId="22E24E80" w14:textId="64802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4202" w:rsidP="00F358C7" w14:paraId="7A10C10A" w14:textId="77777777">
      <w:r>
        <w:separator/>
      </w:r>
    </w:p>
  </w:footnote>
  <w:footnote w:type="continuationSeparator" w:id="1">
    <w:p w:rsidR="00064202" w:rsidP="00F358C7" w14:paraId="487A0BBC" w14:textId="77777777">
      <w:r>
        <w:continuationSeparator/>
      </w:r>
    </w:p>
  </w:footnote>
  <w:footnote w:id="2">
    <w:p w:rsidR="00F358C7" w14:paraId="4661602C" w14:textId="30DCBC6C">
      <w:pPr>
        <w:pStyle w:val="FootnoteText"/>
      </w:pPr>
      <w:r>
        <w:rPr>
          <w:rStyle w:val="FootnoteReference"/>
        </w:rPr>
        <w:footnoteRef/>
      </w:r>
      <w:r>
        <w:t xml:space="preserve"> </w:t>
      </w:r>
      <w:r w:rsidRPr="005654B5">
        <w:t xml:space="preserve">With limited exceptions, </w:t>
      </w:r>
      <w:r>
        <w:t xml:space="preserve">under the standard calculation, </w:t>
      </w:r>
      <w:r w:rsidRPr="005654B5">
        <w:t>the CICP</w:t>
      </w:r>
      <w:r>
        <w:t xml:space="preserve"> </w:t>
      </w:r>
      <w:r w:rsidRPr="005654B5">
        <w:t>follows the requirements of the P</w:t>
      </w:r>
      <w:r>
        <w:t>ublic Safety Officers’ Benefits (P</w:t>
      </w:r>
      <w:r w:rsidRPr="005654B5">
        <w:t>SOB</w:t>
      </w:r>
      <w:r>
        <w:t xml:space="preserve">) </w:t>
      </w:r>
      <w:r w:rsidRPr="005654B5">
        <w:t>Program with respect to the categories of</w:t>
      </w:r>
      <w:r>
        <w:t xml:space="preserve"> </w:t>
      </w:r>
      <w:r w:rsidRPr="005654B5">
        <w:t>eligible survivors</w:t>
      </w:r>
      <w:r>
        <w:t xml:space="preserve"> </w:t>
      </w:r>
      <w:r w:rsidRPr="005654B5">
        <w:t>and the order</w:t>
      </w:r>
      <w:r>
        <w:t xml:space="preserve"> </w:t>
      </w:r>
      <w:r w:rsidRPr="005654B5">
        <w:t>of priority for payments of death</w:t>
      </w:r>
      <w:r>
        <w:t xml:space="preserve"> </w:t>
      </w:r>
      <w:r w:rsidRPr="005654B5">
        <w:t xml:space="preserve">benefits. </w:t>
      </w:r>
      <w:r>
        <w:t>42 C.F.R. § 110.11. For</w:t>
      </w:r>
      <w:r>
        <w:rPr>
          <w:spacing w:val="-5"/>
        </w:rPr>
        <w:t xml:space="preserve"> </w:t>
      </w:r>
      <w:r>
        <w:t>more</w:t>
      </w:r>
      <w:r>
        <w:rPr>
          <w:spacing w:val="-5"/>
        </w:rPr>
        <w:t xml:space="preserve"> </w:t>
      </w:r>
      <w:r>
        <w:t>information</w:t>
      </w:r>
      <w:r>
        <w:rPr>
          <w:spacing w:val="-4"/>
        </w:rPr>
        <w:t xml:space="preserve"> </w:t>
      </w:r>
      <w:r>
        <w:t>on</w:t>
      </w:r>
      <w:r>
        <w:rPr>
          <w:spacing w:val="-4"/>
        </w:rPr>
        <w:t xml:space="preserve"> </w:t>
      </w:r>
      <w:r>
        <w:t>the</w:t>
      </w:r>
      <w:r>
        <w:rPr>
          <w:spacing w:val="-5"/>
        </w:rPr>
        <w:t xml:space="preserve"> </w:t>
      </w:r>
      <w:r>
        <w:t>PSOB</w:t>
      </w:r>
      <w:r>
        <w:rPr>
          <w:spacing w:val="-6"/>
        </w:rPr>
        <w:t xml:space="preserve"> </w:t>
      </w:r>
      <w:r>
        <w:t>Program,</w:t>
      </w:r>
      <w:r>
        <w:rPr>
          <w:spacing w:val="-4"/>
        </w:rPr>
        <w:t xml:space="preserve"> </w:t>
      </w:r>
      <w:r>
        <w:t>please</w:t>
      </w:r>
      <w:r>
        <w:rPr>
          <w:spacing w:val="-5"/>
        </w:rPr>
        <w:t xml:space="preserve"> </w:t>
      </w:r>
      <w:r>
        <w:t>see:</w:t>
      </w:r>
      <w:r>
        <w:rPr>
          <w:spacing w:val="-4"/>
        </w:rPr>
        <w:t xml:space="preserve"> </w:t>
      </w:r>
      <w:hyperlink r:id="rId1">
        <w:r>
          <w:rPr>
            <w:color w:val="0000FF"/>
            <w:u w:val="single" w:color="0000FF"/>
          </w:rPr>
          <w:t>https://www.psob.gov</w:t>
        </w:r>
        <w: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29AF" w:rsidP="238D86E8" w14:paraId="28DC6500" w14:textId="63E3EA71">
    <w:pPr>
      <w:pStyle w:val="Header"/>
    </w:pPr>
    <w:r>
      <w:t xml:space="preserve">ATTACHMENT 2 </w:t>
    </w:r>
    <w:r>
      <w:tab/>
    </w:r>
    <w:r>
      <w:t xml:space="preserve">                                                     Website Update </w:t>
    </w:r>
    <w:hyperlink r:id="rId1">
      <w:r w:rsidRPr="238D86E8">
        <w:rPr>
          <w:rStyle w:val="Hyperlink"/>
        </w:rPr>
        <w:t>Who Can File for Benefits? | HRSA</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B939F0"/>
    <w:multiLevelType w:val="hybridMultilevel"/>
    <w:tmpl w:val="C144FA34"/>
    <w:lvl w:ilvl="0">
      <w:start w:val="1"/>
      <w:numFmt w:val="decimal"/>
      <w:lvlText w:val="%1."/>
      <w:lvlJc w:val="left"/>
      <w:pPr>
        <w:ind w:left="8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672" w:hanging="360"/>
      </w:pPr>
      <w:rPr>
        <w:rFonts w:hint="default"/>
        <w:lang w:val="en-US" w:eastAsia="en-US" w:bidi="ar-SA"/>
      </w:rPr>
    </w:lvl>
    <w:lvl w:ilvl="3">
      <w:start w:val="0"/>
      <w:numFmt w:val="bullet"/>
      <w:lvlText w:val="•"/>
      <w:lvlJc w:val="left"/>
      <w:pPr>
        <w:ind w:left="3588" w:hanging="360"/>
      </w:pPr>
      <w:rPr>
        <w:rFonts w:hint="default"/>
        <w:lang w:val="en-US" w:eastAsia="en-US" w:bidi="ar-SA"/>
      </w:rPr>
    </w:lvl>
    <w:lvl w:ilvl="4">
      <w:start w:val="0"/>
      <w:numFmt w:val="bullet"/>
      <w:lvlText w:val="•"/>
      <w:lvlJc w:val="left"/>
      <w:pPr>
        <w:ind w:left="4504" w:hanging="360"/>
      </w:pPr>
      <w:rPr>
        <w:rFonts w:hint="default"/>
        <w:lang w:val="en-US" w:eastAsia="en-US" w:bidi="ar-SA"/>
      </w:rPr>
    </w:lvl>
    <w:lvl w:ilvl="5">
      <w:start w:val="0"/>
      <w:numFmt w:val="bullet"/>
      <w:lvlText w:val="•"/>
      <w:lvlJc w:val="left"/>
      <w:pPr>
        <w:ind w:left="542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52" w:hanging="360"/>
      </w:pPr>
      <w:rPr>
        <w:rFonts w:hint="default"/>
        <w:lang w:val="en-US" w:eastAsia="en-US" w:bidi="ar-SA"/>
      </w:rPr>
    </w:lvl>
    <w:lvl w:ilvl="8">
      <w:start w:val="0"/>
      <w:numFmt w:val="bullet"/>
      <w:lvlText w:val="•"/>
      <w:lvlJc w:val="left"/>
      <w:pPr>
        <w:ind w:left="8168" w:hanging="360"/>
      </w:pPr>
      <w:rPr>
        <w:rFonts w:hint="default"/>
        <w:lang w:val="en-US" w:eastAsia="en-US" w:bidi="ar-SA"/>
      </w:rPr>
    </w:lvl>
  </w:abstractNum>
  <w:abstractNum w:abstractNumId="1">
    <w:nsid w:val="277F7E24"/>
    <w:multiLevelType w:val="hybridMultilevel"/>
    <w:tmpl w:val="E2520218"/>
    <w:lvl w:ilvl="0">
      <w:start w:val="1"/>
      <w:numFmt w:val="decimal"/>
      <w:lvlText w:val="%1."/>
      <w:lvlJc w:val="left"/>
      <w:pPr>
        <w:ind w:left="8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15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497" w:hanging="360"/>
      </w:pPr>
      <w:rPr>
        <w:rFonts w:hint="default"/>
        <w:lang w:val="en-US" w:eastAsia="en-US" w:bidi="ar-SA"/>
      </w:rPr>
    </w:lvl>
    <w:lvl w:ilvl="3">
      <w:start w:val="0"/>
      <w:numFmt w:val="bullet"/>
      <w:lvlText w:val="•"/>
      <w:lvlJc w:val="left"/>
      <w:pPr>
        <w:ind w:left="3435" w:hanging="360"/>
      </w:pPr>
      <w:rPr>
        <w:rFonts w:hint="default"/>
        <w:lang w:val="en-US" w:eastAsia="en-US" w:bidi="ar-SA"/>
      </w:rPr>
    </w:lvl>
    <w:lvl w:ilvl="4">
      <w:start w:val="0"/>
      <w:numFmt w:val="bullet"/>
      <w:lvlText w:val="•"/>
      <w:lvlJc w:val="left"/>
      <w:pPr>
        <w:ind w:left="4373" w:hanging="360"/>
      </w:pPr>
      <w:rPr>
        <w:rFonts w:hint="default"/>
        <w:lang w:val="en-US" w:eastAsia="en-US" w:bidi="ar-SA"/>
      </w:rPr>
    </w:lvl>
    <w:lvl w:ilvl="5">
      <w:start w:val="0"/>
      <w:numFmt w:val="bullet"/>
      <w:lvlText w:val="•"/>
      <w:lvlJc w:val="left"/>
      <w:pPr>
        <w:ind w:left="5311" w:hanging="360"/>
      </w:pPr>
      <w:rPr>
        <w:rFonts w:hint="default"/>
        <w:lang w:val="en-US" w:eastAsia="en-US" w:bidi="ar-SA"/>
      </w:rPr>
    </w:lvl>
    <w:lvl w:ilvl="6">
      <w:start w:val="0"/>
      <w:numFmt w:val="bullet"/>
      <w:lvlText w:val="•"/>
      <w:lvlJc w:val="left"/>
      <w:pPr>
        <w:ind w:left="6248" w:hanging="360"/>
      </w:pPr>
      <w:rPr>
        <w:rFonts w:hint="default"/>
        <w:lang w:val="en-US" w:eastAsia="en-US" w:bidi="ar-SA"/>
      </w:rPr>
    </w:lvl>
    <w:lvl w:ilvl="7">
      <w:start w:val="0"/>
      <w:numFmt w:val="bullet"/>
      <w:lvlText w:val="•"/>
      <w:lvlJc w:val="left"/>
      <w:pPr>
        <w:ind w:left="7186" w:hanging="360"/>
      </w:pPr>
      <w:rPr>
        <w:rFonts w:hint="default"/>
        <w:lang w:val="en-US" w:eastAsia="en-US" w:bidi="ar-SA"/>
      </w:rPr>
    </w:lvl>
    <w:lvl w:ilvl="8">
      <w:start w:val="0"/>
      <w:numFmt w:val="bullet"/>
      <w:lvlText w:val="•"/>
      <w:lvlJc w:val="left"/>
      <w:pPr>
        <w:ind w:left="8124" w:hanging="360"/>
      </w:pPr>
      <w:rPr>
        <w:rFonts w:hint="default"/>
        <w:lang w:val="en-US" w:eastAsia="en-US" w:bidi="ar-SA"/>
      </w:rPr>
    </w:lvl>
  </w:abstractNum>
  <w:num w:numId="1" w16cid:durableId="1588617881">
    <w:abstractNumId w:val="0"/>
  </w:num>
  <w:num w:numId="2" w16cid:durableId="1059477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4BB"/>
    <w:rsid w:val="00064202"/>
    <w:rsid w:val="000729AF"/>
    <w:rsid w:val="00113FCD"/>
    <w:rsid w:val="00160E79"/>
    <w:rsid w:val="001873CD"/>
    <w:rsid w:val="00196A73"/>
    <w:rsid w:val="003B5CC1"/>
    <w:rsid w:val="003F5E54"/>
    <w:rsid w:val="00415BF3"/>
    <w:rsid w:val="00426495"/>
    <w:rsid w:val="00495119"/>
    <w:rsid w:val="004B6666"/>
    <w:rsid w:val="004F7B62"/>
    <w:rsid w:val="005654B5"/>
    <w:rsid w:val="005A2FF9"/>
    <w:rsid w:val="005C0F82"/>
    <w:rsid w:val="005D192E"/>
    <w:rsid w:val="006219EE"/>
    <w:rsid w:val="006A0E9F"/>
    <w:rsid w:val="00786BE8"/>
    <w:rsid w:val="00791729"/>
    <w:rsid w:val="007D3E36"/>
    <w:rsid w:val="00842CD3"/>
    <w:rsid w:val="00857D43"/>
    <w:rsid w:val="008752D1"/>
    <w:rsid w:val="008BC7E7"/>
    <w:rsid w:val="0093725F"/>
    <w:rsid w:val="00977FD7"/>
    <w:rsid w:val="00993575"/>
    <w:rsid w:val="00A85166"/>
    <w:rsid w:val="00B32AB9"/>
    <w:rsid w:val="00B74B15"/>
    <w:rsid w:val="00BD0896"/>
    <w:rsid w:val="00CB0CEA"/>
    <w:rsid w:val="00CE22BD"/>
    <w:rsid w:val="00CF5581"/>
    <w:rsid w:val="00D72D1F"/>
    <w:rsid w:val="00D848B2"/>
    <w:rsid w:val="00DB2911"/>
    <w:rsid w:val="00DB637F"/>
    <w:rsid w:val="00E07DE1"/>
    <w:rsid w:val="00EC73D3"/>
    <w:rsid w:val="00ED3124"/>
    <w:rsid w:val="00ED5BBD"/>
    <w:rsid w:val="00EF14BB"/>
    <w:rsid w:val="00F358C7"/>
    <w:rsid w:val="00FA7BB4"/>
    <w:rsid w:val="01082A44"/>
    <w:rsid w:val="023BD443"/>
    <w:rsid w:val="0246324C"/>
    <w:rsid w:val="02709F67"/>
    <w:rsid w:val="02F5CB04"/>
    <w:rsid w:val="03E12AC4"/>
    <w:rsid w:val="0459E635"/>
    <w:rsid w:val="045B1C9E"/>
    <w:rsid w:val="04B88C4E"/>
    <w:rsid w:val="056F5023"/>
    <w:rsid w:val="05869D27"/>
    <w:rsid w:val="068408FC"/>
    <w:rsid w:val="071CD828"/>
    <w:rsid w:val="0743E5D1"/>
    <w:rsid w:val="075669E1"/>
    <w:rsid w:val="07792BD6"/>
    <w:rsid w:val="07EB85F9"/>
    <w:rsid w:val="08814632"/>
    <w:rsid w:val="08C6D242"/>
    <w:rsid w:val="091D17DA"/>
    <w:rsid w:val="09C93043"/>
    <w:rsid w:val="0A457740"/>
    <w:rsid w:val="0AC41F61"/>
    <w:rsid w:val="0B020CB2"/>
    <w:rsid w:val="0BB2C63A"/>
    <w:rsid w:val="0C3116D1"/>
    <w:rsid w:val="0CAD7020"/>
    <w:rsid w:val="0D4F8A28"/>
    <w:rsid w:val="0E2E03E8"/>
    <w:rsid w:val="0E909145"/>
    <w:rsid w:val="0FB88C46"/>
    <w:rsid w:val="10372B35"/>
    <w:rsid w:val="1039AF9D"/>
    <w:rsid w:val="10549379"/>
    <w:rsid w:val="1054C3BE"/>
    <w:rsid w:val="128505BD"/>
    <w:rsid w:val="12E0C9BC"/>
    <w:rsid w:val="1305B3B7"/>
    <w:rsid w:val="14266DC9"/>
    <w:rsid w:val="14C1C7F3"/>
    <w:rsid w:val="14DA7EE7"/>
    <w:rsid w:val="1508946D"/>
    <w:rsid w:val="1557C4C7"/>
    <w:rsid w:val="1563E882"/>
    <w:rsid w:val="16633661"/>
    <w:rsid w:val="16D6E713"/>
    <w:rsid w:val="17027E52"/>
    <w:rsid w:val="170C68A3"/>
    <w:rsid w:val="1768492C"/>
    <w:rsid w:val="17C76829"/>
    <w:rsid w:val="195C3518"/>
    <w:rsid w:val="1AE8D1E5"/>
    <w:rsid w:val="1BBF65CF"/>
    <w:rsid w:val="1DEEE59C"/>
    <w:rsid w:val="1E944430"/>
    <w:rsid w:val="1EC210DC"/>
    <w:rsid w:val="1F056D81"/>
    <w:rsid w:val="1F1DB6A6"/>
    <w:rsid w:val="1F23CE9D"/>
    <w:rsid w:val="1F30DE64"/>
    <w:rsid w:val="1FFC7A2F"/>
    <w:rsid w:val="20BF7177"/>
    <w:rsid w:val="20CC42B8"/>
    <w:rsid w:val="20D69DC5"/>
    <w:rsid w:val="216F74B5"/>
    <w:rsid w:val="21708BA3"/>
    <w:rsid w:val="21877F61"/>
    <w:rsid w:val="238D86E8"/>
    <w:rsid w:val="23F34AEE"/>
    <w:rsid w:val="24F39AE9"/>
    <w:rsid w:val="25B38DBF"/>
    <w:rsid w:val="260851C4"/>
    <w:rsid w:val="27D0308F"/>
    <w:rsid w:val="27DB129F"/>
    <w:rsid w:val="28041B97"/>
    <w:rsid w:val="2817A685"/>
    <w:rsid w:val="283C6AE0"/>
    <w:rsid w:val="288AD14A"/>
    <w:rsid w:val="29178FD7"/>
    <w:rsid w:val="298895C6"/>
    <w:rsid w:val="29C5D8EC"/>
    <w:rsid w:val="2A40FC28"/>
    <w:rsid w:val="2CB40EE8"/>
    <w:rsid w:val="2CEE5401"/>
    <w:rsid w:val="2DC4343A"/>
    <w:rsid w:val="2DE732F1"/>
    <w:rsid w:val="2DF4D5BD"/>
    <w:rsid w:val="2E279C19"/>
    <w:rsid w:val="2F7EF327"/>
    <w:rsid w:val="2FA6F54C"/>
    <w:rsid w:val="2FF8A2F2"/>
    <w:rsid w:val="30D298DD"/>
    <w:rsid w:val="3152EA5D"/>
    <w:rsid w:val="318DEA4E"/>
    <w:rsid w:val="31F6D239"/>
    <w:rsid w:val="324F104A"/>
    <w:rsid w:val="32B534BB"/>
    <w:rsid w:val="3318D56B"/>
    <w:rsid w:val="334BD47A"/>
    <w:rsid w:val="343C6DE6"/>
    <w:rsid w:val="3448D94A"/>
    <w:rsid w:val="34D2863F"/>
    <w:rsid w:val="35222FE0"/>
    <w:rsid w:val="3538F21B"/>
    <w:rsid w:val="35E6FB14"/>
    <w:rsid w:val="3659F29C"/>
    <w:rsid w:val="37C3B4B1"/>
    <w:rsid w:val="38066D4D"/>
    <w:rsid w:val="38D5B135"/>
    <w:rsid w:val="392D99D7"/>
    <w:rsid w:val="39B8E43D"/>
    <w:rsid w:val="39C11F70"/>
    <w:rsid w:val="3A369861"/>
    <w:rsid w:val="3B038011"/>
    <w:rsid w:val="3B38CFEF"/>
    <w:rsid w:val="3C210EAF"/>
    <w:rsid w:val="3C3B950B"/>
    <w:rsid w:val="3C5D8DE1"/>
    <w:rsid w:val="3C6C9E2E"/>
    <w:rsid w:val="3D28028D"/>
    <w:rsid w:val="3D68AD99"/>
    <w:rsid w:val="3E82F40E"/>
    <w:rsid w:val="3F2C528B"/>
    <w:rsid w:val="3F925981"/>
    <w:rsid w:val="3FA2B6BE"/>
    <w:rsid w:val="3FA3AFE9"/>
    <w:rsid w:val="3FB5EDE7"/>
    <w:rsid w:val="40202415"/>
    <w:rsid w:val="4025A233"/>
    <w:rsid w:val="40F19C00"/>
    <w:rsid w:val="416A9AD0"/>
    <w:rsid w:val="417BCA2D"/>
    <w:rsid w:val="447BC11A"/>
    <w:rsid w:val="44B13434"/>
    <w:rsid w:val="4534FE35"/>
    <w:rsid w:val="453BB40B"/>
    <w:rsid w:val="455AEAD2"/>
    <w:rsid w:val="4579F615"/>
    <w:rsid w:val="45DFABCB"/>
    <w:rsid w:val="477E6B0D"/>
    <w:rsid w:val="491C9D2F"/>
    <w:rsid w:val="4A35FAF0"/>
    <w:rsid w:val="4AB39F20"/>
    <w:rsid w:val="4ABC4009"/>
    <w:rsid w:val="4D70D09B"/>
    <w:rsid w:val="4D780A50"/>
    <w:rsid w:val="4D7F9CEB"/>
    <w:rsid w:val="4D9F9BFD"/>
    <w:rsid w:val="4DC86FA2"/>
    <w:rsid w:val="4E9F0B98"/>
    <w:rsid w:val="4EB53872"/>
    <w:rsid w:val="4F1DD1C4"/>
    <w:rsid w:val="4FA8CEEB"/>
    <w:rsid w:val="4FE80161"/>
    <w:rsid w:val="503B0C0B"/>
    <w:rsid w:val="519B97D1"/>
    <w:rsid w:val="51F36DA1"/>
    <w:rsid w:val="522862DF"/>
    <w:rsid w:val="52B14B15"/>
    <w:rsid w:val="53EF9A51"/>
    <w:rsid w:val="542C8CB6"/>
    <w:rsid w:val="556F5533"/>
    <w:rsid w:val="55A2F222"/>
    <w:rsid w:val="560FDE76"/>
    <w:rsid w:val="56CF9D59"/>
    <w:rsid w:val="56FB6979"/>
    <w:rsid w:val="578E73C3"/>
    <w:rsid w:val="57C1713F"/>
    <w:rsid w:val="57FF03D5"/>
    <w:rsid w:val="589A0F79"/>
    <w:rsid w:val="58B0AA81"/>
    <w:rsid w:val="58FBC414"/>
    <w:rsid w:val="59046F05"/>
    <w:rsid w:val="5922C74F"/>
    <w:rsid w:val="59D3F711"/>
    <w:rsid w:val="5A4386FB"/>
    <w:rsid w:val="5A4C9119"/>
    <w:rsid w:val="5B2D5952"/>
    <w:rsid w:val="5B329BBA"/>
    <w:rsid w:val="5B3BCFA6"/>
    <w:rsid w:val="5C596C0D"/>
    <w:rsid w:val="5D0105D3"/>
    <w:rsid w:val="5DD3711B"/>
    <w:rsid w:val="5E11F915"/>
    <w:rsid w:val="5F30A5FC"/>
    <w:rsid w:val="5F680283"/>
    <w:rsid w:val="5FCB97F8"/>
    <w:rsid w:val="60B1BA2E"/>
    <w:rsid w:val="60FA7717"/>
    <w:rsid w:val="6161A787"/>
    <w:rsid w:val="61792A06"/>
    <w:rsid w:val="6203454D"/>
    <w:rsid w:val="62675466"/>
    <w:rsid w:val="62928315"/>
    <w:rsid w:val="62971900"/>
    <w:rsid w:val="62CCEEA6"/>
    <w:rsid w:val="6325D13A"/>
    <w:rsid w:val="640CEBBF"/>
    <w:rsid w:val="640D2632"/>
    <w:rsid w:val="654A50FC"/>
    <w:rsid w:val="6606A5A4"/>
    <w:rsid w:val="661AF673"/>
    <w:rsid w:val="66C798FD"/>
    <w:rsid w:val="66C9C312"/>
    <w:rsid w:val="677577BB"/>
    <w:rsid w:val="67DD5A08"/>
    <w:rsid w:val="685ACFF2"/>
    <w:rsid w:val="68695121"/>
    <w:rsid w:val="68AEFD53"/>
    <w:rsid w:val="68B02E0C"/>
    <w:rsid w:val="6A8E7920"/>
    <w:rsid w:val="6B936B62"/>
    <w:rsid w:val="6BAF0308"/>
    <w:rsid w:val="6BC1EAF3"/>
    <w:rsid w:val="6BCF2A52"/>
    <w:rsid w:val="6C5EA76C"/>
    <w:rsid w:val="6CBF1BB9"/>
    <w:rsid w:val="6D4B2AE8"/>
    <w:rsid w:val="6DAAE523"/>
    <w:rsid w:val="6DE450B6"/>
    <w:rsid w:val="6E064C34"/>
    <w:rsid w:val="6E1AF955"/>
    <w:rsid w:val="6E7E0851"/>
    <w:rsid w:val="705F67DA"/>
    <w:rsid w:val="70E30833"/>
    <w:rsid w:val="70F24859"/>
    <w:rsid w:val="715B55EB"/>
    <w:rsid w:val="7167D51B"/>
    <w:rsid w:val="719553A5"/>
    <w:rsid w:val="719C1530"/>
    <w:rsid w:val="720DE8B5"/>
    <w:rsid w:val="7330B554"/>
    <w:rsid w:val="73AAFC83"/>
    <w:rsid w:val="73F96318"/>
    <w:rsid w:val="744D8B84"/>
    <w:rsid w:val="74C0191A"/>
    <w:rsid w:val="74D037DC"/>
    <w:rsid w:val="75241B52"/>
    <w:rsid w:val="755241FB"/>
    <w:rsid w:val="755DA6B0"/>
    <w:rsid w:val="75DC12FD"/>
    <w:rsid w:val="75F6F7B1"/>
    <w:rsid w:val="763F372F"/>
    <w:rsid w:val="76CD5886"/>
    <w:rsid w:val="76FBEB6F"/>
    <w:rsid w:val="777D5B0B"/>
    <w:rsid w:val="77F9175D"/>
    <w:rsid w:val="78B3B781"/>
    <w:rsid w:val="78E1BFFC"/>
    <w:rsid w:val="78EDEA52"/>
    <w:rsid w:val="79BA0ACB"/>
    <w:rsid w:val="79CC3018"/>
    <w:rsid w:val="7A3C0E01"/>
    <w:rsid w:val="7CB520FA"/>
    <w:rsid w:val="7CB75229"/>
    <w:rsid w:val="7DADFA09"/>
    <w:rsid w:val="7DC98866"/>
    <w:rsid w:val="7E6622DC"/>
    <w:rsid w:val="7E8669D0"/>
    <w:rsid w:val="7EE26E08"/>
    <w:rsid w:val="7F027DCA"/>
    <w:rsid w:val="7F1B464A"/>
    <w:rsid w:val="7F2745F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BA2070"/>
  <w15:chartTrackingRefBased/>
  <w15:docId w15:val="{53FFB516-6504-4A0E-9797-BAE02673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14B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EF14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4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4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4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4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4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4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4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4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4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4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4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4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4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4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4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4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4BB"/>
    <w:rPr>
      <w:rFonts w:eastAsiaTheme="majorEastAsia" w:cstheme="majorBidi"/>
      <w:color w:val="272727" w:themeColor="text1" w:themeTint="D8"/>
    </w:rPr>
  </w:style>
  <w:style w:type="paragraph" w:styleId="Title">
    <w:name w:val="Title"/>
    <w:basedOn w:val="Normal"/>
    <w:next w:val="Normal"/>
    <w:link w:val="TitleChar"/>
    <w:uiPriority w:val="10"/>
    <w:qFormat/>
    <w:rsid w:val="00EF14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4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4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4BB"/>
    <w:pPr>
      <w:spacing w:before="160"/>
      <w:jc w:val="center"/>
    </w:pPr>
    <w:rPr>
      <w:i/>
      <w:iCs/>
      <w:color w:val="404040" w:themeColor="text1" w:themeTint="BF"/>
    </w:rPr>
  </w:style>
  <w:style w:type="character" w:customStyle="1" w:styleId="QuoteChar">
    <w:name w:val="Quote Char"/>
    <w:basedOn w:val="DefaultParagraphFont"/>
    <w:link w:val="Quote"/>
    <w:uiPriority w:val="29"/>
    <w:rsid w:val="00EF14BB"/>
    <w:rPr>
      <w:i/>
      <w:iCs/>
      <w:color w:val="404040" w:themeColor="text1" w:themeTint="BF"/>
    </w:rPr>
  </w:style>
  <w:style w:type="paragraph" w:styleId="ListParagraph">
    <w:name w:val="List Paragraph"/>
    <w:basedOn w:val="Normal"/>
    <w:uiPriority w:val="1"/>
    <w:qFormat/>
    <w:rsid w:val="00EF14BB"/>
    <w:pPr>
      <w:ind w:left="720"/>
      <w:contextualSpacing/>
    </w:pPr>
  </w:style>
  <w:style w:type="character" w:styleId="IntenseEmphasis">
    <w:name w:val="Intense Emphasis"/>
    <w:basedOn w:val="DefaultParagraphFont"/>
    <w:uiPriority w:val="21"/>
    <w:qFormat/>
    <w:rsid w:val="00EF14BB"/>
    <w:rPr>
      <w:i/>
      <w:iCs/>
      <w:color w:val="0F4761" w:themeColor="accent1" w:themeShade="BF"/>
    </w:rPr>
  </w:style>
  <w:style w:type="paragraph" w:styleId="IntenseQuote">
    <w:name w:val="Intense Quote"/>
    <w:basedOn w:val="Normal"/>
    <w:next w:val="Normal"/>
    <w:link w:val="IntenseQuoteChar"/>
    <w:uiPriority w:val="30"/>
    <w:qFormat/>
    <w:rsid w:val="00EF1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4BB"/>
    <w:rPr>
      <w:i/>
      <w:iCs/>
      <w:color w:val="0F4761" w:themeColor="accent1" w:themeShade="BF"/>
    </w:rPr>
  </w:style>
  <w:style w:type="character" w:styleId="IntenseReference">
    <w:name w:val="Intense Reference"/>
    <w:basedOn w:val="DefaultParagraphFont"/>
    <w:uiPriority w:val="32"/>
    <w:qFormat/>
    <w:rsid w:val="00EF14BB"/>
    <w:rPr>
      <w:b/>
      <w:bCs/>
      <w:smallCaps/>
      <w:color w:val="0F4761" w:themeColor="accent1" w:themeShade="BF"/>
      <w:spacing w:val="5"/>
    </w:rPr>
  </w:style>
  <w:style w:type="paragraph" w:styleId="BodyText">
    <w:name w:val="Body Text"/>
    <w:basedOn w:val="Normal"/>
    <w:link w:val="BodyTextChar"/>
    <w:uiPriority w:val="1"/>
    <w:qFormat/>
    <w:rsid w:val="00EF14BB"/>
    <w:rPr>
      <w:sz w:val="24"/>
      <w:szCs w:val="24"/>
    </w:rPr>
  </w:style>
  <w:style w:type="character" w:customStyle="1" w:styleId="BodyTextChar">
    <w:name w:val="Body Text Char"/>
    <w:basedOn w:val="DefaultParagraphFont"/>
    <w:link w:val="BodyText"/>
    <w:uiPriority w:val="1"/>
    <w:rsid w:val="00EF14BB"/>
    <w:rPr>
      <w:rFonts w:ascii="Times New Roman" w:eastAsia="Times New Roman" w:hAnsi="Times New Roman" w:cs="Times New Roman"/>
      <w:kern w:val="0"/>
      <w14:ligatures w14:val="none"/>
    </w:rPr>
  </w:style>
  <w:style w:type="paragraph" w:styleId="CommentText">
    <w:name w:val="annotation text"/>
    <w:basedOn w:val="Normal"/>
    <w:link w:val="CommentTextChar"/>
    <w:uiPriority w:val="99"/>
    <w:unhideWhenUsed/>
    <w:rsid w:val="00EF14BB"/>
    <w:rPr>
      <w:sz w:val="20"/>
      <w:szCs w:val="20"/>
    </w:rPr>
  </w:style>
  <w:style w:type="character" w:customStyle="1" w:styleId="CommentTextChar">
    <w:name w:val="Comment Text Char"/>
    <w:basedOn w:val="DefaultParagraphFont"/>
    <w:link w:val="CommentText"/>
    <w:uiPriority w:val="99"/>
    <w:rsid w:val="00EF14BB"/>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EF14BB"/>
    <w:rPr>
      <w:sz w:val="16"/>
      <w:szCs w:val="16"/>
    </w:rPr>
  </w:style>
  <w:style w:type="character" w:styleId="Hyperlink">
    <w:name w:val="Hyperlink"/>
    <w:basedOn w:val="DefaultParagraphFont"/>
    <w:uiPriority w:val="99"/>
    <w:unhideWhenUsed/>
    <w:rsid w:val="00EF14BB"/>
    <w:rPr>
      <w:color w:val="467886" w:themeColor="hyperlink"/>
      <w:u w:val="single"/>
    </w:rPr>
  </w:style>
  <w:style w:type="character" w:styleId="UnresolvedMention">
    <w:name w:val="Unresolved Mention"/>
    <w:basedOn w:val="DefaultParagraphFont"/>
    <w:uiPriority w:val="99"/>
    <w:semiHidden/>
    <w:unhideWhenUsed/>
    <w:rsid w:val="00ED3124"/>
    <w:rPr>
      <w:color w:val="605E5C"/>
      <w:shd w:val="clear" w:color="auto" w:fill="E1DFDD"/>
    </w:rPr>
  </w:style>
  <w:style w:type="paragraph" w:styleId="FootnoteText">
    <w:name w:val="footnote text"/>
    <w:basedOn w:val="Normal"/>
    <w:link w:val="FootnoteTextChar"/>
    <w:uiPriority w:val="99"/>
    <w:semiHidden/>
    <w:unhideWhenUsed/>
    <w:rsid w:val="00F358C7"/>
    <w:rPr>
      <w:sz w:val="20"/>
      <w:szCs w:val="20"/>
    </w:rPr>
  </w:style>
  <w:style w:type="character" w:customStyle="1" w:styleId="FootnoteTextChar">
    <w:name w:val="Footnote Text Char"/>
    <w:basedOn w:val="DefaultParagraphFont"/>
    <w:link w:val="FootnoteText"/>
    <w:uiPriority w:val="99"/>
    <w:semiHidden/>
    <w:rsid w:val="00F358C7"/>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F358C7"/>
    <w:rPr>
      <w:vertAlign w:val="superscript"/>
    </w:rPr>
  </w:style>
  <w:style w:type="paragraph" w:styleId="Header">
    <w:name w:val="header"/>
    <w:basedOn w:val="Normal"/>
    <w:link w:val="HeaderChar"/>
    <w:uiPriority w:val="99"/>
    <w:unhideWhenUsed/>
    <w:rsid w:val="000729AF"/>
    <w:pPr>
      <w:tabs>
        <w:tab w:val="center" w:pos="4680"/>
        <w:tab w:val="right" w:pos="9360"/>
      </w:tabs>
    </w:pPr>
  </w:style>
  <w:style w:type="character" w:customStyle="1" w:styleId="HeaderChar">
    <w:name w:val="Header Char"/>
    <w:basedOn w:val="DefaultParagraphFont"/>
    <w:link w:val="Header"/>
    <w:uiPriority w:val="99"/>
    <w:rsid w:val="000729AF"/>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0729AF"/>
    <w:pPr>
      <w:tabs>
        <w:tab w:val="center" w:pos="4680"/>
        <w:tab w:val="right" w:pos="9360"/>
      </w:tabs>
    </w:pPr>
  </w:style>
  <w:style w:type="character" w:customStyle="1" w:styleId="FooterChar">
    <w:name w:val="Footer Char"/>
    <w:basedOn w:val="DefaultParagraphFont"/>
    <w:link w:val="Footer"/>
    <w:uiPriority w:val="99"/>
    <w:rsid w:val="000729AF"/>
    <w:rPr>
      <w:rFonts w:ascii="Times New Roman" w:eastAsia="Times New Roman" w:hAnsi="Times New Roman" w:cs="Times New Roman"/>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160E79"/>
    <w:rPr>
      <w:b/>
      <w:bCs/>
    </w:rPr>
  </w:style>
  <w:style w:type="character" w:customStyle="1" w:styleId="CommentSubjectChar">
    <w:name w:val="Comment Subject Char"/>
    <w:basedOn w:val="CommentTextChar"/>
    <w:link w:val="CommentSubject"/>
    <w:uiPriority w:val="99"/>
    <w:semiHidden/>
    <w:rsid w:val="00160E79"/>
    <w:rPr>
      <w:rFonts w:ascii="Times New Roman" w:eastAsia="Times New Roman" w:hAnsi="Times New Roman" w:cs="Times New Roman"/>
      <w:b/>
      <w:bCs/>
      <w:kern w:val="0"/>
      <w:sz w:val="20"/>
      <w:szCs w:val="20"/>
      <w14:ligatures w14:val="none"/>
    </w:rPr>
  </w:style>
  <w:style w:type="character" w:styleId="Mention">
    <w:name w:val="Mention"/>
    <w:basedOn w:val="DefaultParagraphFont"/>
    <w:uiPriority w:val="99"/>
    <w:unhideWhenUsed/>
    <w:rsid w:val="00160E79"/>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psob.gov/" TargetMode="External" /></Relationships>
</file>

<file path=word/_rels/header1.xml.rels><?xml version="1.0" encoding="utf-8" standalone="yes"?><Relationships xmlns="http://schemas.openxmlformats.org/package/2006/relationships"><Relationship Id="rId1" Type="http://schemas.openxmlformats.org/officeDocument/2006/relationships/hyperlink" Target="https://www.hrsa.gov/cicp/who-can-file-benefi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80886e3044ddf501da0eec7244ddaf48">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bc8f462b088b5b67c876430dc0bc8b"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YEJUMFDJ6KMC-483555117-50820</_dlc_DocId>
    <_dlc_DocIdUrl xmlns="68c2e6f3-6ea4-42c3-835e-44e49d8f3a1e">
      <Url>https://nih.sharepoint.com/sites/HRSA-OA-OPAE/Teams/officeofexternalengagement/_layouts/15/DocIdRedir.aspx?ID=YEJUMFDJ6KMC-483555117-50820</Url>
      <Description>YEJUMFDJ6KMC-483555117-50820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FFB90D-3BB9-4F8B-9550-CE94E706866D}">
  <ds:schemaRefs/>
</ds:datastoreItem>
</file>

<file path=customXml/itemProps2.xml><?xml version="1.0" encoding="utf-8"?>
<ds:datastoreItem xmlns:ds="http://schemas.openxmlformats.org/officeDocument/2006/customXml" ds:itemID="{1673FB1D-19D0-44E0-8280-B3DF3436BF68}">
  <ds:schemaRefs/>
</ds:datastoreItem>
</file>

<file path=customXml/itemProps3.xml><?xml version="1.0" encoding="utf-8"?>
<ds:datastoreItem xmlns:ds="http://schemas.openxmlformats.org/officeDocument/2006/customXml" ds:itemID="{375E4412-7169-4CA9-9B4D-678D4D274939}">
  <ds:schemaRefs>
    <ds:schemaRef ds:uri="http://schemas.openxmlformats.org/officeDocument/2006/bibliography"/>
  </ds:schemaRefs>
</ds:datastoreItem>
</file>

<file path=customXml/itemProps4.xml><?xml version="1.0" encoding="utf-8"?>
<ds:datastoreItem xmlns:ds="http://schemas.openxmlformats.org/officeDocument/2006/customXml" ds:itemID="{94A5350D-980C-4AD6-822B-812D0260C730}">
  <ds:schemaRefs>
    <ds:schemaRef ds:uri="http://schemas.microsoft.com/office/2006/metadata/properties"/>
    <ds:schemaRef ds:uri="http://schemas.microsoft.com/office/infopath/2007/PartnerControls"/>
    <ds:schemaRef ds:uri="ed6222bc-b5d7-43be-b9a0-6e9231e1adb0"/>
  </ds:schemaRefs>
</ds:datastoreItem>
</file>

<file path=customXml/itemProps5.xml><?xml version="1.0" encoding="utf-8"?>
<ds:datastoreItem xmlns:ds="http://schemas.openxmlformats.org/officeDocument/2006/customXml" ds:itemID="{A1FE84CA-29D1-4437-90C4-DAE4C76D3154}">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1431</Words>
  <Characters>8063</Characters>
  <Application>Microsoft Office Word</Application>
  <DocSecurity>0</DocSecurity>
  <Lines>158</Lines>
  <Paragraphs>55</Paragraphs>
  <ScaleCrop>false</ScaleCrop>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Rizek, Brittany (HRSA)</dc:creator>
  <cp:lastModifiedBy>Johnson, Amber (HRSA)</cp:lastModifiedBy>
  <cp:revision>2</cp:revision>
  <dcterms:created xsi:type="dcterms:W3CDTF">2026-03-17T18:54:00Z</dcterms:created>
  <dcterms:modified xsi:type="dcterms:W3CDTF">2026-03-17T18:54:00Z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MediaServiceImageTags">
    <vt:lpwstr/>
  </property>
  <property fmtid="{D5CDD505-2E9C-101B-9397-08002B2CF9AE}" pid="5" name="_dlc_DocIdItemGuid">
    <vt:lpwstr>034f2837-1811-4d83-807f-d6c20db8cb0b</vt:lpwstr>
  </property>
</Properties>
</file>