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55AA9" w:rsidRPr="00F071E6" w:rsidP="00942723" w14:paraId="60BAA483" w14:textId="77777777">
      <w:pPr>
        <w:spacing w:after="0" w:line="240" w:lineRule="auto"/>
        <w:ind w:left="-180"/>
        <w:rPr>
          <w:rFonts w:ascii="Times New Roman" w:eastAsia="Times New Roman" w:hAnsi="Times New Roman"/>
          <w:sz w:val="24"/>
          <w:szCs w:val="24"/>
        </w:rPr>
      </w:pPr>
    </w:p>
    <w:p w:rsidR="001278FD" w:rsidRPr="00815161" w:rsidP="00942723" w14:paraId="73461605" w14:textId="77777777">
      <w:pPr>
        <w:spacing w:after="0" w:line="240" w:lineRule="auto"/>
        <w:ind w:left="-180"/>
        <w:jc w:val="center"/>
        <w:rPr>
          <w:rFonts w:ascii="Times New Roman" w:hAnsi="Times New Roman"/>
          <w:b/>
          <w:bCs/>
          <w:sz w:val="24"/>
          <w:szCs w:val="24"/>
        </w:rPr>
      </w:pPr>
      <w:r w:rsidRPr="00815161">
        <w:rPr>
          <w:rFonts w:ascii="Times New Roman" w:hAnsi="Times New Roman"/>
          <w:b/>
          <w:bCs/>
          <w:sz w:val="24"/>
          <w:szCs w:val="24"/>
        </w:rPr>
        <w:t xml:space="preserve">Human Drug Compounding </w:t>
      </w:r>
    </w:p>
    <w:p w:rsidR="00071E92" w:rsidRPr="00815161" w:rsidP="00942723" w14:paraId="62C7B540" w14:textId="77777777">
      <w:pPr>
        <w:spacing w:after="0" w:line="240" w:lineRule="auto"/>
        <w:ind w:left="-180"/>
        <w:jc w:val="center"/>
        <w:rPr>
          <w:rFonts w:ascii="Times New Roman" w:hAnsi="Times New Roman"/>
          <w:b/>
          <w:bCs/>
          <w:sz w:val="24"/>
          <w:szCs w:val="24"/>
        </w:rPr>
      </w:pPr>
      <w:r w:rsidRPr="00815161">
        <w:rPr>
          <w:rFonts w:ascii="Times New Roman" w:hAnsi="Times New Roman"/>
          <w:b/>
          <w:bCs/>
          <w:sz w:val="24"/>
          <w:szCs w:val="24"/>
        </w:rPr>
        <w:t xml:space="preserve">Under Sections 503A and 503B </w:t>
      </w:r>
      <w:r w:rsidRPr="00815161" w:rsidR="001278FD">
        <w:rPr>
          <w:rFonts w:ascii="Times New Roman" w:hAnsi="Times New Roman"/>
          <w:b/>
          <w:bCs/>
          <w:sz w:val="24"/>
          <w:szCs w:val="24"/>
        </w:rPr>
        <w:t>(21 U.S.C. 353a and 353b)</w:t>
      </w:r>
    </w:p>
    <w:p w:rsidR="00E3398A" w:rsidRPr="00815161" w:rsidP="00942723" w14:paraId="228146C5" w14:textId="77777777">
      <w:pPr>
        <w:spacing w:after="0" w:line="240" w:lineRule="auto"/>
        <w:ind w:left="-180"/>
        <w:jc w:val="center"/>
        <w:rPr>
          <w:rFonts w:ascii="Times New Roman" w:eastAsia="Times New Roman" w:hAnsi="Times New Roman"/>
          <w:b/>
          <w:bCs/>
          <w:sz w:val="24"/>
          <w:szCs w:val="24"/>
        </w:rPr>
      </w:pPr>
      <w:r w:rsidRPr="00815161">
        <w:rPr>
          <w:rFonts w:ascii="Times New Roman" w:hAnsi="Times New Roman"/>
          <w:b/>
          <w:bCs/>
          <w:sz w:val="24"/>
          <w:szCs w:val="24"/>
        </w:rPr>
        <w:t xml:space="preserve">of </w:t>
      </w:r>
      <w:r w:rsidRPr="00815161" w:rsidR="00406154">
        <w:rPr>
          <w:rFonts w:ascii="Times New Roman" w:hAnsi="Times New Roman"/>
          <w:b/>
          <w:bCs/>
          <w:sz w:val="24"/>
          <w:szCs w:val="24"/>
        </w:rPr>
        <w:t>the Federal Food, Drug, and Cosmetic Act</w:t>
      </w:r>
    </w:p>
    <w:p w:rsidR="00071E92" w:rsidRPr="00F071E6" w:rsidP="00942723" w14:paraId="5484CA55" w14:textId="77777777">
      <w:pPr>
        <w:spacing w:after="0" w:line="240" w:lineRule="auto"/>
        <w:ind w:left="-180"/>
        <w:jc w:val="center"/>
        <w:rPr>
          <w:rFonts w:ascii="Times New Roman" w:eastAsia="Times New Roman" w:hAnsi="Times New Roman"/>
          <w:sz w:val="24"/>
          <w:szCs w:val="24"/>
        </w:rPr>
      </w:pPr>
    </w:p>
    <w:p w:rsidR="00F85B36" w:rsidRPr="00F071E6" w:rsidP="00942723" w14:paraId="055305C2" w14:textId="77777777">
      <w:pPr>
        <w:spacing w:after="0" w:line="240" w:lineRule="auto"/>
        <w:ind w:left="-180"/>
        <w:jc w:val="center"/>
        <w:rPr>
          <w:rFonts w:ascii="Times New Roman" w:eastAsia="Times New Roman" w:hAnsi="Times New Roman"/>
          <w:sz w:val="24"/>
          <w:szCs w:val="24"/>
          <w:u w:val="single"/>
        </w:rPr>
      </w:pPr>
      <w:r w:rsidRPr="00F071E6">
        <w:rPr>
          <w:rFonts w:ascii="Times New Roman" w:eastAsia="Times New Roman" w:hAnsi="Times New Roman"/>
          <w:sz w:val="24"/>
          <w:szCs w:val="24"/>
          <w:u w:val="single"/>
        </w:rPr>
        <w:t>OMB Control No.  0910-</w:t>
      </w:r>
      <w:r w:rsidRPr="00F071E6" w:rsidR="00EB5878">
        <w:rPr>
          <w:rFonts w:ascii="Times New Roman" w:eastAsia="Times New Roman" w:hAnsi="Times New Roman"/>
          <w:sz w:val="24"/>
          <w:szCs w:val="24"/>
          <w:u w:val="single"/>
        </w:rPr>
        <w:t>08</w:t>
      </w:r>
      <w:r w:rsidRPr="00F071E6" w:rsidR="00406154">
        <w:rPr>
          <w:rFonts w:ascii="Times New Roman" w:eastAsia="Times New Roman" w:hAnsi="Times New Roman"/>
          <w:sz w:val="24"/>
          <w:szCs w:val="24"/>
          <w:u w:val="single"/>
        </w:rPr>
        <w:t>00</w:t>
      </w:r>
      <w:r w:rsidRPr="00F071E6" w:rsidR="00CD137E">
        <w:rPr>
          <w:rFonts w:ascii="Times New Roman" w:eastAsia="Times New Roman" w:hAnsi="Times New Roman"/>
          <w:sz w:val="24"/>
          <w:szCs w:val="24"/>
          <w:u w:val="single"/>
        </w:rPr>
        <w:t xml:space="preserve"> – </w:t>
      </w:r>
      <w:r w:rsidR="00D21356">
        <w:rPr>
          <w:rFonts w:ascii="Times New Roman" w:eastAsia="Times New Roman" w:hAnsi="Times New Roman"/>
          <w:sz w:val="24"/>
          <w:szCs w:val="24"/>
          <w:u w:val="single"/>
        </w:rPr>
        <w:t>Extension</w:t>
      </w:r>
    </w:p>
    <w:p w:rsidR="001D133C" w:rsidRPr="00F071E6" w:rsidP="00942723" w14:paraId="5D10A603" w14:textId="77777777">
      <w:pPr>
        <w:spacing w:after="0" w:line="240" w:lineRule="auto"/>
        <w:ind w:left="-180"/>
        <w:rPr>
          <w:rFonts w:ascii="Times New Roman" w:eastAsia="Times New Roman" w:hAnsi="Times New Roman"/>
          <w:sz w:val="24"/>
          <w:szCs w:val="24"/>
        </w:rPr>
      </w:pPr>
    </w:p>
    <w:p w:rsidR="00655AA9" w:rsidRPr="00F071E6" w:rsidP="00942723" w14:paraId="62BDA651" w14:textId="77777777">
      <w:pPr>
        <w:spacing w:after="0" w:line="240" w:lineRule="auto"/>
        <w:ind w:left="-180"/>
        <w:rPr>
          <w:rFonts w:ascii="Times New Roman" w:eastAsia="Times New Roman" w:hAnsi="Times New Roman"/>
          <w:sz w:val="24"/>
          <w:szCs w:val="24"/>
        </w:rPr>
      </w:pPr>
      <w:r w:rsidRPr="00F071E6">
        <w:rPr>
          <w:rFonts w:ascii="Times New Roman" w:eastAsia="Times New Roman" w:hAnsi="Times New Roman"/>
          <w:sz w:val="24"/>
          <w:szCs w:val="24"/>
        </w:rPr>
        <w:t>SUPPORTING STATEMENT</w:t>
      </w:r>
      <w:r w:rsidRPr="00F071E6" w:rsidR="001D133C">
        <w:rPr>
          <w:rFonts w:ascii="Times New Roman" w:eastAsia="Times New Roman" w:hAnsi="Times New Roman"/>
          <w:sz w:val="24"/>
          <w:szCs w:val="24"/>
        </w:rPr>
        <w:t xml:space="preserve"> - </w:t>
      </w:r>
      <w:r w:rsidRPr="00F071E6">
        <w:rPr>
          <w:rFonts w:ascii="Times New Roman" w:eastAsia="Times New Roman" w:hAnsi="Times New Roman"/>
          <w:b/>
          <w:sz w:val="24"/>
          <w:szCs w:val="24"/>
        </w:rPr>
        <w:t>Part A:  Justification</w:t>
      </w:r>
    </w:p>
    <w:p w:rsidR="00C40E15" w:rsidRPr="00F071E6" w:rsidP="00942723" w14:paraId="20A25A7A" w14:textId="77777777">
      <w:pPr>
        <w:spacing w:after="0" w:line="240" w:lineRule="auto"/>
        <w:ind w:left="-180"/>
        <w:rPr>
          <w:rFonts w:ascii="Times New Roman" w:eastAsia="Times New Roman" w:hAnsi="Times New Roman"/>
          <w:sz w:val="24"/>
          <w:szCs w:val="24"/>
        </w:rPr>
      </w:pPr>
    </w:p>
    <w:p w:rsidR="00746778" w:rsidRPr="00F071E6" w:rsidP="00942723" w14:paraId="0F75C720" w14:textId="77777777">
      <w:pPr>
        <w:spacing w:after="0" w:line="480" w:lineRule="auto"/>
        <w:ind w:left="-180"/>
        <w:rPr>
          <w:rFonts w:ascii="Times New Roman" w:hAnsi="Times New Roman"/>
          <w:sz w:val="24"/>
          <w:szCs w:val="24"/>
        </w:rPr>
      </w:pPr>
      <w:r w:rsidRPr="00F071E6">
        <w:rPr>
          <w:rFonts w:ascii="Times New Roman" w:hAnsi="Times New Roman"/>
          <w:sz w:val="24"/>
          <w:szCs w:val="24"/>
        </w:rPr>
        <w:t xml:space="preserve">1.  </w:t>
      </w:r>
      <w:r w:rsidRPr="00F071E6">
        <w:rPr>
          <w:rFonts w:ascii="Times New Roman" w:hAnsi="Times New Roman"/>
          <w:sz w:val="24"/>
          <w:szCs w:val="24"/>
          <w:u w:val="single"/>
        </w:rPr>
        <w:t>Circumstances Making the Collection of Information Necessary</w:t>
      </w:r>
    </w:p>
    <w:p w:rsidR="00B74C02" w:rsidP="00942723" w14:paraId="3464D112" w14:textId="77777777">
      <w:pPr>
        <w:pStyle w:val="Default"/>
        <w:ind w:left="-180"/>
      </w:pPr>
      <w:r w:rsidRPr="00F071E6">
        <w:t>This information collection</w:t>
      </w:r>
      <w:r w:rsidR="008A6D40">
        <w:t xml:space="preserve"> helps</w:t>
      </w:r>
      <w:r w:rsidRPr="00F071E6">
        <w:t xml:space="preserve"> support</w:t>
      </w:r>
      <w:r w:rsidR="008A6D40">
        <w:t xml:space="preserve"> </w:t>
      </w:r>
      <w:r w:rsidRPr="00F071E6">
        <w:t>Food and Drug Administration (</w:t>
      </w:r>
      <w:r w:rsidRPr="00F071E6" w:rsidR="00295DB5">
        <w:t>“</w:t>
      </w:r>
      <w:r w:rsidRPr="00F071E6">
        <w:t>FDA</w:t>
      </w:r>
      <w:r w:rsidRPr="00F071E6" w:rsidR="00295DB5">
        <w:t>, the agency, us or we”</w:t>
      </w:r>
      <w:r w:rsidRPr="00F071E6">
        <w:t xml:space="preserve">) implementation of </w:t>
      </w:r>
      <w:r w:rsidRPr="00F071E6" w:rsidR="00C90666">
        <w:t>s</w:t>
      </w:r>
      <w:r w:rsidRPr="00F071E6">
        <w:t>ections 503A and 503B of the Federal Food, Drug, and Cosmetic Act (FD&amp;C Act</w:t>
      </w:r>
      <w:r w:rsidRPr="00F071E6" w:rsidR="00BD50EE">
        <w:t>) (</w:t>
      </w:r>
      <w:r w:rsidRPr="00F071E6" w:rsidR="0099027F">
        <w:t>21 U.S.C. 35</w:t>
      </w:r>
      <w:r w:rsidRPr="00F071E6" w:rsidR="00BD50EE">
        <w:t>3a and 353b)</w:t>
      </w:r>
      <w:r w:rsidRPr="00F071E6" w:rsidR="00426CBE">
        <w:t xml:space="preserve">; </w:t>
      </w:r>
      <w:r w:rsidRPr="00F071E6" w:rsidR="00426CBE">
        <w:rPr>
          <w:i/>
        </w:rPr>
        <w:t>P</w:t>
      </w:r>
      <w:r w:rsidRPr="00F071E6" w:rsidR="00164814">
        <w:rPr>
          <w:i/>
        </w:rPr>
        <w:t>harmacy Compounding and Outsourcing Facilities</w:t>
      </w:r>
      <w:r w:rsidRPr="00F071E6" w:rsidR="00BD50EE">
        <w:t>.</w:t>
      </w:r>
      <w:r w:rsidRPr="00F071E6" w:rsidR="00276E9F">
        <w:t xml:space="preserve">  </w:t>
      </w:r>
      <w:r w:rsidRPr="00F071E6" w:rsidR="00F20495">
        <w:t xml:space="preserve">Compounding is generally a practice in which a licensed pharmacist, a licensed physician, or, in the case of an outsourcing facility, a person under the supervision of a licensed </w:t>
      </w:r>
      <w:r w:rsidRPr="00F071E6" w:rsidR="00F20495">
        <w:t>pharmacist,</w:t>
      </w:r>
      <w:r w:rsidRPr="00F071E6" w:rsidR="00F20495">
        <w:t xml:space="preserve"> combines, mixes, or alters ingredients of a drug to create a medication tailored to the needs of an individual patient.</w:t>
      </w:r>
      <w:r w:rsidRPr="00F071E6" w:rsidR="005A0736">
        <w:t xml:space="preserve">  Although compounded drugs can serve an important medical need for certain patients, they also present </w:t>
      </w:r>
      <w:r w:rsidRPr="00F071E6" w:rsidR="001852D6">
        <w:t>risk</w:t>
      </w:r>
      <w:r w:rsidRPr="00F071E6" w:rsidR="005A0736">
        <w:t>.</w:t>
      </w:r>
      <w:r w:rsidRPr="00F071E6" w:rsidR="00294E00">
        <w:t xml:space="preserve">  Our compounding program aims to protect patients from unsafe, ineffective, and </w:t>
      </w:r>
      <w:r w:rsidRPr="00F071E6" w:rsidR="00294E00">
        <w:t>poor quality</w:t>
      </w:r>
      <w:r w:rsidRPr="00F071E6" w:rsidR="00294E00">
        <w:t xml:space="preserve"> compounded drugs, while preserving access to lawfully-marketed compounded drugs for patients who have a medical need for them.</w:t>
      </w:r>
      <w:r w:rsidRPr="00F071E6" w:rsidR="001E308D">
        <w:t xml:space="preserve">  </w:t>
      </w:r>
      <w:r w:rsidRPr="00F071E6" w:rsidR="0040464F">
        <w:t>Respondents to the information collection are those engage</w:t>
      </w:r>
      <w:r w:rsidRPr="00F071E6" w:rsidR="00741A71">
        <w:t>d</w:t>
      </w:r>
      <w:r w:rsidRPr="00F071E6" w:rsidR="0040464F">
        <w:t xml:space="preserve"> in the practice of pharmacy compounding and registered outsourcing facilities.</w:t>
      </w:r>
      <w:r w:rsidR="008C7410">
        <w:t xml:space="preserve">  </w:t>
      </w:r>
    </w:p>
    <w:p w:rsidR="009073ED" w:rsidP="00B74C02" w14:paraId="1AB56D18" w14:textId="77777777">
      <w:pPr>
        <w:pStyle w:val="Default"/>
        <w:ind w:left="-180"/>
      </w:pPr>
    </w:p>
    <w:p w:rsidR="005461F3" w:rsidRPr="005461F3" w:rsidP="005461F3" w14:paraId="3D26E51F" w14:textId="27797050">
      <w:pPr>
        <w:pStyle w:val="Default"/>
        <w:ind w:left="-180"/>
      </w:pPr>
      <w:r>
        <w:t>The information collection</w:t>
      </w:r>
      <w:r w:rsidR="00741EE8">
        <w:t xml:space="preserve"> is intended to</w:t>
      </w:r>
      <w:r>
        <w:t xml:space="preserve"> account for burden attributable to recommendations in the guidance document titled, “</w:t>
      </w:r>
      <w:r w:rsidRPr="005114A2">
        <w:rPr>
          <w:i/>
          <w:iCs/>
        </w:rPr>
        <w:t>Adverse Event Reporting for Outsourcing Facilities Under Section 503B of the Federal Food, Drug, and Cosmetic Act</w:t>
      </w:r>
      <w:r>
        <w:t>,” (October 2015).</w:t>
      </w:r>
      <w:r w:rsidR="005114A2">
        <w:t xml:space="preserve">  </w:t>
      </w:r>
      <w:r w:rsidRPr="005461F3">
        <w:t>Th</w:t>
      </w:r>
      <w:r>
        <w:t>e</w:t>
      </w:r>
      <w:r w:rsidRPr="005461F3">
        <w:t xml:space="preserve"> guidance</w:t>
      </w:r>
      <w:r>
        <w:t xml:space="preserve"> document</w:t>
      </w:r>
      <w:r w:rsidRPr="005461F3">
        <w:t xml:space="preserve"> is intended for firms that have registered with the Food and Drug Administration</w:t>
      </w:r>
    </w:p>
    <w:p w:rsidR="005461F3" w:rsidRPr="005461F3" w:rsidP="005461F3" w14:paraId="1830A0F8" w14:textId="77777777">
      <w:pPr>
        <w:pStyle w:val="Default"/>
        <w:ind w:left="-180"/>
      </w:pPr>
      <w:r w:rsidRPr="005461F3">
        <w:t>(FDA) under section 503B of the Federal Food, Drug, and Cosmetic Act (FD&amp;C Act) as human</w:t>
      </w:r>
    </w:p>
    <w:p w:rsidR="005461F3" w:rsidRPr="005461F3" w:rsidP="005461F3" w14:paraId="1C9C013E" w14:textId="77777777">
      <w:pPr>
        <w:pStyle w:val="Default"/>
        <w:ind w:left="-180"/>
      </w:pPr>
      <w:r w:rsidRPr="005461F3">
        <w:t>drug compounding outsourcing facilities (outsourcing facilities).</w:t>
      </w:r>
      <w:r w:rsidR="008C0365">
        <w:t xml:space="preserve">  </w:t>
      </w:r>
      <w:r w:rsidRPr="005461F3">
        <w:t>Under section 503B(b)(5) of</w:t>
      </w:r>
    </w:p>
    <w:p w:rsidR="008E1645" w:rsidP="005461F3" w14:paraId="27E87560" w14:textId="77777777">
      <w:pPr>
        <w:pStyle w:val="Default"/>
        <w:ind w:left="-180"/>
      </w:pPr>
      <w:r w:rsidRPr="005461F3">
        <w:t>the FD&amp;C Act, an outsourcing facility must submit adverse event reports to FDA “</w:t>
      </w:r>
      <w:r w:rsidRPr="005461F3">
        <w:rPr>
          <w:i/>
          <w:iCs/>
        </w:rPr>
        <w:t>in accordance</w:t>
      </w:r>
      <w:r w:rsidRPr="008C0365">
        <w:rPr>
          <w:i/>
          <w:iCs/>
        </w:rPr>
        <w:t xml:space="preserve"> </w:t>
      </w:r>
      <w:r w:rsidRPr="005461F3">
        <w:rPr>
          <w:i/>
          <w:iCs/>
        </w:rPr>
        <w:t>with the content and format requirements established through guidance or regulation under</w:t>
      </w:r>
      <w:r w:rsidRPr="008C0365">
        <w:rPr>
          <w:i/>
          <w:iCs/>
        </w:rPr>
        <w:t xml:space="preserve"> </w:t>
      </w:r>
      <w:r w:rsidRPr="005461F3">
        <w:rPr>
          <w:i/>
          <w:iCs/>
        </w:rPr>
        <w:t>section 310.305 of title 21, Code of Federal Regulations (or any successor regulations).”</w:t>
      </w:r>
      <w:r>
        <w:t xml:space="preserve">  </w:t>
      </w:r>
      <w:r w:rsidR="005C2CB7">
        <w:t>The guidance document explains that, under 21 CFR 310.305(c)(1), manufacturers, packers, and distributors of marketed prescription drug products that are not the subject of an approved</w:t>
      </w:r>
      <w:r w:rsidR="005114A2">
        <w:t xml:space="preserve"> </w:t>
      </w:r>
      <w:r w:rsidR="005C2CB7">
        <w:t>new drug or abbreviated new drug application submit to FDA adverse event reports within 15 calendar days of receiving the information and must submit follow-up reports within 15 calendar days of receipt of new information about the adverse event, or as requested by FDA.  Also, under §310.305(f), entities must maintain for 10 years the records of all adverse events required to be reported under § 310.305</w:t>
      </w:r>
      <w:r>
        <w:t>.</w:t>
      </w:r>
    </w:p>
    <w:p w:rsidR="008E1645" w:rsidP="005461F3" w14:paraId="1BEBB327" w14:textId="77777777">
      <w:pPr>
        <w:pStyle w:val="Default"/>
        <w:ind w:left="-180"/>
      </w:pPr>
    </w:p>
    <w:p w:rsidR="005C2CB7" w:rsidP="005461F3" w14:paraId="3C449963" w14:textId="77777777">
      <w:pPr>
        <w:pStyle w:val="Default"/>
        <w:ind w:left="-180"/>
      </w:pPr>
      <w:r>
        <w:t xml:space="preserve">The guidance document also explains that, in accordance with regulatory requirements, adverse event reports must be submitted in an electronic format that FDA can process, review, and archive (collection of information is submitted via Form FDA 3500A (MedWatch), approved </w:t>
      </w:r>
      <w:r>
        <w:t>under OMB control number 0910-0291).  A copy of the current labeling of the compounded drug product must be provided in</w:t>
      </w:r>
      <w:r w:rsidR="00C87590">
        <w:t xml:space="preserve"> </w:t>
      </w:r>
      <w:r>
        <w:t>the report.</w:t>
      </w:r>
    </w:p>
    <w:p w:rsidR="005C2CB7" w:rsidP="00B74C02" w14:paraId="2EBD49FA" w14:textId="77777777">
      <w:pPr>
        <w:pStyle w:val="Default"/>
        <w:ind w:left="-180"/>
      </w:pPr>
    </w:p>
    <w:p w:rsidR="005C2CB7" w:rsidP="005C2CB7" w14:paraId="2ECBBB96" w14:textId="1D9C4BCA">
      <w:pPr>
        <w:pStyle w:val="Default"/>
        <w:ind w:left="-180"/>
      </w:pPr>
      <w:r>
        <w:t>T</w:t>
      </w:r>
      <w:r w:rsidRPr="00F071E6" w:rsidR="009D533A">
        <w:t xml:space="preserve">he information collection </w:t>
      </w:r>
      <w:r w:rsidR="00A16348">
        <w:t xml:space="preserve">also </w:t>
      </w:r>
      <w:r w:rsidRPr="00F071E6">
        <w:t>account</w:t>
      </w:r>
      <w:r>
        <w:t>s</w:t>
      </w:r>
      <w:r w:rsidRPr="00F071E6">
        <w:t xml:space="preserve"> for </w:t>
      </w:r>
      <w:r w:rsidRPr="00F071E6" w:rsidR="005B3B0D">
        <w:t xml:space="preserve">activities </w:t>
      </w:r>
      <w:r w:rsidRPr="00F071E6" w:rsidR="002F731F">
        <w:t xml:space="preserve">pertaining to </w:t>
      </w:r>
      <w:r w:rsidR="00B60DD0">
        <w:t xml:space="preserve">certain </w:t>
      </w:r>
      <w:r w:rsidRPr="00F071E6" w:rsidR="002F731F">
        <w:t>registration</w:t>
      </w:r>
      <w:r w:rsidRPr="00F071E6" w:rsidR="005B3B0D">
        <w:t xml:space="preserve"> and reporting </w:t>
      </w:r>
      <w:r w:rsidR="00BD7201">
        <w:t xml:space="preserve">activities by outsourcing facilities </w:t>
      </w:r>
      <w:r w:rsidRPr="00F071E6" w:rsidR="005B3B0D">
        <w:t>of drugs, as established in section</w:t>
      </w:r>
      <w:r w:rsidRPr="00F071E6" w:rsidR="00FB1EAC">
        <w:t>s</w:t>
      </w:r>
      <w:r w:rsidRPr="00F071E6" w:rsidR="003A5482">
        <w:t xml:space="preserve"> 503B(b)(1)</w:t>
      </w:r>
      <w:r w:rsidRPr="00F071E6" w:rsidR="005B3B0D">
        <w:t xml:space="preserve"> </w:t>
      </w:r>
      <w:r w:rsidRPr="00F071E6" w:rsidR="00FB1EAC">
        <w:t>through 503B(b)(3) of the FD&amp;C Act</w:t>
      </w:r>
      <w:r w:rsidRPr="00F071E6">
        <w:t>.</w:t>
      </w:r>
      <w:r w:rsidRPr="00F071E6" w:rsidR="00051BCF">
        <w:t xml:space="preserve">  To help respondents understand statutory requirements, how we interpret them, and the associated information collection, we developed the </w:t>
      </w:r>
      <w:r w:rsidRPr="00F071E6" w:rsidR="00067063">
        <w:t xml:space="preserve">procedural </w:t>
      </w:r>
      <w:r w:rsidRPr="00F071E6" w:rsidR="00051BCF">
        <w:t>guidance document titled, “</w:t>
      </w:r>
      <w:r w:rsidRPr="00F071E6" w:rsidR="00051BCF">
        <w:rPr>
          <w:i/>
        </w:rPr>
        <w:t>Electronic Drug Product Reporting for Human Drug Compounding Outsourcing Facilities Under Section 503B of the Federal Food, Drug, and Cosmetic Act</w:t>
      </w:r>
      <w:r w:rsidRPr="00F071E6" w:rsidR="00051BCF">
        <w:t>”</w:t>
      </w:r>
      <w:r w:rsidRPr="00F071E6" w:rsidR="00AE689D">
        <w:t xml:space="preserve"> (December 2016)</w:t>
      </w:r>
      <w:r w:rsidRPr="00F071E6" w:rsidR="00B578E6">
        <w:t xml:space="preserve">, available on our website at </w:t>
      </w:r>
      <w:hyperlink r:id="rId5" w:history="1">
        <w:r w:rsidRPr="00F071E6" w:rsidR="00B578E6">
          <w:rPr>
            <w:rStyle w:val="Hyperlink"/>
          </w:rPr>
          <w:t>https://www.fda.gov/media/90173/download</w:t>
        </w:r>
      </w:hyperlink>
      <w:r w:rsidRPr="00F071E6" w:rsidR="00AE689D">
        <w:t>.</w:t>
      </w:r>
      <w:r w:rsidRPr="00F071E6" w:rsidR="00AF48E5">
        <w:t xml:space="preserve">  </w:t>
      </w:r>
      <w:r w:rsidRPr="00F071E6" w:rsidR="00051BCF">
        <w:t xml:space="preserve">The guidance is intended for entities that compound human drugs and elect to register as outsourcing facilities under section 503B of the FD&amp;C Act.  Once an entity has elected to register as an outsourcing facility, it must submit reports identifying the drugs compounded by the outsourcing facility.  The </w:t>
      </w:r>
      <w:r w:rsidRPr="00F071E6" w:rsidR="00051BCF">
        <w:t>guidance describes</w:t>
      </w:r>
      <w:r w:rsidRPr="00F071E6" w:rsidR="00051BCF">
        <w:t xml:space="preserve"> who must report, the format of the report, the content to include in each report, when to report, how outsourcing facilities may submit reports to FDA, and the consequences of outsourcing facilities’ failure to submit reports</w:t>
      </w:r>
      <w:r>
        <w:t>.</w:t>
      </w:r>
    </w:p>
    <w:p w:rsidR="005C2CB7" w:rsidP="005C2CB7" w14:paraId="58E83312" w14:textId="77777777">
      <w:pPr>
        <w:pStyle w:val="Default"/>
        <w:ind w:left="-180"/>
      </w:pPr>
    </w:p>
    <w:p w:rsidR="00C46D7C" w:rsidP="005C2CB7" w14:paraId="5EFC219D" w14:textId="77777777">
      <w:pPr>
        <w:pStyle w:val="Default"/>
        <w:ind w:left="-180"/>
      </w:pPr>
      <w:r>
        <w:t xml:space="preserve">Finally, the information collection accounts for activities associated with States </w:t>
      </w:r>
      <w:r>
        <w:t>entering into</w:t>
      </w:r>
      <w:r>
        <w:t xml:space="preserve"> memoranda of understanding with the Secretary, as described in section 503A(b)(3) of the FD&amp;C Act, and activities pertaining to adverse experience reporting discussed in section 503B(b)(5) of the FD&amp;C Act.  </w:t>
      </w:r>
    </w:p>
    <w:p w:rsidR="009F644D" w:rsidRPr="00F071E6" w:rsidP="00942723" w14:paraId="09A26958" w14:textId="77777777">
      <w:pPr>
        <w:pStyle w:val="Default"/>
        <w:ind w:left="-180"/>
      </w:pPr>
    </w:p>
    <w:p w:rsidR="009F644D" w:rsidRPr="00F071E6" w:rsidP="00942723" w14:paraId="36AFF843" w14:textId="77777777">
      <w:pPr>
        <w:pStyle w:val="Default"/>
        <w:ind w:left="-180"/>
      </w:pPr>
      <w:r w:rsidRPr="00F071E6">
        <w:t xml:space="preserve">We are therefore requesting OMB </w:t>
      </w:r>
      <w:r w:rsidR="00BF58E8">
        <w:t>extend its approval of the</w:t>
      </w:r>
      <w:r w:rsidRPr="00F071E6">
        <w:t xml:space="preserve"> information collection</w:t>
      </w:r>
      <w:r w:rsidR="00BF58E8">
        <w:t xml:space="preserve"> elements discussed in this supporting statement.</w:t>
      </w:r>
    </w:p>
    <w:p w:rsidR="00655AA9" w:rsidRPr="00F071E6" w:rsidP="00942723" w14:paraId="17D3EB06" w14:textId="77777777">
      <w:pPr>
        <w:pStyle w:val="Default"/>
        <w:ind w:left="-180"/>
      </w:pPr>
    </w:p>
    <w:p w:rsidR="00746778" w:rsidRPr="00F071E6" w:rsidP="00942723" w14:paraId="37EC0000" w14:textId="77777777">
      <w:pPr>
        <w:spacing w:after="0" w:line="240" w:lineRule="auto"/>
        <w:ind w:left="-180"/>
        <w:rPr>
          <w:rFonts w:ascii="Times New Roman" w:hAnsi="Times New Roman"/>
          <w:sz w:val="24"/>
          <w:szCs w:val="24"/>
        </w:rPr>
      </w:pPr>
      <w:r w:rsidRPr="00F071E6">
        <w:rPr>
          <w:rFonts w:ascii="Times New Roman" w:hAnsi="Times New Roman"/>
          <w:sz w:val="24"/>
          <w:szCs w:val="24"/>
        </w:rPr>
        <w:t>2.</w:t>
      </w:r>
      <w:r w:rsidRPr="00F071E6" w:rsidR="006730A3">
        <w:rPr>
          <w:rFonts w:ascii="Times New Roman" w:hAnsi="Times New Roman"/>
          <w:sz w:val="24"/>
          <w:szCs w:val="24"/>
        </w:rPr>
        <w:t xml:space="preserve">  </w:t>
      </w:r>
      <w:r w:rsidRPr="00F071E6">
        <w:rPr>
          <w:rFonts w:ascii="Times New Roman" w:hAnsi="Times New Roman"/>
          <w:sz w:val="24"/>
          <w:szCs w:val="24"/>
          <w:u w:val="single"/>
        </w:rPr>
        <w:t>Purpose and Use of the Information Collection</w:t>
      </w:r>
    </w:p>
    <w:p w:rsidR="00003E23" w:rsidRPr="00F071E6" w:rsidP="00942723" w14:paraId="73C8CA07" w14:textId="77777777">
      <w:pPr>
        <w:spacing w:after="0" w:line="240" w:lineRule="auto"/>
        <w:ind w:left="-180"/>
        <w:rPr>
          <w:rFonts w:ascii="Times New Roman" w:hAnsi="Times New Roman"/>
          <w:sz w:val="24"/>
          <w:szCs w:val="24"/>
        </w:rPr>
      </w:pPr>
    </w:p>
    <w:p w:rsidR="00746778" w:rsidRPr="0041369A" w:rsidP="0041369A" w14:paraId="5DBB0AD3" w14:textId="01E4847E">
      <w:pPr>
        <w:autoSpaceDE w:val="0"/>
        <w:autoSpaceDN w:val="0"/>
        <w:adjustRightInd w:val="0"/>
        <w:spacing w:after="0" w:line="240" w:lineRule="auto"/>
        <w:ind w:left="-180"/>
        <w:rPr>
          <w:rFonts w:ascii="Times New Roman" w:hAnsi="Times New Roman"/>
          <w:sz w:val="24"/>
          <w:szCs w:val="24"/>
        </w:rPr>
      </w:pPr>
      <w:r w:rsidRPr="00555D38">
        <w:rPr>
          <w:rFonts w:ascii="Times New Roman" w:hAnsi="Times New Roman"/>
          <w:sz w:val="24"/>
          <w:szCs w:val="24"/>
        </w:rPr>
        <w:t>The reporting associated with</w:t>
      </w:r>
      <w:r w:rsidR="00633D32">
        <w:rPr>
          <w:rFonts w:ascii="Times New Roman" w:hAnsi="Times New Roman"/>
          <w:sz w:val="24"/>
          <w:szCs w:val="24"/>
        </w:rPr>
        <w:t xml:space="preserve"> this ICR (e.g., </w:t>
      </w:r>
      <w:r w:rsidR="0046230B">
        <w:rPr>
          <w:rFonts w:ascii="Times New Roman" w:hAnsi="Times New Roman"/>
          <w:sz w:val="24"/>
          <w:szCs w:val="24"/>
        </w:rPr>
        <w:t>registration</w:t>
      </w:r>
      <w:r w:rsidR="001B1D36">
        <w:rPr>
          <w:rFonts w:ascii="Times New Roman" w:hAnsi="Times New Roman"/>
          <w:sz w:val="24"/>
          <w:szCs w:val="24"/>
        </w:rPr>
        <w:t xml:space="preserve"> of outsourcing facilities</w:t>
      </w:r>
      <w:r w:rsidR="0046230B">
        <w:rPr>
          <w:rFonts w:ascii="Times New Roman" w:hAnsi="Times New Roman"/>
          <w:sz w:val="24"/>
          <w:szCs w:val="24"/>
        </w:rPr>
        <w:t xml:space="preserve"> and </w:t>
      </w:r>
      <w:r w:rsidRPr="00555D38">
        <w:rPr>
          <w:rFonts w:ascii="Times New Roman" w:hAnsi="Times New Roman"/>
          <w:sz w:val="24"/>
          <w:szCs w:val="24"/>
        </w:rPr>
        <w:t>adverse event</w:t>
      </w:r>
      <w:r w:rsidR="00633D32">
        <w:rPr>
          <w:rFonts w:ascii="Times New Roman" w:hAnsi="Times New Roman"/>
          <w:sz w:val="24"/>
          <w:szCs w:val="24"/>
        </w:rPr>
        <w:t xml:space="preserve"> reporting</w:t>
      </w:r>
      <w:r w:rsidR="00E65526">
        <w:rPr>
          <w:rFonts w:ascii="Times New Roman" w:hAnsi="Times New Roman"/>
          <w:sz w:val="24"/>
          <w:szCs w:val="24"/>
        </w:rPr>
        <w:t>) is needed to</w:t>
      </w:r>
      <w:r w:rsidRPr="00555D38">
        <w:rPr>
          <w:rFonts w:ascii="Times New Roman" w:hAnsi="Times New Roman"/>
          <w:sz w:val="24"/>
          <w:szCs w:val="24"/>
        </w:rPr>
        <w:t xml:space="preserve"> enable us to monitor the</w:t>
      </w:r>
      <w:r w:rsidR="008E150D">
        <w:rPr>
          <w:rFonts w:ascii="Times New Roman" w:hAnsi="Times New Roman"/>
          <w:sz w:val="24"/>
          <w:szCs w:val="24"/>
        </w:rPr>
        <w:t xml:space="preserve"> </w:t>
      </w:r>
      <w:r w:rsidRPr="00555D38">
        <w:rPr>
          <w:rFonts w:ascii="Times New Roman" w:hAnsi="Times New Roman"/>
          <w:sz w:val="24"/>
          <w:szCs w:val="24"/>
        </w:rPr>
        <w:t>safety of compound</w:t>
      </w:r>
      <w:r w:rsidR="0086218E">
        <w:rPr>
          <w:rFonts w:ascii="Times New Roman" w:hAnsi="Times New Roman"/>
          <w:sz w:val="24"/>
          <w:szCs w:val="24"/>
        </w:rPr>
        <w:t>ed</w:t>
      </w:r>
      <w:r w:rsidRPr="00555D38">
        <w:rPr>
          <w:rFonts w:ascii="Times New Roman" w:hAnsi="Times New Roman"/>
          <w:sz w:val="24"/>
          <w:szCs w:val="24"/>
        </w:rPr>
        <w:t xml:space="preserve"> drug products.</w:t>
      </w:r>
      <w:r w:rsidR="0041369A">
        <w:rPr>
          <w:rFonts w:ascii="Times New Roman" w:hAnsi="Times New Roman"/>
          <w:sz w:val="24"/>
          <w:szCs w:val="24"/>
        </w:rPr>
        <w:t xml:space="preserve">  </w:t>
      </w:r>
      <w:r w:rsidR="00070B75">
        <w:rPr>
          <w:rFonts w:ascii="Times New Roman" w:hAnsi="Times New Roman"/>
          <w:sz w:val="24"/>
          <w:szCs w:val="24"/>
        </w:rPr>
        <w:t xml:space="preserve">  </w:t>
      </w:r>
      <w:r w:rsidRPr="00070B75" w:rsidR="00070B75">
        <w:rPr>
          <w:rFonts w:ascii="Times New Roman" w:hAnsi="Times New Roman"/>
          <w:sz w:val="24"/>
          <w:szCs w:val="24"/>
        </w:rPr>
        <w:t xml:space="preserve">We use the information collected to </w:t>
      </w:r>
      <w:r w:rsidR="001B1D36">
        <w:rPr>
          <w:rFonts w:ascii="Times New Roman" w:hAnsi="Times New Roman"/>
          <w:sz w:val="24"/>
          <w:szCs w:val="24"/>
        </w:rPr>
        <w:t xml:space="preserve">help </w:t>
      </w:r>
      <w:r w:rsidRPr="00070B75" w:rsidR="00070B75">
        <w:rPr>
          <w:rFonts w:ascii="Times New Roman" w:hAnsi="Times New Roman"/>
          <w:sz w:val="24"/>
          <w:szCs w:val="24"/>
        </w:rPr>
        <w:t>ensure the safety of compounded drug products.</w:t>
      </w:r>
    </w:p>
    <w:p w:rsidR="00B031D5" w:rsidRPr="00F071E6" w:rsidP="00942723" w14:paraId="6B9B39F5" w14:textId="77777777">
      <w:pPr>
        <w:spacing w:after="0" w:line="240" w:lineRule="auto"/>
        <w:ind w:left="-180"/>
        <w:rPr>
          <w:rFonts w:ascii="Times New Roman" w:hAnsi="Times New Roman"/>
          <w:sz w:val="24"/>
          <w:szCs w:val="24"/>
        </w:rPr>
      </w:pPr>
    </w:p>
    <w:p w:rsidR="00746778" w:rsidRPr="00F071E6" w:rsidP="00942723" w14:paraId="3D0B6F21" w14:textId="77777777">
      <w:pPr>
        <w:spacing w:after="0" w:line="240" w:lineRule="auto"/>
        <w:ind w:left="-180"/>
        <w:rPr>
          <w:rFonts w:ascii="Times New Roman" w:hAnsi="Times New Roman"/>
          <w:sz w:val="24"/>
          <w:szCs w:val="24"/>
        </w:rPr>
      </w:pPr>
      <w:r w:rsidRPr="00F071E6">
        <w:rPr>
          <w:rFonts w:ascii="Times New Roman" w:hAnsi="Times New Roman"/>
          <w:sz w:val="24"/>
          <w:szCs w:val="24"/>
        </w:rPr>
        <w:t>3.</w:t>
      </w:r>
      <w:r w:rsidRPr="00F071E6" w:rsidR="006730A3">
        <w:rPr>
          <w:rFonts w:ascii="Times New Roman" w:hAnsi="Times New Roman"/>
          <w:sz w:val="24"/>
          <w:szCs w:val="24"/>
        </w:rPr>
        <w:t xml:space="preserve">  </w:t>
      </w:r>
      <w:r w:rsidRPr="00F071E6">
        <w:rPr>
          <w:rFonts w:ascii="Times New Roman" w:hAnsi="Times New Roman"/>
          <w:sz w:val="24"/>
          <w:szCs w:val="24"/>
          <w:u w:val="single"/>
        </w:rPr>
        <w:t>Use of Improved Information Technology and Burden Reduction</w:t>
      </w:r>
    </w:p>
    <w:p w:rsidR="00B031D5" w:rsidRPr="00F071E6" w:rsidP="00942723" w14:paraId="7AB31A07" w14:textId="77777777">
      <w:pPr>
        <w:autoSpaceDE w:val="0"/>
        <w:autoSpaceDN w:val="0"/>
        <w:adjustRightInd w:val="0"/>
        <w:spacing w:after="0" w:line="240" w:lineRule="auto"/>
        <w:ind w:left="-180"/>
        <w:rPr>
          <w:rFonts w:ascii="Times New Roman" w:eastAsia="Times New Roman" w:hAnsi="Times New Roman"/>
          <w:sz w:val="24"/>
          <w:szCs w:val="24"/>
        </w:rPr>
      </w:pPr>
    </w:p>
    <w:p w:rsidR="00A17444" w:rsidRPr="00F071E6" w:rsidP="00942723" w14:paraId="43FA84F7" w14:textId="36BB84D4">
      <w:pPr>
        <w:autoSpaceDE w:val="0"/>
        <w:autoSpaceDN w:val="0"/>
        <w:adjustRightInd w:val="0"/>
        <w:spacing w:after="0" w:line="240" w:lineRule="auto"/>
        <w:ind w:left="-180"/>
        <w:rPr>
          <w:rFonts w:ascii="Times New Roman" w:eastAsia="Times New Roman" w:hAnsi="Times New Roman"/>
          <w:sz w:val="24"/>
          <w:szCs w:val="24"/>
        </w:rPr>
      </w:pPr>
      <w:r w:rsidRPr="00F071E6">
        <w:rPr>
          <w:rFonts w:ascii="Times New Roman" w:eastAsia="Times New Roman" w:hAnsi="Times New Roman"/>
          <w:sz w:val="24"/>
          <w:szCs w:val="24"/>
        </w:rPr>
        <w:t>Statutory requirements in section 503B(b)(4) require</w:t>
      </w:r>
      <w:r w:rsidRPr="00F071E6" w:rsidR="005F6E32">
        <w:rPr>
          <w:rFonts w:ascii="Times New Roman" w:eastAsia="Times New Roman" w:hAnsi="Times New Roman"/>
          <w:sz w:val="24"/>
          <w:szCs w:val="24"/>
        </w:rPr>
        <w:t xml:space="preserve"> electronic registration and reporting.  </w:t>
      </w:r>
      <w:r w:rsidRPr="00F071E6" w:rsidR="006B682E">
        <w:rPr>
          <w:rFonts w:ascii="Times New Roman" w:eastAsia="Times New Roman" w:hAnsi="Times New Roman"/>
          <w:sz w:val="24"/>
          <w:szCs w:val="24"/>
        </w:rPr>
        <w:t xml:space="preserve">FDA regulations at 21 CFR 310.305 </w:t>
      </w:r>
      <w:r w:rsidRPr="00F071E6" w:rsidR="005F6E32">
        <w:rPr>
          <w:rFonts w:ascii="Times New Roman" w:eastAsia="Times New Roman" w:hAnsi="Times New Roman"/>
          <w:sz w:val="24"/>
          <w:szCs w:val="24"/>
        </w:rPr>
        <w:t xml:space="preserve">also </w:t>
      </w:r>
      <w:r w:rsidRPr="00F071E6" w:rsidR="006B682E">
        <w:rPr>
          <w:rFonts w:ascii="Times New Roman" w:eastAsia="Times New Roman" w:hAnsi="Times New Roman"/>
          <w:sz w:val="24"/>
          <w:szCs w:val="24"/>
        </w:rPr>
        <w:t>prescribe electronic format requirements for the submission of information</w:t>
      </w:r>
      <w:r w:rsidRPr="00F071E6" w:rsidR="00DF3AF9">
        <w:rPr>
          <w:rFonts w:ascii="Times New Roman" w:eastAsia="Times New Roman" w:hAnsi="Times New Roman"/>
          <w:sz w:val="24"/>
          <w:szCs w:val="24"/>
        </w:rPr>
        <w:t>.  The information is submitted via the agency’s Electronic Submission Gateway</w:t>
      </w:r>
      <w:r w:rsidRPr="00F071E6" w:rsidR="0027079D">
        <w:rPr>
          <w:rFonts w:ascii="Times New Roman" w:eastAsia="Times New Roman" w:hAnsi="Times New Roman"/>
          <w:sz w:val="24"/>
          <w:szCs w:val="24"/>
        </w:rPr>
        <w:t>.</w:t>
      </w:r>
      <w:r w:rsidRPr="00F071E6" w:rsidR="00431554">
        <w:rPr>
          <w:rFonts w:ascii="Times New Roman" w:eastAsia="Times New Roman" w:hAnsi="Times New Roman"/>
          <w:sz w:val="24"/>
          <w:szCs w:val="24"/>
        </w:rPr>
        <w:t xml:space="preserve">  </w:t>
      </w:r>
      <w:r w:rsidRPr="00F071E6" w:rsidR="00EE1BE0">
        <w:rPr>
          <w:rFonts w:ascii="Times New Roman" w:eastAsia="Times New Roman" w:hAnsi="Times New Roman"/>
          <w:sz w:val="24"/>
          <w:szCs w:val="24"/>
        </w:rPr>
        <w:t xml:space="preserve">Compounded product information must </w:t>
      </w:r>
      <w:r w:rsidRPr="00F071E6" w:rsidR="00795CDE">
        <w:rPr>
          <w:rFonts w:ascii="Times New Roman" w:eastAsia="Times New Roman" w:hAnsi="Times New Roman"/>
          <w:sz w:val="24"/>
          <w:szCs w:val="24"/>
        </w:rPr>
        <w:t xml:space="preserve">also </w:t>
      </w:r>
      <w:r w:rsidRPr="00F071E6" w:rsidR="00EE1BE0">
        <w:rPr>
          <w:rFonts w:ascii="Times New Roman" w:eastAsia="Times New Roman" w:hAnsi="Times New Roman"/>
          <w:sz w:val="24"/>
          <w:szCs w:val="24"/>
        </w:rPr>
        <w:t>be submitted using the Structured Product Labeling (SPL) format and in accordance with section IV of the FDA guidance titled “</w:t>
      </w:r>
      <w:r w:rsidRPr="00F071E6" w:rsidR="00EE1BE0">
        <w:rPr>
          <w:rFonts w:ascii="Times New Roman" w:eastAsia="Times New Roman" w:hAnsi="Times New Roman"/>
          <w:i/>
          <w:sz w:val="24"/>
          <w:szCs w:val="24"/>
        </w:rPr>
        <w:t>Providing Regulatory Submissions in Electronic Format--Drug Establishment Registration and Drug Listing</w:t>
      </w:r>
      <w:r w:rsidRPr="00F071E6" w:rsidR="00EE1BE0">
        <w:rPr>
          <w:rFonts w:ascii="Times New Roman" w:eastAsia="Times New Roman" w:hAnsi="Times New Roman"/>
          <w:sz w:val="24"/>
          <w:szCs w:val="24"/>
        </w:rPr>
        <w:t>” (available a</w:t>
      </w:r>
      <w:r w:rsidR="002F1205">
        <w:rPr>
          <w:rFonts w:ascii="Times New Roman" w:eastAsia="Times New Roman" w:hAnsi="Times New Roman"/>
          <w:sz w:val="24"/>
          <w:szCs w:val="24"/>
        </w:rPr>
        <w:t xml:space="preserve">t </w:t>
      </w:r>
      <w:hyperlink r:id="rId6" w:history="1">
        <w:r w:rsidRPr="000436A5" w:rsidR="002F1205">
          <w:rPr>
            <w:rStyle w:val="Hyperlink"/>
            <w:rFonts w:ascii="Times New Roman" w:eastAsia="Times New Roman" w:hAnsi="Times New Roman"/>
            <w:sz w:val="20"/>
            <w:szCs w:val="20"/>
          </w:rPr>
          <w:t>https://www.fda.gov/RegulatoryInformation/Guidances/default.htm</w:t>
        </w:r>
      </w:hyperlink>
      <w:r w:rsidRPr="00F071E6" w:rsidR="00EE1BE0">
        <w:rPr>
          <w:rFonts w:ascii="Times New Roman" w:eastAsia="Times New Roman" w:hAnsi="Times New Roman"/>
          <w:sz w:val="24"/>
          <w:szCs w:val="24"/>
        </w:rPr>
        <w:t>).</w:t>
      </w:r>
    </w:p>
    <w:p w:rsidR="002F1205" w:rsidP="00942723" w14:paraId="7CCBCC79" w14:textId="77777777">
      <w:pPr>
        <w:spacing w:after="0" w:line="240" w:lineRule="auto"/>
        <w:ind w:left="-180"/>
        <w:rPr>
          <w:rFonts w:ascii="Times New Roman" w:hAnsi="Times New Roman"/>
          <w:sz w:val="24"/>
          <w:szCs w:val="24"/>
        </w:rPr>
      </w:pPr>
    </w:p>
    <w:p w:rsidR="00746778" w:rsidRPr="00F071E6" w:rsidP="00942723" w14:paraId="31702882" w14:textId="77777777">
      <w:pPr>
        <w:spacing w:after="0" w:line="240" w:lineRule="auto"/>
        <w:ind w:left="-180"/>
        <w:rPr>
          <w:rFonts w:ascii="Times New Roman" w:hAnsi="Times New Roman"/>
          <w:sz w:val="24"/>
          <w:szCs w:val="24"/>
        </w:rPr>
      </w:pPr>
      <w:r w:rsidRPr="00F071E6">
        <w:rPr>
          <w:rFonts w:ascii="Times New Roman" w:hAnsi="Times New Roman"/>
          <w:sz w:val="24"/>
          <w:szCs w:val="24"/>
        </w:rPr>
        <w:t>4.</w:t>
      </w:r>
      <w:r w:rsidRPr="00F071E6" w:rsidR="006730A3">
        <w:rPr>
          <w:rFonts w:ascii="Times New Roman" w:hAnsi="Times New Roman"/>
          <w:sz w:val="24"/>
          <w:szCs w:val="24"/>
        </w:rPr>
        <w:t xml:space="preserve">  </w:t>
      </w:r>
      <w:r w:rsidRPr="00F071E6">
        <w:rPr>
          <w:rFonts w:ascii="Times New Roman" w:hAnsi="Times New Roman"/>
          <w:sz w:val="24"/>
          <w:szCs w:val="24"/>
          <w:u w:val="single"/>
        </w:rPr>
        <w:t>Efforts to Identify Duplication and Use of Similar Information</w:t>
      </w:r>
    </w:p>
    <w:p w:rsidR="00B031D5" w:rsidRPr="00F071E6" w:rsidP="00942723" w14:paraId="36CEC218" w14:textId="77777777">
      <w:pPr>
        <w:autoSpaceDE w:val="0"/>
        <w:autoSpaceDN w:val="0"/>
        <w:adjustRightInd w:val="0"/>
        <w:spacing w:after="0" w:line="240" w:lineRule="auto"/>
        <w:ind w:left="-180"/>
        <w:rPr>
          <w:rFonts w:ascii="Times New Roman" w:hAnsi="Times New Roman"/>
          <w:sz w:val="24"/>
          <w:szCs w:val="24"/>
        </w:rPr>
      </w:pPr>
    </w:p>
    <w:p w:rsidR="00641DE6" w:rsidP="00942723" w14:paraId="34F8D568" w14:textId="77777777">
      <w:pPr>
        <w:autoSpaceDE w:val="0"/>
        <w:autoSpaceDN w:val="0"/>
        <w:adjustRightInd w:val="0"/>
        <w:spacing w:after="0" w:line="240" w:lineRule="auto"/>
        <w:ind w:left="-180"/>
        <w:rPr>
          <w:rFonts w:ascii="Times New Roman" w:hAnsi="Times New Roman"/>
          <w:sz w:val="24"/>
          <w:szCs w:val="24"/>
        </w:rPr>
      </w:pPr>
      <w:bookmarkStart w:id="0" w:name="_Hlk33192362"/>
      <w:r w:rsidRPr="00F071E6">
        <w:rPr>
          <w:rFonts w:ascii="Times New Roman" w:hAnsi="Times New Roman"/>
          <w:sz w:val="24"/>
          <w:szCs w:val="24"/>
        </w:rPr>
        <w:t>We are unaware of duplicative information collection.</w:t>
      </w:r>
      <w:bookmarkEnd w:id="0"/>
      <w:r w:rsidR="00E0437B">
        <w:rPr>
          <w:rFonts w:ascii="Times New Roman" w:hAnsi="Times New Roman"/>
          <w:sz w:val="24"/>
          <w:szCs w:val="24"/>
        </w:rPr>
        <w:t xml:space="preserve">  W</w:t>
      </w:r>
      <w:r w:rsidRPr="00E0437B" w:rsidR="00E0437B">
        <w:rPr>
          <w:rFonts w:ascii="Times New Roman" w:hAnsi="Times New Roman"/>
          <w:sz w:val="24"/>
          <w:szCs w:val="24"/>
        </w:rPr>
        <w:t xml:space="preserve">e note, </w:t>
      </w:r>
      <w:r>
        <w:rPr>
          <w:rFonts w:ascii="Times New Roman" w:hAnsi="Times New Roman"/>
          <w:sz w:val="24"/>
          <w:szCs w:val="24"/>
        </w:rPr>
        <w:t xml:space="preserve">however, </w:t>
      </w:r>
      <w:r w:rsidRPr="00E0437B" w:rsidR="00E0437B">
        <w:rPr>
          <w:rFonts w:ascii="Times New Roman" w:hAnsi="Times New Roman"/>
          <w:sz w:val="24"/>
          <w:szCs w:val="24"/>
        </w:rPr>
        <w:t xml:space="preserve">three other currently approved information collections that account for burden attributable to statutory requirements in sections 503A and 503B: </w:t>
      </w:r>
    </w:p>
    <w:p w:rsidR="00641DE6" w:rsidP="00942723" w14:paraId="491FC395" w14:textId="77777777">
      <w:pPr>
        <w:autoSpaceDE w:val="0"/>
        <w:autoSpaceDN w:val="0"/>
        <w:adjustRightInd w:val="0"/>
        <w:spacing w:after="0" w:line="240" w:lineRule="auto"/>
        <w:ind w:left="-180"/>
        <w:rPr>
          <w:rFonts w:ascii="Times New Roman" w:hAnsi="Times New Roman"/>
          <w:sz w:val="24"/>
          <w:szCs w:val="24"/>
        </w:rPr>
      </w:pPr>
      <w:r w:rsidRPr="00E0437B">
        <w:rPr>
          <w:rFonts w:ascii="Times New Roman" w:hAnsi="Times New Roman"/>
          <w:sz w:val="24"/>
          <w:szCs w:val="24"/>
        </w:rPr>
        <w:t xml:space="preserve"> </w:t>
      </w:r>
    </w:p>
    <w:p w:rsidR="00641DE6" w:rsidRPr="00641DE6" w:rsidP="00CB5809" w14:paraId="629F0BEF" w14:textId="77777777">
      <w:pPr>
        <w:pStyle w:val="ListParagraph"/>
        <w:numPr>
          <w:ilvl w:val="0"/>
          <w:numId w:val="9"/>
        </w:numPr>
        <w:autoSpaceDE w:val="0"/>
        <w:autoSpaceDN w:val="0"/>
        <w:adjustRightInd w:val="0"/>
        <w:ind w:left="360"/>
        <w:rPr>
          <w:rFonts w:ascii="Times New Roman" w:hAnsi="Times New Roman"/>
          <w:sz w:val="24"/>
          <w:szCs w:val="24"/>
        </w:rPr>
      </w:pPr>
      <w:r w:rsidRPr="00641DE6">
        <w:rPr>
          <w:rFonts w:ascii="Times New Roman" w:hAnsi="Times New Roman"/>
          <w:sz w:val="24"/>
          <w:szCs w:val="24"/>
        </w:rPr>
        <w:t>OMB control number 0910-0776, established in 2014 to account for burden that may be attributable to FDA guidance discussing applicable fees;</w:t>
      </w:r>
    </w:p>
    <w:p w:rsidR="00641DE6" w:rsidRPr="00641DE6" w:rsidP="00CB5809" w14:paraId="0A99C3BE" w14:textId="77777777">
      <w:pPr>
        <w:pStyle w:val="ListParagraph"/>
        <w:autoSpaceDE w:val="0"/>
        <w:autoSpaceDN w:val="0"/>
        <w:adjustRightInd w:val="0"/>
        <w:ind w:left="252"/>
        <w:rPr>
          <w:rFonts w:ascii="Times New Roman" w:hAnsi="Times New Roman"/>
          <w:sz w:val="24"/>
          <w:szCs w:val="24"/>
        </w:rPr>
      </w:pPr>
    </w:p>
    <w:p w:rsidR="003F18F6" w:rsidP="00CB5809" w14:paraId="47F7036D" w14:textId="77777777">
      <w:pPr>
        <w:pStyle w:val="ListParagraph"/>
        <w:numPr>
          <w:ilvl w:val="0"/>
          <w:numId w:val="9"/>
        </w:numPr>
        <w:autoSpaceDE w:val="0"/>
        <w:autoSpaceDN w:val="0"/>
        <w:adjustRightInd w:val="0"/>
        <w:ind w:left="360"/>
        <w:rPr>
          <w:rFonts w:ascii="Times New Roman" w:hAnsi="Times New Roman"/>
          <w:sz w:val="24"/>
          <w:szCs w:val="24"/>
        </w:rPr>
      </w:pPr>
      <w:r w:rsidRPr="00641DE6">
        <w:rPr>
          <w:rFonts w:ascii="Times New Roman" w:hAnsi="Times New Roman"/>
          <w:sz w:val="24"/>
          <w:szCs w:val="24"/>
        </w:rPr>
        <w:t>OMB control number 0910-0858, Human Drug Compounding, Repackaging, and Related Activities Regarding Sections 503A and 503B of the Federal Food, Drug, and Cosmetic Act, established in 2018 to account for burden that may be attributable to FDA guidance discussing various respective compounding activities; and</w:t>
      </w:r>
    </w:p>
    <w:p w:rsidR="003F18F6" w:rsidRPr="003F18F6" w:rsidP="00CB5809" w14:paraId="6A4B374D" w14:textId="77777777">
      <w:pPr>
        <w:pStyle w:val="ListParagraph"/>
        <w:ind w:left="360"/>
        <w:rPr>
          <w:rFonts w:ascii="Times New Roman" w:hAnsi="Times New Roman"/>
          <w:sz w:val="24"/>
          <w:szCs w:val="24"/>
        </w:rPr>
      </w:pPr>
    </w:p>
    <w:p w:rsidR="00225456" w:rsidRPr="003F18F6" w:rsidP="00CB5809" w14:paraId="6295627B" w14:textId="77777777">
      <w:pPr>
        <w:pStyle w:val="ListParagraph"/>
        <w:numPr>
          <w:ilvl w:val="0"/>
          <w:numId w:val="9"/>
        </w:numPr>
        <w:autoSpaceDE w:val="0"/>
        <w:autoSpaceDN w:val="0"/>
        <w:adjustRightInd w:val="0"/>
        <w:ind w:left="360"/>
        <w:rPr>
          <w:rFonts w:ascii="Times New Roman" w:hAnsi="Times New Roman"/>
          <w:sz w:val="24"/>
          <w:szCs w:val="24"/>
        </w:rPr>
      </w:pPr>
      <w:r w:rsidRPr="003F18F6">
        <w:rPr>
          <w:rFonts w:ascii="Times New Roman" w:hAnsi="Times New Roman"/>
          <w:sz w:val="24"/>
          <w:szCs w:val="24"/>
        </w:rPr>
        <w:t>OMB control number 0910-0883, Obtaining Information to Understand and Challenges and Opportunities Encountered by Compounding Outsourcing Facilities, established in 2020 to account for burden attributable to FDA efforts undertaken to help inform us how best to utilize our limited resources toward ensuring the safety of human drug compounding</w:t>
      </w:r>
      <w:r w:rsidRPr="003F18F6" w:rsidR="00F61EE9">
        <w:rPr>
          <w:rFonts w:ascii="Times New Roman" w:hAnsi="Times New Roman"/>
          <w:sz w:val="24"/>
          <w:szCs w:val="24"/>
        </w:rPr>
        <w:t>.</w:t>
      </w:r>
    </w:p>
    <w:p w:rsidR="001B7F69" w:rsidRPr="00F071E6" w:rsidP="00942723" w14:paraId="17EFFCE6" w14:textId="77777777">
      <w:pPr>
        <w:autoSpaceDE w:val="0"/>
        <w:autoSpaceDN w:val="0"/>
        <w:adjustRightInd w:val="0"/>
        <w:spacing w:after="0" w:line="240" w:lineRule="auto"/>
        <w:ind w:left="-180"/>
        <w:rPr>
          <w:rFonts w:ascii="Times New Roman" w:hAnsi="Times New Roman"/>
          <w:sz w:val="24"/>
          <w:szCs w:val="24"/>
        </w:rPr>
      </w:pPr>
    </w:p>
    <w:p w:rsidR="00746778" w:rsidRPr="00F071E6" w:rsidP="00942723" w14:paraId="6CC5D2D4" w14:textId="77777777">
      <w:pPr>
        <w:spacing w:after="0" w:line="240" w:lineRule="auto"/>
        <w:ind w:left="-180"/>
        <w:rPr>
          <w:rFonts w:ascii="Times New Roman" w:hAnsi="Times New Roman"/>
          <w:sz w:val="24"/>
          <w:szCs w:val="24"/>
        </w:rPr>
      </w:pPr>
      <w:r w:rsidRPr="00F071E6">
        <w:rPr>
          <w:rFonts w:ascii="Times New Roman" w:hAnsi="Times New Roman"/>
          <w:sz w:val="24"/>
          <w:szCs w:val="24"/>
        </w:rPr>
        <w:t>5.</w:t>
      </w:r>
      <w:r w:rsidRPr="00F071E6" w:rsidR="006730A3">
        <w:rPr>
          <w:rFonts w:ascii="Times New Roman" w:hAnsi="Times New Roman"/>
          <w:sz w:val="24"/>
          <w:szCs w:val="24"/>
        </w:rPr>
        <w:t xml:space="preserve">  </w:t>
      </w:r>
      <w:r w:rsidRPr="00F071E6">
        <w:rPr>
          <w:rFonts w:ascii="Times New Roman" w:hAnsi="Times New Roman"/>
          <w:sz w:val="24"/>
          <w:szCs w:val="24"/>
          <w:u w:val="single"/>
        </w:rPr>
        <w:t xml:space="preserve">Impact on Small Businesses or Other Small Entities </w:t>
      </w:r>
    </w:p>
    <w:p w:rsidR="00B031D5" w:rsidRPr="00F071E6" w:rsidP="00942723" w14:paraId="7C35EF98" w14:textId="77777777">
      <w:pPr>
        <w:spacing w:after="0" w:line="240" w:lineRule="auto"/>
        <w:ind w:left="-180"/>
        <w:rPr>
          <w:rFonts w:ascii="Times New Roman" w:hAnsi="Times New Roman"/>
          <w:sz w:val="24"/>
          <w:szCs w:val="24"/>
        </w:rPr>
      </w:pPr>
    </w:p>
    <w:p w:rsidR="00746778" w:rsidRPr="00F071E6" w:rsidP="00942723" w14:paraId="3C359FAB" w14:textId="77777777">
      <w:pPr>
        <w:spacing w:after="0" w:line="240" w:lineRule="auto"/>
        <w:ind w:left="-180"/>
        <w:rPr>
          <w:rFonts w:ascii="Times New Roman" w:hAnsi="Times New Roman"/>
          <w:sz w:val="24"/>
          <w:szCs w:val="24"/>
        </w:rPr>
      </w:pPr>
      <w:r w:rsidRPr="00F071E6">
        <w:rPr>
          <w:rFonts w:ascii="Times New Roman" w:hAnsi="Times New Roman"/>
          <w:sz w:val="24"/>
          <w:szCs w:val="24"/>
        </w:rPr>
        <w:t xml:space="preserve">We do not believe the information collection poses undue burden on small entities. </w:t>
      </w:r>
    </w:p>
    <w:p w:rsidR="00746778" w:rsidRPr="00F071E6" w:rsidP="00942723" w14:paraId="703B29ED" w14:textId="77777777">
      <w:pPr>
        <w:spacing w:after="0" w:line="240" w:lineRule="auto"/>
        <w:ind w:left="-180"/>
        <w:rPr>
          <w:rFonts w:ascii="Times New Roman" w:hAnsi="Times New Roman"/>
          <w:sz w:val="24"/>
          <w:szCs w:val="24"/>
        </w:rPr>
      </w:pPr>
    </w:p>
    <w:p w:rsidR="00B031D5" w:rsidRPr="00F071E6" w:rsidP="00942723" w14:paraId="28C45BE4" w14:textId="77777777">
      <w:pPr>
        <w:spacing w:after="0" w:line="240" w:lineRule="auto"/>
        <w:ind w:left="-180"/>
        <w:rPr>
          <w:rFonts w:ascii="Times New Roman" w:hAnsi="Times New Roman"/>
          <w:sz w:val="24"/>
          <w:szCs w:val="24"/>
        </w:rPr>
      </w:pPr>
      <w:r w:rsidRPr="00F071E6">
        <w:rPr>
          <w:rFonts w:ascii="Times New Roman" w:hAnsi="Times New Roman"/>
          <w:sz w:val="24"/>
          <w:szCs w:val="24"/>
        </w:rPr>
        <w:t>6.</w:t>
      </w:r>
      <w:r w:rsidRPr="00F071E6" w:rsidR="006730A3">
        <w:rPr>
          <w:rFonts w:ascii="Times New Roman" w:hAnsi="Times New Roman"/>
          <w:sz w:val="24"/>
          <w:szCs w:val="24"/>
        </w:rPr>
        <w:t xml:space="preserve">  </w:t>
      </w:r>
      <w:r w:rsidRPr="00F071E6">
        <w:rPr>
          <w:rFonts w:ascii="Times New Roman" w:hAnsi="Times New Roman"/>
          <w:sz w:val="24"/>
          <w:szCs w:val="24"/>
          <w:u w:val="single"/>
        </w:rPr>
        <w:t>Consequences of Collecting the Information Less Frequently</w:t>
      </w:r>
    </w:p>
    <w:p w:rsidR="00162579" w:rsidRPr="00F071E6" w:rsidP="00942723" w14:paraId="1005F7CC" w14:textId="77777777">
      <w:pPr>
        <w:spacing w:after="0" w:line="240" w:lineRule="auto"/>
        <w:ind w:left="-180"/>
        <w:rPr>
          <w:rFonts w:ascii="Times New Roman" w:eastAsia="Times New Roman" w:hAnsi="Times New Roman"/>
          <w:sz w:val="24"/>
          <w:szCs w:val="24"/>
        </w:rPr>
      </w:pPr>
    </w:p>
    <w:p w:rsidR="00534AD1" w:rsidRPr="00F071E6" w:rsidP="00942723" w14:paraId="500008E7" w14:textId="77777777">
      <w:pPr>
        <w:spacing w:after="0" w:line="240" w:lineRule="auto"/>
        <w:ind w:left="-180"/>
        <w:rPr>
          <w:rFonts w:ascii="Times New Roman" w:eastAsia="Times New Roman" w:hAnsi="Times New Roman"/>
          <w:sz w:val="24"/>
          <w:szCs w:val="24"/>
        </w:rPr>
      </w:pPr>
      <w:r w:rsidRPr="00F071E6">
        <w:rPr>
          <w:rFonts w:ascii="Times New Roman" w:eastAsia="Times New Roman" w:hAnsi="Times New Roman"/>
          <w:sz w:val="24"/>
          <w:szCs w:val="24"/>
        </w:rPr>
        <w:t>The information collection schedule is consistent with applicable statutory and regulatory requirements</w:t>
      </w:r>
      <w:r w:rsidRPr="00F071E6" w:rsidR="00EC6B0B">
        <w:rPr>
          <w:rFonts w:ascii="Times New Roman" w:eastAsia="Times New Roman" w:hAnsi="Times New Roman"/>
          <w:sz w:val="24"/>
          <w:szCs w:val="24"/>
        </w:rPr>
        <w:t>.</w:t>
      </w:r>
    </w:p>
    <w:p w:rsidR="00746778" w:rsidRPr="00F071E6" w:rsidP="00942723" w14:paraId="2C625DCF" w14:textId="77777777">
      <w:pPr>
        <w:autoSpaceDE w:val="0"/>
        <w:autoSpaceDN w:val="0"/>
        <w:adjustRightInd w:val="0"/>
        <w:spacing w:after="0" w:line="240" w:lineRule="auto"/>
        <w:ind w:left="-180"/>
        <w:rPr>
          <w:rFonts w:ascii="Times New Roman" w:hAnsi="Times New Roman"/>
          <w:sz w:val="24"/>
          <w:szCs w:val="24"/>
        </w:rPr>
      </w:pPr>
    </w:p>
    <w:p w:rsidR="00746778" w:rsidRPr="00F071E6" w:rsidP="00942723" w14:paraId="54B5AA83" w14:textId="77777777">
      <w:pPr>
        <w:spacing w:after="0" w:line="240" w:lineRule="auto"/>
        <w:ind w:left="-180"/>
        <w:rPr>
          <w:rFonts w:ascii="Times New Roman" w:hAnsi="Times New Roman"/>
          <w:sz w:val="24"/>
          <w:szCs w:val="24"/>
        </w:rPr>
      </w:pPr>
      <w:r w:rsidRPr="00F071E6">
        <w:rPr>
          <w:rFonts w:ascii="Times New Roman" w:hAnsi="Times New Roman"/>
          <w:sz w:val="24"/>
          <w:szCs w:val="24"/>
        </w:rPr>
        <w:t>7.</w:t>
      </w:r>
      <w:r w:rsidRPr="00F071E6" w:rsidR="006730A3">
        <w:rPr>
          <w:rFonts w:ascii="Times New Roman" w:hAnsi="Times New Roman"/>
          <w:sz w:val="24"/>
          <w:szCs w:val="24"/>
        </w:rPr>
        <w:t xml:space="preserve">  </w:t>
      </w:r>
      <w:r w:rsidRPr="00F071E6">
        <w:rPr>
          <w:rFonts w:ascii="Times New Roman" w:hAnsi="Times New Roman"/>
          <w:sz w:val="24"/>
          <w:szCs w:val="24"/>
          <w:u w:val="single"/>
        </w:rPr>
        <w:t>Special Circumstances Relating to the Guidelines in 5 CFR 1320.5</w:t>
      </w:r>
    </w:p>
    <w:p w:rsidR="00B031D5" w:rsidRPr="00F071E6" w:rsidP="00942723" w14:paraId="585B3509" w14:textId="77777777">
      <w:pPr>
        <w:spacing w:after="0" w:line="240" w:lineRule="auto"/>
        <w:ind w:left="-180"/>
        <w:rPr>
          <w:rFonts w:ascii="Times New Roman" w:hAnsi="Times New Roman"/>
          <w:sz w:val="24"/>
          <w:szCs w:val="24"/>
        </w:rPr>
      </w:pPr>
    </w:p>
    <w:p w:rsidR="00746778" w:rsidRPr="00F071E6" w:rsidP="00942723" w14:paraId="3E0E851E" w14:textId="77777777">
      <w:pPr>
        <w:spacing w:after="0" w:line="240" w:lineRule="auto"/>
        <w:ind w:left="-180"/>
        <w:rPr>
          <w:rFonts w:ascii="Times New Roman" w:hAnsi="Times New Roman"/>
          <w:sz w:val="24"/>
          <w:szCs w:val="24"/>
        </w:rPr>
      </w:pPr>
      <w:r w:rsidRPr="00F071E6">
        <w:rPr>
          <w:rFonts w:ascii="Times New Roman" w:hAnsi="Times New Roman"/>
          <w:sz w:val="24"/>
          <w:szCs w:val="24"/>
        </w:rPr>
        <w:t xml:space="preserve">There are no special circumstances relating to this information collection. </w:t>
      </w:r>
    </w:p>
    <w:p w:rsidR="00746778" w:rsidRPr="00F071E6" w:rsidP="00942723" w14:paraId="4E15AA7C" w14:textId="77777777">
      <w:pPr>
        <w:spacing w:after="0" w:line="240" w:lineRule="auto"/>
        <w:ind w:left="-180"/>
        <w:rPr>
          <w:rFonts w:ascii="Times New Roman" w:hAnsi="Times New Roman"/>
          <w:sz w:val="24"/>
          <w:szCs w:val="24"/>
        </w:rPr>
      </w:pPr>
    </w:p>
    <w:p w:rsidR="00765FE7" w:rsidRPr="00F071E6" w:rsidP="00942723" w14:paraId="303A480A" w14:textId="77777777">
      <w:pPr>
        <w:spacing w:after="0" w:line="480" w:lineRule="auto"/>
        <w:ind w:left="-180"/>
        <w:rPr>
          <w:rFonts w:ascii="Times New Roman" w:hAnsi="Times New Roman"/>
          <w:sz w:val="24"/>
          <w:szCs w:val="24"/>
        </w:rPr>
      </w:pPr>
      <w:r w:rsidRPr="00F071E6">
        <w:rPr>
          <w:rFonts w:ascii="Times New Roman" w:hAnsi="Times New Roman"/>
          <w:sz w:val="24"/>
          <w:szCs w:val="24"/>
        </w:rPr>
        <w:t>8.</w:t>
      </w:r>
      <w:r w:rsidRPr="00F071E6" w:rsidR="006730A3">
        <w:rPr>
          <w:rFonts w:ascii="Times New Roman" w:hAnsi="Times New Roman"/>
          <w:sz w:val="24"/>
          <w:szCs w:val="24"/>
        </w:rPr>
        <w:t xml:space="preserve">  </w:t>
      </w:r>
      <w:r w:rsidRPr="00F071E6">
        <w:rPr>
          <w:rFonts w:ascii="Times New Roman" w:hAnsi="Times New Roman"/>
          <w:sz w:val="24"/>
          <w:szCs w:val="24"/>
          <w:u w:val="single"/>
        </w:rPr>
        <w:t xml:space="preserve">Comments in Response to the Federal Register Notice </w:t>
      </w:r>
    </w:p>
    <w:p w:rsidR="00EC46CE" w:rsidRPr="00EC46CE" w:rsidP="00EC46CE" w14:paraId="46EA7E2D" w14:textId="38F082CD">
      <w:pPr>
        <w:spacing w:after="0" w:line="240" w:lineRule="auto"/>
        <w:ind w:left="-180"/>
        <w:rPr>
          <w:rFonts w:ascii="Times New Roman" w:hAnsi="Times New Roman"/>
          <w:sz w:val="24"/>
          <w:szCs w:val="24"/>
        </w:rPr>
      </w:pPr>
      <w:r w:rsidRPr="00EC46CE">
        <w:rPr>
          <w:rFonts w:ascii="Times New Roman" w:hAnsi="Times New Roman"/>
          <w:sz w:val="24"/>
          <w:szCs w:val="24"/>
        </w:rPr>
        <w:t xml:space="preserve">In the </w:t>
      </w:r>
      <w:r w:rsidRPr="00EC46CE">
        <w:rPr>
          <w:rFonts w:ascii="Times New Roman" w:hAnsi="Times New Roman"/>
          <w:i/>
          <w:iCs/>
          <w:sz w:val="24"/>
          <w:szCs w:val="24"/>
        </w:rPr>
        <w:t>Federal Register</w:t>
      </w:r>
      <w:r w:rsidRPr="00EC46CE">
        <w:rPr>
          <w:rFonts w:ascii="Times New Roman" w:hAnsi="Times New Roman"/>
          <w:sz w:val="24"/>
          <w:szCs w:val="24"/>
        </w:rPr>
        <w:t xml:space="preserve"> of November 24, 2025 (90 FR 52965), we published a 60-day notice soliciting comment on the proposed collection of information.  Five comments </w:t>
      </w:r>
      <w:r>
        <w:rPr>
          <w:rFonts w:ascii="Times New Roman" w:hAnsi="Times New Roman"/>
          <w:sz w:val="24"/>
          <w:szCs w:val="24"/>
        </w:rPr>
        <w:t xml:space="preserve">were </w:t>
      </w:r>
      <w:r w:rsidRPr="00EC46CE">
        <w:rPr>
          <w:rFonts w:ascii="Times New Roman" w:hAnsi="Times New Roman"/>
          <w:sz w:val="24"/>
          <w:szCs w:val="24"/>
        </w:rPr>
        <w:t>posted to the docket</w:t>
      </w:r>
      <w:r>
        <w:rPr>
          <w:rFonts w:ascii="Times New Roman" w:hAnsi="Times New Roman"/>
          <w:sz w:val="24"/>
          <w:szCs w:val="24"/>
        </w:rPr>
        <w:t xml:space="preserve"> (FDA-2025-N-4348)</w:t>
      </w:r>
      <w:r w:rsidRPr="00EC46CE">
        <w:rPr>
          <w:rFonts w:ascii="Times New Roman" w:hAnsi="Times New Roman"/>
          <w:sz w:val="24"/>
          <w:szCs w:val="24"/>
        </w:rPr>
        <w:t>, which we subsequently evaluated</w:t>
      </w:r>
      <w:r>
        <w:rPr>
          <w:rFonts w:ascii="Times New Roman" w:hAnsi="Times New Roman"/>
          <w:sz w:val="24"/>
          <w:szCs w:val="24"/>
        </w:rPr>
        <w:t xml:space="preserve"> and discuss</w:t>
      </w:r>
      <w:r w:rsidR="00A350DC">
        <w:rPr>
          <w:rFonts w:ascii="Times New Roman" w:hAnsi="Times New Roman"/>
          <w:sz w:val="24"/>
          <w:szCs w:val="24"/>
        </w:rPr>
        <w:t>ed</w:t>
      </w:r>
      <w:r w:rsidR="00EA2706">
        <w:rPr>
          <w:rFonts w:ascii="Times New Roman" w:hAnsi="Times New Roman"/>
          <w:sz w:val="24"/>
          <w:szCs w:val="24"/>
        </w:rPr>
        <w:t xml:space="preserve"> in our 30-day notice announcing submission to OMB</w:t>
      </w:r>
      <w:r w:rsidRPr="00EC46CE">
        <w:rPr>
          <w:rFonts w:ascii="Times New Roman" w:hAnsi="Times New Roman"/>
          <w:sz w:val="24"/>
          <w:szCs w:val="24"/>
        </w:rPr>
        <w:t xml:space="preserve">.  All commenters appear to recognize the practical utility of the collection activities in supporting FDA’s public health protection </w:t>
      </w:r>
      <w:r w:rsidRPr="00EC46CE">
        <w:rPr>
          <w:rFonts w:ascii="Times New Roman" w:hAnsi="Times New Roman"/>
          <w:sz w:val="24"/>
          <w:szCs w:val="24"/>
        </w:rPr>
        <w:t>goals, but</w:t>
      </w:r>
      <w:r w:rsidRPr="00EC46CE">
        <w:rPr>
          <w:rFonts w:ascii="Times New Roman" w:hAnsi="Times New Roman"/>
          <w:sz w:val="24"/>
          <w:szCs w:val="24"/>
        </w:rPr>
        <w:t xml:space="preserve"> asked for increased transparency regarding specific elements.  We </w:t>
      </w:r>
      <w:r w:rsidR="00EA2706">
        <w:rPr>
          <w:rFonts w:ascii="Times New Roman" w:hAnsi="Times New Roman"/>
          <w:sz w:val="24"/>
          <w:szCs w:val="24"/>
        </w:rPr>
        <w:t>expressed appreciation for</w:t>
      </w:r>
      <w:r w:rsidRPr="00EC46CE">
        <w:rPr>
          <w:rFonts w:ascii="Times New Roman" w:hAnsi="Times New Roman"/>
          <w:sz w:val="24"/>
          <w:szCs w:val="24"/>
        </w:rPr>
        <w:t xml:space="preserve"> this feedback and remind</w:t>
      </w:r>
      <w:r w:rsidR="00EA2706">
        <w:rPr>
          <w:rFonts w:ascii="Times New Roman" w:hAnsi="Times New Roman"/>
          <w:sz w:val="24"/>
          <w:szCs w:val="24"/>
        </w:rPr>
        <w:t>ed</w:t>
      </w:r>
      <w:r w:rsidRPr="00EC46CE">
        <w:rPr>
          <w:rFonts w:ascii="Times New Roman" w:hAnsi="Times New Roman"/>
          <w:sz w:val="24"/>
          <w:szCs w:val="24"/>
        </w:rPr>
        <w:t xml:space="preserve"> interested readers that FDA published its 60-day notice in compliance with requirements of the PRA, as administered by OMB, and uses the notice as way to help us with the ongoing evaluation of </w:t>
      </w:r>
      <w:r w:rsidR="00A25B72">
        <w:rPr>
          <w:rFonts w:ascii="Times New Roman" w:hAnsi="Times New Roman"/>
          <w:sz w:val="24"/>
          <w:szCs w:val="24"/>
        </w:rPr>
        <w:t>its</w:t>
      </w:r>
      <w:r w:rsidRPr="00EC46CE">
        <w:rPr>
          <w:rFonts w:ascii="Times New Roman" w:hAnsi="Times New Roman"/>
          <w:sz w:val="24"/>
          <w:szCs w:val="24"/>
        </w:rPr>
        <w:t xml:space="preserve"> existing collection inventory.  Toward that end, we updated </w:t>
      </w:r>
      <w:r w:rsidR="00A25B72">
        <w:rPr>
          <w:rFonts w:ascii="Times New Roman" w:hAnsi="Times New Roman"/>
          <w:sz w:val="24"/>
          <w:szCs w:val="24"/>
        </w:rPr>
        <w:t xml:space="preserve"> </w:t>
      </w:r>
      <w:r w:rsidR="00A25B72">
        <w:rPr>
          <w:rFonts w:ascii="Times New Roman" w:hAnsi="Times New Roman"/>
          <w:sz w:val="24"/>
          <w:szCs w:val="24"/>
        </w:rPr>
        <w:t xml:space="preserve">the </w:t>
      </w:r>
      <w:r w:rsidRPr="00EC46CE">
        <w:rPr>
          <w:rFonts w:ascii="Times New Roman" w:hAnsi="Times New Roman"/>
          <w:sz w:val="24"/>
          <w:szCs w:val="24"/>
        </w:rPr>
        <w:t>explanatory text that accompanie</w:t>
      </w:r>
      <w:r w:rsidR="00A25B72">
        <w:rPr>
          <w:rFonts w:ascii="Times New Roman" w:hAnsi="Times New Roman"/>
          <w:sz w:val="24"/>
          <w:szCs w:val="24"/>
        </w:rPr>
        <w:t>d</w:t>
      </w:r>
      <w:r w:rsidRPr="00EC46CE">
        <w:rPr>
          <w:rFonts w:ascii="Times New Roman" w:hAnsi="Times New Roman"/>
          <w:sz w:val="24"/>
          <w:szCs w:val="24"/>
        </w:rPr>
        <w:t xml:space="preserve"> our burden </w:t>
      </w:r>
      <w:r w:rsidRPr="00EC46CE">
        <w:rPr>
          <w:rFonts w:ascii="Times New Roman" w:hAnsi="Times New Roman"/>
          <w:sz w:val="24"/>
          <w:szCs w:val="24"/>
        </w:rPr>
        <w:t>figures</w:t>
      </w:r>
      <w:r w:rsidR="00A25B72">
        <w:rPr>
          <w:rFonts w:ascii="Times New Roman" w:hAnsi="Times New Roman"/>
          <w:sz w:val="24"/>
          <w:szCs w:val="24"/>
        </w:rPr>
        <w:t>, but</w:t>
      </w:r>
      <w:r w:rsidR="00A25B72">
        <w:rPr>
          <w:rFonts w:ascii="Times New Roman" w:hAnsi="Times New Roman"/>
          <w:sz w:val="24"/>
          <w:szCs w:val="24"/>
        </w:rPr>
        <w:t xml:space="preserve"> </w:t>
      </w:r>
      <w:r w:rsidRPr="00EC46CE">
        <w:rPr>
          <w:rFonts w:ascii="Times New Roman" w:hAnsi="Times New Roman"/>
          <w:sz w:val="24"/>
          <w:szCs w:val="24"/>
        </w:rPr>
        <w:t>made no adjustments to our estimated annualized burden</w:t>
      </w:r>
      <w:r w:rsidR="00707EE1">
        <w:rPr>
          <w:rFonts w:ascii="Times New Roman" w:hAnsi="Times New Roman"/>
          <w:sz w:val="24"/>
          <w:szCs w:val="24"/>
        </w:rPr>
        <w:t xml:space="preserve"> in response to the comments</w:t>
      </w:r>
      <w:r w:rsidRPr="00EC46CE">
        <w:rPr>
          <w:rFonts w:ascii="Times New Roman" w:hAnsi="Times New Roman"/>
          <w:sz w:val="24"/>
          <w:szCs w:val="24"/>
        </w:rPr>
        <w:t>.</w:t>
      </w:r>
    </w:p>
    <w:p w:rsidR="00010960" w:rsidRPr="00F071E6" w:rsidP="00942723" w14:paraId="2CF75652" w14:textId="77777777">
      <w:pPr>
        <w:spacing w:after="0" w:line="240" w:lineRule="auto"/>
        <w:ind w:left="-180"/>
        <w:rPr>
          <w:rFonts w:ascii="Times New Roman" w:hAnsi="Times New Roman"/>
          <w:sz w:val="24"/>
          <w:szCs w:val="24"/>
        </w:rPr>
      </w:pPr>
    </w:p>
    <w:p w:rsidR="009342D9" w:rsidRPr="00F071E6" w:rsidP="00942723" w14:paraId="27B756B1" w14:textId="77777777">
      <w:pPr>
        <w:spacing w:after="0" w:line="240" w:lineRule="auto"/>
        <w:ind w:left="-180"/>
        <w:rPr>
          <w:rFonts w:ascii="Times New Roman" w:hAnsi="Times New Roman"/>
          <w:sz w:val="24"/>
          <w:szCs w:val="24"/>
        </w:rPr>
      </w:pPr>
      <w:r w:rsidRPr="00F071E6">
        <w:rPr>
          <w:rFonts w:ascii="Times New Roman" w:hAnsi="Times New Roman"/>
          <w:sz w:val="24"/>
          <w:szCs w:val="24"/>
        </w:rPr>
        <w:t>9.</w:t>
      </w:r>
      <w:r w:rsidRPr="00F071E6" w:rsidR="006730A3">
        <w:rPr>
          <w:rFonts w:ascii="Times New Roman" w:hAnsi="Times New Roman"/>
          <w:sz w:val="24"/>
          <w:szCs w:val="24"/>
        </w:rPr>
        <w:t xml:space="preserve"> </w:t>
      </w:r>
      <w:r w:rsidRPr="00F071E6" w:rsidR="006730A3">
        <w:rPr>
          <w:rFonts w:ascii="Times New Roman" w:hAnsi="Times New Roman"/>
          <w:sz w:val="24"/>
          <w:szCs w:val="24"/>
        </w:rPr>
        <w:t xml:space="preserve"> </w:t>
      </w:r>
      <w:r w:rsidRPr="00F071E6">
        <w:rPr>
          <w:rFonts w:ascii="Times New Roman" w:hAnsi="Times New Roman"/>
          <w:sz w:val="24"/>
          <w:szCs w:val="24"/>
          <w:u w:val="single"/>
        </w:rPr>
        <w:t>Explanation of Any</w:t>
      </w:r>
      <w:r w:rsidRPr="00F071E6">
        <w:rPr>
          <w:rFonts w:ascii="Times New Roman" w:hAnsi="Times New Roman"/>
          <w:sz w:val="24"/>
          <w:szCs w:val="24"/>
          <w:u w:val="single"/>
        </w:rPr>
        <w:t xml:space="preserve"> Payment or Gift to Respondents</w:t>
      </w:r>
    </w:p>
    <w:p w:rsidR="00530B6E" w:rsidRPr="00F071E6" w:rsidP="00942723" w14:paraId="3F85820B" w14:textId="77777777">
      <w:pPr>
        <w:spacing w:after="0" w:line="240" w:lineRule="auto"/>
        <w:ind w:left="-180"/>
        <w:rPr>
          <w:rFonts w:ascii="Times New Roman" w:hAnsi="Times New Roman"/>
          <w:sz w:val="24"/>
          <w:szCs w:val="24"/>
        </w:rPr>
      </w:pPr>
    </w:p>
    <w:p w:rsidR="009342D9" w:rsidP="0037196F" w14:paraId="7FDAAD3E" w14:textId="77777777">
      <w:pPr>
        <w:spacing w:after="0" w:line="240" w:lineRule="auto"/>
        <w:ind w:left="-180"/>
        <w:rPr>
          <w:rFonts w:ascii="Times New Roman" w:hAnsi="Times New Roman"/>
          <w:sz w:val="24"/>
          <w:szCs w:val="24"/>
        </w:rPr>
      </w:pPr>
      <w:r w:rsidRPr="00F071E6">
        <w:rPr>
          <w:rFonts w:ascii="Times New Roman" w:hAnsi="Times New Roman"/>
          <w:sz w:val="24"/>
          <w:szCs w:val="24"/>
        </w:rPr>
        <w:t>No remuneration is associated with the information collection.</w:t>
      </w:r>
    </w:p>
    <w:p w:rsidR="0037196F" w:rsidRPr="00F071E6" w:rsidP="0037196F" w14:paraId="03352E25" w14:textId="77777777">
      <w:pPr>
        <w:spacing w:after="0" w:line="240" w:lineRule="auto"/>
        <w:ind w:left="-180"/>
        <w:rPr>
          <w:rFonts w:ascii="Times New Roman" w:hAnsi="Times New Roman"/>
          <w:sz w:val="24"/>
          <w:szCs w:val="24"/>
        </w:rPr>
      </w:pPr>
    </w:p>
    <w:p w:rsidR="009342D9" w:rsidRPr="00F071E6" w:rsidP="00942723" w14:paraId="2A37F66B" w14:textId="77777777">
      <w:pPr>
        <w:spacing w:after="0" w:line="240" w:lineRule="auto"/>
        <w:ind w:left="-180"/>
        <w:rPr>
          <w:rFonts w:ascii="Times New Roman" w:hAnsi="Times New Roman"/>
          <w:sz w:val="24"/>
          <w:szCs w:val="24"/>
        </w:rPr>
      </w:pPr>
      <w:r w:rsidRPr="00F071E6">
        <w:rPr>
          <w:rFonts w:ascii="Times New Roman" w:hAnsi="Times New Roman"/>
          <w:sz w:val="24"/>
          <w:szCs w:val="24"/>
        </w:rPr>
        <w:t>10</w:t>
      </w:r>
      <w:r w:rsidRPr="00F071E6" w:rsidR="00A06D24">
        <w:rPr>
          <w:rFonts w:ascii="Times New Roman" w:hAnsi="Times New Roman"/>
          <w:sz w:val="24"/>
          <w:szCs w:val="24"/>
        </w:rPr>
        <w:t>.</w:t>
      </w:r>
      <w:r w:rsidRPr="00F071E6" w:rsidR="006730A3">
        <w:rPr>
          <w:rFonts w:ascii="Times New Roman" w:hAnsi="Times New Roman"/>
          <w:sz w:val="24"/>
          <w:szCs w:val="24"/>
        </w:rPr>
        <w:t xml:space="preserve">  </w:t>
      </w:r>
      <w:r w:rsidRPr="00F071E6">
        <w:rPr>
          <w:rFonts w:ascii="Times New Roman" w:hAnsi="Times New Roman"/>
          <w:sz w:val="24"/>
          <w:szCs w:val="24"/>
          <w:u w:val="single"/>
        </w:rPr>
        <w:t>Assurance of Confidentiality Provided to Respondents</w:t>
      </w:r>
    </w:p>
    <w:p w:rsidR="00631D6E" w:rsidRPr="00F071E6" w:rsidP="00942723" w14:paraId="3FF52A76" w14:textId="77777777">
      <w:pPr>
        <w:spacing w:after="0" w:line="240" w:lineRule="auto"/>
        <w:ind w:left="-180"/>
        <w:rPr>
          <w:rFonts w:ascii="Times New Roman" w:hAnsi="Times New Roman"/>
          <w:sz w:val="24"/>
          <w:szCs w:val="24"/>
        </w:rPr>
      </w:pPr>
    </w:p>
    <w:p w:rsidR="00A25B72" w:rsidRPr="004F2438" w:rsidP="00942723" w14:paraId="3B6AB534" w14:textId="77777777">
      <w:pPr>
        <w:widowControl w:val="0"/>
        <w:autoSpaceDE w:val="0"/>
        <w:autoSpaceDN w:val="0"/>
        <w:spacing w:after="0" w:line="240" w:lineRule="auto"/>
        <w:ind w:left="-180"/>
        <w:rPr>
          <w:rFonts w:ascii="Times New Roman" w:eastAsia="Times New Roman" w:hAnsi="Times New Roman"/>
          <w:i/>
          <w:iCs/>
          <w:sz w:val="24"/>
          <w:szCs w:val="24"/>
        </w:rPr>
      </w:pPr>
      <w:r w:rsidRPr="004F2438">
        <w:rPr>
          <w:rFonts w:ascii="Times New Roman" w:eastAsia="Times New Roman" w:hAnsi="Times New Roman"/>
          <w:i/>
          <w:iCs/>
          <w:sz w:val="24"/>
          <w:szCs w:val="24"/>
        </w:rPr>
        <w:t>The Privacy Act of 1974</w:t>
      </w:r>
    </w:p>
    <w:p w:rsidR="00A25B72" w:rsidP="00942723" w14:paraId="07B6588C" w14:textId="77777777">
      <w:pPr>
        <w:widowControl w:val="0"/>
        <w:autoSpaceDE w:val="0"/>
        <w:autoSpaceDN w:val="0"/>
        <w:spacing w:after="0" w:line="240" w:lineRule="auto"/>
        <w:ind w:left="-180"/>
        <w:rPr>
          <w:rFonts w:ascii="Times New Roman" w:eastAsia="Times New Roman" w:hAnsi="Times New Roman"/>
          <w:sz w:val="24"/>
          <w:szCs w:val="24"/>
        </w:rPr>
      </w:pPr>
    </w:p>
    <w:p w:rsidR="001F5002" w:rsidRPr="001F5002" w:rsidP="00942723" w14:paraId="796F9F5D" w14:textId="77777777">
      <w:pPr>
        <w:widowControl w:val="0"/>
        <w:autoSpaceDE w:val="0"/>
        <w:autoSpaceDN w:val="0"/>
        <w:spacing w:after="0" w:line="240" w:lineRule="auto"/>
        <w:ind w:left="-180"/>
        <w:rPr>
          <w:rFonts w:ascii="Times New Roman" w:eastAsia="Times New Roman" w:hAnsi="Times New Roman"/>
          <w:sz w:val="24"/>
          <w:szCs w:val="24"/>
        </w:rPr>
      </w:pPr>
      <w:r w:rsidRPr="001F5002">
        <w:rPr>
          <w:rFonts w:ascii="Times New Roman" w:eastAsia="Times New Roman" w:hAnsi="Times New Roman"/>
          <w:sz w:val="24"/>
          <w:szCs w:val="24"/>
        </w:rPr>
        <w:t xml:space="preserve">In preparing this </w:t>
      </w:r>
      <w:r w:rsidRPr="00F071E6">
        <w:rPr>
          <w:rFonts w:ascii="Times New Roman" w:eastAsia="Times New Roman" w:hAnsi="Times New Roman"/>
          <w:sz w:val="24"/>
          <w:szCs w:val="24"/>
        </w:rPr>
        <w:t>s</w:t>
      </w:r>
      <w:r w:rsidRPr="001F5002">
        <w:rPr>
          <w:rFonts w:ascii="Times New Roman" w:eastAsia="Times New Roman" w:hAnsi="Times New Roman"/>
          <w:sz w:val="24"/>
          <w:szCs w:val="24"/>
        </w:rPr>
        <w:t xml:space="preserve">upporting </w:t>
      </w:r>
      <w:r w:rsidRPr="00F071E6">
        <w:rPr>
          <w:rFonts w:ascii="Times New Roman" w:eastAsia="Times New Roman" w:hAnsi="Times New Roman"/>
          <w:sz w:val="24"/>
          <w:szCs w:val="24"/>
        </w:rPr>
        <w:t>s</w:t>
      </w:r>
      <w:r w:rsidRPr="001F5002">
        <w:rPr>
          <w:rFonts w:ascii="Times New Roman" w:eastAsia="Times New Roman" w:hAnsi="Times New Roman"/>
          <w:sz w:val="24"/>
          <w:szCs w:val="24"/>
        </w:rPr>
        <w:t>tatement, we consulted our Privacy Office to ensure appropriate identification and handling of information collected.</w:t>
      </w:r>
      <w:r w:rsidRPr="00F071E6" w:rsidR="008D0FF1">
        <w:rPr>
          <w:rFonts w:ascii="Times New Roman" w:eastAsia="Times New Roman" w:hAnsi="Times New Roman"/>
          <w:sz w:val="24"/>
          <w:szCs w:val="24"/>
        </w:rPr>
        <w:t xml:space="preserve">  T</w:t>
      </w:r>
      <w:r w:rsidRPr="001F5002">
        <w:rPr>
          <w:rFonts w:ascii="Times New Roman" w:eastAsia="Times New Roman" w:hAnsi="Times New Roman"/>
          <w:sz w:val="24"/>
          <w:szCs w:val="24"/>
        </w:rPr>
        <w:t>his ICR collects personally identifiable information (PII)</w:t>
      </w:r>
      <w:r w:rsidRPr="00F071E6" w:rsidR="008D0FF1">
        <w:rPr>
          <w:rFonts w:ascii="Times New Roman" w:eastAsia="Times New Roman" w:hAnsi="Times New Roman"/>
          <w:sz w:val="24"/>
          <w:szCs w:val="24"/>
        </w:rPr>
        <w:t xml:space="preserve">.  The </w:t>
      </w:r>
      <w:r w:rsidRPr="001F5002">
        <w:rPr>
          <w:rFonts w:ascii="Times New Roman" w:eastAsia="Times New Roman" w:hAnsi="Times New Roman"/>
          <w:sz w:val="24"/>
          <w:szCs w:val="24"/>
        </w:rPr>
        <w:t>PII submitted via Adverse Events Reports is name, phone number, email address, address, and date of birth.</w:t>
      </w:r>
      <w:r w:rsidRPr="00F071E6" w:rsidR="008D0FF1">
        <w:rPr>
          <w:rFonts w:ascii="Times New Roman" w:eastAsia="Times New Roman" w:hAnsi="Times New Roman"/>
          <w:sz w:val="24"/>
          <w:szCs w:val="24"/>
        </w:rPr>
        <w:t xml:space="preserve">  </w:t>
      </w:r>
      <w:r w:rsidRPr="001F5002">
        <w:rPr>
          <w:rFonts w:ascii="Times New Roman" w:eastAsia="Times New Roman" w:hAnsi="Times New Roman"/>
          <w:sz w:val="24"/>
          <w:szCs w:val="24"/>
        </w:rPr>
        <w:t>Outsourcing Facility Product Reports are submitted through the Safety Reporting Portal (SRP) and Electronic Submission Gateway (ESG) which collects account setup information such as email, password, and User ID.</w:t>
      </w:r>
      <w:r w:rsidRPr="00F071E6" w:rsidR="00FD7FE4">
        <w:rPr>
          <w:rFonts w:ascii="Times New Roman" w:eastAsia="Times New Roman" w:hAnsi="Times New Roman"/>
          <w:sz w:val="24"/>
          <w:szCs w:val="24"/>
        </w:rPr>
        <w:t xml:space="preserve">  </w:t>
      </w:r>
      <w:r w:rsidRPr="001F5002">
        <w:rPr>
          <w:rFonts w:ascii="Times New Roman" w:eastAsia="Times New Roman" w:hAnsi="Times New Roman"/>
          <w:bCs/>
          <w:sz w:val="24"/>
          <w:szCs w:val="24"/>
        </w:rPr>
        <w:t>No PII is submitted in the Outsourcing Facility Product Reports.</w:t>
      </w:r>
      <w:r w:rsidRPr="00F071E6" w:rsidR="00FD7FE4">
        <w:rPr>
          <w:rFonts w:ascii="Times New Roman" w:eastAsia="Times New Roman" w:hAnsi="Times New Roman"/>
          <w:sz w:val="24"/>
          <w:szCs w:val="24"/>
        </w:rPr>
        <w:t xml:space="preserve">  We have </w:t>
      </w:r>
      <w:r w:rsidRPr="001F5002">
        <w:rPr>
          <w:rFonts w:ascii="Times New Roman" w:eastAsia="Times New Roman" w:hAnsi="Times New Roman"/>
          <w:sz w:val="24"/>
          <w:szCs w:val="24"/>
        </w:rPr>
        <w:t xml:space="preserve">determined that although PII is collected, the collection is not subject to the Privacy Act of </w:t>
      </w:r>
      <w:r w:rsidRPr="001F5002">
        <w:rPr>
          <w:rFonts w:ascii="Times New Roman" w:eastAsia="Times New Roman" w:hAnsi="Times New Roman"/>
          <w:sz w:val="24"/>
          <w:szCs w:val="24"/>
        </w:rPr>
        <w:t>1974</w:t>
      </w:r>
      <w:r w:rsidRPr="001F5002">
        <w:rPr>
          <w:rFonts w:ascii="Times New Roman" w:eastAsia="Times New Roman" w:hAnsi="Times New Roman"/>
          <w:sz w:val="24"/>
          <w:szCs w:val="24"/>
        </w:rPr>
        <w:t xml:space="preserve"> and the particular notice and other requirements of the </w:t>
      </w:r>
      <w:r w:rsidRPr="00F071E6" w:rsidR="00FD7FE4">
        <w:rPr>
          <w:rFonts w:ascii="Times New Roman" w:eastAsia="Times New Roman" w:hAnsi="Times New Roman"/>
          <w:sz w:val="24"/>
          <w:szCs w:val="24"/>
        </w:rPr>
        <w:t xml:space="preserve">Privacy </w:t>
      </w:r>
      <w:r w:rsidRPr="001F5002">
        <w:rPr>
          <w:rFonts w:ascii="Times New Roman" w:eastAsia="Times New Roman" w:hAnsi="Times New Roman"/>
          <w:sz w:val="24"/>
          <w:szCs w:val="24"/>
        </w:rPr>
        <w:t>Act do not apply.</w:t>
      </w:r>
      <w:r w:rsidRPr="00F071E6" w:rsidR="00FD7FE4">
        <w:rPr>
          <w:rFonts w:ascii="Times New Roman" w:eastAsia="Times New Roman" w:hAnsi="Times New Roman"/>
          <w:sz w:val="24"/>
          <w:szCs w:val="24"/>
        </w:rPr>
        <w:t xml:space="preserve">  </w:t>
      </w:r>
      <w:r w:rsidRPr="001F5002">
        <w:rPr>
          <w:rFonts w:ascii="Times New Roman" w:eastAsia="Times New Roman" w:hAnsi="Times New Roman"/>
          <w:sz w:val="24"/>
          <w:szCs w:val="24"/>
        </w:rPr>
        <w:t>Specifically, FDA does not use name or any other personal identifier to retrieve records from the information collected. Through appropriate web page guidance, FDA limited submission fields and minimized the PII collected to protect the privacy of the individuals.</w:t>
      </w:r>
    </w:p>
    <w:p w:rsidR="001F5002" w:rsidRPr="001F5002" w:rsidP="00942723" w14:paraId="4A41AEF1" w14:textId="77777777">
      <w:pPr>
        <w:widowControl w:val="0"/>
        <w:autoSpaceDE w:val="0"/>
        <w:autoSpaceDN w:val="0"/>
        <w:spacing w:after="0" w:line="240" w:lineRule="auto"/>
        <w:ind w:left="-180"/>
        <w:rPr>
          <w:rFonts w:ascii="Times New Roman" w:eastAsia="Times New Roman" w:hAnsi="Times New Roman"/>
          <w:sz w:val="24"/>
          <w:szCs w:val="24"/>
        </w:rPr>
      </w:pPr>
    </w:p>
    <w:p w:rsidR="00A25B72" w:rsidRPr="004F2438" w:rsidP="00942723" w14:paraId="54E12CA4" w14:textId="77777777">
      <w:pPr>
        <w:spacing w:after="0" w:line="240" w:lineRule="auto"/>
        <w:ind w:left="-180"/>
        <w:rPr>
          <w:rFonts w:ascii="Times New Roman" w:eastAsia="Times New Roman" w:hAnsi="Times New Roman"/>
          <w:i/>
          <w:iCs/>
          <w:sz w:val="24"/>
          <w:szCs w:val="24"/>
        </w:rPr>
      </w:pPr>
      <w:r w:rsidRPr="004F2438">
        <w:rPr>
          <w:rFonts w:ascii="Times New Roman" w:eastAsia="Times New Roman" w:hAnsi="Times New Roman"/>
          <w:i/>
          <w:iCs/>
          <w:sz w:val="24"/>
          <w:szCs w:val="24"/>
        </w:rPr>
        <w:t>The Freedom of Information Act (FOIA)</w:t>
      </w:r>
    </w:p>
    <w:p w:rsidR="00A25B72" w:rsidP="00942723" w14:paraId="5D7A684B" w14:textId="77777777">
      <w:pPr>
        <w:spacing w:after="0" w:line="240" w:lineRule="auto"/>
        <w:ind w:left="-180"/>
        <w:rPr>
          <w:rFonts w:ascii="Times New Roman" w:eastAsia="Times New Roman" w:hAnsi="Times New Roman"/>
          <w:sz w:val="24"/>
          <w:szCs w:val="24"/>
        </w:rPr>
      </w:pPr>
    </w:p>
    <w:p w:rsidR="009342D9" w:rsidRPr="00F071E6" w:rsidP="00942723" w14:paraId="3BFFE17C" w14:textId="77777777">
      <w:pPr>
        <w:spacing w:after="0" w:line="240" w:lineRule="auto"/>
        <w:ind w:left="-180"/>
        <w:rPr>
          <w:rFonts w:ascii="Times New Roman" w:hAnsi="Times New Roman"/>
          <w:sz w:val="24"/>
          <w:szCs w:val="24"/>
        </w:rPr>
      </w:pPr>
      <w:r w:rsidRPr="00F071E6">
        <w:rPr>
          <w:rFonts w:ascii="Times New Roman" w:eastAsia="Times New Roman" w:hAnsi="Times New Roman"/>
          <w:sz w:val="24"/>
          <w:szCs w:val="24"/>
        </w:rPr>
        <w:t xml:space="preserve">Under </w:t>
      </w:r>
      <w:r w:rsidR="00A25B72">
        <w:rPr>
          <w:rFonts w:ascii="Times New Roman" w:eastAsia="Times New Roman" w:hAnsi="Times New Roman"/>
          <w:sz w:val="24"/>
          <w:szCs w:val="24"/>
        </w:rPr>
        <w:t xml:space="preserve">FOIA </w:t>
      </w:r>
      <w:r w:rsidRPr="00F071E6">
        <w:rPr>
          <w:rFonts w:ascii="Times New Roman" w:eastAsia="Times New Roman" w:hAnsi="Times New Roman"/>
          <w:sz w:val="24"/>
          <w:szCs w:val="24"/>
        </w:rPr>
        <w:t>(5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r w:rsidRPr="00F071E6" w:rsidR="00631D6E">
        <w:rPr>
          <w:rFonts w:ascii="Times New Roman" w:hAnsi="Times New Roman"/>
          <w:sz w:val="24"/>
          <w:szCs w:val="24"/>
        </w:rPr>
        <w:t xml:space="preserve"> </w:t>
      </w:r>
    </w:p>
    <w:p w:rsidR="00631D6E" w:rsidRPr="00F071E6" w:rsidP="00942723" w14:paraId="627A1C86" w14:textId="77777777">
      <w:pPr>
        <w:spacing w:after="0" w:line="240" w:lineRule="auto"/>
        <w:ind w:left="-180"/>
        <w:rPr>
          <w:rFonts w:ascii="Times New Roman" w:hAnsi="Times New Roman"/>
          <w:color w:val="FF0000"/>
          <w:sz w:val="24"/>
          <w:szCs w:val="24"/>
        </w:rPr>
      </w:pPr>
    </w:p>
    <w:p w:rsidR="009342D9" w:rsidRPr="00F071E6" w:rsidP="00942723" w14:paraId="01A52FA7" w14:textId="77777777">
      <w:pPr>
        <w:spacing w:after="0" w:line="240" w:lineRule="auto"/>
        <w:ind w:left="-180"/>
        <w:rPr>
          <w:rFonts w:ascii="Times New Roman" w:hAnsi="Times New Roman"/>
          <w:sz w:val="24"/>
          <w:szCs w:val="24"/>
          <w:u w:val="single"/>
        </w:rPr>
      </w:pPr>
      <w:r w:rsidRPr="00F071E6">
        <w:rPr>
          <w:rFonts w:ascii="Times New Roman" w:hAnsi="Times New Roman"/>
          <w:sz w:val="24"/>
          <w:szCs w:val="24"/>
        </w:rPr>
        <w:t>11</w:t>
      </w:r>
      <w:r w:rsidRPr="00F071E6" w:rsidR="00A06D24">
        <w:rPr>
          <w:rFonts w:ascii="Times New Roman" w:hAnsi="Times New Roman"/>
          <w:sz w:val="24"/>
          <w:szCs w:val="24"/>
        </w:rPr>
        <w:t>.</w:t>
      </w:r>
      <w:r w:rsidRPr="00F071E6" w:rsidR="006730A3">
        <w:rPr>
          <w:rFonts w:ascii="Times New Roman" w:hAnsi="Times New Roman"/>
          <w:sz w:val="24"/>
          <w:szCs w:val="24"/>
        </w:rPr>
        <w:t xml:space="preserve">  </w:t>
      </w:r>
      <w:r w:rsidRPr="00F071E6">
        <w:rPr>
          <w:rFonts w:ascii="Times New Roman" w:hAnsi="Times New Roman"/>
          <w:sz w:val="24"/>
          <w:szCs w:val="24"/>
          <w:u w:val="single"/>
        </w:rPr>
        <w:t>Justification for Sensitive Questions</w:t>
      </w:r>
    </w:p>
    <w:p w:rsidR="00EF0BAE" w:rsidRPr="00F071E6" w:rsidP="00942723" w14:paraId="3921CD85" w14:textId="77777777">
      <w:pPr>
        <w:spacing w:after="0" w:line="240" w:lineRule="auto"/>
        <w:ind w:left="-180"/>
        <w:rPr>
          <w:rFonts w:ascii="Times New Roman" w:hAnsi="Times New Roman"/>
          <w:sz w:val="24"/>
          <w:szCs w:val="24"/>
        </w:rPr>
      </w:pPr>
    </w:p>
    <w:p w:rsidR="009342D9" w:rsidRPr="00F071E6" w:rsidP="00942723" w14:paraId="60D63577" w14:textId="77777777">
      <w:pPr>
        <w:spacing w:after="0" w:line="240" w:lineRule="auto"/>
        <w:ind w:left="-180"/>
        <w:rPr>
          <w:rFonts w:ascii="Times New Roman" w:hAnsi="Times New Roman"/>
          <w:sz w:val="24"/>
          <w:szCs w:val="24"/>
        </w:rPr>
      </w:pPr>
      <w:r w:rsidRPr="00F071E6">
        <w:rPr>
          <w:rFonts w:ascii="Times New Roman" w:hAnsi="Times New Roman"/>
          <w:sz w:val="24"/>
          <w:szCs w:val="24"/>
        </w:rPr>
        <w:t>There are no questions</w:t>
      </w:r>
      <w:r w:rsidRPr="00F071E6" w:rsidR="00DC0336">
        <w:rPr>
          <w:rFonts w:ascii="Times New Roman" w:hAnsi="Times New Roman"/>
          <w:sz w:val="24"/>
          <w:szCs w:val="24"/>
        </w:rPr>
        <w:t xml:space="preserve"> of a sensitive nature associated with the information collection</w:t>
      </w:r>
      <w:r w:rsidRPr="00F071E6">
        <w:rPr>
          <w:rFonts w:ascii="Times New Roman" w:hAnsi="Times New Roman"/>
          <w:sz w:val="24"/>
          <w:szCs w:val="24"/>
        </w:rPr>
        <w:t>.</w:t>
      </w:r>
    </w:p>
    <w:p w:rsidR="00EF0BAE" w:rsidRPr="00F071E6" w:rsidP="00942723" w14:paraId="14CE0CD8" w14:textId="77777777">
      <w:pPr>
        <w:spacing w:after="0" w:line="240" w:lineRule="auto"/>
        <w:ind w:left="-180"/>
        <w:rPr>
          <w:rFonts w:ascii="Times New Roman" w:hAnsi="Times New Roman"/>
          <w:sz w:val="24"/>
          <w:szCs w:val="24"/>
        </w:rPr>
      </w:pPr>
    </w:p>
    <w:p w:rsidR="0000238C" w14:paraId="3FCF828D" w14:textId="77777777">
      <w:pPr>
        <w:spacing w:after="0" w:line="240" w:lineRule="auto"/>
        <w:rPr>
          <w:rFonts w:ascii="Times New Roman" w:hAnsi="Times New Roman"/>
          <w:sz w:val="24"/>
          <w:szCs w:val="24"/>
        </w:rPr>
      </w:pPr>
      <w:r>
        <w:rPr>
          <w:rFonts w:ascii="Times New Roman" w:hAnsi="Times New Roman"/>
          <w:sz w:val="24"/>
          <w:szCs w:val="24"/>
        </w:rPr>
        <w:br w:type="page"/>
      </w:r>
    </w:p>
    <w:p w:rsidR="009342D9" w:rsidRPr="00F071E6" w:rsidP="00942723" w14:paraId="16D02B06" w14:textId="77777777">
      <w:pPr>
        <w:spacing w:after="0" w:line="240" w:lineRule="auto"/>
        <w:ind w:left="-180"/>
        <w:rPr>
          <w:rFonts w:ascii="Times New Roman" w:hAnsi="Times New Roman"/>
          <w:sz w:val="24"/>
          <w:szCs w:val="24"/>
        </w:rPr>
      </w:pPr>
      <w:r w:rsidRPr="00F071E6">
        <w:rPr>
          <w:rFonts w:ascii="Times New Roman" w:hAnsi="Times New Roman"/>
          <w:sz w:val="24"/>
          <w:szCs w:val="24"/>
        </w:rPr>
        <w:t>12</w:t>
      </w:r>
      <w:r w:rsidRPr="00F071E6" w:rsidR="00A06D24">
        <w:rPr>
          <w:rFonts w:ascii="Times New Roman" w:hAnsi="Times New Roman"/>
          <w:sz w:val="24"/>
          <w:szCs w:val="24"/>
        </w:rPr>
        <w:t>.</w:t>
      </w:r>
      <w:r w:rsidRPr="00F071E6" w:rsidR="006730A3">
        <w:rPr>
          <w:rFonts w:ascii="Times New Roman" w:hAnsi="Times New Roman"/>
          <w:sz w:val="24"/>
          <w:szCs w:val="24"/>
        </w:rPr>
        <w:t xml:space="preserve">  </w:t>
      </w:r>
      <w:r w:rsidRPr="00F071E6">
        <w:rPr>
          <w:rFonts w:ascii="Times New Roman" w:hAnsi="Times New Roman"/>
          <w:sz w:val="24"/>
          <w:szCs w:val="24"/>
          <w:u w:val="single"/>
        </w:rPr>
        <w:t>Estimates of Annualized Hour Burden and Costs</w:t>
      </w:r>
    </w:p>
    <w:p w:rsidR="00D47F9D" w:rsidRPr="00F071E6" w:rsidP="00942723" w14:paraId="4B0F49D0" w14:textId="77777777">
      <w:pPr>
        <w:spacing w:after="0" w:line="240" w:lineRule="auto"/>
        <w:ind w:left="-180"/>
        <w:rPr>
          <w:rFonts w:ascii="Times New Roman" w:hAnsi="Times New Roman"/>
          <w:sz w:val="24"/>
          <w:szCs w:val="24"/>
        </w:rPr>
      </w:pPr>
    </w:p>
    <w:p w:rsidR="00C07210" w:rsidP="00707C32" w14:paraId="248F9917" w14:textId="77777777">
      <w:pPr>
        <w:spacing w:after="0" w:line="480" w:lineRule="auto"/>
        <w:ind w:left="-180"/>
        <w:rPr>
          <w:rFonts w:ascii="Times New Roman" w:hAnsi="Times New Roman"/>
          <w:iCs/>
          <w:sz w:val="24"/>
          <w:szCs w:val="24"/>
        </w:rPr>
      </w:pPr>
      <w:r w:rsidRPr="00F071E6">
        <w:rPr>
          <w:rFonts w:ascii="Times New Roman" w:hAnsi="Times New Roman"/>
          <w:sz w:val="24"/>
          <w:szCs w:val="24"/>
        </w:rPr>
        <w:tab/>
      </w:r>
      <w:r w:rsidRPr="00F071E6" w:rsidR="009342D9">
        <w:rPr>
          <w:rFonts w:ascii="Times New Roman" w:hAnsi="Times New Roman"/>
          <w:i/>
          <w:sz w:val="24"/>
          <w:szCs w:val="24"/>
        </w:rPr>
        <w:t>12a.  Annualized Hour Burden Estimat</w:t>
      </w:r>
      <w:r w:rsidRPr="00F071E6" w:rsidR="00E52B7F">
        <w:rPr>
          <w:rFonts w:ascii="Times New Roman" w:hAnsi="Times New Roman"/>
          <w:i/>
          <w:sz w:val="24"/>
          <w:szCs w:val="24"/>
        </w:rPr>
        <w:t>e</w:t>
      </w:r>
    </w:p>
    <w:p w:rsidR="00351F70" w:rsidRPr="00351F70" w:rsidP="00351F70" w14:paraId="33F0C9BE" w14:textId="1543A9CF">
      <w:pPr>
        <w:spacing w:after="0" w:line="240" w:lineRule="auto"/>
        <w:contextualSpacing/>
        <w:jc w:val="center"/>
        <w:rPr>
          <w:rFonts w:ascii="Times New Roman" w:eastAsia="Times New Roman" w:hAnsi="Times New Roman"/>
          <w:sz w:val="20"/>
          <w:szCs w:val="20"/>
        </w:rPr>
      </w:pPr>
      <w:r w:rsidRPr="00351F70">
        <w:rPr>
          <w:rFonts w:ascii="Times New Roman" w:eastAsia="Times New Roman" w:hAnsi="Times New Roman"/>
          <w:sz w:val="20"/>
          <w:szCs w:val="20"/>
        </w:rPr>
        <w:t>Table 1.--Estimated Annual Reporting Burden</w:t>
      </w:r>
      <w:r w:rsidRPr="00351F70">
        <w:rPr>
          <w:rFonts w:ascii="Times New Roman" w:eastAsia="Times New Roman" w:hAnsi="Times New Roman"/>
          <w:sz w:val="20"/>
          <w:szCs w:val="20"/>
          <w:vertAlign w:val="superscript"/>
        </w:rPr>
        <w:t>1</w:t>
      </w:r>
      <w:r w:rsidR="008622CF">
        <w:rPr>
          <w:rFonts w:ascii="Times New Roman" w:eastAsia="Times New Roman" w:hAnsi="Times New Roman"/>
          <w:sz w:val="20"/>
          <w:szCs w:val="20"/>
          <w:vertAlign w:val="superscript"/>
        </w:rPr>
        <w:t>, 2</w:t>
      </w:r>
    </w:p>
    <w:tbl>
      <w:tblPr>
        <w:tblStyle w:val="TableGrid2"/>
        <w:tblW w:w="9450" w:type="dxa"/>
        <w:tblInd w:w="-185" w:type="dxa"/>
        <w:shd w:val="clear" w:color="auto" w:fill="FFFFFF" w:themeFill="background1"/>
        <w:tblLayout w:type="fixed"/>
        <w:tblLook w:val="04A0"/>
      </w:tblPr>
      <w:tblGrid>
        <w:gridCol w:w="3780"/>
        <w:gridCol w:w="1260"/>
        <w:gridCol w:w="1440"/>
        <w:gridCol w:w="1080"/>
        <w:gridCol w:w="1170"/>
        <w:gridCol w:w="720"/>
      </w:tblGrid>
      <w:tr w14:paraId="23937B5C" w14:textId="77777777" w:rsidTr="00400E47">
        <w:tblPrEx>
          <w:tblW w:w="9450" w:type="dxa"/>
          <w:tblInd w:w="-185" w:type="dxa"/>
          <w:shd w:val="clear" w:color="auto" w:fill="FFFFFF" w:themeFill="background1"/>
          <w:tblLayout w:type="fixed"/>
          <w:tblLook w:val="04A0"/>
        </w:tblPrEx>
        <w:tc>
          <w:tcPr>
            <w:tcW w:w="3780" w:type="dxa"/>
            <w:shd w:val="clear" w:color="auto" w:fill="FFFFFF" w:themeFill="background1"/>
          </w:tcPr>
          <w:p w:rsidR="00351F70" w:rsidRPr="00351F70" w:rsidP="00351F70" w14:paraId="37785551" w14:textId="77777777">
            <w:pPr>
              <w:spacing w:after="0" w:line="240" w:lineRule="auto"/>
              <w:contextualSpacing/>
              <w:jc w:val="center"/>
              <w:rPr>
                <w:sz w:val="20"/>
                <w:szCs w:val="20"/>
              </w:rPr>
            </w:pPr>
            <w:r w:rsidRPr="005B52CF">
              <w:rPr>
                <w:sz w:val="20"/>
                <w:szCs w:val="20"/>
              </w:rPr>
              <w:t>Information Collection Activities</w:t>
            </w:r>
          </w:p>
        </w:tc>
        <w:tc>
          <w:tcPr>
            <w:tcW w:w="1260" w:type="dxa"/>
            <w:shd w:val="clear" w:color="auto" w:fill="FFFFFF" w:themeFill="background1"/>
          </w:tcPr>
          <w:p w:rsidR="00351F70" w:rsidRPr="00351F70" w:rsidP="00351F70" w14:paraId="1E6DCF5B" w14:textId="77777777">
            <w:pPr>
              <w:spacing w:after="0" w:line="240" w:lineRule="auto"/>
              <w:contextualSpacing/>
              <w:jc w:val="center"/>
              <w:rPr>
                <w:sz w:val="20"/>
                <w:szCs w:val="20"/>
              </w:rPr>
            </w:pPr>
            <w:r w:rsidRPr="00351F70">
              <w:rPr>
                <w:sz w:val="20"/>
                <w:szCs w:val="20"/>
              </w:rPr>
              <w:t>No. of Respondents</w:t>
            </w:r>
          </w:p>
        </w:tc>
        <w:tc>
          <w:tcPr>
            <w:tcW w:w="1440" w:type="dxa"/>
            <w:shd w:val="clear" w:color="auto" w:fill="FFFFFF" w:themeFill="background1"/>
          </w:tcPr>
          <w:p w:rsidR="00351F70" w:rsidRPr="00351F70" w:rsidP="00351F70" w14:paraId="75B8A21C" w14:textId="77777777">
            <w:pPr>
              <w:spacing w:after="0" w:line="240" w:lineRule="auto"/>
              <w:contextualSpacing/>
              <w:jc w:val="center"/>
              <w:rPr>
                <w:sz w:val="20"/>
                <w:szCs w:val="20"/>
              </w:rPr>
            </w:pPr>
            <w:r w:rsidRPr="00351F70">
              <w:rPr>
                <w:sz w:val="20"/>
                <w:szCs w:val="20"/>
              </w:rPr>
              <w:t>No. of Responses per Respondent</w:t>
            </w:r>
          </w:p>
        </w:tc>
        <w:tc>
          <w:tcPr>
            <w:tcW w:w="1080" w:type="dxa"/>
            <w:shd w:val="clear" w:color="auto" w:fill="FFFFFF" w:themeFill="background1"/>
          </w:tcPr>
          <w:p w:rsidR="00351F70" w:rsidRPr="00351F70" w:rsidP="00351F70" w14:paraId="472FF406" w14:textId="77777777">
            <w:pPr>
              <w:spacing w:after="0" w:line="240" w:lineRule="auto"/>
              <w:contextualSpacing/>
              <w:jc w:val="center"/>
              <w:rPr>
                <w:sz w:val="20"/>
                <w:szCs w:val="20"/>
              </w:rPr>
            </w:pPr>
            <w:r w:rsidRPr="00351F70">
              <w:rPr>
                <w:sz w:val="20"/>
                <w:szCs w:val="20"/>
              </w:rPr>
              <w:t>Total Annual Responses</w:t>
            </w:r>
          </w:p>
        </w:tc>
        <w:tc>
          <w:tcPr>
            <w:tcW w:w="1170" w:type="dxa"/>
            <w:shd w:val="clear" w:color="auto" w:fill="FFFFFF" w:themeFill="background1"/>
          </w:tcPr>
          <w:p w:rsidR="00351F70" w:rsidRPr="00351F70" w:rsidP="00351F70" w14:paraId="15B15ABB" w14:textId="77777777">
            <w:pPr>
              <w:spacing w:after="0" w:line="240" w:lineRule="auto"/>
              <w:contextualSpacing/>
              <w:jc w:val="center"/>
              <w:rPr>
                <w:b/>
                <w:bCs/>
                <w:sz w:val="20"/>
                <w:szCs w:val="20"/>
              </w:rPr>
            </w:pPr>
            <w:r w:rsidRPr="00351F70">
              <w:rPr>
                <w:sz w:val="20"/>
                <w:szCs w:val="20"/>
              </w:rPr>
              <w:t>Av</w:t>
            </w:r>
            <w:r w:rsidR="00400E47">
              <w:rPr>
                <w:sz w:val="20"/>
                <w:szCs w:val="20"/>
              </w:rPr>
              <w:t xml:space="preserve">g. </w:t>
            </w:r>
            <w:r w:rsidRPr="00351F70">
              <w:rPr>
                <w:sz w:val="20"/>
                <w:szCs w:val="20"/>
              </w:rPr>
              <w:t>Burden per Response</w:t>
            </w:r>
          </w:p>
        </w:tc>
        <w:tc>
          <w:tcPr>
            <w:tcW w:w="720" w:type="dxa"/>
            <w:shd w:val="clear" w:color="auto" w:fill="FFFFFF" w:themeFill="background1"/>
          </w:tcPr>
          <w:p w:rsidR="00351F70" w:rsidRPr="00351F70" w:rsidP="00351F70" w14:paraId="4FF27586" w14:textId="77777777">
            <w:pPr>
              <w:spacing w:after="0" w:line="240" w:lineRule="auto"/>
              <w:contextualSpacing/>
              <w:jc w:val="center"/>
              <w:rPr>
                <w:sz w:val="20"/>
                <w:szCs w:val="20"/>
              </w:rPr>
            </w:pPr>
            <w:r w:rsidRPr="00351F70">
              <w:rPr>
                <w:sz w:val="20"/>
                <w:szCs w:val="20"/>
              </w:rPr>
              <w:t>Total Hours</w:t>
            </w:r>
          </w:p>
        </w:tc>
      </w:tr>
      <w:tr w14:paraId="318C3FBD" w14:textId="77777777" w:rsidTr="00400E47">
        <w:tblPrEx>
          <w:tblW w:w="9450" w:type="dxa"/>
          <w:tblInd w:w="-185" w:type="dxa"/>
          <w:shd w:val="clear" w:color="auto" w:fill="FFFFFF" w:themeFill="background1"/>
          <w:tblLayout w:type="fixed"/>
          <w:tblLook w:val="04A0"/>
        </w:tblPrEx>
        <w:tc>
          <w:tcPr>
            <w:tcW w:w="3780" w:type="dxa"/>
            <w:shd w:val="clear" w:color="auto" w:fill="FFFFFF" w:themeFill="background1"/>
          </w:tcPr>
          <w:p w:rsidR="00351F70" w:rsidRPr="00351F70" w:rsidP="00351F70" w14:paraId="6BF03E8D" w14:textId="77777777">
            <w:pPr>
              <w:spacing w:after="0" w:line="240" w:lineRule="auto"/>
              <w:contextualSpacing/>
              <w:rPr>
                <w:sz w:val="20"/>
                <w:szCs w:val="20"/>
              </w:rPr>
            </w:pPr>
            <w:r w:rsidRPr="00351F70">
              <w:rPr>
                <w:sz w:val="20"/>
                <w:szCs w:val="20"/>
              </w:rPr>
              <w:t>503B AERs</w:t>
            </w:r>
          </w:p>
        </w:tc>
        <w:tc>
          <w:tcPr>
            <w:tcW w:w="1260" w:type="dxa"/>
            <w:shd w:val="clear" w:color="auto" w:fill="FFFFFF" w:themeFill="background1"/>
          </w:tcPr>
          <w:p w:rsidR="00351F70" w:rsidRPr="00351F70" w:rsidP="00351F70" w14:paraId="7A9CA805" w14:textId="77777777">
            <w:pPr>
              <w:spacing w:after="0" w:line="240" w:lineRule="auto"/>
              <w:contextualSpacing/>
              <w:jc w:val="right"/>
              <w:rPr>
                <w:sz w:val="20"/>
                <w:szCs w:val="20"/>
              </w:rPr>
            </w:pPr>
            <w:r w:rsidRPr="00351F70">
              <w:rPr>
                <w:sz w:val="20"/>
                <w:szCs w:val="20"/>
              </w:rPr>
              <w:t>55</w:t>
            </w:r>
          </w:p>
        </w:tc>
        <w:tc>
          <w:tcPr>
            <w:tcW w:w="1440" w:type="dxa"/>
            <w:shd w:val="clear" w:color="auto" w:fill="FFFFFF" w:themeFill="background1"/>
          </w:tcPr>
          <w:p w:rsidR="00351F70" w:rsidRPr="00351F70" w:rsidP="00351F70" w14:paraId="66E6D14F" w14:textId="77777777">
            <w:pPr>
              <w:spacing w:after="0" w:line="240" w:lineRule="auto"/>
              <w:contextualSpacing/>
              <w:jc w:val="right"/>
              <w:rPr>
                <w:sz w:val="20"/>
                <w:szCs w:val="20"/>
              </w:rPr>
            </w:pPr>
            <w:r w:rsidRPr="00351F70">
              <w:rPr>
                <w:sz w:val="20"/>
                <w:szCs w:val="20"/>
              </w:rPr>
              <w:t>1</w:t>
            </w:r>
          </w:p>
        </w:tc>
        <w:tc>
          <w:tcPr>
            <w:tcW w:w="1080" w:type="dxa"/>
            <w:shd w:val="clear" w:color="auto" w:fill="FFFFFF" w:themeFill="background1"/>
          </w:tcPr>
          <w:p w:rsidR="00351F70" w:rsidRPr="00351F70" w:rsidP="00351F70" w14:paraId="3FF8A987" w14:textId="77777777">
            <w:pPr>
              <w:spacing w:after="0" w:line="240" w:lineRule="auto"/>
              <w:contextualSpacing/>
              <w:jc w:val="right"/>
              <w:rPr>
                <w:sz w:val="20"/>
                <w:szCs w:val="20"/>
              </w:rPr>
            </w:pPr>
            <w:r w:rsidRPr="00351F70">
              <w:rPr>
                <w:sz w:val="20"/>
                <w:szCs w:val="20"/>
              </w:rPr>
              <w:t>55</w:t>
            </w:r>
          </w:p>
        </w:tc>
        <w:tc>
          <w:tcPr>
            <w:tcW w:w="1170" w:type="dxa"/>
            <w:shd w:val="clear" w:color="auto" w:fill="FFFFFF" w:themeFill="background1"/>
          </w:tcPr>
          <w:p w:rsidR="00351F70" w:rsidRPr="00351F70" w:rsidP="00351F70" w14:paraId="418C741D" w14:textId="77777777">
            <w:pPr>
              <w:spacing w:after="0" w:line="240" w:lineRule="auto"/>
              <w:contextualSpacing/>
              <w:jc w:val="right"/>
              <w:rPr>
                <w:sz w:val="20"/>
                <w:szCs w:val="20"/>
              </w:rPr>
            </w:pPr>
            <w:r w:rsidRPr="00351F70">
              <w:rPr>
                <w:sz w:val="20"/>
                <w:szCs w:val="20"/>
              </w:rPr>
              <w:t>1.10</w:t>
            </w:r>
          </w:p>
        </w:tc>
        <w:tc>
          <w:tcPr>
            <w:tcW w:w="720" w:type="dxa"/>
            <w:shd w:val="clear" w:color="auto" w:fill="FFFFFF" w:themeFill="background1"/>
          </w:tcPr>
          <w:p w:rsidR="00351F70" w:rsidRPr="00351F70" w:rsidP="00351F70" w14:paraId="444F4EBB" w14:textId="77777777">
            <w:pPr>
              <w:spacing w:after="0" w:line="240" w:lineRule="auto"/>
              <w:contextualSpacing/>
              <w:jc w:val="right"/>
              <w:rPr>
                <w:sz w:val="20"/>
                <w:szCs w:val="20"/>
              </w:rPr>
            </w:pPr>
            <w:r w:rsidRPr="00351F70">
              <w:rPr>
                <w:sz w:val="20"/>
                <w:szCs w:val="20"/>
              </w:rPr>
              <w:t>61</w:t>
            </w:r>
          </w:p>
        </w:tc>
      </w:tr>
      <w:tr w14:paraId="546F3628" w14:textId="77777777" w:rsidTr="00400E47">
        <w:tblPrEx>
          <w:tblW w:w="9450" w:type="dxa"/>
          <w:tblInd w:w="-185" w:type="dxa"/>
          <w:shd w:val="clear" w:color="auto" w:fill="FFFFFF" w:themeFill="background1"/>
          <w:tblLayout w:type="fixed"/>
          <w:tblLook w:val="04A0"/>
        </w:tblPrEx>
        <w:tc>
          <w:tcPr>
            <w:tcW w:w="3780" w:type="dxa"/>
            <w:shd w:val="clear" w:color="auto" w:fill="FFFFFF" w:themeFill="background1"/>
          </w:tcPr>
          <w:p w:rsidR="00351F70" w:rsidRPr="00351F70" w:rsidP="00351F70" w14:paraId="6C760D66" w14:textId="77777777">
            <w:pPr>
              <w:spacing w:after="0" w:line="240" w:lineRule="auto"/>
              <w:contextualSpacing/>
              <w:rPr>
                <w:sz w:val="20"/>
                <w:szCs w:val="20"/>
              </w:rPr>
            </w:pPr>
            <w:r w:rsidRPr="00351F70">
              <w:rPr>
                <w:sz w:val="20"/>
                <w:szCs w:val="20"/>
              </w:rPr>
              <w:t>503B Recordkeeping AERs</w:t>
            </w:r>
          </w:p>
        </w:tc>
        <w:tc>
          <w:tcPr>
            <w:tcW w:w="1260" w:type="dxa"/>
            <w:shd w:val="clear" w:color="auto" w:fill="FFFFFF" w:themeFill="background1"/>
          </w:tcPr>
          <w:p w:rsidR="00351F70" w:rsidRPr="00351F70" w:rsidP="00351F70" w14:paraId="07ECF6CC" w14:textId="77777777">
            <w:pPr>
              <w:spacing w:after="0" w:line="240" w:lineRule="auto"/>
              <w:contextualSpacing/>
              <w:jc w:val="right"/>
              <w:rPr>
                <w:sz w:val="20"/>
                <w:szCs w:val="20"/>
              </w:rPr>
            </w:pPr>
            <w:r w:rsidRPr="00351F70">
              <w:rPr>
                <w:sz w:val="20"/>
                <w:szCs w:val="20"/>
              </w:rPr>
              <w:t>55</w:t>
            </w:r>
          </w:p>
        </w:tc>
        <w:tc>
          <w:tcPr>
            <w:tcW w:w="1440" w:type="dxa"/>
            <w:shd w:val="clear" w:color="auto" w:fill="FFFFFF" w:themeFill="background1"/>
          </w:tcPr>
          <w:p w:rsidR="00351F70" w:rsidRPr="00351F70" w:rsidP="00351F70" w14:paraId="28C4A396" w14:textId="77777777">
            <w:pPr>
              <w:spacing w:after="0" w:line="240" w:lineRule="auto"/>
              <w:contextualSpacing/>
              <w:jc w:val="right"/>
              <w:rPr>
                <w:sz w:val="20"/>
                <w:szCs w:val="20"/>
              </w:rPr>
            </w:pPr>
            <w:r w:rsidRPr="00351F70">
              <w:rPr>
                <w:sz w:val="20"/>
                <w:szCs w:val="20"/>
              </w:rPr>
              <w:t>1</w:t>
            </w:r>
          </w:p>
        </w:tc>
        <w:tc>
          <w:tcPr>
            <w:tcW w:w="1080" w:type="dxa"/>
            <w:shd w:val="clear" w:color="auto" w:fill="FFFFFF" w:themeFill="background1"/>
          </w:tcPr>
          <w:p w:rsidR="00351F70" w:rsidRPr="00351F70" w:rsidP="00351F70" w14:paraId="1AC4832B" w14:textId="77777777">
            <w:pPr>
              <w:spacing w:after="0" w:line="240" w:lineRule="auto"/>
              <w:contextualSpacing/>
              <w:jc w:val="right"/>
              <w:rPr>
                <w:sz w:val="20"/>
                <w:szCs w:val="20"/>
              </w:rPr>
            </w:pPr>
            <w:r w:rsidRPr="00351F70">
              <w:rPr>
                <w:sz w:val="20"/>
                <w:szCs w:val="20"/>
              </w:rPr>
              <w:t>55</w:t>
            </w:r>
          </w:p>
        </w:tc>
        <w:tc>
          <w:tcPr>
            <w:tcW w:w="1170" w:type="dxa"/>
            <w:shd w:val="clear" w:color="auto" w:fill="FFFFFF" w:themeFill="background1"/>
          </w:tcPr>
          <w:p w:rsidR="00351F70" w:rsidRPr="00351F70" w:rsidP="00351F70" w14:paraId="7FE8BBA5" w14:textId="77777777">
            <w:pPr>
              <w:spacing w:after="0" w:line="240" w:lineRule="auto"/>
              <w:contextualSpacing/>
              <w:jc w:val="right"/>
              <w:rPr>
                <w:sz w:val="20"/>
                <w:szCs w:val="20"/>
              </w:rPr>
            </w:pPr>
            <w:r w:rsidRPr="00351F70">
              <w:rPr>
                <w:sz w:val="20"/>
                <w:szCs w:val="20"/>
              </w:rPr>
              <w:t>16</w:t>
            </w:r>
          </w:p>
        </w:tc>
        <w:tc>
          <w:tcPr>
            <w:tcW w:w="720" w:type="dxa"/>
            <w:shd w:val="clear" w:color="auto" w:fill="FFFFFF" w:themeFill="background1"/>
          </w:tcPr>
          <w:p w:rsidR="00351F70" w:rsidRPr="00351F70" w:rsidP="00351F70" w14:paraId="1E739D88" w14:textId="77777777">
            <w:pPr>
              <w:spacing w:after="0" w:line="240" w:lineRule="auto"/>
              <w:contextualSpacing/>
              <w:jc w:val="right"/>
              <w:rPr>
                <w:sz w:val="20"/>
                <w:szCs w:val="20"/>
              </w:rPr>
            </w:pPr>
            <w:r w:rsidRPr="00351F70">
              <w:rPr>
                <w:sz w:val="20"/>
                <w:szCs w:val="20"/>
              </w:rPr>
              <w:t>880</w:t>
            </w:r>
          </w:p>
        </w:tc>
      </w:tr>
      <w:tr w14:paraId="341D3A1B" w14:textId="77777777" w:rsidTr="00400E47">
        <w:tblPrEx>
          <w:tblW w:w="9450" w:type="dxa"/>
          <w:tblInd w:w="-185" w:type="dxa"/>
          <w:shd w:val="clear" w:color="auto" w:fill="FFFFFF" w:themeFill="background1"/>
          <w:tblLayout w:type="fixed"/>
          <w:tblLook w:val="04A0"/>
        </w:tblPrEx>
        <w:tc>
          <w:tcPr>
            <w:tcW w:w="3780" w:type="dxa"/>
            <w:shd w:val="clear" w:color="auto" w:fill="FFFFFF" w:themeFill="background1"/>
          </w:tcPr>
          <w:p w:rsidR="00351F70" w:rsidRPr="00351F70" w:rsidP="00351F70" w14:paraId="497D8EDF" w14:textId="77777777">
            <w:pPr>
              <w:spacing w:after="0" w:line="240" w:lineRule="auto"/>
              <w:contextualSpacing/>
              <w:rPr>
                <w:sz w:val="20"/>
                <w:szCs w:val="20"/>
              </w:rPr>
            </w:pPr>
            <w:r w:rsidRPr="00351F70">
              <w:rPr>
                <w:sz w:val="20"/>
                <w:szCs w:val="20"/>
              </w:rPr>
              <w:t>503A Reporting</w:t>
            </w:r>
          </w:p>
        </w:tc>
        <w:tc>
          <w:tcPr>
            <w:tcW w:w="1260" w:type="dxa"/>
            <w:shd w:val="clear" w:color="auto" w:fill="FFFFFF" w:themeFill="background1"/>
          </w:tcPr>
          <w:p w:rsidR="00351F70" w:rsidRPr="00351F70" w:rsidP="00351F70" w14:paraId="70DEE1E4" w14:textId="77777777">
            <w:pPr>
              <w:spacing w:after="0" w:line="240" w:lineRule="auto"/>
              <w:contextualSpacing/>
              <w:jc w:val="right"/>
              <w:rPr>
                <w:sz w:val="20"/>
                <w:szCs w:val="20"/>
              </w:rPr>
            </w:pPr>
            <w:r w:rsidRPr="00351F70">
              <w:rPr>
                <w:sz w:val="20"/>
                <w:szCs w:val="20"/>
              </w:rPr>
              <w:t>45</w:t>
            </w:r>
          </w:p>
        </w:tc>
        <w:tc>
          <w:tcPr>
            <w:tcW w:w="1440" w:type="dxa"/>
            <w:shd w:val="clear" w:color="auto" w:fill="FFFFFF" w:themeFill="background1"/>
          </w:tcPr>
          <w:p w:rsidR="00351F70" w:rsidRPr="00351F70" w:rsidP="00351F70" w14:paraId="318CE2B6" w14:textId="52E3958E">
            <w:pPr>
              <w:spacing w:after="0" w:line="240" w:lineRule="auto"/>
              <w:contextualSpacing/>
              <w:jc w:val="right"/>
              <w:rPr>
                <w:sz w:val="20"/>
                <w:szCs w:val="20"/>
              </w:rPr>
            </w:pPr>
            <w:r w:rsidRPr="00351F70">
              <w:rPr>
                <w:sz w:val="20"/>
                <w:szCs w:val="20"/>
              </w:rPr>
              <w:t xml:space="preserve"> 197</w:t>
            </w:r>
            <w:r w:rsidR="00800998">
              <w:rPr>
                <w:sz w:val="20"/>
                <w:szCs w:val="20"/>
              </w:rPr>
              <w:t>.311</w:t>
            </w:r>
            <w:r w:rsidR="00175B0A">
              <w:rPr>
                <w:sz w:val="20"/>
                <w:szCs w:val="20"/>
              </w:rPr>
              <w:t>1</w:t>
            </w:r>
          </w:p>
        </w:tc>
        <w:tc>
          <w:tcPr>
            <w:tcW w:w="1080" w:type="dxa"/>
            <w:shd w:val="clear" w:color="auto" w:fill="FFFFFF" w:themeFill="background1"/>
          </w:tcPr>
          <w:p w:rsidR="00351F70" w:rsidRPr="00351F70" w:rsidP="00351F70" w14:paraId="04E235C4" w14:textId="77777777">
            <w:pPr>
              <w:spacing w:after="0" w:line="240" w:lineRule="auto"/>
              <w:contextualSpacing/>
              <w:jc w:val="right"/>
              <w:rPr>
                <w:sz w:val="20"/>
                <w:szCs w:val="20"/>
              </w:rPr>
            </w:pPr>
            <w:r w:rsidRPr="00351F70">
              <w:rPr>
                <w:sz w:val="20"/>
                <w:szCs w:val="20"/>
              </w:rPr>
              <w:t>8,879</w:t>
            </w:r>
          </w:p>
        </w:tc>
        <w:tc>
          <w:tcPr>
            <w:tcW w:w="1170" w:type="dxa"/>
            <w:shd w:val="clear" w:color="auto" w:fill="FFFFFF" w:themeFill="background1"/>
          </w:tcPr>
          <w:p w:rsidR="00351F70" w:rsidRPr="00351F70" w:rsidP="00351F70" w14:paraId="753544EA" w14:textId="77777777">
            <w:pPr>
              <w:spacing w:after="0" w:line="240" w:lineRule="auto"/>
              <w:contextualSpacing/>
              <w:jc w:val="right"/>
              <w:rPr>
                <w:sz w:val="20"/>
                <w:szCs w:val="20"/>
              </w:rPr>
            </w:pPr>
            <w:r w:rsidRPr="00351F70">
              <w:rPr>
                <w:sz w:val="20"/>
                <w:szCs w:val="20"/>
              </w:rPr>
              <w:t>0.87</w:t>
            </w:r>
          </w:p>
        </w:tc>
        <w:tc>
          <w:tcPr>
            <w:tcW w:w="720" w:type="dxa"/>
            <w:shd w:val="clear" w:color="auto" w:fill="FFFFFF" w:themeFill="background1"/>
          </w:tcPr>
          <w:p w:rsidR="00351F70" w:rsidRPr="00351F70" w:rsidP="00351F70" w14:paraId="17A1C55D" w14:textId="7FED3F93">
            <w:pPr>
              <w:spacing w:after="0" w:line="240" w:lineRule="auto"/>
              <w:contextualSpacing/>
              <w:jc w:val="right"/>
              <w:rPr>
                <w:sz w:val="20"/>
                <w:szCs w:val="20"/>
              </w:rPr>
            </w:pPr>
            <w:r w:rsidRPr="00E75412">
              <w:rPr>
                <w:sz w:val="20"/>
                <w:szCs w:val="20"/>
              </w:rPr>
              <w:t>7,72</w:t>
            </w:r>
            <w:r w:rsidRPr="00E75412" w:rsidR="00C21763">
              <w:rPr>
                <w:sz w:val="20"/>
                <w:szCs w:val="20"/>
              </w:rPr>
              <w:t>5</w:t>
            </w:r>
          </w:p>
        </w:tc>
      </w:tr>
      <w:tr w14:paraId="5EBCD3E7" w14:textId="77777777" w:rsidTr="00400E47">
        <w:tblPrEx>
          <w:tblW w:w="9450" w:type="dxa"/>
          <w:tblInd w:w="-185" w:type="dxa"/>
          <w:shd w:val="clear" w:color="auto" w:fill="FFFFFF" w:themeFill="background1"/>
          <w:tblLayout w:type="fixed"/>
          <w:tblLook w:val="04A0"/>
        </w:tblPrEx>
        <w:tc>
          <w:tcPr>
            <w:tcW w:w="3780" w:type="dxa"/>
            <w:shd w:val="clear" w:color="auto" w:fill="FFFFFF" w:themeFill="background1"/>
          </w:tcPr>
          <w:p w:rsidR="00351F70" w:rsidRPr="00351F70" w:rsidP="00351F70" w14:paraId="604AF5EC" w14:textId="77777777">
            <w:pPr>
              <w:spacing w:after="0" w:line="240" w:lineRule="auto"/>
              <w:contextualSpacing/>
              <w:rPr>
                <w:sz w:val="20"/>
                <w:szCs w:val="20"/>
              </w:rPr>
            </w:pPr>
            <w:r w:rsidRPr="00351F70">
              <w:rPr>
                <w:sz w:val="20"/>
                <w:szCs w:val="20"/>
              </w:rPr>
              <w:t>503A Recordkeeping</w:t>
            </w:r>
          </w:p>
        </w:tc>
        <w:tc>
          <w:tcPr>
            <w:tcW w:w="1260" w:type="dxa"/>
            <w:shd w:val="clear" w:color="auto" w:fill="FFFFFF" w:themeFill="background1"/>
          </w:tcPr>
          <w:p w:rsidR="00351F70" w:rsidRPr="00351F70" w:rsidP="00351F70" w14:paraId="36C94FF4" w14:textId="77777777">
            <w:pPr>
              <w:spacing w:after="0" w:line="240" w:lineRule="auto"/>
              <w:contextualSpacing/>
              <w:jc w:val="right"/>
              <w:rPr>
                <w:sz w:val="20"/>
                <w:szCs w:val="20"/>
              </w:rPr>
            </w:pPr>
            <w:r w:rsidRPr="00351F70">
              <w:rPr>
                <w:sz w:val="20"/>
                <w:szCs w:val="20"/>
              </w:rPr>
              <w:t>45</w:t>
            </w:r>
          </w:p>
        </w:tc>
        <w:tc>
          <w:tcPr>
            <w:tcW w:w="1440" w:type="dxa"/>
            <w:shd w:val="clear" w:color="auto" w:fill="FFFFFF" w:themeFill="background1"/>
          </w:tcPr>
          <w:p w:rsidR="00351F70" w:rsidRPr="00351F70" w:rsidP="00351F70" w14:paraId="640D08B9" w14:textId="77777777">
            <w:pPr>
              <w:spacing w:after="0" w:line="240" w:lineRule="auto"/>
              <w:contextualSpacing/>
              <w:jc w:val="right"/>
              <w:rPr>
                <w:sz w:val="20"/>
                <w:szCs w:val="20"/>
              </w:rPr>
            </w:pPr>
            <w:r w:rsidRPr="00351F70">
              <w:rPr>
                <w:sz w:val="20"/>
                <w:szCs w:val="20"/>
              </w:rPr>
              <w:t>2</w:t>
            </w:r>
          </w:p>
        </w:tc>
        <w:tc>
          <w:tcPr>
            <w:tcW w:w="1080" w:type="dxa"/>
            <w:shd w:val="clear" w:color="auto" w:fill="FFFFFF" w:themeFill="background1"/>
          </w:tcPr>
          <w:p w:rsidR="00351F70" w:rsidRPr="00351F70" w:rsidP="00351F70" w14:paraId="63148D2D" w14:textId="77777777">
            <w:pPr>
              <w:spacing w:after="0" w:line="240" w:lineRule="auto"/>
              <w:contextualSpacing/>
              <w:jc w:val="right"/>
              <w:rPr>
                <w:sz w:val="20"/>
                <w:szCs w:val="20"/>
              </w:rPr>
            </w:pPr>
            <w:r w:rsidRPr="00351F70">
              <w:rPr>
                <w:sz w:val="20"/>
                <w:szCs w:val="20"/>
              </w:rPr>
              <w:t>90</w:t>
            </w:r>
          </w:p>
        </w:tc>
        <w:tc>
          <w:tcPr>
            <w:tcW w:w="1170" w:type="dxa"/>
            <w:shd w:val="clear" w:color="auto" w:fill="FFFFFF" w:themeFill="background1"/>
          </w:tcPr>
          <w:p w:rsidR="00351F70" w:rsidRPr="00351F70" w:rsidP="00351F70" w14:paraId="2678EDBC" w14:textId="77777777">
            <w:pPr>
              <w:spacing w:after="0" w:line="240" w:lineRule="auto"/>
              <w:contextualSpacing/>
              <w:jc w:val="right"/>
              <w:rPr>
                <w:sz w:val="20"/>
                <w:szCs w:val="20"/>
              </w:rPr>
            </w:pPr>
            <w:r w:rsidRPr="00351F70">
              <w:rPr>
                <w:sz w:val="20"/>
                <w:szCs w:val="20"/>
              </w:rPr>
              <w:t>1</w:t>
            </w:r>
          </w:p>
        </w:tc>
        <w:tc>
          <w:tcPr>
            <w:tcW w:w="720" w:type="dxa"/>
            <w:shd w:val="clear" w:color="auto" w:fill="FFFFFF" w:themeFill="background1"/>
          </w:tcPr>
          <w:p w:rsidR="00351F70" w:rsidRPr="00351F70" w:rsidP="00351F70" w14:paraId="08451ED7" w14:textId="77777777">
            <w:pPr>
              <w:spacing w:after="0" w:line="240" w:lineRule="auto"/>
              <w:contextualSpacing/>
              <w:jc w:val="right"/>
              <w:rPr>
                <w:sz w:val="20"/>
                <w:szCs w:val="20"/>
              </w:rPr>
            </w:pPr>
            <w:r w:rsidRPr="00351F70">
              <w:rPr>
                <w:sz w:val="20"/>
                <w:szCs w:val="20"/>
              </w:rPr>
              <w:t>90</w:t>
            </w:r>
          </w:p>
        </w:tc>
      </w:tr>
      <w:tr w14:paraId="22804A3F" w14:textId="77777777" w:rsidTr="00400E47">
        <w:tblPrEx>
          <w:tblW w:w="9450" w:type="dxa"/>
          <w:tblInd w:w="-185" w:type="dxa"/>
          <w:shd w:val="clear" w:color="auto" w:fill="FFFFFF" w:themeFill="background1"/>
          <w:tblLayout w:type="fixed"/>
          <w:tblLook w:val="04A0"/>
        </w:tblPrEx>
        <w:tc>
          <w:tcPr>
            <w:tcW w:w="3780" w:type="dxa"/>
            <w:shd w:val="clear" w:color="auto" w:fill="FFFFFF" w:themeFill="background1"/>
          </w:tcPr>
          <w:p w:rsidR="00351F70" w:rsidRPr="00351F70" w:rsidP="00351F70" w14:paraId="0D1A2ECC" w14:textId="77777777">
            <w:pPr>
              <w:spacing w:after="0" w:line="240" w:lineRule="auto"/>
              <w:contextualSpacing/>
              <w:rPr>
                <w:sz w:val="20"/>
                <w:szCs w:val="20"/>
              </w:rPr>
            </w:pPr>
            <w:r w:rsidRPr="00351F70">
              <w:rPr>
                <w:sz w:val="20"/>
                <w:szCs w:val="20"/>
              </w:rPr>
              <w:t>503A Disclosure (MOU)</w:t>
            </w:r>
          </w:p>
        </w:tc>
        <w:tc>
          <w:tcPr>
            <w:tcW w:w="1260" w:type="dxa"/>
            <w:shd w:val="clear" w:color="auto" w:fill="FFFFFF" w:themeFill="background1"/>
          </w:tcPr>
          <w:p w:rsidR="00351F70" w:rsidRPr="00351F70" w:rsidP="00351F70" w14:paraId="4081EE79" w14:textId="77777777">
            <w:pPr>
              <w:spacing w:after="0" w:line="240" w:lineRule="auto"/>
              <w:contextualSpacing/>
              <w:jc w:val="right"/>
              <w:rPr>
                <w:sz w:val="20"/>
                <w:szCs w:val="20"/>
              </w:rPr>
            </w:pPr>
            <w:r w:rsidRPr="00351F70">
              <w:rPr>
                <w:sz w:val="20"/>
                <w:szCs w:val="20"/>
              </w:rPr>
              <w:t>1</w:t>
            </w:r>
          </w:p>
        </w:tc>
        <w:tc>
          <w:tcPr>
            <w:tcW w:w="1440" w:type="dxa"/>
            <w:shd w:val="clear" w:color="auto" w:fill="FFFFFF" w:themeFill="background1"/>
          </w:tcPr>
          <w:p w:rsidR="00351F70" w:rsidRPr="00351F70" w:rsidP="00351F70" w14:paraId="53A671CC" w14:textId="77777777">
            <w:pPr>
              <w:spacing w:after="0" w:line="240" w:lineRule="auto"/>
              <w:contextualSpacing/>
              <w:jc w:val="right"/>
              <w:rPr>
                <w:sz w:val="20"/>
                <w:szCs w:val="20"/>
              </w:rPr>
            </w:pPr>
            <w:r w:rsidRPr="00351F70">
              <w:rPr>
                <w:sz w:val="20"/>
                <w:szCs w:val="20"/>
              </w:rPr>
              <w:t>1</w:t>
            </w:r>
          </w:p>
        </w:tc>
        <w:tc>
          <w:tcPr>
            <w:tcW w:w="1080" w:type="dxa"/>
            <w:shd w:val="clear" w:color="auto" w:fill="FFFFFF" w:themeFill="background1"/>
          </w:tcPr>
          <w:p w:rsidR="00351F70" w:rsidRPr="00351F70" w:rsidP="00351F70" w14:paraId="336870C8" w14:textId="77777777">
            <w:pPr>
              <w:spacing w:after="0" w:line="240" w:lineRule="auto"/>
              <w:contextualSpacing/>
              <w:jc w:val="right"/>
              <w:rPr>
                <w:sz w:val="20"/>
                <w:szCs w:val="20"/>
              </w:rPr>
            </w:pPr>
            <w:r w:rsidRPr="00351F70">
              <w:rPr>
                <w:sz w:val="20"/>
                <w:szCs w:val="20"/>
              </w:rPr>
              <w:t>1</w:t>
            </w:r>
          </w:p>
        </w:tc>
        <w:tc>
          <w:tcPr>
            <w:tcW w:w="1170" w:type="dxa"/>
            <w:shd w:val="clear" w:color="auto" w:fill="FFFFFF" w:themeFill="background1"/>
          </w:tcPr>
          <w:p w:rsidR="00351F70" w:rsidRPr="00351F70" w:rsidP="00351F70" w14:paraId="48BB820C" w14:textId="77777777">
            <w:pPr>
              <w:spacing w:after="0" w:line="240" w:lineRule="auto"/>
              <w:contextualSpacing/>
              <w:jc w:val="right"/>
              <w:rPr>
                <w:sz w:val="20"/>
                <w:szCs w:val="20"/>
              </w:rPr>
            </w:pPr>
            <w:r w:rsidRPr="00351F70">
              <w:rPr>
                <w:sz w:val="20"/>
                <w:szCs w:val="20"/>
              </w:rPr>
              <w:t>1</w:t>
            </w:r>
          </w:p>
        </w:tc>
        <w:tc>
          <w:tcPr>
            <w:tcW w:w="720" w:type="dxa"/>
            <w:shd w:val="clear" w:color="auto" w:fill="FFFFFF" w:themeFill="background1"/>
          </w:tcPr>
          <w:p w:rsidR="00351F70" w:rsidRPr="00351F70" w:rsidP="00351F70" w14:paraId="5C78D495" w14:textId="77777777">
            <w:pPr>
              <w:spacing w:after="0" w:line="240" w:lineRule="auto"/>
              <w:contextualSpacing/>
              <w:jc w:val="right"/>
              <w:rPr>
                <w:sz w:val="20"/>
                <w:szCs w:val="20"/>
              </w:rPr>
            </w:pPr>
            <w:r w:rsidRPr="00351F70">
              <w:rPr>
                <w:sz w:val="20"/>
                <w:szCs w:val="20"/>
              </w:rPr>
              <w:t>1</w:t>
            </w:r>
          </w:p>
        </w:tc>
      </w:tr>
      <w:tr w14:paraId="71B6A9D6" w14:textId="77777777" w:rsidTr="00400E47">
        <w:tblPrEx>
          <w:tblW w:w="9450" w:type="dxa"/>
          <w:tblInd w:w="-185" w:type="dxa"/>
          <w:shd w:val="clear" w:color="auto" w:fill="FFFFFF" w:themeFill="background1"/>
          <w:tblLayout w:type="fixed"/>
          <w:tblLook w:val="04A0"/>
        </w:tblPrEx>
        <w:tc>
          <w:tcPr>
            <w:tcW w:w="3780" w:type="dxa"/>
            <w:shd w:val="clear" w:color="auto" w:fill="FFFFFF" w:themeFill="background1"/>
          </w:tcPr>
          <w:p w:rsidR="00351F70" w:rsidRPr="00351F70" w:rsidP="00351F70" w14:paraId="2EAD1EDE" w14:textId="77777777">
            <w:pPr>
              <w:spacing w:after="0" w:line="240" w:lineRule="auto"/>
              <w:contextualSpacing/>
              <w:rPr>
                <w:sz w:val="20"/>
                <w:szCs w:val="20"/>
              </w:rPr>
            </w:pPr>
            <w:r w:rsidRPr="00351F70">
              <w:rPr>
                <w:sz w:val="20"/>
                <w:szCs w:val="20"/>
              </w:rPr>
              <w:t>Outsourcing facility reporting under 503B(b)</w:t>
            </w:r>
          </w:p>
        </w:tc>
        <w:tc>
          <w:tcPr>
            <w:tcW w:w="1260" w:type="dxa"/>
            <w:shd w:val="clear" w:color="auto" w:fill="FFFFFF" w:themeFill="background1"/>
          </w:tcPr>
          <w:p w:rsidR="00351F70" w:rsidRPr="00351F70" w:rsidP="00351F70" w14:paraId="4285E52B" w14:textId="77777777">
            <w:pPr>
              <w:spacing w:after="0" w:line="240" w:lineRule="auto"/>
              <w:contextualSpacing/>
              <w:jc w:val="right"/>
              <w:rPr>
                <w:sz w:val="20"/>
                <w:szCs w:val="20"/>
              </w:rPr>
            </w:pPr>
            <w:r w:rsidRPr="00351F70">
              <w:rPr>
                <w:sz w:val="20"/>
                <w:szCs w:val="20"/>
              </w:rPr>
              <w:t>75</w:t>
            </w:r>
          </w:p>
        </w:tc>
        <w:tc>
          <w:tcPr>
            <w:tcW w:w="1440" w:type="dxa"/>
            <w:shd w:val="clear" w:color="auto" w:fill="FFFFFF" w:themeFill="background1"/>
          </w:tcPr>
          <w:p w:rsidR="00351F70" w:rsidRPr="00351F70" w:rsidP="00351F70" w14:paraId="25B57724" w14:textId="4BACE62F">
            <w:pPr>
              <w:spacing w:after="0" w:line="240" w:lineRule="auto"/>
              <w:contextualSpacing/>
              <w:jc w:val="right"/>
              <w:rPr>
                <w:sz w:val="20"/>
                <w:szCs w:val="20"/>
              </w:rPr>
            </w:pPr>
            <w:r w:rsidRPr="00351F70">
              <w:rPr>
                <w:sz w:val="20"/>
                <w:szCs w:val="20"/>
              </w:rPr>
              <w:t>108</w:t>
            </w:r>
            <w:r w:rsidR="00755106">
              <w:rPr>
                <w:sz w:val="20"/>
                <w:szCs w:val="20"/>
              </w:rPr>
              <w:t>.1467</w:t>
            </w:r>
          </w:p>
        </w:tc>
        <w:tc>
          <w:tcPr>
            <w:tcW w:w="1080" w:type="dxa"/>
            <w:shd w:val="clear" w:color="auto" w:fill="FFFFFF" w:themeFill="background1"/>
          </w:tcPr>
          <w:p w:rsidR="00351F70" w:rsidRPr="00351F70" w:rsidP="00351F70" w14:paraId="3DA875B9" w14:textId="77777777">
            <w:pPr>
              <w:spacing w:after="0" w:line="240" w:lineRule="auto"/>
              <w:contextualSpacing/>
              <w:jc w:val="right"/>
              <w:rPr>
                <w:sz w:val="20"/>
                <w:szCs w:val="20"/>
              </w:rPr>
            </w:pPr>
            <w:r w:rsidRPr="00351F70">
              <w:rPr>
                <w:sz w:val="20"/>
                <w:szCs w:val="20"/>
              </w:rPr>
              <w:t>8,111</w:t>
            </w:r>
          </w:p>
        </w:tc>
        <w:tc>
          <w:tcPr>
            <w:tcW w:w="1170" w:type="dxa"/>
            <w:shd w:val="clear" w:color="auto" w:fill="FFFFFF" w:themeFill="background1"/>
          </w:tcPr>
          <w:p w:rsidR="00351F70" w:rsidP="00351F70" w14:paraId="10391B06" w14:textId="4307759C">
            <w:pPr>
              <w:spacing w:after="0" w:line="240" w:lineRule="auto"/>
              <w:contextualSpacing/>
              <w:jc w:val="right"/>
              <w:rPr>
                <w:sz w:val="20"/>
                <w:szCs w:val="20"/>
              </w:rPr>
            </w:pPr>
            <w:r>
              <w:rPr>
                <w:sz w:val="20"/>
                <w:szCs w:val="20"/>
              </w:rPr>
              <w:t>0.02</w:t>
            </w:r>
            <w:r w:rsidR="00D132C8">
              <w:rPr>
                <w:sz w:val="20"/>
                <w:szCs w:val="20"/>
              </w:rPr>
              <w:t>5</w:t>
            </w:r>
          </w:p>
          <w:p w:rsidR="00BD4443" w:rsidRPr="00351F70" w:rsidP="00351F70" w14:paraId="02B9054A" w14:textId="339CF543">
            <w:pPr>
              <w:spacing w:after="0" w:line="240" w:lineRule="auto"/>
              <w:contextualSpacing/>
              <w:jc w:val="right"/>
              <w:rPr>
                <w:sz w:val="20"/>
                <w:szCs w:val="20"/>
              </w:rPr>
            </w:pPr>
            <w:r>
              <w:rPr>
                <w:sz w:val="20"/>
                <w:szCs w:val="20"/>
              </w:rPr>
              <w:t>(1.5 mins</w:t>
            </w:r>
            <w:r w:rsidR="00412732">
              <w:rPr>
                <w:sz w:val="20"/>
                <w:szCs w:val="20"/>
              </w:rPr>
              <w:t>.</w:t>
            </w:r>
            <w:r>
              <w:rPr>
                <w:sz w:val="20"/>
                <w:szCs w:val="20"/>
              </w:rPr>
              <w:t>)</w:t>
            </w:r>
          </w:p>
        </w:tc>
        <w:tc>
          <w:tcPr>
            <w:tcW w:w="720" w:type="dxa"/>
            <w:shd w:val="clear" w:color="auto" w:fill="FFFFFF" w:themeFill="background1"/>
          </w:tcPr>
          <w:p w:rsidR="002F32CE" w:rsidP="00351F70" w14:paraId="4A9661CB" w14:textId="1037C807">
            <w:pPr>
              <w:spacing w:after="0" w:line="240" w:lineRule="auto"/>
              <w:contextualSpacing/>
              <w:jc w:val="right"/>
              <w:rPr>
                <w:sz w:val="20"/>
                <w:szCs w:val="20"/>
              </w:rPr>
            </w:pPr>
          </w:p>
          <w:p w:rsidR="00351F70" w:rsidRPr="00351F70" w:rsidP="00351F70" w14:paraId="0F0C9B83" w14:textId="1E1945C5">
            <w:pPr>
              <w:spacing w:after="0" w:line="240" w:lineRule="auto"/>
              <w:contextualSpacing/>
              <w:jc w:val="right"/>
              <w:rPr>
                <w:sz w:val="20"/>
                <w:szCs w:val="20"/>
              </w:rPr>
            </w:pPr>
            <w:r>
              <w:rPr>
                <w:sz w:val="20"/>
                <w:szCs w:val="20"/>
              </w:rPr>
              <w:t>203</w:t>
            </w:r>
          </w:p>
        </w:tc>
      </w:tr>
      <w:tr w14:paraId="0C2AA654" w14:textId="77777777" w:rsidTr="00400E47">
        <w:tblPrEx>
          <w:tblW w:w="9450" w:type="dxa"/>
          <w:tblInd w:w="-185" w:type="dxa"/>
          <w:shd w:val="clear" w:color="auto" w:fill="FFFFFF" w:themeFill="background1"/>
          <w:tblLayout w:type="fixed"/>
          <w:tblLook w:val="04A0"/>
        </w:tblPrEx>
        <w:tc>
          <w:tcPr>
            <w:tcW w:w="3780" w:type="dxa"/>
            <w:shd w:val="clear" w:color="auto" w:fill="FFFFFF" w:themeFill="background1"/>
          </w:tcPr>
          <w:p w:rsidR="00351F70" w:rsidRPr="00351F70" w:rsidP="00351F70" w14:paraId="079E5EE5" w14:textId="77777777">
            <w:pPr>
              <w:spacing w:after="0" w:line="240" w:lineRule="auto"/>
              <w:contextualSpacing/>
              <w:rPr>
                <w:sz w:val="20"/>
                <w:szCs w:val="20"/>
              </w:rPr>
            </w:pPr>
            <w:r w:rsidRPr="00351F70">
              <w:rPr>
                <w:sz w:val="20"/>
                <w:szCs w:val="20"/>
              </w:rPr>
              <w:t>Total</w:t>
            </w:r>
          </w:p>
        </w:tc>
        <w:tc>
          <w:tcPr>
            <w:tcW w:w="1260" w:type="dxa"/>
            <w:shd w:val="clear" w:color="auto" w:fill="FFFFFF" w:themeFill="background1"/>
          </w:tcPr>
          <w:p w:rsidR="00351F70" w:rsidRPr="00351F70" w:rsidP="00351F70" w14:paraId="61AB3D3F" w14:textId="77777777">
            <w:pPr>
              <w:spacing w:after="0" w:line="240" w:lineRule="auto"/>
              <w:contextualSpacing/>
              <w:jc w:val="right"/>
              <w:rPr>
                <w:sz w:val="20"/>
                <w:szCs w:val="20"/>
              </w:rPr>
            </w:pPr>
          </w:p>
        </w:tc>
        <w:tc>
          <w:tcPr>
            <w:tcW w:w="1440" w:type="dxa"/>
            <w:shd w:val="clear" w:color="auto" w:fill="FFFFFF" w:themeFill="background1"/>
          </w:tcPr>
          <w:p w:rsidR="00351F70" w:rsidRPr="00351F70" w:rsidP="00351F70" w14:paraId="015993B9" w14:textId="77777777">
            <w:pPr>
              <w:spacing w:after="0" w:line="240" w:lineRule="auto"/>
              <w:contextualSpacing/>
              <w:jc w:val="right"/>
              <w:rPr>
                <w:sz w:val="20"/>
                <w:szCs w:val="20"/>
              </w:rPr>
            </w:pPr>
          </w:p>
        </w:tc>
        <w:tc>
          <w:tcPr>
            <w:tcW w:w="1080" w:type="dxa"/>
            <w:shd w:val="clear" w:color="auto" w:fill="FFFFFF" w:themeFill="background1"/>
          </w:tcPr>
          <w:p w:rsidR="00351F70" w:rsidRPr="00351F70" w:rsidP="00351F70" w14:paraId="6484E105" w14:textId="77777777">
            <w:pPr>
              <w:spacing w:after="0" w:line="240" w:lineRule="auto"/>
              <w:contextualSpacing/>
              <w:jc w:val="right"/>
              <w:rPr>
                <w:sz w:val="20"/>
                <w:szCs w:val="20"/>
              </w:rPr>
            </w:pPr>
            <w:r w:rsidRPr="00351F70">
              <w:rPr>
                <w:sz w:val="20"/>
                <w:szCs w:val="20"/>
              </w:rPr>
              <w:fldChar w:fldCharType="begin"/>
            </w:r>
            <w:r w:rsidRPr="00351F70">
              <w:rPr>
                <w:sz w:val="20"/>
                <w:szCs w:val="20"/>
              </w:rPr>
              <w:instrText xml:space="preserve"> =SUM(ABOVE) </w:instrText>
            </w:r>
            <w:r w:rsidRPr="00351F70">
              <w:rPr>
                <w:sz w:val="20"/>
                <w:szCs w:val="20"/>
              </w:rPr>
              <w:fldChar w:fldCharType="separate"/>
            </w:r>
            <w:r w:rsidRPr="00351F70">
              <w:rPr>
                <w:noProof/>
                <w:sz w:val="20"/>
                <w:szCs w:val="20"/>
              </w:rPr>
              <w:t>17,191</w:t>
            </w:r>
            <w:r w:rsidRPr="00351F70">
              <w:rPr>
                <w:sz w:val="20"/>
                <w:szCs w:val="20"/>
              </w:rPr>
              <w:fldChar w:fldCharType="end"/>
            </w:r>
          </w:p>
        </w:tc>
        <w:tc>
          <w:tcPr>
            <w:tcW w:w="1170" w:type="dxa"/>
            <w:shd w:val="clear" w:color="auto" w:fill="FFFFFF" w:themeFill="background1"/>
          </w:tcPr>
          <w:p w:rsidR="00351F70" w:rsidRPr="00351F70" w:rsidP="00351F70" w14:paraId="58B95B3A" w14:textId="77777777">
            <w:pPr>
              <w:spacing w:after="0" w:line="240" w:lineRule="auto"/>
              <w:contextualSpacing/>
              <w:jc w:val="right"/>
              <w:rPr>
                <w:sz w:val="20"/>
                <w:szCs w:val="20"/>
              </w:rPr>
            </w:pPr>
          </w:p>
        </w:tc>
        <w:tc>
          <w:tcPr>
            <w:tcW w:w="720" w:type="dxa"/>
            <w:shd w:val="clear" w:color="auto" w:fill="FFFFFF" w:themeFill="background1"/>
          </w:tcPr>
          <w:p w:rsidR="003709E2" w:rsidRPr="00351F70" w:rsidP="00351F70" w14:paraId="59EDA047" w14:textId="45E79F4E">
            <w:pPr>
              <w:spacing w:after="0" w:line="240" w:lineRule="auto"/>
              <w:contextualSpacing/>
              <w:jc w:val="right"/>
              <w:rPr>
                <w:sz w:val="20"/>
                <w:szCs w:val="20"/>
              </w:rPr>
            </w:pPr>
            <w:r>
              <w:rPr>
                <w:sz w:val="20"/>
                <w:szCs w:val="20"/>
              </w:rPr>
              <w:t>8,960</w:t>
            </w:r>
          </w:p>
        </w:tc>
      </w:tr>
    </w:tbl>
    <w:p w:rsidR="00707C32" w:rsidP="00F75B3F" w14:paraId="5B3B9285" w14:textId="49ED7228">
      <w:pPr>
        <w:spacing w:after="0" w:line="240" w:lineRule="auto"/>
        <w:ind w:left="-180"/>
        <w:rPr>
          <w:rFonts w:ascii="Times New Roman" w:eastAsia="Times New Roman" w:hAnsi="Times New Roman"/>
          <w:sz w:val="20"/>
          <w:szCs w:val="20"/>
        </w:rPr>
      </w:pPr>
      <w:r w:rsidRPr="00351F70">
        <w:rPr>
          <w:rFonts w:ascii="Times New Roman" w:eastAsia="Times New Roman" w:hAnsi="Times New Roman"/>
          <w:sz w:val="20"/>
          <w:szCs w:val="20"/>
          <w:vertAlign w:val="superscript"/>
        </w:rPr>
        <w:t>1</w:t>
      </w:r>
      <w:r w:rsidRPr="00351F70">
        <w:rPr>
          <w:rFonts w:ascii="Times New Roman" w:eastAsia="Times New Roman" w:hAnsi="Times New Roman"/>
          <w:sz w:val="20"/>
          <w:szCs w:val="20"/>
        </w:rPr>
        <w:t xml:space="preserve"> There are no capital costs or operating and maintenance costs associated with this collection of information</w:t>
      </w:r>
      <w:r w:rsidR="00265BFC">
        <w:rPr>
          <w:rFonts w:ascii="Times New Roman" w:eastAsia="Times New Roman" w:hAnsi="Times New Roman"/>
          <w:sz w:val="20"/>
          <w:szCs w:val="20"/>
        </w:rPr>
        <w:t>.</w:t>
      </w:r>
    </w:p>
    <w:p w:rsidR="00265BFC" w:rsidP="00F75B3F" w14:paraId="38D66B84" w14:textId="5DA0C9CF">
      <w:pPr>
        <w:spacing w:after="0" w:line="240" w:lineRule="auto"/>
        <w:ind w:left="-180"/>
        <w:rPr>
          <w:rFonts w:ascii="Times New Roman" w:eastAsia="Times New Roman" w:hAnsi="Times New Roman"/>
          <w:sz w:val="20"/>
          <w:szCs w:val="20"/>
        </w:rPr>
      </w:pPr>
      <w:r>
        <w:rPr>
          <w:rFonts w:ascii="Times New Roman" w:eastAsia="Times New Roman" w:hAnsi="Times New Roman"/>
          <w:sz w:val="20"/>
          <w:szCs w:val="20"/>
          <w:vertAlign w:val="superscript"/>
        </w:rPr>
        <w:t xml:space="preserve">2   </w:t>
      </w:r>
      <w:r>
        <w:rPr>
          <w:rFonts w:ascii="Times New Roman" w:eastAsia="Times New Roman" w:hAnsi="Times New Roman"/>
          <w:sz w:val="20"/>
          <w:szCs w:val="20"/>
        </w:rPr>
        <w:t>Figures have been rounded.</w:t>
      </w:r>
    </w:p>
    <w:p w:rsidR="00F75B3F" w:rsidRPr="00F75B3F" w:rsidP="00F75B3F" w14:paraId="0A454B36" w14:textId="77777777">
      <w:pPr>
        <w:spacing w:after="0" w:line="240" w:lineRule="auto"/>
        <w:ind w:left="-180"/>
        <w:rPr>
          <w:rFonts w:ascii="Times New Roman" w:eastAsia="Times New Roman" w:hAnsi="Times New Roman"/>
          <w:sz w:val="20"/>
          <w:szCs w:val="20"/>
        </w:rPr>
      </w:pPr>
    </w:p>
    <w:p w:rsidR="00C96A1F" w:rsidP="003B15EC" w14:paraId="1770E664" w14:textId="00509C1C">
      <w:pPr>
        <w:spacing w:after="0" w:line="240" w:lineRule="auto"/>
        <w:ind w:left="-187"/>
        <w:rPr>
          <w:rFonts w:ascii="Times New Roman" w:eastAsia="Times New Roman" w:hAnsi="Times New Roman"/>
          <w:sz w:val="24"/>
          <w:szCs w:val="24"/>
        </w:rPr>
      </w:pPr>
      <w:r w:rsidRPr="00F121EC">
        <w:rPr>
          <w:rFonts w:ascii="Times New Roman" w:eastAsia="Times New Roman" w:hAnsi="Times New Roman"/>
          <w:sz w:val="24"/>
          <w:szCs w:val="24"/>
        </w:rPr>
        <w:t>While we have retained our currently approved burden estimates, we have corrected an inadvertent omission from our 60-day notice in row 6 of Table 1 reflecting the number of estimated responses and average burden per response.</w:t>
      </w:r>
      <w:r w:rsidR="008D3725">
        <w:rPr>
          <w:rFonts w:ascii="Times New Roman" w:eastAsia="Times New Roman" w:hAnsi="Times New Roman"/>
          <w:sz w:val="24"/>
          <w:szCs w:val="24"/>
        </w:rPr>
        <w:t xml:space="preserve">  We also </w:t>
      </w:r>
      <w:r w:rsidR="00AF4741">
        <w:rPr>
          <w:rFonts w:ascii="Times New Roman" w:eastAsia="Times New Roman" w:hAnsi="Times New Roman"/>
          <w:sz w:val="24"/>
          <w:szCs w:val="24"/>
        </w:rPr>
        <w:t xml:space="preserve">added more precision to the number of responses per respondent figures in rows 3 and 6; </w:t>
      </w:r>
      <w:r w:rsidR="00ED4346">
        <w:rPr>
          <w:rFonts w:ascii="Times New Roman" w:eastAsia="Times New Roman" w:hAnsi="Times New Roman"/>
          <w:sz w:val="24"/>
          <w:szCs w:val="24"/>
        </w:rPr>
        <w:t xml:space="preserve">corrected </w:t>
      </w:r>
      <w:r w:rsidR="00071AC2">
        <w:rPr>
          <w:rFonts w:ascii="Times New Roman" w:eastAsia="Times New Roman" w:hAnsi="Times New Roman"/>
          <w:sz w:val="24"/>
          <w:szCs w:val="24"/>
        </w:rPr>
        <w:t xml:space="preserve">a typographical error in </w:t>
      </w:r>
      <w:r w:rsidR="00ED4346">
        <w:rPr>
          <w:rFonts w:ascii="Times New Roman" w:eastAsia="Times New Roman" w:hAnsi="Times New Roman"/>
          <w:sz w:val="24"/>
          <w:szCs w:val="24"/>
        </w:rPr>
        <w:t>the average burden per response in row 6</w:t>
      </w:r>
      <w:r w:rsidR="007B4872">
        <w:rPr>
          <w:rFonts w:ascii="Times New Roman" w:eastAsia="Times New Roman" w:hAnsi="Times New Roman"/>
          <w:sz w:val="24"/>
          <w:szCs w:val="24"/>
        </w:rPr>
        <w:t xml:space="preserve"> (from 0.2 to 0.025 hour (1.5 mins.)</w:t>
      </w:r>
      <w:r w:rsidR="00D9483C">
        <w:rPr>
          <w:rFonts w:ascii="Times New Roman" w:eastAsia="Times New Roman" w:hAnsi="Times New Roman"/>
          <w:sz w:val="24"/>
          <w:szCs w:val="24"/>
        </w:rPr>
        <w:t>)</w:t>
      </w:r>
      <w:r w:rsidR="007B4872">
        <w:rPr>
          <w:rFonts w:ascii="Times New Roman" w:eastAsia="Times New Roman" w:hAnsi="Times New Roman"/>
          <w:sz w:val="24"/>
          <w:szCs w:val="24"/>
        </w:rPr>
        <w:t>;</w:t>
      </w:r>
      <w:r w:rsidR="00D9483C">
        <w:rPr>
          <w:rFonts w:ascii="Times New Roman" w:eastAsia="Times New Roman" w:hAnsi="Times New Roman"/>
          <w:sz w:val="24"/>
          <w:szCs w:val="24"/>
        </w:rPr>
        <w:t xml:space="preserve"> and corrected the total hours calculation in rows 3</w:t>
      </w:r>
      <w:r w:rsidR="00BE43F2">
        <w:rPr>
          <w:rFonts w:ascii="Times New Roman" w:eastAsia="Times New Roman" w:hAnsi="Times New Roman"/>
          <w:sz w:val="24"/>
          <w:szCs w:val="24"/>
        </w:rPr>
        <w:t>,</w:t>
      </w:r>
      <w:r w:rsidR="00D86F6A">
        <w:rPr>
          <w:rFonts w:ascii="Times New Roman" w:eastAsia="Times New Roman" w:hAnsi="Times New Roman"/>
          <w:sz w:val="24"/>
          <w:szCs w:val="24"/>
        </w:rPr>
        <w:t xml:space="preserve"> 6, and 7.</w:t>
      </w:r>
      <w:r w:rsidR="00480C1A">
        <w:rPr>
          <w:rFonts w:ascii="Times New Roman" w:eastAsia="Times New Roman" w:hAnsi="Times New Roman"/>
          <w:sz w:val="24"/>
          <w:szCs w:val="24"/>
        </w:rPr>
        <w:t xml:space="preserve">  Due to these corrections, </w:t>
      </w:r>
      <w:r w:rsidRPr="0021095B" w:rsidR="00480C1A">
        <w:rPr>
          <w:rFonts w:ascii="Times New Roman" w:eastAsia="Times New Roman" w:hAnsi="Times New Roman"/>
          <w:sz w:val="24"/>
          <w:szCs w:val="24"/>
        </w:rPr>
        <w:t xml:space="preserve">we have adjusted our </w:t>
      </w:r>
      <w:r w:rsidR="00480C1A">
        <w:rPr>
          <w:rFonts w:ascii="Times New Roman" w:eastAsia="Times New Roman" w:hAnsi="Times New Roman"/>
          <w:sz w:val="24"/>
          <w:szCs w:val="24"/>
        </w:rPr>
        <w:t xml:space="preserve">total burden </w:t>
      </w:r>
      <w:r w:rsidRPr="0021095B" w:rsidR="00480C1A">
        <w:rPr>
          <w:rFonts w:ascii="Times New Roman" w:eastAsia="Times New Roman" w:hAnsi="Times New Roman"/>
          <w:sz w:val="24"/>
          <w:szCs w:val="24"/>
        </w:rPr>
        <w:t xml:space="preserve">estimate </w:t>
      </w:r>
      <w:r w:rsidR="00480C1A">
        <w:rPr>
          <w:rFonts w:ascii="Times New Roman" w:eastAsia="Times New Roman" w:hAnsi="Times New Roman"/>
          <w:sz w:val="24"/>
          <w:szCs w:val="24"/>
        </w:rPr>
        <w:t xml:space="preserve">upward </w:t>
      </w:r>
      <w:r w:rsidRPr="0021095B" w:rsidR="00480C1A">
        <w:rPr>
          <w:rFonts w:ascii="Times New Roman" w:eastAsia="Times New Roman" w:hAnsi="Times New Roman"/>
          <w:sz w:val="24"/>
          <w:szCs w:val="24"/>
        </w:rPr>
        <w:t xml:space="preserve">by 16 hours (from </w:t>
      </w:r>
      <w:r w:rsidR="00480C1A">
        <w:rPr>
          <w:rFonts w:ascii="Times New Roman" w:eastAsia="Times New Roman" w:hAnsi="Times New Roman"/>
          <w:sz w:val="24"/>
          <w:szCs w:val="24"/>
        </w:rPr>
        <w:t>8,944 to 8,960)</w:t>
      </w:r>
      <w:r w:rsidRPr="0021095B" w:rsidR="00480C1A">
        <w:rPr>
          <w:rFonts w:ascii="Times New Roman" w:eastAsia="Times New Roman" w:hAnsi="Times New Roman"/>
          <w:sz w:val="24"/>
          <w:szCs w:val="24"/>
        </w:rPr>
        <w:t xml:space="preserve"> annually</w:t>
      </w:r>
      <w:r w:rsidR="00480C1A">
        <w:rPr>
          <w:rFonts w:ascii="Times New Roman" w:eastAsia="Times New Roman" w:hAnsi="Times New Roman"/>
          <w:sz w:val="24"/>
          <w:szCs w:val="24"/>
        </w:rPr>
        <w:t>.</w:t>
      </w:r>
    </w:p>
    <w:p w:rsidR="00C96A1F" w:rsidP="001D7D52" w14:paraId="61433749" w14:textId="7E6F1BF3">
      <w:pPr>
        <w:spacing w:after="0" w:line="240" w:lineRule="auto"/>
        <w:ind w:left="-187" w:firstLine="187"/>
        <w:rPr>
          <w:rFonts w:ascii="Times New Roman" w:eastAsia="Times New Roman" w:hAnsi="Times New Roman"/>
          <w:sz w:val="24"/>
          <w:szCs w:val="24"/>
        </w:rPr>
      </w:pPr>
    </w:p>
    <w:p w:rsidR="009342D9" w:rsidRPr="00C96A1F" w:rsidP="00C96A1F" w14:paraId="6AACC4C2" w14:textId="77777777">
      <w:pPr>
        <w:spacing w:after="0" w:line="240" w:lineRule="auto"/>
        <w:ind w:left="-187" w:firstLine="187"/>
        <w:rPr>
          <w:rFonts w:ascii="Times New Roman" w:eastAsia="Times New Roman" w:hAnsi="Times New Roman"/>
          <w:sz w:val="24"/>
          <w:szCs w:val="24"/>
        </w:rPr>
      </w:pPr>
      <w:r w:rsidRPr="00F071E6">
        <w:rPr>
          <w:rFonts w:ascii="Times New Roman" w:hAnsi="Times New Roman"/>
          <w:i/>
          <w:sz w:val="24"/>
          <w:szCs w:val="24"/>
        </w:rPr>
        <w:t>12b.</w:t>
      </w:r>
      <w:r w:rsidRPr="00F071E6" w:rsidR="008420C7">
        <w:rPr>
          <w:rFonts w:ascii="Times New Roman" w:hAnsi="Times New Roman"/>
          <w:i/>
          <w:sz w:val="24"/>
          <w:szCs w:val="24"/>
        </w:rPr>
        <w:t xml:space="preserve">  </w:t>
      </w:r>
      <w:r w:rsidRPr="00F071E6">
        <w:rPr>
          <w:rFonts w:ascii="Times New Roman" w:hAnsi="Times New Roman"/>
          <w:i/>
          <w:sz w:val="24"/>
          <w:szCs w:val="24"/>
        </w:rPr>
        <w:t>Annualized Cost Burden Estimate</w:t>
      </w:r>
    </w:p>
    <w:p w:rsidR="008420C7" w:rsidRPr="00F071E6" w:rsidP="00942723" w14:paraId="01052D22" w14:textId="77777777">
      <w:pPr>
        <w:spacing w:after="0" w:line="240" w:lineRule="auto"/>
        <w:ind w:left="-180"/>
        <w:rPr>
          <w:rFonts w:ascii="Times New Roman" w:hAnsi="Times New Roman"/>
          <w:sz w:val="24"/>
          <w:szCs w:val="24"/>
        </w:rPr>
      </w:pPr>
    </w:p>
    <w:p w:rsidR="00B031D5" w:rsidRPr="00F071E6" w:rsidP="00071AC2" w14:paraId="3EA11EFC" w14:textId="1519CA50">
      <w:pPr>
        <w:spacing w:after="0" w:line="240" w:lineRule="auto"/>
        <w:ind w:left="-180"/>
        <w:rPr>
          <w:rFonts w:ascii="Times New Roman" w:hAnsi="Times New Roman"/>
          <w:sz w:val="24"/>
          <w:szCs w:val="24"/>
        </w:rPr>
      </w:pPr>
      <w:r w:rsidRPr="00AE447B">
        <w:rPr>
          <w:rFonts w:ascii="Times New Roman" w:hAnsi="Times New Roman"/>
          <w:sz w:val="24"/>
          <w:szCs w:val="24"/>
        </w:rPr>
        <w:t xml:space="preserve">To calculate </w:t>
      </w:r>
      <w:r w:rsidRPr="00AE447B" w:rsidR="00917DFC">
        <w:rPr>
          <w:rFonts w:ascii="Times New Roman" w:hAnsi="Times New Roman"/>
          <w:sz w:val="24"/>
          <w:szCs w:val="24"/>
        </w:rPr>
        <w:t xml:space="preserve">respondent costs, we assume a mean </w:t>
      </w:r>
      <w:r w:rsidRPr="00AE447B" w:rsidR="00701761">
        <w:rPr>
          <w:rFonts w:ascii="Times New Roman" w:hAnsi="Times New Roman"/>
          <w:sz w:val="24"/>
          <w:szCs w:val="24"/>
        </w:rPr>
        <w:t xml:space="preserve">hourly wage </w:t>
      </w:r>
      <w:r w:rsidRPr="00AE447B" w:rsidR="00746A37">
        <w:rPr>
          <w:rFonts w:ascii="Times New Roman" w:hAnsi="Times New Roman"/>
          <w:sz w:val="24"/>
          <w:szCs w:val="24"/>
        </w:rPr>
        <w:t xml:space="preserve">for general </w:t>
      </w:r>
      <w:r w:rsidRPr="00AE447B" w:rsidR="00DC5062">
        <w:rPr>
          <w:rFonts w:ascii="Times New Roman" w:hAnsi="Times New Roman"/>
          <w:sz w:val="24"/>
          <w:szCs w:val="24"/>
        </w:rPr>
        <w:t xml:space="preserve">occupations </w:t>
      </w:r>
      <w:r w:rsidRPr="00AE447B" w:rsidR="00701761">
        <w:rPr>
          <w:rFonts w:ascii="Times New Roman" w:hAnsi="Times New Roman"/>
          <w:sz w:val="24"/>
          <w:szCs w:val="24"/>
        </w:rPr>
        <w:t>of $</w:t>
      </w:r>
      <w:r w:rsidRPr="00AE447B" w:rsidR="00AE447B">
        <w:rPr>
          <w:rFonts w:ascii="Times New Roman" w:hAnsi="Times New Roman"/>
          <w:sz w:val="24"/>
          <w:szCs w:val="24"/>
        </w:rPr>
        <w:t>87.56</w:t>
      </w:r>
      <w:r w:rsidRPr="00AE447B" w:rsidR="0016196F">
        <w:rPr>
          <w:rFonts w:ascii="Times New Roman" w:hAnsi="Times New Roman"/>
          <w:sz w:val="24"/>
          <w:szCs w:val="24"/>
        </w:rPr>
        <w:t xml:space="preserve">, </w:t>
      </w:r>
      <w:r w:rsidRPr="00AE447B" w:rsidR="00701761">
        <w:rPr>
          <w:rFonts w:ascii="Times New Roman" w:hAnsi="Times New Roman"/>
          <w:sz w:val="24"/>
          <w:szCs w:val="24"/>
        </w:rPr>
        <w:t>as reported by the U.S. Department of Labor, Bureau of Labor Statistics, Occupational Employment and Wage Statistics for Management Occupations (SOC 11-0000</w:t>
      </w:r>
      <w:r w:rsidR="00814F29">
        <w:rPr>
          <w:rFonts w:ascii="Times New Roman" w:hAnsi="Times New Roman"/>
          <w:sz w:val="24"/>
          <w:szCs w:val="24"/>
        </w:rPr>
        <w:t>; Management of Companies and Enterprises</w:t>
      </w:r>
      <w:r w:rsidRPr="00AE447B" w:rsidR="00701761">
        <w:rPr>
          <w:rFonts w:ascii="Times New Roman" w:hAnsi="Times New Roman"/>
          <w:sz w:val="24"/>
          <w:szCs w:val="24"/>
        </w:rPr>
        <w:t xml:space="preserve">), May </w:t>
      </w:r>
      <w:r w:rsidR="004D3E9D">
        <w:rPr>
          <w:rFonts w:ascii="Times New Roman" w:hAnsi="Times New Roman"/>
          <w:sz w:val="24"/>
          <w:szCs w:val="24"/>
        </w:rPr>
        <w:t>2023</w:t>
      </w:r>
      <w:r w:rsidRPr="00AE447B" w:rsidR="00145392">
        <w:rPr>
          <w:rFonts w:ascii="Times New Roman" w:hAnsi="Times New Roman"/>
          <w:sz w:val="24"/>
          <w:szCs w:val="24"/>
        </w:rPr>
        <w:t xml:space="preserve">.  </w:t>
      </w:r>
      <w:r w:rsidR="00654966">
        <w:rPr>
          <w:rFonts w:ascii="Times New Roman" w:hAnsi="Times New Roman"/>
          <w:sz w:val="24"/>
          <w:szCs w:val="24"/>
        </w:rPr>
        <w:t>We double this hourly wage to account for</w:t>
      </w:r>
      <w:r w:rsidR="006834D1">
        <w:rPr>
          <w:rFonts w:ascii="Times New Roman" w:hAnsi="Times New Roman"/>
          <w:sz w:val="24"/>
          <w:szCs w:val="24"/>
        </w:rPr>
        <w:t xml:space="preserve"> overhead.</w:t>
      </w:r>
      <w:r w:rsidR="00654966">
        <w:rPr>
          <w:rFonts w:ascii="Times New Roman" w:hAnsi="Times New Roman"/>
          <w:sz w:val="24"/>
          <w:szCs w:val="24"/>
        </w:rPr>
        <w:t xml:space="preserve"> </w:t>
      </w:r>
      <w:r w:rsidR="006834D1">
        <w:rPr>
          <w:rFonts w:ascii="Times New Roman" w:hAnsi="Times New Roman"/>
          <w:sz w:val="24"/>
          <w:szCs w:val="24"/>
        </w:rPr>
        <w:t xml:space="preserve"> </w:t>
      </w:r>
      <w:r w:rsidRPr="00AE447B" w:rsidR="00145392">
        <w:rPr>
          <w:rFonts w:ascii="Times New Roman" w:hAnsi="Times New Roman"/>
          <w:sz w:val="24"/>
          <w:szCs w:val="24"/>
        </w:rPr>
        <w:t xml:space="preserve">We </w:t>
      </w:r>
      <w:r w:rsidRPr="00AE447B" w:rsidR="00991A37">
        <w:rPr>
          <w:rFonts w:ascii="Times New Roman" w:hAnsi="Times New Roman"/>
          <w:sz w:val="24"/>
          <w:szCs w:val="24"/>
        </w:rPr>
        <w:t xml:space="preserve">multiply this </w:t>
      </w:r>
      <w:r w:rsidRPr="00AE447B" w:rsidR="008634C5">
        <w:rPr>
          <w:rFonts w:ascii="Times New Roman" w:hAnsi="Times New Roman"/>
          <w:sz w:val="24"/>
          <w:szCs w:val="24"/>
        </w:rPr>
        <w:t>figure</w:t>
      </w:r>
      <w:r w:rsidR="009C271F">
        <w:rPr>
          <w:rFonts w:ascii="Times New Roman" w:hAnsi="Times New Roman"/>
          <w:sz w:val="24"/>
          <w:szCs w:val="24"/>
        </w:rPr>
        <w:t>, $175.12,</w:t>
      </w:r>
      <w:r w:rsidRPr="00AE447B" w:rsidR="008634C5">
        <w:rPr>
          <w:rFonts w:ascii="Times New Roman" w:hAnsi="Times New Roman"/>
          <w:sz w:val="24"/>
          <w:szCs w:val="24"/>
        </w:rPr>
        <w:t xml:space="preserve"> </w:t>
      </w:r>
      <w:r w:rsidRPr="00AE447B" w:rsidR="00991A37">
        <w:rPr>
          <w:rFonts w:ascii="Times New Roman" w:hAnsi="Times New Roman"/>
          <w:sz w:val="24"/>
          <w:szCs w:val="24"/>
        </w:rPr>
        <w:t xml:space="preserve">by the total hours </w:t>
      </w:r>
      <w:r w:rsidRPr="00AE447B" w:rsidR="00086D79">
        <w:rPr>
          <w:rFonts w:ascii="Times New Roman" w:hAnsi="Times New Roman"/>
          <w:sz w:val="24"/>
          <w:szCs w:val="24"/>
        </w:rPr>
        <w:t>for the activities reflected above</w:t>
      </w:r>
      <w:r w:rsidRPr="00AE447B" w:rsidR="00E3371C">
        <w:rPr>
          <w:rFonts w:ascii="Times New Roman" w:hAnsi="Times New Roman"/>
          <w:sz w:val="24"/>
          <w:szCs w:val="24"/>
        </w:rPr>
        <w:t xml:space="preserve"> </w:t>
      </w:r>
      <w:r w:rsidR="00FB01EC">
        <w:rPr>
          <w:rFonts w:ascii="Times New Roman" w:hAnsi="Times New Roman"/>
          <w:sz w:val="24"/>
          <w:szCs w:val="24"/>
        </w:rPr>
        <w:t xml:space="preserve">(8,960) </w:t>
      </w:r>
      <w:r w:rsidRPr="00AE447B" w:rsidR="00E3371C">
        <w:rPr>
          <w:rFonts w:ascii="Times New Roman" w:hAnsi="Times New Roman"/>
          <w:sz w:val="24"/>
          <w:szCs w:val="24"/>
        </w:rPr>
        <w:t xml:space="preserve">to calculate an </w:t>
      </w:r>
      <w:r w:rsidRPr="00AE447B" w:rsidR="00693941">
        <w:rPr>
          <w:rFonts w:ascii="Times New Roman" w:hAnsi="Times New Roman"/>
          <w:sz w:val="24"/>
          <w:szCs w:val="24"/>
        </w:rPr>
        <w:t xml:space="preserve">estimated </w:t>
      </w:r>
      <w:r w:rsidR="009C271F">
        <w:rPr>
          <w:rFonts w:ascii="Times New Roman" w:hAnsi="Times New Roman"/>
          <w:sz w:val="24"/>
          <w:szCs w:val="24"/>
        </w:rPr>
        <w:t xml:space="preserve">$ </w:t>
      </w:r>
      <w:r w:rsidR="004E20A0">
        <w:rPr>
          <w:rFonts w:ascii="Times New Roman" w:hAnsi="Times New Roman"/>
          <w:sz w:val="24"/>
          <w:szCs w:val="24"/>
        </w:rPr>
        <w:t>1,569,075</w:t>
      </w:r>
      <w:r w:rsidRPr="00AE447B" w:rsidR="0016196F">
        <w:rPr>
          <w:rFonts w:ascii="Times New Roman" w:hAnsi="Times New Roman"/>
          <w:sz w:val="24"/>
          <w:szCs w:val="24"/>
        </w:rPr>
        <w:t xml:space="preserve"> </w:t>
      </w:r>
      <w:r w:rsidRPr="00AE447B" w:rsidR="007D6F0B">
        <w:rPr>
          <w:rFonts w:ascii="Times New Roman" w:hAnsi="Times New Roman"/>
          <w:sz w:val="24"/>
          <w:szCs w:val="24"/>
        </w:rPr>
        <w:t>in annual costs to respondents</w:t>
      </w:r>
      <w:r w:rsidRPr="00AE447B" w:rsidR="0016196F">
        <w:rPr>
          <w:rFonts w:ascii="Times New Roman" w:hAnsi="Times New Roman"/>
          <w:sz w:val="24"/>
          <w:szCs w:val="24"/>
        </w:rPr>
        <w:t>.</w:t>
      </w:r>
    </w:p>
    <w:p w:rsidR="008420C7" w:rsidRPr="00F071E6" w:rsidP="00942723" w14:paraId="462E74C7" w14:textId="77777777">
      <w:pPr>
        <w:spacing w:after="0" w:line="240" w:lineRule="auto"/>
        <w:ind w:left="-180"/>
        <w:rPr>
          <w:rFonts w:ascii="Times New Roman" w:hAnsi="Times New Roman"/>
          <w:sz w:val="24"/>
          <w:szCs w:val="24"/>
        </w:rPr>
      </w:pPr>
    </w:p>
    <w:p w:rsidR="009342D9" w:rsidRPr="00F071E6" w:rsidP="00942723" w14:paraId="7F42C351" w14:textId="77777777">
      <w:pPr>
        <w:spacing w:after="0" w:line="240" w:lineRule="auto"/>
        <w:ind w:left="-180"/>
        <w:rPr>
          <w:rFonts w:ascii="Times New Roman" w:hAnsi="Times New Roman"/>
          <w:sz w:val="24"/>
          <w:szCs w:val="24"/>
        </w:rPr>
      </w:pPr>
      <w:r w:rsidRPr="00F071E6">
        <w:rPr>
          <w:rFonts w:ascii="Times New Roman" w:hAnsi="Times New Roman"/>
          <w:sz w:val="24"/>
          <w:szCs w:val="24"/>
        </w:rPr>
        <w:t>13</w:t>
      </w:r>
      <w:r w:rsidRPr="00F071E6" w:rsidR="00392B31">
        <w:rPr>
          <w:rFonts w:ascii="Times New Roman" w:hAnsi="Times New Roman"/>
          <w:sz w:val="24"/>
          <w:szCs w:val="24"/>
        </w:rPr>
        <w:t>.</w:t>
      </w:r>
      <w:r w:rsidRPr="00F071E6" w:rsidR="00D35161">
        <w:rPr>
          <w:rFonts w:ascii="Times New Roman" w:hAnsi="Times New Roman"/>
          <w:sz w:val="24"/>
          <w:szCs w:val="24"/>
        </w:rPr>
        <w:t xml:space="preserve">  </w:t>
      </w:r>
      <w:r w:rsidRPr="00F071E6">
        <w:rPr>
          <w:rFonts w:ascii="Times New Roman" w:hAnsi="Times New Roman"/>
          <w:sz w:val="24"/>
          <w:szCs w:val="24"/>
          <w:u w:val="single"/>
        </w:rPr>
        <w:t>Estimates of Other Total Annual Cost Burden to Respondents and/or Recordkeepers/Capital Costs</w:t>
      </w:r>
    </w:p>
    <w:p w:rsidR="008420C7" w:rsidRPr="00F071E6" w:rsidP="00942723" w14:paraId="3F4BF023" w14:textId="77777777">
      <w:pPr>
        <w:spacing w:after="0" w:line="240" w:lineRule="auto"/>
        <w:ind w:left="-180"/>
        <w:rPr>
          <w:rFonts w:ascii="Times New Roman" w:hAnsi="Times New Roman"/>
          <w:sz w:val="24"/>
          <w:szCs w:val="24"/>
        </w:rPr>
      </w:pPr>
    </w:p>
    <w:p w:rsidR="009342D9" w:rsidRPr="00F071E6" w:rsidP="00942723" w14:paraId="5F485657" w14:textId="77777777">
      <w:pPr>
        <w:spacing w:after="0" w:line="240" w:lineRule="auto"/>
        <w:ind w:left="-180"/>
        <w:rPr>
          <w:rFonts w:ascii="Times New Roman" w:hAnsi="Times New Roman"/>
          <w:sz w:val="24"/>
          <w:szCs w:val="24"/>
        </w:rPr>
      </w:pPr>
      <w:r w:rsidRPr="00F071E6">
        <w:rPr>
          <w:rFonts w:ascii="Times New Roman" w:hAnsi="Times New Roman"/>
          <w:sz w:val="24"/>
          <w:szCs w:val="24"/>
        </w:rPr>
        <w:t xml:space="preserve">There </w:t>
      </w:r>
      <w:r w:rsidRPr="00F071E6">
        <w:rPr>
          <w:rFonts w:ascii="Times New Roman" w:hAnsi="Times New Roman"/>
          <w:sz w:val="24"/>
          <w:szCs w:val="24"/>
        </w:rPr>
        <w:t>are</w:t>
      </w:r>
      <w:r w:rsidRPr="00F071E6">
        <w:rPr>
          <w:rFonts w:ascii="Times New Roman" w:hAnsi="Times New Roman"/>
          <w:sz w:val="24"/>
          <w:szCs w:val="24"/>
        </w:rPr>
        <w:t xml:space="preserve"> no capital, start-up, operating, or maintenance costs associated with this information collection.</w:t>
      </w:r>
    </w:p>
    <w:p w:rsidR="009342D9" w:rsidRPr="00F071E6" w:rsidP="00942723" w14:paraId="75252975" w14:textId="77777777">
      <w:pPr>
        <w:spacing w:after="0" w:line="240" w:lineRule="auto"/>
        <w:ind w:left="-180"/>
        <w:rPr>
          <w:rFonts w:ascii="Times New Roman" w:hAnsi="Times New Roman"/>
          <w:sz w:val="24"/>
          <w:szCs w:val="24"/>
        </w:rPr>
      </w:pPr>
    </w:p>
    <w:p w:rsidR="00B031D5" w:rsidRPr="00F071E6" w:rsidP="00942723" w14:paraId="2DB47640" w14:textId="77777777">
      <w:pPr>
        <w:spacing w:after="0" w:line="240" w:lineRule="auto"/>
        <w:ind w:left="-180"/>
        <w:rPr>
          <w:rFonts w:ascii="Times New Roman" w:hAnsi="Times New Roman"/>
          <w:sz w:val="24"/>
          <w:szCs w:val="24"/>
        </w:rPr>
      </w:pPr>
      <w:r w:rsidRPr="00F071E6">
        <w:rPr>
          <w:rFonts w:ascii="Times New Roman" w:hAnsi="Times New Roman"/>
          <w:sz w:val="24"/>
          <w:szCs w:val="24"/>
        </w:rPr>
        <w:t>14</w:t>
      </w:r>
      <w:r w:rsidRPr="00F071E6" w:rsidR="00392B31">
        <w:rPr>
          <w:rFonts w:ascii="Times New Roman" w:hAnsi="Times New Roman"/>
          <w:sz w:val="24"/>
          <w:szCs w:val="24"/>
        </w:rPr>
        <w:t>.</w:t>
      </w:r>
      <w:r w:rsidRPr="00F071E6" w:rsidR="00D35161">
        <w:rPr>
          <w:rFonts w:ascii="Times New Roman" w:hAnsi="Times New Roman"/>
          <w:sz w:val="24"/>
          <w:szCs w:val="24"/>
        </w:rPr>
        <w:t xml:space="preserve">  </w:t>
      </w:r>
      <w:r w:rsidRPr="00F071E6">
        <w:rPr>
          <w:rFonts w:ascii="Times New Roman" w:hAnsi="Times New Roman"/>
          <w:sz w:val="24"/>
          <w:szCs w:val="24"/>
          <w:u w:val="single"/>
        </w:rPr>
        <w:t>Annualized Cost to the Federal Government</w:t>
      </w:r>
    </w:p>
    <w:p w:rsidR="008420C7" w:rsidRPr="00F071E6" w:rsidP="00942723" w14:paraId="7F293BC1" w14:textId="77777777">
      <w:pPr>
        <w:spacing w:after="0" w:line="240" w:lineRule="auto"/>
        <w:ind w:left="-180"/>
        <w:rPr>
          <w:rFonts w:ascii="Times New Roman" w:hAnsi="Times New Roman"/>
          <w:sz w:val="24"/>
          <w:szCs w:val="24"/>
        </w:rPr>
      </w:pPr>
    </w:p>
    <w:p w:rsidR="006421F3" w:rsidRPr="006421F3" w:rsidP="00942723" w14:paraId="6BE65864" w14:textId="5CF89BDD">
      <w:pPr>
        <w:widowControl w:val="0"/>
        <w:autoSpaceDE w:val="0"/>
        <w:autoSpaceDN w:val="0"/>
        <w:spacing w:after="0" w:line="240" w:lineRule="auto"/>
        <w:ind w:left="-180"/>
        <w:rPr>
          <w:rFonts w:ascii="Times New Roman" w:eastAsia="Times New Roman" w:hAnsi="Times New Roman"/>
          <w:sz w:val="24"/>
          <w:szCs w:val="24"/>
        </w:rPr>
      </w:pPr>
      <w:r>
        <w:rPr>
          <w:rFonts w:ascii="Times New Roman" w:eastAsia="Times New Roman" w:hAnsi="Times New Roman"/>
          <w:sz w:val="24"/>
          <w:szCs w:val="24"/>
        </w:rPr>
        <w:t xml:space="preserve">FDA estimates the </w:t>
      </w:r>
      <w:r w:rsidR="00D808FE">
        <w:rPr>
          <w:rFonts w:ascii="Times New Roman" w:eastAsia="Times New Roman" w:hAnsi="Times New Roman"/>
          <w:sz w:val="24"/>
          <w:szCs w:val="24"/>
        </w:rPr>
        <w:t>f</w:t>
      </w:r>
      <w:r w:rsidRPr="0076586B">
        <w:rPr>
          <w:rFonts w:ascii="Times New Roman" w:eastAsia="Times New Roman" w:hAnsi="Times New Roman"/>
          <w:sz w:val="24"/>
          <w:szCs w:val="24"/>
        </w:rPr>
        <w:t xml:space="preserve">ully </w:t>
      </w:r>
      <w:r w:rsidR="00D808FE">
        <w:rPr>
          <w:rFonts w:ascii="Times New Roman" w:eastAsia="Times New Roman" w:hAnsi="Times New Roman"/>
          <w:sz w:val="24"/>
          <w:szCs w:val="24"/>
        </w:rPr>
        <w:t>l</w:t>
      </w:r>
      <w:r w:rsidRPr="0076586B">
        <w:rPr>
          <w:rFonts w:ascii="Times New Roman" w:eastAsia="Times New Roman" w:hAnsi="Times New Roman"/>
          <w:sz w:val="24"/>
          <w:szCs w:val="24"/>
        </w:rPr>
        <w:t>oaded</w:t>
      </w:r>
      <w:r w:rsidR="00D808FE">
        <w:rPr>
          <w:rFonts w:ascii="Times New Roman" w:eastAsia="Times New Roman" w:hAnsi="Times New Roman"/>
          <w:sz w:val="24"/>
          <w:szCs w:val="24"/>
        </w:rPr>
        <w:t>,</w:t>
      </w:r>
      <w:r w:rsidRPr="0076586B">
        <w:rPr>
          <w:rFonts w:ascii="Times New Roman" w:eastAsia="Times New Roman" w:hAnsi="Times New Roman"/>
          <w:sz w:val="24"/>
          <w:szCs w:val="24"/>
        </w:rPr>
        <w:t xml:space="preserve"> inclusive of overhead</w:t>
      </w:r>
      <w:r w:rsidR="00D808FE">
        <w:rPr>
          <w:rFonts w:ascii="Times New Roman" w:eastAsia="Times New Roman" w:hAnsi="Times New Roman"/>
          <w:sz w:val="24"/>
          <w:szCs w:val="24"/>
        </w:rPr>
        <w:t xml:space="preserve">, </w:t>
      </w:r>
      <w:r w:rsidR="006D3516">
        <w:rPr>
          <w:rFonts w:ascii="Times New Roman" w:eastAsia="Times New Roman" w:hAnsi="Times New Roman"/>
          <w:sz w:val="24"/>
          <w:szCs w:val="24"/>
        </w:rPr>
        <w:t xml:space="preserve">cost </w:t>
      </w:r>
      <w:r w:rsidR="00D808FE">
        <w:rPr>
          <w:rFonts w:ascii="Times New Roman" w:eastAsia="Times New Roman" w:hAnsi="Times New Roman"/>
          <w:sz w:val="24"/>
          <w:szCs w:val="24"/>
        </w:rPr>
        <w:t>of</w:t>
      </w:r>
      <w:r w:rsidR="00BC092C">
        <w:rPr>
          <w:rFonts w:ascii="Times New Roman" w:eastAsia="Times New Roman" w:hAnsi="Times New Roman"/>
          <w:sz w:val="24"/>
          <w:szCs w:val="24"/>
        </w:rPr>
        <w:t xml:space="preserve"> a </w:t>
      </w:r>
      <w:r w:rsidRPr="00274805" w:rsidR="00BC092C">
        <w:rPr>
          <w:rFonts w:ascii="Times New Roman" w:eastAsia="Times New Roman" w:hAnsi="Times New Roman"/>
          <w:sz w:val="24"/>
          <w:szCs w:val="24"/>
        </w:rPr>
        <w:t>full-time employee</w:t>
      </w:r>
      <w:r w:rsidR="00BC092C">
        <w:rPr>
          <w:rFonts w:ascii="Times New Roman" w:eastAsia="Times New Roman" w:hAnsi="Times New Roman"/>
          <w:sz w:val="24"/>
          <w:szCs w:val="24"/>
        </w:rPr>
        <w:t xml:space="preserve"> (</w:t>
      </w:r>
      <w:r w:rsidR="00D808FE">
        <w:rPr>
          <w:rFonts w:ascii="Times New Roman" w:eastAsia="Times New Roman" w:hAnsi="Times New Roman"/>
          <w:sz w:val="24"/>
          <w:szCs w:val="24"/>
        </w:rPr>
        <w:t>FTE</w:t>
      </w:r>
      <w:r w:rsidR="00BC092C">
        <w:rPr>
          <w:rFonts w:ascii="Times New Roman" w:eastAsia="Times New Roman" w:hAnsi="Times New Roman"/>
          <w:sz w:val="24"/>
          <w:szCs w:val="24"/>
        </w:rPr>
        <w:t>)</w:t>
      </w:r>
      <w:r w:rsidR="00D808FE">
        <w:rPr>
          <w:rFonts w:ascii="Times New Roman" w:eastAsia="Times New Roman" w:hAnsi="Times New Roman"/>
          <w:sz w:val="24"/>
          <w:szCs w:val="24"/>
        </w:rPr>
        <w:t xml:space="preserve"> at</w:t>
      </w:r>
      <w:r w:rsidR="006D3516">
        <w:rPr>
          <w:rFonts w:ascii="Times New Roman" w:eastAsia="Times New Roman" w:hAnsi="Times New Roman"/>
          <w:sz w:val="24"/>
          <w:szCs w:val="24"/>
        </w:rPr>
        <w:t xml:space="preserve"> the </w:t>
      </w:r>
      <w:r w:rsidR="006D3516">
        <w:rPr>
          <w:rFonts w:ascii="Times New Roman" w:eastAsia="Times New Roman" w:hAnsi="Times New Roman"/>
          <w:sz w:val="24"/>
          <w:szCs w:val="24"/>
        </w:rPr>
        <w:t>Center for Drug Evaluation and Research</w:t>
      </w:r>
      <w:r w:rsidRPr="0076586B">
        <w:rPr>
          <w:rFonts w:ascii="Times New Roman" w:eastAsia="Times New Roman" w:hAnsi="Times New Roman"/>
          <w:sz w:val="24"/>
          <w:szCs w:val="24"/>
        </w:rPr>
        <w:t xml:space="preserve"> </w:t>
      </w:r>
      <w:r w:rsidR="00BC092C">
        <w:rPr>
          <w:rFonts w:ascii="Times New Roman" w:eastAsia="Times New Roman" w:hAnsi="Times New Roman"/>
          <w:sz w:val="24"/>
          <w:szCs w:val="24"/>
        </w:rPr>
        <w:t>to be</w:t>
      </w:r>
      <w:r w:rsidRPr="0076586B">
        <w:rPr>
          <w:rFonts w:ascii="Times New Roman" w:eastAsia="Times New Roman" w:hAnsi="Times New Roman"/>
          <w:sz w:val="24"/>
          <w:szCs w:val="24"/>
        </w:rPr>
        <w:t xml:space="preserve"> $336,269</w:t>
      </w:r>
      <w:r w:rsidR="00B3124B">
        <w:rPr>
          <w:rFonts w:ascii="Times New Roman" w:eastAsia="Times New Roman" w:hAnsi="Times New Roman"/>
          <w:sz w:val="24"/>
          <w:szCs w:val="24"/>
        </w:rPr>
        <w:t xml:space="preserve"> annually</w:t>
      </w:r>
      <w:r w:rsidR="006D3516">
        <w:rPr>
          <w:rFonts w:ascii="Times New Roman" w:eastAsia="Times New Roman" w:hAnsi="Times New Roman"/>
          <w:sz w:val="24"/>
          <w:szCs w:val="24"/>
        </w:rPr>
        <w:t xml:space="preserve">.  </w:t>
      </w:r>
      <w:r w:rsidRPr="00274805">
        <w:rPr>
          <w:rFonts w:ascii="Times New Roman" w:eastAsia="Times New Roman" w:hAnsi="Times New Roman"/>
          <w:sz w:val="24"/>
          <w:szCs w:val="24"/>
        </w:rPr>
        <w:t xml:space="preserve">FDA allocates approximately 0.5 </w:t>
      </w:r>
      <w:r w:rsidR="00F83A88">
        <w:rPr>
          <w:rFonts w:ascii="Times New Roman" w:eastAsia="Times New Roman" w:hAnsi="Times New Roman"/>
          <w:sz w:val="24"/>
          <w:szCs w:val="24"/>
        </w:rPr>
        <w:t>FTE ($168,13</w:t>
      </w:r>
      <w:r w:rsidR="00A4536D">
        <w:rPr>
          <w:rFonts w:ascii="Times New Roman" w:eastAsia="Times New Roman" w:hAnsi="Times New Roman"/>
          <w:sz w:val="24"/>
          <w:szCs w:val="24"/>
        </w:rPr>
        <w:t>5)</w:t>
      </w:r>
      <w:r w:rsidRPr="00274805">
        <w:rPr>
          <w:rFonts w:ascii="Times New Roman" w:eastAsia="Times New Roman" w:hAnsi="Times New Roman"/>
          <w:sz w:val="24"/>
          <w:szCs w:val="24"/>
        </w:rPr>
        <w:t xml:space="preserve"> to receive, review, acknowledge, and confirm outsourcing facility product reporting submissions; and to respond to inquiries regarding outsourcing facility product reporting, including interpretation of section 503B product reporting provisions.  We estimate 3 FTEs ($</w:t>
      </w:r>
      <w:r w:rsidR="00C8130C">
        <w:rPr>
          <w:rFonts w:ascii="Times New Roman" w:eastAsia="Times New Roman" w:hAnsi="Times New Roman"/>
          <w:sz w:val="24"/>
          <w:szCs w:val="24"/>
        </w:rPr>
        <w:t>1,008,807</w:t>
      </w:r>
      <w:r w:rsidRPr="00274805">
        <w:rPr>
          <w:rFonts w:ascii="Times New Roman" w:eastAsia="Times New Roman" w:hAnsi="Times New Roman"/>
          <w:sz w:val="24"/>
          <w:szCs w:val="24"/>
        </w:rPr>
        <w:t>) will be allocated to review and evaluate reports of complaints and compounded human drug products distributed interstate. Together, with the cost of approximately 1 FTE ($</w:t>
      </w:r>
      <w:r w:rsidR="00A21959">
        <w:rPr>
          <w:rFonts w:ascii="Times New Roman" w:eastAsia="Times New Roman" w:hAnsi="Times New Roman"/>
          <w:sz w:val="24"/>
          <w:szCs w:val="24"/>
        </w:rPr>
        <w:t>336,269</w:t>
      </w:r>
      <w:r w:rsidRPr="00274805">
        <w:rPr>
          <w:rFonts w:ascii="Times New Roman" w:eastAsia="Times New Roman" w:hAnsi="Times New Roman"/>
          <w:sz w:val="24"/>
          <w:szCs w:val="24"/>
        </w:rPr>
        <w:t>) to monitor adverse event reports submitted by outsourcing facilities, we estimate a total cost to the Federal government of $</w:t>
      </w:r>
      <w:r w:rsidR="00456C46">
        <w:rPr>
          <w:rFonts w:ascii="Times New Roman" w:eastAsia="Times New Roman" w:hAnsi="Times New Roman"/>
          <w:sz w:val="24"/>
          <w:szCs w:val="24"/>
        </w:rPr>
        <w:t>1,513,211</w:t>
      </w:r>
      <w:r w:rsidRPr="00274805">
        <w:rPr>
          <w:rFonts w:ascii="Times New Roman" w:eastAsia="Times New Roman" w:hAnsi="Times New Roman"/>
          <w:sz w:val="24"/>
          <w:szCs w:val="24"/>
        </w:rPr>
        <w:t xml:space="preserve"> annually.</w:t>
      </w:r>
    </w:p>
    <w:p w:rsidR="006D1497" w:rsidRPr="00F071E6" w:rsidP="00942723" w14:paraId="7ED9E923" w14:textId="77777777">
      <w:pPr>
        <w:spacing w:after="0" w:line="240" w:lineRule="auto"/>
        <w:ind w:left="-180"/>
        <w:rPr>
          <w:rFonts w:ascii="Times New Roman" w:hAnsi="Times New Roman"/>
          <w:sz w:val="24"/>
          <w:szCs w:val="24"/>
        </w:rPr>
      </w:pPr>
    </w:p>
    <w:p w:rsidR="009342D9" w:rsidRPr="00F071E6" w:rsidP="00942723" w14:paraId="08D1EAD0" w14:textId="77777777">
      <w:pPr>
        <w:spacing w:after="0" w:line="240" w:lineRule="auto"/>
        <w:ind w:left="-180"/>
        <w:rPr>
          <w:rFonts w:ascii="Times New Roman" w:hAnsi="Times New Roman"/>
          <w:sz w:val="24"/>
          <w:szCs w:val="24"/>
        </w:rPr>
      </w:pPr>
      <w:r w:rsidRPr="00F071E6">
        <w:rPr>
          <w:rFonts w:ascii="Times New Roman" w:hAnsi="Times New Roman"/>
          <w:sz w:val="24"/>
          <w:szCs w:val="24"/>
        </w:rPr>
        <w:t>15</w:t>
      </w:r>
      <w:r w:rsidRPr="00F071E6" w:rsidR="00392B31">
        <w:rPr>
          <w:rFonts w:ascii="Times New Roman" w:hAnsi="Times New Roman"/>
          <w:sz w:val="24"/>
          <w:szCs w:val="24"/>
        </w:rPr>
        <w:t>.</w:t>
      </w:r>
      <w:r w:rsidRPr="00F071E6" w:rsidR="00D35161">
        <w:rPr>
          <w:rFonts w:ascii="Times New Roman" w:hAnsi="Times New Roman"/>
          <w:sz w:val="24"/>
          <w:szCs w:val="24"/>
        </w:rPr>
        <w:t xml:space="preserve">  </w:t>
      </w:r>
      <w:r w:rsidRPr="00F071E6">
        <w:rPr>
          <w:rFonts w:ascii="Times New Roman" w:hAnsi="Times New Roman"/>
          <w:sz w:val="24"/>
          <w:szCs w:val="24"/>
          <w:u w:val="single"/>
        </w:rPr>
        <w:t>Explanation for Program Changes or Adjustments</w:t>
      </w:r>
    </w:p>
    <w:p w:rsidR="006367C6" w:rsidRPr="00F071E6" w:rsidP="00942723" w14:paraId="7829F437" w14:textId="77777777">
      <w:pPr>
        <w:spacing w:after="0" w:line="240" w:lineRule="auto"/>
        <w:ind w:left="-180"/>
        <w:rPr>
          <w:rFonts w:ascii="Times New Roman" w:hAnsi="Times New Roman"/>
          <w:sz w:val="24"/>
          <w:szCs w:val="24"/>
        </w:rPr>
      </w:pPr>
    </w:p>
    <w:p w:rsidR="009364A3" w:rsidP="003B15EC" w14:paraId="7FF7D69F" w14:textId="3BC817D0">
      <w:pPr>
        <w:spacing w:after="0" w:line="240" w:lineRule="auto"/>
        <w:ind w:left="-187"/>
        <w:rPr>
          <w:rFonts w:ascii="Times New Roman" w:eastAsia="Times New Roman" w:hAnsi="Times New Roman"/>
          <w:sz w:val="24"/>
          <w:szCs w:val="24"/>
        </w:rPr>
      </w:pPr>
      <w:r w:rsidRPr="00F41D5B">
        <w:rPr>
          <w:rFonts w:ascii="Times New Roman" w:hAnsi="Times New Roman"/>
          <w:sz w:val="24"/>
          <w:szCs w:val="24"/>
        </w:rPr>
        <w:t xml:space="preserve">While we have retained our currently approved burden estimates, </w:t>
      </w:r>
      <w:r w:rsidRPr="00380B36" w:rsidR="00380B36">
        <w:rPr>
          <w:rFonts w:ascii="Times New Roman" w:hAnsi="Times New Roman"/>
          <w:sz w:val="24"/>
          <w:szCs w:val="24"/>
        </w:rPr>
        <w:t>we have corrected several inadvertent errors</w:t>
      </w:r>
      <w:r w:rsidRPr="002B4C94" w:rsidR="002B4C94">
        <w:rPr>
          <w:rFonts w:ascii="Times New Roman" w:hAnsi="Times New Roman"/>
          <w:sz w:val="24"/>
          <w:szCs w:val="24"/>
        </w:rPr>
        <w:t>.</w:t>
      </w:r>
      <w:r>
        <w:rPr>
          <w:rFonts w:ascii="Times New Roman" w:hAnsi="Times New Roman"/>
          <w:sz w:val="24"/>
          <w:szCs w:val="24"/>
        </w:rPr>
        <w:t xml:space="preserve">  </w:t>
      </w:r>
      <w:r>
        <w:rPr>
          <w:rFonts w:ascii="Times New Roman" w:eastAsia="Times New Roman" w:hAnsi="Times New Roman"/>
          <w:sz w:val="24"/>
          <w:szCs w:val="24"/>
        </w:rPr>
        <w:t>We added more precision to the number of responses per respondent figures in rows 3 and 6; corrected the average burden per response in row 6 (from 0.2 to 0.025 hour (1.5 mins.)); and corrected the total hours calculation in rows 3, 6, and 7.</w:t>
      </w:r>
      <w:r w:rsidR="00F6007E">
        <w:rPr>
          <w:rFonts w:ascii="Times New Roman" w:eastAsia="Times New Roman" w:hAnsi="Times New Roman"/>
          <w:sz w:val="24"/>
          <w:szCs w:val="24"/>
        </w:rPr>
        <w:t xml:space="preserve">  </w:t>
      </w:r>
      <w:r w:rsidR="00CD2861">
        <w:rPr>
          <w:rFonts w:ascii="Times New Roman" w:eastAsia="Times New Roman" w:hAnsi="Times New Roman"/>
          <w:sz w:val="24"/>
          <w:szCs w:val="24"/>
        </w:rPr>
        <w:t xml:space="preserve">Due to these corrections, </w:t>
      </w:r>
      <w:r w:rsidRPr="0021095B" w:rsidR="00CD2861">
        <w:rPr>
          <w:rFonts w:ascii="Times New Roman" w:eastAsia="Times New Roman" w:hAnsi="Times New Roman"/>
          <w:sz w:val="24"/>
          <w:szCs w:val="24"/>
        </w:rPr>
        <w:t xml:space="preserve">we have adjusted our </w:t>
      </w:r>
      <w:r w:rsidR="00D80E36">
        <w:rPr>
          <w:rFonts w:ascii="Times New Roman" w:eastAsia="Times New Roman" w:hAnsi="Times New Roman"/>
          <w:sz w:val="24"/>
          <w:szCs w:val="24"/>
        </w:rPr>
        <w:t xml:space="preserve">total burden </w:t>
      </w:r>
      <w:r w:rsidRPr="0021095B" w:rsidR="00CD2861">
        <w:rPr>
          <w:rFonts w:ascii="Times New Roman" w:eastAsia="Times New Roman" w:hAnsi="Times New Roman"/>
          <w:sz w:val="24"/>
          <w:szCs w:val="24"/>
        </w:rPr>
        <w:t xml:space="preserve">estimate </w:t>
      </w:r>
      <w:r w:rsidR="00CD2861">
        <w:rPr>
          <w:rFonts w:ascii="Times New Roman" w:eastAsia="Times New Roman" w:hAnsi="Times New Roman"/>
          <w:sz w:val="24"/>
          <w:szCs w:val="24"/>
        </w:rPr>
        <w:t xml:space="preserve">upward </w:t>
      </w:r>
      <w:r w:rsidRPr="0021095B" w:rsidR="00CD2861">
        <w:rPr>
          <w:rFonts w:ascii="Times New Roman" w:eastAsia="Times New Roman" w:hAnsi="Times New Roman"/>
          <w:sz w:val="24"/>
          <w:szCs w:val="24"/>
        </w:rPr>
        <w:t xml:space="preserve">by 16 hours (from </w:t>
      </w:r>
      <w:r w:rsidR="00D80E36">
        <w:rPr>
          <w:rFonts w:ascii="Times New Roman" w:eastAsia="Times New Roman" w:hAnsi="Times New Roman"/>
          <w:sz w:val="24"/>
          <w:szCs w:val="24"/>
        </w:rPr>
        <w:t>8,944 to 8,960)</w:t>
      </w:r>
      <w:r w:rsidRPr="0021095B" w:rsidR="00CD2861">
        <w:rPr>
          <w:rFonts w:ascii="Times New Roman" w:eastAsia="Times New Roman" w:hAnsi="Times New Roman"/>
          <w:sz w:val="24"/>
          <w:szCs w:val="24"/>
        </w:rPr>
        <w:t xml:space="preserve"> annually</w:t>
      </w:r>
      <w:r w:rsidR="00480C1A">
        <w:rPr>
          <w:rFonts w:ascii="Times New Roman" w:eastAsia="Times New Roman" w:hAnsi="Times New Roman"/>
          <w:sz w:val="24"/>
          <w:szCs w:val="24"/>
        </w:rPr>
        <w:t>.</w:t>
      </w:r>
      <w:r w:rsidR="00CD2861">
        <w:rPr>
          <w:rFonts w:ascii="Times New Roman" w:eastAsia="Times New Roman" w:hAnsi="Times New Roman"/>
          <w:sz w:val="24"/>
          <w:szCs w:val="24"/>
        </w:rPr>
        <w:t xml:space="preserve"> </w:t>
      </w:r>
    </w:p>
    <w:p w:rsidR="00773BAA" w:rsidP="00942723" w14:paraId="7C8AED32" w14:textId="61F19DE0">
      <w:pPr>
        <w:spacing w:after="0" w:line="240" w:lineRule="auto"/>
        <w:ind w:left="-180"/>
        <w:rPr>
          <w:rFonts w:ascii="Times New Roman" w:hAnsi="Times New Roman"/>
          <w:sz w:val="24"/>
          <w:szCs w:val="24"/>
        </w:rPr>
      </w:pPr>
    </w:p>
    <w:p w:rsidR="009074FC" w:rsidRPr="009074FC" w:rsidP="002B6F7C" w14:paraId="3DAADE57" w14:textId="0A90C0E3">
      <w:pPr>
        <w:spacing w:after="0" w:line="240" w:lineRule="auto"/>
        <w:jc w:val="center"/>
        <w:rPr>
          <w:rFonts w:ascii="Times New Roman" w:eastAsia="Times New Roman" w:hAnsi="Times New Roman"/>
          <w:sz w:val="24"/>
          <w:szCs w:val="24"/>
        </w:rPr>
      </w:pPr>
      <w:r w:rsidRPr="00351F70">
        <w:rPr>
          <w:rFonts w:ascii="Times New Roman" w:eastAsia="Times New Roman" w:hAnsi="Times New Roman"/>
          <w:sz w:val="20"/>
          <w:szCs w:val="20"/>
        </w:rPr>
        <w:t xml:space="preserve">Table </w:t>
      </w:r>
      <w:r>
        <w:rPr>
          <w:rFonts w:ascii="Times New Roman" w:eastAsia="Times New Roman" w:hAnsi="Times New Roman"/>
          <w:sz w:val="20"/>
          <w:szCs w:val="20"/>
        </w:rPr>
        <w:t>2</w:t>
      </w:r>
      <w:r w:rsidRPr="00351F70">
        <w:rPr>
          <w:rFonts w:ascii="Times New Roman" w:eastAsia="Times New Roman" w:hAnsi="Times New Roman"/>
          <w:sz w:val="20"/>
          <w:szCs w:val="20"/>
        </w:rPr>
        <w:t>.--</w:t>
      </w:r>
      <w:r>
        <w:rPr>
          <w:rFonts w:ascii="Times New Roman" w:eastAsia="Times New Roman" w:hAnsi="Times New Roman"/>
          <w:sz w:val="20"/>
          <w:szCs w:val="24"/>
        </w:rPr>
        <w:t>Difference in Burden</w:t>
      </w:r>
    </w:p>
    <w:tbl>
      <w:tblPr>
        <w:tblpPr w:leftFromText="187" w:rightFromText="187" w:bottomFromText="158" w:vertAnchor="text" w:horzAnchor="margin" w:tblpY="1"/>
        <w:tblW w:w="9370" w:type="dxa"/>
        <w:tblCellMar>
          <w:left w:w="0" w:type="dxa"/>
          <w:right w:w="0" w:type="dxa"/>
        </w:tblCellMar>
        <w:tblLook w:val="04A0"/>
      </w:tblPr>
      <w:tblGrid>
        <w:gridCol w:w="2523"/>
        <w:gridCol w:w="1342"/>
        <w:gridCol w:w="1409"/>
        <w:gridCol w:w="1254"/>
        <w:gridCol w:w="2842"/>
      </w:tblGrid>
      <w:tr w14:paraId="7FE14273" w14:textId="77777777" w:rsidTr="00DA6492">
        <w:tblPrEx>
          <w:tblW w:w="9370" w:type="dxa"/>
          <w:tblCellMar>
            <w:left w:w="0" w:type="dxa"/>
            <w:right w:w="0" w:type="dxa"/>
          </w:tblCellMar>
          <w:tblLook w:val="04A0"/>
        </w:tblPrEx>
        <w:trPr>
          <w:cantSplit/>
          <w:trHeight w:val="4"/>
          <w:tblHeader/>
        </w:trPr>
        <w:tc>
          <w:tcPr>
            <w:tcW w:w="2523" w:type="dxa"/>
            <w:tcBorders>
              <w:top w:val="single" w:sz="8" w:space="0" w:color="auto"/>
              <w:left w:val="single" w:sz="8" w:space="0" w:color="auto"/>
              <w:bottom w:val="single" w:sz="8" w:space="0" w:color="auto"/>
              <w:right w:val="single" w:sz="8" w:space="0" w:color="auto"/>
            </w:tcBorders>
            <w:shd w:val="clear" w:color="auto" w:fill="F2F2F2"/>
            <w:tcMar>
              <w:top w:w="0" w:type="dxa"/>
              <w:left w:w="101" w:type="dxa"/>
              <w:bottom w:w="0" w:type="dxa"/>
              <w:right w:w="101" w:type="dxa"/>
            </w:tcMar>
            <w:hideMark/>
          </w:tcPr>
          <w:p w:rsidR="009074FC" w:rsidRPr="009074FC" w:rsidP="009074FC" w14:paraId="5F208D90" w14:textId="77777777">
            <w:pPr>
              <w:spacing w:after="0" w:line="259" w:lineRule="auto"/>
              <w:jc w:val="center"/>
              <w:rPr>
                <w:rFonts w:ascii="Times New Roman" w:eastAsia="Times New Roman" w:hAnsi="Times New Roman"/>
                <w:sz w:val="20"/>
                <w:szCs w:val="20"/>
              </w:rPr>
            </w:pPr>
            <w:r w:rsidRPr="009074FC">
              <w:rPr>
                <w:rFonts w:ascii="Times New Roman" w:eastAsia="Times New Roman" w:hAnsi="Times New Roman"/>
                <w:sz w:val="20"/>
                <w:szCs w:val="20"/>
              </w:rPr>
              <w:t>Activity/CFR Section</w:t>
            </w:r>
          </w:p>
        </w:tc>
        <w:tc>
          <w:tcPr>
            <w:tcW w:w="1342" w:type="dxa"/>
            <w:tcBorders>
              <w:top w:val="single" w:sz="8" w:space="0" w:color="auto"/>
              <w:left w:val="nil"/>
              <w:bottom w:val="single" w:sz="8" w:space="0" w:color="auto"/>
              <w:right w:val="single" w:sz="8" w:space="0" w:color="auto"/>
            </w:tcBorders>
            <w:shd w:val="clear" w:color="auto" w:fill="F2F2F2"/>
            <w:tcMar>
              <w:top w:w="0" w:type="dxa"/>
              <w:left w:w="101" w:type="dxa"/>
              <w:bottom w:w="0" w:type="dxa"/>
              <w:right w:w="101" w:type="dxa"/>
            </w:tcMar>
            <w:hideMark/>
          </w:tcPr>
          <w:p w:rsidR="009074FC" w:rsidRPr="009074FC" w:rsidP="009074FC" w14:paraId="7EE3C4F8" w14:textId="0E144CB9">
            <w:pPr>
              <w:spacing w:after="0" w:line="259" w:lineRule="auto"/>
              <w:jc w:val="center"/>
              <w:rPr>
                <w:rFonts w:ascii="Times New Roman" w:eastAsia="Times New Roman" w:hAnsi="Times New Roman"/>
                <w:sz w:val="20"/>
                <w:szCs w:val="20"/>
              </w:rPr>
            </w:pPr>
            <w:r w:rsidRPr="009074FC">
              <w:rPr>
                <w:rFonts w:ascii="Times New Roman" w:eastAsia="Times New Roman" w:hAnsi="Times New Roman"/>
                <w:sz w:val="20"/>
                <w:szCs w:val="20"/>
              </w:rPr>
              <w:t>Previous</w:t>
            </w:r>
            <w:r w:rsidR="00FF480D">
              <w:rPr>
                <w:rFonts w:ascii="Times New Roman" w:eastAsia="Times New Roman" w:hAnsi="Times New Roman"/>
                <w:sz w:val="20"/>
                <w:szCs w:val="20"/>
              </w:rPr>
              <w:t>ly</w:t>
            </w:r>
            <w:r w:rsidRPr="009074FC">
              <w:rPr>
                <w:rFonts w:ascii="Times New Roman" w:eastAsia="Times New Roman" w:hAnsi="Times New Roman"/>
                <w:sz w:val="20"/>
                <w:szCs w:val="20"/>
              </w:rPr>
              <w:t xml:space="preserve"> Approved Annual Burden Hours</w:t>
            </w:r>
          </w:p>
        </w:tc>
        <w:tc>
          <w:tcPr>
            <w:tcW w:w="1409" w:type="dxa"/>
            <w:tcBorders>
              <w:top w:val="single" w:sz="8" w:space="0" w:color="auto"/>
              <w:left w:val="nil"/>
              <w:bottom w:val="single" w:sz="8" w:space="0" w:color="auto"/>
              <w:right w:val="single" w:sz="8" w:space="0" w:color="auto"/>
            </w:tcBorders>
            <w:shd w:val="clear" w:color="auto" w:fill="F2F2F2"/>
            <w:tcMar>
              <w:top w:w="0" w:type="dxa"/>
              <w:left w:w="101" w:type="dxa"/>
              <w:bottom w:w="0" w:type="dxa"/>
              <w:right w:w="101" w:type="dxa"/>
            </w:tcMar>
            <w:hideMark/>
          </w:tcPr>
          <w:p w:rsidR="009074FC" w:rsidRPr="009074FC" w:rsidP="009074FC" w14:paraId="0308615F" w14:textId="77777777">
            <w:pPr>
              <w:spacing w:after="0" w:line="259" w:lineRule="auto"/>
              <w:jc w:val="center"/>
              <w:rPr>
                <w:rFonts w:ascii="Times New Roman" w:eastAsia="Times New Roman" w:hAnsi="Times New Roman"/>
                <w:sz w:val="20"/>
                <w:szCs w:val="20"/>
              </w:rPr>
            </w:pPr>
            <w:r w:rsidRPr="009074FC">
              <w:rPr>
                <w:rFonts w:ascii="Times New Roman" w:eastAsia="Times New Roman" w:hAnsi="Times New Roman"/>
                <w:sz w:val="20"/>
                <w:szCs w:val="20"/>
              </w:rPr>
              <w:t>Requested Annual Burden Hours</w:t>
            </w:r>
          </w:p>
        </w:tc>
        <w:tc>
          <w:tcPr>
            <w:tcW w:w="1254" w:type="dxa"/>
            <w:tcBorders>
              <w:top w:val="single" w:sz="8" w:space="0" w:color="auto"/>
              <w:left w:val="nil"/>
              <w:bottom w:val="single" w:sz="8" w:space="0" w:color="auto"/>
              <w:right w:val="single" w:sz="8" w:space="0" w:color="auto"/>
            </w:tcBorders>
            <w:shd w:val="clear" w:color="auto" w:fill="F2F2F2"/>
            <w:hideMark/>
          </w:tcPr>
          <w:p w:rsidR="009074FC" w:rsidRPr="009074FC" w:rsidP="009074FC" w14:paraId="738C35FA" w14:textId="77777777">
            <w:pPr>
              <w:spacing w:after="0" w:line="259" w:lineRule="auto"/>
              <w:jc w:val="center"/>
              <w:rPr>
                <w:rFonts w:ascii="Times New Roman" w:eastAsia="Times New Roman" w:hAnsi="Times New Roman"/>
                <w:sz w:val="20"/>
                <w:szCs w:val="20"/>
              </w:rPr>
            </w:pPr>
            <w:r w:rsidRPr="009074FC">
              <w:rPr>
                <w:rFonts w:ascii="Times New Roman" w:eastAsia="Times New Roman" w:hAnsi="Times New Roman"/>
                <w:sz w:val="20"/>
                <w:szCs w:val="20"/>
              </w:rPr>
              <w:t>Difference (Hours)</w:t>
            </w:r>
          </w:p>
          <w:p w:rsidR="009074FC" w:rsidRPr="009074FC" w:rsidP="009074FC" w14:paraId="64FFA810" w14:textId="77777777">
            <w:pPr>
              <w:spacing w:after="0" w:line="259" w:lineRule="auto"/>
              <w:jc w:val="center"/>
              <w:rPr>
                <w:rFonts w:ascii="Times New Roman" w:eastAsia="Times New Roman" w:hAnsi="Times New Roman"/>
                <w:sz w:val="20"/>
                <w:szCs w:val="20"/>
              </w:rPr>
            </w:pPr>
            <w:r w:rsidRPr="009074FC">
              <w:rPr>
                <w:rFonts w:ascii="Times New Roman" w:eastAsia="Times New Roman" w:hAnsi="Times New Roman"/>
                <w:sz w:val="20"/>
                <w:szCs w:val="20"/>
              </w:rPr>
              <w:t>(+/-)</w:t>
            </w:r>
          </w:p>
        </w:tc>
        <w:tc>
          <w:tcPr>
            <w:tcW w:w="2842" w:type="dxa"/>
            <w:tcBorders>
              <w:top w:val="single" w:sz="8" w:space="0" w:color="auto"/>
              <w:left w:val="nil"/>
              <w:bottom w:val="single" w:sz="8" w:space="0" w:color="auto"/>
              <w:right w:val="single" w:sz="8" w:space="0" w:color="auto"/>
            </w:tcBorders>
            <w:shd w:val="clear" w:color="auto" w:fill="F2F2F2"/>
          </w:tcPr>
          <w:p w:rsidR="009074FC" w:rsidRPr="009074FC" w:rsidP="009074FC" w14:paraId="3EDF627A" w14:textId="77777777">
            <w:pPr>
              <w:spacing w:after="0" w:line="259" w:lineRule="auto"/>
              <w:jc w:val="center"/>
              <w:rPr>
                <w:rFonts w:ascii="Times New Roman" w:eastAsia="Times New Roman" w:hAnsi="Times New Roman"/>
                <w:sz w:val="20"/>
                <w:szCs w:val="20"/>
              </w:rPr>
            </w:pPr>
            <w:r w:rsidRPr="009074FC">
              <w:rPr>
                <w:rFonts w:ascii="Times New Roman" w:eastAsia="Times New Roman" w:hAnsi="Times New Roman"/>
                <w:sz w:val="20"/>
                <w:szCs w:val="20"/>
              </w:rPr>
              <w:t>Rationale for Change</w:t>
            </w:r>
          </w:p>
          <w:p w:rsidR="009074FC" w:rsidRPr="009074FC" w:rsidP="009074FC" w14:paraId="1AD1B50B" w14:textId="77777777">
            <w:pPr>
              <w:spacing w:after="0" w:line="259" w:lineRule="auto"/>
              <w:jc w:val="center"/>
              <w:rPr>
                <w:rFonts w:ascii="Times New Roman" w:eastAsia="Times New Roman" w:hAnsi="Times New Roman"/>
                <w:sz w:val="20"/>
                <w:szCs w:val="20"/>
              </w:rPr>
            </w:pPr>
            <w:r w:rsidRPr="009074FC">
              <w:rPr>
                <w:rFonts w:ascii="Times New Roman" w:eastAsia="Times New Roman" w:hAnsi="Times New Roman"/>
                <w:sz w:val="20"/>
                <w:szCs w:val="20"/>
              </w:rPr>
              <w:t>(Estimate Revision/Programmatic)</w:t>
            </w:r>
          </w:p>
          <w:p w:rsidR="009074FC" w:rsidRPr="009074FC" w:rsidP="009074FC" w14:paraId="7A1B2ED9" w14:textId="77777777">
            <w:pPr>
              <w:spacing w:after="0" w:line="259" w:lineRule="auto"/>
              <w:jc w:val="center"/>
              <w:rPr>
                <w:rFonts w:ascii="Times New Roman" w:eastAsia="Times New Roman" w:hAnsi="Times New Roman"/>
                <w:sz w:val="20"/>
                <w:szCs w:val="20"/>
              </w:rPr>
            </w:pPr>
          </w:p>
        </w:tc>
      </w:tr>
      <w:tr w14:paraId="34362FCE" w14:textId="77777777" w:rsidTr="00DA6492">
        <w:tblPrEx>
          <w:tblW w:w="9370" w:type="dxa"/>
          <w:tblCellMar>
            <w:left w:w="0" w:type="dxa"/>
            <w:right w:w="0" w:type="dxa"/>
          </w:tblCellMar>
          <w:tblLook w:val="04A0"/>
        </w:tblPrEx>
        <w:trPr>
          <w:cantSplit/>
          <w:trHeight w:val="103"/>
        </w:trPr>
        <w:tc>
          <w:tcPr>
            <w:tcW w:w="2523" w:type="dxa"/>
            <w:tcBorders>
              <w:top w:val="nil"/>
              <w:left w:val="single" w:sz="8" w:space="0" w:color="auto"/>
              <w:bottom w:val="single" w:sz="8" w:space="0" w:color="auto"/>
              <w:right w:val="single" w:sz="8" w:space="0" w:color="auto"/>
            </w:tcBorders>
            <w:tcMar>
              <w:top w:w="0" w:type="dxa"/>
              <w:left w:w="101" w:type="dxa"/>
              <w:bottom w:w="0" w:type="dxa"/>
              <w:right w:w="101" w:type="dxa"/>
            </w:tcMar>
          </w:tcPr>
          <w:p w:rsidR="00F5191A" w:rsidRPr="000B692F" w:rsidP="00F5191A" w14:paraId="7FBF2D49" w14:textId="4FAAB2FF">
            <w:pPr>
              <w:spacing w:after="0" w:line="259" w:lineRule="auto"/>
              <w:rPr>
                <w:rFonts w:ascii="Times New Roman" w:eastAsia="Times New Roman" w:hAnsi="Times New Roman"/>
                <w:sz w:val="20"/>
                <w:szCs w:val="20"/>
              </w:rPr>
            </w:pPr>
            <w:r w:rsidRPr="00DA6492">
              <w:rPr>
                <w:rFonts w:ascii="Times New Roman" w:hAnsi="Times New Roman"/>
                <w:sz w:val="20"/>
                <w:szCs w:val="20"/>
              </w:rPr>
              <w:t>503B AERs</w:t>
            </w:r>
          </w:p>
        </w:tc>
        <w:tc>
          <w:tcPr>
            <w:tcW w:w="1342" w:type="dxa"/>
            <w:tcBorders>
              <w:top w:val="nil"/>
              <w:left w:val="nil"/>
              <w:bottom w:val="single" w:sz="8" w:space="0" w:color="auto"/>
              <w:right w:val="single" w:sz="8" w:space="0" w:color="auto"/>
            </w:tcBorders>
            <w:tcMar>
              <w:top w:w="0" w:type="dxa"/>
              <w:left w:w="101" w:type="dxa"/>
              <w:bottom w:w="0" w:type="dxa"/>
              <w:right w:w="101" w:type="dxa"/>
            </w:tcMar>
          </w:tcPr>
          <w:p w:rsidR="00F5191A" w:rsidRPr="009074FC" w:rsidP="00F5191A" w14:paraId="64393EEE" w14:textId="43346D2B">
            <w:pPr>
              <w:spacing w:after="160" w:line="259" w:lineRule="auto"/>
              <w:jc w:val="center"/>
              <w:rPr>
                <w:rFonts w:ascii="Times New Roman" w:eastAsia="Times New Roman" w:hAnsi="Times New Roman"/>
                <w:sz w:val="20"/>
                <w:szCs w:val="20"/>
              </w:rPr>
            </w:pPr>
            <w:r>
              <w:rPr>
                <w:rFonts w:ascii="Times New Roman" w:eastAsia="Times New Roman" w:hAnsi="Times New Roman"/>
                <w:sz w:val="20"/>
                <w:szCs w:val="20"/>
              </w:rPr>
              <w:t>6</w:t>
            </w:r>
            <w:r w:rsidRPr="009074FC">
              <w:rPr>
                <w:rFonts w:ascii="Times New Roman" w:eastAsia="Times New Roman" w:hAnsi="Times New Roman"/>
                <w:sz w:val="20"/>
                <w:szCs w:val="20"/>
              </w:rPr>
              <w:t>1</w:t>
            </w:r>
          </w:p>
        </w:tc>
        <w:tc>
          <w:tcPr>
            <w:tcW w:w="1409" w:type="dxa"/>
            <w:tcBorders>
              <w:top w:val="nil"/>
              <w:left w:val="nil"/>
              <w:bottom w:val="single" w:sz="8" w:space="0" w:color="auto"/>
              <w:right w:val="single" w:sz="8" w:space="0" w:color="auto"/>
            </w:tcBorders>
            <w:tcMar>
              <w:top w:w="0" w:type="dxa"/>
              <w:left w:w="101" w:type="dxa"/>
              <w:bottom w:w="0" w:type="dxa"/>
              <w:right w:w="101" w:type="dxa"/>
            </w:tcMar>
          </w:tcPr>
          <w:p w:rsidR="00F5191A" w:rsidRPr="009074FC" w:rsidP="00F5191A" w14:paraId="03302295" w14:textId="4D4CF146">
            <w:pPr>
              <w:spacing w:after="160" w:line="259" w:lineRule="auto"/>
              <w:jc w:val="center"/>
              <w:rPr>
                <w:rFonts w:ascii="Times New Roman" w:eastAsia="Times New Roman" w:hAnsi="Times New Roman"/>
                <w:sz w:val="20"/>
                <w:szCs w:val="20"/>
              </w:rPr>
            </w:pPr>
            <w:r>
              <w:rPr>
                <w:rFonts w:ascii="Times New Roman" w:eastAsia="Times New Roman" w:hAnsi="Times New Roman"/>
                <w:sz w:val="20"/>
                <w:szCs w:val="20"/>
              </w:rPr>
              <w:t>6</w:t>
            </w:r>
            <w:r w:rsidRPr="009074FC">
              <w:rPr>
                <w:rFonts w:ascii="Times New Roman" w:eastAsia="Times New Roman" w:hAnsi="Times New Roman"/>
                <w:sz w:val="20"/>
                <w:szCs w:val="20"/>
              </w:rPr>
              <w:t>1</w:t>
            </w:r>
          </w:p>
        </w:tc>
        <w:tc>
          <w:tcPr>
            <w:tcW w:w="1254" w:type="dxa"/>
            <w:tcBorders>
              <w:top w:val="nil"/>
              <w:left w:val="nil"/>
              <w:bottom w:val="single" w:sz="8" w:space="0" w:color="auto"/>
              <w:right w:val="single" w:sz="8" w:space="0" w:color="auto"/>
            </w:tcBorders>
          </w:tcPr>
          <w:p w:rsidR="00F5191A" w:rsidRPr="009074FC" w:rsidP="00F5191A" w14:paraId="68AB53BE" w14:textId="77777777">
            <w:pPr>
              <w:spacing w:after="160" w:line="259" w:lineRule="auto"/>
              <w:jc w:val="center"/>
              <w:rPr>
                <w:rFonts w:ascii="Times New Roman" w:eastAsia="Times New Roman" w:hAnsi="Times New Roman"/>
                <w:sz w:val="20"/>
                <w:szCs w:val="20"/>
              </w:rPr>
            </w:pPr>
            <w:r w:rsidRPr="009074FC">
              <w:rPr>
                <w:rFonts w:ascii="Times New Roman" w:eastAsia="Times New Roman" w:hAnsi="Times New Roman"/>
                <w:sz w:val="20"/>
                <w:szCs w:val="20"/>
              </w:rPr>
              <w:t>0</w:t>
            </w:r>
          </w:p>
        </w:tc>
        <w:tc>
          <w:tcPr>
            <w:tcW w:w="2842" w:type="dxa"/>
            <w:tcBorders>
              <w:top w:val="nil"/>
              <w:left w:val="nil"/>
              <w:bottom w:val="single" w:sz="8" w:space="0" w:color="auto"/>
              <w:right w:val="single" w:sz="8" w:space="0" w:color="auto"/>
            </w:tcBorders>
          </w:tcPr>
          <w:p w:rsidR="00F5191A" w:rsidRPr="009074FC" w:rsidP="00F5191A" w14:paraId="0FB880E9" w14:textId="77777777">
            <w:pPr>
              <w:spacing w:after="0" w:line="259" w:lineRule="auto"/>
              <w:jc w:val="center"/>
              <w:rPr>
                <w:rFonts w:ascii="Times New Roman" w:eastAsia="Times New Roman" w:hAnsi="Times New Roman"/>
                <w:sz w:val="20"/>
                <w:szCs w:val="20"/>
              </w:rPr>
            </w:pPr>
            <w:r w:rsidRPr="009074FC">
              <w:rPr>
                <w:rFonts w:ascii="Times New Roman" w:eastAsia="Times New Roman" w:hAnsi="Times New Roman"/>
                <w:sz w:val="20"/>
                <w:szCs w:val="20"/>
              </w:rPr>
              <w:t>Estimate Revision</w:t>
            </w:r>
          </w:p>
        </w:tc>
      </w:tr>
      <w:tr w14:paraId="0ED42D99" w14:textId="77777777" w:rsidTr="00DA6492">
        <w:tblPrEx>
          <w:tblW w:w="9370" w:type="dxa"/>
          <w:tblCellMar>
            <w:left w:w="0" w:type="dxa"/>
            <w:right w:w="0" w:type="dxa"/>
          </w:tblCellMar>
          <w:tblLook w:val="04A0"/>
        </w:tblPrEx>
        <w:trPr>
          <w:cantSplit/>
          <w:trHeight w:val="103"/>
        </w:trPr>
        <w:tc>
          <w:tcPr>
            <w:tcW w:w="2523" w:type="dxa"/>
            <w:tcBorders>
              <w:top w:val="nil"/>
              <w:left w:val="single" w:sz="8" w:space="0" w:color="auto"/>
              <w:bottom w:val="single" w:sz="8" w:space="0" w:color="auto"/>
              <w:right w:val="single" w:sz="8" w:space="0" w:color="auto"/>
            </w:tcBorders>
            <w:tcMar>
              <w:top w:w="0" w:type="dxa"/>
              <w:left w:w="101" w:type="dxa"/>
              <w:bottom w:w="0" w:type="dxa"/>
              <w:right w:w="101" w:type="dxa"/>
            </w:tcMar>
          </w:tcPr>
          <w:p w:rsidR="00F5191A" w:rsidRPr="000B692F" w:rsidP="00F5191A" w14:paraId="1DD4BE6A" w14:textId="71DD6798">
            <w:pPr>
              <w:spacing w:after="0" w:line="259" w:lineRule="auto"/>
              <w:rPr>
                <w:rFonts w:ascii="Times New Roman" w:eastAsia="Times New Roman" w:hAnsi="Times New Roman"/>
                <w:sz w:val="20"/>
                <w:szCs w:val="20"/>
              </w:rPr>
            </w:pPr>
            <w:r w:rsidRPr="00DA6492">
              <w:rPr>
                <w:rFonts w:ascii="Times New Roman" w:hAnsi="Times New Roman"/>
                <w:sz w:val="20"/>
                <w:szCs w:val="20"/>
              </w:rPr>
              <w:t>503B Recordkeeping AERs</w:t>
            </w:r>
          </w:p>
        </w:tc>
        <w:tc>
          <w:tcPr>
            <w:tcW w:w="1342" w:type="dxa"/>
            <w:tcBorders>
              <w:top w:val="nil"/>
              <w:left w:val="nil"/>
              <w:bottom w:val="single" w:sz="8" w:space="0" w:color="auto"/>
              <w:right w:val="single" w:sz="8" w:space="0" w:color="auto"/>
            </w:tcBorders>
            <w:tcMar>
              <w:top w:w="0" w:type="dxa"/>
              <w:left w:w="101" w:type="dxa"/>
              <w:bottom w:w="0" w:type="dxa"/>
              <w:right w:w="101" w:type="dxa"/>
            </w:tcMar>
          </w:tcPr>
          <w:p w:rsidR="00F5191A" w:rsidRPr="009074FC" w:rsidP="00F5191A" w14:paraId="0599B46A" w14:textId="22255200">
            <w:pPr>
              <w:spacing w:after="160" w:line="259" w:lineRule="auto"/>
              <w:jc w:val="center"/>
              <w:rPr>
                <w:rFonts w:ascii="Times New Roman" w:eastAsia="Times New Roman" w:hAnsi="Times New Roman"/>
                <w:sz w:val="20"/>
                <w:szCs w:val="20"/>
              </w:rPr>
            </w:pPr>
            <w:r>
              <w:rPr>
                <w:rFonts w:ascii="Times New Roman" w:eastAsia="Times New Roman" w:hAnsi="Times New Roman"/>
                <w:sz w:val="20"/>
                <w:szCs w:val="20"/>
              </w:rPr>
              <w:t>880</w:t>
            </w:r>
          </w:p>
        </w:tc>
        <w:tc>
          <w:tcPr>
            <w:tcW w:w="1409" w:type="dxa"/>
            <w:tcBorders>
              <w:top w:val="nil"/>
              <w:left w:val="nil"/>
              <w:bottom w:val="single" w:sz="8" w:space="0" w:color="auto"/>
              <w:right w:val="single" w:sz="8" w:space="0" w:color="auto"/>
            </w:tcBorders>
            <w:tcMar>
              <w:top w:w="0" w:type="dxa"/>
              <w:left w:w="101" w:type="dxa"/>
              <w:bottom w:w="0" w:type="dxa"/>
              <w:right w:w="101" w:type="dxa"/>
            </w:tcMar>
          </w:tcPr>
          <w:p w:rsidR="00F5191A" w:rsidRPr="009074FC" w:rsidP="00F5191A" w14:paraId="74AAFA0E" w14:textId="3B6AB67C">
            <w:pPr>
              <w:spacing w:after="160" w:line="259" w:lineRule="auto"/>
              <w:jc w:val="center"/>
              <w:rPr>
                <w:rFonts w:ascii="Times New Roman" w:eastAsia="Times New Roman" w:hAnsi="Times New Roman"/>
                <w:sz w:val="20"/>
                <w:szCs w:val="20"/>
              </w:rPr>
            </w:pPr>
            <w:r>
              <w:rPr>
                <w:rFonts w:ascii="Times New Roman" w:eastAsia="Times New Roman" w:hAnsi="Times New Roman"/>
                <w:sz w:val="20"/>
                <w:szCs w:val="20"/>
              </w:rPr>
              <w:t>880</w:t>
            </w:r>
          </w:p>
        </w:tc>
        <w:tc>
          <w:tcPr>
            <w:tcW w:w="1254" w:type="dxa"/>
            <w:tcBorders>
              <w:top w:val="nil"/>
              <w:left w:val="nil"/>
              <w:bottom w:val="single" w:sz="8" w:space="0" w:color="auto"/>
              <w:right w:val="single" w:sz="8" w:space="0" w:color="auto"/>
            </w:tcBorders>
          </w:tcPr>
          <w:p w:rsidR="00F5191A" w:rsidRPr="009074FC" w:rsidP="00F5191A" w14:paraId="5E47EA16" w14:textId="77777777">
            <w:pPr>
              <w:spacing w:after="160" w:line="259" w:lineRule="auto"/>
              <w:jc w:val="center"/>
              <w:rPr>
                <w:rFonts w:ascii="Times New Roman" w:eastAsia="Times New Roman" w:hAnsi="Times New Roman"/>
                <w:sz w:val="20"/>
                <w:szCs w:val="20"/>
              </w:rPr>
            </w:pPr>
            <w:r w:rsidRPr="009074FC">
              <w:rPr>
                <w:rFonts w:ascii="Times New Roman" w:eastAsia="Times New Roman" w:hAnsi="Times New Roman"/>
                <w:sz w:val="20"/>
                <w:szCs w:val="20"/>
              </w:rPr>
              <w:t>0</w:t>
            </w:r>
          </w:p>
        </w:tc>
        <w:tc>
          <w:tcPr>
            <w:tcW w:w="2842" w:type="dxa"/>
            <w:tcBorders>
              <w:top w:val="nil"/>
              <w:left w:val="nil"/>
              <w:bottom w:val="single" w:sz="8" w:space="0" w:color="auto"/>
              <w:right w:val="single" w:sz="8" w:space="0" w:color="auto"/>
            </w:tcBorders>
          </w:tcPr>
          <w:p w:rsidR="00F5191A" w:rsidRPr="009074FC" w:rsidP="00F5191A" w14:paraId="07EC49B4" w14:textId="77777777">
            <w:pPr>
              <w:spacing w:after="0" w:line="259" w:lineRule="auto"/>
              <w:jc w:val="center"/>
              <w:rPr>
                <w:rFonts w:ascii="Times New Roman" w:eastAsia="Times New Roman" w:hAnsi="Times New Roman"/>
                <w:sz w:val="20"/>
                <w:szCs w:val="20"/>
              </w:rPr>
            </w:pPr>
            <w:r w:rsidRPr="009074FC">
              <w:rPr>
                <w:rFonts w:ascii="Times New Roman" w:eastAsia="Times New Roman" w:hAnsi="Times New Roman"/>
                <w:sz w:val="20"/>
                <w:szCs w:val="20"/>
              </w:rPr>
              <w:t>Estimate Revision</w:t>
            </w:r>
          </w:p>
        </w:tc>
      </w:tr>
      <w:tr w14:paraId="6FC77E1E" w14:textId="77777777" w:rsidTr="00DA6492">
        <w:tblPrEx>
          <w:tblW w:w="9370" w:type="dxa"/>
          <w:tblCellMar>
            <w:left w:w="0" w:type="dxa"/>
            <w:right w:w="0" w:type="dxa"/>
          </w:tblCellMar>
          <w:tblLook w:val="04A0"/>
        </w:tblPrEx>
        <w:trPr>
          <w:cantSplit/>
          <w:trHeight w:val="103"/>
        </w:trPr>
        <w:tc>
          <w:tcPr>
            <w:tcW w:w="2523" w:type="dxa"/>
            <w:tcBorders>
              <w:top w:val="nil"/>
              <w:left w:val="single" w:sz="8" w:space="0" w:color="auto"/>
              <w:bottom w:val="single" w:sz="8" w:space="0" w:color="auto"/>
              <w:right w:val="single" w:sz="8" w:space="0" w:color="auto"/>
            </w:tcBorders>
            <w:tcMar>
              <w:top w:w="0" w:type="dxa"/>
              <w:left w:w="101" w:type="dxa"/>
              <w:bottom w:w="0" w:type="dxa"/>
              <w:right w:w="101" w:type="dxa"/>
            </w:tcMar>
          </w:tcPr>
          <w:p w:rsidR="00F5191A" w:rsidRPr="000B692F" w:rsidP="00F5191A" w14:paraId="7CE60AB0" w14:textId="77B5D6F3">
            <w:pPr>
              <w:spacing w:after="0" w:line="240" w:lineRule="auto"/>
              <w:rPr>
                <w:rFonts w:ascii="Times New Roman" w:eastAsia="Times New Roman" w:hAnsi="Times New Roman"/>
                <w:sz w:val="20"/>
                <w:szCs w:val="20"/>
              </w:rPr>
            </w:pPr>
            <w:r w:rsidRPr="00DA6492">
              <w:rPr>
                <w:rFonts w:ascii="Times New Roman" w:hAnsi="Times New Roman"/>
                <w:sz w:val="20"/>
                <w:szCs w:val="20"/>
              </w:rPr>
              <w:t>503A Reporting</w:t>
            </w:r>
          </w:p>
        </w:tc>
        <w:tc>
          <w:tcPr>
            <w:tcW w:w="1342" w:type="dxa"/>
            <w:tcBorders>
              <w:top w:val="nil"/>
              <w:left w:val="nil"/>
              <w:bottom w:val="single" w:sz="8" w:space="0" w:color="auto"/>
              <w:right w:val="single" w:sz="8" w:space="0" w:color="auto"/>
            </w:tcBorders>
            <w:tcMar>
              <w:top w:w="0" w:type="dxa"/>
              <w:left w:w="101" w:type="dxa"/>
              <w:bottom w:w="0" w:type="dxa"/>
              <w:right w:w="101" w:type="dxa"/>
            </w:tcMar>
          </w:tcPr>
          <w:p w:rsidR="00F5191A" w:rsidRPr="009074FC" w:rsidP="00F5191A" w14:paraId="2035066A" w14:textId="17AD459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7,698</w:t>
            </w:r>
          </w:p>
        </w:tc>
        <w:tc>
          <w:tcPr>
            <w:tcW w:w="1409" w:type="dxa"/>
            <w:tcBorders>
              <w:top w:val="nil"/>
              <w:left w:val="nil"/>
              <w:bottom w:val="single" w:sz="8" w:space="0" w:color="auto"/>
              <w:right w:val="single" w:sz="8" w:space="0" w:color="auto"/>
            </w:tcBorders>
            <w:tcMar>
              <w:top w:w="0" w:type="dxa"/>
              <w:left w:w="101" w:type="dxa"/>
              <w:bottom w:w="0" w:type="dxa"/>
              <w:right w:w="101" w:type="dxa"/>
            </w:tcMar>
          </w:tcPr>
          <w:p w:rsidR="00F5191A" w:rsidRPr="009074FC" w:rsidP="00F5191A" w14:paraId="2D43C961" w14:textId="6023A68D">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7,725</w:t>
            </w:r>
          </w:p>
        </w:tc>
        <w:tc>
          <w:tcPr>
            <w:tcW w:w="1254" w:type="dxa"/>
            <w:tcBorders>
              <w:top w:val="nil"/>
              <w:left w:val="nil"/>
              <w:bottom w:val="single" w:sz="8" w:space="0" w:color="auto"/>
              <w:right w:val="single" w:sz="8" w:space="0" w:color="auto"/>
            </w:tcBorders>
          </w:tcPr>
          <w:p w:rsidR="00F5191A" w:rsidRPr="009074FC" w:rsidP="00F5191A" w14:paraId="1C9162E9" w14:textId="43BEC8F2">
            <w:pPr>
              <w:spacing w:after="0" w:line="240" w:lineRule="auto"/>
              <w:jc w:val="center"/>
              <w:rPr>
                <w:rFonts w:ascii="Times New Roman" w:eastAsia="Times New Roman" w:hAnsi="Times New Roman"/>
                <w:sz w:val="20"/>
                <w:szCs w:val="20"/>
              </w:rPr>
            </w:pPr>
            <w:r w:rsidRPr="00D45629">
              <w:rPr>
                <w:rFonts w:ascii="Times New Roman" w:eastAsia="Times New Roman" w:hAnsi="Times New Roman"/>
                <w:color w:val="FF0000"/>
                <w:sz w:val="20"/>
                <w:szCs w:val="20"/>
              </w:rPr>
              <w:t>+</w:t>
            </w:r>
            <w:r w:rsidR="00BF4881">
              <w:rPr>
                <w:rFonts w:ascii="Times New Roman" w:eastAsia="Times New Roman" w:hAnsi="Times New Roman"/>
                <w:color w:val="FF0000"/>
                <w:sz w:val="20"/>
                <w:szCs w:val="20"/>
              </w:rPr>
              <w:t xml:space="preserve"> </w:t>
            </w:r>
            <w:r w:rsidRPr="00D45629">
              <w:rPr>
                <w:rFonts w:ascii="Times New Roman" w:eastAsia="Times New Roman" w:hAnsi="Times New Roman"/>
                <w:color w:val="FF0000"/>
                <w:sz w:val="20"/>
                <w:szCs w:val="20"/>
              </w:rPr>
              <w:t>27</w:t>
            </w:r>
          </w:p>
        </w:tc>
        <w:tc>
          <w:tcPr>
            <w:tcW w:w="2842" w:type="dxa"/>
            <w:tcBorders>
              <w:top w:val="nil"/>
              <w:left w:val="nil"/>
              <w:bottom w:val="single" w:sz="8" w:space="0" w:color="auto"/>
              <w:right w:val="single" w:sz="8" w:space="0" w:color="auto"/>
            </w:tcBorders>
          </w:tcPr>
          <w:p w:rsidR="00F5191A" w:rsidRPr="009074FC" w:rsidP="00F5191A" w14:paraId="108C41DD" w14:textId="77777777">
            <w:pPr>
              <w:spacing w:after="0" w:line="240" w:lineRule="auto"/>
              <w:jc w:val="center"/>
              <w:rPr>
                <w:rFonts w:ascii="Times New Roman" w:eastAsia="Times New Roman" w:hAnsi="Times New Roman"/>
                <w:sz w:val="20"/>
                <w:szCs w:val="20"/>
              </w:rPr>
            </w:pPr>
            <w:r w:rsidRPr="009074FC">
              <w:rPr>
                <w:rFonts w:ascii="Times New Roman" w:eastAsia="Times New Roman" w:hAnsi="Times New Roman"/>
                <w:sz w:val="20"/>
                <w:szCs w:val="20"/>
              </w:rPr>
              <w:t>Estimate Revision</w:t>
            </w:r>
          </w:p>
        </w:tc>
      </w:tr>
      <w:tr w14:paraId="25D90053" w14:textId="77777777" w:rsidTr="00DA6492">
        <w:tblPrEx>
          <w:tblW w:w="9370" w:type="dxa"/>
          <w:tblCellMar>
            <w:left w:w="0" w:type="dxa"/>
            <w:right w:w="0" w:type="dxa"/>
          </w:tblCellMar>
          <w:tblLook w:val="04A0"/>
        </w:tblPrEx>
        <w:trPr>
          <w:cantSplit/>
          <w:trHeight w:val="103"/>
        </w:trPr>
        <w:tc>
          <w:tcPr>
            <w:tcW w:w="2523" w:type="dxa"/>
            <w:tcBorders>
              <w:top w:val="nil"/>
              <w:left w:val="single" w:sz="8" w:space="0" w:color="auto"/>
              <w:bottom w:val="single" w:sz="8" w:space="0" w:color="auto"/>
              <w:right w:val="single" w:sz="8" w:space="0" w:color="auto"/>
            </w:tcBorders>
            <w:tcMar>
              <w:top w:w="0" w:type="dxa"/>
              <w:left w:w="101" w:type="dxa"/>
              <w:bottom w:w="0" w:type="dxa"/>
              <w:right w:w="101" w:type="dxa"/>
            </w:tcMar>
          </w:tcPr>
          <w:p w:rsidR="00F5191A" w:rsidRPr="000B692F" w:rsidP="00F5191A" w14:paraId="533E4600" w14:textId="2A96F35B">
            <w:pPr>
              <w:spacing w:after="0" w:line="240" w:lineRule="auto"/>
              <w:rPr>
                <w:rFonts w:ascii="Times New Roman" w:eastAsia="Times New Roman" w:hAnsi="Times New Roman"/>
                <w:sz w:val="20"/>
                <w:szCs w:val="20"/>
              </w:rPr>
            </w:pPr>
            <w:r w:rsidRPr="00DA6492">
              <w:rPr>
                <w:rFonts w:ascii="Times New Roman" w:hAnsi="Times New Roman"/>
                <w:sz w:val="20"/>
                <w:szCs w:val="20"/>
              </w:rPr>
              <w:t>503A Recordkeeping</w:t>
            </w:r>
          </w:p>
        </w:tc>
        <w:tc>
          <w:tcPr>
            <w:tcW w:w="1342" w:type="dxa"/>
            <w:tcBorders>
              <w:top w:val="nil"/>
              <w:left w:val="nil"/>
              <w:bottom w:val="single" w:sz="8" w:space="0" w:color="auto"/>
              <w:right w:val="single" w:sz="8" w:space="0" w:color="auto"/>
            </w:tcBorders>
            <w:tcMar>
              <w:top w:w="0" w:type="dxa"/>
              <w:left w:w="101" w:type="dxa"/>
              <w:bottom w:w="0" w:type="dxa"/>
              <w:right w:w="101" w:type="dxa"/>
            </w:tcMar>
          </w:tcPr>
          <w:p w:rsidR="00F5191A" w:rsidRPr="009074FC" w:rsidP="00F5191A" w14:paraId="171046A5" w14:textId="3572731D">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90</w:t>
            </w:r>
          </w:p>
        </w:tc>
        <w:tc>
          <w:tcPr>
            <w:tcW w:w="1409" w:type="dxa"/>
            <w:tcBorders>
              <w:top w:val="nil"/>
              <w:left w:val="nil"/>
              <w:bottom w:val="single" w:sz="8" w:space="0" w:color="auto"/>
              <w:right w:val="single" w:sz="8" w:space="0" w:color="auto"/>
            </w:tcBorders>
            <w:tcMar>
              <w:top w:w="0" w:type="dxa"/>
              <w:left w:w="101" w:type="dxa"/>
              <w:bottom w:w="0" w:type="dxa"/>
              <w:right w:w="101" w:type="dxa"/>
            </w:tcMar>
          </w:tcPr>
          <w:p w:rsidR="00F5191A" w:rsidRPr="009074FC" w:rsidP="00F5191A" w14:paraId="6672D6D8" w14:textId="24151E0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90</w:t>
            </w:r>
          </w:p>
        </w:tc>
        <w:tc>
          <w:tcPr>
            <w:tcW w:w="1254" w:type="dxa"/>
            <w:tcBorders>
              <w:top w:val="nil"/>
              <w:left w:val="nil"/>
              <w:bottom w:val="single" w:sz="8" w:space="0" w:color="auto"/>
              <w:right w:val="single" w:sz="8" w:space="0" w:color="auto"/>
            </w:tcBorders>
          </w:tcPr>
          <w:p w:rsidR="00F5191A" w:rsidRPr="009074FC" w:rsidP="00F5191A" w14:paraId="5EA9116E" w14:textId="77777777">
            <w:pPr>
              <w:spacing w:after="0" w:line="240" w:lineRule="auto"/>
              <w:jc w:val="center"/>
              <w:rPr>
                <w:rFonts w:ascii="Times New Roman" w:eastAsia="Times New Roman" w:hAnsi="Times New Roman"/>
                <w:sz w:val="20"/>
                <w:szCs w:val="20"/>
              </w:rPr>
            </w:pPr>
            <w:r w:rsidRPr="009074FC">
              <w:rPr>
                <w:rFonts w:ascii="Times New Roman" w:eastAsia="Times New Roman" w:hAnsi="Times New Roman"/>
                <w:sz w:val="20"/>
                <w:szCs w:val="20"/>
              </w:rPr>
              <w:t>0</w:t>
            </w:r>
          </w:p>
        </w:tc>
        <w:tc>
          <w:tcPr>
            <w:tcW w:w="2842" w:type="dxa"/>
            <w:tcBorders>
              <w:top w:val="nil"/>
              <w:left w:val="nil"/>
              <w:bottom w:val="single" w:sz="8" w:space="0" w:color="auto"/>
              <w:right w:val="single" w:sz="8" w:space="0" w:color="auto"/>
            </w:tcBorders>
          </w:tcPr>
          <w:p w:rsidR="00F5191A" w:rsidRPr="009074FC" w:rsidP="00F5191A" w14:paraId="170E978F" w14:textId="77777777">
            <w:pPr>
              <w:spacing w:after="0" w:line="240" w:lineRule="auto"/>
              <w:jc w:val="center"/>
              <w:rPr>
                <w:rFonts w:ascii="Times New Roman" w:eastAsia="Times New Roman" w:hAnsi="Times New Roman"/>
                <w:sz w:val="20"/>
                <w:szCs w:val="20"/>
              </w:rPr>
            </w:pPr>
            <w:r w:rsidRPr="009074FC">
              <w:rPr>
                <w:rFonts w:ascii="Times New Roman" w:eastAsia="Times New Roman" w:hAnsi="Times New Roman"/>
                <w:sz w:val="20"/>
                <w:szCs w:val="20"/>
              </w:rPr>
              <w:t>Estimate Revision</w:t>
            </w:r>
          </w:p>
        </w:tc>
      </w:tr>
      <w:tr w14:paraId="2BF726CB" w14:textId="77777777" w:rsidTr="00DA6492">
        <w:tblPrEx>
          <w:tblW w:w="9370" w:type="dxa"/>
          <w:tblCellMar>
            <w:left w:w="0" w:type="dxa"/>
            <w:right w:w="0" w:type="dxa"/>
          </w:tblCellMar>
          <w:tblLook w:val="04A0"/>
        </w:tblPrEx>
        <w:trPr>
          <w:cantSplit/>
          <w:trHeight w:val="103"/>
        </w:trPr>
        <w:tc>
          <w:tcPr>
            <w:tcW w:w="2523" w:type="dxa"/>
            <w:tcBorders>
              <w:top w:val="nil"/>
              <w:left w:val="single" w:sz="8" w:space="0" w:color="auto"/>
              <w:bottom w:val="single" w:sz="8" w:space="0" w:color="auto"/>
              <w:right w:val="single" w:sz="8" w:space="0" w:color="auto"/>
            </w:tcBorders>
            <w:tcMar>
              <w:top w:w="0" w:type="dxa"/>
              <w:left w:w="101" w:type="dxa"/>
              <w:bottom w:w="0" w:type="dxa"/>
              <w:right w:w="101" w:type="dxa"/>
            </w:tcMar>
          </w:tcPr>
          <w:p w:rsidR="00F5191A" w:rsidRPr="000B692F" w:rsidP="00F5191A" w14:paraId="10EE2C8C" w14:textId="10D76398">
            <w:pPr>
              <w:spacing w:after="0" w:line="240" w:lineRule="auto"/>
              <w:rPr>
                <w:rFonts w:ascii="Times New Roman" w:eastAsia="Times New Roman" w:hAnsi="Times New Roman"/>
                <w:sz w:val="20"/>
                <w:szCs w:val="20"/>
              </w:rPr>
            </w:pPr>
            <w:r w:rsidRPr="00DA6492">
              <w:rPr>
                <w:rFonts w:ascii="Times New Roman" w:hAnsi="Times New Roman"/>
                <w:sz w:val="20"/>
                <w:szCs w:val="20"/>
              </w:rPr>
              <w:t>503A Disclosure (MOU)</w:t>
            </w:r>
          </w:p>
        </w:tc>
        <w:tc>
          <w:tcPr>
            <w:tcW w:w="1342" w:type="dxa"/>
            <w:tcBorders>
              <w:top w:val="nil"/>
              <w:left w:val="nil"/>
              <w:bottom w:val="single" w:sz="8" w:space="0" w:color="auto"/>
              <w:right w:val="single" w:sz="8" w:space="0" w:color="auto"/>
            </w:tcBorders>
            <w:tcMar>
              <w:top w:w="0" w:type="dxa"/>
              <w:left w:w="101" w:type="dxa"/>
              <w:bottom w:w="0" w:type="dxa"/>
              <w:right w:w="101" w:type="dxa"/>
            </w:tcMar>
          </w:tcPr>
          <w:p w:rsidR="00F5191A" w:rsidRPr="009074FC" w:rsidP="00F5191A" w14:paraId="1C2FB9C6" w14:textId="66E8AFF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1409" w:type="dxa"/>
            <w:tcBorders>
              <w:top w:val="nil"/>
              <w:left w:val="nil"/>
              <w:bottom w:val="single" w:sz="8" w:space="0" w:color="auto"/>
              <w:right w:val="single" w:sz="8" w:space="0" w:color="auto"/>
            </w:tcBorders>
            <w:tcMar>
              <w:top w:w="0" w:type="dxa"/>
              <w:left w:w="101" w:type="dxa"/>
              <w:bottom w:w="0" w:type="dxa"/>
              <w:right w:w="101" w:type="dxa"/>
            </w:tcMar>
          </w:tcPr>
          <w:p w:rsidR="00F5191A" w:rsidRPr="009074FC" w:rsidP="00F5191A" w14:paraId="6DF69C45" w14:textId="373B384C">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1254" w:type="dxa"/>
            <w:tcBorders>
              <w:top w:val="nil"/>
              <w:left w:val="nil"/>
              <w:bottom w:val="single" w:sz="8" w:space="0" w:color="auto"/>
              <w:right w:val="single" w:sz="8" w:space="0" w:color="auto"/>
            </w:tcBorders>
          </w:tcPr>
          <w:p w:rsidR="00F5191A" w:rsidRPr="009074FC" w:rsidP="00F5191A" w14:paraId="28D5FDE0" w14:textId="77777777">
            <w:pPr>
              <w:spacing w:after="0" w:line="240" w:lineRule="auto"/>
              <w:jc w:val="center"/>
              <w:rPr>
                <w:rFonts w:ascii="Times New Roman" w:eastAsia="Times New Roman" w:hAnsi="Times New Roman"/>
                <w:sz w:val="20"/>
                <w:szCs w:val="20"/>
              </w:rPr>
            </w:pPr>
            <w:r w:rsidRPr="009074FC">
              <w:rPr>
                <w:rFonts w:ascii="Times New Roman" w:eastAsia="Times New Roman" w:hAnsi="Times New Roman"/>
                <w:sz w:val="20"/>
                <w:szCs w:val="20"/>
              </w:rPr>
              <w:t>0</w:t>
            </w:r>
          </w:p>
        </w:tc>
        <w:tc>
          <w:tcPr>
            <w:tcW w:w="2842" w:type="dxa"/>
            <w:tcBorders>
              <w:top w:val="nil"/>
              <w:left w:val="nil"/>
              <w:bottom w:val="single" w:sz="8" w:space="0" w:color="auto"/>
              <w:right w:val="single" w:sz="8" w:space="0" w:color="auto"/>
            </w:tcBorders>
          </w:tcPr>
          <w:p w:rsidR="00F5191A" w:rsidRPr="009074FC" w:rsidP="00F5191A" w14:paraId="34794920" w14:textId="77777777">
            <w:pPr>
              <w:spacing w:after="0" w:line="240" w:lineRule="auto"/>
              <w:jc w:val="center"/>
              <w:rPr>
                <w:rFonts w:ascii="Times New Roman" w:eastAsia="Times New Roman" w:hAnsi="Times New Roman"/>
                <w:sz w:val="20"/>
                <w:szCs w:val="20"/>
              </w:rPr>
            </w:pPr>
            <w:r w:rsidRPr="009074FC">
              <w:rPr>
                <w:rFonts w:ascii="Times New Roman" w:eastAsia="Times New Roman" w:hAnsi="Times New Roman"/>
                <w:sz w:val="20"/>
                <w:szCs w:val="20"/>
              </w:rPr>
              <w:t>Estimate Revision</w:t>
            </w:r>
          </w:p>
        </w:tc>
      </w:tr>
      <w:tr w14:paraId="1302BF89" w14:textId="77777777" w:rsidTr="00FF0528">
        <w:tblPrEx>
          <w:tblW w:w="9370" w:type="dxa"/>
          <w:tblCellMar>
            <w:left w:w="0" w:type="dxa"/>
            <w:right w:w="0" w:type="dxa"/>
          </w:tblCellMar>
          <w:tblLook w:val="04A0"/>
        </w:tblPrEx>
        <w:trPr>
          <w:cantSplit/>
          <w:trHeight w:val="103"/>
        </w:trPr>
        <w:tc>
          <w:tcPr>
            <w:tcW w:w="2523" w:type="dxa"/>
            <w:tcBorders>
              <w:top w:val="nil"/>
              <w:left w:val="single" w:sz="8" w:space="0" w:color="auto"/>
              <w:bottom w:val="single" w:sz="8" w:space="0" w:color="auto"/>
              <w:right w:val="single" w:sz="8" w:space="0" w:color="auto"/>
            </w:tcBorders>
            <w:tcMar>
              <w:top w:w="0" w:type="dxa"/>
              <w:left w:w="101" w:type="dxa"/>
              <w:bottom w:w="0" w:type="dxa"/>
              <w:right w:w="101" w:type="dxa"/>
            </w:tcMar>
          </w:tcPr>
          <w:p w:rsidR="00DA6492" w:rsidRPr="00DA6492" w:rsidP="00F5191A" w14:paraId="2F3862D7" w14:textId="2555C744">
            <w:pPr>
              <w:spacing w:after="0" w:line="240" w:lineRule="auto"/>
              <w:rPr>
                <w:rFonts w:ascii="Times New Roman" w:hAnsi="Times New Roman"/>
                <w:sz w:val="20"/>
                <w:szCs w:val="20"/>
              </w:rPr>
            </w:pPr>
            <w:r w:rsidRPr="00DA6492">
              <w:rPr>
                <w:rFonts w:ascii="Times New Roman" w:hAnsi="Times New Roman"/>
                <w:sz w:val="20"/>
                <w:szCs w:val="20"/>
              </w:rPr>
              <w:t>Outsourcing facility reporting under 503B(b)</w:t>
            </w:r>
          </w:p>
        </w:tc>
        <w:tc>
          <w:tcPr>
            <w:tcW w:w="1342" w:type="dxa"/>
            <w:tcBorders>
              <w:top w:val="nil"/>
              <w:left w:val="nil"/>
              <w:bottom w:val="single" w:sz="8" w:space="0" w:color="auto"/>
              <w:right w:val="single" w:sz="8" w:space="0" w:color="auto"/>
            </w:tcBorders>
            <w:tcMar>
              <w:top w:w="0" w:type="dxa"/>
              <w:left w:w="101" w:type="dxa"/>
              <w:bottom w:w="0" w:type="dxa"/>
              <w:right w:w="101" w:type="dxa"/>
            </w:tcMar>
          </w:tcPr>
          <w:p w:rsidR="00DA6492" w:rsidRPr="009074FC" w:rsidP="00F5191A" w14:paraId="21349A90" w14:textId="0E9AB62F">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214</w:t>
            </w:r>
          </w:p>
        </w:tc>
        <w:tc>
          <w:tcPr>
            <w:tcW w:w="1409" w:type="dxa"/>
            <w:tcBorders>
              <w:top w:val="nil"/>
              <w:left w:val="nil"/>
              <w:bottom w:val="single" w:sz="8" w:space="0" w:color="auto"/>
              <w:right w:val="single" w:sz="8" w:space="0" w:color="auto"/>
            </w:tcBorders>
            <w:tcMar>
              <w:top w:w="0" w:type="dxa"/>
              <w:left w:w="101" w:type="dxa"/>
              <w:bottom w:w="0" w:type="dxa"/>
              <w:right w:w="101" w:type="dxa"/>
            </w:tcMar>
          </w:tcPr>
          <w:p w:rsidR="00DA6492" w:rsidRPr="009074FC" w:rsidP="00F5191A" w14:paraId="7A1A5296" w14:textId="234FF93C">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203</w:t>
            </w:r>
          </w:p>
        </w:tc>
        <w:tc>
          <w:tcPr>
            <w:tcW w:w="1254" w:type="dxa"/>
            <w:tcBorders>
              <w:top w:val="nil"/>
              <w:left w:val="nil"/>
              <w:bottom w:val="single" w:sz="8" w:space="0" w:color="auto"/>
              <w:right w:val="single" w:sz="8" w:space="0" w:color="auto"/>
            </w:tcBorders>
          </w:tcPr>
          <w:p w:rsidR="00DA6492" w:rsidRPr="004C54AD" w:rsidP="004C54AD" w14:paraId="5EDF413F" w14:textId="0BA0007D">
            <w:pPr>
              <w:jc w:val="center"/>
              <w:rPr>
                <w:rFonts w:ascii="Times New Roman" w:eastAsia="Times New Roman" w:hAnsi="Times New Roman"/>
                <w:sz w:val="20"/>
                <w:szCs w:val="20"/>
              </w:rPr>
            </w:pPr>
            <w:r w:rsidRPr="008F69DB">
              <w:rPr>
                <w:rFonts w:ascii="Times New Roman" w:eastAsia="Times New Roman" w:hAnsi="Times New Roman"/>
                <w:color w:val="0070C0"/>
                <w:sz w:val="20"/>
                <w:szCs w:val="20"/>
              </w:rPr>
              <w:t>-</w:t>
            </w:r>
            <w:r w:rsidRPr="008F69DB">
              <w:rPr>
                <w:rFonts w:ascii="Times New Roman" w:hAnsi="Times New Roman"/>
                <w:color w:val="0070C0"/>
                <w:sz w:val="20"/>
                <w:szCs w:val="20"/>
              </w:rPr>
              <w:t xml:space="preserve"> 11</w:t>
            </w:r>
          </w:p>
        </w:tc>
        <w:tc>
          <w:tcPr>
            <w:tcW w:w="2842" w:type="dxa"/>
            <w:tcBorders>
              <w:top w:val="nil"/>
              <w:left w:val="nil"/>
              <w:bottom w:val="single" w:sz="8" w:space="0" w:color="auto"/>
              <w:right w:val="single" w:sz="8" w:space="0" w:color="auto"/>
            </w:tcBorders>
          </w:tcPr>
          <w:p w:rsidR="00DA6492" w:rsidRPr="009074FC" w:rsidP="00F5191A" w14:paraId="35D6F85C" w14:textId="03FDD13C">
            <w:pPr>
              <w:spacing w:after="0" w:line="240" w:lineRule="auto"/>
              <w:jc w:val="center"/>
              <w:rPr>
                <w:rFonts w:ascii="Times New Roman" w:eastAsia="Times New Roman" w:hAnsi="Times New Roman"/>
                <w:sz w:val="20"/>
                <w:szCs w:val="20"/>
              </w:rPr>
            </w:pPr>
            <w:r w:rsidRPr="009074FC">
              <w:rPr>
                <w:rFonts w:ascii="Times New Roman" w:eastAsia="Times New Roman" w:hAnsi="Times New Roman"/>
                <w:sz w:val="20"/>
                <w:szCs w:val="20"/>
              </w:rPr>
              <w:t>Estimate Revision</w:t>
            </w:r>
          </w:p>
        </w:tc>
      </w:tr>
      <w:tr w14:paraId="713FBA58" w14:textId="77777777" w:rsidTr="00C74177">
        <w:tblPrEx>
          <w:tblW w:w="9370" w:type="dxa"/>
          <w:tblCellMar>
            <w:left w:w="0" w:type="dxa"/>
            <w:right w:w="0" w:type="dxa"/>
          </w:tblCellMar>
          <w:tblLook w:val="04A0"/>
        </w:tblPrEx>
        <w:trPr>
          <w:cantSplit/>
          <w:trHeight w:val="292"/>
        </w:trPr>
        <w:tc>
          <w:tcPr>
            <w:tcW w:w="2523" w:type="dxa"/>
            <w:tcBorders>
              <w:top w:val="nil"/>
              <w:left w:val="single" w:sz="8" w:space="0" w:color="auto"/>
              <w:bottom w:val="single" w:sz="8" w:space="0" w:color="auto"/>
              <w:right w:val="single" w:sz="8" w:space="0" w:color="auto"/>
            </w:tcBorders>
            <w:tcMar>
              <w:top w:w="0" w:type="dxa"/>
              <w:left w:w="101" w:type="dxa"/>
              <w:bottom w:w="0" w:type="dxa"/>
              <w:right w:w="101" w:type="dxa"/>
            </w:tcMar>
          </w:tcPr>
          <w:p w:rsidR="008635E1" w:rsidRPr="008635E1" w:rsidP="00F5191A" w14:paraId="0FCAB531" w14:textId="1E7C779B">
            <w:pPr>
              <w:spacing w:after="0" w:line="240" w:lineRule="auto"/>
              <w:rPr>
                <w:rFonts w:ascii="Times New Roman" w:hAnsi="Times New Roman"/>
                <w:b/>
                <w:bCs/>
                <w:sz w:val="20"/>
                <w:szCs w:val="20"/>
              </w:rPr>
            </w:pPr>
            <w:r w:rsidRPr="008635E1">
              <w:rPr>
                <w:rFonts w:ascii="Times New Roman" w:hAnsi="Times New Roman"/>
                <w:b/>
                <w:bCs/>
                <w:sz w:val="20"/>
                <w:szCs w:val="20"/>
              </w:rPr>
              <w:t>TOTAL</w:t>
            </w:r>
          </w:p>
        </w:tc>
        <w:tc>
          <w:tcPr>
            <w:tcW w:w="1342" w:type="dxa"/>
            <w:tcBorders>
              <w:top w:val="nil"/>
              <w:left w:val="nil"/>
              <w:bottom w:val="single" w:sz="8" w:space="0" w:color="auto"/>
              <w:right w:val="single" w:sz="8" w:space="0" w:color="auto"/>
            </w:tcBorders>
            <w:tcMar>
              <w:top w:w="0" w:type="dxa"/>
              <w:left w:w="101" w:type="dxa"/>
              <w:bottom w:w="0" w:type="dxa"/>
              <w:right w:w="101" w:type="dxa"/>
            </w:tcMar>
          </w:tcPr>
          <w:p w:rsidR="008635E1" w:rsidP="00C74177" w14:paraId="6E95D351" w14:textId="28DADD2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fldChar w:fldCharType="begin"/>
            </w:r>
            <w:r>
              <w:rPr>
                <w:rFonts w:ascii="Times New Roman" w:eastAsia="Times New Roman" w:hAnsi="Times New Roman"/>
                <w:sz w:val="20"/>
                <w:szCs w:val="20"/>
              </w:rPr>
              <w:instrText xml:space="preserve"> =SUM(ABOVE) </w:instrText>
            </w:r>
            <w:r>
              <w:rPr>
                <w:rFonts w:ascii="Times New Roman" w:eastAsia="Times New Roman" w:hAnsi="Times New Roman"/>
                <w:sz w:val="20"/>
                <w:szCs w:val="20"/>
              </w:rPr>
              <w:fldChar w:fldCharType="separate"/>
            </w:r>
            <w:r>
              <w:rPr>
                <w:rFonts w:ascii="Times New Roman" w:eastAsia="Times New Roman" w:hAnsi="Times New Roman"/>
                <w:noProof/>
                <w:sz w:val="20"/>
                <w:szCs w:val="20"/>
              </w:rPr>
              <w:t>8,944</w:t>
            </w:r>
            <w:r>
              <w:rPr>
                <w:rFonts w:ascii="Times New Roman" w:eastAsia="Times New Roman" w:hAnsi="Times New Roman"/>
                <w:sz w:val="20"/>
                <w:szCs w:val="20"/>
              </w:rPr>
              <w:fldChar w:fldCharType="end"/>
            </w:r>
          </w:p>
        </w:tc>
        <w:tc>
          <w:tcPr>
            <w:tcW w:w="1409" w:type="dxa"/>
            <w:tcBorders>
              <w:top w:val="nil"/>
              <w:left w:val="nil"/>
              <w:bottom w:val="single" w:sz="8" w:space="0" w:color="auto"/>
              <w:right w:val="single" w:sz="8" w:space="0" w:color="auto"/>
            </w:tcBorders>
            <w:tcMar>
              <w:top w:w="0" w:type="dxa"/>
              <w:left w:w="101" w:type="dxa"/>
              <w:bottom w:w="0" w:type="dxa"/>
              <w:right w:w="101" w:type="dxa"/>
            </w:tcMar>
          </w:tcPr>
          <w:p w:rsidR="008635E1" w:rsidP="00C74177" w14:paraId="04D8C550" w14:textId="0843B0C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fldChar w:fldCharType="begin"/>
            </w:r>
            <w:r>
              <w:rPr>
                <w:rFonts w:ascii="Times New Roman" w:eastAsia="Times New Roman" w:hAnsi="Times New Roman"/>
                <w:sz w:val="20"/>
                <w:szCs w:val="20"/>
              </w:rPr>
              <w:instrText xml:space="preserve"> =SUM(ABOVE) </w:instrText>
            </w:r>
            <w:r>
              <w:rPr>
                <w:rFonts w:ascii="Times New Roman" w:eastAsia="Times New Roman" w:hAnsi="Times New Roman"/>
                <w:sz w:val="20"/>
                <w:szCs w:val="20"/>
              </w:rPr>
              <w:fldChar w:fldCharType="separate"/>
            </w:r>
            <w:r>
              <w:rPr>
                <w:rFonts w:ascii="Times New Roman" w:eastAsia="Times New Roman" w:hAnsi="Times New Roman"/>
                <w:noProof/>
                <w:sz w:val="20"/>
                <w:szCs w:val="20"/>
              </w:rPr>
              <w:t>8,960</w:t>
            </w:r>
            <w:r>
              <w:rPr>
                <w:rFonts w:ascii="Times New Roman" w:eastAsia="Times New Roman" w:hAnsi="Times New Roman"/>
                <w:sz w:val="20"/>
                <w:szCs w:val="20"/>
              </w:rPr>
              <w:fldChar w:fldCharType="end"/>
            </w:r>
          </w:p>
        </w:tc>
        <w:tc>
          <w:tcPr>
            <w:tcW w:w="1254" w:type="dxa"/>
            <w:tcBorders>
              <w:top w:val="nil"/>
              <w:left w:val="nil"/>
              <w:bottom w:val="single" w:sz="8" w:space="0" w:color="auto"/>
              <w:right w:val="single" w:sz="8" w:space="0" w:color="auto"/>
            </w:tcBorders>
          </w:tcPr>
          <w:p w:rsidR="008635E1" w:rsidRPr="008F69DB" w:rsidP="004C54AD" w14:paraId="0B163D59" w14:textId="139C1A7A">
            <w:pPr>
              <w:jc w:val="center"/>
              <w:rPr>
                <w:rFonts w:ascii="Times New Roman" w:eastAsia="Times New Roman" w:hAnsi="Times New Roman"/>
                <w:color w:val="0070C0"/>
                <w:sz w:val="20"/>
                <w:szCs w:val="20"/>
              </w:rPr>
            </w:pPr>
            <w:r w:rsidRPr="00D45629">
              <w:rPr>
                <w:rFonts w:ascii="Times New Roman" w:eastAsia="Times New Roman" w:hAnsi="Times New Roman"/>
                <w:color w:val="FF0000"/>
                <w:sz w:val="20"/>
                <w:szCs w:val="20"/>
              </w:rPr>
              <w:t>+</w:t>
            </w:r>
            <w:r>
              <w:rPr>
                <w:rFonts w:ascii="Times New Roman" w:eastAsia="Times New Roman" w:hAnsi="Times New Roman"/>
                <w:color w:val="FF0000"/>
                <w:sz w:val="20"/>
                <w:szCs w:val="20"/>
              </w:rPr>
              <w:t xml:space="preserve"> 16</w:t>
            </w:r>
          </w:p>
        </w:tc>
        <w:tc>
          <w:tcPr>
            <w:tcW w:w="2842" w:type="dxa"/>
            <w:tcBorders>
              <w:top w:val="nil"/>
              <w:left w:val="nil"/>
              <w:bottom w:val="single" w:sz="8" w:space="0" w:color="auto"/>
              <w:right w:val="single" w:sz="8" w:space="0" w:color="auto"/>
            </w:tcBorders>
          </w:tcPr>
          <w:p w:rsidR="008635E1" w:rsidRPr="009074FC" w:rsidP="00F5191A" w14:paraId="6F3C240B" w14:textId="17D9AB2E">
            <w:pPr>
              <w:spacing w:after="0" w:line="240" w:lineRule="auto"/>
              <w:jc w:val="center"/>
              <w:rPr>
                <w:rFonts w:ascii="Times New Roman" w:eastAsia="Times New Roman" w:hAnsi="Times New Roman"/>
                <w:sz w:val="20"/>
                <w:szCs w:val="20"/>
              </w:rPr>
            </w:pPr>
            <w:r w:rsidRPr="009074FC">
              <w:rPr>
                <w:rFonts w:ascii="Times New Roman" w:eastAsia="Times New Roman" w:hAnsi="Times New Roman"/>
                <w:sz w:val="20"/>
                <w:szCs w:val="20"/>
              </w:rPr>
              <w:t>Estimate Revision</w:t>
            </w:r>
          </w:p>
        </w:tc>
      </w:tr>
    </w:tbl>
    <w:p w:rsidR="009074FC" w:rsidRPr="00F071E6" w:rsidP="00942723" w14:paraId="38F1C567" w14:textId="77777777">
      <w:pPr>
        <w:spacing w:after="0" w:line="240" w:lineRule="auto"/>
        <w:ind w:left="-180"/>
        <w:rPr>
          <w:rFonts w:ascii="Times New Roman" w:hAnsi="Times New Roman"/>
          <w:sz w:val="24"/>
          <w:szCs w:val="24"/>
        </w:rPr>
      </w:pPr>
    </w:p>
    <w:p w:rsidR="001524EF" w:rsidRPr="00F071E6" w:rsidP="00942723" w14:paraId="78BA83E2" w14:textId="77777777">
      <w:pPr>
        <w:spacing w:after="0" w:line="240" w:lineRule="auto"/>
        <w:ind w:left="-180"/>
        <w:rPr>
          <w:rFonts w:ascii="Times New Roman" w:hAnsi="Times New Roman"/>
          <w:sz w:val="24"/>
          <w:szCs w:val="24"/>
        </w:rPr>
      </w:pPr>
    </w:p>
    <w:p w:rsidR="009342D9" w:rsidRPr="00F071E6" w:rsidP="00942723" w14:paraId="26626486" w14:textId="77777777">
      <w:pPr>
        <w:spacing w:after="0" w:line="240" w:lineRule="auto"/>
        <w:ind w:left="-180"/>
        <w:rPr>
          <w:rFonts w:ascii="Times New Roman" w:hAnsi="Times New Roman"/>
          <w:sz w:val="24"/>
          <w:szCs w:val="24"/>
          <w:u w:val="single"/>
        </w:rPr>
      </w:pPr>
      <w:r w:rsidRPr="00F071E6">
        <w:rPr>
          <w:rFonts w:ascii="Times New Roman" w:hAnsi="Times New Roman"/>
          <w:sz w:val="24"/>
          <w:szCs w:val="24"/>
        </w:rPr>
        <w:t>16</w:t>
      </w:r>
      <w:r w:rsidRPr="00F071E6" w:rsidR="00392B31">
        <w:rPr>
          <w:rFonts w:ascii="Times New Roman" w:hAnsi="Times New Roman"/>
          <w:sz w:val="24"/>
          <w:szCs w:val="24"/>
        </w:rPr>
        <w:t>.</w:t>
      </w:r>
      <w:r w:rsidRPr="00F071E6" w:rsidR="00D35161">
        <w:rPr>
          <w:rFonts w:ascii="Times New Roman" w:hAnsi="Times New Roman"/>
          <w:sz w:val="24"/>
          <w:szCs w:val="24"/>
        </w:rPr>
        <w:t xml:space="preserve">  </w:t>
      </w:r>
      <w:r w:rsidRPr="00F071E6">
        <w:rPr>
          <w:rFonts w:ascii="Times New Roman" w:hAnsi="Times New Roman"/>
          <w:sz w:val="24"/>
          <w:szCs w:val="24"/>
          <w:u w:val="single"/>
        </w:rPr>
        <w:t>Plans for Tabulation and Publication and Project Time Schedule</w:t>
      </w:r>
    </w:p>
    <w:p w:rsidR="00B031D5" w:rsidRPr="00F071E6" w:rsidP="00942723" w14:paraId="27B7200E" w14:textId="77777777">
      <w:pPr>
        <w:spacing w:after="0" w:line="240" w:lineRule="auto"/>
        <w:ind w:left="-180"/>
        <w:rPr>
          <w:rFonts w:ascii="Times New Roman" w:hAnsi="Times New Roman"/>
          <w:sz w:val="24"/>
          <w:szCs w:val="24"/>
        </w:rPr>
      </w:pPr>
    </w:p>
    <w:p w:rsidR="009342D9" w:rsidRPr="00F071E6" w:rsidP="00942723" w14:paraId="3755757B" w14:textId="77777777">
      <w:pPr>
        <w:spacing w:after="0" w:line="240" w:lineRule="auto"/>
        <w:ind w:left="-180"/>
        <w:rPr>
          <w:rFonts w:ascii="Times New Roman" w:hAnsi="Times New Roman"/>
          <w:sz w:val="24"/>
          <w:szCs w:val="24"/>
        </w:rPr>
      </w:pPr>
      <w:r w:rsidRPr="00F071E6">
        <w:rPr>
          <w:rFonts w:ascii="Times New Roman" w:hAnsi="Times New Roman"/>
          <w:sz w:val="24"/>
          <w:szCs w:val="24"/>
        </w:rPr>
        <w:t>There are no plans for tabulation and publication and project time scheduling.</w:t>
      </w:r>
    </w:p>
    <w:p w:rsidR="009342D9" w:rsidRPr="00F071E6" w:rsidP="00942723" w14:paraId="6488B298" w14:textId="77777777">
      <w:pPr>
        <w:spacing w:after="0" w:line="240" w:lineRule="auto"/>
        <w:ind w:left="-180"/>
        <w:rPr>
          <w:rFonts w:ascii="Times New Roman" w:hAnsi="Times New Roman"/>
          <w:sz w:val="24"/>
          <w:szCs w:val="24"/>
        </w:rPr>
      </w:pPr>
    </w:p>
    <w:p w:rsidR="009342D9" w:rsidRPr="00F071E6" w:rsidP="00942723" w14:paraId="6B3852EC" w14:textId="77777777">
      <w:pPr>
        <w:spacing w:after="0" w:line="240" w:lineRule="auto"/>
        <w:ind w:left="-180"/>
        <w:rPr>
          <w:rFonts w:ascii="Times New Roman" w:hAnsi="Times New Roman"/>
          <w:sz w:val="24"/>
          <w:szCs w:val="24"/>
          <w:u w:val="single"/>
        </w:rPr>
      </w:pPr>
      <w:r w:rsidRPr="00F071E6">
        <w:rPr>
          <w:rFonts w:ascii="Times New Roman" w:hAnsi="Times New Roman"/>
          <w:sz w:val="24"/>
          <w:szCs w:val="24"/>
        </w:rPr>
        <w:t>17</w:t>
      </w:r>
      <w:r w:rsidRPr="00F071E6" w:rsidR="00392B31">
        <w:rPr>
          <w:rFonts w:ascii="Times New Roman" w:hAnsi="Times New Roman"/>
          <w:sz w:val="24"/>
          <w:szCs w:val="24"/>
        </w:rPr>
        <w:t>.</w:t>
      </w:r>
      <w:r w:rsidRPr="00F071E6" w:rsidR="00D35161">
        <w:rPr>
          <w:rFonts w:ascii="Times New Roman" w:hAnsi="Times New Roman"/>
          <w:sz w:val="24"/>
          <w:szCs w:val="24"/>
        </w:rPr>
        <w:t xml:space="preserve">  </w:t>
      </w:r>
      <w:r w:rsidRPr="00F071E6">
        <w:rPr>
          <w:rFonts w:ascii="Times New Roman" w:hAnsi="Times New Roman"/>
          <w:sz w:val="24"/>
          <w:szCs w:val="24"/>
          <w:u w:val="single"/>
        </w:rPr>
        <w:t>Reason(s) Display of OMB Expiration Date is Inappropriate</w:t>
      </w:r>
    </w:p>
    <w:p w:rsidR="00B031D5" w:rsidRPr="00F071E6" w:rsidP="00942723" w14:paraId="6AD2228A" w14:textId="77777777">
      <w:pPr>
        <w:spacing w:after="0" w:line="240" w:lineRule="auto"/>
        <w:ind w:left="-180"/>
        <w:rPr>
          <w:rFonts w:ascii="Times New Roman" w:hAnsi="Times New Roman"/>
          <w:sz w:val="24"/>
          <w:szCs w:val="24"/>
        </w:rPr>
      </w:pPr>
    </w:p>
    <w:p w:rsidR="009342D9" w:rsidRPr="00F071E6" w:rsidP="00942723" w14:paraId="1A83FD40" w14:textId="77777777">
      <w:pPr>
        <w:spacing w:after="0" w:line="240" w:lineRule="auto"/>
        <w:ind w:left="-180"/>
        <w:rPr>
          <w:rFonts w:ascii="Times New Roman" w:hAnsi="Times New Roman"/>
          <w:sz w:val="24"/>
          <w:szCs w:val="24"/>
        </w:rPr>
      </w:pPr>
      <w:r w:rsidRPr="00F071E6">
        <w:rPr>
          <w:rFonts w:ascii="Times New Roman" w:hAnsi="Times New Roman"/>
          <w:sz w:val="24"/>
          <w:szCs w:val="24"/>
        </w:rPr>
        <w:t>The OMB expiration dat</w:t>
      </w:r>
      <w:r w:rsidRPr="00F071E6" w:rsidR="00530B6E">
        <w:rPr>
          <w:rFonts w:ascii="Times New Roman" w:hAnsi="Times New Roman"/>
          <w:sz w:val="24"/>
          <w:szCs w:val="24"/>
        </w:rPr>
        <w:t>e</w:t>
      </w:r>
      <w:r w:rsidRPr="00F071E6">
        <w:rPr>
          <w:rFonts w:ascii="Times New Roman" w:hAnsi="Times New Roman"/>
          <w:sz w:val="24"/>
          <w:szCs w:val="24"/>
        </w:rPr>
        <w:t xml:space="preserve"> will be displayed </w:t>
      </w:r>
      <w:r w:rsidRPr="00F071E6" w:rsidR="00285403">
        <w:rPr>
          <w:rFonts w:ascii="Times New Roman" w:hAnsi="Times New Roman"/>
          <w:sz w:val="24"/>
          <w:szCs w:val="24"/>
        </w:rPr>
        <w:t xml:space="preserve">as </w:t>
      </w:r>
      <w:r w:rsidRPr="00F071E6">
        <w:rPr>
          <w:rFonts w:ascii="Times New Roman" w:hAnsi="Times New Roman"/>
          <w:sz w:val="24"/>
          <w:szCs w:val="24"/>
        </w:rPr>
        <w:t>required.</w:t>
      </w:r>
    </w:p>
    <w:p w:rsidR="009342D9" w:rsidRPr="00F071E6" w:rsidP="00942723" w14:paraId="54973021" w14:textId="77777777">
      <w:pPr>
        <w:spacing w:after="0" w:line="240" w:lineRule="auto"/>
        <w:ind w:left="-180"/>
        <w:rPr>
          <w:rFonts w:ascii="Times New Roman" w:hAnsi="Times New Roman"/>
          <w:sz w:val="24"/>
          <w:szCs w:val="24"/>
        </w:rPr>
      </w:pPr>
    </w:p>
    <w:p w:rsidR="009342D9" w:rsidRPr="00F071E6" w:rsidP="00942723" w14:paraId="471E3E73" w14:textId="77777777">
      <w:pPr>
        <w:spacing w:after="0" w:line="240" w:lineRule="auto"/>
        <w:ind w:left="-180"/>
        <w:rPr>
          <w:rFonts w:ascii="Times New Roman" w:hAnsi="Times New Roman"/>
          <w:sz w:val="24"/>
          <w:szCs w:val="24"/>
        </w:rPr>
      </w:pPr>
      <w:r w:rsidRPr="00F071E6">
        <w:rPr>
          <w:rFonts w:ascii="Times New Roman" w:hAnsi="Times New Roman"/>
          <w:sz w:val="24"/>
          <w:szCs w:val="24"/>
        </w:rPr>
        <w:t>18</w:t>
      </w:r>
      <w:r w:rsidRPr="00F071E6" w:rsidR="00392B31">
        <w:rPr>
          <w:rFonts w:ascii="Times New Roman" w:hAnsi="Times New Roman"/>
          <w:sz w:val="24"/>
          <w:szCs w:val="24"/>
        </w:rPr>
        <w:t>.</w:t>
      </w:r>
      <w:r w:rsidRPr="00F071E6" w:rsidR="00D35161">
        <w:rPr>
          <w:rFonts w:ascii="Times New Roman" w:hAnsi="Times New Roman"/>
          <w:sz w:val="24"/>
          <w:szCs w:val="24"/>
        </w:rPr>
        <w:t xml:space="preserve">  </w:t>
      </w:r>
      <w:r w:rsidRPr="00F071E6">
        <w:rPr>
          <w:rFonts w:ascii="Times New Roman" w:hAnsi="Times New Roman"/>
          <w:sz w:val="24"/>
          <w:szCs w:val="24"/>
          <w:u w:val="single"/>
        </w:rPr>
        <w:t xml:space="preserve">Exceptions to Certification for Paperwork Reduction Act Submissions </w:t>
      </w:r>
    </w:p>
    <w:p w:rsidR="00B031D5" w:rsidRPr="00F071E6" w:rsidP="00942723" w14:paraId="6E4EA129" w14:textId="77777777">
      <w:pPr>
        <w:spacing w:after="0" w:line="240" w:lineRule="auto"/>
        <w:ind w:left="-180"/>
        <w:rPr>
          <w:rFonts w:ascii="Times New Roman" w:hAnsi="Times New Roman"/>
          <w:sz w:val="24"/>
          <w:szCs w:val="24"/>
        </w:rPr>
      </w:pPr>
    </w:p>
    <w:p w:rsidR="00DD59A9" w:rsidRPr="00F071E6" w:rsidP="00942723" w14:paraId="59898480" w14:textId="77777777">
      <w:pPr>
        <w:spacing w:after="0" w:line="240" w:lineRule="auto"/>
        <w:ind w:left="-180"/>
        <w:rPr>
          <w:rFonts w:ascii="Times New Roman" w:hAnsi="Times New Roman"/>
          <w:sz w:val="24"/>
          <w:szCs w:val="24"/>
        </w:rPr>
      </w:pPr>
      <w:r w:rsidRPr="00F071E6">
        <w:rPr>
          <w:rFonts w:ascii="Times New Roman" w:hAnsi="Times New Roman"/>
          <w:sz w:val="24"/>
          <w:szCs w:val="24"/>
        </w:rPr>
        <w:t>There are no exceptions to the certification in 5 CFR 1320.9.</w:t>
      </w:r>
    </w:p>
    <w:sectPr w:rsidSect="00C40E15">
      <w:headerReference w:type="default" r:id="rId7"/>
      <w:footerReference w:type="default" r:id="rId8"/>
      <w:headerReference w:type="first" r:id="rId9"/>
      <w:pgSz w:w="12240" w:h="15840"/>
      <w:pgMar w:top="1440" w:right="1584" w:bottom="1440" w:left="158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72089658"/>
      <w:docPartObj>
        <w:docPartGallery w:val="Page Numbers (Bottom of Page)"/>
        <w:docPartUnique/>
      </w:docPartObj>
    </w:sdtPr>
    <w:sdtEndPr>
      <w:rPr>
        <w:rFonts w:ascii="Times New Roman" w:hAnsi="Times New Roman"/>
        <w:noProof/>
        <w:sz w:val="24"/>
        <w:szCs w:val="24"/>
      </w:rPr>
    </w:sdtEndPr>
    <w:sdtContent>
      <w:p w:rsidR="00D50ABE" w14:paraId="7291DC8F" w14:textId="77777777">
        <w:pPr>
          <w:pStyle w:val="Footer"/>
          <w:jc w:val="center"/>
        </w:pPr>
      </w:p>
      <w:p w:rsidR="00D50ABE" w14:paraId="60C75E59" w14:textId="77777777">
        <w:pPr>
          <w:pStyle w:val="Footer"/>
          <w:jc w:val="center"/>
        </w:pPr>
      </w:p>
      <w:p w:rsidR="00A0348A" w:rsidRPr="000322A2" w14:paraId="5B7B54AC" w14:textId="77777777">
        <w:pPr>
          <w:pStyle w:val="Footer"/>
          <w:jc w:val="center"/>
          <w:rPr>
            <w:rFonts w:ascii="Times New Roman" w:hAnsi="Times New Roman"/>
            <w:sz w:val="24"/>
            <w:szCs w:val="24"/>
          </w:rPr>
        </w:pPr>
        <w:r w:rsidRPr="000322A2">
          <w:rPr>
            <w:rFonts w:ascii="Times New Roman" w:hAnsi="Times New Roman"/>
            <w:sz w:val="24"/>
            <w:szCs w:val="24"/>
          </w:rPr>
          <w:fldChar w:fldCharType="begin"/>
        </w:r>
        <w:r w:rsidRPr="000322A2">
          <w:rPr>
            <w:rFonts w:ascii="Times New Roman" w:hAnsi="Times New Roman"/>
            <w:sz w:val="24"/>
            <w:szCs w:val="24"/>
          </w:rPr>
          <w:instrText xml:space="preserve"> PAGE   \* MERGEFORMAT </w:instrText>
        </w:r>
        <w:r w:rsidRPr="000322A2">
          <w:rPr>
            <w:rFonts w:ascii="Times New Roman" w:hAnsi="Times New Roman"/>
            <w:sz w:val="24"/>
            <w:szCs w:val="24"/>
          </w:rPr>
          <w:fldChar w:fldCharType="separate"/>
        </w:r>
        <w:r>
          <w:rPr>
            <w:rFonts w:ascii="Times New Roman" w:hAnsi="Times New Roman"/>
            <w:noProof/>
            <w:sz w:val="24"/>
            <w:szCs w:val="24"/>
          </w:rPr>
          <w:t>8</w:t>
        </w:r>
        <w:r w:rsidRPr="000322A2">
          <w:rPr>
            <w:rFonts w:ascii="Times New Roman" w:hAnsi="Times New Roman"/>
            <w:noProof/>
            <w:sz w:val="24"/>
            <w:szCs w:val="24"/>
          </w:rPr>
          <w:fldChar w:fldCharType="end"/>
        </w:r>
      </w:p>
    </w:sdtContent>
  </w:sdt>
  <w:p w:rsidR="00A0348A" w14:paraId="256C2A3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6C6" w:rsidP="008B6B2E" w14:paraId="4AD8968E" w14:textId="77777777">
    <w:pPr>
      <w:pStyle w:val="Header"/>
      <w:ind w:left="-720"/>
    </w:pPr>
    <w:r>
      <w:rPr>
        <w:noProof/>
      </w:rPr>
      <w:drawing>
        <wp:inline distT="0" distB="0" distL="0" distR="0">
          <wp:extent cx="2653393" cy="54897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653393" cy="548978"/>
                  </a:xfrm>
                  <a:prstGeom prst="rect">
                    <a:avLst/>
                  </a:prstGeom>
                </pic:spPr>
              </pic:pic>
            </a:graphicData>
          </a:graphic>
        </wp:inline>
      </w:drawing>
    </w:r>
  </w:p>
  <w:p w:rsidR="008B6B2E" w:rsidP="008B6B2E" w14:paraId="7214A3D8" w14:textId="77777777">
    <w:pPr>
      <w:pStyle w:val="Header"/>
      <w:ind w:left="-720"/>
    </w:pPr>
  </w:p>
  <w:p w:rsidR="004856C6" w:rsidP="004856C6" w14:paraId="1CDE82A4" w14:textId="77777777">
    <w:pPr>
      <w:pStyle w:val="Header"/>
      <w:ind w:left="-5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74E0" w:rsidP="00A55347" w14:paraId="4F360667" w14:textId="77777777">
    <w:pPr>
      <w:pStyle w:val="Header"/>
      <w:ind w:left="-720"/>
    </w:pPr>
    <w:r>
      <w:rPr>
        <w:noProof/>
      </w:rPr>
      <w:drawing>
        <wp:inline distT="0" distB="0" distL="0" distR="0">
          <wp:extent cx="2762250"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62250" cy="571500"/>
                  </a:xfrm>
                  <a:prstGeom prst="rect">
                    <a:avLst/>
                  </a:prstGeom>
                </pic:spPr>
              </pic:pic>
            </a:graphicData>
          </a:graphic>
        </wp:inline>
      </w:drawing>
    </w:r>
  </w:p>
  <w:p w:rsidR="00A55347" w:rsidP="00A55347" w14:paraId="66A0893D" w14:textId="77777777">
    <w:pPr>
      <w:pStyle w:val="Header"/>
      <w:ind w:left="-720"/>
    </w:pPr>
  </w:p>
  <w:p w:rsidR="009F43A2" w:rsidP="00A55347" w14:paraId="37BDD19C" w14:textId="77777777">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05194"/>
    <w:multiLevelType w:val="hybridMultilevel"/>
    <w:tmpl w:val="D4B83C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DDA1292"/>
    <w:multiLevelType w:val="hybridMultilevel"/>
    <w:tmpl w:val="44ACD48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48D7586"/>
    <w:multiLevelType w:val="hybridMultilevel"/>
    <w:tmpl w:val="D40668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5090E28"/>
    <w:multiLevelType w:val="hybridMultilevel"/>
    <w:tmpl w:val="97FC36D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3A7679E9"/>
    <w:multiLevelType w:val="hybridMultilevel"/>
    <w:tmpl w:val="78D89308"/>
    <w:lvl w:ilvl="0">
      <w:start w:val="1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F962E5D"/>
    <w:multiLevelType w:val="hybridMultilevel"/>
    <w:tmpl w:val="E8E07B1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451A2915"/>
    <w:multiLevelType w:val="hybridMultilevel"/>
    <w:tmpl w:val="CFDCDD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B7765DF"/>
    <w:multiLevelType w:val="hybridMultilevel"/>
    <w:tmpl w:val="F678FA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646376A3"/>
    <w:multiLevelType w:val="hybridMultilevel"/>
    <w:tmpl w:val="FF2A9586"/>
    <w:lvl w:ilvl="0">
      <w:start w:val="1"/>
      <w:numFmt w:val="decimal"/>
      <w:lvlText w:val="(%1)"/>
      <w:lvlJc w:val="left"/>
      <w:pPr>
        <w:ind w:left="216" w:hanging="396"/>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9">
    <w:nsid w:val="7A1710BC"/>
    <w:multiLevelType w:val="hybridMultilevel"/>
    <w:tmpl w:val="02640C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9997288">
    <w:abstractNumId w:val="3"/>
  </w:num>
  <w:num w:numId="2" w16cid:durableId="899483074">
    <w:abstractNumId w:val="5"/>
  </w:num>
  <w:num w:numId="3" w16cid:durableId="1148324867">
    <w:abstractNumId w:val="1"/>
  </w:num>
  <w:num w:numId="4" w16cid:durableId="1321808856">
    <w:abstractNumId w:val="0"/>
  </w:num>
  <w:num w:numId="5" w16cid:durableId="1639144742">
    <w:abstractNumId w:val="6"/>
  </w:num>
  <w:num w:numId="6" w16cid:durableId="755245681">
    <w:abstractNumId w:val="9"/>
  </w:num>
  <w:num w:numId="7" w16cid:durableId="367537298">
    <w:abstractNumId w:val="7"/>
  </w:num>
  <w:num w:numId="8" w16cid:durableId="389160474">
    <w:abstractNumId w:val="8"/>
  </w:num>
  <w:num w:numId="9" w16cid:durableId="560868048">
    <w:abstractNumId w:val="2"/>
  </w:num>
  <w:num w:numId="10" w16cid:durableId="121311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EC3"/>
    <w:rsid w:val="00000BC8"/>
    <w:rsid w:val="000015AA"/>
    <w:rsid w:val="00001DAC"/>
    <w:rsid w:val="0000238C"/>
    <w:rsid w:val="00003E23"/>
    <w:rsid w:val="00004D17"/>
    <w:rsid w:val="000062D4"/>
    <w:rsid w:val="00010960"/>
    <w:rsid w:val="000117D3"/>
    <w:rsid w:val="00014EC8"/>
    <w:rsid w:val="000152CE"/>
    <w:rsid w:val="00016540"/>
    <w:rsid w:val="0001729E"/>
    <w:rsid w:val="00020E6F"/>
    <w:rsid w:val="00020FB0"/>
    <w:rsid w:val="0002175F"/>
    <w:rsid w:val="0002240D"/>
    <w:rsid w:val="000227D5"/>
    <w:rsid w:val="00022F66"/>
    <w:rsid w:val="000232BC"/>
    <w:rsid w:val="00024CB1"/>
    <w:rsid w:val="00024E17"/>
    <w:rsid w:val="00031C1E"/>
    <w:rsid w:val="00031C98"/>
    <w:rsid w:val="000322A2"/>
    <w:rsid w:val="00032355"/>
    <w:rsid w:val="00034042"/>
    <w:rsid w:val="00035268"/>
    <w:rsid w:val="000400BD"/>
    <w:rsid w:val="00040D79"/>
    <w:rsid w:val="00041400"/>
    <w:rsid w:val="000419C8"/>
    <w:rsid w:val="000436A5"/>
    <w:rsid w:val="000439EA"/>
    <w:rsid w:val="000451CF"/>
    <w:rsid w:val="00045445"/>
    <w:rsid w:val="000455A9"/>
    <w:rsid w:val="00045BE3"/>
    <w:rsid w:val="0004680F"/>
    <w:rsid w:val="00046AB8"/>
    <w:rsid w:val="00047183"/>
    <w:rsid w:val="000473A0"/>
    <w:rsid w:val="00050130"/>
    <w:rsid w:val="00051BCF"/>
    <w:rsid w:val="00052D86"/>
    <w:rsid w:val="00055032"/>
    <w:rsid w:val="00056151"/>
    <w:rsid w:val="000608B9"/>
    <w:rsid w:val="00061005"/>
    <w:rsid w:val="00065439"/>
    <w:rsid w:val="00065781"/>
    <w:rsid w:val="00065BA5"/>
    <w:rsid w:val="00065DA8"/>
    <w:rsid w:val="00065F44"/>
    <w:rsid w:val="00066193"/>
    <w:rsid w:val="000661EB"/>
    <w:rsid w:val="00066F5A"/>
    <w:rsid w:val="00067063"/>
    <w:rsid w:val="00070B75"/>
    <w:rsid w:val="00071AC2"/>
    <w:rsid w:val="00071BCA"/>
    <w:rsid w:val="00071E92"/>
    <w:rsid w:val="00071ECA"/>
    <w:rsid w:val="0007240F"/>
    <w:rsid w:val="000730E5"/>
    <w:rsid w:val="00073637"/>
    <w:rsid w:val="00074C07"/>
    <w:rsid w:val="000754F0"/>
    <w:rsid w:val="00077F79"/>
    <w:rsid w:val="000808D6"/>
    <w:rsid w:val="000812B1"/>
    <w:rsid w:val="00082058"/>
    <w:rsid w:val="00083000"/>
    <w:rsid w:val="000836F8"/>
    <w:rsid w:val="00083936"/>
    <w:rsid w:val="0008608A"/>
    <w:rsid w:val="000868E7"/>
    <w:rsid w:val="00086CC0"/>
    <w:rsid w:val="00086D79"/>
    <w:rsid w:val="00090ED1"/>
    <w:rsid w:val="0009192B"/>
    <w:rsid w:val="00091AA2"/>
    <w:rsid w:val="00091FA3"/>
    <w:rsid w:val="00094324"/>
    <w:rsid w:val="00097192"/>
    <w:rsid w:val="000A07B6"/>
    <w:rsid w:val="000A0D23"/>
    <w:rsid w:val="000A1046"/>
    <w:rsid w:val="000A18F9"/>
    <w:rsid w:val="000A21F4"/>
    <w:rsid w:val="000A2EF2"/>
    <w:rsid w:val="000A31B8"/>
    <w:rsid w:val="000A3E03"/>
    <w:rsid w:val="000A4F60"/>
    <w:rsid w:val="000A50BA"/>
    <w:rsid w:val="000A524B"/>
    <w:rsid w:val="000A5D52"/>
    <w:rsid w:val="000A6E9B"/>
    <w:rsid w:val="000A720A"/>
    <w:rsid w:val="000B0123"/>
    <w:rsid w:val="000B0805"/>
    <w:rsid w:val="000B0EFA"/>
    <w:rsid w:val="000B10A4"/>
    <w:rsid w:val="000B44D7"/>
    <w:rsid w:val="000B4ED4"/>
    <w:rsid w:val="000B62B9"/>
    <w:rsid w:val="000B692F"/>
    <w:rsid w:val="000B6BAB"/>
    <w:rsid w:val="000C02FB"/>
    <w:rsid w:val="000C427E"/>
    <w:rsid w:val="000C4453"/>
    <w:rsid w:val="000C6CA5"/>
    <w:rsid w:val="000C7828"/>
    <w:rsid w:val="000C7853"/>
    <w:rsid w:val="000C7B81"/>
    <w:rsid w:val="000D1783"/>
    <w:rsid w:val="000D2ABD"/>
    <w:rsid w:val="000D2FAB"/>
    <w:rsid w:val="000D3E34"/>
    <w:rsid w:val="000D7684"/>
    <w:rsid w:val="000E1969"/>
    <w:rsid w:val="000E3C65"/>
    <w:rsid w:val="000E40F3"/>
    <w:rsid w:val="000E423F"/>
    <w:rsid w:val="000E4700"/>
    <w:rsid w:val="000E4D46"/>
    <w:rsid w:val="000E5E98"/>
    <w:rsid w:val="000E6142"/>
    <w:rsid w:val="000E68D3"/>
    <w:rsid w:val="000F12B6"/>
    <w:rsid w:val="000F3502"/>
    <w:rsid w:val="000F678D"/>
    <w:rsid w:val="001000D4"/>
    <w:rsid w:val="00100ADE"/>
    <w:rsid w:val="00101874"/>
    <w:rsid w:val="00101BDC"/>
    <w:rsid w:val="00102827"/>
    <w:rsid w:val="001042C3"/>
    <w:rsid w:val="00105974"/>
    <w:rsid w:val="00107698"/>
    <w:rsid w:val="00110112"/>
    <w:rsid w:val="00110D96"/>
    <w:rsid w:val="00110F56"/>
    <w:rsid w:val="00112AFC"/>
    <w:rsid w:val="00113BD7"/>
    <w:rsid w:val="001144C1"/>
    <w:rsid w:val="001145D5"/>
    <w:rsid w:val="00114A15"/>
    <w:rsid w:val="00115747"/>
    <w:rsid w:val="001202C0"/>
    <w:rsid w:val="00121280"/>
    <w:rsid w:val="00121D99"/>
    <w:rsid w:val="00123BD1"/>
    <w:rsid w:val="00123C18"/>
    <w:rsid w:val="00125F3F"/>
    <w:rsid w:val="00126139"/>
    <w:rsid w:val="0012669B"/>
    <w:rsid w:val="00127089"/>
    <w:rsid w:val="001278FD"/>
    <w:rsid w:val="00131625"/>
    <w:rsid w:val="00132B98"/>
    <w:rsid w:val="00133291"/>
    <w:rsid w:val="001362DF"/>
    <w:rsid w:val="00137085"/>
    <w:rsid w:val="00137613"/>
    <w:rsid w:val="00141F45"/>
    <w:rsid w:val="0014281C"/>
    <w:rsid w:val="00143FF9"/>
    <w:rsid w:val="00145392"/>
    <w:rsid w:val="0014586C"/>
    <w:rsid w:val="001459D3"/>
    <w:rsid w:val="001464DE"/>
    <w:rsid w:val="001468F9"/>
    <w:rsid w:val="00146E00"/>
    <w:rsid w:val="00146F6F"/>
    <w:rsid w:val="00150743"/>
    <w:rsid w:val="0015195B"/>
    <w:rsid w:val="001524EF"/>
    <w:rsid w:val="00156223"/>
    <w:rsid w:val="0016196F"/>
    <w:rsid w:val="00162579"/>
    <w:rsid w:val="0016374A"/>
    <w:rsid w:val="00163A1E"/>
    <w:rsid w:val="00164814"/>
    <w:rsid w:val="00166DAE"/>
    <w:rsid w:val="00167228"/>
    <w:rsid w:val="001678F0"/>
    <w:rsid w:val="00171D2B"/>
    <w:rsid w:val="0017278A"/>
    <w:rsid w:val="001727C6"/>
    <w:rsid w:val="001728E7"/>
    <w:rsid w:val="00173523"/>
    <w:rsid w:val="00173B47"/>
    <w:rsid w:val="001752F8"/>
    <w:rsid w:val="00175B0A"/>
    <w:rsid w:val="0018044A"/>
    <w:rsid w:val="001827B2"/>
    <w:rsid w:val="00184215"/>
    <w:rsid w:val="0018497F"/>
    <w:rsid w:val="00184A12"/>
    <w:rsid w:val="00184FBB"/>
    <w:rsid w:val="001852D6"/>
    <w:rsid w:val="001904D5"/>
    <w:rsid w:val="0019274C"/>
    <w:rsid w:val="001953E6"/>
    <w:rsid w:val="00195B8E"/>
    <w:rsid w:val="00195F8F"/>
    <w:rsid w:val="00196B97"/>
    <w:rsid w:val="00196DF6"/>
    <w:rsid w:val="0019727D"/>
    <w:rsid w:val="001A1C54"/>
    <w:rsid w:val="001A20CB"/>
    <w:rsid w:val="001A2B11"/>
    <w:rsid w:val="001A539A"/>
    <w:rsid w:val="001B1D36"/>
    <w:rsid w:val="001B2144"/>
    <w:rsid w:val="001B3244"/>
    <w:rsid w:val="001B374F"/>
    <w:rsid w:val="001B4EC3"/>
    <w:rsid w:val="001B5788"/>
    <w:rsid w:val="001B5C9D"/>
    <w:rsid w:val="001B66A4"/>
    <w:rsid w:val="001B7DD8"/>
    <w:rsid w:val="001B7F69"/>
    <w:rsid w:val="001C08C9"/>
    <w:rsid w:val="001C1C13"/>
    <w:rsid w:val="001C3413"/>
    <w:rsid w:val="001C3B04"/>
    <w:rsid w:val="001C4CCA"/>
    <w:rsid w:val="001C5340"/>
    <w:rsid w:val="001C7572"/>
    <w:rsid w:val="001D02BE"/>
    <w:rsid w:val="001D133C"/>
    <w:rsid w:val="001D1E83"/>
    <w:rsid w:val="001D2168"/>
    <w:rsid w:val="001D274D"/>
    <w:rsid w:val="001D32FD"/>
    <w:rsid w:val="001D3886"/>
    <w:rsid w:val="001D4538"/>
    <w:rsid w:val="001D5888"/>
    <w:rsid w:val="001D6A2F"/>
    <w:rsid w:val="001D7D52"/>
    <w:rsid w:val="001E0B31"/>
    <w:rsid w:val="001E308D"/>
    <w:rsid w:val="001F0374"/>
    <w:rsid w:val="001F0D91"/>
    <w:rsid w:val="001F3506"/>
    <w:rsid w:val="001F378E"/>
    <w:rsid w:val="001F4327"/>
    <w:rsid w:val="001F458D"/>
    <w:rsid w:val="001F5002"/>
    <w:rsid w:val="001F56EE"/>
    <w:rsid w:val="001F58FD"/>
    <w:rsid w:val="001F679A"/>
    <w:rsid w:val="001F6F87"/>
    <w:rsid w:val="00201251"/>
    <w:rsid w:val="00201BC0"/>
    <w:rsid w:val="002029AB"/>
    <w:rsid w:val="002052F7"/>
    <w:rsid w:val="00206812"/>
    <w:rsid w:val="0021095B"/>
    <w:rsid w:val="002112D4"/>
    <w:rsid w:val="00211693"/>
    <w:rsid w:val="00211814"/>
    <w:rsid w:val="002123C0"/>
    <w:rsid w:val="002123E8"/>
    <w:rsid w:val="0021246A"/>
    <w:rsid w:val="00214BD5"/>
    <w:rsid w:val="00215F3A"/>
    <w:rsid w:val="002166D4"/>
    <w:rsid w:val="00220C31"/>
    <w:rsid w:val="002211D2"/>
    <w:rsid w:val="00223937"/>
    <w:rsid w:val="002239A8"/>
    <w:rsid w:val="00225456"/>
    <w:rsid w:val="002258D0"/>
    <w:rsid w:val="00226934"/>
    <w:rsid w:val="00226E39"/>
    <w:rsid w:val="002305ED"/>
    <w:rsid w:val="00232EE7"/>
    <w:rsid w:val="00235B82"/>
    <w:rsid w:val="00236132"/>
    <w:rsid w:val="0024226F"/>
    <w:rsid w:val="00242CC8"/>
    <w:rsid w:val="00244895"/>
    <w:rsid w:val="00245E7A"/>
    <w:rsid w:val="002466A9"/>
    <w:rsid w:val="00252092"/>
    <w:rsid w:val="0025270F"/>
    <w:rsid w:val="00252FDB"/>
    <w:rsid w:val="002546C2"/>
    <w:rsid w:val="00255CDA"/>
    <w:rsid w:val="002570F8"/>
    <w:rsid w:val="00260B07"/>
    <w:rsid w:val="0026111F"/>
    <w:rsid w:val="00263278"/>
    <w:rsid w:val="00265BFC"/>
    <w:rsid w:val="0026636A"/>
    <w:rsid w:val="00266A79"/>
    <w:rsid w:val="00266B4D"/>
    <w:rsid w:val="0027024B"/>
    <w:rsid w:val="002705F4"/>
    <w:rsid w:val="0027079D"/>
    <w:rsid w:val="0027256D"/>
    <w:rsid w:val="00273AFB"/>
    <w:rsid w:val="002740BA"/>
    <w:rsid w:val="0027470F"/>
    <w:rsid w:val="00274805"/>
    <w:rsid w:val="00274C89"/>
    <w:rsid w:val="00274DA3"/>
    <w:rsid w:val="00276E9F"/>
    <w:rsid w:val="002773D5"/>
    <w:rsid w:val="00280F85"/>
    <w:rsid w:val="00283D07"/>
    <w:rsid w:val="00285403"/>
    <w:rsid w:val="002866E9"/>
    <w:rsid w:val="00287E48"/>
    <w:rsid w:val="00290951"/>
    <w:rsid w:val="0029123B"/>
    <w:rsid w:val="002918A2"/>
    <w:rsid w:val="00291913"/>
    <w:rsid w:val="00292FCB"/>
    <w:rsid w:val="00293323"/>
    <w:rsid w:val="00294019"/>
    <w:rsid w:val="00294E00"/>
    <w:rsid w:val="002951F6"/>
    <w:rsid w:val="00295DB5"/>
    <w:rsid w:val="00296CA7"/>
    <w:rsid w:val="0029767B"/>
    <w:rsid w:val="002A15AE"/>
    <w:rsid w:val="002A1AC1"/>
    <w:rsid w:val="002A2FA3"/>
    <w:rsid w:val="002A3A53"/>
    <w:rsid w:val="002A694E"/>
    <w:rsid w:val="002A696D"/>
    <w:rsid w:val="002A6DA6"/>
    <w:rsid w:val="002A78AB"/>
    <w:rsid w:val="002B0BF4"/>
    <w:rsid w:val="002B30C3"/>
    <w:rsid w:val="002B32D3"/>
    <w:rsid w:val="002B4C94"/>
    <w:rsid w:val="002B6F7C"/>
    <w:rsid w:val="002C06A9"/>
    <w:rsid w:val="002C13F0"/>
    <w:rsid w:val="002C1B33"/>
    <w:rsid w:val="002C4D8B"/>
    <w:rsid w:val="002C56BB"/>
    <w:rsid w:val="002C5712"/>
    <w:rsid w:val="002C5BBC"/>
    <w:rsid w:val="002C5DEC"/>
    <w:rsid w:val="002C5F35"/>
    <w:rsid w:val="002C7E48"/>
    <w:rsid w:val="002D07BF"/>
    <w:rsid w:val="002D0C03"/>
    <w:rsid w:val="002D0EB4"/>
    <w:rsid w:val="002D1117"/>
    <w:rsid w:val="002D1672"/>
    <w:rsid w:val="002D2DD2"/>
    <w:rsid w:val="002D361C"/>
    <w:rsid w:val="002D761F"/>
    <w:rsid w:val="002E0B54"/>
    <w:rsid w:val="002E1D6C"/>
    <w:rsid w:val="002E2BC4"/>
    <w:rsid w:val="002E2F0B"/>
    <w:rsid w:val="002E405F"/>
    <w:rsid w:val="002E553B"/>
    <w:rsid w:val="002E5E0A"/>
    <w:rsid w:val="002E6069"/>
    <w:rsid w:val="002E615C"/>
    <w:rsid w:val="002E6BA7"/>
    <w:rsid w:val="002E7807"/>
    <w:rsid w:val="002F1205"/>
    <w:rsid w:val="002F2B06"/>
    <w:rsid w:val="002F32CE"/>
    <w:rsid w:val="002F3E8A"/>
    <w:rsid w:val="002F41DF"/>
    <w:rsid w:val="002F5257"/>
    <w:rsid w:val="002F551F"/>
    <w:rsid w:val="002F55D6"/>
    <w:rsid w:val="002F6B51"/>
    <w:rsid w:val="002F6CD8"/>
    <w:rsid w:val="002F731F"/>
    <w:rsid w:val="0030141C"/>
    <w:rsid w:val="0030335D"/>
    <w:rsid w:val="00304FF0"/>
    <w:rsid w:val="0030657A"/>
    <w:rsid w:val="00306E63"/>
    <w:rsid w:val="003101C6"/>
    <w:rsid w:val="00310606"/>
    <w:rsid w:val="00311F11"/>
    <w:rsid w:val="00312101"/>
    <w:rsid w:val="00312712"/>
    <w:rsid w:val="00313413"/>
    <w:rsid w:val="003158EA"/>
    <w:rsid w:val="00315CEE"/>
    <w:rsid w:val="0031629F"/>
    <w:rsid w:val="003165D7"/>
    <w:rsid w:val="003166B2"/>
    <w:rsid w:val="00317E5F"/>
    <w:rsid w:val="00323ED6"/>
    <w:rsid w:val="0032453D"/>
    <w:rsid w:val="00324D1F"/>
    <w:rsid w:val="00324FF2"/>
    <w:rsid w:val="003253CC"/>
    <w:rsid w:val="00331C3E"/>
    <w:rsid w:val="003334F5"/>
    <w:rsid w:val="0033387D"/>
    <w:rsid w:val="00333B97"/>
    <w:rsid w:val="00334A8B"/>
    <w:rsid w:val="003353A8"/>
    <w:rsid w:val="00335512"/>
    <w:rsid w:val="003356A2"/>
    <w:rsid w:val="00336943"/>
    <w:rsid w:val="00341A81"/>
    <w:rsid w:val="003441FE"/>
    <w:rsid w:val="003448EC"/>
    <w:rsid w:val="0034578F"/>
    <w:rsid w:val="00347B36"/>
    <w:rsid w:val="00347EA1"/>
    <w:rsid w:val="003514B6"/>
    <w:rsid w:val="00351C31"/>
    <w:rsid w:val="00351F70"/>
    <w:rsid w:val="00355A0B"/>
    <w:rsid w:val="00355B49"/>
    <w:rsid w:val="00360F65"/>
    <w:rsid w:val="0036385B"/>
    <w:rsid w:val="00363908"/>
    <w:rsid w:val="00363E97"/>
    <w:rsid w:val="00365E00"/>
    <w:rsid w:val="00366D35"/>
    <w:rsid w:val="003709E2"/>
    <w:rsid w:val="0037196F"/>
    <w:rsid w:val="003738EE"/>
    <w:rsid w:val="00373DE3"/>
    <w:rsid w:val="00374500"/>
    <w:rsid w:val="00380B36"/>
    <w:rsid w:val="00382EDF"/>
    <w:rsid w:val="003842AF"/>
    <w:rsid w:val="0038461E"/>
    <w:rsid w:val="00384853"/>
    <w:rsid w:val="00384936"/>
    <w:rsid w:val="00385B31"/>
    <w:rsid w:val="0038782F"/>
    <w:rsid w:val="00387ABE"/>
    <w:rsid w:val="00391D0C"/>
    <w:rsid w:val="003926B4"/>
    <w:rsid w:val="00392B31"/>
    <w:rsid w:val="003937AD"/>
    <w:rsid w:val="00393B27"/>
    <w:rsid w:val="00396283"/>
    <w:rsid w:val="00396F6F"/>
    <w:rsid w:val="00396F76"/>
    <w:rsid w:val="0039764E"/>
    <w:rsid w:val="00397A23"/>
    <w:rsid w:val="00397AA5"/>
    <w:rsid w:val="003A032B"/>
    <w:rsid w:val="003A266A"/>
    <w:rsid w:val="003A2760"/>
    <w:rsid w:val="003A2BD6"/>
    <w:rsid w:val="003A2C31"/>
    <w:rsid w:val="003A3D84"/>
    <w:rsid w:val="003A48C4"/>
    <w:rsid w:val="003A4969"/>
    <w:rsid w:val="003A4A6E"/>
    <w:rsid w:val="003A5482"/>
    <w:rsid w:val="003B1124"/>
    <w:rsid w:val="003B15EC"/>
    <w:rsid w:val="003B1FEC"/>
    <w:rsid w:val="003B4066"/>
    <w:rsid w:val="003B4A4C"/>
    <w:rsid w:val="003B5C64"/>
    <w:rsid w:val="003B6E96"/>
    <w:rsid w:val="003B75E4"/>
    <w:rsid w:val="003C089D"/>
    <w:rsid w:val="003C2C01"/>
    <w:rsid w:val="003C311B"/>
    <w:rsid w:val="003D04BA"/>
    <w:rsid w:val="003D1327"/>
    <w:rsid w:val="003D1D29"/>
    <w:rsid w:val="003D1FBF"/>
    <w:rsid w:val="003D2070"/>
    <w:rsid w:val="003D2518"/>
    <w:rsid w:val="003D2D48"/>
    <w:rsid w:val="003D30E3"/>
    <w:rsid w:val="003D3165"/>
    <w:rsid w:val="003D327D"/>
    <w:rsid w:val="003D3E1C"/>
    <w:rsid w:val="003D45A0"/>
    <w:rsid w:val="003D49EB"/>
    <w:rsid w:val="003D5A40"/>
    <w:rsid w:val="003E07B9"/>
    <w:rsid w:val="003E3282"/>
    <w:rsid w:val="003E362E"/>
    <w:rsid w:val="003E4388"/>
    <w:rsid w:val="003E473D"/>
    <w:rsid w:val="003E51D5"/>
    <w:rsid w:val="003E7206"/>
    <w:rsid w:val="003F0414"/>
    <w:rsid w:val="003F18F6"/>
    <w:rsid w:val="003F37E2"/>
    <w:rsid w:val="003F45C2"/>
    <w:rsid w:val="004003B8"/>
    <w:rsid w:val="00400E47"/>
    <w:rsid w:val="00400E60"/>
    <w:rsid w:val="00400EDE"/>
    <w:rsid w:val="00401256"/>
    <w:rsid w:val="0040192D"/>
    <w:rsid w:val="004023D9"/>
    <w:rsid w:val="00403572"/>
    <w:rsid w:val="0040464F"/>
    <w:rsid w:val="00405757"/>
    <w:rsid w:val="004060D5"/>
    <w:rsid w:val="00406154"/>
    <w:rsid w:val="0040702C"/>
    <w:rsid w:val="00407183"/>
    <w:rsid w:val="004119DD"/>
    <w:rsid w:val="00412732"/>
    <w:rsid w:val="0041355B"/>
    <w:rsid w:val="0041369A"/>
    <w:rsid w:val="004142B0"/>
    <w:rsid w:val="0041488B"/>
    <w:rsid w:val="00414A96"/>
    <w:rsid w:val="00414C73"/>
    <w:rsid w:val="00421667"/>
    <w:rsid w:val="00423557"/>
    <w:rsid w:val="0042476E"/>
    <w:rsid w:val="004265A5"/>
    <w:rsid w:val="00426CBE"/>
    <w:rsid w:val="00430B97"/>
    <w:rsid w:val="00431554"/>
    <w:rsid w:val="00434EC9"/>
    <w:rsid w:val="00436315"/>
    <w:rsid w:val="00437817"/>
    <w:rsid w:val="004404A8"/>
    <w:rsid w:val="0044388E"/>
    <w:rsid w:val="00446946"/>
    <w:rsid w:val="00452729"/>
    <w:rsid w:val="00452A1B"/>
    <w:rsid w:val="00455C3E"/>
    <w:rsid w:val="00456172"/>
    <w:rsid w:val="004563F4"/>
    <w:rsid w:val="00456C46"/>
    <w:rsid w:val="00457E3A"/>
    <w:rsid w:val="004609B2"/>
    <w:rsid w:val="0046189D"/>
    <w:rsid w:val="0046230B"/>
    <w:rsid w:val="00463A85"/>
    <w:rsid w:val="00464524"/>
    <w:rsid w:val="00465A95"/>
    <w:rsid w:val="00467B93"/>
    <w:rsid w:val="0047065E"/>
    <w:rsid w:val="00470AA1"/>
    <w:rsid w:val="004710A5"/>
    <w:rsid w:val="00471822"/>
    <w:rsid w:val="00471C9C"/>
    <w:rsid w:val="00474992"/>
    <w:rsid w:val="00477614"/>
    <w:rsid w:val="004805DE"/>
    <w:rsid w:val="00480C1A"/>
    <w:rsid w:val="00482719"/>
    <w:rsid w:val="00483A3C"/>
    <w:rsid w:val="0048408D"/>
    <w:rsid w:val="00484319"/>
    <w:rsid w:val="00484E21"/>
    <w:rsid w:val="00484EC3"/>
    <w:rsid w:val="004856C6"/>
    <w:rsid w:val="00485C68"/>
    <w:rsid w:val="0048680D"/>
    <w:rsid w:val="00486AE3"/>
    <w:rsid w:val="00486E30"/>
    <w:rsid w:val="00486F3E"/>
    <w:rsid w:val="0049011D"/>
    <w:rsid w:val="00491E2C"/>
    <w:rsid w:val="00492BDE"/>
    <w:rsid w:val="004944BB"/>
    <w:rsid w:val="004958B0"/>
    <w:rsid w:val="004960A9"/>
    <w:rsid w:val="00496689"/>
    <w:rsid w:val="00497BEC"/>
    <w:rsid w:val="004A08DE"/>
    <w:rsid w:val="004A2378"/>
    <w:rsid w:val="004A38C6"/>
    <w:rsid w:val="004A4020"/>
    <w:rsid w:val="004A4DD7"/>
    <w:rsid w:val="004A6C92"/>
    <w:rsid w:val="004A79F6"/>
    <w:rsid w:val="004A7DBE"/>
    <w:rsid w:val="004B0149"/>
    <w:rsid w:val="004B027A"/>
    <w:rsid w:val="004B1628"/>
    <w:rsid w:val="004B1C6F"/>
    <w:rsid w:val="004B3E89"/>
    <w:rsid w:val="004B4439"/>
    <w:rsid w:val="004B59BE"/>
    <w:rsid w:val="004B5B7B"/>
    <w:rsid w:val="004B5EC5"/>
    <w:rsid w:val="004B6F30"/>
    <w:rsid w:val="004C0C72"/>
    <w:rsid w:val="004C0D9C"/>
    <w:rsid w:val="004C104E"/>
    <w:rsid w:val="004C2FB0"/>
    <w:rsid w:val="004C42D0"/>
    <w:rsid w:val="004C54AD"/>
    <w:rsid w:val="004C5A7D"/>
    <w:rsid w:val="004C6256"/>
    <w:rsid w:val="004D161A"/>
    <w:rsid w:val="004D2B25"/>
    <w:rsid w:val="004D3620"/>
    <w:rsid w:val="004D3A20"/>
    <w:rsid w:val="004D3E9D"/>
    <w:rsid w:val="004D4400"/>
    <w:rsid w:val="004D4786"/>
    <w:rsid w:val="004D6201"/>
    <w:rsid w:val="004D63CA"/>
    <w:rsid w:val="004D72DD"/>
    <w:rsid w:val="004D78BD"/>
    <w:rsid w:val="004E0E88"/>
    <w:rsid w:val="004E14B7"/>
    <w:rsid w:val="004E14B8"/>
    <w:rsid w:val="004E1535"/>
    <w:rsid w:val="004E1735"/>
    <w:rsid w:val="004E20A0"/>
    <w:rsid w:val="004E347D"/>
    <w:rsid w:val="004E36FA"/>
    <w:rsid w:val="004E45C4"/>
    <w:rsid w:val="004E4EEA"/>
    <w:rsid w:val="004E56ED"/>
    <w:rsid w:val="004E6B37"/>
    <w:rsid w:val="004E6E9E"/>
    <w:rsid w:val="004F0A3B"/>
    <w:rsid w:val="004F2438"/>
    <w:rsid w:val="004F6977"/>
    <w:rsid w:val="00500649"/>
    <w:rsid w:val="00500B71"/>
    <w:rsid w:val="00501705"/>
    <w:rsid w:val="005028BF"/>
    <w:rsid w:val="0050427E"/>
    <w:rsid w:val="00504419"/>
    <w:rsid w:val="00506D6D"/>
    <w:rsid w:val="005114A2"/>
    <w:rsid w:val="00513458"/>
    <w:rsid w:val="00513742"/>
    <w:rsid w:val="00513CB0"/>
    <w:rsid w:val="005159B7"/>
    <w:rsid w:val="005162D7"/>
    <w:rsid w:val="00516CB5"/>
    <w:rsid w:val="00516E10"/>
    <w:rsid w:val="005179E8"/>
    <w:rsid w:val="00521433"/>
    <w:rsid w:val="00521FCE"/>
    <w:rsid w:val="005226BF"/>
    <w:rsid w:val="005247FB"/>
    <w:rsid w:val="00527073"/>
    <w:rsid w:val="005279B8"/>
    <w:rsid w:val="00530B6E"/>
    <w:rsid w:val="00534AD1"/>
    <w:rsid w:val="00535952"/>
    <w:rsid w:val="00536676"/>
    <w:rsid w:val="0053755A"/>
    <w:rsid w:val="005375DB"/>
    <w:rsid w:val="00537A08"/>
    <w:rsid w:val="0054014A"/>
    <w:rsid w:val="0054039F"/>
    <w:rsid w:val="005419FB"/>
    <w:rsid w:val="005440FE"/>
    <w:rsid w:val="005446EE"/>
    <w:rsid w:val="005457A4"/>
    <w:rsid w:val="005461F3"/>
    <w:rsid w:val="00546D60"/>
    <w:rsid w:val="00550FF7"/>
    <w:rsid w:val="00551CE7"/>
    <w:rsid w:val="00551DF0"/>
    <w:rsid w:val="005529C4"/>
    <w:rsid w:val="00552CBE"/>
    <w:rsid w:val="00554749"/>
    <w:rsid w:val="00554F28"/>
    <w:rsid w:val="00555D38"/>
    <w:rsid w:val="0055781E"/>
    <w:rsid w:val="0056068C"/>
    <w:rsid w:val="005626D8"/>
    <w:rsid w:val="00563005"/>
    <w:rsid w:val="00563CDE"/>
    <w:rsid w:val="00563F20"/>
    <w:rsid w:val="00565764"/>
    <w:rsid w:val="005664DC"/>
    <w:rsid w:val="005674B9"/>
    <w:rsid w:val="00570D68"/>
    <w:rsid w:val="00571394"/>
    <w:rsid w:val="005717CA"/>
    <w:rsid w:val="005718BF"/>
    <w:rsid w:val="00571BF8"/>
    <w:rsid w:val="00573139"/>
    <w:rsid w:val="00573498"/>
    <w:rsid w:val="005741F6"/>
    <w:rsid w:val="00575780"/>
    <w:rsid w:val="00577C7C"/>
    <w:rsid w:val="00577D9A"/>
    <w:rsid w:val="00581F68"/>
    <w:rsid w:val="00582BF9"/>
    <w:rsid w:val="00583F14"/>
    <w:rsid w:val="00584AE4"/>
    <w:rsid w:val="005856C6"/>
    <w:rsid w:val="005859F7"/>
    <w:rsid w:val="00585D14"/>
    <w:rsid w:val="0058647D"/>
    <w:rsid w:val="0058651F"/>
    <w:rsid w:val="00586B60"/>
    <w:rsid w:val="0058751C"/>
    <w:rsid w:val="00587551"/>
    <w:rsid w:val="005904E3"/>
    <w:rsid w:val="00592750"/>
    <w:rsid w:val="00593420"/>
    <w:rsid w:val="00593E7B"/>
    <w:rsid w:val="00593F4D"/>
    <w:rsid w:val="00594044"/>
    <w:rsid w:val="005944B7"/>
    <w:rsid w:val="00595C7F"/>
    <w:rsid w:val="00595CC3"/>
    <w:rsid w:val="0059739D"/>
    <w:rsid w:val="005A0736"/>
    <w:rsid w:val="005A0DC0"/>
    <w:rsid w:val="005A1291"/>
    <w:rsid w:val="005A19F0"/>
    <w:rsid w:val="005A1E97"/>
    <w:rsid w:val="005A3224"/>
    <w:rsid w:val="005A34E4"/>
    <w:rsid w:val="005A38EB"/>
    <w:rsid w:val="005A3E42"/>
    <w:rsid w:val="005A4581"/>
    <w:rsid w:val="005A5277"/>
    <w:rsid w:val="005A5661"/>
    <w:rsid w:val="005A6888"/>
    <w:rsid w:val="005B287B"/>
    <w:rsid w:val="005B2EB1"/>
    <w:rsid w:val="005B3719"/>
    <w:rsid w:val="005B3972"/>
    <w:rsid w:val="005B3B0D"/>
    <w:rsid w:val="005B52CF"/>
    <w:rsid w:val="005B53B2"/>
    <w:rsid w:val="005B5493"/>
    <w:rsid w:val="005C0EFE"/>
    <w:rsid w:val="005C1A66"/>
    <w:rsid w:val="005C2549"/>
    <w:rsid w:val="005C2CB7"/>
    <w:rsid w:val="005C39DF"/>
    <w:rsid w:val="005C6709"/>
    <w:rsid w:val="005C73E9"/>
    <w:rsid w:val="005C7DD5"/>
    <w:rsid w:val="005D15ED"/>
    <w:rsid w:val="005D20F3"/>
    <w:rsid w:val="005D40D0"/>
    <w:rsid w:val="005E09D2"/>
    <w:rsid w:val="005E0C6E"/>
    <w:rsid w:val="005E164E"/>
    <w:rsid w:val="005E211B"/>
    <w:rsid w:val="005E2188"/>
    <w:rsid w:val="005E2BDB"/>
    <w:rsid w:val="005E2D24"/>
    <w:rsid w:val="005E4166"/>
    <w:rsid w:val="005E489D"/>
    <w:rsid w:val="005E6C3C"/>
    <w:rsid w:val="005E7BAE"/>
    <w:rsid w:val="005F1527"/>
    <w:rsid w:val="005F1DF3"/>
    <w:rsid w:val="005F2406"/>
    <w:rsid w:val="005F2B44"/>
    <w:rsid w:val="005F445F"/>
    <w:rsid w:val="005F684A"/>
    <w:rsid w:val="005F6E32"/>
    <w:rsid w:val="00600386"/>
    <w:rsid w:val="006009FB"/>
    <w:rsid w:val="00602A0F"/>
    <w:rsid w:val="00603CA9"/>
    <w:rsid w:val="00603F93"/>
    <w:rsid w:val="00605BC1"/>
    <w:rsid w:val="00606ACD"/>
    <w:rsid w:val="0060758C"/>
    <w:rsid w:val="00611619"/>
    <w:rsid w:val="00611656"/>
    <w:rsid w:val="0061411F"/>
    <w:rsid w:val="00615F43"/>
    <w:rsid w:val="00616B7B"/>
    <w:rsid w:val="00620E03"/>
    <w:rsid w:val="006219A2"/>
    <w:rsid w:val="00624E24"/>
    <w:rsid w:val="006255F4"/>
    <w:rsid w:val="006265B0"/>
    <w:rsid w:val="0062718F"/>
    <w:rsid w:val="00627ABD"/>
    <w:rsid w:val="00630F39"/>
    <w:rsid w:val="006311E4"/>
    <w:rsid w:val="0063159B"/>
    <w:rsid w:val="00631D6E"/>
    <w:rsid w:val="006328B5"/>
    <w:rsid w:val="00633D32"/>
    <w:rsid w:val="00634F97"/>
    <w:rsid w:val="006357B3"/>
    <w:rsid w:val="006367C6"/>
    <w:rsid w:val="00636A55"/>
    <w:rsid w:val="006373FE"/>
    <w:rsid w:val="00641875"/>
    <w:rsid w:val="00641DE6"/>
    <w:rsid w:val="006421F3"/>
    <w:rsid w:val="006446A1"/>
    <w:rsid w:val="006467B5"/>
    <w:rsid w:val="00651BC9"/>
    <w:rsid w:val="00653D1A"/>
    <w:rsid w:val="00653E90"/>
    <w:rsid w:val="00654966"/>
    <w:rsid w:val="00654F9E"/>
    <w:rsid w:val="00655AA9"/>
    <w:rsid w:val="00655CAB"/>
    <w:rsid w:val="00656479"/>
    <w:rsid w:val="00657F2F"/>
    <w:rsid w:val="00660A05"/>
    <w:rsid w:val="00660BA1"/>
    <w:rsid w:val="00661367"/>
    <w:rsid w:val="00662D10"/>
    <w:rsid w:val="006647E6"/>
    <w:rsid w:val="00665AFB"/>
    <w:rsid w:val="00666055"/>
    <w:rsid w:val="00667582"/>
    <w:rsid w:val="00670138"/>
    <w:rsid w:val="00672100"/>
    <w:rsid w:val="006730A3"/>
    <w:rsid w:val="00673ADE"/>
    <w:rsid w:val="00674958"/>
    <w:rsid w:val="00674EE4"/>
    <w:rsid w:val="0067668B"/>
    <w:rsid w:val="0067731E"/>
    <w:rsid w:val="006801E5"/>
    <w:rsid w:val="00681471"/>
    <w:rsid w:val="0068184A"/>
    <w:rsid w:val="00681E8B"/>
    <w:rsid w:val="006834D1"/>
    <w:rsid w:val="006865B2"/>
    <w:rsid w:val="00691D38"/>
    <w:rsid w:val="00692411"/>
    <w:rsid w:val="0069382A"/>
    <w:rsid w:val="00693941"/>
    <w:rsid w:val="00695BA5"/>
    <w:rsid w:val="00696748"/>
    <w:rsid w:val="0069687A"/>
    <w:rsid w:val="00696A63"/>
    <w:rsid w:val="00696BBB"/>
    <w:rsid w:val="006A3368"/>
    <w:rsid w:val="006A400A"/>
    <w:rsid w:val="006A4B70"/>
    <w:rsid w:val="006A570D"/>
    <w:rsid w:val="006A5BEB"/>
    <w:rsid w:val="006A7767"/>
    <w:rsid w:val="006B10AE"/>
    <w:rsid w:val="006B151F"/>
    <w:rsid w:val="006B1998"/>
    <w:rsid w:val="006B28F3"/>
    <w:rsid w:val="006B4914"/>
    <w:rsid w:val="006B57AA"/>
    <w:rsid w:val="006B682E"/>
    <w:rsid w:val="006C0392"/>
    <w:rsid w:val="006C14B2"/>
    <w:rsid w:val="006C151C"/>
    <w:rsid w:val="006C1FDF"/>
    <w:rsid w:val="006C3B1E"/>
    <w:rsid w:val="006C413A"/>
    <w:rsid w:val="006C6540"/>
    <w:rsid w:val="006C685C"/>
    <w:rsid w:val="006C6992"/>
    <w:rsid w:val="006C79ED"/>
    <w:rsid w:val="006D1497"/>
    <w:rsid w:val="006D24B6"/>
    <w:rsid w:val="006D3516"/>
    <w:rsid w:val="006D3C1E"/>
    <w:rsid w:val="006D4152"/>
    <w:rsid w:val="006D427B"/>
    <w:rsid w:val="006D42FB"/>
    <w:rsid w:val="006D54C4"/>
    <w:rsid w:val="006D69C9"/>
    <w:rsid w:val="006D6B66"/>
    <w:rsid w:val="006D71DB"/>
    <w:rsid w:val="006D75A4"/>
    <w:rsid w:val="006D7B67"/>
    <w:rsid w:val="006E00AC"/>
    <w:rsid w:val="006E2626"/>
    <w:rsid w:val="006E51F0"/>
    <w:rsid w:val="006E6E60"/>
    <w:rsid w:val="006E7084"/>
    <w:rsid w:val="006F02ED"/>
    <w:rsid w:val="006F2959"/>
    <w:rsid w:val="006F37C2"/>
    <w:rsid w:val="006F3FBA"/>
    <w:rsid w:val="006F4EC3"/>
    <w:rsid w:val="006F5768"/>
    <w:rsid w:val="00700353"/>
    <w:rsid w:val="0070045E"/>
    <w:rsid w:val="00700BF1"/>
    <w:rsid w:val="00701761"/>
    <w:rsid w:val="00701915"/>
    <w:rsid w:val="00701A9F"/>
    <w:rsid w:val="00701BA9"/>
    <w:rsid w:val="007029AE"/>
    <w:rsid w:val="00704AA4"/>
    <w:rsid w:val="00707C32"/>
    <w:rsid w:val="00707EE1"/>
    <w:rsid w:val="007118E7"/>
    <w:rsid w:val="007125D1"/>
    <w:rsid w:val="00712D07"/>
    <w:rsid w:val="00715134"/>
    <w:rsid w:val="00715775"/>
    <w:rsid w:val="00715957"/>
    <w:rsid w:val="00717CB1"/>
    <w:rsid w:val="00717EDA"/>
    <w:rsid w:val="00717FF4"/>
    <w:rsid w:val="007211FB"/>
    <w:rsid w:val="007214A5"/>
    <w:rsid w:val="00721E1A"/>
    <w:rsid w:val="00721EF6"/>
    <w:rsid w:val="00722579"/>
    <w:rsid w:val="00724AAF"/>
    <w:rsid w:val="00725A0C"/>
    <w:rsid w:val="00726349"/>
    <w:rsid w:val="0072689D"/>
    <w:rsid w:val="00730296"/>
    <w:rsid w:val="00731C5F"/>
    <w:rsid w:val="0073200A"/>
    <w:rsid w:val="00732793"/>
    <w:rsid w:val="00733500"/>
    <w:rsid w:val="00734E83"/>
    <w:rsid w:val="0073638F"/>
    <w:rsid w:val="007372CA"/>
    <w:rsid w:val="00737635"/>
    <w:rsid w:val="00740045"/>
    <w:rsid w:val="00740286"/>
    <w:rsid w:val="00741426"/>
    <w:rsid w:val="007417F3"/>
    <w:rsid w:val="0074187B"/>
    <w:rsid w:val="00741A71"/>
    <w:rsid w:val="00741D87"/>
    <w:rsid w:val="00741EE8"/>
    <w:rsid w:val="007427F4"/>
    <w:rsid w:val="007430B4"/>
    <w:rsid w:val="007441E5"/>
    <w:rsid w:val="007443F1"/>
    <w:rsid w:val="0074622A"/>
    <w:rsid w:val="00746778"/>
    <w:rsid w:val="007469A1"/>
    <w:rsid w:val="00746A37"/>
    <w:rsid w:val="00746C46"/>
    <w:rsid w:val="007472A6"/>
    <w:rsid w:val="00747597"/>
    <w:rsid w:val="00747755"/>
    <w:rsid w:val="00747C85"/>
    <w:rsid w:val="00750AA8"/>
    <w:rsid w:val="0075256E"/>
    <w:rsid w:val="007536CA"/>
    <w:rsid w:val="0075395D"/>
    <w:rsid w:val="00754A22"/>
    <w:rsid w:val="00755106"/>
    <w:rsid w:val="00756F71"/>
    <w:rsid w:val="007571B8"/>
    <w:rsid w:val="00764107"/>
    <w:rsid w:val="0076586B"/>
    <w:rsid w:val="00765C5B"/>
    <w:rsid w:val="00765FE7"/>
    <w:rsid w:val="00770387"/>
    <w:rsid w:val="007709CB"/>
    <w:rsid w:val="00773BAA"/>
    <w:rsid w:val="00773CC6"/>
    <w:rsid w:val="00775FF9"/>
    <w:rsid w:val="00777A77"/>
    <w:rsid w:val="007810A0"/>
    <w:rsid w:val="00781B46"/>
    <w:rsid w:val="00782352"/>
    <w:rsid w:val="00786A68"/>
    <w:rsid w:val="00786F83"/>
    <w:rsid w:val="00790FB3"/>
    <w:rsid w:val="00792D1B"/>
    <w:rsid w:val="00794C0F"/>
    <w:rsid w:val="00795364"/>
    <w:rsid w:val="00795CDE"/>
    <w:rsid w:val="00795FE6"/>
    <w:rsid w:val="00796969"/>
    <w:rsid w:val="00797467"/>
    <w:rsid w:val="007A0199"/>
    <w:rsid w:val="007A0EEA"/>
    <w:rsid w:val="007A658F"/>
    <w:rsid w:val="007A7159"/>
    <w:rsid w:val="007B0CD5"/>
    <w:rsid w:val="007B157E"/>
    <w:rsid w:val="007B274C"/>
    <w:rsid w:val="007B376B"/>
    <w:rsid w:val="007B4872"/>
    <w:rsid w:val="007B67DE"/>
    <w:rsid w:val="007B67DF"/>
    <w:rsid w:val="007B74DA"/>
    <w:rsid w:val="007B7F0D"/>
    <w:rsid w:val="007B7F2F"/>
    <w:rsid w:val="007C007F"/>
    <w:rsid w:val="007C41C1"/>
    <w:rsid w:val="007C4825"/>
    <w:rsid w:val="007C5FF7"/>
    <w:rsid w:val="007C6DCA"/>
    <w:rsid w:val="007D2544"/>
    <w:rsid w:val="007D259B"/>
    <w:rsid w:val="007D2A2F"/>
    <w:rsid w:val="007D3246"/>
    <w:rsid w:val="007D411D"/>
    <w:rsid w:val="007D46FE"/>
    <w:rsid w:val="007D6047"/>
    <w:rsid w:val="007D6F0B"/>
    <w:rsid w:val="007E037C"/>
    <w:rsid w:val="007E0749"/>
    <w:rsid w:val="007E0A41"/>
    <w:rsid w:val="007E5879"/>
    <w:rsid w:val="007E651D"/>
    <w:rsid w:val="007E6CE0"/>
    <w:rsid w:val="007E7BBA"/>
    <w:rsid w:val="007E7BFA"/>
    <w:rsid w:val="007F08CD"/>
    <w:rsid w:val="007F09DD"/>
    <w:rsid w:val="007F323E"/>
    <w:rsid w:val="007F4122"/>
    <w:rsid w:val="007F442D"/>
    <w:rsid w:val="007F4F4D"/>
    <w:rsid w:val="007F56D9"/>
    <w:rsid w:val="007F59BE"/>
    <w:rsid w:val="007F62BD"/>
    <w:rsid w:val="00800510"/>
    <w:rsid w:val="00800547"/>
    <w:rsid w:val="00800998"/>
    <w:rsid w:val="00800E0A"/>
    <w:rsid w:val="00803897"/>
    <w:rsid w:val="00804AAA"/>
    <w:rsid w:val="00805223"/>
    <w:rsid w:val="0080638E"/>
    <w:rsid w:val="0080694A"/>
    <w:rsid w:val="00807460"/>
    <w:rsid w:val="0081099D"/>
    <w:rsid w:val="00811201"/>
    <w:rsid w:val="00813D2C"/>
    <w:rsid w:val="00814DF7"/>
    <w:rsid w:val="00814F29"/>
    <w:rsid w:val="00815161"/>
    <w:rsid w:val="008154F9"/>
    <w:rsid w:val="008166B5"/>
    <w:rsid w:val="008169E2"/>
    <w:rsid w:val="00817170"/>
    <w:rsid w:val="00817510"/>
    <w:rsid w:val="008205A1"/>
    <w:rsid w:val="00820B03"/>
    <w:rsid w:val="008237E6"/>
    <w:rsid w:val="0082599D"/>
    <w:rsid w:val="00827FB4"/>
    <w:rsid w:val="0083059E"/>
    <w:rsid w:val="00831472"/>
    <w:rsid w:val="00831AC3"/>
    <w:rsid w:val="00831C96"/>
    <w:rsid w:val="00834172"/>
    <w:rsid w:val="00834ADB"/>
    <w:rsid w:val="00835782"/>
    <w:rsid w:val="008358FC"/>
    <w:rsid w:val="008376C4"/>
    <w:rsid w:val="008420C7"/>
    <w:rsid w:val="00842AD1"/>
    <w:rsid w:val="00844094"/>
    <w:rsid w:val="00844102"/>
    <w:rsid w:val="008441A1"/>
    <w:rsid w:val="00844F50"/>
    <w:rsid w:val="00847156"/>
    <w:rsid w:val="008471EB"/>
    <w:rsid w:val="00847F78"/>
    <w:rsid w:val="0085329E"/>
    <w:rsid w:val="00853C22"/>
    <w:rsid w:val="00856630"/>
    <w:rsid w:val="00860A58"/>
    <w:rsid w:val="008610D1"/>
    <w:rsid w:val="00861488"/>
    <w:rsid w:val="0086218E"/>
    <w:rsid w:val="008622CF"/>
    <w:rsid w:val="008630C8"/>
    <w:rsid w:val="008634C5"/>
    <w:rsid w:val="008635E1"/>
    <w:rsid w:val="0086574B"/>
    <w:rsid w:val="008660F6"/>
    <w:rsid w:val="0086636A"/>
    <w:rsid w:val="00867686"/>
    <w:rsid w:val="00871AC4"/>
    <w:rsid w:val="0087235B"/>
    <w:rsid w:val="00875228"/>
    <w:rsid w:val="00876122"/>
    <w:rsid w:val="00877313"/>
    <w:rsid w:val="00877AA1"/>
    <w:rsid w:val="00880A74"/>
    <w:rsid w:val="00881430"/>
    <w:rsid w:val="00882EBA"/>
    <w:rsid w:val="008849D9"/>
    <w:rsid w:val="00885931"/>
    <w:rsid w:val="00886BD6"/>
    <w:rsid w:val="0088755E"/>
    <w:rsid w:val="008879C9"/>
    <w:rsid w:val="00887C72"/>
    <w:rsid w:val="00890994"/>
    <w:rsid w:val="008923F5"/>
    <w:rsid w:val="008925BD"/>
    <w:rsid w:val="00893754"/>
    <w:rsid w:val="008958CF"/>
    <w:rsid w:val="00897118"/>
    <w:rsid w:val="00897254"/>
    <w:rsid w:val="008A0C46"/>
    <w:rsid w:val="008A1709"/>
    <w:rsid w:val="008A1A47"/>
    <w:rsid w:val="008A5EBE"/>
    <w:rsid w:val="008A61E5"/>
    <w:rsid w:val="008A6D40"/>
    <w:rsid w:val="008B2DDD"/>
    <w:rsid w:val="008B317D"/>
    <w:rsid w:val="008B3FA5"/>
    <w:rsid w:val="008B411D"/>
    <w:rsid w:val="008B48E6"/>
    <w:rsid w:val="008B49A8"/>
    <w:rsid w:val="008B6988"/>
    <w:rsid w:val="008B6B2E"/>
    <w:rsid w:val="008B79F6"/>
    <w:rsid w:val="008B7B50"/>
    <w:rsid w:val="008B7D50"/>
    <w:rsid w:val="008C0365"/>
    <w:rsid w:val="008C0C83"/>
    <w:rsid w:val="008C22E2"/>
    <w:rsid w:val="008C28B6"/>
    <w:rsid w:val="008C3F25"/>
    <w:rsid w:val="008C440C"/>
    <w:rsid w:val="008C7410"/>
    <w:rsid w:val="008C7EF3"/>
    <w:rsid w:val="008D0FF1"/>
    <w:rsid w:val="008D3725"/>
    <w:rsid w:val="008D5ADF"/>
    <w:rsid w:val="008D5B6E"/>
    <w:rsid w:val="008E150D"/>
    <w:rsid w:val="008E1645"/>
    <w:rsid w:val="008E1E1B"/>
    <w:rsid w:val="008E23B5"/>
    <w:rsid w:val="008E3520"/>
    <w:rsid w:val="008E36A8"/>
    <w:rsid w:val="008E556B"/>
    <w:rsid w:val="008F0BD7"/>
    <w:rsid w:val="008F2C08"/>
    <w:rsid w:val="008F2C72"/>
    <w:rsid w:val="008F54D2"/>
    <w:rsid w:val="008F556E"/>
    <w:rsid w:val="008F69DB"/>
    <w:rsid w:val="008F791E"/>
    <w:rsid w:val="008F7F15"/>
    <w:rsid w:val="00900E49"/>
    <w:rsid w:val="00900FA3"/>
    <w:rsid w:val="0090165D"/>
    <w:rsid w:val="009033CF"/>
    <w:rsid w:val="009043BB"/>
    <w:rsid w:val="009046B4"/>
    <w:rsid w:val="00904BA3"/>
    <w:rsid w:val="0090573F"/>
    <w:rsid w:val="009060E0"/>
    <w:rsid w:val="009072A7"/>
    <w:rsid w:val="009073ED"/>
    <w:rsid w:val="009074FC"/>
    <w:rsid w:val="009113A6"/>
    <w:rsid w:val="0091303C"/>
    <w:rsid w:val="009150B6"/>
    <w:rsid w:val="00915A11"/>
    <w:rsid w:val="009164EC"/>
    <w:rsid w:val="00916F16"/>
    <w:rsid w:val="00917DFC"/>
    <w:rsid w:val="0092020E"/>
    <w:rsid w:val="00920749"/>
    <w:rsid w:val="00921935"/>
    <w:rsid w:val="009239F6"/>
    <w:rsid w:val="00924B7D"/>
    <w:rsid w:val="00927872"/>
    <w:rsid w:val="00930820"/>
    <w:rsid w:val="00930FCB"/>
    <w:rsid w:val="00931D02"/>
    <w:rsid w:val="009327E1"/>
    <w:rsid w:val="00933E01"/>
    <w:rsid w:val="00934111"/>
    <w:rsid w:val="009342D9"/>
    <w:rsid w:val="00934EA6"/>
    <w:rsid w:val="009364A3"/>
    <w:rsid w:val="00937772"/>
    <w:rsid w:val="00940913"/>
    <w:rsid w:val="009413FB"/>
    <w:rsid w:val="00942723"/>
    <w:rsid w:val="0094578D"/>
    <w:rsid w:val="00946399"/>
    <w:rsid w:val="00947006"/>
    <w:rsid w:val="00951327"/>
    <w:rsid w:val="00951871"/>
    <w:rsid w:val="009523AC"/>
    <w:rsid w:val="00953CDB"/>
    <w:rsid w:val="009550E4"/>
    <w:rsid w:val="0095561F"/>
    <w:rsid w:val="00955EA1"/>
    <w:rsid w:val="00957019"/>
    <w:rsid w:val="00957C84"/>
    <w:rsid w:val="00960757"/>
    <w:rsid w:val="009622FE"/>
    <w:rsid w:val="00963C12"/>
    <w:rsid w:val="00963D8D"/>
    <w:rsid w:val="00964060"/>
    <w:rsid w:val="009643D5"/>
    <w:rsid w:val="0096495D"/>
    <w:rsid w:val="009671BF"/>
    <w:rsid w:val="00970FBF"/>
    <w:rsid w:val="00971B96"/>
    <w:rsid w:val="00972081"/>
    <w:rsid w:val="00972A35"/>
    <w:rsid w:val="009731E2"/>
    <w:rsid w:val="00973D46"/>
    <w:rsid w:val="00974501"/>
    <w:rsid w:val="009747F9"/>
    <w:rsid w:val="00981060"/>
    <w:rsid w:val="0098299A"/>
    <w:rsid w:val="009848C5"/>
    <w:rsid w:val="009863B2"/>
    <w:rsid w:val="009874D3"/>
    <w:rsid w:val="00987FE3"/>
    <w:rsid w:val="0099027F"/>
    <w:rsid w:val="00991A37"/>
    <w:rsid w:val="00991ED7"/>
    <w:rsid w:val="009922D9"/>
    <w:rsid w:val="00992E34"/>
    <w:rsid w:val="00993D4A"/>
    <w:rsid w:val="009949F7"/>
    <w:rsid w:val="009951C5"/>
    <w:rsid w:val="00995ED3"/>
    <w:rsid w:val="009A01B0"/>
    <w:rsid w:val="009A0EB7"/>
    <w:rsid w:val="009A1CD5"/>
    <w:rsid w:val="009A1E7C"/>
    <w:rsid w:val="009A2FF5"/>
    <w:rsid w:val="009A33D0"/>
    <w:rsid w:val="009A35D4"/>
    <w:rsid w:val="009A3792"/>
    <w:rsid w:val="009A3A17"/>
    <w:rsid w:val="009A3D32"/>
    <w:rsid w:val="009A49E1"/>
    <w:rsid w:val="009A7EA7"/>
    <w:rsid w:val="009A7FC9"/>
    <w:rsid w:val="009B133A"/>
    <w:rsid w:val="009B3684"/>
    <w:rsid w:val="009B3BF5"/>
    <w:rsid w:val="009B61D7"/>
    <w:rsid w:val="009B7A3D"/>
    <w:rsid w:val="009C0171"/>
    <w:rsid w:val="009C02FC"/>
    <w:rsid w:val="009C081A"/>
    <w:rsid w:val="009C166D"/>
    <w:rsid w:val="009C271F"/>
    <w:rsid w:val="009C31D7"/>
    <w:rsid w:val="009C35C9"/>
    <w:rsid w:val="009C377B"/>
    <w:rsid w:val="009C473B"/>
    <w:rsid w:val="009C61AD"/>
    <w:rsid w:val="009C786C"/>
    <w:rsid w:val="009C7B3D"/>
    <w:rsid w:val="009D0247"/>
    <w:rsid w:val="009D1EF9"/>
    <w:rsid w:val="009D533A"/>
    <w:rsid w:val="009D6502"/>
    <w:rsid w:val="009E07D8"/>
    <w:rsid w:val="009E0951"/>
    <w:rsid w:val="009E295A"/>
    <w:rsid w:val="009E345E"/>
    <w:rsid w:val="009E4EFE"/>
    <w:rsid w:val="009E57AF"/>
    <w:rsid w:val="009E5A60"/>
    <w:rsid w:val="009E6B3F"/>
    <w:rsid w:val="009E76AA"/>
    <w:rsid w:val="009F00E8"/>
    <w:rsid w:val="009F03B5"/>
    <w:rsid w:val="009F11A4"/>
    <w:rsid w:val="009F1B56"/>
    <w:rsid w:val="009F3BE4"/>
    <w:rsid w:val="009F4373"/>
    <w:rsid w:val="009F43A2"/>
    <w:rsid w:val="009F5A14"/>
    <w:rsid w:val="009F644D"/>
    <w:rsid w:val="009F70AD"/>
    <w:rsid w:val="009F723D"/>
    <w:rsid w:val="00A002F0"/>
    <w:rsid w:val="00A02745"/>
    <w:rsid w:val="00A033B2"/>
    <w:rsid w:val="00A0348A"/>
    <w:rsid w:val="00A03C59"/>
    <w:rsid w:val="00A03E7C"/>
    <w:rsid w:val="00A06024"/>
    <w:rsid w:val="00A0685A"/>
    <w:rsid w:val="00A0696A"/>
    <w:rsid w:val="00A06D24"/>
    <w:rsid w:val="00A06FCE"/>
    <w:rsid w:val="00A0716B"/>
    <w:rsid w:val="00A07853"/>
    <w:rsid w:val="00A0788B"/>
    <w:rsid w:val="00A10385"/>
    <w:rsid w:val="00A13693"/>
    <w:rsid w:val="00A14BC4"/>
    <w:rsid w:val="00A14D66"/>
    <w:rsid w:val="00A16348"/>
    <w:rsid w:val="00A168F2"/>
    <w:rsid w:val="00A17444"/>
    <w:rsid w:val="00A17A1A"/>
    <w:rsid w:val="00A2134A"/>
    <w:rsid w:val="00A21959"/>
    <w:rsid w:val="00A21B71"/>
    <w:rsid w:val="00A22015"/>
    <w:rsid w:val="00A229B2"/>
    <w:rsid w:val="00A25536"/>
    <w:rsid w:val="00A259E6"/>
    <w:rsid w:val="00A25B72"/>
    <w:rsid w:val="00A25DCF"/>
    <w:rsid w:val="00A2701D"/>
    <w:rsid w:val="00A27112"/>
    <w:rsid w:val="00A312D0"/>
    <w:rsid w:val="00A31E90"/>
    <w:rsid w:val="00A3255C"/>
    <w:rsid w:val="00A343E0"/>
    <w:rsid w:val="00A350DC"/>
    <w:rsid w:val="00A358D9"/>
    <w:rsid w:val="00A36464"/>
    <w:rsid w:val="00A36AAC"/>
    <w:rsid w:val="00A378A5"/>
    <w:rsid w:val="00A37F1A"/>
    <w:rsid w:val="00A408BC"/>
    <w:rsid w:val="00A41BD8"/>
    <w:rsid w:val="00A432E4"/>
    <w:rsid w:val="00A449EE"/>
    <w:rsid w:val="00A44B5C"/>
    <w:rsid w:val="00A4536D"/>
    <w:rsid w:val="00A55347"/>
    <w:rsid w:val="00A559B5"/>
    <w:rsid w:val="00A55EA9"/>
    <w:rsid w:val="00A565E5"/>
    <w:rsid w:val="00A573E8"/>
    <w:rsid w:val="00A57438"/>
    <w:rsid w:val="00A6031F"/>
    <w:rsid w:val="00A6345D"/>
    <w:rsid w:val="00A63D4F"/>
    <w:rsid w:val="00A641A2"/>
    <w:rsid w:val="00A658E2"/>
    <w:rsid w:val="00A66883"/>
    <w:rsid w:val="00A71156"/>
    <w:rsid w:val="00A71436"/>
    <w:rsid w:val="00A72183"/>
    <w:rsid w:val="00A72A6B"/>
    <w:rsid w:val="00A73130"/>
    <w:rsid w:val="00A74CC3"/>
    <w:rsid w:val="00A76683"/>
    <w:rsid w:val="00A76A52"/>
    <w:rsid w:val="00A77A24"/>
    <w:rsid w:val="00A804EE"/>
    <w:rsid w:val="00A83174"/>
    <w:rsid w:val="00A83BE4"/>
    <w:rsid w:val="00A865C5"/>
    <w:rsid w:val="00A90311"/>
    <w:rsid w:val="00A92EC7"/>
    <w:rsid w:val="00A976ED"/>
    <w:rsid w:val="00AA2255"/>
    <w:rsid w:val="00AA2C28"/>
    <w:rsid w:val="00AA3899"/>
    <w:rsid w:val="00AA3CD4"/>
    <w:rsid w:val="00AA65BE"/>
    <w:rsid w:val="00AB13B2"/>
    <w:rsid w:val="00AB18AA"/>
    <w:rsid w:val="00AB1E47"/>
    <w:rsid w:val="00AB2600"/>
    <w:rsid w:val="00AB518B"/>
    <w:rsid w:val="00AB5F64"/>
    <w:rsid w:val="00AC0F61"/>
    <w:rsid w:val="00AC28D8"/>
    <w:rsid w:val="00AC316A"/>
    <w:rsid w:val="00AC42A6"/>
    <w:rsid w:val="00AC43AE"/>
    <w:rsid w:val="00AC46AE"/>
    <w:rsid w:val="00AC5807"/>
    <w:rsid w:val="00AC592F"/>
    <w:rsid w:val="00AC7161"/>
    <w:rsid w:val="00AC7CF0"/>
    <w:rsid w:val="00AD02E1"/>
    <w:rsid w:val="00AD1749"/>
    <w:rsid w:val="00AD1EFD"/>
    <w:rsid w:val="00AD4003"/>
    <w:rsid w:val="00AD4A87"/>
    <w:rsid w:val="00AD4B67"/>
    <w:rsid w:val="00AD5692"/>
    <w:rsid w:val="00AD56AC"/>
    <w:rsid w:val="00AD56F3"/>
    <w:rsid w:val="00AD5D74"/>
    <w:rsid w:val="00AE004F"/>
    <w:rsid w:val="00AE0700"/>
    <w:rsid w:val="00AE0D6A"/>
    <w:rsid w:val="00AE0D75"/>
    <w:rsid w:val="00AE105C"/>
    <w:rsid w:val="00AE161C"/>
    <w:rsid w:val="00AE1B4B"/>
    <w:rsid w:val="00AE447B"/>
    <w:rsid w:val="00AE689D"/>
    <w:rsid w:val="00AE6EF0"/>
    <w:rsid w:val="00AE7350"/>
    <w:rsid w:val="00AE74E0"/>
    <w:rsid w:val="00AF1DEC"/>
    <w:rsid w:val="00AF3EC3"/>
    <w:rsid w:val="00AF4741"/>
    <w:rsid w:val="00AF48E5"/>
    <w:rsid w:val="00AF5D9E"/>
    <w:rsid w:val="00AF749A"/>
    <w:rsid w:val="00B00C66"/>
    <w:rsid w:val="00B01649"/>
    <w:rsid w:val="00B0241A"/>
    <w:rsid w:val="00B031D5"/>
    <w:rsid w:val="00B04C85"/>
    <w:rsid w:val="00B0547D"/>
    <w:rsid w:val="00B05BC7"/>
    <w:rsid w:val="00B075FE"/>
    <w:rsid w:val="00B079E0"/>
    <w:rsid w:val="00B07FC9"/>
    <w:rsid w:val="00B110FA"/>
    <w:rsid w:val="00B116C3"/>
    <w:rsid w:val="00B141C6"/>
    <w:rsid w:val="00B1565B"/>
    <w:rsid w:val="00B17A97"/>
    <w:rsid w:val="00B17F8E"/>
    <w:rsid w:val="00B20B2C"/>
    <w:rsid w:val="00B21702"/>
    <w:rsid w:val="00B25236"/>
    <w:rsid w:val="00B256F5"/>
    <w:rsid w:val="00B263B9"/>
    <w:rsid w:val="00B26863"/>
    <w:rsid w:val="00B3096D"/>
    <w:rsid w:val="00B3124B"/>
    <w:rsid w:val="00B3256A"/>
    <w:rsid w:val="00B3284C"/>
    <w:rsid w:val="00B338EA"/>
    <w:rsid w:val="00B33AA1"/>
    <w:rsid w:val="00B34640"/>
    <w:rsid w:val="00B36E0B"/>
    <w:rsid w:val="00B37F5A"/>
    <w:rsid w:val="00B40653"/>
    <w:rsid w:val="00B40E4D"/>
    <w:rsid w:val="00B41AB3"/>
    <w:rsid w:val="00B431B8"/>
    <w:rsid w:val="00B44F1F"/>
    <w:rsid w:val="00B45982"/>
    <w:rsid w:val="00B46808"/>
    <w:rsid w:val="00B47186"/>
    <w:rsid w:val="00B507A5"/>
    <w:rsid w:val="00B5333F"/>
    <w:rsid w:val="00B53BFC"/>
    <w:rsid w:val="00B55023"/>
    <w:rsid w:val="00B555A6"/>
    <w:rsid w:val="00B55FCC"/>
    <w:rsid w:val="00B567FA"/>
    <w:rsid w:val="00B578E6"/>
    <w:rsid w:val="00B57B87"/>
    <w:rsid w:val="00B60DD0"/>
    <w:rsid w:val="00B60E1A"/>
    <w:rsid w:val="00B62A08"/>
    <w:rsid w:val="00B6394E"/>
    <w:rsid w:val="00B6412F"/>
    <w:rsid w:val="00B6503B"/>
    <w:rsid w:val="00B6798B"/>
    <w:rsid w:val="00B679B4"/>
    <w:rsid w:val="00B736B6"/>
    <w:rsid w:val="00B745AA"/>
    <w:rsid w:val="00B74C02"/>
    <w:rsid w:val="00B751AF"/>
    <w:rsid w:val="00B75386"/>
    <w:rsid w:val="00B7715E"/>
    <w:rsid w:val="00B775F9"/>
    <w:rsid w:val="00B77A31"/>
    <w:rsid w:val="00B82F20"/>
    <w:rsid w:val="00B85E0D"/>
    <w:rsid w:val="00B90FFC"/>
    <w:rsid w:val="00B91357"/>
    <w:rsid w:val="00B95657"/>
    <w:rsid w:val="00B95EAC"/>
    <w:rsid w:val="00BA050D"/>
    <w:rsid w:val="00BA0C95"/>
    <w:rsid w:val="00BA0F5C"/>
    <w:rsid w:val="00BA654B"/>
    <w:rsid w:val="00BB1FE7"/>
    <w:rsid w:val="00BB3184"/>
    <w:rsid w:val="00BB3DA6"/>
    <w:rsid w:val="00BB68E7"/>
    <w:rsid w:val="00BB72DA"/>
    <w:rsid w:val="00BC092C"/>
    <w:rsid w:val="00BC612F"/>
    <w:rsid w:val="00BC6B07"/>
    <w:rsid w:val="00BC6E44"/>
    <w:rsid w:val="00BC6F72"/>
    <w:rsid w:val="00BC7539"/>
    <w:rsid w:val="00BD1F56"/>
    <w:rsid w:val="00BD4443"/>
    <w:rsid w:val="00BD50EE"/>
    <w:rsid w:val="00BD70A3"/>
    <w:rsid w:val="00BD7201"/>
    <w:rsid w:val="00BD76BB"/>
    <w:rsid w:val="00BE13AA"/>
    <w:rsid w:val="00BE177C"/>
    <w:rsid w:val="00BE2142"/>
    <w:rsid w:val="00BE292F"/>
    <w:rsid w:val="00BE3300"/>
    <w:rsid w:val="00BE3643"/>
    <w:rsid w:val="00BE43F2"/>
    <w:rsid w:val="00BE487C"/>
    <w:rsid w:val="00BE51E5"/>
    <w:rsid w:val="00BF00C0"/>
    <w:rsid w:val="00BF1CFF"/>
    <w:rsid w:val="00BF31E7"/>
    <w:rsid w:val="00BF4881"/>
    <w:rsid w:val="00BF58E8"/>
    <w:rsid w:val="00BF594A"/>
    <w:rsid w:val="00BF7835"/>
    <w:rsid w:val="00C0201F"/>
    <w:rsid w:val="00C0492C"/>
    <w:rsid w:val="00C0665C"/>
    <w:rsid w:val="00C07210"/>
    <w:rsid w:val="00C11ADC"/>
    <w:rsid w:val="00C1372C"/>
    <w:rsid w:val="00C13BF5"/>
    <w:rsid w:val="00C143E4"/>
    <w:rsid w:val="00C14601"/>
    <w:rsid w:val="00C15363"/>
    <w:rsid w:val="00C16100"/>
    <w:rsid w:val="00C17E79"/>
    <w:rsid w:val="00C21763"/>
    <w:rsid w:val="00C26A63"/>
    <w:rsid w:val="00C26D3C"/>
    <w:rsid w:val="00C30216"/>
    <w:rsid w:val="00C30337"/>
    <w:rsid w:val="00C30FAA"/>
    <w:rsid w:val="00C310E3"/>
    <w:rsid w:val="00C3119A"/>
    <w:rsid w:val="00C31BC2"/>
    <w:rsid w:val="00C33109"/>
    <w:rsid w:val="00C3335C"/>
    <w:rsid w:val="00C35AFF"/>
    <w:rsid w:val="00C36B4B"/>
    <w:rsid w:val="00C36E7A"/>
    <w:rsid w:val="00C373D0"/>
    <w:rsid w:val="00C40E15"/>
    <w:rsid w:val="00C4198E"/>
    <w:rsid w:val="00C455B2"/>
    <w:rsid w:val="00C46B4F"/>
    <w:rsid w:val="00C46D7C"/>
    <w:rsid w:val="00C471DC"/>
    <w:rsid w:val="00C50C39"/>
    <w:rsid w:val="00C50CD5"/>
    <w:rsid w:val="00C570C3"/>
    <w:rsid w:val="00C57718"/>
    <w:rsid w:val="00C60D64"/>
    <w:rsid w:val="00C618DD"/>
    <w:rsid w:val="00C61C79"/>
    <w:rsid w:val="00C6693E"/>
    <w:rsid w:val="00C66B82"/>
    <w:rsid w:val="00C6737F"/>
    <w:rsid w:val="00C673FD"/>
    <w:rsid w:val="00C67498"/>
    <w:rsid w:val="00C675F0"/>
    <w:rsid w:val="00C70D53"/>
    <w:rsid w:val="00C71D94"/>
    <w:rsid w:val="00C72E16"/>
    <w:rsid w:val="00C74177"/>
    <w:rsid w:val="00C74AD9"/>
    <w:rsid w:val="00C75122"/>
    <w:rsid w:val="00C77AAF"/>
    <w:rsid w:val="00C80383"/>
    <w:rsid w:val="00C808BF"/>
    <w:rsid w:val="00C8130C"/>
    <w:rsid w:val="00C823A4"/>
    <w:rsid w:val="00C835EC"/>
    <w:rsid w:val="00C85DFD"/>
    <w:rsid w:val="00C86E3B"/>
    <w:rsid w:val="00C87242"/>
    <w:rsid w:val="00C87590"/>
    <w:rsid w:val="00C90666"/>
    <w:rsid w:val="00C90CBA"/>
    <w:rsid w:val="00C920B6"/>
    <w:rsid w:val="00C93862"/>
    <w:rsid w:val="00C95825"/>
    <w:rsid w:val="00C9685E"/>
    <w:rsid w:val="00C969CF"/>
    <w:rsid w:val="00C96A1F"/>
    <w:rsid w:val="00C979FE"/>
    <w:rsid w:val="00C97C84"/>
    <w:rsid w:val="00CA0C02"/>
    <w:rsid w:val="00CA0CE5"/>
    <w:rsid w:val="00CA2903"/>
    <w:rsid w:val="00CA463B"/>
    <w:rsid w:val="00CA4830"/>
    <w:rsid w:val="00CA53AD"/>
    <w:rsid w:val="00CA5B5F"/>
    <w:rsid w:val="00CA5F89"/>
    <w:rsid w:val="00CA5F92"/>
    <w:rsid w:val="00CA6048"/>
    <w:rsid w:val="00CA607A"/>
    <w:rsid w:val="00CA6FA3"/>
    <w:rsid w:val="00CA7451"/>
    <w:rsid w:val="00CA76D3"/>
    <w:rsid w:val="00CA79E3"/>
    <w:rsid w:val="00CB0D2F"/>
    <w:rsid w:val="00CB3B3F"/>
    <w:rsid w:val="00CB3F4C"/>
    <w:rsid w:val="00CB462A"/>
    <w:rsid w:val="00CB492A"/>
    <w:rsid w:val="00CB5809"/>
    <w:rsid w:val="00CB7343"/>
    <w:rsid w:val="00CB78A2"/>
    <w:rsid w:val="00CC00B7"/>
    <w:rsid w:val="00CC0858"/>
    <w:rsid w:val="00CC158B"/>
    <w:rsid w:val="00CC2374"/>
    <w:rsid w:val="00CC361E"/>
    <w:rsid w:val="00CC36B2"/>
    <w:rsid w:val="00CC4E64"/>
    <w:rsid w:val="00CC62C8"/>
    <w:rsid w:val="00CC7DA4"/>
    <w:rsid w:val="00CD00FD"/>
    <w:rsid w:val="00CD137E"/>
    <w:rsid w:val="00CD2861"/>
    <w:rsid w:val="00CD372E"/>
    <w:rsid w:val="00CD40F8"/>
    <w:rsid w:val="00CD5680"/>
    <w:rsid w:val="00CD7C46"/>
    <w:rsid w:val="00CE0A8A"/>
    <w:rsid w:val="00CE1281"/>
    <w:rsid w:val="00CE1D5E"/>
    <w:rsid w:val="00CE2196"/>
    <w:rsid w:val="00CE255C"/>
    <w:rsid w:val="00CE2AF9"/>
    <w:rsid w:val="00CE31F8"/>
    <w:rsid w:val="00CE3C12"/>
    <w:rsid w:val="00CE3E19"/>
    <w:rsid w:val="00CE4215"/>
    <w:rsid w:val="00CE522B"/>
    <w:rsid w:val="00CF04E1"/>
    <w:rsid w:val="00CF09D4"/>
    <w:rsid w:val="00CF1140"/>
    <w:rsid w:val="00CF188C"/>
    <w:rsid w:val="00CF29BB"/>
    <w:rsid w:val="00CF4193"/>
    <w:rsid w:val="00CF50DC"/>
    <w:rsid w:val="00CF5FC3"/>
    <w:rsid w:val="00CF7EB3"/>
    <w:rsid w:val="00D018E1"/>
    <w:rsid w:val="00D02FE1"/>
    <w:rsid w:val="00D04274"/>
    <w:rsid w:val="00D04FA5"/>
    <w:rsid w:val="00D06D93"/>
    <w:rsid w:val="00D07357"/>
    <w:rsid w:val="00D07A08"/>
    <w:rsid w:val="00D11D11"/>
    <w:rsid w:val="00D12667"/>
    <w:rsid w:val="00D132C8"/>
    <w:rsid w:val="00D15284"/>
    <w:rsid w:val="00D16E09"/>
    <w:rsid w:val="00D20260"/>
    <w:rsid w:val="00D20499"/>
    <w:rsid w:val="00D20EDC"/>
    <w:rsid w:val="00D21356"/>
    <w:rsid w:val="00D21475"/>
    <w:rsid w:val="00D21ED3"/>
    <w:rsid w:val="00D23125"/>
    <w:rsid w:val="00D23EF2"/>
    <w:rsid w:val="00D259E7"/>
    <w:rsid w:val="00D27990"/>
    <w:rsid w:val="00D31186"/>
    <w:rsid w:val="00D325B9"/>
    <w:rsid w:val="00D330E3"/>
    <w:rsid w:val="00D33179"/>
    <w:rsid w:val="00D35161"/>
    <w:rsid w:val="00D35236"/>
    <w:rsid w:val="00D3596B"/>
    <w:rsid w:val="00D37869"/>
    <w:rsid w:val="00D40C07"/>
    <w:rsid w:val="00D42554"/>
    <w:rsid w:val="00D428FF"/>
    <w:rsid w:val="00D43D82"/>
    <w:rsid w:val="00D44570"/>
    <w:rsid w:val="00D45629"/>
    <w:rsid w:val="00D45C43"/>
    <w:rsid w:val="00D4629B"/>
    <w:rsid w:val="00D462A6"/>
    <w:rsid w:val="00D466A7"/>
    <w:rsid w:val="00D47F9D"/>
    <w:rsid w:val="00D502AE"/>
    <w:rsid w:val="00D50ABE"/>
    <w:rsid w:val="00D519AA"/>
    <w:rsid w:val="00D54020"/>
    <w:rsid w:val="00D5534A"/>
    <w:rsid w:val="00D55ED9"/>
    <w:rsid w:val="00D5796A"/>
    <w:rsid w:val="00D604C5"/>
    <w:rsid w:val="00D61627"/>
    <w:rsid w:val="00D646CC"/>
    <w:rsid w:val="00D6581A"/>
    <w:rsid w:val="00D65B42"/>
    <w:rsid w:val="00D67CAF"/>
    <w:rsid w:val="00D67F73"/>
    <w:rsid w:val="00D71391"/>
    <w:rsid w:val="00D72BC5"/>
    <w:rsid w:val="00D75C3B"/>
    <w:rsid w:val="00D75D69"/>
    <w:rsid w:val="00D76914"/>
    <w:rsid w:val="00D773A2"/>
    <w:rsid w:val="00D802E8"/>
    <w:rsid w:val="00D808FE"/>
    <w:rsid w:val="00D80E36"/>
    <w:rsid w:val="00D8309A"/>
    <w:rsid w:val="00D842D1"/>
    <w:rsid w:val="00D844F5"/>
    <w:rsid w:val="00D85E34"/>
    <w:rsid w:val="00D86C95"/>
    <w:rsid w:val="00D86DA5"/>
    <w:rsid w:val="00D86F19"/>
    <w:rsid w:val="00D86F6A"/>
    <w:rsid w:val="00D87B1A"/>
    <w:rsid w:val="00D87B99"/>
    <w:rsid w:val="00D920FF"/>
    <w:rsid w:val="00D9378E"/>
    <w:rsid w:val="00D93C2F"/>
    <w:rsid w:val="00D9483C"/>
    <w:rsid w:val="00D95431"/>
    <w:rsid w:val="00D95607"/>
    <w:rsid w:val="00D95EAF"/>
    <w:rsid w:val="00D95EE0"/>
    <w:rsid w:val="00D969B2"/>
    <w:rsid w:val="00DA334A"/>
    <w:rsid w:val="00DA5521"/>
    <w:rsid w:val="00DA5559"/>
    <w:rsid w:val="00DA6492"/>
    <w:rsid w:val="00DB0318"/>
    <w:rsid w:val="00DB07B3"/>
    <w:rsid w:val="00DB1970"/>
    <w:rsid w:val="00DB3F86"/>
    <w:rsid w:val="00DB4DD9"/>
    <w:rsid w:val="00DB533D"/>
    <w:rsid w:val="00DB547D"/>
    <w:rsid w:val="00DB5C9F"/>
    <w:rsid w:val="00DC0336"/>
    <w:rsid w:val="00DC0FD4"/>
    <w:rsid w:val="00DC15C9"/>
    <w:rsid w:val="00DC1B37"/>
    <w:rsid w:val="00DC3F99"/>
    <w:rsid w:val="00DC4B06"/>
    <w:rsid w:val="00DC5062"/>
    <w:rsid w:val="00DC6D3B"/>
    <w:rsid w:val="00DC7905"/>
    <w:rsid w:val="00DD0433"/>
    <w:rsid w:val="00DD145F"/>
    <w:rsid w:val="00DD20DB"/>
    <w:rsid w:val="00DD2620"/>
    <w:rsid w:val="00DD5871"/>
    <w:rsid w:val="00DD59A9"/>
    <w:rsid w:val="00DD6311"/>
    <w:rsid w:val="00DE682C"/>
    <w:rsid w:val="00DF23D5"/>
    <w:rsid w:val="00DF245D"/>
    <w:rsid w:val="00DF3AF9"/>
    <w:rsid w:val="00DF4237"/>
    <w:rsid w:val="00DF5981"/>
    <w:rsid w:val="00DF76EC"/>
    <w:rsid w:val="00E008D9"/>
    <w:rsid w:val="00E01CFD"/>
    <w:rsid w:val="00E0437B"/>
    <w:rsid w:val="00E04979"/>
    <w:rsid w:val="00E10878"/>
    <w:rsid w:val="00E114AD"/>
    <w:rsid w:val="00E13675"/>
    <w:rsid w:val="00E144D5"/>
    <w:rsid w:val="00E14A34"/>
    <w:rsid w:val="00E159D1"/>
    <w:rsid w:val="00E1643C"/>
    <w:rsid w:val="00E173CE"/>
    <w:rsid w:val="00E176A2"/>
    <w:rsid w:val="00E20C85"/>
    <w:rsid w:val="00E246E7"/>
    <w:rsid w:val="00E24955"/>
    <w:rsid w:val="00E258FF"/>
    <w:rsid w:val="00E263E5"/>
    <w:rsid w:val="00E265E4"/>
    <w:rsid w:val="00E26CF0"/>
    <w:rsid w:val="00E30229"/>
    <w:rsid w:val="00E3075A"/>
    <w:rsid w:val="00E330E7"/>
    <w:rsid w:val="00E3371C"/>
    <w:rsid w:val="00E3398A"/>
    <w:rsid w:val="00E34E30"/>
    <w:rsid w:val="00E35F64"/>
    <w:rsid w:val="00E37C73"/>
    <w:rsid w:val="00E40D1F"/>
    <w:rsid w:val="00E4105D"/>
    <w:rsid w:val="00E41A80"/>
    <w:rsid w:val="00E41C67"/>
    <w:rsid w:val="00E43E36"/>
    <w:rsid w:val="00E4405C"/>
    <w:rsid w:val="00E451D8"/>
    <w:rsid w:val="00E4538E"/>
    <w:rsid w:val="00E462D1"/>
    <w:rsid w:val="00E46B7D"/>
    <w:rsid w:val="00E47AC9"/>
    <w:rsid w:val="00E50624"/>
    <w:rsid w:val="00E5072B"/>
    <w:rsid w:val="00E51608"/>
    <w:rsid w:val="00E51B75"/>
    <w:rsid w:val="00E5250D"/>
    <w:rsid w:val="00E52B7F"/>
    <w:rsid w:val="00E5398C"/>
    <w:rsid w:val="00E546CB"/>
    <w:rsid w:val="00E57381"/>
    <w:rsid w:val="00E57A3E"/>
    <w:rsid w:val="00E605DE"/>
    <w:rsid w:val="00E6264A"/>
    <w:rsid w:val="00E62771"/>
    <w:rsid w:val="00E633C1"/>
    <w:rsid w:val="00E64556"/>
    <w:rsid w:val="00E6523F"/>
    <w:rsid w:val="00E65526"/>
    <w:rsid w:val="00E67AC6"/>
    <w:rsid w:val="00E70084"/>
    <w:rsid w:val="00E700C9"/>
    <w:rsid w:val="00E70D3C"/>
    <w:rsid w:val="00E710F6"/>
    <w:rsid w:val="00E7321A"/>
    <w:rsid w:val="00E748F3"/>
    <w:rsid w:val="00E75412"/>
    <w:rsid w:val="00E75DD1"/>
    <w:rsid w:val="00E80408"/>
    <w:rsid w:val="00E80BB4"/>
    <w:rsid w:val="00E82453"/>
    <w:rsid w:val="00E82490"/>
    <w:rsid w:val="00E8408D"/>
    <w:rsid w:val="00E856A2"/>
    <w:rsid w:val="00E861D9"/>
    <w:rsid w:val="00E862BD"/>
    <w:rsid w:val="00E86337"/>
    <w:rsid w:val="00E86E32"/>
    <w:rsid w:val="00E91221"/>
    <w:rsid w:val="00E919FE"/>
    <w:rsid w:val="00E91FDB"/>
    <w:rsid w:val="00E93532"/>
    <w:rsid w:val="00E93D6F"/>
    <w:rsid w:val="00E94C6C"/>
    <w:rsid w:val="00E96858"/>
    <w:rsid w:val="00E96FD2"/>
    <w:rsid w:val="00E976C2"/>
    <w:rsid w:val="00E97C4D"/>
    <w:rsid w:val="00EA2706"/>
    <w:rsid w:val="00EA3E1D"/>
    <w:rsid w:val="00EA4781"/>
    <w:rsid w:val="00EA5FD3"/>
    <w:rsid w:val="00EA6A7D"/>
    <w:rsid w:val="00EB0055"/>
    <w:rsid w:val="00EB0FB0"/>
    <w:rsid w:val="00EB20CD"/>
    <w:rsid w:val="00EB2A38"/>
    <w:rsid w:val="00EB44FC"/>
    <w:rsid w:val="00EB45D9"/>
    <w:rsid w:val="00EB551F"/>
    <w:rsid w:val="00EB5878"/>
    <w:rsid w:val="00EB588D"/>
    <w:rsid w:val="00EB5D1F"/>
    <w:rsid w:val="00EB63C3"/>
    <w:rsid w:val="00EB641A"/>
    <w:rsid w:val="00EB7563"/>
    <w:rsid w:val="00EC058F"/>
    <w:rsid w:val="00EC46CE"/>
    <w:rsid w:val="00EC5CCF"/>
    <w:rsid w:val="00EC681B"/>
    <w:rsid w:val="00EC694F"/>
    <w:rsid w:val="00EC6B0B"/>
    <w:rsid w:val="00ED00CC"/>
    <w:rsid w:val="00ED12C8"/>
    <w:rsid w:val="00ED3918"/>
    <w:rsid w:val="00ED3B9A"/>
    <w:rsid w:val="00ED3EEF"/>
    <w:rsid w:val="00ED4346"/>
    <w:rsid w:val="00ED52C3"/>
    <w:rsid w:val="00EE1BE0"/>
    <w:rsid w:val="00EE3685"/>
    <w:rsid w:val="00EE5683"/>
    <w:rsid w:val="00EE5754"/>
    <w:rsid w:val="00EE5E2C"/>
    <w:rsid w:val="00EF0BAE"/>
    <w:rsid w:val="00EF10A3"/>
    <w:rsid w:val="00EF1934"/>
    <w:rsid w:val="00EF3787"/>
    <w:rsid w:val="00EF458D"/>
    <w:rsid w:val="00EF4F43"/>
    <w:rsid w:val="00EF779B"/>
    <w:rsid w:val="00EF7849"/>
    <w:rsid w:val="00F001F1"/>
    <w:rsid w:val="00F00F8F"/>
    <w:rsid w:val="00F02B19"/>
    <w:rsid w:val="00F0354F"/>
    <w:rsid w:val="00F035A8"/>
    <w:rsid w:val="00F0414E"/>
    <w:rsid w:val="00F04A1E"/>
    <w:rsid w:val="00F04B65"/>
    <w:rsid w:val="00F071E6"/>
    <w:rsid w:val="00F07474"/>
    <w:rsid w:val="00F1196C"/>
    <w:rsid w:val="00F11C9C"/>
    <w:rsid w:val="00F121EC"/>
    <w:rsid w:val="00F12757"/>
    <w:rsid w:val="00F12B81"/>
    <w:rsid w:val="00F15807"/>
    <w:rsid w:val="00F171B2"/>
    <w:rsid w:val="00F17C7C"/>
    <w:rsid w:val="00F20495"/>
    <w:rsid w:val="00F20A85"/>
    <w:rsid w:val="00F211A0"/>
    <w:rsid w:val="00F229C1"/>
    <w:rsid w:val="00F25890"/>
    <w:rsid w:val="00F25EB3"/>
    <w:rsid w:val="00F303C9"/>
    <w:rsid w:val="00F307FD"/>
    <w:rsid w:val="00F3107D"/>
    <w:rsid w:val="00F361F4"/>
    <w:rsid w:val="00F36B12"/>
    <w:rsid w:val="00F36EFD"/>
    <w:rsid w:val="00F41CEA"/>
    <w:rsid w:val="00F41D5B"/>
    <w:rsid w:val="00F42583"/>
    <w:rsid w:val="00F42F2A"/>
    <w:rsid w:val="00F43FCD"/>
    <w:rsid w:val="00F441E8"/>
    <w:rsid w:val="00F44CED"/>
    <w:rsid w:val="00F45C03"/>
    <w:rsid w:val="00F46136"/>
    <w:rsid w:val="00F46C39"/>
    <w:rsid w:val="00F47BC0"/>
    <w:rsid w:val="00F5191A"/>
    <w:rsid w:val="00F51FCC"/>
    <w:rsid w:val="00F53A5A"/>
    <w:rsid w:val="00F554F2"/>
    <w:rsid w:val="00F55A66"/>
    <w:rsid w:val="00F6007E"/>
    <w:rsid w:val="00F61DB6"/>
    <w:rsid w:val="00F61EE9"/>
    <w:rsid w:val="00F65F13"/>
    <w:rsid w:val="00F664B5"/>
    <w:rsid w:val="00F678CB"/>
    <w:rsid w:val="00F67EF8"/>
    <w:rsid w:val="00F71663"/>
    <w:rsid w:val="00F722A2"/>
    <w:rsid w:val="00F7467A"/>
    <w:rsid w:val="00F75B3F"/>
    <w:rsid w:val="00F75D21"/>
    <w:rsid w:val="00F76A7C"/>
    <w:rsid w:val="00F82C97"/>
    <w:rsid w:val="00F83A88"/>
    <w:rsid w:val="00F83CD2"/>
    <w:rsid w:val="00F840A5"/>
    <w:rsid w:val="00F85B36"/>
    <w:rsid w:val="00F90633"/>
    <w:rsid w:val="00F907B4"/>
    <w:rsid w:val="00F91C6C"/>
    <w:rsid w:val="00F933AF"/>
    <w:rsid w:val="00F93E41"/>
    <w:rsid w:val="00F96530"/>
    <w:rsid w:val="00F968D1"/>
    <w:rsid w:val="00F97B65"/>
    <w:rsid w:val="00FA1A07"/>
    <w:rsid w:val="00FA1C31"/>
    <w:rsid w:val="00FA1FAE"/>
    <w:rsid w:val="00FA4856"/>
    <w:rsid w:val="00FA4AF1"/>
    <w:rsid w:val="00FA4D16"/>
    <w:rsid w:val="00FA5B0F"/>
    <w:rsid w:val="00FA5ECA"/>
    <w:rsid w:val="00FA6533"/>
    <w:rsid w:val="00FA6E81"/>
    <w:rsid w:val="00FA7875"/>
    <w:rsid w:val="00FB01EC"/>
    <w:rsid w:val="00FB07D8"/>
    <w:rsid w:val="00FB1EAC"/>
    <w:rsid w:val="00FB23D6"/>
    <w:rsid w:val="00FB2715"/>
    <w:rsid w:val="00FB2ADF"/>
    <w:rsid w:val="00FB3A2B"/>
    <w:rsid w:val="00FB5CEE"/>
    <w:rsid w:val="00FB66B6"/>
    <w:rsid w:val="00FB6AA3"/>
    <w:rsid w:val="00FB6C5D"/>
    <w:rsid w:val="00FB749C"/>
    <w:rsid w:val="00FC1337"/>
    <w:rsid w:val="00FC1FD5"/>
    <w:rsid w:val="00FC279C"/>
    <w:rsid w:val="00FC27E2"/>
    <w:rsid w:val="00FC2CA6"/>
    <w:rsid w:val="00FC4263"/>
    <w:rsid w:val="00FC475E"/>
    <w:rsid w:val="00FC504E"/>
    <w:rsid w:val="00FC5697"/>
    <w:rsid w:val="00FC67C7"/>
    <w:rsid w:val="00FC6AB3"/>
    <w:rsid w:val="00FC6C2E"/>
    <w:rsid w:val="00FC7632"/>
    <w:rsid w:val="00FC7D1E"/>
    <w:rsid w:val="00FD10C3"/>
    <w:rsid w:val="00FD1935"/>
    <w:rsid w:val="00FD3790"/>
    <w:rsid w:val="00FD3D7F"/>
    <w:rsid w:val="00FD616B"/>
    <w:rsid w:val="00FD7A81"/>
    <w:rsid w:val="00FD7FE4"/>
    <w:rsid w:val="00FE00AF"/>
    <w:rsid w:val="00FE0323"/>
    <w:rsid w:val="00FE1E2F"/>
    <w:rsid w:val="00FE1E86"/>
    <w:rsid w:val="00FE757A"/>
    <w:rsid w:val="00FE7705"/>
    <w:rsid w:val="00FF0528"/>
    <w:rsid w:val="00FF20A2"/>
    <w:rsid w:val="00FF291E"/>
    <w:rsid w:val="00FF480D"/>
    <w:rsid w:val="00FF48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AD8900"/>
  <w15:docId w15:val="{5F730DA1-ECF9-4462-8B39-25FCB07E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11656"/>
    <w:rPr>
      <w:sz w:val="16"/>
      <w:szCs w:val="16"/>
    </w:rPr>
  </w:style>
  <w:style w:type="paragraph" w:styleId="CommentText">
    <w:name w:val="annotation text"/>
    <w:basedOn w:val="Normal"/>
    <w:link w:val="CommentTextChar"/>
    <w:unhideWhenUsed/>
    <w:rsid w:val="00611656"/>
    <w:pPr>
      <w:spacing w:line="240" w:lineRule="auto"/>
    </w:pPr>
    <w:rPr>
      <w:sz w:val="20"/>
      <w:szCs w:val="20"/>
    </w:rPr>
  </w:style>
  <w:style w:type="character" w:customStyle="1" w:styleId="CommentTextChar">
    <w:name w:val="Comment Text Char"/>
    <w:basedOn w:val="DefaultParagraphFont"/>
    <w:link w:val="CommentText"/>
    <w:uiPriority w:val="99"/>
    <w:rsid w:val="00611656"/>
  </w:style>
  <w:style w:type="paragraph" w:styleId="CommentSubject">
    <w:name w:val="annotation subject"/>
    <w:basedOn w:val="CommentText"/>
    <w:next w:val="CommentText"/>
    <w:link w:val="CommentSubjectChar"/>
    <w:uiPriority w:val="99"/>
    <w:semiHidden/>
    <w:unhideWhenUsed/>
    <w:rsid w:val="00611656"/>
    <w:rPr>
      <w:b/>
      <w:bCs/>
    </w:rPr>
  </w:style>
  <w:style w:type="character" w:customStyle="1" w:styleId="CommentSubjectChar">
    <w:name w:val="Comment Subject Char"/>
    <w:basedOn w:val="CommentTextChar"/>
    <w:link w:val="CommentSubject"/>
    <w:uiPriority w:val="99"/>
    <w:semiHidden/>
    <w:rsid w:val="00611656"/>
    <w:rPr>
      <w:b/>
      <w:bCs/>
    </w:rPr>
  </w:style>
  <w:style w:type="paragraph" w:styleId="BalloonText">
    <w:name w:val="Balloon Text"/>
    <w:basedOn w:val="Normal"/>
    <w:link w:val="BalloonTextChar"/>
    <w:uiPriority w:val="99"/>
    <w:semiHidden/>
    <w:unhideWhenUsed/>
    <w:rsid w:val="00611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656"/>
    <w:rPr>
      <w:rFonts w:ascii="Tahoma" w:hAnsi="Tahoma" w:cs="Tahoma"/>
      <w:sz w:val="16"/>
      <w:szCs w:val="16"/>
    </w:rPr>
  </w:style>
  <w:style w:type="paragraph" w:customStyle="1" w:styleId="Default">
    <w:name w:val="Default"/>
    <w:rsid w:val="00746778"/>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765FE7"/>
    <w:pPr>
      <w:spacing w:after="0" w:line="240" w:lineRule="auto"/>
      <w:ind w:left="720"/>
    </w:pPr>
    <w:rPr>
      <w:rFonts w:eastAsia="Times New Roman" w:cs="Calibri"/>
    </w:rPr>
  </w:style>
  <w:style w:type="paragraph" w:styleId="NormalWeb">
    <w:name w:val="Normal (Web)"/>
    <w:basedOn w:val="Normal"/>
    <w:uiPriority w:val="99"/>
    <w:semiHidden/>
    <w:unhideWhenUsed/>
    <w:rsid w:val="009342D9"/>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9342D9"/>
    <w:pPr>
      <w:spacing w:after="120"/>
    </w:pPr>
  </w:style>
  <w:style w:type="character" w:customStyle="1" w:styleId="BodyTextChar">
    <w:name w:val="Body Text Char"/>
    <w:basedOn w:val="DefaultParagraphFont"/>
    <w:link w:val="BodyText"/>
    <w:uiPriority w:val="99"/>
    <w:semiHidden/>
    <w:rsid w:val="009342D9"/>
    <w:rPr>
      <w:sz w:val="22"/>
      <w:szCs w:val="22"/>
    </w:rPr>
  </w:style>
  <w:style w:type="character" w:styleId="Hyperlink">
    <w:name w:val="Hyperlink"/>
    <w:basedOn w:val="DefaultParagraphFont"/>
    <w:uiPriority w:val="99"/>
    <w:unhideWhenUsed/>
    <w:rsid w:val="002C5F35"/>
    <w:rPr>
      <w:color w:val="0000FF" w:themeColor="hyperlink"/>
      <w:u w:val="single"/>
    </w:rPr>
  </w:style>
  <w:style w:type="paragraph" w:styleId="Header">
    <w:name w:val="header"/>
    <w:basedOn w:val="Normal"/>
    <w:link w:val="HeaderChar"/>
    <w:uiPriority w:val="99"/>
    <w:unhideWhenUsed/>
    <w:rsid w:val="00032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2A2"/>
    <w:rPr>
      <w:sz w:val="22"/>
      <w:szCs w:val="22"/>
    </w:rPr>
  </w:style>
  <w:style w:type="paragraph" w:styleId="Footer">
    <w:name w:val="footer"/>
    <w:basedOn w:val="Normal"/>
    <w:link w:val="FooterChar"/>
    <w:uiPriority w:val="99"/>
    <w:unhideWhenUsed/>
    <w:rsid w:val="00032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2A2"/>
    <w:rPr>
      <w:sz w:val="22"/>
      <w:szCs w:val="22"/>
    </w:rPr>
  </w:style>
  <w:style w:type="paragraph" w:styleId="FootnoteText">
    <w:name w:val="footnote text"/>
    <w:basedOn w:val="Normal"/>
    <w:link w:val="FootnoteTextChar"/>
    <w:uiPriority w:val="99"/>
    <w:semiHidden/>
    <w:rsid w:val="003D1D29"/>
    <w:pPr>
      <w:widowControl w:val="0"/>
      <w:suppressAutoHyphens/>
      <w:spacing w:after="0" w:line="240" w:lineRule="auto"/>
    </w:pPr>
    <w:rPr>
      <w:rFonts w:ascii="Times New Roman" w:eastAsia="Times New Roman" w:hAnsi="Times New Roman"/>
      <w:sz w:val="20"/>
      <w:szCs w:val="20"/>
      <w:lang w:eastAsia="ar-SA"/>
    </w:rPr>
  </w:style>
  <w:style w:type="character" w:customStyle="1" w:styleId="FootnoteTextChar">
    <w:name w:val="Footnote Text Char"/>
    <w:basedOn w:val="DefaultParagraphFont"/>
    <w:link w:val="FootnoteText"/>
    <w:uiPriority w:val="99"/>
    <w:semiHidden/>
    <w:rsid w:val="003D1D29"/>
    <w:rPr>
      <w:rFonts w:ascii="Times New Roman" w:eastAsia="Times New Roman" w:hAnsi="Times New Roman"/>
      <w:lang w:eastAsia="ar-SA"/>
    </w:rPr>
  </w:style>
  <w:style w:type="character" w:styleId="FollowedHyperlink">
    <w:name w:val="FollowedHyperlink"/>
    <w:basedOn w:val="DefaultParagraphFont"/>
    <w:uiPriority w:val="99"/>
    <w:semiHidden/>
    <w:unhideWhenUsed/>
    <w:rsid w:val="00211814"/>
    <w:rPr>
      <w:color w:val="800080" w:themeColor="followedHyperlink"/>
      <w:u w:val="single"/>
    </w:rPr>
  </w:style>
  <w:style w:type="character" w:styleId="UnresolvedMention">
    <w:name w:val="Unresolved Mention"/>
    <w:basedOn w:val="DefaultParagraphFont"/>
    <w:uiPriority w:val="99"/>
    <w:semiHidden/>
    <w:unhideWhenUsed/>
    <w:rsid w:val="00022F66"/>
    <w:rPr>
      <w:color w:val="605E5C"/>
      <w:shd w:val="clear" w:color="auto" w:fill="E1DFDD"/>
    </w:rPr>
  </w:style>
  <w:style w:type="table" w:styleId="TableGrid">
    <w:name w:val="Table Grid"/>
    <w:basedOn w:val="TableNormal"/>
    <w:uiPriority w:val="59"/>
    <w:rsid w:val="00550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B6BAB"/>
    <w:rPr>
      <w:vertAlign w:val="superscript"/>
    </w:rPr>
  </w:style>
  <w:style w:type="character" w:customStyle="1" w:styleId="chapeau">
    <w:name w:val="chapeau"/>
    <w:basedOn w:val="DefaultParagraphFont"/>
    <w:rsid w:val="000B62B9"/>
  </w:style>
  <w:style w:type="paragraph" w:styleId="NoSpacing">
    <w:name w:val="No Spacing"/>
    <w:uiPriority w:val="1"/>
    <w:qFormat/>
    <w:rsid w:val="007536CA"/>
    <w:rPr>
      <w:sz w:val="22"/>
      <w:szCs w:val="22"/>
    </w:rPr>
  </w:style>
  <w:style w:type="paragraph" w:styleId="BodyText2">
    <w:name w:val="Body Text 2"/>
    <w:basedOn w:val="Normal"/>
    <w:link w:val="BodyText2Char"/>
    <w:uiPriority w:val="99"/>
    <w:semiHidden/>
    <w:unhideWhenUsed/>
    <w:rsid w:val="00FC7D1E"/>
    <w:pPr>
      <w:spacing w:after="120" w:line="480" w:lineRule="auto"/>
    </w:pPr>
  </w:style>
  <w:style w:type="character" w:customStyle="1" w:styleId="BodyText2Char">
    <w:name w:val="Body Text 2 Char"/>
    <w:basedOn w:val="DefaultParagraphFont"/>
    <w:link w:val="BodyText2"/>
    <w:uiPriority w:val="99"/>
    <w:semiHidden/>
    <w:rsid w:val="00FC7D1E"/>
    <w:rPr>
      <w:sz w:val="22"/>
      <w:szCs w:val="22"/>
    </w:rPr>
  </w:style>
  <w:style w:type="table" w:customStyle="1" w:styleId="TableGrid1">
    <w:name w:val="Table Grid1"/>
    <w:basedOn w:val="TableNormal"/>
    <w:next w:val="TableGrid"/>
    <w:uiPriority w:val="39"/>
    <w:rsid w:val="00FC7D1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044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5398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da.gov/media/90173/download" TargetMode="External" /><Relationship Id="rId6" Type="http://schemas.openxmlformats.org/officeDocument/2006/relationships/hyperlink" Target="https://www.fda.gov/RegulatoryInformation/Guidances/default.ht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9D43A-6D88-434D-874E-8CACCC9A9733}">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7</Pages>
  <Words>2226</Words>
  <Characters>12692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Anne</dc:creator>
  <cp:lastModifiedBy>Taylor, Anne</cp:lastModifiedBy>
  <cp:revision>4</cp:revision>
  <dcterms:created xsi:type="dcterms:W3CDTF">2026-03-26T14:42:00Z</dcterms:created>
  <dcterms:modified xsi:type="dcterms:W3CDTF">2026-03-26T15:03:00Z</dcterms:modified>
</cp:coreProperties>
</file>