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A465A" w:rsidP="00357C8A" w14:paraId="3748D09A" w14:textId="77777777">
      <w:pPr>
        <w:jc w:val="center"/>
      </w:pPr>
    </w:p>
    <w:p w:rsidR="00357C8A" w:rsidP="00357C8A" w14:paraId="1A9A10BD" w14:textId="5A1C7C83">
      <w:pPr>
        <w:jc w:val="center"/>
        <w:rPr>
          <w:rFonts w:eastAsia="Calibri"/>
        </w:rPr>
      </w:pPr>
      <w:r w:rsidRPr="00357C8A">
        <w:rPr>
          <w:rFonts w:eastAsia="Calibri"/>
        </w:rPr>
        <w:t>United States Food and Drug Administration</w:t>
      </w:r>
    </w:p>
    <w:p w:rsidR="00664892" w:rsidP="00357C8A" w14:paraId="2A7BDB72" w14:textId="77777777">
      <w:pPr>
        <w:jc w:val="center"/>
        <w:rPr>
          <w:rFonts w:eastAsia="Calibri"/>
        </w:rPr>
      </w:pPr>
    </w:p>
    <w:p w:rsidR="00664892" w:rsidP="00357C8A" w14:paraId="7914AF8E" w14:textId="0FC3D342">
      <w:pPr>
        <w:jc w:val="center"/>
        <w:rPr>
          <w:rFonts w:eastAsia="Calibri"/>
        </w:rPr>
      </w:pPr>
      <w:r>
        <w:rPr>
          <w:rFonts w:eastAsia="Calibri"/>
        </w:rPr>
        <w:t>Center for Tobacco Products</w:t>
      </w:r>
    </w:p>
    <w:p w:rsidR="00357C8A" w:rsidP="00357C8A" w14:paraId="2380EC64" w14:textId="77777777">
      <w:pPr>
        <w:jc w:val="center"/>
        <w:rPr>
          <w:rFonts w:eastAsia="Calibri"/>
        </w:rPr>
      </w:pPr>
    </w:p>
    <w:p w:rsidR="00357C8A" w:rsidP="002C62A6" w14:paraId="23F987FB" w14:textId="58731EF4">
      <w:pPr>
        <w:jc w:val="center"/>
        <w:rPr>
          <w:rFonts w:eastAsia="Calibri"/>
        </w:rPr>
      </w:pPr>
      <w:r w:rsidRPr="002C62A6">
        <w:rPr>
          <w:rFonts w:eastAsia="Calibri"/>
        </w:rPr>
        <w:t>Regulations Restricting the Sale and Distribution of Cigarettes and Smokeless Tobacco to Protect Children and Adolescents</w:t>
      </w:r>
    </w:p>
    <w:p w:rsidR="00357C8A" w:rsidP="00357C8A" w14:paraId="36E25EE2" w14:textId="77777777">
      <w:pPr>
        <w:jc w:val="center"/>
        <w:rPr>
          <w:rFonts w:eastAsia="Calibri"/>
        </w:rPr>
      </w:pPr>
    </w:p>
    <w:p w:rsidR="00357C8A" w:rsidP="00357C8A" w14:paraId="255ECE82" w14:textId="373675CB">
      <w:pPr>
        <w:jc w:val="center"/>
        <w:rPr>
          <w:rFonts w:eastAsia="Calibri"/>
        </w:rPr>
      </w:pPr>
      <w:r w:rsidRPr="00357C8A">
        <w:rPr>
          <w:rFonts w:eastAsia="Calibri"/>
        </w:rPr>
        <w:t>OMB Control No. 0910-</w:t>
      </w:r>
      <w:r w:rsidR="002C04B6">
        <w:rPr>
          <w:rFonts w:eastAsia="Calibri"/>
        </w:rPr>
        <w:t>0312</w:t>
      </w:r>
      <w:r w:rsidR="008A4B3B">
        <w:rPr>
          <w:rFonts w:eastAsia="Calibri"/>
        </w:rPr>
        <w:t>—</w:t>
      </w:r>
      <w:r w:rsidR="00727CDF">
        <w:rPr>
          <w:rFonts w:eastAsia="Calibri"/>
        </w:rPr>
        <w:t>EXTENSION</w:t>
      </w:r>
    </w:p>
    <w:p w:rsidR="00357C8A" w:rsidP="00357C8A" w14:paraId="412512DD" w14:textId="77777777">
      <w:pPr>
        <w:jc w:val="center"/>
        <w:rPr>
          <w:rFonts w:eastAsia="Calibri"/>
        </w:rPr>
      </w:pPr>
    </w:p>
    <w:p w:rsidR="00357C8A" w:rsidP="00357C8A" w14:paraId="4651869F" w14:textId="77777777">
      <w:pPr>
        <w:jc w:val="center"/>
        <w:rPr>
          <w:rFonts w:eastAsia="Calibri"/>
        </w:rPr>
      </w:pPr>
      <w:r w:rsidRPr="00357C8A">
        <w:rPr>
          <w:rFonts w:eastAsia="Calibri"/>
        </w:rPr>
        <w:t>SUPPORTING STATEMENT</w:t>
      </w:r>
    </w:p>
    <w:p w:rsidR="009B4DF2" w:rsidP="00357C8A" w14:paraId="40A64F8A" w14:textId="77777777">
      <w:pPr>
        <w:jc w:val="center"/>
        <w:rPr>
          <w:rFonts w:eastAsia="Calibri"/>
        </w:rPr>
      </w:pPr>
    </w:p>
    <w:p w:rsidR="009B4DF2" w:rsidP="009B4DF2" w14:paraId="47462970" w14:textId="0A0A81DA">
      <w:r w:rsidRPr="009122AE">
        <w:rPr>
          <w:rFonts w:eastAsia="Calibri"/>
          <w:u w:val="single"/>
        </w:rPr>
        <w:t>Terms of Clearance</w:t>
      </w:r>
      <w:r>
        <w:rPr>
          <w:rFonts w:eastAsia="Calibri"/>
        </w:rPr>
        <w:t xml:space="preserve">: </w:t>
      </w:r>
      <w:r w:rsidR="007A720B">
        <w:rPr>
          <w:rFonts w:eastAsia="Calibri"/>
        </w:rPr>
        <w:t>None.</w:t>
      </w:r>
    </w:p>
    <w:p w:rsidR="00C71649" w:rsidP="009B4DF2" w14:paraId="69B09264" w14:textId="77777777"/>
    <w:p w:rsidR="00357C8A" w:rsidP="000D79CC" w14:paraId="35ECE4F7" w14:textId="14077FFE">
      <w:pPr>
        <w:rPr>
          <w:rFonts w:eastAsia="Calibri"/>
        </w:rPr>
      </w:pPr>
      <w:r w:rsidRPr="00357C8A">
        <w:rPr>
          <w:rFonts w:eastAsia="Calibri"/>
          <w:b/>
        </w:rPr>
        <w:t>Part A: Justification</w:t>
      </w:r>
      <w:r w:rsidRPr="00357C8A">
        <w:rPr>
          <w:rFonts w:eastAsia="Calibri"/>
        </w:rPr>
        <w:t>:</w:t>
      </w:r>
    </w:p>
    <w:p w:rsidR="000D79CC" w:rsidRPr="00357C8A" w:rsidP="000D79CC" w14:paraId="5C189B04" w14:textId="77777777">
      <w:pPr>
        <w:rPr>
          <w:rFonts w:eastAsia="Calibri"/>
        </w:rPr>
      </w:pPr>
    </w:p>
    <w:p w:rsidR="00357C8A" w:rsidRPr="00357C8A" w:rsidP="006705EA" w14:paraId="36FFC6A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E83148" w:rsidRPr="00E83148" w:rsidP="00D37AD6" w14:paraId="4CFFE3BE" w14:textId="70721DC3">
      <w:pPr>
        <w:spacing w:after="200" w:line="276" w:lineRule="auto"/>
        <w:rPr>
          <w:rFonts w:eastAsia="Calibri"/>
        </w:rPr>
      </w:pPr>
      <w:r w:rsidRPr="01D66726">
        <w:rPr>
          <w:rFonts w:eastAsia="Calibri"/>
        </w:rPr>
        <w:t xml:space="preserve">This information collection supports Food and Drug Administration regulations and associated agency guidance. </w:t>
      </w:r>
      <w:r w:rsidR="00D562FD">
        <w:rPr>
          <w:rFonts w:eastAsia="Calibri"/>
        </w:rPr>
        <w:t xml:space="preserve"> </w:t>
      </w:r>
      <w:r w:rsidRPr="01D66726">
        <w:rPr>
          <w:rFonts w:eastAsia="Calibri"/>
        </w:rPr>
        <w:t>Tobacco products are governed by chapter IX of the Federal Food, Drug, and Cosmetic Act (FD&amp;C Act) (sections 900 through 920) (21 U.S.C. 387 through 21 U.S.C. 387</w:t>
      </w:r>
      <w:r w:rsidRPr="01D66726" w:rsidR="7A0CD31E">
        <w:rPr>
          <w:rFonts w:eastAsia="Calibri"/>
        </w:rPr>
        <w:t>u</w:t>
      </w:r>
      <w:r w:rsidRPr="01D66726">
        <w:rPr>
          <w:rFonts w:eastAsia="Calibri"/>
        </w:rPr>
        <w:t>).</w:t>
      </w:r>
    </w:p>
    <w:p w:rsidR="00E83148" w:rsidRPr="00E83148" w:rsidP="00D37AD6" w14:paraId="0FD0C046" w14:textId="5F250BB0">
      <w:pPr>
        <w:spacing w:after="200" w:line="276" w:lineRule="auto"/>
        <w:rPr>
          <w:rFonts w:eastAsia="Calibri"/>
        </w:rPr>
      </w:pPr>
      <w:r w:rsidRPr="00E83148">
        <w:rPr>
          <w:rFonts w:eastAsia="Calibri"/>
        </w:rPr>
        <w:t xml:space="preserve">Regulations in </w:t>
      </w:r>
      <w:r w:rsidR="000A39EA">
        <w:rPr>
          <w:rFonts w:eastAsia="Calibri"/>
        </w:rPr>
        <w:t xml:space="preserve">21 CFR </w:t>
      </w:r>
      <w:r w:rsidRPr="00E83148">
        <w:rPr>
          <w:rFonts w:eastAsia="Calibri"/>
        </w:rPr>
        <w:t xml:space="preserve">part 1140 establish permissible forms of labeling and advertising and include reporting requirements directing persons to notify FDA if they intend to use a form of advertising or labeling </w:t>
      </w:r>
      <w:r w:rsidR="00FB704A">
        <w:rPr>
          <w:rFonts w:eastAsia="Calibri"/>
        </w:rPr>
        <w:t xml:space="preserve">for cigarettes or smokeless tobacco </w:t>
      </w:r>
      <w:r w:rsidRPr="00E83148">
        <w:rPr>
          <w:rFonts w:eastAsia="Calibri"/>
        </w:rPr>
        <w:t xml:space="preserve">that is not addressed in the regulations. </w:t>
      </w:r>
      <w:r w:rsidR="00D562FD">
        <w:rPr>
          <w:rFonts w:eastAsia="Calibri"/>
        </w:rPr>
        <w:t xml:space="preserve"> </w:t>
      </w:r>
      <w:r w:rsidRPr="00E83148">
        <w:rPr>
          <w:rFonts w:eastAsia="Calibri"/>
        </w:rPr>
        <w:t xml:space="preserve">Section 1140.30 </w:t>
      </w:r>
      <w:r w:rsidR="00FB704A">
        <w:rPr>
          <w:rFonts w:eastAsia="Calibri"/>
        </w:rPr>
        <w:t>requires that</w:t>
      </w:r>
      <w:r w:rsidRPr="00E83148">
        <w:rPr>
          <w:rFonts w:eastAsia="Calibri"/>
        </w:rPr>
        <w:t xml:space="preserve"> manufacturers, distributors, and retailers notify FDA if they intend to use advertising or labeling for cigarettes or smokeless tobacco in a medium that is not listed in the regulations.</w:t>
      </w:r>
      <w:r w:rsidR="009B489D">
        <w:rPr>
          <w:rFonts w:eastAsia="Calibri"/>
        </w:rPr>
        <w:t xml:space="preserve"> </w:t>
      </w:r>
      <w:r w:rsidR="00D562FD">
        <w:rPr>
          <w:rFonts w:eastAsia="Calibri"/>
        </w:rPr>
        <w:t xml:space="preserve"> </w:t>
      </w:r>
      <w:r w:rsidR="009B489D">
        <w:rPr>
          <w:rFonts w:eastAsia="Calibri"/>
        </w:rPr>
        <w:t>The notifications must be made 30 days prior to the use of such medi</w:t>
      </w:r>
      <w:r w:rsidR="003B1D69">
        <w:rPr>
          <w:rFonts w:eastAsia="Calibri"/>
        </w:rPr>
        <w:t>a</w:t>
      </w:r>
      <w:r w:rsidR="009B489D">
        <w:rPr>
          <w:rFonts w:eastAsia="Calibri"/>
        </w:rPr>
        <w:t>.</w:t>
      </w:r>
    </w:p>
    <w:p w:rsidR="00357C8A" w:rsidRPr="00A5223A" w:rsidP="00D37AD6" w14:paraId="1BF71104" w14:textId="3E0031AC">
      <w:pPr>
        <w:spacing w:after="200" w:line="276" w:lineRule="auto"/>
        <w:rPr>
          <w:rFonts w:eastAsia="Calibri"/>
          <w:color w:val="FF0000"/>
        </w:rPr>
      </w:pPr>
      <w:r w:rsidRPr="00E83148">
        <w:rPr>
          <w:rFonts w:eastAsia="Calibri"/>
        </w:rPr>
        <w:t xml:space="preserve">We therefore request OMB </w:t>
      </w:r>
      <w:r>
        <w:rPr>
          <w:rFonts w:eastAsia="Calibri"/>
        </w:rPr>
        <w:t>extension</w:t>
      </w:r>
      <w:r w:rsidRPr="00E83148">
        <w:rPr>
          <w:rFonts w:eastAsia="Calibri"/>
        </w:rPr>
        <w:t xml:space="preserve"> of the information collection provisions found in 21 CFR </w:t>
      </w:r>
      <w:r w:rsidR="00D42ADA">
        <w:rPr>
          <w:rFonts w:eastAsia="Calibri"/>
        </w:rPr>
        <w:t>p</w:t>
      </w:r>
      <w:r w:rsidRPr="00E83148">
        <w:rPr>
          <w:rFonts w:eastAsia="Calibri"/>
        </w:rPr>
        <w:t>art 1140 and the associated guidance, as discussed in this supporting statement.</w:t>
      </w:r>
    </w:p>
    <w:p w:rsidR="00357C8A" w:rsidRPr="00357C8A" w:rsidP="006705EA" w14:paraId="70547A87"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B17C86" w:rsidRPr="00B17C86" w:rsidP="00D37AD6" w14:paraId="7CB162C5" w14:textId="111931EF">
      <w:pPr>
        <w:spacing w:after="200" w:line="276" w:lineRule="auto"/>
        <w:rPr>
          <w:rFonts w:eastAsia="Calibri"/>
        </w:rPr>
      </w:pPr>
      <w:r w:rsidRPr="00B17C86">
        <w:rPr>
          <w:rFonts w:eastAsia="Calibri"/>
        </w:rPr>
        <w:t xml:space="preserve">Federal law directed the FDA to issue regulations pertaining to the sale and distribution of cigarettes and smokeless tobacco to protect children and adolescents. </w:t>
      </w:r>
      <w:r w:rsidR="00D562FD">
        <w:rPr>
          <w:rFonts w:eastAsia="Calibri"/>
        </w:rPr>
        <w:t xml:space="preserve"> </w:t>
      </w:r>
      <w:r w:rsidRPr="00B17C86">
        <w:rPr>
          <w:rFonts w:eastAsia="Calibri"/>
        </w:rPr>
        <w:t xml:space="preserve">We intend to use the information in this collection to determine whether a party is meeting its regulatory obligations. </w:t>
      </w:r>
    </w:p>
    <w:p w:rsidR="00B17C86" w:rsidRPr="00B17C86" w:rsidP="00D37AD6" w14:paraId="41EF71DA" w14:textId="674D36F9">
      <w:pPr>
        <w:spacing w:after="200" w:line="276" w:lineRule="auto"/>
        <w:rPr>
          <w:rFonts w:eastAsia="Calibri"/>
        </w:rPr>
      </w:pPr>
      <w:r w:rsidRPr="00B17C86">
        <w:rPr>
          <w:rFonts w:eastAsia="Calibri"/>
        </w:rPr>
        <w:t xml:space="preserve">Respondents to this collection of information are businesses or other for-profit institutions who advertise the availability and sale of </w:t>
      </w:r>
      <w:r w:rsidRPr="00B17C86" w:rsidR="00A777E8">
        <w:rPr>
          <w:rFonts w:eastAsia="Calibri"/>
        </w:rPr>
        <w:t>cigarette</w:t>
      </w:r>
      <w:r w:rsidRPr="00B17C86">
        <w:rPr>
          <w:rFonts w:eastAsia="Calibri"/>
        </w:rPr>
        <w:t xml:space="preserve"> and smokeless tobacco products.</w:t>
      </w:r>
    </w:p>
    <w:p w:rsidR="00B17C86" w:rsidP="00D37AD6" w14:paraId="1A20B494" w14:textId="70F26829">
      <w:pPr>
        <w:spacing w:after="200" w:line="276" w:lineRule="auto"/>
        <w:rPr>
          <w:rFonts w:eastAsia="Calibri"/>
        </w:rPr>
      </w:pPr>
      <w:r w:rsidRPr="00B17C86">
        <w:rPr>
          <w:rFonts w:eastAsia="Calibri"/>
        </w:rPr>
        <w:t xml:space="preserve">Section 1140.30 is intended to help protect children and adolescents by reducing the appeal of cigarettes and smokeless tobacco to them. </w:t>
      </w:r>
      <w:r w:rsidR="00BF0322">
        <w:rPr>
          <w:rFonts w:eastAsia="Calibri"/>
        </w:rPr>
        <w:t xml:space="preserve"> </w:t>
      </w:r>
      <w:r w:rsidRPr="00B17C86">
        <w:rPr>
          <w:rFonts w:eastAsia="Calibri"/>
        </w:rPr>
        <w:t>Section 1140.30</w:t>
      </w:r>
      <w:r w:rsidR="00926CCA">
        <w:rPr>
          <w:rFonts w:eastAsia="Calibri"/>
        </w:rPr>
        <w:t>(a)(1)</w:t>
      </w:r>
      <w:r w:rsidRPr="00B17C86">
        <w:rPr>
          <w:rFonts w:eastAsia="Calibri"/>
        </w:rPr>
        <w:t xml:space="preserve"> contains a list of permissible forms of advertising and labeling</w:t>
      </w:r>
      <w:r w:rsidR="00926CCA">
        <w:rPr>
          <w:rFonts w:eastAsia="Calibri"/>
        </w:rPr>
        <w:t>.</w:t>
      </w:r>
      <w:r w:rsidRPr="00B17C86">
        <w:rPr>
          <w:rFonts w:eastAsia="Calibri"/>
        </w:rPr>
        <w:t xml:space="preserve"> </w:t>
      </w:r>
      <w:r w:rsidR="00BF0322">
        <w:rPr>
          <w:rFonts w:eastAsia="Calibri"/>
        </w:rPr>
        <w:t xml:space="preserve"> </w:t>
      </w:r>
      <w:r w:rsidR="00926CCA">
        <w:rPr>
          <w:rFonts w:eastAsia="Calibri"/>
        </w:rPr>
        <w:t>I</w:t>
      </w:r>
      <w:r w:rsidRPr="00B17C86">
        <w:rPr>
          <w:rFonts w:eastAsia="Calibri"/>
        </w:rPr>
        <w:t>n the unlikely event that a person wishes to use a form of advertising or labeling that is not described in</w:t>
      </w:r>
      <w:r>
        <w:rPr>
          <w:rFonts w:eastAsia="Calibri"/>
        </w:rPr>
        <w:t xml:space="preserve"> </w:t>
      </w:r>
      <w:r w:rsidR="00FB704A">
        <w:rPr>
          <w:rFonts w:eastAsia="Calibri"/>
        </w:rPr>
        <w:t>section</w:t>
      </w:r>
      <w:r w:rsidRPr="00B17C86">
        <w:rPr>
          <w:rFonts w:eastAsia="Calibri"/>
        </w:rPr>
        <w:t xml:space="preserve"> 1140.30</w:t>
      </w:r>
      <w:r w:rsidR="00926CCA">
        <w:rPr>
          <w:rFonts w:eastAsia="Calibri"/>
        </w:rPr>
        <w:t>(a)(1)</w:t>
      </w:r>
      <w:r w:rsidRPr="00B17C86">
        <w:rPr>
          <w:rFonts w:eastAsia="Calibri"/>
        </w:rPr>
        <w:t xml:space="preserve">, </w:t>
      </w:r>
      <w:r w:rsidR="00FB704A">
        <w:rPr>
          <w:rFonts w:eastAsia="Calibri"/>
        </w:rPr>
        <w:t>section</w:t>
      </w:r>
      <w:r w:rsidR="00926CCA">
        <w:rPr>
          <w:rFonts w:eastAsia="Calibri"/>
        </w:rPr>
        <w:t> </w:t>
      </w:r>
      <w:r w:rsidRPr="00B17C86" w:rsidR="00926CCA">
        <w:rPr>
          <w:rFonts w:eastAsia="Calibri"/>
        </w:rPr>
        <w:t>1140.30</w:t>
      </w:r>
      <w:r w:rsidR="00926CCA">
        <w:rPr>
          <w:rFonts w:eastAsia="Calibri"/>
        </w:rPr>
        <w:t>(a)(2)</w:t>
      </w:r>
      <w:r w:rsidRPr="00B17C86">
        <w:rPr>
          <w:rFonts w:eastAsia="Calibri"/>
        </w:rPr>
        <w:t xml:space="preserve"> directs respondents to notify FDA of the form of advertising or labeling they intend to use.  </w:t>
      </w:r>
      <w:r w:rsidR="00D0049A">
        <w:t xml:space="preserve">The notice shall </w:t>
      </w:r>
      <w:r w:rsidR="007E0D8C">
        <w:t xml:space="preserve">also </w:t>
      </w:r>
      <w:r w:rsidR="00D0049A">
        <w:t xml:space="preserve">describe the medium and discuss the extent to which the advertising or labeling may be seen by </w:t>
      </w:r>
      <w:r w:rsidR="00D0049A">
        <w:t>persons</w:t>
      </w:r>
      <w:r w:rsidR="00D0049A">
        <w:t xml:space="preserve"> younger than 18 years of age.</w:t>
      </w:r>
    </w:p>
    <w:p w:rsidR="00357C8A" w:rsidRPr="00B474DE" w:rsidP="00B474DE" w14:paraId="76F24E03" w14:textId="2E40926E">
      <w:pPr>
        <w:spacing w:after="200" w:line="276" w:lineRule="auto"/>
        <w:rPr>
          <w:rFonts w:eastAsia="Calibri"/>
        </w:rPr>
      </w:pPr>
      <w:r w:rsidRPr="00C15E28">
        <w:rPr>
          <w:rFonts w:eastAsia="Calibri"/>
        </w:rPr>
        <w:t>As noted in the FDA guidance titled “Enforcement Policy Concerning Certain Regulations Restricting the Sale and Distribution of Cigarettes and Smokeless Tobacco,” (</w:t>
      </w:r>
      <w:hyperlink r:id="rId9" w:history="1">
        <w:r w:rsidRPr="009002F8" w:rsidR="004B0CE1">
          <w:rPr>
            <w:rStyle w:val="Hyperlink"/>
            <w:rFonts w:eastAsia="Calibri"/>
          </w:rPr>
          <w:t>https://www.fda.gov/regulatory-information/search-fda-guidance-documents/enforcement-policy-concerning-certain-regulations-restricting-sale-and-distribution-cigarettes-and</w:t>
        </w:r>
      </w:hyperlink>
      <w:r w:rsidRPr="00C15E28">
        <w:rPr>
          <w:rFonts w:eastAsia="Calibri"/>
        </w:rPr>
        <w:t xml:space="preserve">) the requirements under § 1140.32(a) are not being enforced.  </w:t>
      </w:r>
    </w:p>
    <w:p w:rsidR="00357C8A" w:rsidRPr="00357C8A" w:rsidP="006705EA" w14:paraId="48A7CEB0"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A52D26" w:rsidRPr="00A52D26" w:rsidP="00D37AD6" w14:paraId="7DC256BD" w14:textId="0442DBB5">
      <w:pPr>
        <w:spacing w:after="200" w:line="276" w:lineRule="auto"/>
        <w:rPr>
          <w:rFonts w:eastAsia="Calibri"/>
        </w:rPr>
      </w:pPr>
      <w:r w:rsidRPr="23B21861">
        <w:rPr>
          <w:rFonts w:eastAsia="Calibri"/>
        </w:rPr>
        <w:t xml:space="preserve">FDA strongly encourages electronic submission to facilitate efficiency and timeliness of submission and processing. </w:t>
      </w:r>
      <w:r w:rsidR="00BF0322">
        <w:rPr>
          <w:rFonts w:eastAsia="Calibri"/>
        </w:rPr>
        <w:t xml:space="preserve"> </w:t>
      </w:r>
      <w:r w:rsidRPr="23B21861">
        <w:rPr>
          <w:rFonts w:eastAsia="Calibri"/>
        </w:rPr>
        <w:t xml:space="preserve">FDA estimates that </w:t>
      </w:r>
      <w:r w:rsidRPr="23B21861" w:rsidR="00370063">
        <w:rPr>
          <w:rFonts w:eastAsia="Calibri"/>
        </w:rPr>
        <w:t xml:space="preserve">at least </w:t>
      </w:r>
      <w:r w:rsidRPr="23B21861">
        <w:rPr>
          <w:rFonts w:eastAsia="Calibri"/>
        </w:rPr>
        <w:t>80</w:t>
      </w:r>
      <w:r w:rsidRPr="23B21861" w:rsidR="435CA85F">
        <w:rPr>
          <w:rFonts w:eastAsia="Calibri"/>
        </w:rPr>
        <w:t xml:space="preserve"> percent</w:t>
      </w:r>
      <w:r w:rsidRPr="23B21861">
        <w:rPr>
          <w:rFonts w:eastAsia="Calibri"/>
        </w:rPr>
        <w:t xml:space="preserve"> of the respondents will use electronic means to submit their plans.</w:t>
      </w:r>
    </w:p>
    <w:p w:rsidR="00357C8A" w:rsidRPr="00A5223A" w:rsidP="00D37AD6" w14:paraId="6AF39FC2" w14:textId="01DA404B">
      <w:pPr>
        <w:spacing w:after="200" w:line="276" w:lineRule="auto"/>
        <w:rPr>
          <w:rFonts w:eastAsia="Calibri"/>
        </w:rPr>
      </w:pPr>
      <w:r w:rsidRPr="4F12ADBE">
        <w:rPr>
          <w:rFonts w:eastAsia="Calibri"/>
        </w:rPr>
        <w:t xml:space="preserve"> Electronic submission</w:t>
      </w:r>
      <w:r w:rsidRPr="4F12ADBE" w:rsidR="54CDCD1B">
        <w:rPr>
          <w:rFonts w:eastAsia="Calibri"/>
        </w:rPr>
        <w:t>s</w:t>
      </w:r>
      <w:r w:rsidRPr="4F12ADBE">
        <w:rPr>
          <w:rFonts w:eastAsia="Calibri"/>
        </w:rPr>
        <w:t xml:space="preserve"> </w:t>
      </w:r>
      <w:r w:rsidRPr="4F12ADBE" w:rsidR="685A7E0D">
        <w:rPr>
          <w:rFonts w:eastAsia="Calibri"/>
        </w:rPr>
        <w:t xml:space="preserve">are made through </w:t>
      </w:r>
      <w:r w:rsidRPr="4F12ADBE">
        <w:rPr>
          <w:rFonts w:eastAsia="Calibri"/>
        </w:rPr>
        <w:t xml:space="preserve">the FDA’s CTP Portal NextGen. The CTP Portal NextGen web application requires that an organization request an Industry Account Manager (IAM) role be set up for an individual of the organization to act as an administrator for </w:t>
      </w:r>
      <w:r w:rsidRPr="4F12ADBE">
        <w:rPr>
          <w:rFonts w:eastAsia="Calibri"/>
        </w:rPr>
        <w:t>all of</w:t>
      </w:r>
      <w:r w:rsidRPr="4F12ADBE">
        <w:rPr>
          <w:rFonts w:eastAsia="Calibri"/>
        </w:rPr>
        <w:t xml:space="preserve"> the organization’s CTP Portal NextGen accounts. </w:t>
      </w:r>
      <w:r w:rsidR="00BF0322">
        <w:rPr>
          <w:rFonts w:eastAsia="Calibri"/>
        </w:rPr>
        <w:t xml:space="preserve"> </w:t>
      </w:r>
      <w:r w:rsidRPr="4F12ADBE">
        <w:rPr>
          <w:rFonts w:eastAsia="Calibri"/>
        </w:rPr>
        <w:t xml:space="preserve">Once the IAM account is created by CTP, the IAM can create, manage, and set roles for </w:t>
      </w:r>
      <w:r w:rsidRPr="4F12ADBE" w:rsidR="00E76A06">
        <w:rPr>
          <w:rFonts w:eastAsia="Calibri"/>
        </w:rPr>
        <w:t>all</w:t>
      </w:r>
      <w:r w:rsidRPr="4F12ADBE">
        <w:rPr>
          <w:rFonts w:eastAsia="Calibri"/>
        </w:rPr>
        <w:t xml:space="preserve"> the organization’s employees’ CTP Portal NextGen user accounts. </w:t>
      </w:r>
      <w:r w:rsidR="00BF0322">
        <w:rPr>
          <w:rFonts w:eastAsia="Calibri"/>
        </w:rPr>
        <w:t xml:space="preserve"> </w:t>
      </w:r>
      <w:r w:rsidRPr="4F12ADBE">
        <w:rPr>
          <w:rFonts w:eastAsia="Calibri"/>
        </w:rPr>
        <w:t xml:space="preserve">Users may then prepare submissions on behalf of their organization using the FDA’s eSubmitter tool for supported submission types and can send these submissions to CTP directly from CTP Portal NextGen. </w:t>
      </w:r>
      <w:r w:rsidR="00BF0322">
        <w:rPr>
          <w:rFonts w:eastAsia="Calibri"/>
        </w:rPr>
        <w:t xml:space="preserve"> </w:t>
      </w:r>
      <w:r w:rsidRPr="4F12ADBE">
        <w:rPr>
          <w:rFonts w:eastAsia="Calibri"/>
        </w:rPr>
        <w:t xml:space="preserve">Instructions on requesting a free IAM account for CTP Portal NextGen are available at </w:t>
      </w:r>
      <w:hyperlink r:id="rId10" w:history="1">
        <w:r w:rsidRPr="009A32E6" w:rsidR="003B1D69">
          <w:rPr>
            <w:rStyle w:val="Hyperlink"/>
            <w:rFonts w:eastAsia="Calibri"/>
          </w:rPr>
          <w:t>https://www.fda.gov/tobacco-products/manufacturing/request-industry-account-manager-iam-ctp-portal-next-generation</w:t>
        </w:r>
      </w:hyperlink>
      <w:r w:rsidRPr="4F12ADBE">
        <w:rPr>
          <w:rFonts w:eastAsia="Calibri"/>
        </w:rPr>
        <w:t xml:space="preserve">.  </w:t>
      </w:r>
      <w:r w:rsidRPr="7C1D1A04" w:rsidR="00A52D26">
        <w:rPr>
          <w:rFonts w:eastAsia="Calibri"/>
        </w:rPr>
        <w:t xml:space="preserve">Alternatively, respondents can mail notifications to FDA. </w:t>
      </w:r>
      <w:r w:rsidR="001F59A6">
        <w:rPr>
          <w:rFonts w:eastAsia="Calibri"/>
        </w:rPr>
        <w:t xml:space="preserve"> </w:t>
      </w:r>
      <w:r w:rsidRPr="7C1D1A04" w:rsidR="00A52D26">
        <w:rPr>
          <w:rFonts w:eastAsia="Calibri"/>
        </w:rPr>
        <w:t>Instructions providing clarification on how to format the notification may be found in the guidance document entitled “Compliance with Regulations Restricting the Sale and Distribution of Cigarettes and Smokeless Tobacco To Protect Children and Adolescents” (</w:t>
      </w:r>
      <w:hyperlink r:id="rId11">
        <w:r w:rsidRPr="7C1D1A04" w:rsidR="00DF0513">
          <w:rPr>
            <w:rStyle w:val="Hyperlink"/>
            <w:rFonts w:eastAsia="Calibri"/>
          </w:rPr>
          <w:t>https://www.fda.gov/regulatory-information/search-fda-guidance-documents/compliance-regulations-restricting-sale-and-distribution-cigarettes-and-smokeless-tobacco-protect</w:t>
        </w:r>
      </w:hyperlink>
      <w:r w:rsidRPr="7C1D1A04" w:rsidR="00A52D26">
        <w:rPr>
          <w:rFonts w:eastAsia="Calibri"/>
        </w:rPr>
        <w:t>).</w:t>
      </w:r>
    </w:p>
    <w:p w:rsidR="00357C8A" w:rsidRPr="00357C8A" w:rsidP="006705EA" w14:paraId="1F44BA8F"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A5223A" w:rsidP="0053380B" w14:paraId="17E4EBF2" w14:textId="446E7FEC">
      <w:pPr>
        <w:spacing w:after="200"/>
      </w:pPr>
      <w:r w:rsidRPr="00A90F7C">
        <w:t>We are unaware of duplicative information collection.</w:t>
      </w:r>
    </w:p>
    <w:p w:rsidR="00357C8A" w:rsidRPr="00357C8A" w:rsidP="006705EA" w14:paraId="443C587D"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P="008A4E99" w14:paraId="6D4BCA53" w14:textId="3E97A6BC">
      <w:pPr>
        <w:spacing w:after="200" w:line="276" w:lineRule="auto"/>
        <w:rPr>
          <w:rFonts w:eastAsia="Calibri"/>
        </w:rPr>
      </w:pPr>
      <w:r w:rsidRPr="008A4E99">
        <w:rPr>
          <w:rFonts w:eastAsia="Calibri"/>
        </w:rPr>
        <w:t xml:space="preserve">Respondents to this collection of information are businesses or other for-profit institutions who advertise the availability and sale of cigarette and smokeless tobacco products. </w:t>
      </w:r>
      <w:r w:rsidR="001F59A6">
        <w:rPr>
          <w:rFonts w:eastAsia="Calibri"/>
        </w:rPr>
        <w:t xml:space="preserve"> </w:t>
      </w:r>
      <w:r w:rsidRPr="008A4E99">
        <w:rPr>
          <w:rFonts w:eastAsia="Calibri"/>
        </w:rPr>
        <w:t xml:space="preserve">Therefore, the requirements in this collection of information do not fall disproportionately upon small businesses, as all tobacco </w:t>
      </w:r>
      <w:r w:rsidRPr="008A4E99">
        <w:rPr>
          <w:rFonts w:eastAsia="Calibri"/>
        </w:rPr>
        <w:t>business</w:t>
      </w:r>
      <w:r w:rsidRPr="008A4E99">
        <w:rPr>
          <w:rFonts w:eastAsia="Calibri"/>
        </w:rPr>
        <w:t xml:space="preserve"> may submit information under this </w:t>
      </w:r>
      <w:r w:rsidRPr="008A4E99" w:rsidR="00AD6C4E">
        <w:rPr>
          <w:rFonts w:eastAsia="Calibri"/>
        </w:rPr>
        <w:t>collection.</w:t>
      </w:r>
      <w:r w:rsidRPr="7C1D1A04" w:rsidR="00AD6C4E">
        <w:rPr>
          <w:rFonts w:eastAsia="Calibri"/>
        </w:rPr>
        <w:t xml:space="preserve"> </w:t>
      </w:r>
      <w:r w:rsidR="00D562FD">
        <w:rPr>
          <w:rFonts w:eastAsia="Calibri"/>
        </w:rPr>
        <w:t xml:space="preserve"> </w:t>
      </w:r>
      <w:r w:rsidRPr="7C1D1A04" w:rsidR="00AD6C4E">
        <w:rPr>
          <w:rFonts w:eastAsia="Calibri"/>
        </w:rPr>
        <w:t>The</w:t>
      </w:r>
      <w:r w:rsidRPr="7C1D1A04" w:rsidR="007A1969">
        <w:rPr>
          <w:rFonts w:eastAsia="Calibri"/>
        </w:rPr>
        <w:t xml:space="preserve"> reporting requirements in </w:t>
      </w:r>
      <w:r w:rsidRPr="7C1D1A04" w:rsidR="00DC3357">
        <w:rPr>
          <w:rFonts w:eastAsia="Calibri"/>
        </w:rPr>
        <w:t>21 CFR</w:t>
      </w:r>
      <w:r w:rsidRPr="7C1D1A04" w:rsidR="007A1969">
        <w:rPr>
          <w:rFonts w:eastAsia="Calibri"/>
        </w:rPr>
        <w:t xml:space="preserve"> 1140.30 affect small businesses if they decide to use a form of advertising or labeling not specified in </w:t>
      </w:r>
      <w:r w:rsidRPr="7C1D1A04" w:rsidR="00BA17C8">
        <w:rPr>
          <w:rFonts w:eastAsia="Calibri"/>
        </w:rPr>
        <w:t>section</w:t>
      </w:r>
      <w:r w:rsidRPr="7C1D1A04" w:rsidR="007A1969">
        <w:rPr>
          <w:rFonts w:eastAsia="Calibri"/>
        </w:rPr>
        <w:t xml:space="preserve"> 1140.30. </w:t>
      </w:r>
      <w:r w:rsidR="001F59A6">
        <w:rPr>
          <w:rFonts w:eastAsia="Calibri"/>
        </w:rPr>
        <w:t xml:space="preserve"> </w:t>
      </w:r>
      <w:r w:rsidRPr="7C1D1A04" w:rsidR="007A1969">
        <w:rPr>
          <w:rFonts w:eastAsia="Calibri"/>
        </w:rPr>
        <w:t xml:space="preserve">The list of permitted forms of advertising and labeling in </w:t>
      </w:r>
      <w:r w:rsidRPr="7C1D1A04" w:rsidR="00C13B41">
        <w:rPr>
          <w:rFonts w:eastAsia="Calibri"/>
        </w:rPr>
        <w:t>section</w:t>
      </w:r>
      <w:r w:rsidRPr="7C1D1A04" w:rsidR="007A1969">
        <w:rPr>
          <w:rFonts w:eastAsia="Calibri"/>
        </w:rPr>
        <w:t xml:space="preserve"> 1140.30 is comprehensive, so we do not anticipate that many small businesses will notify FDA of their intent to use a form of advertising or labeling that is not specified in </w:t>
      </w:r>
      <w:r w:rsidRPr="7C1D1A04" w:rsidR="00C13B41">
        <w:rPr>
          <w:rFonts w:eastAsia="Calibri"/>
        </w:rPr>
        <w:t>section</w:t>
      </w:r>
      <w:r w:rsidRPr="7C1D1A04" w:rsidR="007A1969">
        <w:rPr>
          <w:rFonts w:eastAsia="Calibri"/>
        </w:rPr>
        <w:t xml:space="preserve"> 1140.30.</w:t>
      </w:r>
    </w:p>
    <w:p w:rsidR="00B0791E" w:rsidP="008A4E99" w14:paraId="38785DF5" w14:textId="77777777">
      <w:pPr>
        <w:spacing w:after="200" w:line="276" w:lineRule="auto"/>
        <w:rPr>
          <w:rFonts w:eastAsia="Calibri"/>
        </w:rPr>
      </w:pPr>
    </w:p>
    <w:p w:rsidR="00B0791E" w:rsidRPr="00357C8A" w:rsidP="008A4E99" w14:paraId="6D73883E" w14:textId="77777777">
      <w:pPr>
        <w:spacing w:after="200" w:line="276" w:lineRule="auto"/>
        <w:rPr>
          <w:rFonts w:eastAsia="Calibri"/>
        </w:rPr>
      </w:pPr>
    </w:p>
    <w:p w:rsidR="00357C8A" w:rsidRPr="00357C8A" w:rsidP="006705EA" w14:paraId="0F9DD13C"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581FBC" w:rsidRPr="00581FBC" w:rsidP="00D37AD6" w14:paraId="69B290E5" w14:textId="5AE43F3B">
      <w:pPr>
        <w:spacing w:after="200" w:line="276" w:lineRule="auto"/>
        <w:rPr>
          <w:rFonts w:eastAsia="Calibri"/>
        </w:rPr>
      </w:pPr>
      <w:r w:rsidRPr="00581FBC">
        <w:rPr>
          <w:rFonts w:eastAsia="Calibri"/>
        </w:rPr>
        <w:t xml:space="preserve">This information collection for submissions regarding cigarette and smokeless tobacco advertising and labeling is statutorily mandated </w:t>
      </w:r>
      <w:r w:rsidR="00650C9E">
        <w:rPr>
          <w:rFonts w:eastAsia="Calibri"/>
        </w:rPr>
        <w:t xml:space="preserve">by the </w:t>
      </w:r>
      <w:r w:rsidRPr="00581FBC">
        <w:rPr>
          <w:rFonts w:eastAsia="Calibri"/>
        </w:rPr>
        <w:t xml:space="preserve">Family Smoking Prevention and Tobacco Control Act (Tobacco Control Act) (Public Law 111-31; 123 Stat. 1776) </w:t>
      </w:r>
      <w:r w:rsidR="0099188E">
        <w:rPr>
          <w:rFonts w:eastAsia="Calibri"/>
        </w:rPr>
        <w:t>in s</w:t>
      </w:r>
      <w:r w:rsidRPr="00581FBC">
        <w:rPr>
          <w:rFonts w:eastAsia="Calibri"/>
        </w:rPr>
        <w:t>ection 102.</w:t>
      </w:r>
    </w:p>
    <w:p w:rsidR="00581FBC" w:rsidRPr="00581FBC" w:rsidP="00D37AD6" w14:paraId="026DA093" w14:textId="262B4DEA">
      <w:pPr>
        <w:spacing w:after="200" w:line="276" w:lineRule="auto"/>
        <w:rPr>
          <w:rFonts w:eastAsia="Calibri"/>
        </w:rPr>
      </w:pPr>
      <w:r w:rsidRPr="00581FBC">
        <w:rPr>
          <w:rFonts w:eastAsia="Calibri"/>
        </w:rPr>
        <w:t>The regulations require respondents to respond to the data collection occasionally</w:t>
      </w:r>
      <w:r w:rsidR="00BD34B8">
        <w:rPr>
          <w:rFonts w:eastAsia="Calibri"/>
        </w:rPr>
        <w:t xml:space="preserve"> and as needed</w:t>
      </w:r>
      <w:r w:rsidRPr="00581FBC">
        <w:rPr>
          <w:rFonts w:eastAsia="Calibri"/>
        </w:rPr>
        <w:t xml:space="preserve">; for example, </w:t>
      </w:r>
      <w:r w:rsidRPr="00581FBC">
        <w:rPr>
          <w:rFonts w:eastAsia="Calibri"/>
        </w:rPr>
        <w:t xml:space="preserve">if </w:t>
      </w:r>
      <w:r w:rsidR="00BD34B8">
        <w:rPr>
          <w:rFonts w:eastAsia="Calibri"/>
        </w:rPr>
        <w:t>and when</w:t>
      </w:r>
      <w:r w:rsidR="00BD34B8">
        <w:rPr>
          <w:rFonts w:eastAsia="Calibri"/>
        </w:rPr>
        <w:t xml:space="preserve"> </w:t>
      </w:r>
      <w:r w:rsidRPr="00581FBC">
        <w:rPr>
          <w:rFonts w:eastAsia="Calibri"/>
        </w:rPr>
        <w:t xml:space="preserve">they </w:t>
      </w:r>
      <w:r w:rsidR="006042D9">
        <w:rPr>
          <w:rFonts w:eastAsia="Calibri"/>
        </w:rPr>
        <w:t>intend</w:t>
      </w:r>
      <w:r w:rsidRPr="00581FBC">
        <w:rPr>
          <w:rFonts w:eastAsia="Calibri"/>
        </w:rPr>
        <w:t xml:space="preserve"> to </w:t>
      </w:r>
      <w:r w:rsidR="006042D9">
        <w:rPr>
          <w:rFonts w:eastAsia="Calibri"/>
        </w:rPr>
        <w:t xml:space="preserve">use </w:t>
      </w:r>
      <w:r w:rsidR="00496CEE">
        <w:rPr>
          <w:rFonts w:eastAsia="Calibri"/>
        </w:rPr>
        <w:t>a form of</w:t>
      </w:r>
      <w:r w:rsidR="006042D9">
        <w:rPr>
          <w:rFonts w:eastAsia="Calibri"/>
        </w:rPr>
        <w:t xml:space="preserve"> non-listed</w:t>
      </w:r>
      <w:r w:rsidRPr="00581FBC">
        <w:rPr>
          <w:rFonts w:eastAsia="Calibri"/>
        </w:rPr>
        <w:t xml:space="preserve"> medi</w:t>
      </w:r>
      <w:r w:rsidR="00496CEE">
        <w:rPr>
          <w:rFonts w:eastAsia="Calibri"/>
        </w:rPr>
        <w:t>a</w:t>
      </w:r>
      <w:r w:rsidRPr="00581FBC">
        <w:rPr>
          <w:rFonts w:eastAsia="Calibri"/>
        </w:rPr>
        <w:t xml:space="preserve"> under </w:t>
      </w:r>
      <w:r w:rsidR="0099188E">
        <w:rPr>
          <w:rFonts w:eastAsia="Calibri"/>
        </w:rPr>
        <w:t>21 CFR</w:t>
      </w:r>
      <w:r w:rsidRPr="00581FBC">
        <w:rPr>
          <w:rFonts w:eastAsia="Calibri"/>
        </w:rPr>
        <w:t xml:space="preserve"> 1140.30.</w:t>
      </w:r>
      <w:r>
        <w:rPr>
          <w:rFonts w:eastAsia="Calibri"/>
        </w:rPr>
        <w:t xml:space="preserve"> </w:t>
      </w:r>
      <w:r w:rsidR="001F59A6">
        <w:rPr>
          <w:rFonts w:eastAsia="Calibri"/>
        </w:rPr>
        <w:t xml:space="preserve"> </w:t>
      </w:r>
      <w:r w:rsidRPr="00581FBC">
        <w:rPr>
          <w:rFonts w:eastAsia="Calibri"/>
        </w:rPr>
        <w:t xml:space="preserve">The frequency of response depends on </w:t>
      </w:r>
      <w:r w:rsidR="00CB5651">
        <w:rPr>
          <w:rFonts w:eastAsia="Calibri"/>
        </w:rPr>
        <w:t>the forms of</w:t>
      </w:r>
      <w:r w:rsidRPr="00581FBC">
        <w:rPr>
          <w:rFonts w:eastAsia="Calibri"/>
        </w:rPr>
        <w:t xml:space="preserve"> advertising </w:t>
      </w:r>
      <w:r w:rsidR="00CB5651">
        <w:rPr>
          <w:rFonts w:eastAsia="Calibri"/>
        </w:rPr>
        <w:t>or labeling a respondent uses.</w:t>
      </w:r>
      <w:r w:rsidR="000A2C31">
        <w:rPr>
          <w:rFonts w:eastAsia="Calibri"/>
        </w:rPr>
        <w:t xml:space="preserve"> </w:t>
      </w:r>
      <w:r w:rsidRPr="00581FBC">
        <w:rPr>
          <w:rFonts w:eastAsia="Calibri"/>
        </w:rPr>
        <w:t xml:space="preserve"> </w:t>
      </w:r>
    </w:p>
    <w:p w:rsidR="00357C8A" w:rsidRPr="00357C8A" w:rsidP="006705EA" w14:paraId="6421BC56"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D37AD6" w14:paraId="7D430974" w14:textId="10AFD597">
      <w:pPr>
        <w:spacing w:after="200" w:line="276" w:lineRule="auto"/>
        <w:rPr>
          <w:rFonts w:eastAsia="Calibri"/>
        </w:rPr>
      </w:pPr>
      <w:r w:rsidRPr="00BB0AB2">
        <w:rPr>
          <w:rFonts w:eastAsia="Calibri"/>
        </w:rPr>
        <w:t>There are no special circumstances for this collection of information</w:t>
      </w:r>
      <w:r>
        <w:rPr>
          <w:rFonts w:eastAsia="Calibri"/>
        </w:rPr>
        <w:t>.</w:t>
      </w:r>
    </w:p>
    <w:p w:rsidR="00357C8A" w:rsidRPr="00357C8A" w:rsidP="006705EA" w14:paraId="0FCE9BA8"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8B31D8" w:rsidP="001F59A6" w14:paraId="47540140" w14:textId="2B918445">
      <w:pPr>
        <w:spacing w:after="200" w:line="276" w:lineRule="auto"/>
      </w:pPr>
      <w:r>
        <w:t xml:space="preserve">In the </w:t>
      </w:r>
      <w:r w:rsidRPr="00B0791E">
        <w:rPr>
          <w:i/>
          <w:iCs/>
        </w:rPr>
        <w:t>Federal</w:t>
      </w:r>
      <w:r>
        <w:t xml:space="preserve"> </w:t>
      </w:r>
      <w:r w:rsidRPr="00B0791E">
        <w:rPr>
          <w:i/>
          <w:iCs/>
        </w:rPr>
        <w:t>Register</w:t>
      </w:r>
      <w:r>
        <w:t xml:space="preserve"> of August 22, 2024 (90 FR 41085), FDA published a 60-day notice requesting public comment on the proposed collection of information.  FDA received four comments.  Two comments were responsive to the Paperwork Reduction Act (PRA) information collection topics solicited.  Two comments were not respons</w:t>
      </w:r>
      <w:r w:rsidR="00C61D0A">
        <w:t>ive</w:t>
      </w:r>
      <w:r>
        <w:t xml:space="preserve"> to the PRA and will not be addressed here.</w:t>
      </w:r>
    </w:p>
    <w:p w:rsidR="008B31D8" w:rsidP="001F59A6" w14:paraId="7CC0DA73" w14:textId="73C3B326">
      <w:pPr>
        <w:spacing w:after="200" w:line="276" w:lineRule="auto"/>
      </w:pPr>
      <w:r>
        <w:t xml:space="preserve">The comments generally supported FDA’s collection of information.  The comments supported FDA’s maintaining oversight related to youth tobacco access through the regulatory provision related to this collection, encouraged the FDA to enhance transparency of this collection by clearly providing better explanation about how retailer and manufacturer data is analyzed and used for enforcement or policy interventions, and recommended expanding digital tools and providing plain language guidance materials in multiple languages to minimize administrative burden and help retailers understand submission requirements.  </w:t>
      </w:r>
    </w:p>
    <w:p w:rsidR="008B31D8" w:rsidP="001F59A6" w14:paraId="0D8964B1" w14:textId="77777777">
      <w:pPr>
        <w:spacing w:after="200" w:line="276" w:lineRule="auto"/>
      </w:pPr>
      <w:r>
        <w:t>The comments also believed FDA has underestimated burden and suggested that there were ways to improve the collection by providing standardized submission templates, clearer definitions of unlisted media, illustrative examples, clarification of material changes requiring new notices, and different ways to provide supporting documentation.  The comments believe FDA should provide target review and timelines and should implement an electronic submission portal, accept machine-readable attachments, allow consolidated annual or semiannual notification, provide a fillable submission template, and establish a safe-harbor correction window.</w:t>
      </w:r>
    </w:p>
    <w:p w:rsidR="00357C8A" w:rsidRPr="00A5223A" w:rsidP="00D37AD6" w14:paraId="7DA8682D" w14:textId="088C17B9">
      <w:pPr>
        <w:spacing w:after="200" w:line="276" w:lineRule="auto"/>
        <w:rPr>
          <w:rFonts w:eastAsia="Calibri"/>
        </w:rPr>
      </w:pPr>
      <w:r>
        <w:t xml:space="preserve">In response, FDA thanks the commenters and agrees that this information collection has practical utility and is necessary for the proper performance of FDA’s functions.  Regarding burden estimates, FDA encourages detailed information be submitted and acknowledges burden for each respondent to the collection could vary and that it may take some respondents longer to complete the requirements than others.  FDA tries to minimize burden by efficiently collecting information without compromising FDA’s ability to identify and address violations by providing options to comply and allowing both electronic and mail submission of information.  FDA believes that the average burden estimates per response are sufficient.  FDA is always open to improve the quality, </w:t>
      </w:r>
      <w:r>
        <w:t xml:space="preserve">utility, and clarity of information we collect, and offers guidance regarding the types of information that should be included </w:t>
      </w:r>
      <w:r w:rsidR="00410FE6">
        <w:t>with</w:t>
      </w:r>
      <w:r>
        <w:t xml:space="preserve"> a cover letter describing the information.  FDA also provides a clear list of media that should be provided and options for providing supporting documentation</w:t>
      </w:r>
      <w:r w:rsidR="00AF124A">
        <w:t xml:space="preserve"> and</w:t>
      </w:r>
      <w:r>
        <w:t xml:space="preserve"> notes that any notification returned to the submitter is not intended to imply that prior approval is required before use of a medium.</w:t>
      </w:r>
    </w:p>
    <w:p w:rsidR="00357C8A" w:rsidRPr="00357C8A" w:rsidP="006705EA" w14:paraId="40B19370"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A5223A" w:rsidP="00357C8A" w14:paraId="6D124FA5" w14:textId="5C72DA68">
      <w:pPr>
        <w:spacing w:after="200"/>
        <w:rPr>
          <w:rFonts w:eastAsia="Calibri"/>
        </w:rPr>
      </w:pPr>
      <w:r w:rsidRPr="00F5474F">
        <w:rPr>
          <w:rFonts w:eastAsia="Calibri"/>
        </w:rPr>
        <w:t>There are no incentives, payments or gifts associated with this information collection.</w:t>
      </w:r>
    </w:p>
    <w:p w:rsidR="00357C8A" w:rsidRPr="00357C8A" w:rsidP="006705EA" w14:paraId="72865145"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55666D" w:rsidRPr="0055666D" w:rsidP="00D37AD6" w14:paraId="6EFBE6A0" w14:textId="274C2F09">
      <w:pPr>
        <w:spacing w:after="200" w:line="276" w:lineRule="auto"/>
        <w:rPr>
          <w:rFonts w:eastAsia="Calibri"/>
        </w:rPr>
      </w:pPr>
      <w:r w:rsidRPr="0055666D">
        <w:rPr>
          <w:rFonts w:eastAsia="Calibri"/>
        </w:rPr>
        <w:t xml:space="preserve">Among the laws governing the disclosure of information submitted under section 102 of the FD&amp;C Act are the Freedom of Information Act (FOIA) (5 U.S.C. 552) and FDA’s implementing regulations. </w:t>
      </w:r>
      <w:r w:rsidR="001F59A6">
        <w:rPr>
          <w:rFonts w:eastAsia="Calibri"/>
        </w:rPr>
        <w:t xml:space="preserve"> </w:t>
      </w:r>
      <w:r w:rsidRPr="0055666D">
        <w:rPr>
          <w:rFonts w:eastAsia="Calibri"/>
        </w:rPr>
        <w:t>Under FOIA, the public has broad access to agency records, unless the records (or a part of the records) are protected from disclosure by any of the law’s nine exemptions.</w:t>
      </w:r>
    </w:p>
    <w:p w:rsidR="001075D3" w:rsidRPr="00A5223A" w:rsidP="00D37AD6" w14:paraId="34F711BC" w14:textId="4682C13C">
      <w:pPr>
        <w:spacing w:after="200" w:line="276" w:lineRule="auto"/>
        <w:rPr>
          <w:rFonts w:eastAsia="Calibri"/>
        </w:rPr>
      </w:pPr>
      <w:r w:rsidRPr="0055666D">
        <w:rPr>
          <w:rFonts w:eastAsia="Calibri"/>
        </w:rPr>
        <w:t xml:space="preserve">CTP also identified privacy compliance requirements and coordinated with FDA’s Privacy Officer to ensure responsible offices in CTP satisfy all in accordance with law and policy. </w:t>
      </w:r>
      <w:r w:rsidR="001F59A6">
        <w:rPr>
          <w:rFonts w:eastAsia="Calibri"/>
        </w:rPr>
        <w:t xml:space="preserve"> </w:t>
      </w:r>
      <w:r w:rsidRPr="0055666D">
        <w:rPr>
          <w:rFonts w:eastAsia="Calibri"/>
        </w:rPr>
        <w:t>FDA</w:t>
      </w:r>
      <w:r w:rsidR="007F402A">
        <w:rPr>
          <w:rFonts w:eastAsia="Calibri"/>
        </w:rPr>
        <w:t>’</w:t>
      </w:r>
      <w:r w:rsidRPr="0055666D">
        <w:rPr>
          <w:rFonts w:eastAsia="Calibri"/>
        </w:rPr>
        <w:t>s web and privacy policies are provided on all FDA internet (</w:t>
      </w:r>
      <w:hyperlink r:id="rId12" w:history="1">
        <w:r w:rsidRPr="002E15B1" w:rsidR="002E15B1">
          <w:rPr>
            <w:rStyle w:val="Hyperlink"/>
            <w:rFonts w:eastAsia="Calibri"/>
          </w:rPr>
          <w:t>www.fda</w:t>
        </w:r>
        <w:r w:rsidRPr="002E15B1">
          <w:rPr>
            <w:rStyle w:val="Hyperlink"/>
            <w:rFonts w:eastAsia="Calibri"/>
          </w:rPr>
          <w:t>.gov</w:t>
        </w:r>
      </w:hyperlink>
      <w:r w:rsidRPr="0055666D">
        <w:rPr>
          <w:rFonts w:eastAsia="Calibri"/>
        </w:rPr>
        <w:t xml:space="preserve">) pages </w:t>
      </w:r>
      <w:r w:rsidR="00C72017">
        <w:rPr>
          <w:rFonts w:eastAsia="Calibri"/>
        </w:rPr>
        <w:t xml:space="preserve">and </w:t>
      </w:r>
      <w:r w:rsidRPr="0055666D">
        <w:rPr>
          <w:rFonts w:eastAsia="Calibri"/>
        </w:rPr>
        <w:t xml:space="preserve">the </w:t>
      </w:r>
      <w:r w:rsidR="00C72017">
        <w:rPr>
          <w:rFonts w:eastAsia="Calibri"/>
        </w:rPr>
        <w:t>privacy impact assessment (</w:t>
      </w:r>
      <w:r w:rsidRPr="0055666D">
        <w:rPr>
          <w:rFonts w:eastAsia="Calibri"/>
        </w:rPr>
        <w:t>PIA</w:t>
      </w:r>
      <w:r w:rsidR="00C72017">
        <w:rPr>
          <w:rFonts w:eastAsia="Calibri"/>
        </w:rPr>
        <w:t>)</w:t>
      </w:r>
      <w:r w:rsidRPr="0055666D">
        <w:rPr>
          <w:rFonts w:eastAsia="Calibri"/>
        </w:rPr>
        <w:t xml:space="preserve"> provides further notice.</w:t>
      </w:r>
      <w:r>
        <w:rPr>
          <w:rStyle w:val="FootnoteReference"/>
          <w:rFonts w:eastAsia="Calibri"/>
        </w:rPr>
        <w:footnoteReference w:id="3"/>
      </w:r>
      <w:r w:rsidRPr="0055666D">
        <w:rPr>
          <w:rFonts w:eastAsia="Calibri"/>
        </w:rPr>
        <w:t xml:space="preserve"> </w:t>
      </w:r>
      <w:r w:rsidR="001F59A6">
        <w:rPr>
          <w:rFonts w:eastAsia="Calibri"/>
        </w:rPr>
        <w:t xml:space="preserve"> </w:t>
      </w:r>
      <w:r w:rsidRPr="0055666D">
        <w:rPr>
          <w:rFonts w:eastAsia="Calibri"/>
        </w:rPr>
        <w:t>The CTP</w:t>
      </w:r>
      <w:r>
        <w:rPr>
          <w:rFonts w:eastAsia="Calibri"/>
        </w:rPr>
        <w:t xml:space="preserve"> </w:t>
      </w:r>
      <w:r w:rsidRPr="0055666D">
        <w:rPr>
          <w:rFonts w:eastAsia="Calibri"/>
        </w:rPr>
        <w:t xml:space="preserve">Electronic Submissions system (eSub) is a suite of database-supported applications that facilitates the collection, logging, tracking, and retrieval of documents provided to the FDA by the tobacco industry and others (e.g., adverse experience reports from the general public). </w:t>
      </w:r>
      <w:r w:rsidR="001F59A6">
        <w:rPr>
          <w:rFonts w:eastAsia="Calibri"/>
        </w:rPr>
        <w:t xml:space="preserve"> </w:t>
      </w:r>
      <w:r w:rsidRPr="0055666D">
        <w:rPr>
          <w:rFonts w:eastAsia="Calibri"/>
        </w:rPr>
        <w:t>CTP uses this data to evaluate tobacco products</w:t>
      </w:r>
      <w:r w:rsidRPr="4376BFB1" w:rsidR="003076F0">
        <w:rPr>
          <w:rFonts w:eastAsia="Calibri"/>
        </w:rPr>
        <w:t xml:space="preserve"> </w:t>
      </w:r>
      <w:r w:rsidRPr="0055666D">
        <w:rPr>
          <w:rFonts w:eastAsia="Calibri"/>
        </w:rPr>
        <w:t xml:space="preserve">and assess industry compliance with the Tobacco Control Act. </w:t>
      </w:r>
      <w:r w:rsidR="001F59A6">
        <w:rPr>
          <w:rFonts w:eastAsia="Calibri"/>
        </w:rPr>
        <w:t xml:space="preserve"> </w:t>
      </w:r>
      <w:r w:rsidRPr="0055666D">
        <w:rPr>
          <w:rFonts w:eastAsia="Calibri"/>
        </w:rPr>
        <w:t xml:space="preserve">CTP received </w:t>
      </w:r>
      <w:r w:rsidRPr="00D14620" w:rsidR="003E4833">
        <w:rPr>
          <w:rFonts w:eastAsia="Calibri"/>
        </w:rPr>
        <w:t>Department of Health and Human Service</w:t>
      </w:r>
      <w:r w:rsidR="003E4833">
        <w:rPr>
          <w:rFonts w:eastAsia="Calibri"/>
        </w:rPr>
        <w:t>s</w:t>
      </w:r>
      <w:r w:rsidRPr="0055666D">
        <w:rPr>
          <w:rFonts w:eastAsia="Calibri"/>
        </w:rPr>
        <w:t xml:space="preserve"> approval on the privacy impact assessment for the Electronic Submissions system and was assigned PIA ID</w:t>
      </w:r>
      <w:r w:rsidRPr="0055666D">
        <w:rPr>
          <w:rFonts w:eastAsia="Calibri"/>
        </w:rPr>
        <w:t xml:space="preserve">: </w:t>
      </w:r>
      <w:r w:rsidRPr="4376BFB1" w:rsidR="11367655">
        <w:rPr>
          <w:rFonts w:eastAsia="Calibri"/>
        </w:rPr>
        <w:t xml:space="preserve"> FDA2107988</w:t>
      </w:r>
      <w:r w:rsidRPr="0055666D">
        <w:rPr>
          <w:rFonts w:eastAsia="Calibri"/>
        </w:rPr>
        <w:t>.</w:t>
      </w:r>
    </w:p>
    <w:p w:rsidR="00357C8A" w:rsidRPr="00357C8A" w:rsidP="006705EA" w14:paraId="05701AB7"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A5223A" w:rsidP="0022425B" w14:paraId="591FB1FF" w14:textId="4881FE0E">
      <w:pPr>
        <w:spacing w:after="200"/>
        <w:rPr>
          <w:rFonts w:eastAsia="Calibri"/>
        </w:rPr>
      </w:pPr>
      <w:r w:rsidRPr="000273DB">
        <w:rPr>
          <w:rFonts w:eastAsia="Calibri"/>
        </w:rPr>
        <w:t>The collection of information does not involve sensitive questions.</w:t>
      </w:r>
    </w:p>
    <w:p w:rsidR="00357C8A" w:rsidRPr="005A04D6" w:rsidP="006705EA" w14:paraId="2FFC712F" w14:textId="77777777">
      <w:pPr>
        <w:numPr>
          <w:ilvl w:val="0"/>
          <w:numId w:val="6"/>
        </w:numPr>
        <w:spacing w:after="200" w:line="276" w:lineRule="auto"/>
        <w:rPr>
          <w:rFonts w:eastAsia="Calibri"/>
          <w:u w:val="single"/>
        </w:rPr>
      </w:pPr>
      <w:r w:rsidRPr="005A04D6">
        <w:rPr>
          <w:rFonts w:eastAsia="Calibri"/>
          <w:u w:val="single"/>
        </w:rPr>
        <w:t>Estimates of Annualized Burden Hours and Cost</w:t>
      </w:r>
    </w:p>
    <w:p w:rsidR="00BD397A" w:rsidRPr="000D7BD8" w:rsidP="000D7BD8" w14:paraId="530B544C" w14:textId="043EA23F">
      <w:pPr>
        <w:spacing w:after="200"/>
        <w:ind w:left="360"/>
        <w:rPr>
          <w:rFonts w:eastAsia="Calibri"/>
        </w:rPr>
      </w:pPr>
      <w:r w:rsidRPr="005C71CA">
        <w:rPr>
          <w:rFonts w:eastAsia="Calibri"/>
        </w:rPr>
        <w:t>12a.  Annualized Hour Burden Estimate</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4"/>
        <w:gridCol w:w="1231"/>
        <w:gridCol w:w="1673"/>
        <w:gridCol w:w="1497"/>
        <w:gridCol w:w="1582"/>
        <w:gridCol w:w="1108"/>
      </w:tblGrid>
      <w:tr w14:paraId="6D87B527" w14:textId="77777777" w:rsidTr="5AC1B080">
        <w:tblPrEx>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1"/>
        </w:trPr>
        <w:tc>
          <w:tcPr>
            <w:tcW w:w="5000" w:type="pct"/>
            <w:gridSpan w:val="6"/>
            <w:tcBorders>
              <w:top w:val="nil"/>
              <w:left w:val="nil"/>
              <w:bottom w:val="single" w:sz="4" w:space="0" w:color="auto"/>
              <w:right w:val="nil"/>
            </w:tcBorders>
            <w:shd w:val="clear" w:color="auto" w:fill="auto"/>
          </w:tcPr>
          <w:p w:rsidR="00734DE1" w:rsidRPr="00C40A0D" w:rsidP="00C40A0D" w14:paraId="1D6958FD" w14:textId="213BFC95">
            <w:pPr>
              <w:jc w:val="center"/>
              <w:rPr>
                <w:sz w:val="20"/>
                <w:szCs w:val="20"/>
              </w:rPr>
            </w:pPr>
            <w:r w:rsidRPr="00846296">
              <w:rPr>
                <w:sz w:val="20"/>
                <w:szCs w:val="20"/>
              </w:rPr>
              <w:t>Table 1</w:t>
            </w:r>
            <w:r w:rsidRPr="00C57224" w:rsidR="00C57224">
              <w:rPr>
                <w:sz w:val="20"/>
                <w:szCs w:val="20"/>
              </w:rPr>
              <w:t>—</w:t>
            </w:r>
            <w:r w:rsidRPr="00846296">
              <w:rPr>
                <w:sz w:val="20"/>
                <w:szCs w:val="20"/>
              </w:rPr>
              <w:t>Estimated Annual Reporting Burden</w:t>
            </w:r>
          </w:p>
        </w:tc>
      </w:tr>
      <w:tr w14:paraId="7AFA1549" w14:textId="77777777" w:rsidTr="5AC1B080">
        <w:tblPrEx>
          <w:tblW w:w="4990" w:type="pct"/>
          <w:tblLayout w:type="fixed"/>
          <w:tblLook w:val="01E0"/>
        </w:tblPrEx>
        <w:trPr>
          <w:cantSplit/>
          <w:trHeight w:val="21"/>
        </w:trPr>
        <w:tc>
          <w:tcPr>
            <w:tcW w:w="1262" w:type="pct"/>
            <w:tcBorders>
              <w:top w:val="single" w:sz="4" w:space="0" w:color="auto"/>
            </w:tcBorders>
            <w:shd w:val="clear" w:color="auto" w:fill="auto"/>
          </w:tcPr>
          <w:p w:rsidR="00734DE1" w:rsidRPr="00C40A0D" w:rsidP="00C40A0D" w14:paraId="4DCEF58C" w14:textId="2AF19805">
            <w:pPr>
              <w:jc w:val="center"/>
              <w:rPr>
                <w:sz w:val="20"/>
                <w:szCs w:val="20"/>
              </w:rPr>
            </w:pPr>
            <w:r w:rsidRPr="00E21C5E">
              <w:rPr>
                <w:sz w:val="20"/>
                <w:szCs w:val="20"/>
              </w:rPr>
              <w:t>21 CFR Section</w:t>
            </w:r>
            <w:r>
              <w:rPr>
                <w:sz w:val="20"/>
                <w:szCs w:val="20"/>
              </w:rPr>
              <w:t xml:space="preserve"> and Activity</w:t>
            </w:r>
          </w:p>
        </w:tc>
        <w:tc>
          <w:tcPr>
            <w:tcW w:w="649" w:type="pct"/>
            <w:tcBorders>
              <w:top w:val="single" w:sz="4" w:space="0" w:color="auto"/>
            </w:tcBorders>
            <w:shd w:val="clear" w:color="auto" w:fill="auto"/>
          </w:tcPr>
          <w:p w:rsidR="00734DE1" w:rsidRPr="00C40A0D" w:rsidP="00C40A0D" w14:paraId="17AED1CF" w14:textId="245CCFAF">
            <w:pPr>
              <w:jc w:val="center"/>
              <w:rPr>
                <w:sz w:val="20"/>
                <w:szCs w:val="20"/>
              </w:rPr>
            </w:pPr>
            <w:r w:rsidRPr="00C40A0D">
              <w:rPr>
                <w:sz w:val="20"/>
                <w:szCs w:val="20"/>
              </w:rPr>
              <w:t xml:space="preserve">No. of </w:t>
            </w:r>
            <w:r w:rsidR="0063555F">
              <w:rPr>
                <w:sz w:val="20"/>
                <w:szCs w:val="20"/>
              </w:rPr>
              <w:t>R</w:t>
            </w:r>
            <w:r w:rsidRPr="00C40A0D">
              <w:rPr>
                <w:sz w:val="20"/>
                <w:szCs w:val="20"/>
              </w:rPr>
              <w:t>espondents</w:t>
            </w:r>
          </w:p>
        </w:tc>
        <w:tc>
          <w:tcPr>
            <w:tcW w:w="882" w:type="pct"/>
            <w:tcBorders>
              <w:top w:val="single" w:sz="4" w:space="0" w:color="auto"/>
            </w:tcBorders>
            <w:shd w:val="clear" w:color="auto" w:fill="auto"/>
          </w:tcPr>
          <w:p w:rsidR="00734DE1" w:rsidRPr="00C40A0D" w:rsidP="00C40A0D" w14:paraId="28B3A36E" w14:textId="159E26DF">
            <w:pPr>
              <w:jc w:val="center"/>
              <w:rPr>
                <w:sz w:val="20"/>
                <w:szCs w:val="20"/>
              </w:rPr>
            </w:pPr>
            <w:r w:rsidRPr="00C40A0D">
              <w:rPr>
                <w:bCs/>
                <w:sz w:val="20"/>
                <w:szCs w:val="20"/>
              </w:rPr>
              <w:t xml:space="preserve">No. of </w:t>
            </w:r>
            <w:r w:rsidR="0063555F">
              <w:rPr>
                <w:bCs/>
                <w:sz w:val="20"/>
                <w:szCs w:val="20"/>
              </w:rPr>
              <w:t>R</w:t>
            </w:r>
            <w:r w:rsidRPr="00C40A0D">
              <w:rPr>
                <w:bCs/>
                <w:sz w:val="20"/>
                <w:szCs w:val="20"/>
              </w:rPr>
              <w:t xml:space="preserve">esponses per </w:t>
            </w:r>
            <w:r w:rsidR="0063555F">
              <w:rPr>
                <w:bCs/>
                <w:sz w:val="20"/>
                <w:szCs w:val="20"/>
              </w:rPr>
              <w:t>R</w:t>
            </w:r>
            <w:r w:rsidRPr="00C40A0D">
              <w:rPr>
                <w:bCs/>
                <w:sz w:val="20"/>
                <w:szCs w:val="20"/>
              </w:rPr>
              <w:t>espondent</w:t>
            </w:r>
          </w:p>
        </w:tc>
        <w:tc>
          <w:tcPr>
            <w:tcW w:w="789" w:type="pct"/>
            <w:tcBorders>
              <w:top w:val="single" w:sz="4" w:space="0" w:color="auto"/>
            </w:tcBorders>
            <w:shd w:val="clear" w:color="auto" w:fill="auto"/>
          </w:tcPr>
          <w:p w:rsidR="00734DE1" w:rsidRPr="00C40A0D" w:rsidP="00C40A0D" w14:paraId="0E917367" w14:textId="28C5AD86">
            <w:pPr>
              <w:jc w:val="center"/>
              <w:rPr>
                <w:sz w:val="20"/>
                <w:szCs w:val="20"/>
              </w:rPr>
            </w:pPr>
            <w:r w:rsidRPr="00C40A0D">
              <w:rPr>
                <w:sz w:val="20"/>
                <w:szCs w:val="20"/>
              </w:rPr>
              <w:t xml:space="preserve">Total </w:t>
            </w:r>
            <w:r w:rsidR="0063555F">
              <w:rPr>
                <w:sz w:val="20"/>
                <w:szCs w:val="20"/>
              </w:rPr>
              <w:t>A</w:t>
            </w:r>
            <w:r w:rsidRPr="00C40A0D">
              <w:rPr>
                <w:sz w:val="20"/>
                <w:szCs w:val="20"/>
              </w:rPr>
              <w:t xml:space="preserve">nnual </w:t>
            </w:r>
            <w:r w:rsidR="0063555F">
              <w:rPr>
                <w:sz w:val="20"/>
                <w:szCs w:val="20"/>
              </w:rPr>
              <w:t>R</w:t>
            </w:r>
            <w:r w:rsidRPr="00C40A0D">
              <w:rPr>
                <w:sz w:val="20"/>
                <w:szCs w:val="20"/>
              </w:rPr>
              <w:t>esponses</w:t>
            </w:r>
          </w:p>
        </w:tc>
        <w:tc>
          <w:tcPr>
            <w:tcW w:w="834" w:type="pct"/>
            <w:tcBorders>
              <w:top w:val="single" w:sz="4" w:space="0" w:color="auto"/>
            </w:tcBorders>
            <w:shd w:val="clear" w:color="auto" w:fill="auto"/>
          </w:tcPr>
          <w:p w:rsidR="00734DE1" w:rsidRPr="00C40A0D" w:rsidP="00C40A0D" w14:paraId="7D04F1FC" w14:textId="04B68577">
            <w:pPr>
              <w:jc w:val="center"/>
              <w:rPr>
                <w:sz w:val="20"/>
                <w:szCs w:val="20"/>
              </w:rPr>
            </w:pPr>
            <w:r w:rsidRPr="00C40A0D">
              <w:rPr>
                <w:bCs/>
                <w:sz w:val="20"/>
                <w:szCs w:val="20"/>
              </w:rPr>
              <w:t xml:space="preserve">Average </w:t>
            </w:r>
            <w:r w:rsidR="0063555F">
              <w:rPr>
                <w:bCs/>
                <w:sz w:val="20"/>
                <w:szCs w:val="20"/>
              </w:rPr>
              <w:t>B</w:t>
            </w:r>
            <w:r w:rsidRPr="00C40A0D">
              <w:rPr>
                <w:bCs/>
                <w:sz w:val="20"/>
                <w:szCs w:val="20"/>
              </w:rPr>
              <w:t xml:space="preserve">urden per </w:t>
            </w:r>
            <w:r w:rsidR="0063555F">
              <w:rPr>
                <w:bCs/>
                <w:sz w:val="20"/>
                <w:szCs w:val="20"/>
              </w:rPr>
              <w:t>R</w:t>
            </w:r>
            <w:r w:rsidRPr="00C40A0D">
              <w:rPr>
                <w:bCs/>
                <w:sz w:val="20"/>
                <w:szCs w:val="20"/>
              </w:rPr>
              <w:t>esponse</w:t>
            </w:r>
            <w:r w:rsidR="00B13F86">
              <w:rPr>
                <w:bCs/>
                <w:sz w:val="20"/>
                <w:szCs w:val="20"/>
              </w:rPr>
              <w:t xml:space="preserve"> (Hours)</w:t>
            </w:r>
          </w:p>
        </w:tc>
        <w:tc>
          <w:tcPr>
            <w:tcW w:w="584" w:type="pct"/>
            <w:tcBorders>
              <w:top w:val="single" w:sz="4" w:space="0" w:color="auto"/>
            </w:tcBorders>
            <w:shd w:val="clear" w:color="auto" w:fill="auto"/>
          </w:tcPr>
          <w:p w:rsidR="00734DE1" w:rsidRPr="00C40A0D" w:rsidP="00C40A0D" w14:paraId="41C439E5" w14:textId="05124983">
            <w:pPr>
              <w:jc w:val="center"/>
              <w:rPr>
                <w:sz w:val="20"/>
                <w:szCs w:val="20"/>
              </w:rPr>
            </w:pPr>
            <w:r w:rsidRPr="00C40A0D">
              <w:rPr>
                <w:sz w:val="20"/>
                <w:szCs w:val="20"/>
              </w:rPr>
              <w:t xml:space="preserve">Total </w:t>
            </w:r>
            <w:r w:rsidR="0063555F">
              <w:rPr>
                <w:sz w:val="20"/>
                <w:szCs w:val="20"/>
              </w:rPr>
              <w:t>H</w:t>
            </w:r>
            <w:r w:rsidRPr="00C40A0D">
              <w:rPr>
                <w:sz w:val="20"/>
                <w:szCs w:val="20"/>
              </w:rPr>
              <w:t>ours</w:t>
            </w:r>
          </w:p>
        </w:tc>
      </w:tr>
      <w:tr w14:paraId="7312FB88" w14:textId="77777777" w:rsidTr="5AC1B080">
        <w:tblPrEx>
          <w:tblW w:w="4990" w:type="pct"/>
          <w:tblLayout w:type="fixed"/>
          <w:tblLook w:val="01E0"/>
        </w:tblPrEx>
        <w:trPr>
          <w:cantSplit/>
          <w:trHeight w:val="21"/>
        </w:trPr>
        <w:tc>
          <w:tcPr>
            <w:tcW w:w="1262" w:type="pct"/>
            <w:tcBorders>
              <w:bottom w:val="single" w:sz="4" w:space="0" w:color="auto"/>
            </w:tcBorders>
            <w:shd w:val="clear" w:color="auto" w:fill="auto"/>
            <w:vAlign w:val="center"/>
          </w:tcPr>
          <w:p w:rsidR="00734DE1" w:rsidRPr="00C40A0D" w:rsidP="0063555F" w14:paraId="670F844F" w14:textId="3DC75683">
            <w:pPr>
              <w:rPr>
                <w:sz w:val="20"/>
                <w:szCs w:val="20"/>
              </w:rPr>
            </w:pPr>
            <w:bookmarkStart w:id="0" w:name="_Hlk105505084"/>
            <w:r w:rsidRPr="00734DE1">
              <w:rPr>
                <w:sz w:val="20"/>
                <w:szCs w:val="20"/>
              </w:rPr>
              <w:t>1140.30(a)(2); Notification of other advertising or labeling medium</w:t>
            </w:r>
          </w:p>
        </w:tc>
        <w:tc>
          <w:tcPr>
            <w:tcW w:w="649" w:type="pct"/>
            <w:tcBorders>
              <w:bottom w:val="single" w:sz="4" w:space="0" w:color="auto"/>
            </w:tcBorders>
            <w:shd w:val="clear" w:color="auto" w:fill="auto"/>
            <w:vAlign w:val="center"/>
          </w:tcPr>
          <w:p w:rsidR="00734DE1" w:rsidRPr="00C40A0D" w:rsidP="00B0791E" w14:paraId="5953AF07" w14:textId="1555952E">
            <w:pPr>
              <w:spacing w:line="259" w:lineRule="auto"/>
              <w:jc w:val="center"/>
              <w:rPr>
                <w:sz w:val="20"/>
                <w:szCs w:val="20"/>
              </w:rPr>
            </w:pPr>
            <w:r w:rsidRPr="5AC1B080">
              <w:rPr>
                <w:sz w:val="20"/>
                <w:szCs w:val="20"/>
              </w:rPr>
              <w:t>4</w:t>
            </w:r>
          </w:p>
        </w:tc>
        <w:tc>
          <w:tcPr>
            <w:tcW w:w="882" w:type="pct"/>
            <w:tcBorders>
              <w:bottom w:val="single" w:sz="4" w:space="0" w:color="auto"/>
            </w:tcBorders>
            <w:shd w:val="clear" w:color="auto" w:fill="auto"/>
            <w:vAlign w:val="center"/>
          </w:tcPr>
          <w:p w:rsidR="00734DE1" w:rsidRPr="00C40A0D" w:rsidP="0037730B" w14:paraId="7A6E81B2" w14:textId="2DB42389">
            <w:pPr>
              <w:jc w:val="center"/>
              <w:rPr>
                <w:sz w:val="20"/>
                <w:szCs w:val="20"/>
              </w:rPr>
            </w:pPr>
            <w:r>
              <w:rPr>
                <w:sz w:val="20"/>
                <w:szCs w:val="20"/>
              </w:rPr>
              <w:t>1</w:t>
            </w:r>
          </w:p>
        </w:tc>
        <w:tc>
          <w:tcPr>
            <w:tcW w:w="789" w:type="pct"/>
            <w:tcBorders>
              <w:bottom w:val="single" w:sz="4" w:space="0" w:color="auto"/>
            </w:tcBorders>
            <w:shd w:val="clear" w:color="auto" w:fill="auto"/>
            <w:vAlign w:val="center"/>
          </w:tcPr>
          <w:p w:rsidR="00734DE1" w:rsidRPr="00C40A0D" w:rsidP="00B0791E" w14:paraId="7C7287EA" w14:textId="0F48D045">
            <w:pPr>
              <w:spacing w:line="259" w:lineRule="auto"/>
              <w:jc w:val="center"/>
              <w:rPr>
                <w:sz w:val="20"/>
                <w:szCs w:val="20"/>
              </w:rPr>
            </w:pPr>
            <w:r w:rsidRPr="5AC1B080">
              <w:rPr>
                <w:sz w:val="20"/>
                <w:szCs w:val="20"/>
              </w:rPr>
              <w:t>4</w:t>
            </w:r>
          </w:p>
        </w:tc>
        <w:tc>
          <w:tcPr>
            <w:tcW w:w="834" w:type="pct"/>
            <w:tcBorders>
              <w:bottom w:val="single" w:sz="4" w:space="0" w:color="auto"/>
            </w:tcBorders>
            <w:shd w:val="clear" w:color="auto" w:fill="auto"/>
            <w:vAlign w:val="center"/>
          </w:tcPr>
          <w:p w:rsidR="00734DE1" w:rsidRPr="00C40A0D" w:rsidP="0037730B" w14:paraId="50D51EC2" w14:textId="68B7BC30">
            <w:pPr>
              <w:jc w:val="center"/>
              <w:rPr>
                <w:sz w:val="20"/>
                <w:szCs w:val="20"/>
              </w:rPr>
            </w:pPr>
            <w:r>
              <w:rPr>
                <w:sz w:val="20"/>
                <w:szCs w:val="20"/>
              </w:rPr>
              <w:t>1</w:t>
            </w:r>
          </w:p>
        </w:tc>
        <w:tc>
          <w:tcPr>
            <w:tcW w:w="584" w:type="pct"/>
            <w:tcBorders>
              <w:bottom w:val="single" w:sz="4" w:space="0" w:color="auto"/>
            </w:tcBorders>
            <w:shd w:val="clear" w:color="auto" w:fill="auto"/>
            <w:vAlign w:val="center"/>
          </w:tcPr>
          <w:p w:rsidR="00734DE1" w:rsidRPr="00C40A0D" w:rsidP="00B0791E" w14:paraId="1B09D0F8" w14:textId="776A9046">
            <w:pPr>
              <w:spacing w:line="259" w:lineRule="auto"/>
              <w:jc w:val="center"/>
              <w:rPr>
                <w:sz w:val="20"/>
                <w:szCs w:val="20"/>
              </w:rPr>
            </w:pPr>
            <w:r w:rsidRPr="5AC1B080">
              <w:rPr>
                <w:sz w:val="20"/>
                <w:szCs w:val="20"/>
              </w:rPr>
              <w:t>4</w:t>
            </w:r>
          </w:p>
        </w:tc>
      </w:tr>
      <w:tr w14:paraId="038E9D2D" w14:textId="77777777" w:rsidTr="5AC1B080">
        <w:tblPrEx>
          <w:tblW w:w="4990" w:type="pct"/>
          <w:tblLayout w:type="fixed"/>
          <w:tblLook w:val="01E0"/>
        </w:tblPrEx>
        <w:trPr>
          <w:cantSplit/>
          <w:trHeight w:val="21"/>
        </w:trPr>
        <w:tc>
          <w:tcPr>
            <w:tcW w:w="4416" w:type="pct"/>
            <w:gridSpan w:val="5"/>
            <w:tcBorders>
              <w:bottom w:val="single" w:sz="4" w:space="0" w:color="auto"/>
            </w:tcBorders>
            <w:shd w:val="clear" w:color="auto" w:fill="auto"/>
          </w:tcPr>
          <w:p w:rsidR="00810248" w:rsidP="00810248" w14:paraId="6084C96A" w14:textId="06976D5C">
            <w:pPr>
              <w:rPr>
                <w:sz w:val="20"/>
                <w:szCs w:val="20"/>
              </w:rPr>
            </w:pPr>
            <w:r>
              <w:rPr>
                <w:sz w:val="20"/>
                <w:szCs w:val="20"/>
              </w:rPr>
              <w:t>Total</w:t>
            </w:r>
          </w:p>
        </w:tc>
        <w:tc>
          <w:tcPr>
            <w:tcW w:w="584" w:type="pct"/>
            <w:tcBorders>
              <w:bottom w:val="single" w:sz="4" w:space="0" w:color="auto"/>
            </w:tcBorders>
            <w:shd w:val="clear" w:color="auto" w:fill="auto"/>
            <w:vAlign w:val="center"/>
          </w:tcPr>
          <w:p w:rsidR="00810248" w:rsidP="00B0791E" w14:paraId="612FD86C" w14:textId="4E2DC9E3">
            <w:pPr>
              <w:spacing w:line="259" w:lineRule="auto"/>
              <w:jc w:val="center"/>
              <w:rPr>
                <w:sz w:val="20"/>
                <w:szCs w:val="20"/>
              </w:rPr>
            </w:pPr>
            <w:r w:rsidRPr="5AC1B080">
              <w:rPr>
                <w:sz w:val="20"/>
                <w:szCs w:val="20"/>
              </w:rPr>
              <w:t>4</w:t>
            </w:r>
          </w:p>
        </w:tc>
      </w:tr>
      <w:tr w14:paraId="23CD9A30" w14:textId="77777777" w:rsidTr="5AC1B080">
        <w:tblPrEx>
          <w:tblW w:w="4990" w:type="pct"/>
          <w:tblLayout w:type="fixed"/>
          <w:tblLook w:val="01E0"/>
        </w:tblPrEx>
        <w:trPr>
          <w:cantSplit/>
          <w:trHeight w:val="21"/>
        </w:trPr>
        <w:tc>
          <w:tcPr>
            <w:tcW w:w="5000" w:type="pct"/>
            <w:gridSpan w:val="6"/>
            <w:tcBorders>
              <w:top w:val="single" w:sz="4" w:space="0" w:color="auto"/>
              <w:left w:val="nil"/>
              <w:bottom w:val="nil"/>
              <w:right w:val="nil"/>
            </w:tcBorders>
            <w:shd w:val="clear" w:color="auto" w:fill="auto"/>
          </w:tcPr>
          <w:p w:rsidR="00BA2CD1" w:rsidRPr="00BA2CD1" w:rsidP="00BA2CD1" w14:paraId="6130AF9A" w14:textId="14BBCC69">
            <w:pPr>
              <w:rPr>
                <w:sz w:val="20"/>
                <w:szCs w:val="20"/>
              </w:rPr>
            </w:pPr>
          </w:p>
        </w:tc>
      </w:tr>
    </w:tbl>
    <w:bookmarkEnd w:id="0"/>
    <w:p w:rsidR="00006A28" w:rsidRPr="00006A28" w:rsidP="5AC1B080" w14:paraId="4E969DA3" w14:textId="0E91CFDA">
      <w:pPr>
        <w:spacing w:before="200" w:after="200" w:line="276" w:lineRule="auto"/>
        <w:rPr>
          <w:rFonts w:eastAsia="Calibri"/>
        </w:rPr>
      </w:pPr>
      <w:r>
        <w:rPr>
          <w:rFonts w:eastAsia="Calibri"/>
        </w:rPr>
        <w:t xml:space="preserve">The burden hour estimates for this collection of information were based on submissions regarding cigarette and smokeless tobacco product advertising expenditures.  </w:t>
      </w:r>
      <w:r w:rsidRPr="7C1D1A04" w:rsidR="3D495B9D">
        <w:rPr>
          <w:rFonts w:eastAsia="Calibri"/>
        </w:rPr>
        <w:t xml:space="preserve">FDA has received 12 </w:t>
      </w:r>
      <w:r w:rsidRPr="7C1D1A04" w:rsidR="3D495B9D">
        <w:rPr>
          <w:rFonts w:eastAsia="Calibri"/>
        </w:rPr>
        <w:t>notifications to date since 2022</w:t>
      </w:r>
      <w:r w:rsidR="007B6178">
        <w:rPr>
          <w:rFonts w:eastAsia="Calibri"/>
        </w:rPr>
        <w:t>.  B</w:t>
      </w:r>
      <w:r w:rsidRPr="7C1D1A04" w:rsidR="3D495B9D">
        <w:rPr>
          <w:rFonts w:eastAsia="Calibri"/>
        </w:rPr>
        <w:t xml:space="preserve">ased on a </w:t>
      </w:r>
      <w:r w:rsidRPr="7C1D1A04" w:rsidR="6DC3B4B2">
        <w:rPr>
          <w:rFonts w:eastAsia="Calibri"/>
        </w:rPr>
        <w:t>review</w:t>
      </w:r>
      <w:r w:rsidRPr="7C1D1A04" w:rsidR="3D495B9D">
        <w:rPr>
          <w:rFonts w:eastAsia="Calibri"/>
        </w:rPr>
        <w:t xml:space="preserve"> of the information coll</w:t>
      </w:r>
      <w:r w:rsidRPr="7C1D1A04" w:rsidR="02FFC718">
        <w:rPr>
          <w:rFonts w:eastAsia="Calibri"/>
        </w:rPr>
        <w:t>e</w:t>
      </w:r>
      <w:r w:rsidRPr="7C1D1A04" w:rsidR="3D495B9D">
        <w:rPr>
          <w:rFonts w:eastAsia="Calibri"/>
        </w:rPr>
        <w:t xml:space="preserve">ction and the number of notifications </w:t>
      </w:r>
      <w:r w:rsidRPr="7C1D1A04" w:rsidR="683ED7C7">
        <w:rPr>
          <w:rFonts w:eastAsia="Calibri"/>
        </w:rPr>
        <w:t>received</w:t>
      </w:r>
      <w:r w:rsidRPr="7C1D1A04" w:rsidR="3D495B9D">
        <w:rPr>
          <w:rFonts w:eastAsia="Calibri"/>
        </w:rPr>
        <w:t xml:space="preserve"> since 2022</w:t>
      </w:r>
      <w:r w:rsidR="007B6178">
        <w:rPr>
          <w:rFonts w:eastAsia="Calibri"/>
        </w:rPr>
        <w:t xml:space="preserve">, FDA estimates that approximately four respondents will submit an annual notice of alternative advertising, and the Agency has estimated it should take one hour to provide such notice.  </w:t>
      </w:r>
      <w:r w:rsidRPr="5AC1B080" w:rsidR="424DBB9D">
        <w:rPr>
          <w:rFonts w:eastAsia="Calibri"/>
        </w:rPr>
        <w:t xml:space="preserve">Therefore, </w:t>
      </w:r>
      <w:r w:rsidR="007B6178">
        <w:rPr>
          <w:rFonts w:eastAsia="Calibri"/>
        </w:rPr>
        <w:t>our</w:t>
      </w:r>
      <w:r w:rsidRPr="5AC1B080" w:rsidR="424DBB9D">
        <w:rPr>
          <w:rFonts w:eastAsia="Calibri"/>
        </w:rPr>
        <w:t xml:space="preserve"> estimated burden required for this collection of information </w:t>
      </w:r>
      <w:r w:rsidR="0008680E">
        <w:rPr>
          <w:rFonts w:eastAsia="Calibri"/>
        </w:rPr>
        <w:t xml:space="preserve">reflects an </w:t>
      </w:r>
      <w:r w:rsidR="00D44632">
        <w:rPr>
          <w:rFonts w:eastAsia="Calibri"/>
        </w:rPr>
        <w:t>overall decrease of 21 hours and a corresponding decrease of 21 responses</w:t>
      </w:r>
      <w:r w:rsidRPr="5AC1B080" w:rsidR="424DBB9D">
        <w:rPr>
          <w:rFonts w:eastAsia="Calibri"/>
        </w:rPr>
        <w:t xml:space="preserve"> annually</w:t>
      </w:r>
      <w:r w:rsidR="00376355">
        <w:rPr>
          <w:rFonts w:eastAsia="Calibri"/>
        </w:rPr>
        <w:t>.</w:t>
      </w:r>
      <w:r w:rsidR="005D0DC3">
        <w:rPr>
          <w:rFonts w:eastAsia="Calibri"/>
        </w:rPr>
        <w:t xml:space="preserve"> </w:t>
      </w:r>
    </w:p>
    <w:p w:rsidR="00357C8A" w:rsidRPr="005C71CA" w:rsidP="00DC371B" w14:paraId="15F1E1FD" w14:textId="77777777">
      <w:pPr>
        <w:spacing w:after="200"/>
        <w:ind w:left="360"/>
        <w:rPr>
          <w:rFonts w:eastAsia="Calibri"/>
        </w:rPr>
      </w:pPr>
      <w:r w:rsidRPr="5AC1B080">
        <w:rPr>
          <w:rFonts w:eastAsia="Calibri"/>
        </w:rPr>
        <w:t>12b.  Annualized Cost Burden Estimate</w:t>
      </w:r>
    </w:p>
    <w:p w:rsidR="00A707CC" w:rsidP="7C1D1A04" w14:paraId="7CAA8C80" w14:textId="51808025">
      <w:pPr>
        <w:spacing w:after="200" w:line="276" w:lineRule="auto"/>
        <w:rPr>
          <w:rFonts w:eastAsia="Calibri"/>
        </w:rPr>
      </w:pPr>
      <w:r w:rsidRPr="7C1D1A04">
        <w:rPr>
          <w:rFonts w:eastAsia="Calibri"/>
        </w:rPr>
        <w:t xml:space="preserve">The estimated annual reporting cost to respondents for </w:t>
      </w:r>
      <w:r w:rsidRPr="7C1D1A04" w:rsidR="0055595F">
        <w:rPr>
          <w:rFonts w:eastAsia="Calibri"/>
        </w:rPr>
        <w:t xml:space="preserve">submitting </w:t>
      </w:r>
      <w:r w:rsidRPr="7C1D1A04" w:rsidR="0076639E">
        <w:rPr>
          <w:rFonts w:eastAsia="Calibri"/>
        </w:rPr>
        <w:t xml:space="preserve">an annual notice of alternative medium </w:t>
      </w:r>
      <w:r w:rsidRPr="7C1D1A04">
        <w:rPr>
          <w:rFonts w:eastAsia="Calibri"/>
        </w:rPr>
        <w:t>is $</w:t>
      </w:r>
      <w:r w:rsidRPr="7C1D1A04" w:rsidR="230BCC8F">
        <w:rPr>
          <w:rFonts w:eastAsia="Calibri"/>
        </w:rPr>
        <w:t>2</w:t>
      </w:r>
      <w:r w:rsidR="00EF4C4D">
        <w:rPr>
          <w:rFonts w:eastAsia="Calibri"/>
        </w:rPr>
        <w:t>82</w:t>
      </w:r>
      <w:r w:rsidRPr="7C1D1A04">
        <w:rPr>
          <w:rFonts w:eastAsia="Calibri"/>
        </w:rPr>
        <w:t xml:space="preserve">. </w:t>
      </w:r>
      <w:r w:rsidR="006343D1">
        <w:rPr>
          <w:rFonts w:eastAsia="Calibri"/>
        </w:rPr>
        <w:t xml:space="preserve"> </w:t>
      </w:r>
      <w:r w:rsidRPr="7C1D1A04">
        <w:rPr>
          <w:rFonts w:eastAsia="Calibri"/>
        </w:rPr>
        <w:t xml:space="preserve">This estimate assumes that </w:t>
      </w:r>
      <w:r w:rsidRPr="7C1D1A04" w:rsidR="42FB8D5C">
        <w:rPr>
          <w:rFonts w:eastAsia="Calibri"/>
        </w:rPr>
        <w:t>the</w:t>
      </w:r>
      <w:r w:rsidRPr="7C1D1A04">
        <w:rPr>
          <w:rFonts w:eastAsia="Calibri"/>
        </w:rPr>
        <w:t xml:space="preserve"> tobacco industry </w:t>
      </w:r>
      <w:r w:rsidRPr="7C1D1A04" w:rsidR="166BB14E">
        <w:rPr>
          <w:rFonts w:eastAsia="Calibri"/>
        </w:rPr>
        <w:t xml:space="preserve">labor category </w:t>
      </w:r>
      <w:r w:rsidR="00B336E7">
        <w:rPr>
          <w:rFonts w:eastAsia="Calibri"/>
        </w:rPr>
        <w:t xml:space="preserve">for all occupations (00-0000) </w:t>
      </w:r>
      <w:r w:rsidRPr="7C1D1A04">
        <w:rPr>
          <w:rFonts w:eastAsia="Calibri"/>
        </w:rPr>
        <w:t xml:space="preserve">will account for the submissions regarding cigarette and smokeless tobacco product advertising or labeling at an average wage of </w:t>
      </w:r>
      <w:r w:rsidRPr="7C1D1A04" w:rsidR="002B1F37">
        <w:rPr>
          <w:rFonts w:eastAsia="Calibri"/>
        </w:rPr>
        <w:t>$3</w:t>
      </w:r>
      <w:r w:rsidRPr="7C1D1A04" w:rsidR="1E9FA657">
        <w:rPr>
          <w:rFonts w:eastAsia="Calibri"/>
        </w:rPr>
        <w:t>5</w:t>
      </w:r>
      <w:r w:rsidRPr="7C1D1A04" w:rsidR="002B1F37">
        <w:rPr>
          <w:rFonts w:eastAsia="Calibri"/>
        </w:rPr>
        <w:t>.</w:t>
      </w:r>
      <w:r w:rsidRPr="7C1D1A04" w:rsidR="21591FA1">
        <w:rPr>
          <w:rFonts w:eastAsia="Calibri"/>
        </w:rPr>
        <w:t xml:space="preserve">25 </w:t>
      </w:r>
      <w:r w:rsidRPr="7C1D1A04">
        <w:rPr>
          <w:rFonts w:eastAsia="Calibri"/>
        </w:rPr>
        <w:t>(Department of Labor’s Bureau of Labor Statistics for Tobacco Manufacturers</w:t>
      </w:r>
      <w:r w:rsidR="00EF4C4D">
        <w:rPr>
          <w:rFonts w:eastAsia="Calibri"/>
        </w:rPr>
        <w:t xml:space="preserve">, </w:t>
      </w:r>
      <w:r w:rsidRPr="7C1D1A04">
        <w:rPr>
          <w:rFonts w:eastAsia="Calibri"/>
        </w:rPr>
        <w:t>May 202</w:t>
      </w:r>
      <w:r w:rsidRPr="7C1D1A04" w:rsidR="06B22AA8">
        <w:rPr>
          <w:rFonts w:eastAsia="Calibri"/>
        </w:rPr>
        <w:t>4</w:t>
      </w:r>
      <w:r w:rsidRPr="7C1D1A04">
        <w:rPr>
          <w:rFonts w:eastAsia="Calibri"/>
        </w:rPr>
        <w:t>:</w:t>
      </w:r>
      <w:r w:rsidRPr="7C1D1A04" w:rsidR="0DC81443">
        <w:rPr>
          <w:rFonts w:eastAsia="Calibri"/>
        </w:rPr>
        <w:t xml:space="preserve"> </w:t>
      </w:r>
      <w:hyperlink r:id="rId13" w:history="1">
        <w:r w:rsidRPr="7C1D1A04" w:rsidR="0DC81443">
          <w:rPr>
            <w:rStyle w:val="Hyperlink"/>
            <w:rFonts w:eastAsia="Calibri"/>
          </w:rPr>
          <w:t>https://data.bls.gov/oes/#/industry/312200</w:t>
        </w:r>
      </w:hyperlink>
      <w:r w:rsidRPr="7C1D1A04" w:rsidR="0DC81443">
        <w:rPr>
          <w:rFonts w:eastAsia="Calibri"/>
        </w:rPr>
        <w:t>)</w:t>
      </w:r>
      <w:r w:rsidRPr="7C1D1A04">
        <w:rPr>
          <w:rFonts w:eastAsia="Calibri"/>
        </w:rPr>
        <w:t xml:space="preserve">. </w:t>
      </w:r>
      <w:r w:rsidR="00B478D3">
        <w:rPr>
          <w:rFonts w:eastAsia="Calibri"/>
        </w:rPr>
        <w:t xml:space="preserve"> </w:t>
      </w:r>
      <w:r w:rsidRPr="7C1D1A04">
        <w:rPr>
          <w:rFonts w:eastAsia="Calibri"/>
        </w:rPr>
        <w:t>We double this to account for benefits and overhead, yielding an hourly wage rate of</w:t>
      </w:r>
      <w:r w:rsidRPr="7C1D1A04" w:rsidR="0067633F">
        <w:rPr>
          <w:rFonts w:eastAsia="Calibri"/>
        </w:rPr>
        <w:t xml:space="preserve"> </w:t>
      </w:r>
      <w:r w:rsidRPr="7C1D1A04">
        <w:rPr>
          <w:rFonts w:eastAsia="Calibri"/>
        </w:rPr>
        <w:t>$</w:t>
      </w:r>
      <w:r w:rsidRPr="7C1D1A04" w:rsidR="5B3BD3FC">
        <w:rPr>
          <w:rFonts w:eastAsia="Calibri"/>
        </w:rPr>
        <w:t>70.50</w:t>
      </w:r>
      <w:r w:rsidR="00EF4C4D">
        <w:rPr>
          <w:rFonts w:eastAsia="Calibri"/>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6"/>
        <w:gridCol w:w="2224"/>
        <w:gridCol w:w="2291"/>
        <w:gridCol w:w="2267"/>
      </w:tblGrid>
      <w:tr w14:paraId="0CC51D19" w14:textId="77777777" w:rsidTr="7C1D1A04">
        <w:tblPrEx>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70"/>
        </w:trPr>
        <w:tc>
          <w:tcPr>
            <w:tcW w:w="2966" w:type="dxa"/>
            <w:shd w:val="clear" w:color="auto" w:fill="auto"/>
            <w:vAlign w:val="center"/>
          </w:tcPr>
          <w:p w:rsidR="00A707CC" w:rsidP="00811C01" w14:paraId="35DD0ED3" w14:textId="120C25A0">
            <w:pPr>
              <w:jc w:val="center"/>
            </w:pPr>
            <w:r>
              <w:t>21 CFR 1140.30</w:t>
            </w:r>
          </w:p>
        </w:tc>
        <w:tc>
          <w:tcPr>
            <w:tcW w:w="2224" w:type="dxa"/>
            <w:shd w:val="clear" w:color="auto" w:fill="auto"/>
            <w:vAlign w:val="center"/>
          </w:tcPr>
          <w:p w:rsidR="00A707CC" w:rsidP="00811C01" w14:paraId="7C8E8619" w14:textId="77777777">
            <w:pPr>
              <w:jc w:val="center"/>
            </w:pPr>
            <w:r>
              <w:t>Total Burden Hours</w:t>
            </w:r>
          </w:p>
        </w:tc>
        <w:tc>
          <w:tcPr>
            <w:tcW w:w="2290" w:type="dxa"/>
            <w:shd w:val="clear" w:color="auto" w:fill="auto"/>
            <w:vAlign w:val="center"/>
          </w:tcPr>
          <w:p w:rsidR="00A707CC" w:rsidP="00811C01" w14:paraId="02BB57EF" w14:textId="77777777">
            <w:pPr>
              <w:jc w:val="center"/>
            </w:pPr>
            <w:r>
              <w:t>Hourly Wage Rate</w:t>
            </w:r>
          </w:p>
        </w:tc>
        <w:tc>
          <w:tcPr>
            <w:tcW w:w="2267" w:type="dxa"/>
            <w:shd w:val="clear" w:color="auto" w:fill="auto"/>
            <w:vAlign w:val="center"/>
          </w:tcPr>
          <w:p w:rsidR="00A707CC" w:rsidP="00811C01" w14:paraId="68292032" w14:textId="77777777">
            <w:pPr>
              <w:jc w:val="center"/>
            </w:pPr>
            <w:r>
              <w:t>Total Respondent Costs</w:t>
            </w:r>
          </w:p>
        </w:tc>
      </w:tr>
      <w:tr w14:paraId="19DB2B0D" w14:textId="77777777" w:rsidTr="7C1D1A04">
        <w:tblPrEx>
          <w:tblW w:w="9748" w:type="dxa"/>
          <w:tblLook w:val="01E0"/>
        </w:tblPrEx>
        <w:trPr>
          <w:trHeight w:val="353"/>
        </w:trPr>
        <w:tc>
          <w:tcPr>
            <w:tcW w:w="2966" w:type="dxa"/>
            <w:shd w:val="clear" w:color="auto" w:fill="auto"/>
            <w:vAlign w:val="center"/>
          </w:tcPr>
          <w:p w:rsidR="00A707CC" w:rsidP="00A0223D" w14:paraId="00FA0707" w14:textId="1DF5C909">
            <w:r w:rsidRPr="002A76E6">
              <w:t>Tobacco Industry</w:t>
            </w:r>
            <w:r w:rsidR="00DC0AC9">
              <w:t xml:space="preserve"> Reporting</w:t>
            </w:r>
          </w:p>
        </w:tc>
        <w:tc>
          <w:tcPr>
            <w:tcW w:w="2224" w:type="dxa"/>
            <w:shd w:val="clear" w:color="auto" w:fill="auto"/>
            <w:vAlign w:val="center"/>
          </w:tcPr>
          <w:p w:rsidR="00A707CC" w:rsidP="00B0791E" w14:paraId="12EC3AD6" w14:textId="49C0FA7C">
            <w:pPr>
              <w:spacing w:line="259" w:lineRule="auto"/>
              <w:jc w:val="center"/>
            </w:pPr>
            <w:r>
              <w:t>4</w:t>
            </w:r>
          </w:p>
        </w:tc>
        <w:tc>
          <w:tcPr>
            <w:tcW w:w="2290" w:type="dxa"/>
            <w:shd w:val="clear" w:color="auto" w:fill="auto"/>
            <w:vAlign w:val="center"/>
          </w:tcPr>
          <w:p w:rsidR="00A707CC" w:rsidP="00B0791E" w14:paraId="0B99EC6D" w14:textId="0B56483B">
            <w:pPr>
              <w:spacing w:line="259" w:lineRule="auto"/>
              <w:jc w:val="center"/>
            </w:pPr>
            <w:r w:rsidRPr="7C1D1A04">
              <w:rPr>
                <w:rFonts w:eastAsia="Calibri"/>
              </w:rPr>
              <w:t>$</w:t>
            </w:r>
            <w:r w:rsidRPr="7C1D1A04" w:rsidR="7ED49D3E">
              <w:rPr>
                <w:rFonts w:eastAsia="Calibri"/>
              </w:rPr>
              <w:t>70.50</w:t>
            </w:r>
          </w:p>
        </w:tc>
        <w:tc>
          <w:tcPr>
            <w:tcW w:w="2267" w:type="dxa"/>
            <w:shd w:val="clear" w:color="auto" w:fill="auto"/>
            <w:vAlign w:val="center"/>
          </w:tcPr>
          <w:p w:rsidR="00A707CC" w:rsidP="002F2CB4" w14:paraId="2B0FD7EB" w14:textId="081DC977">
            <w:pPr>
              <w:jc w:val="center"/>
            </w:pPr>
            <w:r w:rsidRPr="7C1D1A04">
              <w:rPr>
                <w:rFonts w:eastAsia="Calibri"/>
              </w:rPr>
              <w:t>$</w:t>
            </w:r>
            <w:r w:rsidRPr="7C1D1A04" w:rsidR="07907D0B">
              <w:rPr>
                <w:rFonts w:eastAsia="Calibri"/>
              </w:rPr>
              <w:t>2</w:t>
            </w:r>
            <w:r w:rsidRPr="7C1D1A04" w:rsidR="4CCB8CC8">
              <w:rPr>
                <w:rFonts w:eastAsia="Calibri"/>
              </w:rPr>
              <w:t>82</w:t>
            </w:r>
          </w:p>
        </w:tc>
      </w:tr>
      <w:tr w14:paraId="17626D84" w14:textId="77777777" w:rsidTr="7C1D1A04">
        <w:tblPrEx>
          <w:tblW w:w="9748" w:type="dxa"/>
          <w:tblLook w:val="01E0"/>
        </w:tblPrEx>
        <w:trPr>
          <w:trHeight w:val="316"/>
        </w:trPr>
        <w:tc>
          <w:tcPr>
            <w:tcW w:w="7481" w:type="dxa"/>
            <w:gridSpan w:val="3"/>
            <w:shd w:val="clear" w:color="auto" w:fill="auto"/>
            <w:vAlign w:val="center"/>
          </w:tcPr>
          <w:p w:rsidR="00A707CC" w:rsidP="002F2CB4" w14:paraId="080F574C" w14:textId="77777777">
            <w:r>
              <w:t>Total</w:t>
            </w:r>
          </w:p>
        </w:tc>
        <w:tc>
          <w:tcPr>
            <w:tcW w:w="2267" w:type="dxa"/>
            <w:shd w:val="clear" w:color="auto" w:fill="auto"/>
            <w:vAlign w:val="center"/>
          </w:tcPr>
          <w:p w:rsidR="00A707CC" w:rsidP="002F2CB4" w14:paraId="4F94B7F7" w14:textId="79C69F63">
            <w:pPr>
              <w:jc w:val="center"/>
            </w:pPr>
            <w:r w:rsidRPr="7C1D1A04">
              <w:rPr>
                <w:rFonts w:eastAsia="Calibri"/>
              </w:rPr>
              <w:t>$</w:t>
            </w:r>
            <w:r w:rsidRPr="7C1D1A04" w:rsidR="20BD8E0D">
              <w:rPr>
                <w:rFonts w:eastAsia="Calibri"/>
              </w:rPr>
              <w:t>2</w:t>
            </w:r>
            <w:r w:rsidRPr="7C1D1A04" w:rsidR="37D20294">
              <w:rPr>
                <w:rFonts w:eastAsia="Calibri"/>
              </w:rPr>
              <w:t>82</w:t>
            </w:r>
          </w:p>
        </w:tc>
      </w:tr>
    </w:tbl>
    <w:p w:rsidR="00357C8A" w:rsidRPr="00357C8A" w:rsidP="00357C8A" w14:paraId="3610169A" w14:textId="77777777">
      <w:pPr>
        <w:rPr>
          <w:rFonts w:eastAsia="Calibri"/>
        </w:rPr>
      </w:pPr>
    </w:p>
    <w:p w:rsidR="00357C8A" w:rsidRPr="00357C8A" w:rsidP="006705EA" w14:paraId="223FEDE2"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RPr="00A5223A" w:rsidP="00D37AD6" w14:paraId="52C2A7A1" w14:textId="6C7703E7">
      <w:pPr>
        <w:spacing w:after="200" w:line="276" w:lineRule="auto"/>
        <w:rPr>
          <w:rFonts w:eastAsia="Calibri"/>
        </w:rPr>
      </w:pPr>
      <w:r w:rsidRPr="005614F4">
        <w:rPr>
          <w:rFonts w:eastAsia="Calibri"/>
        </w:rPr>
        <w:t xml:space="preserve">There </w:t>
      </w:r>
      <w:r w:rsidRPr="005614F4">
        <w:rPr>
          <w:rFonts w:eastAsia="Calibri"/>
        </w:rPr>
        <w:t>are</w:t>
      </w:r>
      <w:r w:rsidRPr="005614F4">
        <w:rPr>
          <w:rFonts w:eastAsia="Calibri"/>
        </w:rPr>
        <w:t xml:space="preserve"> no capital, start-up, </w:t>
      </w:r>
      <w:r w:rsidRPr="005614F4" w:rsidR="00FD1E05">
        <w:rPr>
          <w:rFonts w:eastAsia="Calibri"/>
        </w:rPr>
        <w:t>operating,</w:t>
      </w:r>
      <w:r w:rsidRPr="005614F4">
        <w:rPr>
          <w:rFonts w:eastAsia="Calibri"/>
        </w:rPr>
        <w:t xml:space="preserve"> or maintenance costs associated with this information collection.</w:t>
      </w:r>
    </w:p>
    <w:p w:rsidR="00357C8A" w:rsidRPr="00357C8A" w:rsidP="006705EA" w14:paraId="10A5A435"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5AC1B080" w14:paraId="3A7E2B78" w14:textId="754D0F55">
      <w:pPr>
        <w:spacing w:after="200" w:line="276" w:lineRule="auto"/>
        <w:rPr>
          <w:rFonts w:eastAsia="Calibri"/>
        </w:rPr>
      </w:pPr>
      <w:r w:rsidRPr="01D66726">
        <w:rPr>
          <w:rFonts w:eastAsia="Calibri"/>
        </w:rPr>
        <w:t>The</w:t>
      </w:r>
      <w:r w:rsidRPr="01D66726" w:rsidR="1433A3F2">
        <w:rPr>
          <w:rFonts w:eastAsia="Calibri"/>
        </w:rPr>
        <w:t xml:space="preserve"> </w:t>
      </w:r>
      <w:r w:rsidRPr="01D66726" w:rsidR="005D6306">
        <w:rPr>
          <w:rFonts w:eastAsia="Calibri"/>
        </w:rPr>
        <w:t xml:space="preserve">estimated </w:t>
      </w:r>
      <w:r w:rsidRPr="01D66726" w:rsidR="52C26E57">
        <w:rPr>
          <w:rFonts w:eastAsia="Calibri"/>
        </w:rPr>
        <w:t xml:space="preserve">total </w:t>
      </w:r>
      <w:r w:rsidRPr="01D66726" w:rsidR="005D6306">
        <w:rPr>
          <w:rFonts w:eastAsia="Calibri"/>
        </w:rPr>
        <w:t xml:space="preserve">cost to the Federal </w:t>
      </w:r>
      <w:r w:rsidRPr="01D66726" w:rsidR="5BA166D9">
        <w:rPr>
          <w:rFonts w:eastAsia="Calibri"/>
        </w:rPr>
        <w:t>G</w:t>
      </w:r>
      <w:r w:rsidRPr="01D66726" w:rsidR="005D6306">
        <w:rPr>
          <w:rFonts w:eastAsia="Calibri"/>
        </w:rPr>
        <w:t>overnment</w:t>
      </w:r>
      <w:r w:rsidRPr="01D66726" w:rsidR="3D5BA6EA">
        <w:rPr>
          <w:rFonts w:eastAsia="Calibri"/>
        </w:rPr>
        <w:t xml:space="preserve"> for this collection is $</w:t>
      </w:r>
      <w:r w:rsidR="00D438C1">
        <w:rPr>
          <w:rFonts w:eastAsia="Calibri"/>
        </w:rPr>
        <w:t>41,912.4</w:t>
      </w:r>
      <w:r w:rsidR="00671759">
        <w:rPr>
          <w:rFonts w:eastAsia="Calibri"/>
        </w:rPr>
        <w:t>0</w:t>
      </w:r>
      <w:r w:rsidRPr="01D66726" w:rsidR="3D5BA6EA">
        <w:rPr>
          <w:rFonts w:eastAsia="Calibri"/>
        </w:rPr>
        <w:t xml:space="preserve">. </w:t>
      </w:r>
      <w:r w:rsidR="00B478D3">
        <w:rPr>
          <w:rFonts w:eastAsia="Calibri"/>
        </w:rPr>
        <w:t xml:space="preserve"> </w:t>
      </w:r>
      <w:r w:rsidRPr="01D66726" w:rsidR="3D5BA6EA">
        <w:rPr>
          <w:rFonts w:eastAsia="Calibri"/>
        </w:rPr>
        <w:t xml:space="preserve">Our </w:t>
      </w:r>
      <w:r w:rsidRPr="01D66726" w:rsidR="77B098EE">
        <w:rPr>
          <w:rFonts w:eastAsia="Calibri"/>
        </w:rPr>
        <w:t xml:space="preserve">estimated cost </w:t>
      </w:r>
      <w:r w:rsidRPr="01D66726" w:rsidR="005D6306">
        <w:rPr>
          <w:rFonts w:eastAsia="Calibri"/>
        </w:rPr>
        <w:t xml:space="preserve">reflects the allocation of </w:t>
      </w:r>
      <w:r w:rsidRPr="01D66726" w:rsidR="009709E0">
        <w:rPr>
          <w:rFonts w:eastAsia="Calibri"/>
        </w:rPr>
        <w:t>one-fifth,</w:t>
      </w:r>
      <w:r w:rsidRPr="01D66726" w:rsidR="005D6306">
        <w:rPr>
          <w:rFonts w:eastAsia="Calibri"/>
        </w:rPr>
        <w:t xml:space="preserve"> full-time equivalent (FTE) employee</w:t>
      </w:r>
      <w:r w:rsidRPr="01D66726" w:rsidR="103BB797">
        <w:rPr>
          <w:rFonts w:eastAsia="Calibri"/>
        </w:rPr>
        <w:t xml:space="preserve"> who </w:t>
      </w:r>
      <w:r w:rsidRPr="01D66726" w:rsidR="0030375C">
        <w:rPr>
          <w:rFonts w:eastAsia="Calibri"/>
        </w:rPr>
        <w:t>reviews,</w:t>
      </w:r>
      <w:r w:rsidRPr="01D66726" w:rsidR="0030375C">
        <w:rPr>
          <w:rFonts w:eastAsia="Calibri"/>
        </w:rPr>
        <w:t xml:space="preserve"> documents and, as needed, follows up on</w:t>
      </w:r>
      <w:r w:rsidRPr="01D66726" w:rsidR="002C5527">
        <w:rPr>
          <w:rFonts w:eastAsia="Calibri"/>
        </w:rPr>
        <w:t xml:space="preserve"> </w:t>
      </w:r>
      <w:r w:rsidRPr="01D66726" w:rsidR="004933B8">
        <w:rPr>
          <w:rFonts w:eastAsia="Calibri"/>
        </w:rPr>
        <w:t>notifications</w:t>
      </w:r>
      <w:r w:rsidRPr="01D66726" w:rsidR="103BB797">
        <w:rPr>
          <w:rFonts w:eastAsia="Calibri"/>
        </w:rPr>
        <w:t xml:space="preserve"> for </w:t>
      </w:r>
      <w:r w:rsidRPr="01D66726" w:rsidR="505FD0AC">
        <w:rPr>
          <w:rFonts w:eastAsia="Calibri"/>
        </w:rPr>
        <w:t xml:space="preserve">other </w:t>
      </w:r>
      <w:r w:rsidRPr="01D66726" w:rsidR="004933B8">
        <w:rPr>
          <w:rFonts w:eastAsia="Calibri"/>
        </w:rPr>
        <w:t xml:space="preserve">forms of </w:t>
      </w:r>
      <w:r w:rsidRPr="01D66726" w:rsidR="505FD0AC">
        <w:rPr>
          <w:rFonts w:eastAsia="Calibri"/>
        </w:rPr>
        <w:t>advertising or labeling.</w:t>
      </w:r>
      <w:r w:rsidRPr="01D66726" w:rsidR="3C544222">
        <w:rPr>
          <w:rFonts w:eastAsia="Calibri"/>
        </w:rPr>
        <w:t xml:space="preserve"> </w:t>
      </w:r>
      <w:r w:rsidR="00B478D3">
        <w:rPr>
          <w:rFonts w:eastAsia="Calibri"/>
        </w:rPr>
        <w:t xml:space="preserve"> </w:t>
      </w:r>
      <w:r w:rsidR="3C544222">
        <w:t xml:space="preserve">Using 2025 Grade </w:t>
      </w:r>
      <w:r w:rsidR="00866B21">
        <w:t>12</w:t>
      </w:r>
      <w:r w:rsidR="3C544222">
        <w:t xml:space="preserve"> Step </w:t>
      </w:r>
      <w:r w:rsidR="00866B21">
        <w:t>2</w:t>
      </w:r>
      <w:r w:rsidR="3C544222">
        <w:t xml:space="preserve"> salary and wage data for the Washington DC-Metropolitan area found at </w:t>
      </w:r>
      <w:hyperlink r:id="rId14" w:history="1">
        <w:r w:rsidRPr="01D66726" w:rsidR="3C544222">
          <w:rPr>
            <w:rStyle w:val="Hyperlink"/>
          </w:rPr>
          <w:t>https://www.opm.gov/policy-data-oversight/pay-leave/salaries-wages/salary-tables/25Tables/html/DCB.aspx</w:t>
        </w:r>
      </w:hyperlink>
      <w:r w:rsidR="005D6306">
        <w:t xml:space="preserve"> and doubling </w:t>
      </w:r>
      <w:r w:rsidR="00001A43">
        <w:t>to account</w:t>
      </w:r>
      <w:r w:rsidR="005D6306">
        <w:t xml:space="preserve"> for benefits and overhead</w:t>
      </w:r>
      <w:r w:rsidR="3C544222">
        <w:t>, we calculate a total cost of $</w:t>
      </w:r>
      <w:r w:rsidR="00671759">
        <w:rPr>
          <w:rFonts w:eastAsia="Calibri"/>
        </w:rPr>
        <w:t xml:space="preserve">41,912.40 </w:t>
      </w:r>
      <w:r w:rsidR="3C544222">
        <w:t>($1</w:t>
      </w:r>
      <w:r w:rsidR="00150E81">
        <w:t>04</w:t>
      </w:r>
      <w:r w:rsidR="007C613E">
        <w:t>,781 ÷ 5</w:t>
      </w:r>
      <w:r w:rsidR="00B00254">
        <w:t xml:space="preserve"> x 2</w:t>
      </w:r>
      <w:r w:rsidR="3C544222">
        <w:t xml:space="preserve">).  </w:t>
      </w:r>
    </w:p>
    <w:p w:rsidR="0063049E" w:rsidRPr="0028663C" w:rsidP="00B0791E" w14:paraId="7B6BF0D1" w14:textId="4DC64CA6">
      <w:pPr>
        <w:numPr>
          <w:ilvl w:val="0"/>
          <w:numId w:val="6"/>
        </w:numPr>
        <w:spacing w:after="200" w:line="276" w:lineRule="auto"/>
        <w:rPr>
          <w:rFonts w:eastAsia="Calibri"/>
          <w:i/>
          <w:iCs/>
        </w:rPr>
      </w:pPr>
      <w:r w:rsidRPr="5AC1B080">
        <w:rPr>
          <w:rFonts w:eastAsia="Calibri"/>
          <w:u w:val="single"/>
        </w:rPr>
        <w:t>Explanation for Program Changes or Adjustments</w:t>
      </w:r>
    </w:p>
    <w:p w:rsidR="3BA63C27" w:rsidP="5AC1B080" w14:paraId="0C0C7DF2" w14:textId="5E276835">
      <w:pPr>
        <w:spacing w:after="200" w:line="276" w:lineRule="auto"/>
        <w:rPr>
          <w:rFonts w:eastAsia="Calibri"/>
        </w:rPr>
      </w:pPr>
      <w:r w:rsidRPr="4979CF51">
        <w:rPr>
          <w:rFonts w:eastAsia="Calibri"/>
        </w:rPr>
        <w:t>The burden adjustment is related to a</w:t>
      </w:r>
      <w:r w:rsidRPr="4979CF51" w:rsidR="59F8A9FD">
        <w:rPr>
          <w:rFonts w:eastAsia="Calibri"/>
        </w:rPr>
        <w:t>n overall</w:t>
      </w:r>
      <w:r w:rsidRPr="4979CF51">
        <w:rPr>
          <w:rFonts w:eastAsia="Calibri"/>
        </w:rPr>
        <w:t xml:space="preserve"> decrease in</w:t>
      </w:r>
      <w:r w:rsidRPr="4979CF51" w:rsidR="36623FF6">
        <w:rPr>
          <w:rFonts w:eastAsia="Calibri"/>
        </w:rPr>
        <w:t xml:space="preserve"> the expected number of</w:t>
      </w:r>
      <w:r w:rsidRPr="4979CF51">
        <w:rPr>
          <w:rFonts w:eastAsia="Calibri"/>
        </w:rPr>
        <w:t xml:space="preserve"> respondents</w:t>
      </w:r>
      <w:r w:rsidRPr="4979CF51" w:rsidR="1A2EDB2E">
        <w:rPr>
          <w:rFonts w:eastAsia="Calibri"/>
        </w:rPr>
        <w:t>.</w:t>
      </w:r>
      <w:r w:rsidR="003E6E95">
        <w:rPr>
          <w:rFonts w:eastAsia="Calibri"/>
        </w:rPr>
        <w:t xml:space="preserve"> </w:t>
      </w:r>
      <w:r w:rsidRPr="4979CF51" w:rsidR="1A2EDB2E">
        <w:rPr>
          <w:rFonts w:eastAsia="Calibri"/>
        </w:rPr>
        <w:t xml:space="preserve">The number of hours per response has remained the same. </w:t>
      </w:r>
      <w:r w:rsidR="00CD5681">
        <w:rPr>
          <w:rFonts w:eastAsia="Calibri"/>
        </w:rPr>
        <w:t xml:space="preserve"> </w:t>
      </w:r>
      <w:r w:rsidRPr="4979CF51" w:rsidR="1A2EDB2E">
        <w:rPr>
          <w:rFonts w:eastAsia="Calibri"/>
        </w:rPr>
        <w:t xml:space="preserve">As a result of this adjustment, we recorded a decrease to the currently approved burden. </w:t>
      </w:r>
    </w:p>
    <w:p w:rsidR="24094D55" w:rsidP="7C1D1A04" w14:paraId="39AB3552" w14:textId="5979C7DC">
      <w:pPr>
        <w:spacing w:after="200" w:line="276" w:lineRule="auto"/>
        <w:rPr>
          <w:rFonts w:eastAsia="Calibri"/>
        </w:rPr>
      </w:pPr>
      <w:r w:rsidRPr="01D66726">
        <w:rPr>
          <w:rFonts w:eastAsia="Calibri"/>
        </w:rPr>
        <w:t>Our estimated</w:t>
      </w:r>
      <w:r w:rsidRPr="01D66726" w:rsidR="00C348CC">
        <w:rPr>
          <w:rFonts w:eastAsia="Calibri"/>
        </w:rPr>
        <w:t xml:space="preserve"> annual</w:t>
      </w:r>
      <w:r w:rsidRPr="01D66726">
        <w:rPr>
          <w:rFonts w:eastAsia="Calibri"/>
        </w:rPr>
        <w:t xml:space="preserve"> burden </w:t>
      </w:r>
      <w:r w:rsidRPr="01D66726">
        <w:rPr>
          <w:rFonts w:eastAsia="Calibri"/>
        </w:rPr>
        <w:t>for</w:t>
      </w:r>
      <w:r w:rsidRPr="01D66726">
        <w:rPr>
          <w:rFonts w:eastAsia="Calibri"/>
        </w:rPr>
        <w:t xml:space="preserve"> the information collection reflects an overall decrease of </w:t>
      </w:r>
      <w:r w:rsidRPr="01D66726" w:rsidR="00C348CC">
        <w:rPr>
          <w:rFonts w:eastAsia="Calibri"/>
        </w:rPr>
        <w:t>21</w:t>
      </w:r>
      <w:r w:rsidRPr="01D66726">
        <w:rPr>
          <w:rFonts w:eastAsia="Calibri"/>
        </w:rPr>
        <w:t xml:space="preserve"> hours</w:t>
      </w:r>
      <w:r w:rsidRPr="01D66726" w:rsidR="27B49DB3">
        <w:rPr>
          <w:rFonts w:eastAsia="Calibri"/>
        </w:rPr>
        <w:t xml:space="preserve"> and a corresponding decrease in </w:t>
      </w:r>
      <w:r w:rsidRPr="01D66726" w:rsidR="00C348CC">
        <w:rPr>
          <w:rFonts w:eastAsia="Calibri"/>
        </w:rPr>
        <w:t>21</w:t>
      </w:r>
      <w:r w:rsidRPr="01D66726" w:rsidR="27B49DB3">
        <w:rPr>
          <w:rFonts w:eastAsia="Calibri"/>
        </w:rPr>
        <w:t xml:space="preserve"> responses</w:t>
      </w:r>
      <w:r w:rsidRPr="01D66726" w:rsidR="00C348CC">
        <w:rPr>
          <w:rFonts w:eastAsia="Calibri"/>
        </w:rPr>
        <w:t xml:space="preserve"> per year</w:t>
      </w:r>
      <w:r w:rsidRPr="01D66726" w:rsidR="27B49DB3">
        <w:rPr>
          <w:rFonts w:eastAsia="Calibri"/>
        </w:rPr>
        <w:t>.</w:t>
      </w:r>
      <w:r w:rsidRPr="01D66726">
        <w:rPr>
          <w:rFonts w:eastAsia="Calibri"/>
        </w:rPr>
        <w:t xml:space="preserve"> </w:t>
      </w:r>
      <w:r w:rsidRPr="01D66726" w:rsidR="351B491D">
        <w:rPr>
          <w:rFonts w:eastAsia="Calibri"/>
        </w:rPr>
        <w:t>The decrease is attributed to an ini</w:t>
      </w:r>
      <w:r w:rsidRPr="01D66726" w:rsidR="112C4600">
        <w:rPr>
          <w:rFonts w:eastAsia="Calibri"/>
        </w:rPr>
        <w:t>ti</w:t>
      </w:r>
      <w:r w:rsidRPr="01D66726" w:rsidR="351B491D">
        <w:rPr>
          <w:rFonts w:eastAsia="Calibri"/>
        </w:rPr>
        <w:t xml:space="preserve">al </w:t>
      </w:r>
      <w:r w:rsidRPr="01D66726" w:rsidR="351B491D">
        <w:rPr>
          <w:rFonts w:eastAsia="Calibri"/>
        </w:rPr>
        <w:t xml:space="preserve">surge following the rule’s publication, which subsequently decreased to 4 respondents </w:t>
      </w:r>
      <w:r w:rsidR="00105A43">
        <w:rPr>
          <w:rFonts w:eastAsia="Calibri"/>
        </w:rPr>
        <w:t xml:space="preserve">per year </w:t>
      </w:r>
      <w:r w:rsidRPr="01D66726" w:rsidR="351B491D">
        <w:rPr>
          <w:rFonts w:eastAsia="Calibri"/>
        </w:rPr>
        <w:t>over the co</w:t>
      </w:r>
      <w:r w:rsidRPr="01D66726" w:rsidR="6B9C907D">
        <w:rPr>
          <w:rFonts w:eastAsia="Calibri"/>
        </w:rPr>
        <w:t>urse of time.</w:t>
      </w:r>
      <w:r w:rsidRPr="01D66726" w:rsidR="5A378B47">
        <w:rPr>
          <w:rFonts w:eastAsia="Calibri"/>
        </w:rPr>
        <w:t xml:space="preserve">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86"/>
        <w:gridCol w:w="1565"/>
        <w:gridCol w:w="1388"/>
        <w:gridCol w:w="1240"/>
        <w:gridCol w:w="2943"/>
      </w:tblGrid>
      <w:tr w14:paraId="68DC08CA" w14:textId="77777777" w:rsidTr="00B0791E">
        <w:tblPrEx>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416"/>
        </w:trPr>
        <w:tc>
          <w:tcPr>
            <w:tcW w:w="2486" w:type="dxa"/>
            <w:tcBorders>
              <w:top w:val="single" w:sz="6" w:space="0" w:color="auto"/>
              <w:left w:val="single" w:sz="6" w:space="0" w:color="auto"/>
              <w:bottom w:val="single" w:sz="6" w:space="0" w:color="auto"/>
              <w:right w:val="single" w:sz="6" w:space="0" w:color="auto"/>
            </w:tcBorders>
            <w:shd w:val="clear" w:color="auto" w:fill="F2F2F2"/>
            <w:hideMark/>
          </w:tcPr>
          <w:p w:rsidR="00B0791E" w:rsidRPr="00B0791E" w:rsidP="00B0791E" w14:paraId="4AE73A54" w14:textId="40A6404D">
            <w:pPr>
              <w:spacing w:after="200" w:line="276" w:lineRule="auto"/>
              <w:jc w:val="center"/>
              <w:rPr>
                <w:rFonts w:eastAsia="Calibri"/>
                <w:sz w:val="20"/>
                <w:szCs w:val="20"/>
              </w:rPr>
            </w:pPr>
            <w:r w:rsidRPr="00B0791E">
              <w:rPr>
                <w:rFonts w:eastAsia="Calibri"/>
                <w:sz w:val="20"/>
                <w:szCs w:val="20"/>
              </w:rPr>
              <w:t>Activity/CFR Section</w:t>
            </w:r>
          </w:p>
        </w:tc>
        <w:tc>
          <w:tcPr>
            <w:tcW w:w="1565" w:type="dxa"/>
            <w:tcBorders>
              <w:top w:val="single" w:sz="6" w:space="0" w:color="auto"/>
              <w:left w:val="nil"/>
              <w:bottom w:val="single" w:sz="6" w:space="0" w:color="auto"/>
              <w:right w:val="single" w:sz="6" w:space="0" w:color="auto"/>
            </w:tcBorders>
            <w:shd w:val="clear" w:color="auto" w:fill="F2F2F2"/>
            <w:hideMark/>
          </w:tcPr>
          <w:p w:rsidR="00B0791E" w:rsidRPr="00B0791E" w:rsidP="00B0791E" w14:paraId="23B577B8" w14:textId="744E8D3A">
            <w:pPr>
              <w:spacing w:after="200" w:line="276" w:lineRule="auto"/>
              <w:jc w:val="center"/>
              <w:rPr>
                <w:rFonts w:eastAsia="Calibri"/>
                <w:sz w:val="20"/>
                <w:szCs w:val="20"/>
              </w:rPr>
            </w:pPr>
            <w:r w:rsidRPr="00B0791E">
              <w:rPr>
                <w:rFonts w:eastAsia="Calibri"/>
                <w:sz w:val="20"/>
                <w:szCs w:val="20"/>
              </w:rPr>
              <w:t>Approved Annual Burden Hours</w:t>
            </w:r>
          </w:p>
        </w:tc>
        <w:tc>
          <w:tcPr>
            <w:tcW w:w="1388" w:type="dxa"/>
            <w:tcBorders>
              <w:top w:val="single" w:sz="6" w:space="0" w:color="auto"/>
              <w:left w:val="nil"/>
              <w:bottom w:val="single" w:sz="6" w:space="0" w:color="auto"/>
              <w:right w:val="single" w:sz="6" w:space="0" w:color="auto"/>
            </w:tcBorders>
            <w:shd w:val="clear" w:color="auto" w:fill="F2F2F2"/>
            <w:hideMark/>
          </w:tcPr>
          <w:p w:rsidR="00B0791E" w:rsidRPr="00B0791E" w:rsidP="00B0791E" w14:paraId="03BE8119" w14:textId="52B2E686">
            <w:pPr>
              <w:spacing w:after="200" w:line="276" w:lineRule="auto"/>
              <w:jc w:val="center"/>
              <w:rPr>
                <w:rFonts w:eastAsia="Calibri"/>
                <w:sz w:val="20"/>
                <w:szCs w:val="20"/>
              </w:rPr>
            </w:pPr>
            <w:r w:rsidRPr="00B0791E">
              <w:rPr>
                <w:rFonts w:eastAsia="Calibri"/>
                <w:sz w:val="20"/>
                <w:szCs w:val="20"/>
              </w:rPr>
              <w:t>Requested Annual Burden Hours</w:t>
            </w:r>
          </w:p>
        </w:tc>
        <w:tc>
          <w:tcPr>
            <w:tcW w:w="1240" w:type="dxa"/>
            <w:tcBorders>
              <w:top w:val="single" w:sz="6" w:space="0" w:color="auto"/>
              <w:left w:val="nil"/>
              <w:bottom w:val="single" w:sz="6" w:space="0" w:color="auto"/>
              <w:right w:val="single" w:sz="6" w:space="0" w:color="auto"/>
            </w:tcBorders>
            <w:shd w:val="clear" w:color="auto" w:fill="F2F2F2"/>
            <w:hideMark/>
          </w:tcPr>
          <w:p w:rsidR="00B0791E" w:rsidRPr="00B0791E" w:rsidP="00B0791E" w14:paraId="3E6B58D9" w14:textId="34429399">
            <w:pPr>
              <w:spacing w:after="200" w:line="276" w:lineRule="auto"/>
              <w:jc w:val="center"/>
              <w:rPr>
                <w:rFonts w:eastAsia="Calibri"/>
                <w:sz w:val="20"/>
                <w:szCs w:val="20"/>
              </w:rPr>
            </w:pPr>
            <w:r w:rsidRPr="00B0791E">
              <w:rPr>
                <w:rFonts w:eastAsia="Calibri"/>
                <w:sz w:val="20"/>
                <w:szCs w:val="20"/>
              </w:rPr>
              <w:t>Difference (Hours)</w:t>
            </w:r>
          </w:p>
          <w:p w:rsidR="00B0791E" w:rsidRPr="00B0791E" w:rsidP="00B0791E" w14:paraId="373C6296" w14:textId="79252427">
            <w:pPr>
              <w:spacing w:after="200" w:line="276" w:lineRule="auto"/>
              <w:jc w:val="center"/>
              <w:rPr>
                <w:rFonts w:eastAsia="Calibri"/>
                <w:sz w:val="20"/>
                <w:szCs w:val="20"/>
              </w:rPr>
            </w:pPr>
            <w:r w:rsidRPr="00B0791E">
              <w:rPr>
                <w:rFonts w:eastAsia="Calibri"/>
                <w:sz w:val="20"/>
                <w:szCs w:val="20"/>
              </w:rPr>
              <w:t>(+/-)</w:t>
            </w:r>
          </w:p>
        </w:tc>
        <w:tc>
          <w:tcPr>
            <w:tcW w:w="2943" w:type="dxa"/>
            <w:tcBorders>
              <w:top w:val="single" w:sz="6" w:space="0" w:color="auto"/>
              <w:left w:val="nil"/>
              <w:bottom w:val="single" w:sz="6" w:space="0" w:color="auto"/>
              <w:right w:val="single" w:sz="6" w:space="0" w:color="auto"/>
            </w:tcBorders>
            <w:shd w:val="clear" w:color="auto" w:fill="F2F2F2"/>
            <w:hideMark/>
          </w:tcPr>
          <w:p w:rsidR="00B0791E" w:rsidRPr="00B0791E" w:rsidP="00B0791E" w14:paraId="229EE198" w14:textId="20E8E8A0">
            <w:pPr>
              <w:spacing w:after="200" w:line="276" w:lineRule="auto"/>
              <w:jc w:val="center"/>
              <w:rPr>
                <w:rFonts w:eastAsia="Calibri"/>
                <w:sz w:val="20"/>
                <w:szCs w:val="20"/>
              </w:rPr>
            </w:pPr>
            <w:r w:rsidRPr="00B0791E">
              <w:rPr>
                <w:rFonts w:eastAsia="Calibri"/>
                <w:sz w:val="20"/>
                <w:szCs w:val="20"/>
              </w:rPr>
              <w:t>Rationale for Change</w:t>
            </w:r>
          </w:p>
          <w:p w:rsidR="00B0791E" w:rsidRPr="00B0791E" w:rsidP="00B0791E" w14:paraId="1A3B1D34" w14:textId="223110BA">
            <w:pPr>
              <w:spacing w:after="200" w:line="276" w:lineRule="auto"/>
              <w:jc w:val="center"/>
              <w:rPr>
                <w:rFonts w:eastAsia="Calibri"/>
                <w:sz w:val="20"/>
                <w:szCs w:val="20"/>
              </w:rPr>
            </w:pPr>
            <w:r w:rsidRPr="00B0791E">
              <w:rPr>
                <w:rFonts w:eastAsia="Calibri"/>
                <w:sz w:val="20"/>
                <w:szCs w:val="20"/>
              </w:rPr>
              <w:t>(Estimate Revision/Programmatic)</w:t>
            </w:r>
          </w:p>
        </w:tc>
      </w:tr>
      <w:tr w14:paraId="0DAC6EDD" w14:textId="77777777" w:rsidTr="00B0791E">
        <w:tblPrEx>
          <w:tblW w:w="9622" w:type="dxa"/>
          <w:tblCellMar>
            <w:left w:w="0" w:type="dxa"/>
            <w:right w:w="0" w:type="dxa"/>
          </w:tblCellMar>
          <w:tblLook w:val="04A0"/>
        </w:tblPrEx>
        <w:trPr>
          <w:trHeight w:val="1393"/>
        </w:trPr>
        <w:tc>
          <w:tcPr>
            <w:tcW w:w="2486" w:type="dxa"/>
            <w:tcBorders>
              <w:top w:val="nil"/>
              <w:left w:val="single" w:sz="6" w:space="0" w:color="auto"/>
              <w:right w:val="single" w:sz="6" w:space="0" w:color="auto"/>
            </w:tcBorders>
            <w:shd w:val="clear" w:color="auto" w:fill="auto"/>
            <w:hideMark/>
          </w:tcPr>
          <w:p w:rsidR="00B0791E" w:rsidP="00B0791E" w14:paraId="35BA0ED9" w14:textId="32518F8E">
            <w:pPr>
              <w:spacing w:after="200" w:line="276" w:lineRule="auto"/>
              <w:rPr>
                <w:rFonts w:eastAsia="Calibri"/>
                <w:sz w:val="20"/>
                <w:szCs w:val="20"/>
              </w:rPr>
            </w:pPr>
            <w:r w:rsidRPr="00B0791E">
              <w:rPr>
                <w:sz w:val="20"/>
                <w:szCs w:val="20"/>
              </w:rPr>
              <w:t>1140.30(a)(2); Notification of other advertising or labeling medium</w:t>
            </w:r>
          </w:p>
          <w:p w:rsidR="00B0791E" w:rsidRPr="00B0791E" w:rsidP="00B0791E" w14:paraId="5C4A105D" w14:textId="42620C43">
            <w:pPr>
              <w:rPr>
                <w:rFonts w:eastAsia="Calibri"/>
                <w:sz w:val="20"/>
                <w:szCs w:val="20"/>
              </w:rPr>
            </w:pPr>
          </w:p>
        </w:tc>
        <w:tc>
          <w:tcPr>
            <w:tcW w:w="1565" w:type="dxa"/>
            <w:tcBorders>
              <w:top w:val="nil"/>
              <w:left w:val="nil"/>
              <w:right w:val="single" w:sz="6" w:space="0" w:color="auto"/>
            </w:tcBorders>
            <w:shd w:val="clear" w:color="auto" w:fill="auto"/>
          </w:tcPr>
          <w:p w:rsidR="00B0791E" w:rsidRPr="00B0791E" w:rsidP="00206061" w14:paraId="2062979A" w14:textId="23A9DBEB">
            <w:pPr>
              <w:jc w:val="center"/>
              <w:rPr>
                <w:rFonts w:eastAsia="Calibri"/>
                <w:sz w:val="20"/>
                <w:szCs w:val="20"/>
              </w:rPr>
            </w:pPr>
            <w:r>
              <w:rPr>
                <w:rFonts w:eastAsia="Calibri"/>
                <w:sz w:val="20"/>
                <w:szCs w:val="20"/>
              </w:rPr>
              <w:t>25</w:t>
            </w:r>
          </w:p>
        </w:tc>
        <w:tc>
          <w:tcPr>
            <w:tcW w:w="1388" w:type="dxa"/>
            <w:tcBorders>
              <w:top w:val="nil"/>
              <w:left w:val="nil"/>
              <w:right w:val="single" w:sz="6" w:space="0" w:color="auto"/>
            </w:tcBorders>
            <w:shd w:val="clear" w:color="auto" w:fill="auto"/>
          </w:tcPr>
          <w:p w:rsidR="00B0791E" w:rsidRPr="00B0791E" w:rsidP="00206061" w14:paraId="015EC44B" w14:textId="5E3E91EB">
            <w:pPr>
              <w:spacing w:after="200" w:line="276" w:lineRule="auto"/>
              <w:jc w:val="center"/>
              <w:rPr>
                <w:rFonts w:eastAsia="Calibri"/>
                <w:sz w:val="20"/>
                <w:szCs w:val="20"/>
              </w:rPr>
            </w:pPr>
            <w:r>
              <w:rPr>
                <w:rFonts w:eastAsia="Calibri"/>
                <w:sz w:val="20"/>
                <w:szCs w:val="20"/>
              </w:rPr>
              <w:t>4</w:t>
            </w:r>
          </w:p>
        </w:tc>
        <w:tc>
          <w:tcPr>
            <w:tcW w:w="1240" w:type="dxa"/>
            <w:tcBorders>
              <w:top w:val="nil"/>
              <w:left w:val="nil"/>
              <w:right w:val="single" w:sz="6" w:space="0" w:color="auto"/>
            </w:tcBorders>
            <w:shd w:val="clear" w:color="auto" w:fill="auto"/>
          </w:tcPr>
          <w:p w:rsidR="00206061" w:rsidRPr="00206061" w:rsidP="00206061" w14:paraId="2B9D2074" w14:textId="5D3FAEDC">
            <w:pPr>
              <w:jc w:val="center"/>
              <w:rPr>
                <w:rFonts w:eastAsia="Calibri"/>
                <w:sz w:val="20"/>
                <w:szCs w:val="20"/>
              </w:rPr>
            </w:pPr>
            <w:r w:rsidRPr="00206061">
              <w:rPr>
                <w:rFonts w:eastAsia="Calibri"/>
                <w:color w:val="0070C0"/>
                <w:sz w:val="20"/>
                <w:szCs w:val="20"/>
              </w:rPr>
              <w:t>- 21</w:t>
            </w:r>
          </w:p>
        </w:tc>
        <w:tc>
          <w:tcPr>
            <w:tcW w:w="2943" w:type="dxa"/>
            <w:tcBorders>
              <w:top w:val="nil"/>
              <w:left w:val="nil"/>
              <w:right w:val="single" w:sz="6" w:space="0" w:color="auto"/>
            </w:tcBorders>
            <w:shd w:val="clear" w:color="auto" w:fill="auto"/>
            <w:hideMark/>
          </w:tcPr>
          <w:p w:rsidR="00B0791E" w:rsidRPr="00B0791E" w:rsidP="00B0791E" w14:paraId="45F2C640" w14:textId="6661455F">
            <w:pPr>
              <w:spacing w:after="200" w:line="276" w:lineRule="auto"/>
              <w:jc w:val="center"/>
              <w:rPr>
                <w:rFonts w:eastAsia="Calibri"/>
                <w:sz w:val="20"/>
                <w:szCs w:val="20"/>
              </w:rPr>
            </w:pPr>
            <w:r w:rsidRPr="00B0791E">
              <w:rPr>
                <w:rFonts w:eastAsia="Calibri"/>
                <w:sz w:val="20"/>
                <w:szCs w:val="20"/>
              </w:rPr>
              <w:t>Estimate Revision</w:t>
            </w:r>
          </w:p>
        </w:tc>
      </w:tr>
    </w:tbl>
    <w:p w:rsidR="00B0791E" w:rsidP="7C1D1A04" w14:paraId="070786AB" w14:textId="77777777">
      <w:pPr>
        <w:spacing w:after="200" w:line="276" w:lineRule="auto"/>
        <w:rPr>
          <w:rFonts w:eastAsia="Calibri"/>
        </w:rPr>
      </w:pPr>
    </w:p>
    <w:p w:rsidR="00357C8A" w:rsidRPr="00357C8A" w:rsidP="006705EA" w14:paraId="5CE4FF0F"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A5223A" w:rsidP="00A5223A" w14:paraId="2B7BBD32" w14:textId="19B770D1">
      <w:pPr>
        <w:pStyle w:val="Default"/>
        <w:spacing w:after="200"/>
      </w:pPr>
      <w:r w:rsidRPr="003009ED">
        <w:t>This information collected will not be published or tabulated</w:t>
      </w:r>
      <w:r>
        <w:t>.</w:t>
      </w:r>
      <w:r w:rsidRPr="004A5323" w:rsidR="00A506DE">
        <w:t xml:space="preserve"> </w:t>
      </w:r>
    </w:p>
    <w:p w:rsidR="00357C8A" w:rsidRPr="00357C8A" w:rsidP="00D37AD6" w14:paraId="4515EF3F"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EE02F0" w:rsidRPr="00EE02F0" w:rsidP="00D37AD6" w14:paraId="363C8D7B" w14:textId="77777777">
      <w:pPr>
        <w:spacing w:after="200" w:line="276" w:lineRule="auto"/>
        <w:rPr>
          <w:rFonts w:eastAsia="Calibri"/>
        </w:rPr>
      </w:pPr>
      <w:r w:rsidRPr="00EE02F0">
        <w:rPr>
          <w:rFonts w:eastAsia="Calibri"/>
        </w:rPr>
        <w:t xml:space="preserve">FDA is not requesting an exemption for display of the OMB expiration date and is also not seeking OMB approval to exclude the expiration date for this information collection.  </w:t>
      </w:r>
    </w:p>
    <w:p w:rsidR="00357C8A" w:rsidRPr="00357C8A" w:rsidP="006705EA" w14:paraId="776B2510"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5AC1B080" w:rsidP="5AC1B080" w14:paraId="2480B7D7" w14:textId="66164F98">
      <w:pPr>
        <w:spacing w:after="200"/>
        <w:rPr>
          <w:rFonts w:eastAsia="Calibri"/>
        </w:rPr>
      </w:pPr>
      <w:r w:rsidRPr="7C1D1A04">
        <w:rPr>
          <w:rFonts w:eastAsia="Calibri"/>
        </w:rPr>
        <w:t>There are no exceptions to the certification.</w:t>
      </w:r>
    </w:p>
    <w:sectPr w:rsidSect="005C71CA">
      <w:footerReference w:type="even" r:id="rId15"/>
      <w:footerReference w:type="default" r:id="rId16"/>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3C1D71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E65B1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424555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40EA37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686F" w14:paraId="2EBAFAE5" w14:textId="77777777"/>
  </w:footnote>
  <w:footnote w:type="continuationSeparator" w:id="1">
    <w:p w:rsidR="00E6686F" w14:paraId="39F0903D" w14:textId="77777777">
      <w:r>
        <w:continuationSeparator/>
      </w:r>
    </w:p>
  </w:footnote>
  <w:footnote w:type="continuationNotice" w:id="2">
    <w:p w:rsidR="00E6686F" w14:paraId="3CA7766A" w14:textId="77777777"/>
  </w:footnote>
  <w:footnote w:id="3">
    <w:p w:rsidR="00F23D73" w14:paraId="7D653272" w14:textId="6894796F">
      <w:pPr>
        <w:pStyle w:val="FootnoteText"/>
      </w:pPr>
      <w:r>
        <w:rPr>
          <w:rStyle w:val="FootnoteReference"/>
        </w:rPr>
        <w:footnoteRef/>
      </w:r>
      <w:r>
        <w:t xml:space="preserve"> </w:t>
      </w:r>
      <w:hyperlink r:id="rId1" w:anchor="privacy" w:history="1">
        <w:r w:rsidRPr="00A9105C" w:rsidR="00FF7297">
          <w:rPr>
            <w:rStyle w:val="Hyperlink"/>
          </w:rPr>
          <w:t>https://www.fda.gov/about-fda/about-website/website-policies#privacy</w:t>
        </w:r>
      </w:hyperlink>
      <w:r w:rsidR="00FF729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236F15"/>
    <w:multiLevelType w:val="hybridMultilevel"/>
    <w:tmpl w:val="64B6237C"/>
    <w:lvl w:ilvl="0">
      <w:start w:val="114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98498794">
    <w:abstractNumId w:val="6"/>
  </w:num>
  <w:num w:numId="2" w16cid:durableId="1669819881">
    <w:abstractNumId w:val="2"/>
  </w:num>
  <w:num w:numId="3" w16cid:durableId="1245653513">
    <w:abstractNumId w:val="7"/>
  </w:num>
  <w:num w:numId="4" w16cid:durableId="1176962596">
    <w:abstractNumId w:val="4"/>
  </w:num>
  <w:num w:numId="5" w16cid:durableId="1171406534">
    <w:abstractNumId w:val="8"/>
  </w:num>
  <w:num w:numId="6" w16cid:durableId="2023126052">
    <w:abstractNumId w:val="1"/>
  </w:num>
  <w:num w:numId="7" w16cid:durableId="1748918965">
    <w:abstractNumId w:val="3"/>
  </w:num>
  <w:num w:numId="8" w16cid:durableId="106967414">
    <w:abstractNumId w:val="5"/>
  </w:num>
  <w:num w:numId="9" w16cid:durableId="139015057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A43"/>
    <w:rsid w:val="0000469E"/>
    <w:rsid w:val="00006A28"/>
    <w:rsid w:val="0000AE4A"/>
    <w:rsid w:val="00010785"/>
    <w:rsid w:val="00011A31"/>
    <w:rsid w:val="000141BB"/>
    <w:rsid w:val="000161E3"/>
    <w:rsid w:val="000273DB"/>
    <w:rsid w:val="000319A5"/>
    <w:rsid w:val="00031A2C"/>
    <w:rsid w:val="000341D9"/>
    <w:rsid w:val="0003470E"/>
    <w:rsid w:val="00035655"/>
    <w:rsid w:val="000368AF"/>
    <w:rsid w:val="00042B93"/>
    <w:rsid w:val="00043C7F"/>
    <w:rsid w:val="000467A8"/>
    <w:rsid w:val="00046E28"/>
    <w:rsid w:val="00047994"/>
    <w:rsid w:val="0006570F"/>
    <w:rsid w:val="000670E2"/>
    <w:rsid w:val="00075DE8"/>
    <w:rsid w:val="0008680E"/>
    <w:rsid w:val="00087439"/>
    <w:rsid w:val="00090A57"/>
    <w:rsid w:val="00095EF3"/>
    <w:rsid w:val="000A2C31"/>
    <w:rsid w:val="000A39EA"/>
    <w:rsid w:val="000C1260"/>
    <w:rsid w:val="000C560C"/>
    <w:rsid w:val="000D080B"/>
    <w:rsid w:val="000D48FD"/>
    <w:rsid w:val="000D79CC"/>
    <w:rsid w:val="000D7BD8"/>
    <w:rsid w:val="000E1C64"/>
    <w:rsid w:val="000E5E97"/>
    <w:rsid w:val="000E699D"/>
    <w:rsid w:val="000F2424"/>
    <w:rsid w:val="000F7119"/>
    <w:rsid w:val="00100739"/>
    <w:rsid w:val="0010493E"/>
    <w:rsid w:val="00105A43"/>
    <w:rsid w:val="001075D3"/>
    <w:rsid w:val="00107885"/>
    <w:rsid w:val="001132F4"/>
    <w:rsid w:val="00114FC4"/>
    <w:rsid w:val="001177E5"/>
    <w:rsid w:val="001221B3"/>
    <w:rsid w:val="0012329C"/>
    <w:rsid w:val="00134FA7"/>
    <w:rsid w:val="00137950"/>
    <w:rsid w:val="00140762"/>
    <w:rsid w:val="00144749"/>
    <w:rsid w:val="00150D1E"/>
    <w:rsid w:val="00150E81"/>
    <w:rsid w:val="00152335"/>
    <w:rsid w:val="00152F29"/>
    <w:rsid w:val="001561FE"/>
    <w:rsid w:val="00157B8A"/>
    <w:rsid w:val="001617A5"/>
    <w:rsid w:val="00166FCD"/>
    <w:rsid w:val="00174910"/>
    <w:rsid w:val="00174D54"/>
    <w:rsid w:val="00175564"/>
    <w:rsid w:val="0017702C"/>
    <w:rsid w:val="001778AD"/>
    <w:rsid w:val="00185270"/>
    <w:rsid w:val="00191E20"/>
    <w:rsid w:val="001A352E"/>
    <w:rsid w:val="001A3B5A"/>
    <w:rsid w:val="001A458C"/>
    <w:rsid w:val="001A6CAD"/>
    <w:rsid w:val="001B7CE9"/>
    <w:rsid w:val="001C120F"/>
    <w:rsid w:val="001D3E8F"/>
    <w:rsid w:val="001D495A"/>
    <w:rsid w:val="001D50A0"/>
    <w:rsid w:val="001D6D6E"/>
    <w:rsid w:val="001E244C"/>
    <w:rsid w:val="001F00F3"/>
    <w:rsid w:val="001F1437"/>
    <w:rsid w:val="001F59A6"/>
    <w:rsid w:val="00204B36"/>
    <w:rsid w:val="00206061"/>
    <w:rsid w:val="00206799"/>
    <w:rsid w:val="002074FE"/>
    <w:rsid w:val="00223A63"/>
    <w:rsid w:val="0022425B"/>
    <w:rsid w:val="002259EF"/>
    <w:rsid w:val="00237E4B"/>
    <w:rsid w:val="00242ED1"/>
    <w:rsid w:val="002444BB"/>
    <w:rsid w:val="00254069"/>
    <w:rsid w:val="0025784D"/>
    <w:rsid w:val="00262FB4"/>
    <w:rsid w:val="00263029"/>
    <w:rsid w:val="00266EFD"/>
    <w:rsid w:val="00270748"/>
    <w:rsid w:val="002734E5"/>
    <w:rsid w:val="002746DB"/>
    <w:rsid w:val="00276CD0"/>
    <w:rsid w:val="0028005D"/>
    <w:rsid w:val="00280C44"/>
    <w:rsid w:val="00280CAF"/>
    <w:rsid w:val="00281ECF"/>
    <w:rsid w:val="00282F09"/>
    <w:rsid w:val="0028663C"/>
    <w:rsid w:val="00286943"/>
    <w:rsid w:val="00291810"/>
    <w:rsid w:val="0029322A"/>
    <w:rsid w:val="00294D62"/>
    <w:rsid w:val="00297532"/>
    <w:rsid w:val="002977A2"/>
    <w:rsid w:val="00297FFD"/>
    <w:rsid w:val="002A1210"/>
    <w:rsid w:val="002A47D2"/>
    <w:rsid w:val="002A76E6"/>
    <w:rsid w:val="002A7FB5"/>
    <w:rsid w:val="002B111D"/>
    <w:rsid w:val="002B1F37"/>
    <w:rsid w:val="002B2074"/>
    <w:rsid w:val="002B5AA8"/>
    <w:rsid w:val="002C04B6"/>
    <w:rsid w:val="002C5214"/>
    <w:rsid w:val="002C5527"/>
    <w:rsid w:val="002C5636"/>
    <w:rsid w:val="002C62A6"/>
    <w:rsid w:val="002D14D8"/>
    <w:rsid w:val="002D4799"/>
    <w:rsid w:val="002D7201"/>
    <w:rsid w:val="002E03E2"/>
    <w:rsid w:val="002E15B1"/>
    <w:rsid w:val="002E3D3F"/>
    <w:rsid w:val="002E3FA4"/>
    <w:rsid w:val="002E53A5"/>
    <w:rsid w:val="002E5620"/>
    <w:rsid w:val="002E64B8"/>
    <w:rsid w:val="002E6834"/>
    <w:rsid w:val="002F2CB4"/>
    <w:rsid w:val="003009ED"/>
    <w:rsid w:val="00300E75"/>
    <w:rsid w:val="0030375C"/>
    <w:rsid w:val="00306E50"/>
    <w:rsid w:val="003076F0"/>
    <w:rsid w:val="003101E8"/>
    <w:rsid w:val="003113FF"/>
    <w:rsid w:val="00312622"/>
    <w:rsid w:val="003158A9"/>
    <w:rsid w:val="0032277F"/>
    <w:rsid w:val="003268D2"/>
    <w:rsid w:val="00333008"/>
    <w:rsid w:val="00336B69"/>
    <w:rsid w:val="00340DAD"/>
    <w:rsid w:val="0034302B"/>
    <w:rsid w:val="00345777"/>
    <w:rsid w:val="00346555"/>
    <w:rsid w:val="00350523"/>
    <w:rsid w:val="0035189D"/>
    <w:rsid w:val="00355B62"/>
    <w:rsid w:val="00357C8A"/>
    <w:rsid w:val="003601D1"/>
    <w:rsid w:val="0036126B"/>
    <w:rsid w:val="00370063"/>
    <w:rsid w:val="003705A3"/>
    <w:rsid w:val="003740BC"/>
    <w:rsid w:val="0037456B"/>
    <w:rsid w:val="00376355"/>
    <w:rsid w:val="0037730B"/>
    <w:rsid w:val="003801A3"/>
    <w:rsid w:val="00383D90"/>
    <w:rsid w:val="003870AE"/>
    <w:rsid w:val="00390141"/>
    <w:rsid w:val="003A1A27"/>
    <w:rsid w:val="003A50CC"/>
    <w:rsid w:val="003A6077"/>
    <w:rsid w:val="003B1D69"/>
    <w:rsid w:val="003B3281"/>
    <w:rsid w:val="003B42B3"/>
    <w:rsid w:val="003B6384"/>
    <w:rsid w:val="003C0FE2"/>
    <w:rsid w:val="003C4EBB"/>
    <w:rsid w:val="003D1531"/>
    <w:rsid w:val="003D5774"/>
    <w:rsid w:val="003E4833"/>
    <w:rsid w:val="003E4EC6"/>
    <w:rsid w:val="003E527E"/>
    <w:rsid w:val="003E553E"/>
    <w:rsid w:val="003E6E95"/>
    <w:rsid w:val="003E7078"/>
    <w:rsid w:val="003F3DF5"/>
    <w:rsid w:val="003F73B8"/>
    <w:rsid w:val="0040246B"/>
    <w:rsid w:val="0040297E"/>
    <w:rsid w:val="0040714D"/>
    <w:rsid w:val="00410FE6"/>
    <w:rsid w:val="00411D11"/>
    <w:rsid w:val="00412CAA"/>
    <w:rsid w:val="00414494"/>
    <w:rsid w:val="00415E23"/>
    <w:rsid w:val="0041670D"/>
    <w:rsid w:val="00422CD9"/>
    <w:rsid w:val="00423272"/>
    <w:rsid w:val="00424061"/>
    <w:rsid w:val="00424E07"/>
    <w:rsid w:val="004277AA"/>
    <w:rsid w:val="00435256"/>
    <w:rsid w:val="00442695"/>
    <w:rsid w:val="00442A3C"/>
    <w:rsid w:val="00443969"/>
    <w:rsid w:val="00447D74"/>
    <w:rsid w:val="00450A74"/>
    <w:rsid w:val="004546BF"/>
    <w:rsid w:val="004566A8"/>
    <w:rsid w:val="00465350"/>
    <w:rsid w:val="00475870"/>
    <w:rsid w:val="00476B91"/>
    <w:rsid w:val="004846BF"/>
    <w:rsid w:val="004933B8"/>
    <w:rsid w:val="00494912"/>
    <w:rsid w:val="00496935"/>
    <w:rsid w:val="00496CEE"/>
    <w:rsid w:val="004A5323"/>
    <w:rsid w:val="004A5A99"/>
    <w:rsid w:val="004A65F0"/>
    <w:rsid w:val="004B0CE1"/>
    <w:rsid w:val="004B1D71"/>
    <w:rsid w:val="004B5980"/>
    <w:rsid w:val="004C0F2F"/>
    <w:rsid w:val="004C6979"/>
    <w:rsid w:val="004D13A2"/>
    <w:rsid w:val="004D3E7A"/>
    <w:rsid w:val="004E3C2F"/>
    <w:rsid w:val="004F0ECF"/>
    <w:rsid w:val="004F42C1"/>
    <w:rsid w:val="004F594B"/>
    <w:rsid w:val="004F61E1"/>
    <w:rsid w:val="004F77C7"/>
    <w:rsid w:val="00506C7F"/>
    <w:rsid w:val="00510DBA"/>
    <w:rsid w:val="0053380B"/>
    <w:rsid w:val="005369E9"/>
    <w:rsid w:val="00543194"/>
    <w:rsid w:val="00544138"/>
    <w:rsid w:val="0054422B"/>
    <w:rsid w:val="00553A96"/>
    <w:rsid w:val="00554E34"/>
    <w:rsid w:val="0055595F"/>
    <w:rsid w:val="0055666D"/>
    <w:rsid w:val="005614AE"/>
    <w:rsid w:val="005614F4"/>
    <w:rsid w:val="005621A9"/>
    <w:rsid w:val="005635D1"/>
    <w:rsid w:val="00581FBC"/>
    <w:rsid w:val="0058294E"/>
    <w:rsid w:val="00584583"/>
    <w:rsid w:val="00590E90"/>
    <w:rsid w:val="00590EEB"/>
    <w:rsid w:val="005A04D6"/>
    <w:rsid w:val="005A4099"/>
    <w:rsid w:val="005A74DC"/>
    <w:rsid w:val="005B0F1C"/>
    <w:rsid w:val="005B2275"/>
    <w:rsid w:val="005C38B2"/>
    <w:rsid w:val="005C44CC"/>
    <w:rsid w:val="005C5029"/>
    <w:rsid w:val="005C55C2"/>
    <w:rsid w:val="005C71CA"/>
    <w:rsid w:val="005C745C"/>
    <w:rsid w:val="005D0DC3"/>
    <w:rsid w:val="005D4DF5"/>
    <w:rsid w:val="005D6306"/>
    <w:rsid w:val="005E0EC2"/>
    <w:rsid w:val="005E42BA"/>
    <w:rsid w:val="005F2E8B"/>
    <w:rsid w:val="00602066"/>
    <w:rsid w:val="006042D9"/>
    <w:rsid w:val="00611D6B"/>
    <w:rsid w:val="00617AA4"/>
    <w:rsid w:val="006239EA"/>
    <w:rsid w:val="00625CFD"/>
    <w:rsid w:val="0063049E"/>
    <w:rsid w:val="006326EC"/>
    <w:rsid w:val="006343D1"/>
    <w:rsid w:val="0063555F"/>
    <w:rsid w:val="0064397B"/>
    <w:rsid w:val="00650C9E"/>
    <w:rsid w:val="00652FC7"/>
    <w:rsid w:val="00663A42"/>
    <w:rsid w:val="006641C7"/>
    <w:rsid w:val="00664892"/>
    <w:rsid w:val="006705EA"/>
    <w:rsid w:val="00670BE2"/>
    <w:rsid w:val="00671759"/>
    <w:rsid w:val="0067633F"/>
    <w:rsid w:val="006916D9"/>
    <w:rsid w:val="006A0E05"/>
    <w:rsid w:val="006A15F8"/>
    <w:rsid w:val="006A26C6"/>
    <w:rsid w:val="006A465A"/>
    <w:rsid w:val="006A7D5D"/>
    <w:rsid w:val="006C2330"/>
    <w:rsid w:val="006C72EA"/>
    <w:rsid w:val="006D0C12"/>
    <w:rsid w:val="006D5D57"/>
    <w:rsid w:val="006E16D5"/>
    <w:rsid w:val="006E2538"/>
    <w:rsid w:val="006E302F"/>
    <w:rsid w:val="006F085B"/>
    <w:rsid w:val="006F1F2C"/>
    <w:rsid w:val="006F4D6D"/>
    <w:rsid w:val="006F5DCB"/>
    <w:rsid w:val="00705086"/>
    <w:rsid w:val="00706FC1"/>
    <w:rsid w:val="00722001"/>
    <w:rsid w:val="00727CDF"/>
    <w:rsid w:val="00734DE1"/>
    <w:rsid w:val="00744525"/>
    <w:rsid w:val="00751E66"/>
    <w:rsid w:val="00754497"/>
    <w:rsid w:val="0075573A"/>
    <w:rsid w:val="00762170"/>
    <w:rsid w:val="0076639E"/>
    <w:rsid w:val="007719C7"/>
    <w:rsid w:val="00773081"/>
    <w:rsid w:val="00773201"/>
    <w:rsid w:val="007771B9"/>
    <w:rsid w:val="00787C39"/>
    <w:rsid w:val="007910F1"/>
    <w:rsid w:val="00792947"/>
    <w:rsid w:val="00795DF3"/>
    <w:rsid w:val="007A1969"/>
    <w:rsid w:val="007A373C"/>
    <w:rsid w:val="007A720B"/>
    <w:rsid w:val="007B225C"/>
    <w:rsid w:val="007B6178"/>
    <w:rsid w:val="007C4246"/>
    <w:rsid w:val="007C613E"/>
    <w:rsid w:val="007C75B1"/>
    <w:rsid w:val="007D070B"/>
    <w:rsid w:val="007D3D3B"/>
    <w:rsid w:val="007D3DFC"/>
    <w:rsid w:val="007E0D8C"/>
    <w:rsid w:val="007E2F07"/>
    <w:rsid w:val="007E59A8"/>
    <w:rsid w:val="007F402A"/>
    <w:rsid w:val="007F4563"/>
    <w:rsid w:val="007F4B72"/>
    <w:rsid w:val="007F716D"/>
    <w:rsid w:val="00806C8C"/>
    <w:rsid w:val="0080776D"/>
    <w:rsid w:val="00810145"/>
    <w:rsid w:val="00810248"/>
    <w:rsid w:val="008108FA"/>
    <w:rsid w:val="00810E4D"/>
    <w:rsid w:val="00810FF1"/>
    <w:rsid w:val="00811C01"/>
    <w:rsid w:val="00822336"/>
    <w:rsid w:val="00823DFA"/>
    <w:rsid w:val="00824DE0"/>
    <w:rsid w:val="00835E82"/>
    <w:rsid w:val="00840129"/>
    <w:rsid w:val="00840E07"/>
    <w:rsid w:val="00841A8D"/>
    <w:rsid w:val="0084244F"/>
    <w:rsid w:val="00842DB7"/>
    <w:rsid w:val="00843752"/>
    <w:rsid w:val="0084479F"/>
    <w:rsid w:val="00846296"/>
    <w:rsid w:val="0085725E"/>
    <w:rsid w:val="0086328A"/>
    <w:rsid w:val="00866B21"/>
    <w:rsid w:val="00873D4F"/>
    <w:rsid w:val="0087509F"/>
    <w:rsid w:val="008755C0"/>
    <w:rsid w:val="00877B5B"/>
    <w:rsid w:val="00885B09"/>
    <w:rsid w:val="00892400"/>
    <w:rsid w:val="008A209D"/>
    <w:rsid w:val="008A22BB"/>
    <w:rsid w:val="008A4B3B"/>
    <w:rsid w:val="008A4E99"/>
    <w:rsid w:val="008B035D"/>
    <w:rsid w:val="008B0E29"/>
    <w:rsid w:val="008B0EFA"/>
    <w:rsid w:val="008B2FB6"/>
    <w:rsid w:val="008B30AB"/>
    <w:rsid w:val="008B31D8"/>
    <w:rsid w:val="008C3BB8"/>
    <w:rsid w:val="008C4B65"/>
    <w:rsid w:val="008D0AD1"/>
    <w:rsid w:val="008D3FD4"/>
    <w:rsid w:val="008E2752"/>
    <w:rsid w:val="008E5F55"/>
    <w:rsid w:val="008F6FE6"/>
    <w:rsid w:val="008F7120"/>
    <w:rsid w:val="009002F8"/>
    <w:rsid w:val="009009E7"/>
    <w:rsid w:val="00905DEF"/>
    <w:rsid w:val="00906056"/>
    <w:rsid w:val="009122AE"/>
    <w:rsid w:val="00913B43"/>
    <w:rsid w:val="00916384"/>
    <w:rsid w:val="00925CE1"/>
    <w:rsid w:val="00926CCA"/>
    <w:rsid w:val="00930203"/>
    <w:rsid w:val="009311D2"/>
    <w:rsid w:val="009311E6"/>
    <w:rsid w:val="00931275"/>
    <w:rsid w:val="0093270E"/>
    <w:rsid w:val="00936AC7"/>
    <w:rsid w:val="00947761"/>
    <w:rsid w:val="00951B1D"/>
    <w:rsid w:val="00953ADA"/>
    <w:rsid w:val="00953B64"/>
    <w:rsid w:val="00954407"/>
    <w:rsid w:val="009646A7"/>
    <w:rsid w:val="009709E0"/>
    <w:rsid w:val="00970A88"/>
    <w:rsid w:val="00970CFF"/>
    <w:rsid w:val="009818A1"/>
    <w:rsid w:val="0099188E"/>
    <w:rsid w:val="00997BCA"/>
    <w:rsid w:val="009A0D77"/>
    <w:rsid w:val="009A1674"/>
    <w:rsid w:val="009A17E6"/>
    <w:rsid w:val="009A32E6"/>
    <w:rsid w:val="009A4711"/>
    <w:rsid w:val="009A5830"/>
    <w:rsid w:val="009B36CE"/>
    <w:rsid w:val="009B38BE"/>
    <w:rsid w:val="009B489D"/>
    <w:rsid w:val="009B4DF2"/>
    <w:rsid w:val="009C5A0B"/>
    <w:rsid w:val="009C684F"/>
    <w:rsid w:val="009D074C"/>
    <w:rsid w:val="009D18FF"/>
    <w:rsid w:val="009D3AED"/>
    <w:rsid w:val="009D6E73"/>
    <w:rsid w:val="009D7E5D"/>
    <w:rsid w:val="009F1F1D"/>
    <w:rsid w:val="009F2B4F"/>
    <w:rsid w:val="009F3C63"/>
    <w:rsid w:val="009F66B5"/>
    <w:rsid w:val="00A0223D"/>
    <w:rsid w:val="00A02F10"/>
    <w:rsid w:val="00A101D2"/>
    <w:rsid w:val="00A1060C"/>
    <w:rsid w:val="00A152A5"/>
    <w:rsid w:val="00A16221"/>
    <w:rsid w:val="00A20A7D"/>
    <w:rsid w:val="00A311FE"/>
    <w:rsid w:val="00A326A8"/>
    <w:rsid w:val="00A35D42"/>
    <w:rsid w:val="00A46CCF"/>
    <w:rsid w:val="00A471BB"/>
    <w:rsid w:val="00A506DE"/>
    <w:rsid w:val="00A50ECD"/>
    <w:rsid w:val="00A5223A"/>
    <w:rsid w:val="00A52D26"/>
    <w:rsid w:val="00A53451"/>
    <w:rsid w:val="00A70426"/>
    <w:rsid w:val="00A707CC"/>
    <w:rsid w:val="00A71410"/>
    <w:rsid w:val="00A71D0B"/>
    <w:rsid w:val="00A72353"/>
    <w:rsid w:val="00A777E8"/>
    <w:rsid w:val="00A90F7C"/>
    <w:rsid w:val="00A9105C"/>
    <w:rsid w:val="00A91E9A"/>
    <w:rsid w:val="00A93ED9"/>
    <w:rsid w:val="00A96221"/>
    <w:rsid w:val="00AA0E81"/>
    <w:rsid w:val="00AC006C"/>
    <w:rsid w:val="00AC2312"/>
    <w:rsid w:val="00AC2DBB"/>
    <w:rsid w:val="00AC6A99"/>
    <w:rsid w:val="00AD1C9A"/>
    <w:rsid w:val="00AD5912"/>
    <w:rsid w:val="00AD6048"/>
    <w:rsid w:val="00AD6C4E"/>
    <w:rsid w:val="00AE207D"/>
    <w:rsid w:val="00AF0A45"/>
    <w:rsid w:val="00AF124A"/>
    <w:rsid w:val="00AF17E9"/>
    <w:rsid w:val="00AF4CCC"/>
    <w:rsid w:val="00B00254"/>
    <w:rsid w:val="00B055EF"/>
    <w:rsid w:val="00B06B5B"/>
    <w:rsid w:val="00B0791E"/>
    <w:rsid w:val="00B13F86"/>
    <w:rsid w:val="00B17C86"/>
    <w:rsid w:val="00B23769"/>
    <w:rsid w:val="00B31ED1"/>
    <w:rsid w:val="00B336E7"/>
    <w:rsid w:val="00B41789"/>
    <w:rsid w:val="00B45FDC"/>
    <w:rsid w:val="00B474DE"/>
    <w:rsid w:val="00B478D3"/>
    <w:rsid w:val="00B532F2"/>
    <w:rsid w:val="00B6180A"/>
    <w:rsid w:val="00B81808"/>
    <w:rsid w:val="00B83547"/>
    <w:rsid w:val="00B86DFA"/>
    <w:rsid w:val="00B91CAC"/>
    <w:rsid w:val="00B936D0"/>
    <w:rsid w:val="00B94DC1"/>
    <w:rsid w:val="00BA17C8"/>
    <w:rsid w:val="00BA2CD1"/>
    <w:rsid w:val="00BB0AB2"/>
    <w:rsid w:val="00BB15FB"/>
    <w:rsid w:val="00BC1E1D"/>
    <w:rsid w:val="00BD2A22"/>
    <w:rsid w:val="00BD34B8"/>
    <w:rsid w:val="00BD397A"/>
    <w:rsid w:val="00BD3D5B"/>
    <w:rsid w:val="00BDB347"/>
    <w:rsid w:val="00BE0F4D"/>
    <w:rsid w:val="00BE0F92"/>
    <w:rsid w:val="00BE17D7"/>
    <w:rsid w:val="00BE3600"/>
    <w:rsid w:val="00BE553F"/>
    <w:rsid w:val="00BE57DF"/>
    <w:rsid w:val="00BF0322"/>
    <w:rsid w:val="00BF2301"/>
    <w:rsid w:val="00BF3058"/>
    <w:rsid w:val="00BF3822"/>
    <w:rsid w:val="00C00486"/>
    <w:rsid w:val="00C01F6F"/>
    <w:rsid w:val="00C041EA"/>
    <w:rsid w:val="00C13B41"/>
    <w:rsid w:val="00C13BBD"/>
    <w:rsid w:val="00C149AB"/>
    <w:rsid w:val="00C15E28"/>
    <w:rsid w:val="00C167BE"/>
    <w:rsid w:val="00C16929"/>
    <w:rsid w:val="00C20690"/>
    <w:rsid w:val="00C348CC"/>
    <w:rsid w:val="00C36020"/>
    <w:rsid w:val="00C36E96"/>
    <w:rsid w:val="00C40694"/>
    <w:rsid w:val="00C40966"/>
    <w:rsid w:val="00C40A0D"/>
    <w:rsid w:val="00C479BF"/>
    <w:rsid w:val="00C5124B"/>
    <w:rsid w:val="00C55A72"/>
    <w:rsid w:val="00C57224"/>
    <w:rsid w:val="00C61CBB"/>
    <w:rsid w:val="00C61D0A"/>
    <w:rsid w:val="00C70542"/>
    <w:rsid w:val="00C71649"/>
    <w:rsid w:val="00C72017"/>
    <w:rsid w:val="00C75CBF"/>
    <w:rsid w:val="00CA680E"/>
    <w:rsid w:val="00CB2700"/>
    <w:rsid w:val="00CB46A9"/>
    <w:rsid w:val="00CB5651"/>
    <w:rsid w:val="00CC2894"/>
    <w:rsid w:val="00CD4431"/>
    <w:rsid w:val="00CD5681"/>
    <w:rsid w:val="00CD77C3"/>
    <w:rsid w:val="00CE05BB"/>
    <w:rsid w:val="00CE112C"/>
    <w:rsid w:val="00CE18FC"/>
    <w:rsid w:val="00CF55D4"/>
    <w:rsid w:val="00CF709F"/>
    <w:rsid w:val="00D00130"/>
    <w:rsid w:val="00D00387"/>
    <w:rsid w:val="00D0040B"/>
    <w:rsid w:val="00D0049A"/>
    <w:rsid w:val="00D0402C"/>
    <w:rsid w:val="00D04D7E"/>
    <w:rsid w:val="00D06DB7"/>
    <w:rsid w:val="00D1320E"/>
    <w:rsid w:val="00D14620"/>
    <w:rsid w:val="00D21D0B"/>
    <w:rsid w:val="00D2723E"/>
    <w:rsid w:val="00D31C25"/>
    <w:rsid w:val="00D35F5D"/>
    <w:rsid w:val="00D37AD6"/>
    <w:rsid w:val="00D421BD"/>
    <w:rsid w:val="00D42ADA"/>
    <w:rsid w:val="00D438C1"/>
    <w:rsid w:val="00D44632"/>
    <w:rsid w:val="00D54203"/>
    <w:rsid w:val="00D562FD"/>
    <w:rsid w:val="00D608DA"/>
    <w:rsid w:val="00D64A2D"/>
    <w:rsid w:val="00D6510A"/>
    <w:rsid w:val="00D65257"/>
    <w:rsid w:val="00D72131"/>
    <w:rsid w:val="00D730BF"/>
    <w:rsid w:val="00D852F4"/>
    <w:rsid w:val="00D94E9A"/>
    <w:rsid w:val="00D9755B"/>
    <w:rsid w:val="00DA46BD"/>
    <w:rsid w:val="00DB0A4C"/>
    <w:rsid w:val="00DB1110"/>
    <w:rsid w:val="00DB3730"/>
    <w:rsid w:val="00DC0AC9"/>
    <w:rsid w:val="00DC3357"/>
    <w:rsid w:val="00DC371B"/>
    <w:rsid w:val="00DC3788"/>
    <w:rsid w:val="00DC76C7"/>
    <w:rsid w:val="00DD09F5"/>
    <w:rsid w:val="00DD0E02"/>
    <w:rsid w:val="00DD4201"/>
    <w:rsid w:val="00DD5E9F"/>
    <w:rsid w:val="00DE5711"/>
    <w:rsid w:val="00DF0513"/>
    <w:rsid w:val="00DF782E"/>
    <w:rsid w:val="00E00EA0"/>
    <w:rsid w:val="00E021CB"/>
    <w:rsid w:val="00E05CBA"/>
    <w:rsid w:val="00E138F1"/>
    <w:rsid w:val="00E1444A"/>
    <w:rsid w:val="00E16CA2"/>
    <w:rsid w:val="00E20B51"/>
    <w:rsid w:val="00E21C5E"/>
    <w:rsid w:val="00E2309D"/>
    <w:rsid w:val="00E26552"/>
    <w:rsid w:val="00E26758"/>
    <w:rsid w:val="00E4357B"/>
    <w:rsid w:val="00E443A7"/>
    <w:rsid w:val="00E45904"/>
    <w:rsid w:val="00E46D4F"/>
    <w:rsid w:val="00E4D5EA"/>
    <w:rsid w:val="00E53176"/>
    <w:rsid w:val="00E63DE5"/>
    <w:rsid w:val="00E647AF"/>
    <w:rsid w:val="00E647C7"/>
    <w:rsid w:val="00E65A37"/>
    <w:rsid w:val="00E65EF7"/>
    <w:rsid w:val="00E6686F"/>
    <w:rsid w:val="00E66993"/>
    <w:rsid w:val="00E76A06"/>
    <w:rsid w:val="00E77B48"/>
    <w:rsid w:val="00E827AE"/>
    <w:rsid w:val="00E83148"/>
    <w:rsid w:val="00E83F98"/>
    <w:rsid w:val="00E857FB"/>
    <w:rsid w:val="00E91799"/>
    <w:rsid w:val="00E958EB"/>
    <w:rsid w:val="00E97DF8"/>
    <w:rsid w:val="00EA21FE"/>
    <w:rsid w:val="00EA34E3"/>
    <w:rsid w:val="00EA41B7"/>
    <w:rsid w:val="00EB4F66"/>
    <w:rsid w:val="00EB7538"/>
    <w:rsid w:val="00EC1868"/>
    <w:rsid w:val="00EE02F0"/>
    <w:rsid w:val="00EE46F0"/>
    <w:rsid w:val="00EE5D9E"/>
    <w:rsid w:val="00EE6468"/>
    <w:rsid w:val="00EF4AC7"/>
    <w:rsid w:val="00EF4C4D"/>
    <w:rsid w:val="00EF6289"/>
    <w:rsid w:val="00EF6D68"/>
    <w:rsid w:val="00F041D4"/>
    <w:rsid w:val="00F054A5"/>
    <w:rsid w:val="00F1299B"/>
    <w:rsid w:val="00F207A4"/>
    <w:rsid w:val="00F21ED8"/>
    <w:rsid w:val="00F23D73"/>
    <w:rsid w:val="00F242A7"/>
    <w:rsid w:val="00F25173"/>
    <w:rsid w:val="00F355AC"/>
    <w:rsid w:val="00F40CF7"/>
    <w:rsid w:val="00F40FC6"/>
    <w:rsid w:val="00F44194"/>
    <w:rsid w:val="00F46938"/>
    <w:rsid w:val="00F5474F"/>
    <w:rsid w:val="00F63907"/>
    <w:rsid w:val="00F71A5A"/>
    <w:rsid w:val="00F729C0"/>
    <w:rsid w:val="00F73A1A"/>
    <w:rsid w:val="00F769E0"/>
    <w:rsid w:val="00F94112"/>
    <w:rsid w:val="00F974D7"/>
    <w:rsid w:val="00FA44AB"/>
    <w:rsid w:val="00FA4815"/>
    <w:rsid w:val="00FA4A46"/>
    <w:rsid w:val="00FA75FE"/>
    <w:rsid w:val="00FB1032"/>
    <w:rsid w:val="00FB39BC"/>
    <w:rsid w:val="00FB6A53"/>
    <w:rsid w:val="00FB704A"/>
    <w:rsid w:val="00FC11CA"/>
    <w:rsid w:val="00FC1805"/>
    <w:rsid w:val="00FC6BDE"/>
    <w:rsid w:val="00FC75F4"/>
    <w:rsid w:val="00FD1E05"/>
    <w:rsid w:val="00FD55CB"/>
    <w:rsid w:val="00FF0A6E"/>
    <w:rsid w:val="00FF6138"/>
    <w:rsid w:val="00FF7297"/>
    <w:rsid w:val="01D66726"/>
    <w:rsid w:val="0206DAB7"/>
    <w:rsid w:val="02FFC718"/>
    <w:rsid w:val="03D861E6"/>
    <w:rsid w:val="05BAED74"/>
    <w:rsid w:val="05CA1FFA"/>
    <w:rsid w:val="05ED0262"/>
    <w:rsid w:val="0635BC3F"/>
    <w:rsid w:val="06B22AA8"/>
    <w:rsid w:val="0770E54D"/>
    <w:rsid w:val="07907D0B"/>
    <w:rsid w:val="080C4EF3"/>
    <w:rsid w:val="084F00E8"/>
    <w:rsid w:val="08BC9C8F"/>
    <w:rsid w:val="08F7AF7D"/>
    <w:rsid w:val="0909A6C8"/>
    <w:rsid w:val="096410E5"/>
    <w:rsid w:val="096CCA6F"/>
    <w:rsid w:val="0C440228"/>
    <w:rsid w:val="0DC59E57"/>
    <w:rsid w:val="0DC81443"/>
    <w:rsid w:val="0E015157"/>
    <w:rsid w:val="0E2F533D"/>
    <w:rsid w:val="0FE21244"/>
    <w:rsid w:val="0FF7E4A1"/>
    <w:rsid w:val="100FB9C2"/>
    <w:rsid w:val="101F971B"/>
    <w:rsid w:val="103BB797"/>
    <w:rsid w:val="10A17116"/>
    <w:rsid w:val="112C4600"/>
    <w:rsid w:val="11367655"/>
    <w:rsid w:val="121429BF"/>
    <w:rsid w:val="126A6021"/>
    <w:rsid w:val="128EACCE"/>
    <w:rsid w:val="130790A6"/>
    <w:rsid w:val="13FA03C2"/>
    <w:rsid w:val="1433A3F2"/>
    <w:rsid w:val="143BE983"/>
    <w:rsid w:val="160A544F"/>
    <w:rsid w:val="166BB14E"/>
    <w:rsid w:val="1968F33C"/>
    <w:rsid w:val="1974A2E2"/>
    <w:rsid w:val="19B20129"/>
    <w:rsid w:val="1A2EDB2E"/>
    <w:rsid w:val="1B62209B"/>
    <w:rsid w:val="1E6A6C9C"/>
    <w:rsid w:val="1E9FA657"/>
    <w:rsid w:val="1F1C0BDD"/>
    <w:rsid w:val="1F240C6F"/>
    <w:rsid w:val="2006CE91"/>
    <w:rsid w:val="20BD8E0D"/>
    <w:rsid w:val="21591FA1"/>
    <w:rsid w:val="21EFE91B"/>
    <w:rsid w:val="230BCC8F"/>
    <w:rsid w:val="23879500"/>
    <w:rsid w:val="23A3F3EB"/>
    <w:rsid w:val="23B21861"/>
    <w:rsid w:val="24094D55"/>
    <w:rsid w:val="246E236A"/>
    <w:rsid w:val="25302E56"/>
    <w:rsid w:val="25BBF087"/>
    <w:rsid w:val="26ED846B"/>
    <w:rsid w:val="27A2575E"/>
    <w:rsid w:val="27B49DB3"/>
    <w:rsid w:val="27CD0C3B"/>
    <w:rsid w:val="27DDA530"/>
    <w:rsid w:val="2B201B9B"/>
    <w:rsid w:val="2B9716E6"/>
    <w:rsid w:val="2BC875F8"/>
    <w:rsid w:val="2C357750"/>
    <w:rsid w:val="2C89F29F"/>
    <w:rsid w:val="2E726781"/>
    <w:rsid w:val="310C5482"/>
    <w:rsid w:val="3192FF38"/>
    <w:rsid w:val="324C5D50"/>
    <w:rsid w:val="32604D3D"/>
    <w:rsid w:val="3294AC0B"/>
    <w:rsid w:val="32C48603"/>
    <w:rsid w:val="32EE9806"/>
    <w:rsid w:val="33B5F0BC"/>
    <w:rsid w:val="34B12250"/>
    <w:rsid w:val="351B491D"/>
    <w:rsid w:val="36623FF6"/>
    <w:rsid w:val="367252BF"/>
    <w:rsid w:val="36823456"/>
    <w:rsid w:val="371E06A2"/>
    <w:rsid w:val="375921F8"/>
    <w:rsid w:val="37736921"/>
    <w:rsid w:val="37D20294"/>
    <w:rsid w:val="3AC42F21"/>
    <w:rsid w:val="3ADA39C9"/>
    <w:rsid w:val="3B73674E"/>
    <w:rsid w:val="3B7D3DD9"/>
    <w:rsid w:val="3BA63C27"/>
    <w:rsid w:val="3BBF9B78"/>
    <w:rsid w:val="3BF384D1"/>
    <w:rsid w:val="3C544222"/>
    <w:rsid w:val="3CD93DF5"/>
    <w:rsid w:val="3D3F5406"/>
    <w:rsid w:val="3D495B9D"/>
    <w:rsid w:val="3D5BA6EA"/>
    <w:rsid w:val="3D8DBA02"/>
    <w:rsid w:val="3EC82323"/>
    <w:rsid w:val="3FDF3D30"/>
    <w:rsid w:val="40EAFCDD"/>
    <w:rsid w:val="41D11E2D"/>
    <w:rsid w:val="424DBB9D"/>
    <w:rsid w:val="426A05DD"/>
    <w:rsid w:val="42FB8D5C"/>
    <w:rsid w:val="435CA85F"/>
    <w:rsid w:val="4376BFB1"/>
    <w:rsid w:val="459354C5"/>
    <w:rsid w:val="46061098"/>
    <w:rsid w:val="46FD5904"/>
    <w:rsid w:val="49237AA1"/>
    <w:rsid w:val="49541BF5"/>
    <w:rsid w:val="4979CF51"/>
    <w:rsid w:val="4ABC3BD4"/>
    <w:rsid w:val="4B86A162"/>
    <w:rsid w:val="4C28A81D"/>
    <w:rsid w:val="4C66AD5A"/>
    <w:rsid w:val="4CCB8CC8"/>
    <w:rsid w:val="4DD8095C"/>
    <w:rsid w:val="4ECDB0B0"/>
    <w:rsid w:val="4F12ADBE"/>
    <w:rsid w:val="500DE05B"/>
    <w:rsid w:val="505FD0AC"/>
    <w:rsid w:val="50E2D4EA"/>
    <w:rsid w:val="51E44787"/>
    <w:rsid w:val="527318C0"/>
    <w:rsid w:val="52C26E57"/>
    <w:rsid w:val="5307CFBD"/>
    <w:rsid w:val="540B91EF"/>
    <w:rsid w:val="5491945D"/>
    <w:rsid w:val="54B225AB"/>
    <w:rsid w:val="54CDCD1B"/>
    <w:rsid w:val="558D285A"/>
    <w:rsid w:val="57C830C6"/>
    <w:rsid w:val="57FB995B"/>
    <w:rsid w:val="580ADFBA"/>
    <w:rsid w:val="58458195"/>
    <w:rsid w:val="586929E3"/>
    <w:rsid w:val="5888F484"/>
    <w:rsid w:val="588E1137"/>
    <w:rsid w:val="58CA3CFB"/>
    <w:rsid w:val="58FAB37B"/>
    <w:rsid w:val="597C1A23"/>
    <w:rsid w:val="59F8A9FD"/>
    <w:rsid w:val="5A235800"/>
    <w:rsid w:val="5A378B47"/>
    <w:rsid w:val="5AC1B080"/>
    <w:rsid w:val="5AE1459A"/>
    <w:rsid w:val="5AF60C28"/>
    <w:rsid w:val="5B3BD3FC"/>
    <w:rsid w:val="5BA166D9"/>
    <w:rsid w:val="5C731E00"/>
    <w:rsid w:val="5CAFD1B6"/>
    <w:rsid w:val="5E0DDD4E"/>
    <w:rsid w:val="5E69DCB2"/>
    <w:rsid w:val="5EC5F2AA"/>
    <w:rsid w:val="5EDCFB30"/>
    <w:rsid w:val="6019209B"/>
    <w:rsid w:val="60367393"/>
    <w:rsid w:val="62DCE73F"/>
    <w:rsid w:val="63BED3DA"/>
    <w:rsid w:val="63FE160D"/>
    <w:rsid w:val="65849BD3"/>
    <w:rsid w:val="679ADF9F"/>
    <w:rsid w:val="683ED7C7"/>
    <w:rsid w:val="68594E59"/>
    <w:rsid w:val="685A7E0D"/>
    <w:rsid w:val="68669C64"/>
    <w:rsid w:val="68AD7EF3"/>
    <w:rsid w:val="6914EAA8"/>
    <w:rsid w:val="69C69AAB"/>
    <w:rsid w:val="6A958E47"/>
    <w:rsid w:val="6AD41F51"/>
    <w:rsid w:val="6AE45D2D"/>
    <w:rsid w:val="6B6E6B12"/>
    <w:rsid w:val="6B9C907D"/>
    <w:rsid w:val="6DA3BC68"/>
    <w:rsid w:val="6DC3B4B2"/>
    <w:rsid w:val="6FF88FB5"/>
    <w:rsid w:val="70B0AA84"/>
    <w:rsid w:val="70F5D0E2"/>
    <w:rsid w:val="72AEF49E"/>
    <w:rsid w:val="73846366"/>
    <w:rsid w:val="739C44F1"/>
    <w:rsid w:val="73E18AD2"/>
    <w:rsid w:val="75F1CA91"/>
    <w:rsid w:val="76DDE650"/>
    <w:rsid w:val="76F7A7EE"/>
    <w:rsid w:val="77A37965"/>
    <w:rsid w:val="77A95C2D"/>
    <w:rsid w:val="77B098EE"/>
    <w:rsid w:val="798435C6"/>
    <w:rsid w:val="79C2E61E"/>
    <w:rsid w:val="79EA0C06"/>
    <w:rsid w:val="7A0CD31E"/>
    <w:rsid w:val="7B71FB08"/>
    <w:rsid w:val="7C1D1A04"/>
    <w:rsid w:val="7C64B4F2"/>
    <w:rsid w:val="7D2E9335"/>
    <w:rsid w:val="7D4F9762"/>
    <w:rsid w:val="7E0F3568"/>
    <w:rsid w:val="7ED49D3E"/>
    <w:rsid w:val="7FF87FF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7E0667"/>
  <w15:docId w15:val="{91D25A1D-FDE8-406E-81F9-A4E801FB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382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FootnoteText">
    <w:name w:val="footnote text"/>
    <w:basedOn w:val="Normal"/>
    <w:link w:val="FootnoteTextChar"/>
    <w:rsid w:val="00F23D73"/>
    <w:rPr>
      <w:sz w:val="20"/>
      <w:szCs w:val="20"/>
    </w:rPr>
  </w:style>
  <w:style w:type="character" w:customStyle="1" w:styleId="FootnoteTextChar">
    <w:name w:val="Footnote Text Char"/>
    <w:basedOn w:val="DefaultParagraphFont"/>
    <w:link w:val="FootnoteText"/>
    <w:rsid w:val="00F23D73"/>
  </w:style>
  <w:style w:type="character" w:styleId="FootnoteReference">
    <w:name w:val="footnote reference"/>
    <w:rsid w:val="00F23D73"/>
    <w:rPr>
      <w:vertAlign w:val="superscript"/>
    </w:rPr>
  </w:style>
  <w:style w:type="character" w:styleId="CommentReference">
    <w:name w:val="annotation reference"/>
    <w:rsid w:val="00BE0F92"/>
    <w:rPr>
      <w:sz w:val="16"/>
      <w:szCs w:val="16"/>
    </w:rPr>
  </w:style>
  <w:style w:type="paragraph" w:styleId="CommentText">
    <w:name w:val="annotation text"/>
    <w:basedOn w:val="Normal"/>
    <w:link w:val="CommentTextChar"/>
    <w:rsid w:val="00BE0F92"/>
    <w:rPr>
      <w:sz w:val="20"/>
      <w:szCs w:val="20"/>
    </w:rPr>
  </w:style>
  <w:style w:type="character" w:customStyle="1" w:styleId="CommentTextChar">
    <w:name w:val="Comment Text Char"/>
    <w:basedOn w:val="DefaultParagraphFont"/>
    <w:link w:val="CommentText"/>
    <w:rsid w:val="00BE0F92"/>
  </w:style>
  <w:style w:type="paragraph" w:styleId="CommentSubject">
    <w:name w:val="annotation subject"/>
    <w:basedOn w:val="CommentText"/>
    <w:next w:val="CommentText"/>
    <w:link w:val="CommentSubjectChar"/>
    <w:rsid w:val="00BE0F92"/>
    <w:rPr>
      <w:b/>
      <w:bCs/>
    </w:rPr>
  </w:style>
  <w:style w:type="character" w:customStyle="1" w:styleId="CommentSubjectChar">
    <w:name w:val="Comment Subject Char"/>
    <w:link w:val="CommentSubject"/>
    <w:rsid w:val="00BE0F92"/>
    <w:rPr>
      <w:b/>
      <w:bCs/>
    </w:rPr>
  </w:style>
  <w:style w:type="paragraph" w:styleId="Revision">
    <w:name w:val="Revision"/>
    <w:hidden/>
    <w:uiPriority w:val="99"/>
    <w:semiHidden/>
    <w:rsid w:val="003E4833"/>
    <w:rPr>
      <w:sz w:val="24"/>
      <w:szCs w:val="24"/>
    </w:rPr>
  </w:style>
  <w:style w:type="character" w:styleId="Mention">
    <w:name w:val="Mention"/>
    <w:basedOn w:val="DefaultParagraphFont"/>
    <w:uiPriority w:val="99"/>
    <w:unhideWhenUsed/>
    <w:rsid w:val="00D004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tobacco-products/manufacturing/request-industry-account-manager-iam-ctp-portal-next-generation" TargetMode="External" /><Relationship Id="rId11" Type="http://schemas.openxmlformats.org/officeDocument/2006/relationships/hyperlink" Target="https://www.fda.gov/regulatory-information/search-fda-guidance-documents/compliance-regulations-restricting-sale-and-distribution-cigarettes-and-smokeless-tobacco-protect" TargetMode="External" /><Relationship Id="rId12" Type="http://schemas.openxmlformats.org/officeDocument/2006/relationships/hyperlink" Target="file:///C:\Users\Amber.Sanford\AppData\Local\Temp\1\MicrosoftEdgeDownloads\ba6f1afb-9bc0-4896-832e-3526300e0131\www.fda.gov" TargetMode="External" /><Relationship Id="rId13" Type="http://schemas.openxmlformats.org/officeDocument/2006/relationships/hyperlink" Target="https://data.bls.gov/oes/#/industry/312200" TargetMode="External" /><Relationship Id="rId14" Type="http://schemas.openxmlformats.org/officeDocument/2006/relationships/hyperlink" Target="https://www.opm.gov/policy-data-oversight/pay-leave/salaries-wages/salary-tables/25Tables/html/DCB.aspx"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regulatory-information/search-fda-guidance-documents/enforcement-policy-concerning-certain-regulations-restricting-sale-and-distribution-cigarettes-an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da.gov/about-fda/about-website/website-polic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BF085-8E14-4C4F-A4B6-2395B4ABB71A}">
  <ds:schemaRefs>
    <ds:schemaRef ds:uri="http://schemas.microsoft.com/sharepoint/v3/contenttype/forms"/>
  </ds:schemaRefs>
</ds:datastoreItem>
</file>

<file path=customXml/itemProps2.xml><?xml version="1.0" encoding="utf-8"?>
<ds:datastoreItem xmlns:ds="http://schemas.openxmlformats.org/officeDocument/2006/customXml" ds:itemID="{8536048B-89C6-42C6-8BBF-947AEC6C2DDD}">
  <ds:schemaRefs>
    <ds:schemaRef ds:uri="http://schemas.openxmlformats.org/officeDocument/2006/bibliography"/>
  </ds:schemaRefs>
</ds:datastoreItem>
</file>

<file path=customXml/itemProps3.xml><?xml version="1.0" encoding="utf-8"?>
<ds:datastoreItem xmlns:ds="http://schemas.openxmlformats.org/officeDocument/2006/customXml" ds:itemID="{5C66E1D5-CB2D-46A8-B706-ECD684B95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4CEF3-317B-47A0-96DA-E4EA47C0B84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2</cp:revision>
  <cp:lastPrinted>2019-07-04T01:25:00Z</cp:lastPrinted>
  <dcterms:created xsi:type="dcterms:W3CDTF">2026-03-26T16:57:00Z</dcterms:created>
  <dcterms:modified xsi:type="dcterms:W3CDTF">2026-03-26T16:57:00Z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foreICRFlag">
    <vt:lpwstr>0</vt:lpwstr>
  </property>
  <property fmtid="{D5CDD505-2E9C-101B-9397-08002B2CF9AE}" pid="3" name="ContentTypeId">
    <vt:lpwstr>0x0101004AC173583A9D71478B617EFA29837DE2</vt:lpwstr>
  </property>
</Properties>
</file>