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506DE" w:rsidRPr="00935E09" w:rsidP="006A465A" w14:paraId="5DB5BECA" w14:textId="77777777">
      <w:pPr>
        <w:rPr>
          <w:u w:val="single"/>
        </w:rPr>
      </w:pPr>
    </w:p>
    <w:p w:rsidR="00357C8A" w:rsidP="00357C8A" w14:paraId="20652DB1" w14:textId="530FBD0B">
      <w:pPr>
        <w:jc w:val="center"/>
        <w:rPr>
          <w:rFonts w:eastAsia="Calibri"/>
        </w:rPr>
      </w:pPr>
      <w:r w:rsidRPr="00357C8A">
        <w:rPr>
          <w:rFonts w:eastAsia="Calibri"/>
        </w:rPr>
        <w:t xml:space="preserve">United States Food </w:t>
      </w:r>
      <w:r>
        <w:rPr>
          <w:rFonts w:eastAsia="Calibri"/>
        </w:rPr>
        <w:t>a</w:t>
      </w:r>
      <w:r w:rsidRPr="00357C8A">
        <w:rPr>
          <w:rFonts w:eastAsia="Calibri"/>
        </w:rPr>
        <w:t>nd Drug Administration</w:t>
      </w:r>
    </w:p>
    <w:p w:rsidR="00357C8A" w:rsidP="00357C8A" w14:paraId="64969EC3" w14:textId="77777777">
      <w:pPr>
        <w:jc w:val="center"/>
        <w:rPr>
          <w:rFonts w:eastAsia="Calibri"/>
        </w:rPr>
      </w:pPr>
    </w:p>
    <w:p w:rsidR="00357C8A" w:rsidP="00935E09" w14:paraId="01559947" w14:textId="2DE85C0B">
      <w:pPr>
        <w:jc w:val="center"/>
        <w:rPr>
          <w:rFonts w:eastAsia="Calibri"/>
        </w:rPr>
      </w:pPr>
      <w:r w:rsidRPr="00BF12B2">
        <w:t>Revising the National Drug Code Format and Drug Label Barcode Requirements</w:t>
      </w:r>
    </w:p>
    <w:p w:rsidR="00935E09" w:rsidP="00357C8A" w14:paraId="4BE5E4A0" w14:textId="77777777">
      <w:pPr>
        <w:jc w:val="center"/>
        <w:rPr>
          <w:rFonts w:eastAsia="Calibri"/>
        </w:rPr>
      </w:pPr>
    </w:p>
    <w:p w:rsidR="000001BE" w:rsidRPr="000001BE" w:rsidP="00357C8A" w14:paraId="28384DC5" w14:textId="73F7E8FD">
      <w:pPr>
        <w:jc w:val="center"/>
        <w:rPr>
          <w:rFonts w:eastAsia="Calibri"/>
          <w:i/>
          <w:iCs/>
        </w:rPr>
      </w:pPr>
      <w:r w:rsidRPr="00BF12B2">
        <w:t>RIN 0910-AI52</w:t>
      </w:r>
    </w:p>
    <w:p w:rsidR="00357C8A" w:rsidP="00357C8A" w14:paraId="5D36DAAA" w14:textId="77777777">
      <w:pPr>
        <w:jc w:val="center"/>
        <w:rPr>
          <w:rFonts w:eastAsia="Calibri"/>
        </w:rPr>
      </w:pPr>
    </w:p>
    <w:p w:rsidR="00357C8A" w:rsidP="00357C8A" w14:paraId="1C6F987B" w14:textId="77777777">
      <w:pPr>
        <w:jc w:val="center"/>
        <w:rPr>
          <w:rFonts w:eastAsia="Calibri"/>
        </w:rPr>
      </w:pPr>
      <w:r w:rsidRPr="00357C8A">
        <w:rPr>
          <w:rFonts w:eastAsia="Calibri"/>
        </w:rPr>
        <w:t>SUPPORTING STATEMENT</w:t>
      </w:r>
    </w:p>
    <w:p w:rsidR="009B4DF2" w:rsidP="00F80197" w14:paraId="00396FAB" w14:textId="77777777">
      <w:pPr>
        <w:jc w:val="center"/>
        <w:rPr>
          <w:rFonts w:eastAsia="Calibri"/>
        </w:rPr>
      </w:pPr>
    </w:p>
    <w:p w:rsidR="00357C8A" w:rsidP="00F80197" w14:paraId="1414FEFC" w14:textId="77777777">
      <w:pPr>
        <w:rPr>
          <w:rFonts w:eastAsia="Calibri"/>
        </w:rPr>
      </w:pPr>
      <w:r w:rsidRPr="00357C8A">
        <w:rPr>
          <w:rFonts w:eastAsia="Calibri"/>
          <w:b/>
        </w:rPr>
        <w:t>Part A:  Justification</w:t>
      </w:r>
      <w:r w:rsidRPr="00357C8A">
        <w:rPr>
          <w:rFonts w:eastAsia="Calibri"/>
        </w:rPr>
        <w:t>:</w:t>
      </w:r>
    </w:p>
    <w:p w:rsidR="000D79CC" w:rsidRPr="00357C8A" w:rsidP="00F80197" w14:paraId="0486C33F" w14:textId="77777777">
      <w:pPr>
        <w:rPr>
          <w:rFonts w:eastAsia="Calibri"/>
        </w:rPr>
      </w:pPr>
    </w:p>
    <w:p w:rsidR="00357C8A" w:rsidRPr="00F80197" w:rsidP="00F80197" w14:paraId="40FCF61E" w14:textId="77777777">
      <w:pPr>
        <w:numPr>
          <w:ilvl w:val="0"/>
          <w:numId w:val="6"/>
        </w:numPr>
        <w:rPr>
          <w:rFonts w:eastAsia="Calibri"/>
        </w:rPr>
      </w:pPr>
      <w:r w:rsidRPr="00357C8A">
        <w:rPr>
          <w:rFonts w:eastAsia="Calibri"/>
          <w:u w:val="single"/>
        </w:rPr>
        <w:t>Circumstances Making the Collection of Information Necessary</w:t>
      </w:r>
    </w:p>
    <w:p w:rsidR="00F80197" w:rsidRPr="00357C8A" w:rsidP="00F80197" w14:paraId="5D5CA417" w14:textId="77777777">
      <w:pPr>
        <w:rPr>
          <w:rFonts w:eastAsia="Calibri"/>
        </w:rPr>
      </w:pPr>
    </w:p>
    <w:p w:rsidR="00172456" w:rsidP="00F80197" w14:paraId="7A250CCA" w14:textId="7D4F64BB">
      <w:r w:rsidRPr="00DE2D05">
        <w:t xml:space="preserve">This request is being submitted in support of agency rulemaking in accordance with 5 CFR 1320.11. </w:t>
      </w:r>
      <w:r>
        <w:t>Section 510</w:t>
      </w:r>
      <w:r w:rsidR="00861AC3">
        <w:t>(i)</w:t>
      </w:r>
      <w:r>
        <w:t xml:space="preserve"> of the </w:t>
      </w:r>
      <w:r w:rsidR="00E754DF">
        <w:t>Federal Food, Drug, and Cosmetic</w:t>
      </w:r>
      <w:r>
        <w:t xml:space="preserve"> Act</w:t>
      </w:r>
      <w:r w:rsidR="00E86088">
        <w:t xml:space="preserve"> (FD&amp;C Act)</w:t>
      </w:r>
      <w:r>
        <w:t xml:space="preserve"> requires each registered drug establishment to provide </w:t>
      </w:r>
      <w:r w:rsidR="00574E73">
        <w:t xml:space="preserve">the Food and Drug Administration (FDA, we, our) </w:t>
      </w:r>
      <w:r>
        <w:t xml:space="preserve">with a current list of all drugs manufactured, prepared, propagated, compounded, or processed by the establishment for commercial distribution.  Drug products are identified and reported using the </w:t>
      </w:r>
      <w:r w:rsidR="006F4806">
        <w:t>National Drug Code (</w:t>
      </w:r>
      <w:r>
        <w:t>NDC</w:t>
      </w:r>
      <w:r w:rsidR="006F4806">
        <w:t>)</w:t>
      </w:r>
      <w:r>
        <w:t xml:space="preserve">. </w:t>
      </w:r>
      <w:r w:rsidRPr="00E754DF" w:rsidR="00E754DF">
        <w:t xml:space="preserve">Agency regulations regarding </w:t>
      </w:r>
      <w:r w:rsidR="00A75A13">
        <w:t xml:space="preserve">drug </w:t>
      </w:r>
      <w:r w:rsidRPr="00A75A13" w:rsidR="00A75A13">
        <w:t>establishment registration and listing and the national drug code</w:t>
      </w:r>
      <w:r w:rsidR="00A75A13">
        <w:t xml:space="preserve"> </w:t>
      </w:r>
      <w:r w:rsidRPr="00E754DF" w:rsidR="00E754DF">
        <w:t xml:space="preserve">are codified in 21 CFR part </w:t>
      </w:r>
      <w:r w:rsidR="00A75A13">
        <w:t>207</w:t>
      </w:r>
      <w:r w:rsidR="0088571E">
        <w:t>.  R</w:t>
      </w:r>
      <w:r w:rsidRPr="00E754DF" w:rsidR="00E754DF">
        <w:t xml:space="preserve">egulations regarding labeling for drugs are codified in 21 CFR part 201. </w:t>
      </w:r>
    </w:p>
    <w:p w:rsidR="00663494" w:rsidP="00F80197" w14:paraId="1DAD1F00" w14:textId="77777777"/>
    <w:p w:rsidR="00B24CE3" w:rsidP="00F80197" w14:paraId="59EE4F91" w14:textId="73AFFF4A">
      <w:r>
        <w:t xml:space="preserve">Our </w:t>
      </w:r>
      <w:r w:rsidR="016631E0">
        <w:t xml:space="preserve">final rule titled “Revising the National Drug Code Format and Drug Label Barcode Requirements” (RIN </w:t>
      </w:r>
      <w:r w:rsidR="2FDB2626">
        <w:t>0910-AI52</w:t>
      </w:r>
      <w:r w:rsidR="016631E0">
        <w:t>)</w:t>
      </w:r>
      <w:r w:rsidR="7D9AB872">
        <w:t xml:space="preserve"> </w:t>
      </w:r>
      <w:r w:rsidR="2EB9C3E8">
        <w:t>m</w:t>
      </w:r>
      <w:r w:rsidR="4F7A915B">
        <w:t xml:space="preserve">odifies our regulations to establish a uniform, 12-digit format for the NDC (21 CFR 207.33). </w:t>
      </w:r>
      <w:r w:rsidR="7B4FC354">
        <w:t xml:space="preserve"> </w:t>
      </w:r>
      <w:r w:rsidR="160BF69E">
        <w:t>We are</w:t>
      </w:r>
      <w:r w:rsidR="4F7A915B">
        <w:t xml:space="preserve"> also revising the drug barcode label requirements (21 CFR 201.25) to allow the use of either linear or nonlinear barcodes, so long as the barcode format conforms to certain standards and is recognized by FDA. </w:t>
      </w:r>
    </w:p>
    <w:p w:rsidR="00172456" w:rsidP="00F80197" w14:paraId="1C679985" w14:textId="77777777">
      <w:pPr>
        <w:rPr>
          <w:rFonts w:eastAsia="Calibri"/>
        </w:rPr>
      </w:pPr>
    </w:p>
    <w:p w:rsidR="00935E09" w:rsidP="00F80197" w14:paraId="4D79367E" w14:textId="1234145A">
      <w:pPr>
        <w:rPr>
          <w:rFonts w:eastAsia="Calibri"/>
        </w:rPr>
      </w:pPr>
      <w:r w:rsidRPr="005C71CA">
        <w:rPr>
          <w:rFonts w:eastAsia="Calibri"/>
        </w:rPr>
        <w:t xml:space="preserve">We therefore request OMB approval of </w:t>
      </w:r>
      <w:r w:rsidR="00FA2887">
        <w:rPr>
          <w:rFonts w:eastAsia="Calibri"/>
        </w:rPr>
        <w:t xml:space="preserve">the information collection </w:t>
      </w:r>
      <w:r w:rsidR="00017590">
        <w:rPr>
          <w:rFonts w:eastAsia="Calibri"/>
        </w:rPr>
        <w:t>associated with the final rule</w:t>
      </w:r>
      <w:r w:rsidRPr="005C71CA">
        <w:rPr>
          <w:rFonts w:eastAsia="Calibri"/>
        </w:rPr>
        <w:t>.</w:t>
      </w:r>
    </w:p>
    <w:p w:rsidR="00D42D47" w:rsidP="00F80197" w14:paraId="73EB2F23" w14:textId="77777777">
      <w:pPr>
        <w:rPr>
          <w:rFonts w:eastAsia="Calibri"/>
        </w:rPr>
      </w:pPr>
    </w:p>
    <w:p w:rsidR="00357C8A" w:rsidP="00F80197" w14:paraId="3E2C5BF0" w14:textId="164F1BD3">
      <w:pPr>
        <w:rPr>
          <w:rFonts w:eastAsia="Calibri"/>
          <w:u w:val="single"/>
        </w:rPr>
      </w:pPr>
      <w:r w:rsidRPr="0055784E">
        <w:rPr>
          <w:rFonts w:eastAsia="Calibri"/>
        </w:rPr>
        <w:t xml:space="preserve">2. </w:t>
      </w:r>
      <w:r w:rsidRPr="00357C8A">
        <w:rPr>
          <w:rFonts w:eastAsia="Calibri"/>
          <w:u w:val="single"/>
        </w:rPr>
        <w:t xml:space="preserve">Purpose and Use of the Information Collection </w:t>
      </w:r>
    </w:p>
    <w:p w:rsidR="00935E09" w:rsidRPr="00357C8A" w:rsidP="00F80197" w14:paraId="46CFC9B3" w14:textId="77777777">
      <w:pPr>
        <w:rPr>
          <w:rFonts w:eastAsia="Calibri"/>
          <w:u w:val="single"/>
        </w:rPr>
      </w:pPr>
    </w:p>
    <w:p w:rsidR="008B1F2C" w:rsidP="00F80197" w14:paraId="0882B56E" w14:textId="644AB30D">
      <w:pPr>
        <w:autoSpaceDE w:val="0"/>
        <w:autoSpaceDN w:val="0"/>
        <w:adjustRightInd w:val="0"/>
      </w:pPr>
      <w:r w:rsidRPr="00685EB7">
        <w:rPr>
          <w:rFonts w:eastAsia="Calibri"/>
        </w:rPr>
        <w:t xml:space="preserve">This information collection helps to </w:t>
      </w:r>
      <w:r w:rsidRPr="00685EB7" w:rsidR="001F7A31">
        <w:rPr>
          <w:rFonts w:eastAsia="Calibri"/>
        </w:rPr>
        <w:t>support</w:t>
      </w:r>
      <w:r w:rsidRPr="00685EB7" w:rsidR="001B36D0">
        <w:rPr>
          <w:rFonts w:eastAsia="Calibri"/>
        </w:rPr>
        <w:t xml:space="preserve"> the </w:t>
      </w:r>
      <w:r w:rsidRPr="00685EB7" w:rsidR="008E4BFD">
        <w:rPr>
          <w:rFonts w:eastAsia="Calibri"/>
        </w:rPr>
        <w:t xml:space="preserve">efficiency and </w:t>
      </w:r>
      <w:r w:rsidRPr="00685EB7" w:rsidR="001B36D0">
        <w:rPr>
          <w:rFonts w:eastAsia="Calibri"/>
        </w:rPr>
        <w:t>security of the pharmaceutical distribution supply chain.</w:t>
      </w:r>
      <w:r w:rsidRPr="00685EB7" w:rsidR="00E9161E">
        <w:rPr>
          <w:rFonts w:eastAsia="Calibri"/>
        </w:rPr>
        <w:t xml:space="preserve">  </w:t>
      </w:r>
      <w:r>
        <w:t>Our</w:t>
      </w:r>
      <w:r w:rsidRPr="00B24CE3">
        <w:t xml:space="preserve"> transition to a uniform format for FDA-assigned NDCs is intended to facilitate the adoption of a single NDC format across the entire healthcare industry, eliminating the need to convert NDCs from one of </w:t>
      </w:r>
      <w:r>
        <w:t>our</w:t>
      </w:r>
      <w:r w:rsidRPr="00B24CE3">
        <w:t xml:space="preserve"> prescribed formats to a different standardized format used by other sectors of the healthcare industry (e.g., healthcare providers and payors). </w:t>
      </w:r>
      <w:r>
        <w:t xml:space="preserve"> </w:t>
      </w:r>
    </w:p>
    <w:p w:rsidR="00685EB7" w:rsidP="00F80197" w14:paraId="2D114C9D" w14:textId="77777777">
      <w:pPr>
        <w:autoSpaceDE w:val="0"/>
        <w:autoSpaceDN w:val="0"/>
        <w:adjustRightInd w:val="0"/>
      </w:pPr>
    </w:p>
    <w:p w:rsidR="00D40813" w:rsidP="00F80197" w14:paraId="294122DC" w14:textId="6549553F">
      <w:pPr>
        <w:autoSpaceDE w:val="0"/>
        <w:autoSpaceDN w:val="0"/>
        <w:adjustRightInd w:val="0"/>
      </w:pPr>
      <w:r w:rsidRPr="00706B6A">
        <w:t xml:space="preserve">Eliminating the need to convert NDCs </w:t>
      </w:r>
      <w:r w:rsidRPr="00706B6A">
        <w:rPr>
          <w:kern w:val="16"/>
        </w:rPr>
        <w:t>should reduce potential errors caused by converting from the FDA-assigned NDC format to a different format</w:t>
      </w:r>
      <w:r w:rsidRPr="00706B6A">
        <w:t xml:space="preserve"> used by other sectors of the healthcare industry</w:t>
      </w:r>
      <w:r w:rsidRPr="00706B6A">
        <w:rPr>
          <w:kern w:val="16"/>
        </w:rPr>
        <w:t xml:space="preserve">. Standardization and adoption of a single format will also eliminate the need for additional quality control and validation </w:t>
      </w:r>
      <w:r w:rsidRPr="00706B6A">
        <w:t xml:space="preserve">by certain stakeholders, such as payors and prescribers, </w:t>
      </w:r>
      <w:r w:rsidRPr="00706B6A">
        <w:rPr>
          <w:kern w:val="16"/>
        </w:rPr>
        <w:t xml:space="preserve">to ensure a drug product and its respective NDC are accurate; this is particularly important for insurance coverage and reimbursement claims. </w:t>
      </w:r>
      <w:r w:rsidRPr="00706B6A">
        <w:t>Another benefit of the rule</w:t>
      </w:r>
      <w:r w:rsidR="00E92520">
        <w:t xml:space="preserve"> is that it should</w:t>
      </w:r>
      <w:r w:rsidR="00141C99">
        <w:t xml:space="preserve"> help</w:t>
      </w:r>
      <w:r w:rsidRPr="00706B6A">
        <w:t xml:space="preserve"> avoid potential risks to the public health </w:t>
      </w:r>
      <w:r w:rsidR="00E92520">
        <w:t>by reducing</w:t>
      </w:r>
      <w:r w:rsidRPr="00706B6A">
        <w:t xml:space="preserve"> medication errors</w:t>
      </w:r>
      <w:r w:rsidR="00DB1177">
        <w:t>,</w:t>
      </w:r>
      <w:r w:rsidRPr="00706B6A">
        <w:t xml:space="preserve"> </w:t>
      </w:r>
      <w:r w:rsidR="00DB1177">
        <w:t>the</w:t>
      </w:r>
      <w:r w:rsidRPr="00706B6A">
        <w:t xml:space="preserve"> risk of confusion</w:t>
      </w:r>
      <w:r w:rsidR="00DB1177">
        <w:t>,</w:t>
      </w:r>
      <w:r w:rsidRPr="00541280" w:rsidR="00541280">
        <w:rPr>
          <w:rFonts w:ascii="TimesNewRomanPSMT" w:eastAsia="Calibri" w:hAnsi="TimesNewRomanPSMT" w:cs="TimesNewRomanPSMT"/>
        </w:rPr>
        <w:t xml:space="preserve"> </w:t>
      </w:r>
      <w:r w:rsidRPr="00541280" w:rsidR="00541280">
        <w:t>and possibly the risk of the introduction of illegitimate product into the marketplace because of the confusion</w:t>
      </w:r>
      <w:r w:rsidRPr="00706B6A">
        <w:t>.</w:t>
      </w:r>
      <w:r w:rsidRPr="00244AAF" w:rsidR="00244AAF">
        <w:rPr>
          <w:iCs/>
        </w:rPr>
        <w:t xml:space="preserve"> </w:t>
      </w:r>
      <w:r w:rsidR="00603138">
        <w:rPr>
          <w:iCs/>
        </w:rPr>
        <w:t>We note that</w:t>
      </w:r>
      <w:r w:rsidRPr="00244AAF" w:rsidR="00244AAF">
        <w:rPr>
          <w:iCs/>
        </w:rPr>
        <w:t xml:space="preserve"> interested parties would only need to add leading zeros to certain segments of the existing 10-digit NDC to convert it to the new 12-digit NDC format.</w:t>
      </w:r>
    </w:p>
    <w:p w:rsidR="0052670A" w:rsidP="00F80197" w14:paraId="6246111B" w14:textId="77777777">
      <w:pPr>
        <w:autoSpaceDE w:val="0"/>
        <w:autoSpaceDN w:val="0"/>
        <w:adjustRightInd w:val="0"/>
        <w:rPr>
          <w:rFonts w:ascii="TimesNewRomanPSMT" w:eastAsia="Calibri" w:hAnsi="TimesNewRomanPSMT" w:cs="TimesNewRomanPSMT"/>
        </w:rPr>
      </w:pPr>
    </w:p>
    <w:p w:rsidR="002D2129" w:rsidRPr="00EE40C5" w:rsidP="00F80197" w14:paraId="2C79A4C1" w14:textId="3ADA9211">
      <w:pPr>
        <w:autoSpaceDE w:val="0"/>
        <w:autoSpaceDN w:val="0"/>
        <w:adjustRightInd w:val="0"/>
      </w:pPr>
      <w:r w:rsidRPr="00EE40C5">
        <w:rPr>
          <w:rFonts w:eastAsia="Calibri"/>
        </w:rPr>
        <w:t>The information collection is used in support of FDA’s mission to</w:t>
      </w:r>
      <w:r w:rsidRPr="00EE40C5">
        <w:rPr>
          <w:rFonts w:eastAsia="Calibri"/>
        </w:rPr>
        <w:t xml:space="preserve"> </w:t>
      </w:r>
      <w:r w:rsidRPr="00EE40C5" w:rsidR="00195414">
        <w:rPr>
          <w:rFonts w:eastAsia="Calibri"/>
        </w:rPr>
        <w:t xml:space="preserve">protect the public health by ensuring the safety, efficacy, and security of the </w:t>
      </w:r>
      <w:r w:rsidRPr="00EE40C5" w:rsidR="00454B35">
        <w:rPr>
          <w:rFonts w:eastAsia="Calibri"/>
        </w:rPr>
        <w:t>drug supply</w:t>
      </w:r>
      <w:r w:rsidRPr="00EE40C5">
        <w:rPr>
          <w:rFonts w:eastAsia="Calibri"/>
        </w:rPr>
        <w:t xml:space="preserve">. </w:t>
      </w:r>
      <w:r w:rsidRPr="00EE40C5">
        <w:rPr>
          <w:rFonts w:eastAsia="Calibri"/>
        </w:rPr>
        <w:t>A number of</w:t>
      </w:r>
      <w:r w:rsidRPr="00EE40C5">
        <w:rPr>
          <w:rFonts w:eastAsia="Calibri"/>
        </w:rPr>
        <w:t xml:space="preserve"> industry entities will be affected by this </w:t>
      </w:r>
      <w:r w:rsidRPr="00EE40C5" w:rsidR="000D2965">
        <w:rPr>
          <w:rFonts w:eastAsia="Calibri"/>
        </w:rPr>
        <w:t xml:space="preserve">final </w:t>
      </w:r>
      <w:r w:rsidRPr="00EE40C5">
        <w:rPr>
          <w:rFonts w:eastAsia="Calibri"/>
        </w:rPr>
        <w:t>rule.  Specifically, m</w:t>
      </w:r>
      <w:r w:rsidRPr="00EE40C5">
        <w:t xml:space="preserve">anufacturers, </w:t>
      </w:r>
      <w:r w:rsidRPr="00EE40C5">
        <w:t>repackers</w:t>
      </w:r>
      <w:r w:rsidRPr="00EE40C5">
        <w:t xml:space="preserve">, </w:t>
      </w:r>
      <w:r w:rsidRPr="00EE40C5">
        <w:t>relabelers</w:t>
      </w:r>
      <w:r w:rsidRPr="00EE40C5">
        <w:t xml:space="preserve">, drug product salvagers, and private label distributors are subject to the information collection requirements of this </w:t>
      </w:r>
      <w:r w:rsidRPr="00EE40C5" w:rsidR="0036152B">
        <w:t>final</w:t>
      </w:r>
      <w:r w:rsidRPr="00EE40C5">
        <w:t xml:space="preserve"> rule.</w:t>
      </w:r>
    </w:p>
    <w:p w:rsidR="002D2129" w:rsidRPr="002D2129" w:rsidP="00F80197" w14:paraId="51B259F4" w14:textId="77777777">
      <w:pPr>
        <w:autoSpaceDE w:val="0"/>
        <w:autoSpaceDN w:val="0"/>
        <w:adjustRightInd w:val="0"/>
        <w:rPr>
          <w:rFonts w:ascii="TimesNewRomanPSMT" w:eastAsia="Calibri" w:hAnsi="TimesNewRomanPSMT" w:cs="TimesNewRomanPSMT"/>
        </w:rPr>
      </w:pPr>
    </w:p>
    <w:p w:rsidR="00357C8A" w:rsidRPr="00357C8A" w:rsidP="00F80197" w14:paraId="590B9D5D" w14:textId="77777777">
      <w:pPr>
        <w:rPr>
          <w:rFonts w:eastAsia="Calibri"/>
          <w:u w:val="single"/>
        </w:rPr>
      </w:pPr>
      <w:r w:rsidRPr="009735E5">
        <w:rPr>
          <w:rFonts w:eastAsia="Calibri"/>
        </w:rPr>
        <w:t xml:space="preserve">3. </w:t>
      </w:r>
      <w:r w:rsidRPr="00357C8A">
        <w:rPr>
          <w:rFonts w:eastAsia="Calibri"/>
          <w:u w:val="single"/>
        </w:rPr>
        <w:t>Use of Improved Information Technology and Burden Reduction</w:t>
      </w:r>
    </w:p>
    <w:p w:rsidR="00F80197" w:rsidP="00F80197" w14:paraId="3D095ADB" w14:textId="77777777"/>
    <w:p w:rsidR="00315CF7" w:rsidP="00F80197" w14:paraId="7616B23E" w14:textId="042C92D3">
      <w:r>
        <w:t>L</w:t>
      </w:r>
      <w:r w:rsidRPr="00E44091">
        <w:t xml:space="preserve">abeling </w:t>
      </w:r>
      <w:r>
        <w:t xml:space="preserve">required </w:t>
      </w:r>
      <w:r w:rsidRPr="00E44091">
        <w:t xml:space="preserve">under </w:t>
      </w:r>
      <w:r>
        <w:t>p</w:t>
      </w:r>
      <w:r w:rsidRPr="00E44091">
        <w:t>art 20</w:t>
      </w:r>
      <w:r>
        <w:t>7</w:t>
      </w:r>
      <w:r w:rsidRPr="00E44091">
        <w:t xml:space="preserve"> </w:t>
      </w:r>
      <w:r>
        <w:t xml:space="preserve">must </w:t>
      </w:r>
      <w:r w:rsidRPr="00E44091">
        <w:t>be submitted in electronic format</w:t>
      </w:r>
      <w:r>
        <w:t xml:space="preserve"> </w:t>
      </w:r>
      <w:r w:rsidRPr="007D76C7" w:rsidR="007F5961">
        <w:t xml:space="preserve">unless FDA grants a waiver under </w:t>
      </w:r>
      <w:r w:rsidR="00FE2FC8">
        <w:t>21 CFR</w:t>
      </w:r>
      <w:r w:rsidRPr="007D76C7" w:rsidR="007F5961">
        <w:t xml:space="preserve"> 207.65</w:t>
      </w:r>
      <w:r w:rsidRPr="00E44091">
        <w:t>.</w:t>
      </w:r>
      <w:r>
        <w:t xml:space="preserve">  </w:t>
      </w:r>
      <w:r w:rsidR="00B15885">
        <w:t xml:space="preserve">We </w:t>
      </w:r>
      <w:r w:rsidRPr="00440A2E" w:rsidR="00B15885">
        <w:t xml:space="preserve">estimate that 100 percent </w:t>
      </w:r>
      <w:r w:rsidRPr="004D500D" w:rsidR="00B15885">
        <w:t>of the respondents will use electronic means to submit labeling content</w:t>
      </w:r>
      <w:r w:rsidR="00B15885">
        <w:t>.</w:t>
      </w:r>
    </w:p>
    <w:p w:rsidR="007D76C7" w:rsidP="00F80197" w14:paraId="1320B2DC" w14:textId="77777777"/>
    <w:p w:rsidR="00357C8A" w:rsidRPr="00357C8A" w:rsidP="00F80197" w14:paraId="3B181113" w14:textId="77777777">
      <w:pPr>
        <w:numPr>
          <w:ilvl w:val="0"/>
          <w:numId w:val="9"/>
        </w:numPr>
        <w:rPr>
          <w:rFonts w:eastAsia="Calibri"/>
        </w:rPr>
      </w:pPr>
      <w:r w:rsidRPr="00357C8A">
        <w:rPr>
          <w:rFonts w:eastAsia="Calibri"/>
          <w:u w:val="single"/>
        </w:rPr>
        <w:t xml:space="preserve">Efforts to Identify Duplication and Use of Similar Information </w:t>
      </w:r>
    </w:p>
    <w:p w:rsidR="00F80197" w:rsidP="00F80197" w14:paraId="3A2437A5" w14:textId="77777777">
      <w:pPr>
        <w:pStyle w:val="BodyText"/>
        <w:spacing w:after="0"/>
        <w:rPr>
          <w:rFonts w:eastAsia="Calibri"/>
        </w:rPr>
      </w:pPr>
    </w:p>
    <w:p w:rsidR="000C1260" w:rsidRPr="009F0D74" w:rsidP="00F80197" w14:paraId="2553DA6C" w14:textId="2AEF51DC">
      <w:pPr>
        <w:pStyle w:val="BodyText"/>
        <w:spacing w:after="0"/>
      </w:pPr>
      <w:r w:rsidRPr="001238E2">
        <w:rPr>
          <w:rFonts w:eastAsia="Calibri"/>
        </w:rPr>
        <w:t>We are unaware of duplicative information collection</w:t>
      </w:r>
      <w:r w:rsidRPr="009F0D74" w:rsidR="009D29B0">
        <w:t xml:space="preserve">.  </w:t>
      </w:r>
    </w:p>
    <w:p w:rsidR="000F044A" w:rsidRPr="00E85F45" w:rsidP="00F80197" w14:paraId="708EFCF6" w14:textId="77777777">
      <w:pPr>
        <w:pStyle w:val="BodyText"/>
        <w:spacing w:after="0"/>
      </w:pPr>
    </w:p>
    <w:p w:rsidR="00357C8A" w:rsidRPr="004B503A" w:rsidP="00F80197" w14:paraId="1CEF36E1" w14:textId="77777777">
      <w:pPr>
        <w:numPr>
          <w:ilvl w:val="0"/>
          <w:numId w:val="9"/>
        </w:numPr>
        <w:rPr>
          <w:rFonts w:eastAsia="Calibri"/>
        </w:rPr>
      </w:pPr>
      <w:r w:rsidRPr="004B503A">
        <w:rPr>
          <w:rFonts w:eastAsia="Calibri"/>
          <w:u w:val="single"/>
        </w:rPr>
        <w:t>Impact on Small Businesses or Other Small Entities</w:t>
      </w:r>
    </w:p>
    <w:p w:rsidR="00F80197" w:rsidP="00F80197" w14:paraId="74FB7F5D" w14:textId="77777777">
      <w:pPr>
        <w:contextualSpacing/>
      </w:pPr>
    </w:p>
    <w:p w:rsidR="007220BC" w:rsidP="00F80197" w14:paraId="201920D2" w14:textId="3A3163AA">
      <w:pPr>
        <w:contextualSpacing/>
      </w:pPr>
      <w:r>
        <w:t xml:space="preserve">The Regulatory Flexibility Act requires us to analyze regulatory options that would minimize any significant impact of a rule on small entities.  </w:t>
      </w:r>
      <w:r w:rsidR="004B503A">
        <w:t xml:space="preserve">Because the one-time cost </w:t>
      </w:r>
      <w:r w:rsidR="00CC674C">
        <w:t>is unlikely to exceed</w:t>
      </w:r>
      <w:r w:rsidR="004B503A">
        <w:t xml:space="preserve"> 0.</w:t>
      </w:r>
      <w:r w:rsidR="00CC674C">
        <w:t>59</w:t>
      </w:r>
      <w:r w:rsidR="004B503A">
        <w:t xml:space="preserve"> percent of average annual revenue for some very small stakeholders in the pharmaceutical industry, 0.</w:t>
      </w:r>
      <w:r w:rsidR="00691A9F">
        <w:t xml:space="preserve">33 </w:t>
      </w:r>
      <w:r w:rsidR="004B503A">
        <w:t>percent of average annual revenue for some very small stakeholders in the insurance industry, and 0.</w:t>
      </w:r>
      <w:r w:rsidR="00691A9F">
        <w:t xml:space="preserve">40 </w:t>
      </w:r>
      <w:r w:rsidR="004B503A">
        <w:t>percent of average annual revenue for some very small stakeholders in the healthcare industry, we certify that the final rule will not have a significant economic impact on a substantial number of small entities.</w:t>
      </w:r>
      <w:r w:rsidR="008B372F">
        <w:t xml:space="preserve">  </w:t>
      </w:r>
      <w:r w:rsidR="00211033">
        <w:t>For the purpose of</w:t>
      </w:r>
      <w:r w:rsidR="00211033">
        <w:t xml:space="preserve"> </w:t>
      </w:r>
      <w:r w:rsidR="009D765E">
        <w:t>assessing</w:t>
      </w:r>
      <w:r w:rsidR="005B5D41">
        <w:t xml:space="preserve"> </w:t>
      </w:r>
      <w:r w:rsidR="00A82F7F">
        <w:t>paperwork burden, w</w:t>
      </w:r>
      <w:r w:rsidR="008B372F">
        <w:t xml:space="preserve">e </w:t>
      </w:r>
      <w:r w:rsidR="00DC74C9">
        <w:t>assume</w:t>
      </w:r>
      <w:r w:rsidR="008B372F">
        <w:t xml:space="preserve"> that </w:t>
      </w:r>
      <w:r w:rsidR="00211033">
        <w:t xml:space="preserve">approximately </w:t>
      </w:r>
      <w:r w:rsidR="008B372F">
        <w:t xml:space="preserve">10 percent </w:t>
      </w:r>
      <w:r w:rsidR="00211033">
        <w:t xml:space="preserve">of the affected firms </w:t>
      </w:r>
      <w:r w:rsidR="008B372F">
        <w:t>are small businesses.</w:t>
      </w:r>
    </w:p>
    <w:p w:rsidR="007220BC" w:rsidP="00F80197" w14:paraId="7F0CCBE9" w14:textId="77777777">
      <w:pPr>
        <w:contextualSpacing/>
      </w:pPr>
    </w:p>
    <w:p w:rsidR="007220BC" w:rsidP="00F80197" w14:paraId="28F7AF9E" w14:textId="38B03112">
      <w:pPr>
        <w:contextualSpacing/>
      </w:pPr>
      <w:r w:rsidRPr="008E5D32">
        <w:t xml:space="preserve">The </w:t>
      </w:r>
      <w:r w:rsidRPr="008E5D32" w:rsidR="004B503A">
        <w:t>final</w:t>
      </w:r>
      <w:r w:rsidRPr="008E5D32">
        <w:t xml:space="preserve"> small entity analysis is discussed in section III of the </w:t>
      </w:r>
      <w:r w:rsidRPr="008E5D32" w:rsidR="004B503A">
        <w:t xml:space="preserve">Final </w:t>
      </w:r>
      <w:r w:rsidRPr="008E5D32">
        <w:t>Regulatory Impact Analysis.</w:t>
      </w:r>
      <w:r>
        <w:t xml:space="preserve"> </w:t>
      </w:r>
    </w:p>
    <w:p w:rsidR="007220BC" w:rsidP="00F80197" w14:paraId="4119118C" w14:textId="77777777">
      <w:pPr>
        <w:contextualSpacing/>
      </w:pPr>
    </w:p>
    <w:p w:rsidR="00357C8A" w:rsidRPr="00357C8A" w:rsidP="00F80197" w14:paraId="79C2F6D5" w14:textId="77777777">
      <w:pPr>
        <w:numPr>
          <w:ilvl w:val="0"/>
          <w:numId w:val="9"/>
        </w:numPr>
        <w:rPr>
          <w:rFonts w:eastAsia="Calibri"/>
          <w:u w:val="single"/>
        </w:rPr>
      </w:pPr>
      <w:r w:rsidRPr="00357C8A">
        <w:rPr>
          <w:rFonts w:eastAsia="Calibri"/>
          <w:u w:val="single"/>
        </w:rPr>
        <w:t>Consequences of Collecting the Information Less Frequently</w:t>
      </w:r>
    </w:p>
    <w:p w:rsidR="00F80197" w:rsidP="00F80197" w14:paraId="395C14EB" w14:textId="77777777">
      <w:pPr>
        <w:tabs>
          <w:tab w:val="center" w:pos="4680"/>
        </w:tabs>
        <w:contextualSpacing/>
      </w:pPr>
    </w:p>
    <w:p w:rsidR="008A51E3" w:rsidP="00F80197" w14:paraId="501E6C0C" w14:textId="6F520A25">
      <w:pPr>
        <w:tabs>
          <w:tab w:val="center" w:pos="4680"/>
        </w:tabs>
        <w:contextualSpacing/>
      </w:pPr>
      <w:r>
        <w:t>To minimize recordkeeping burden resulting from changes to the NDC format, in the final rule we extended</w:t>
      </w:r>
      <w:r w:rsidRPr="00A33EA9">
        <w:t xml:space="preserve"> the effective date </w:t>
      </w:r>
      <w:r>
        <w:t xml:space="preserve">from the proposed five years after publication </w:t>
      </w:r>
      <w:r w:rsidRPr="00A33EA9">
        <w:t>to seven years</w:t>
      </w:r>
      <w:r>
        <w:t xml:space="preserve"> and we provided a 3-year transition period.  The purpose of the transition period is to mitigate potential labeling costs by allowing respondents to deplete labeling inventory and update labels with the new NDC format at the time of a periodic labeling update that may be made during the 3-year transition period</w:t>
      </w:r>
      <w:r w:rsidRPr="00F80197">
        <w:t>.  Based on the frequency at which drug labeling is typically updated, we anticipate that nearly all firms will be able to incorporate the labeling change required by the final rule as part of a periodic labeling change that they intend to make unrelated to this rule.</w:t>
      </w:r>
      <w:r>
        <w:t xml:space="preserve">  Therefore, we believe that the incremental information collection burden associated with this rule is likely to be de minimis.  </w:t>
      </w:r>
      <w:r w:rsidR="00144A25">
        <w:t>We expect that this approach</w:t>
      </w:r>
      <w:r w:rsidR="00E86454">
        <w:t xml:space="preserve"> to the submission schedule</w:t>
      </w:r>
      <w:r w:rsidR="00144A25">
        <w:t xml:space="preserve"> will</w:t>
      </w:r>
      <w:r w:rsidR="002E454F">
        <w:t xml:space="preserve"> both</w:t>
      </w:r>
      <w:r w:rsidR="00144A25">
        <w:t xml:space="preserve"> mitigate the burden on respondents and </w:t>
      </w:r>
      <w:r w:rsidR="002E454F">
        <w:t>support the steady</w:t>
      </w:r>
      <w:r w:rsidR="00144A25">
        <w:t xml:space="preserve"> supply of </w:t>
      </w:r>
      <w:r w:rsidR="002E454F">
        <w:t>drug products</w:t>
      </w:r>
      <w:r w:rsidR="00A2588A">
        <w:t xml:space="preserve">, </w:t>
      </w:r>
      <w:r w:rsidR="002E454F">
        <w:t>avoiding shortages.</w:t>
      </w:r>
    </w:p>
    <w:p w:rsidR="005D7CDD" w:rsidP="00F80197" w14:paraId="47843474" w14:textId="3C853199">
      <w:pPr>
        <w:rPr>
          <w:rFonts w:eastAsia="Calibri"/>
        </w:rPr>
      </w:pPr>
    </w:p>
    <w:p w:rsidR="005D7CDD" w:rsidRPr="005D7CDD" w:rsidP="00F80197" w14:paraId="35DD0F59" w14:textId="78437A91">
      <w:pPr>
        <w:numPr>
          <w:ilvl w:val="0"/>
          <w:numId w:val="9"/>
        </w:numPr>
        <w:rPr>
          <w:rFonts w:eastAsia="Calibri"/>
        </w:rPr>
      </w:pPr>
      <w:r w:rsidRPr="00357C8A">
        <w:rPr>
          <w:rFonts w:eastAsia="Calibri"/>
          <w:u w:val="single"/>
        </w:rPr>
        <w:t xml:space="preserve">Special Circumstances Relating to the Guidelines </w:t>
      </w:r>
      <w:r w:rsidR="00CC0D7E">
        <w:rPr>
          <w:rFonts w:eastAsia="Calibri"/>
          <w:u w:val="single"/>
        </w:rPr>
        <w:t>in</w:t>
      </w:r>
      <w:r w:rsidRPr="00357C8A">
        <w:rPr>
          <w:rFonts w:eastAsia="Calibri"/>
          <w:u w:val="single"/>
        </w:rPr>
        <w:t xml:space="preserve"> 5 </w:t>
      </w:r>
      <w:r w:rsidRPr="00777CF4">
        <w:rPr>
          <w:rFonts w:eastAsia="Calibri"/>
          <w:u w:val="single"/>
        </w:rPr>
        <w:t>CFR 1320</w:t>
      </w:r>
      <w:r w:rsidRPr="00777CF4" w:rsidR="00CC0D7E">
        <w:rPr>
          <w:rFonts w:eastAsia="Calibri"/>
          <w:u w:val="single"/>
        </w:rPr>
        <w:t>.5</w:t>
      </w:r>
    </w:p>
    <w:p w:rsidR="00F80197" w:rsidP="00F80197" w14:paraId="0D409461" w14:textId="77777777">
      <w:pPr>
        <w:rPr>
          <w:rFonts w:eastAsia="Calibri"/>
        </w:rPr>
      </w:pPr>
    </w:p>
    <w:p w:rsidR="005D7CDD" w:rsidP="00F80197" w14:paraId="7CA28E90" w14:textId="1C9B4F5E">
      <w:pPr>
        <w:rPr>
          <w:rFonts w:eastAsia="Calibri"/>
        </w:rPr>
      </w:pPr>
      <w:r w:rsidRPr="005D7CDD">
        <w:rPr>
          <w:rFonts w:eastAsia="Calibri"/>
        </w:rPr>
        <w:t xml:space="preserve">There are no special circumstances </w:t>
      </w:r>
      <w:r w:rsidRPr="005D7CDD">
        <w:rPr>
          <w:rFonts w:eastAsia="Calibri"/>
        </w:rPr>
        <w:t>related to the information collection.</w:t>
      </w:r>
    </w:p>
    <w:p w:rsidR="00F80197" w:rsidRPr="005D7CDD" w:rsidP="00F80197" w14:paraId="0209A5D8" w14:textId="77777777">
      <w:pPr>
        <w:rPr>
          <w:rFonts w:eastAsia="Calibri"/>
        </w:rPr>
      </w:pPr>
    </w:p>
    <w:p w:rsidR="00357C8A" w:rsidRPr="00253F31" w:rsidP="00F80197" w14:paraId="0344243A" w14:textId="77777777">
      <w:pPr>
        <w:keepNext/>
        <w:numPr>
          <w:ilvl w:val="0"/>
          <w:numId w:val="9"/>
        </w:numPr>
        <w:rPr>
          <w:rFonts w:eastAsia="Calibri"/>
        </w:rPr>
      </w:pPr>
      <w:r w:rsidRPr="00253F31">
        <w:rPr>
          <w:rFonts w:eastAsia="Calibri"/>
          <w:u w:val="single"/>
        </w:rPr>
        <w:t>Comments in Response to the Federal Register Notice and Efforts to Consult Outside the Agency</w:t>
      </w:r>
    </w:p>
    <w:p w:rsidR="00F80197" w:rsidP="00F80197" w14:paraId="2A77CFA3" w14:textId="77777777">
      <w:pPr>
        <w:keepNext/>
        <w:contextualSpacing/>
        <w:rPr>
          <w:rFonts w:eastAsia="Calibri"/>
        </w:rPr>
      </w:pPr>
    </w:p>
    <w:p w:rsidR="00792947" w:rsidP="00F80197" w14:paraId="682E6690" w14:textId="2E9BCF98">
      <w:pPr>
        <w:keepNext/>
        <w:contextualSpacing/>
        <w:rPr>
          <w:rFonts w:eastAsia="Calibri"/>
        </w:rPr>
      </w:pPr>
      <w:r w:rsidRPr="0EEEB5CA">
        <w:rPr>
          <w:rFonts w:eastAsia="Calibri"/>
        </w:rPr>
        <w:t>I</w:t>
      </w:r>
      <w:r w:rsidRPr="0EEEB5CA" w:rsidR="59C79B69">
        <w:rPr>
          <w:rFonts w:eastAsia="Calibri"/>
        </w:rPr>
        <w:t xml:space="preserve">n the </w:t>
      </w:r>
      <w:r w:rsidRPr="0EEEB5CA" w:rsidR="59C79B69">
        <w:rPr>
          <w:rFonts w:eastAsia="Calibri"/>
          <w:i/>
          <w:iCs/>
        </w:rPr>
        <w:t>Federal Register</w:t>
      </w:r>
      <w:r w:rsidRPr="0EEEB5CA" w:rsidR="59C79B69">
        <w:rPr>
          <w:rFonts w:eastAsia="Calibri"/>
        </w:rPr>
        <w:t xml:space="preserve"> of </w:t>
      </w:r>
      <w:r w:rsidRPr="0EEEB5CA">
        <w:rPr>
          <w:rFonts w:eastAsia="Calibri"/>
        </w:rPr>
        <w:t xml:space="preserve">July </w:t>
      </w:r>
      <w:r w:rsidRPr="0EEEB5CA" w:rsidR="47E11A72">
        <w:rPr>
          <w:rFonts w:eastAsia="Calibri"/>
        </w:rPr>
        <w:t>25</w:t>
      </w:r>
      <w:r w:rsidRPr="0EEEB5CA">
        <w:rPr>
          <w:rFonts w:eastAsia="Calibri"/>
        </w:rPr>
        <w:t>,</w:t>
      </w:r>
      <w:r w:rsidRPr="0EEEB5CA" w:rsidR="75C9F521">
        <w:rPr>
          <w:rFonts w:eastAsia="Calibri"/>
        </w:rPr>
        <w:t xml:space="preserve"> </w:t>
      </w:r>
      <w:r w:rsidRPr="0EEEB5CA" w:rsidR="47E11A72">
        <w:rPr>
          <w:rFonts w:eastAsia="Calibri"/>
        </w:rPr>
        <w:t>20</w:t>
      </w:r>
      <w:r w:rsidRPr="0EEEB5CA">
        <w:rPr>
          <w:rFonts w:eastAsia="Calibri"/>
        </w:rPr>
        <w:t>22</w:t>
      </w:r>
      <w:r w:rsidRPr="0EEEB5CA" w:rsidR="47E11A72">
        <w:rPr>
          <w:rFonts w:eastAsia="Calibri"/>
        </w:rPr>
        <w:t xml:space="preserve"> (87 FR 44038)</w:t>
      </w:r>
      <w:r w:rsidRPr="0EEEB5CA">
        <w:rPr>
          <w:rFonts w:eastAsia="Calibri"/>
        </w:rPr>
        <w:t>, we published a proposed rule, including an analysis of the information collection, and solicited public comment (docket no. FDA-2021-N-1351).</w:t>
      </w:r>
      <w:r w:rsidRPr="0EEEB5CA" w:rsidR="47E11A72">
        <w:rPr>
          <w:rFonts w:eastAsia="Calibri"/>
        </w:rPr>
        <w:t xml:space="preserve"> </w:t>
      </w:r>
      <w:r w:rsidRPr="0EEEB5CA" w:rsidR="48F4D906">
        <w:rPr>
          <w:rFonts w:eastAsia="Calibri"/>
        </w:rPr>
        <w:t xml:space="preserve"> </w:t>
      </w:r>
      <w:r w:rsidRPr="0EEEB5CA" w:rsidR="5D3BCBBD">
        <w:rPr>
          <w:rFonts w:eastAsia="Calibri"/>
        </w:rPr>
        <w:t xml:space="preserve">We did not receive any comments that were specific to our numeric hour burden estimates.  However, </w:t>
      </w:r>
      <w:r w:rsidR="006361DC">
        <w:rPr>
          <w:rFonts w:eastAsia="Calibri"/>
        </w:rPr>
        <w:t xml:space="preserve">on our own initiative, we modified our estimates to include </w:t>
      </w:r>
      <w:r w:rsidR="00AA0023">
        <w:rPr>
          <w:rFonts w:eastAsia="Calibri"/>
        </w:rPr>
        <w:t>burden hours related to</w:t>
      </w:r>
      <w:r w:rsidR="009822A3">
        <w:rPr>
          <w:rFonts w:eastAsia="Calibri"/>
        </w:rPr>
        <w:t xml:space="preserve"> </w:t>
      </w:r>
      <w:r w:rsidR="009822A3">
        <w:t xml:space="preserve">animal drug label changes, which were inadvertently not included in the analysis of the proposed rule. </w:t>
      </w:r>
      <w:r w:rsidR="00AA0023">
        <w:rPr>
          <w:rFonts w:eastAsia="Calibri"/>
        </w:rPr>
        <w:t xml:space="preserve"> </w:t>
      </w:r>
      <w:r w:rsidR="009822A3">
        <w:rPr>
          <w:rFonts w:eastAsia="Calibri"/>
        </w:rPr>
        <w:t>W</w:t>
      </w:r>
      <w:r w:rsidRPr="0EEEB5CA" w:rsidR="5D3BCBBD">
        <w:rPr>
          <w:rFonts w:eastAsia="Calibri"/>
        </w:rPr>
        <w:t xml:space="preserve">e received numerous comments on the provisions of the proposed rule having to do with the proposed NDC format, the barcode format requirement, and the effective date.  The final rule contains comment summaries and responses for these comments in section V.C through E.  Additionally, we received comments about our cost estimates in the preliminary regulatory impact analysis.  The final rule contains comment summaries and responses for these comments in section VII. C.  </w:t>
      </w:r>
    </w:p>
    <w:p w:rsidR="00AE0F21" w:rsidRPr="00A44E40" w:rsidP="00F80197" w14:paraId="4BBF8C2F" w14:textId="77777777">
      <w:pPr>
        <w:contextualSpacing/>
        <w:rPr>
          <w:rFonts w:eastAsia="Calibri"/>
        </w:rPr>
      </w:pPr>
    </w:p>
    <w:p w:rsidR="005D7CDD" w:rsidP="00F80197" w14:paraId="57218392" w14:textId="77777777">
      <w:pPr>
        <w:numPr>
          <w:ilvl w:val="0"/>
          <w:numId w:val="9"/>
        </w:numPr>
        <w:rPr>
          <w:rFonts w:eastAsia="Calibri"/>
        </w:rPr>
      </w:pPr>
      <w:r w:rsidRPr="00357C8A">
        <w:rPr>
          <w:rFonts w:eastAsia="Calibri"/>
          <w:u w:val="single"/>
        </w:rPr>
        <w:t>Explanation of Any Payment or Gift to Respondents</w:t>
      </w:r>
    </w:p>
    <w:p w:rsidR="00F80197" w:rsidP="00F80197" w14:paraId="3D6FB81A" w14:textId="77777777">
      <w:pPr>
        <w:rPr>
          <w:rFonts w:eastAsia="Calibri"/>
        </w:rPr>
      </w:pPr>
    </w:p>
    <w:p w:rsidR="00792947" w:rsidP="00F80197" w14:paraId="3BC1600A" w14:textId="51657CC0">
      <w:pPr>
        <w:rPr>
          <w:rFonts w:eastAsia="Calibri"/>
        </w:rPr>
      </w:pPr>
      <w:r w:rsidRPr="005D7CDD">
        <w:rPr>
          <w:rFonts w:eastAsia="Calibri"/>
        </w:rPr>
        <w:t>There are no incentives, payments or gifts associated with this information collection.</w:t>
      </w:r>
    </w:p>
    <w:p w:rsidR="00F80197" w:rsidRPr="005D7CDD" w:rsidP="00F80197" w14:paraId="6CC8D52C" w14:textId="77777777">
      <w:pPr>
        <w:rPr>
          <w:rFonts w:eastAsia="Calibri"/>
        </w:rPr>
      </w:pPr>
    </w:p>
    <w:p w:rsidR="00357C8A" w:rsidRPr="00470C63" w:rsidP="00F80197" w14:paraId="048E3DF9" w14:textId="77777777">
      <w:pPr>
        <w:numPr>
          <w:ilvl w:val="0"/>
          <w:numId w:val="9"/>
        </w:numPr>
        <w:rPr>
          <w:rFonts w:eastAsia="Calibri"/>
        </w:rPr>
      </w:pPr>
      <w:r w:rsidRPr="00357C8A">
        <w:rPr>
          <w:rFonts w:eastAsia="Calibri"/>
          <w:u w:val="single"/>
        </w:rPr>
        <w:t>Assurance of Confidentiality Provided to Respondents</w:t>
      </w:r>
    </w:p>
    <w:p w:rsidR="00F80197" w:rsidP="00F80197" w14:paraId="6FD5BB99" w14:textId="77777777">
      <w:pPr>
        <w:rPr>
          <w:rFonts w:eastAsia="Calibri"/>
          <w:i/>
          <w:iCs/>
          <w:color w:val="000000" w:themeColor="text1"/>
        </w:rPr>
      </w:pPr>
    </w:p>
    <w:p w:rsidR="00841F75" w:rsidRPr="00396AD0" w:rsidP="00F80197" w14:paraId="6724D820" w14:textId="6FA6DF69">
      <w:pPr>
        <w:rPr>
          <w:rFonts w:eastAsia="Calibri"/>
          <w:color w:val="000000" w:themeColor="text1"/>
        </w:rPr>
      </w:pPr>
      <w:r w:rsidRPr="00396AD0">
        <w:rPr>
          <w:rFonts w:eastAsia="Calibri"/>
          <w:i/>
          <w:iCs/>
          <w:color w:val="000000" w:themeColor="text1"/>
        </w:rPr>
        <w:t>The Privacy Act of 1974 (5 U.S.C. 552a)</w:t>
      </w:r>
    </w:p>
    <w:p w:rsidR="00F80197" w:rsidP="00F80197" w14:paraId="6995B02A" w14:textId="77777777">
      <w:pPr>
        <w:contextualSpacing/>
        <w:rPr>
          <w:rFonts w:eastAsia="Calibri"/>
        </w:rPr>
      </w:pPr>
    </w:p>
    <w:p w:rsidR="00470C63" w:rsidP="00F80197" w14:paraId="5FEC20DE" w14:textId="758AD18B">
      <w:pPr>
        <w:contextualSpacing/>
        <w:rPr>
          <w:rFonts w:eastAsia="Calibri"/>
        </w:rPr>
      </w:pPr>
      <w:r>
        <w:rPr>
          <w:rFonts w:eastAsia="Calibri"/>
        </w:rPr>
        <w:t>I</w:t>
      </w:r>
      <w:r w:rsidRPr="00470C63">
        <w:rPr>
          <w:rFonts w:eastAsia="Calibri"/>
        </w:rPr>
        <w:t>n preparing this Supporting Statement, we consulted our Privacy Office to ensure appropriate identification and handling of information collected.</w:t>
      </w:r>
    </w:p>
    <w:p w:rsidR="00607125" w:rsidRPr="001238E2" w:rsidP="00F80197" w14:paraId="5D49862C" w14:textId="77777777">
      <w:pPr>
        <w:contextualSpacing/>
        <w:rPr>
          <w:rFonts w:eastAsia="Calibri"/>
        </w:rPr>
      </w:pPr>
    </w:p>
    <w:p w:rsidR="008C7954" w:rsidP="00F80197" w14:paraId="2F34A308" w14:textId="263783E0">
      <w:pPr>
        <w:contextualSpacing/>
      </w:pPr>
      <w:r w:rsidRPr="001238E2">
        <w:t xml:space="preserve">This ICR collects personally identifiable information (PII). PII is collected in the context of the subject individuals’ professional capacity and the FDA-related work they perform for their employer (e.g., point of contact at a regulated entity).  The PII submitted is name, work address, and work telephone numbers for the primary contact at a business.  FDA determined that although PII is collected, the collection is not subject to the Privacy Act of 1974 and the </w:t>
      </w:r>
      <w:r w:rsidRPr="001238E2">
        <w:t>particular notice</w:t>
      </w:r>
      <w:r w:rsidRPr="001238E2">
        <w:t xml:space="preserve"> and other requirements of the </w:t>
      </w:r>
      <w:r w:rsidR="00CD6CB2">
        <w:t xml:space="preserve">Privacy </w:t>
      </w:r>
      <w:r w:rsidRPr="001238E2">
        <w:t>Act do not apply. Specifically, the FDA does not use name or any other personal identifier to retrieve records from the information collected. Through appropriate webpage design, FDA limited submission fields and minimized the PII collected to protect the privacy of the individuals.</w:t>
      </w:r>
    </w:p>
    <w:p w:rsidR="00396AD0" w:rsidRPr="001238E2" w:rsidP="00F80197" w14:paraId="7FACE2DB" w14:textId="77777777">
      <w:pPr>
        <w:contextualSpacing/>
      </w:pPr>
    </w:p>
    <w:p w:rsidR="00396AD0" w:rsidRPr="00396AD0" w:rsidP="00F80197" w14:paraId="06C075B1" w14:textId="6389EA43">
      <w:pPr>
        <w:rPr>
          <w:rFonts w:eastAsia="Calibri"/>
          <w:i/>
          <w:iCs/>
          <w:color w:val="000000" w:themeColor="text1"/>
        </w:rPr>
      </w:pPr>
      <w:r w:rsidRPr="00396AD0">
        <w:rPr>
          <w:rFonts w:eastAsia="Calibri"/>
          <w:i/>
          <w:iCs/>
          <w:color w:val="000000" w:themeColor="text1"/>
        </w:rPr>
        <w:t>The Freedom of Information Act (FOIA)</w:t>
      </w:r>
    </w:p>
    <w:p w:rsidR="00F80197" w:rsidP="00F80197" w14:paraId="039DDEE0" w14:textId="77777777">
      <w:pPr>
        <w:contextualSpacing/>
      </w:pPr>
    </w:p>
    <w:p w:rsidR="008C7954" w:rsidRPr="001238E2" w:rsidP="00F80197" w14:paraId="115F3FA1" w14:textId="2E94200A">
      <w:pPr>
        <w:contextualSpacing/>
      </w:pPr>
      <w:r w:rsidRPr="001238E2">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607125" w:rsidRPr="00470C63" w:rsidP="00F80197" w14:paraId="7BCE5FFB" w14:textId="77777777">
      <w:pPr>
        <w:contextualSpacing/>
        <w:rPr>
          <w:rFonts w:eastAsia="Calibri"/>
        </w:rPr>
      </w:pPr>
    </w:p>
    <w:p w:rsidR="00357C8A" w:rsidRPr="005D7CDD" w:rsidP="00F80197" w14:paraId="4EDACA8B" w14:textId="77777777">
      <w:pPr>
        <w:numPr>
          <w:ilvl w:val="0"/>
          <w:numId w:val="9"/>
        </w:numPr>
        <w:rPr>
          <w:rFonts w:eastAsia="Calibri"/>
        </w:rPr>
      </w:pPr>
      <w:r w:rsidRPr="00357C8A">
        <w:rPr>
          <w:rFonts w:eastAsia="Calibri"/>
          <w:u w:val="single"/>
        </w:rPr>
        <w:t>Justification for Sensitive Questions</w:t>
      </w:r>
    </w:p>
    <w:p w:rsidR="00F80197" w:rsidP="00F80197" w14:paraId="60ADEAB1" w14:textId="77777777">
      <w:pPr>
        <w:contextualSpacing/>
        <w:rPr>
          <w:rFonts w:eastAsia="Calibri"/>
        </w:rPr>
      </w:pPr>
    </w:p>
    <w:p w:rsidR="00357C8A" w:rsidP="00F80197" w14:paraId="3A990BFD" w14:textId="5A7BF68A">
      <w:pPr>
        <w:contextualSpacing/>
        <w:rPr>
          <w:rFonts w:eastAsia="Calibri"/>
        </w:rPr>
      </w:pPr>
      <w:r w:rsidRPr="005D7CDD">
        <w:rPr>
          <w:rFonts w:eastAsia="Calibri"/>
        </w:rPr>
        <w:t>The collection of information does not involve sensitive questions</w:t>
      </w:r>
      <w:r w:rsidRPr="005D7CDD" w:rsidR="005D7CDD">
        <w:rPr>
          <w:rFonts w:eastAsia="Calibri"/>
        </w:rPr>
        <w:t>.</w:t>
      </w:r>
    </w:p>
    <w:p w:rsidR="00072D4C" w:rsidRPr="005D7CDD" w:rsidP="00F80197" w14:paraId="1ECE380A" w14:textId="77777777">
      <w:pPr>
        <w:contextualSpacing/>
        <w:rPr>
          <w:rFonts w:eastAsia="Calibri"/>
        </w:rPr>
      </w:pPr>
    </w:p>
    <w:p w:rsidR="00357C8A" w:rsidP="00F80197" w14:paraId="1C6DCC6B" w14:textId="77777777">
      <w:pPr>
        <w:keepNext/>
        <w:numPr>
          <w:ilvl w:val="0"/>
          <w:numId w:val="9"/>
        </w:numPr>
        <w:rPr>
          <w:rFonts w:eastAsia="Calibri"/>
          <w:u w:val="single"/>
        </w:rPr>
      </w:pPr>
      <w:r w:rsidRPr="00357C8A">
        <w:rPr>
          <w:rFonts w:eastAsia="Calibri"/>
          <w:u w:val="single"/>
        </w:rPr>
        <w:t>Estimates of Annualized Burden Hours and Cost</w:t>
      </w:r>
    </w:p>
    <w:p w:rsidR="00F80197" w:rsidRPr="00357C8A" w:rsidP="00F80197" w14:paraId="3642017E" w14:textId="77777777">
      <w:pPr>
        <w:keepNext/>
        <w:rPr>
          <w:rFonts w:eastAsia="Calibri"/>
          <w:u w:val="single"/>
        </w:rPr>
      </w:pPr>
    </w:p>
    <w:p w:rsidR="00003C33" w:rsidP="00F80197" w14:paraId="3B47E0BD" w14:textId="77777777">
      <w:pPr>
        <w:keepNext/>
        <w:ind w:left="360"/>
        <w:rPr>
          <w:rFonts w:eastAsia="Calibri"/>
        </w:rPr>
      </w:pPr>
      <w:r w:rsidRPr="005C71CA">
        <w:rPr>
          <w:rFonts w:eastAsia="Calibri"/>
        </w:rPr>
        <w:t>12a.  Annualized Hour Burden Estimate</w:t>
      </w:r>
    </w:p>
    <w:p w:rsidR="00A82F7F" w:rsidP="00F80197" w14:paraId="0B9532DF" w14:textId="77777777">
      <w:pPr>
        <w:keepNext/>
        <w:ind w:left="360"/>
        <w:rPr>
          <w:rFonts w:eastAsia="Calibri"/>
        </w:rPr>
      </w:pPr>
    </w:p>
    <w:p w:rsidR="00563F8B" w:rsidRPr="00F80197" w:rsidP="00F80197" w14:paraId="3FB6B1C8" w14:textId="64CE0919">
      <w:pPr>
        <w:contextualSpacing/>
      </w:pPr>
      <w:r w:rsidRPr="00F80197">
        <w:t xml:space="preserve">This rulemaking requires the respondents identified below to revise the format of their NDCs and to update any of their product labeling that include the NDC to incorporate the new NDC format.  For drugs subject to a new drug application (NDA) or abbreviated new drug application (ANDA), the respondents </w:t>
      </w:r>
      <w:r w:rsidRPr="00F80197" w:rsidR="006D32DF">
        <w:t>must</w:t>
      </w:r>
      <w:r w:rsidRPr="00F80197" w:rsidR="00A43F69">
        <w:t xml:space="preserve"> </w:t>
      </w:r>
      <w:r w:rsidRPr="00F80197">
        <w:t>report these labeling changes through an annual report</w:t>
      </w:r>
      <w:r w:rsidRPr="00F80197" w:rsidR="00A43F69">
        <w:t xml:space="preserve"> in accordance</w:t>
      </w:r>
      <w:r w:rsidRPr="00F80197">
        <w:t xml:space="preserve"> with § 314.81(b)(2)(iii) (21 CFR 314.81(b)(2)(iii)).  For biological products subject to a biologics license application (BLA), the respondents </w:t>
      </w:r>
      <w:r w:rsidRPr="00F80197" w:rsidR="00A43F69">
        <w:t>must</w:t>
      </w:r>
      <w:r w:rsidRPr="00F80197">
        <w:t xml:space="preserve"> report these labeling changes through an annual report</w:t>
      </w:r>
      <w:r w:rsidRPr="00F80197" w:rsidR="00A43F69">
        <w:t xml:space="preserve"> in accordance</w:t>
      </w:r>
      <w:r w:rsidRPr="00F80197">
        <w:t xml:space="preserve"> with § 601.12(f)(3) (21 CFR 601.12(f)(3)).  Including the NDC on the label of an animal drug is voluntary.  Manufacturers that voluntarily include the NDC on the label of an animal drug </w:t>
      </w:r>
      <w:r w:rsidRPr="00F80197" w:rsidR="00CA4231">
        <w:t>must</w:t>
      </w:r>
      <w:r w:rsidRPr="00F80197">
        <w:t xml:space="preserve"> report the labeling change in accordance with 21 CFR 514.80(b)(4)(ii).</w:t>
      </w:r>
    </w:p>
    <w:p w:rsidR="00563F8B" w:rsidRPr="00F80197" w:rsidP="00F80197" w14:paraId="3B6C66E9" w14:textId="77777777">
      <w:pPr>
        <w:contextualSpacing/>
      </w:pPr>
    </w:p>
    <w:p w:rsidR="00563F8B" w:rsidP="00F80197" w14:paraId="4A7C825F" w14:textId="3BA27FA8">
      <w:pPr>
        <w:contextualSpacing/>
      </w:pPr>
      <w:r w:rsidRPr="00F80197">
        <w:t>One-time costs and annual operating and maintenance costs associated with this rule are</w:t>
      </w:r>
      <w:r w:rsidRPr="004D3397">
        <w:t xml:space="preserve"> discussed </w:t>
      </w:r>
      <w:r w:rsidR="00BF3D0E">
        <w:t>in the final rule preamble (</w:t>
      </w:r>
      <w:r w:rsidRPr="004D3397">
        <w:t>Section VII.B—Overview of Benefits, Costs, and Transfers</w:t>
      </w:r>
      <w:r w:rsidR="00BF3D0E">
        <w:t>)</w:t>
      </w:r>
      <w:r>
        <w:t xml:space="preserve"> and in the </w:t>
      </w:r>
      <w:r w:rsidRPr="00F131CE">
        <w:t>final regulatory impact analysis (FRIA)</w:t>
      </w:r>
      <w:r>
        <w:t xml:space="preserve">.  However, many of these costs are not associated with the information collections subject to OMB review under the PRA but, instead, are associated with changes in usual and customary business operations </w:t>
      </w:r>
      <w:r>
        <w:t>as a result of</w:t>
      </w:r>
      <w:r>
        <w:t xml:space="preserve"> the new NDC format.  Additionally, many of the costs discussed in the FRIA are incurred by firms other than the respondents described below.  </w:t>
      </w:r>
    </w:p>
    <w:p w:rsidR="00864B33" w:rsidP="00F80197" w14:paraId="1E9A4E70" w14:textId="77777777">
      <w:pPr>
        <w:contextualSpacing/>
      </w:pPr>
    </w:p>
    <w:p w:rsidR="00563F8B" w:rsidP="00F80197" w14:paraId="5CAF985C" w14:textId="1B284817">
      <w:pPr>
        <w:tabs>
          <w:tab w:val="center" w:pos="4680"/>
        </w:tabs>
        <w:contextualSpacing/>
      </w:pPr>
      <w:r>
        <w:t xml:space="preserve">To minimize recordkeeping burden resulting from changes to the NDC format, </w:t>
      </w:r>
      <w:r w:rsidR="00D2491D">
        <w:t>in the final rule we extended</w:t>
      </w:r>
      <w:r w:rsidRPr="00A33EA9" w:rsidR="00D2491D">
        <w:t xml:space="preserve"> the effective date </w:t>
      </w:r>
      <w:r w:rsidR="00D2491D">
        <w:t xml:space="preserve">from the proposed five years after publication </w:t>
      </w:r>
      <w:r w:rsidRPr="00A33EA9" w:rsidR="00D2491D">
        <w:t>to seven years</w:t>
      </w:r>
      <w:r w:rsidR="00D2491D">
        <w:t xml:space="preserve"> </w:t>
      </w:r>
      <w:r w:rsidR="00034AFB">
        <w:t>and we provided</w:t>
      </w:r>
      <w:r>
        <w:t xml:space="preserve"> a 3-year </w:t>
      </w:r>
      <w:r w:rsidR="005B375D">
        <w:t xml:space="preserve">transition </w:t>
      </w:r>
      <w:r>
        <w:t>period.</w:t>
      </w:r>
      <w:r w:rsidR="00864B33">
        <w:t xml:space="preserve"> </w:t>
      </w:r>
      <w:r>
        <w:t xml:space="preserve"> The purpose of </w:t>
      </w:r>
      <w:r w:rsidR="005B375D">
        <w:t>the transition period</w:t>
      </w:r>
      <w:r>
        <w:t xml:space="preserve"> is to </w:t>
      </w:r>
      <w:r w:rsidR="00D768EA">
        <w:t xml:space="preserve">mitigate potential </w:t>
      </w:r>
      <w:r w:rsidR="000E7EB1">
        <w:t xml:space="preserve">labeling </w:t>
      </w:r>
      <w:r w:rsidR="00227110">
        <w:t xml:space="preserve">costs </w:t>
      </w:r>
      <w:r w:rsidR="000E7EB1">
        <w:t xml:space="preserve">by </w:t>
      </w:r>
      <w:r>
        <w:t>allow</w:t>
      </w:r>
      <w:r w:rsidR="000E7EB1">
        <w:t>ing</w:t>
      </w:r>
      <w:r>
        <w:t xml:space="preserve"> respondents to </w:t>
      </w:r>
      <w:r w:rsidR="0028122F">
        <w:t xml:space="preserve">deplete </w:t>
      </w:r>
      <w:r w:rsidR="000C2BFE">
        <w:t xml:space="preserve">labeling inventory and </w:t>
      </w:r>
      <w:r w:rsidR="003A485B">
        <w:t>update labels with the new</w:t>
      </w:r>
      <w:r>
        <w:t xml:space="preserve"> NDC format at the time of </w:t>
      </w:r>
      <w:r w:rsidR="009F4F42">
        <w:t xml:space="preserve">a </w:t>
      </w:r>
      <w:r>
        <w:t>periodic</w:t>
      </w:r>
      <w:r w:rsidR="004A0D8E">
        <w:t xml:space="preserve"> labeling</w:t>
      </w:r>
      <w:r>
        <w:t xml:space="preserve"> update that may be made during the 3-year </w:t>
      </w:r>
      <w:r w:rsidR="005B0813">
        <w:t xml:space="preserve">transition </w:t>
      </w:r>
      <w:r>
        <w:t xml:space="preserve">period.  Based on the frequency at which drug labeling is </w:t>
      </w:r>
      <w:r w:rsidR="008E06D8">
        <w:t xml:space="preserve">typically </w:t>
      </w:r>
      <w:r>
        <w:t xml:space="preserve">updated, we anticipate that nearly all firms will be able to incorporate the labeling change required by the final rule as part of a </w:t>
      </w:r>
      <w:r w:rsidR="002474C5">
        <w:t xml:space="preserve">periodic </w:t>
      </w:r>
      <w:r>
        <w:t>labeling change that they intend to make unrelated to this rule.  Therefore, we believe that the incremental information collection burden associated with this rule</w:t>
      </w:r>
      <w:r w:rsidR="005D710D">
        <w:t xml:space="preserve"> </w:t>
      </w:r>
      <w:r>
        <w:t xml:space="preserve">is likely to be de minimis.  </w:t>
      </w:r>
      <w:r w:rsidRPr="00F80197" w:rsidR="004B1C0B">
        <w:t xml:space="preserve">As a result of the extension in the delayed effective date, which allows for more precise timing of labeling changes, and for consistency with the FRIA, we have modified our estimate of </w:t>
      </w:r>
      <w:r w:rsidRPr="00F80197">
        <w:t xml:space="preserve">the one-time burden associated with the final rule, assuming that all finished prescription drug products and all finished over-the-counter drug products include the NDC on the label and </w:t>
      </w:r>
      <w:r w:rsidRPr="00F80197" w:rsidR="008A04F0">
        <w:t>that 95% of the label updates</w:t>
      </w:r>
      <w:r w:rsidRPr="00F80197" w:rsidR="00A778D2">
        <w:t xml:space="preserve"> with the new NDC format will be made </w:t>
      </w:r>
      <w:r w:rsidRPr="00F80197" w:rsidR="00835C40">
        <w:t xml:space="preserve">in coordination </w:t>
      </w:r>
      <w:r w:rsidRPr="00F80197" w:rsidR="0003579D">
        <w:t xml:space="preserve">with a </w:t>
      </w:r>
      <w:r w:rsidRPr="00F80197" w:rsidR="0033788E">
        <w:t>periodic</w:t>
      </w:r>
      <w:r w:rsidRPr="00F80197" w:rsidR="00967C3B">
        <w:t xml:space="preserve"> labeling change that they intend to make unrelated to this rule</w:t>
      </w:r>
      <w:r w:rsidRPr="00F80197">
        <w:t>.</w:t>
      </w:r>
    </w:p>
    <w:p w:rsidR="00864B33" w:rsidRPr="00205DA3" w:rsidP="00F80197" w14:paraId="21D97870" w14:textId="77777777">
      <w:pPr>
        <w:tabs>
          <w:tab w:val="center" w:pos="4680"/>
        </w:tabs>
        <w:contextualSpacing/>
      </w:pPr>
    </w:p>
    <w:p w:rsidR="00563F8B" w:rsidP="00F80197" w14:paraId="5774F183" w14:textId="692B9EE7">
      <w:pPr>
        <w:contextualSpacing/>
      </w:pPr>
      <w:r w:rsidRPr="00BE4D63">
        <w:rPr>
          <w:i/>
        </w:rPr>
        <w:t>Description of Respondents</w:t>
      </w:r>
      <w:r w:rsidRPr="00BE4D63">
        <w:t>:</w:t>
      </w:r>
      <w:r>
        <w:t xml:space="preserve">  </w:t>
      </w:r>
      <w:r w:rsidRPr="00FC3AB8">
        <w:t xml:space="preserve">Manufacturers, </w:t>
      </w:r>
      <w:r w:rsidRPr="00FC3AB8">
        <w:t>repackers</w:t>
      </w:r>
      <w:r w:rsidRPr="00FC3AB8">
        <w:t xml:space="preserve">, </w:t>
      </w:r>
      <w:r w:rsidRPr="00FC3AB8">
        <w:t>relabelers</w:t>
      </w:r>
      <w:r w:rsidRPr="00FC3AB8">
        <w:t>, drug product salvagers, and private label distributors are subject to the regulatory requirements in 21 CFR parts 201 and 207</w:t>
      </w:r>
      <w:r w:rsidR="00FE3123">
        <w:t>;</w:t>
      </w:r>
      <w:r w:rsidRPr="00FC3AB8">
        <w:t xml:space="preserve"> application holders are subject to the regulatory requirements of §§ 314.81</w:t>
      </w:r>
      <w:r>
        <w:t xml:space="preserve"> and 514.80</w:t>
      </w:r>
      <w:r w:rsidR="00FE3123">
        <w:t>;</w:t>
      </w:r>
      <w:r w:rsidRPr="00FC3AB8">
        <w:t xml:space="preserve"> and license holders are subject to the regulatory requirements of § 601.12.</w:t>
      </w:r>
      <w:r>
        <w:t xml:space="preserve"> </w:t>
      </w:r>
    </w:p>
    <w:p w:rsidR="00864B33" w:rsidP="00F80197" w14:paraId="7EE45CCA" w14:textId="77777777">
      <w:pPr>
        <w:ind w:firstLine="720"/>
        <w:contextualSpacing/>
      </w:pPr>
    </w:p>
    <w:p w:rsidR="00150331" w:rsidP="00F80197" w14:paraId="011FC138" w14:textId="34F65399">
      <w:pPr>
        <w:contextualSpacing/>
      </w:pPr>
      <w:r>
        <w:t>We estimate the burden of the information collection as follows:</w:t>
      </w:r>
    </w:p>
    <w:p w:rsidR="00EE1F93" w:rsidP="00F80197" w14:paraId="304A0768" w14:textId="77777777">
      <w:pPr>
        <w:contextualSpacing/>
      </w:pPr>
    </w:p>
    <w:p w:rsidR="00EE1F93" w:rsidRPr="00C92FAD" w:rsidP="00F80197" w14:paraId="338AE3B4" w14:textId="4383C749">
      <w:pPr>
        <w:keepNext/>
        <w:contextualSpacing/>
        <w:rPr>
          <w:i/>
          <w:iCs/>
        </w:rPr>
      </w:pPr>
      <w:r w:rsidRPr="00C92FAD">
        <w:rPr>
          <w:i/>
          <w:iCs/>
        </w:rPr>
        <w:t>R</w:t>
      </w:r>
      <w:r w:rsidRPr="00C92FAD" w:rsidR="00822838">
        <w:rPr>
          <w:i/>
          <w:iCs/>
        </w:rPr>
        <w:t xml:space="preserve">ecordkeeping </w:t>
      </w:r>
      <w:r w:rsidRPr="00C92FAD">
        <w:rPr>
          <w:i/>
          <w:iCs/>
        </w:rPr>
        <w:t xml:space="preserve">burden </w:t>
      </w:r>
      <w:r w:rsidRPr="00C92FAD" w:rsidR="00822838">
        <w:rPr>
          <w:i/>
          <w:iCs/>
        </w:rPr>
        <w:t xml:space="preserve">related to </w:t>
      </w:r>
      <w:r w:rsidRPr="00C92FAD" w:rsidR="00D076F1">
        <w:rPr>
          <w:i/>
          <w:iCs/>
        </w:rPr>
        <w:t>labeling updates:</w:t>
      </w:r>
    </w:p>
    <w:p w:rsidR="00864B33" w:rsidP="00F80197" w14:paraId="564718FE" w14:textId="77777777">
      <w:pPr>
        <w:keepNext/>
        <w:contextualSpacing/>
      </w:pPr>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1"/>
        <w:gridCol w:w="1529"/>
        <w:gridCol w:w="1623"/>
        <w:gridCol w:w="1279"/>
        <w:gridCol w:w="1506"/>
        <w:gridCol w:w="901"/>
      </w:tblGrid>
      <w:tr w14:paraId="79775211" w14:textId="77777777" w:rsidTr="00F63A89">
        <w:tblPrEx>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jc w:val="center"/>
        </w:trPr>
        <w:tc>
          <w:tcPr>
            <w:tcW w:w="5000" w:type="pct"/>
            <w:gridSpan w:val="6"/>
            <w:tcBorders>
              <w:top w:val="nil"/>
              <w:left w:val="nil"/>
              <w:right w:val="nil"/>
            </w:tcBorders>
            <w:shd w:val="clear" w:color="auto" w:fill="auto"/>
          </w:tcPr>
          <w:p w:rsidR="00563F8B" w:rsidP="00F80197" w14:paraId="2E792B1A" w14:textId="3542D3AE">
            <w:pPr>
              <w:keepNext/>
              <w:jc w:val="center"/>
              <w:rPr>
                <w:kern w:val="24"/>
                <w:sz w:val="20"/>
                <w:szCs w:val="20"/>
              </w:rPr>
            </w:pPr>
            <w:r>
              <w:rPr>
                <w:kern w:val="24"/>
                <w:sz w:val="20"/>
                <w:szCs w:val="20"/>
              </w:rPr>
              <w:t xml:space="preserve">Table </w:t>
            </w:r>
            <w:r w:rsidR="00601363">
              <w:rPr>
                <w:kern w:val="24"/>
                <w:sz w:val="20"/>
                <w:szCs w:val="20"/>
              </w:rPr>
              <w:t>1</w:t>
            </w:r>
            <w:r>
              <w:rPr>
                <w:kern w:val="24"/>
                <w:sz w:val="20"/>
                <w:szCs w:val="20"/>
              </w:rPr>
              <w:t>.--Estimated One-Time Recordkeeping Burden</w:t>
            </w:r>
            <w:r>
              <w:rPr>
                <w:kern w:val="24"/>
                <w:sz w:val="20"/>
                <w:szCs w:val="20"/>
                <w:vertAlign w:val="superscript"/>
              </w:rPr>
              <w:t>1</w:t>
            </w:r>
          </w:p>
        </w:tc>
      </w:tr>
      <w:tr w14:paraId="2C904ECB" w14:textId="77777777" w:rsidTr="00F40861">
        <w:tblPrEx>
          <w:tblW w:w="5066" w:type="pct"/>
          <w:jc w:val="center"/>
          <w:tblLayout w:type="fixed"/>
          <w:tblLook w:val="01E0"/>
        </w:tblPrEx>
        <w:trPr>
          <w:cantSplit/>
          <w:trHeight w:val="20"/>
          <w:jc w:val="center"/>
        </w:trPr>
        <w:tc>
          <w:tcPr>
            <w:tcW w:w="1449" w:type="pct"/>
            <w:shd w:val="clear" w:color="auto" w:fill="auto"/>
          </w:tcPr>
          <w:p w:rsidR="00563F8B" w:rsidP="00F80197" w14:paraId="71945D45" w14:textId="77777777">
            <w:pPr>
              <w:keepNext/>
              <w:jc w:val="center"/>
              <w:rPr>
                <w:kern w:val="24"/>
                <w:sz w:val="20"/>
                <w:szCs w:val="20"/>
              </w:rPr>
            </w:pPr>
            <w:r>
              <w:rPr>
                <w:kern w:val="24"/>
                <w:sz w:val="20"/>
                <w:szCs w:val="20"/>
              </w:rPr>
              <w:t>21 CFR Section;</w:t>
            </w:r>
          </w:p>
          <w:p w:rsidR="00563F8B" w:rsidP="00F80197" w14:paraId="63CB0D16" w14:textId="77777777">
            <w:pPr>
              <w:keepNext/>
              <w:jc w:val="center"/>
              <w:rPr>
                <w:kern w:val="24"/>
                <w:sz w:val="20"/>
                <w:szCs w:val="20"/>
              </w:rPr>
            </w:pPr>
            <w:r>
              <w:rPr>
                <w:kern w:val="24"/>
                <w:sz w:val="20"/>
                <w:szCs w:val="20"/>
              </w:rPr>
              <w:t>Activity</w:t>
            </w:r>
          </w:p>
          <w:p w:rsidR="00563F8B" w:rsidP="00F80197" w14:paraId="7FC1E9EB" w14:textId="77777777">
            <w:pPr>
              <w:keepNext/>
              <w:jc w:val="center"/>
              <w:rPr>
                <w:kern w:val="24"/>
                <w:sz w:val="20"/>
                <w:szCs w:val="20"/>
              </w:rPr>
            </w:pPr>
          </w:p>
        </w:tc>
        <w:tc>
          <w:tcPr>
            <w:tcW w:w="794" w:type="pct"/>
            <w:shd w:val="clear" w:color="auto" w:fill="auto"/>
          </w:tcPr>
          <w:p w:rsidR="00563F8B" w:rsidP="00F80197" w14:paraId="4D37CFE9" w14:textId="77777777">
            <w:pPr>
              <w:keepNext/>
              <w:jc w:val="center"/>
              <w:rPr>
                <w:kern w:val="24"/>
                <w:sz w:val="20"/>
                <w:szCs w:val="20"/>
              </w:rPr>
            </w:pPr>
            <w:r>
              <w:rPr>
                <w:kern w:val="24"/>
                <w:sz w:val="20"/>
                <w:szCs w:val="20"/>
              </w:rPr>
              <w:t xml:space="preserve">No. of </w:t>
            </w:r>
          </w:p>
          <w:p w:rsidR="00563F8B" w:rsidP="00F80197" w14:paraId="712FFB14" w14:textId="77777777">
            <w:pPr>
              <w:keepNext/>
              <w:jc w:val="center"/>
              <w:rPr>
                <w:kern w:val="24"/>
                <w:sz w:val="20"/>
                <w:szCs w:val="20"/>
              </w:rPr>
            </w:pPr>
            <w:r>
              <w:rPr>
                <w:kern w:val="24"/>
                <w:sz w:val="20"/>
                <w:szCs w:val="20"/>
              </w:rPr>
              <w:t>Recordkeepers</w:t>
            </w:r>
          </w:p>
        </w:tc>
        <w:tc>
          <w:tcPr>
            <w:tcW w:w="843" w:type="pct"/>
            <w:shd w:val="clear" w:color="auto" w:fill="auto"/>
          </w:tcPr>
          <w:p w:rsidR="00563F8B" w:rsidP="00F80197" w14:paraId="58C01B83" w14:textId="77777777">
            <w:pPr>
              <w:keepNext/>
              <w:jc w:val="center"/>
              <w:rPr>
                <w:kern w:val="24"/>
                <w:sz w:val="20"/>
                <w:szCs w:val="20"/>
              </w:rPr>
            </w:pPr>
            <w:r>
              <w:rPr>
                <w:bCs/>
                <w:kern w:val="24"/>
                <w:sz w:val="20"/>
                <w:szCs w:val="20"/>
              </w:rPr>
              <w:t xml:space="preserve">No. of Records per </w:t>
            </w:r>
            <w:r>
              <w:rPr>
                <w:kern w:val="24"/>
                <w:sz w:val="20"/>
                <w:szCs w:val="20"/>
              </w:rPr>
              <w:t>Recordkeeper</w:t>
            </w:r>
          </w:p>
        </w:tc>
        <w:tc>
          <w:tcPr>
            <w:tcW w:w="664" w:type="pct"/>
            <w:shd w:val="clear" w:color="auto" w:fill="auto"/>
          </w:tcPr>
          <w:p w:rsidR="00563F8B" w:rsidP="00F80197" w14:paraId="5CEC4422" w14:textId="77777777">
            <w:pPr>
              <w:keepNext/>
              <w:jc w:val="center"/>
              <w:rPr>
                <w:kern w:val="24"/>
                <w:sz w:val="20"/>
                <w:szCs w:val="20"/>
              </w:rPr>
            </w:pPr>
            <w:r>
              <w:rPr>
                <w:kern w:val="24"/>
                <w:sz w:val="20"/>
                <w:szCs w:val="20"/>
              </w:rPr>
              <w:t>Total Annual Records</w:t>
            </w:r>
          </w:p>
        </w:tc>
        <w:tc>
          <w:tcPr>
            <w:tcW w:w="782" w:type="pct"/>
            <w:shd w:val="clear" w:color="auto" w:fill="auto"/>
          </w:tcPr>
          <w:p w:rsidR="00563F8B" w:rsidP="00F80197" w14:paraId="6EFEBA7E" w14:textId="77777777">
            <w:pPr>
              <w:keepNext/>
              <w:jc w:val="center"/>
              <w:rPr>
                <w:kern w:val="24"/>
                <w:sz w:val="20"/>
                <w:szCs w:val="20"/>
              </w:rPr>
            </w:pPr>
            <w:r>
              <w:rPr>
                <w:bCs/>
                <w:kern w:val="24"/>
                <w:sz w:val="20"/>
                <w:szCs w:val="20"/>
              </w:rPr>
              <w:t>Average Burden per Recordkeeping</w:t>
            </w:r>
          </w:p>
        </w:tc>
        <w:tc>
          <w:tcPr>
            <w:tcW w:w="468" w:type="pct"/>
            <w:shd w:val="clear" w:color="auto" w:fill="auto"/>
          </w:tcPr>
          <w:p w:rsidR="00563F8B" w:rsidP="00F80197" w14:paraId="3D45746D" w14:textId="77777777">
            <w:pPr>
              <w:keepNext/>
              <w:jc w:val="center"/>
              <w:rPr>
                <w:kern w:val="24"/>
                <w:sz w:val="20"/>
                <w:szCs w:val="20"/>
              </w:rPr>
            </w:pPr>
            <w:r>
              <w:rPr>
                <w:kern w:val="24"/>
                <w:sz w:val="20"/>
                <w:szCs w:val="20"/>
              </w:rPr>
              <w:t>Total Hours</w:t>
            </w:r>
          </w:p>
        </w:tc>
      </w:tr>
      <w:tr w14:paraId="478800DE" w14:textId="77777777" w:rsidTr="00F80197">
        <w:tblPrEx>
          <w:tblW w:w="5066" w:type="pct"/>
          <w:jc w:val="center"/>
          <w:tblLayout w:type="fixed"/>
          <w:tblLook w:val="01E0"/>
        </w:tblPrEx>
        <w:trPr>
          <w:cantSplit/>
          <w:trHeight w:val="20"/>
          <w:jc w:val="center"/>
        </w:trPr>
        <w:tc>
          <w:tcPr>
            <w:tcW w:w="1449" w:type="pct"/>
            <w:shd w:val="clear" w:color="auto" w:fill="auto"/>
          </w:tcPr>
          <w:p w:rsidR="00563F8B" w:rsidP="00F80197" w14:paraId="6661BFFE" w14:textId="77777777">
            <w:pPr>
              <w:keepNext/>
              <w:rPr>
                <w:kern w:val="24"/>
                <w:sz w:val="20"/>
                <w:szCs w:val="20"/>
              </w:rPr>
            </w:pPr>
            <w:r>
              <w:rPr>
                <w:kern w:val="24"/>
                <w:sz w:val="20"/>
                <w:szCs w:val="20"/>
              </w:rPr>
              <w:t xml:space="preserve">Section 201.25 (barcode labeling requirements); and part 207, subpart D (requirements for the NDC) </w:t>
            </w:r>
          </w:p>
          <w:p w:rsidR="00A23304" w:rsidP="00F80197" w14:paraId="372B8961" w14:textId="2B1E737C">
            <w:pPr>
              <w:keepNext/>
              <w:rPr>
                <w:kern w:val="24"/>
                <w:sz w:val="20"/>
                <w:szCs w:val="20"/>
              </w:rPr>
            </w:pPr>
          </w:p>
        </w:tc>
        <w:tc>
          <w:tcPr>
            <w:tcW w:w="794" w:type="pct"/>
            <w:shd w:val="clear" w:color="auto" w:fill="auto"/>
          </w:tcPr>
          <w:p w:rsidR="00563F8B" w:rsidP="00F80197" w14:paraId="1C421A98" w14:textId="77777777">
            <w:pPr>
              <w:keepNext/>
              <w:jc w:val="right"/>
              <w:rPr>
                <w:kern w:val="24"/>
                <w:sz w:val="20"/>
                <w:szCs w:val="20"/>
              </w:rPr>
            </w:pPr>
          </w:p>
          <w:p w:rsidR="00563F8B" w:rsidP="00F80197" w14:paraId="2F02F038" w14:textId="318106F9">
            <w:pPr>
              <w:keepNext/>
              <w:jc w:val="right"/>
              <w:rPr>
                <w:kern w:val="24"/>
                <w:sz w:val="20"/>
                <w:szCs w:val="20"/>
              </w:rPr>
            </w:pPr>
            <w:r w:rsidRPr="002027AA">
              <w:rPr>
                <w:kern w:val="24"/>
                <w:sz w:val="20"/>
                <w:szCs w:val="20"/>
              </w:rPr>
              <w:t>13,583</w:t>
            </w:r>
          </w:p>
        </w:tc>
        <w:tc>
          <w:tcPr>
            <w:tcW w:w="843" w:type="pct"/>
            <w:shd w:val="clear" w:color="auto" w:fill="auto"/>
          </w:tcPr>
          <w:p w:rsidR="00563F8B" w:rsidP="00F80197" w14:paraId="1EC65443" w14:textId="77777777">
            <w:pPr>
              <w:keepNext/>
              <w:jc w:val="right"/>
              <w:rPr>
                <w:kern w:val="24"/>
                <w:sz w:val="20"/>
                <w:szCs w:val="20"/>
              </w:rPr>
            </w:pPr>
          </w:p>
          <w:p w:rsidR="00563F8B" w:rsidP="00F80197" w14:paraId="399B3F7E" w14:textId="3DF554ED">
            <w:pPr>
              <w:keepNext/>
              <w:jc w:val="right"/>
              <w:rPr>
                <w:kern w:val="24"/>
                <w:sz w:val="20"/>
                <w:szCs w:val="20"/>
              </w:rPr>
            </w:pPr>
            <w:r>
              <w:rPr>
                <w:kern w:val="24"/>
                <w:sz w:val="20"/>
                <w:szCs w:val="20"/>
              </w:rPr>
              <w:t>1</w:t>
            </w:r>
          </w:p>
        </w:tc>
        <w:tc>
          <w:tcPr>
            <w:tcW w:w="664" w:type="pct"/>
            <w:shd w:val="clear" w:color="auto" w:fill="auto"/>
          </w:tcPr>
          <w:p w:rsidR="00563F8B" w:rsidP="00F80197" w14:paraId="13DFA49C" w14:textId="77777777">
            <w:pPr>
              <w:keepNext/>
              <w:jc w:val="right"/>
              <w:rPr>
                <w:kern w:val="24"/>
                <w:sz w:val="20"/>
                <w:szCs w:val="20"/>
              </w:rPr>
            </w:pPr>
          </w:p>
          <w:p w:rsidR="00563F8B" w:rsidP="00F80197" w14:paraId="05BAB45D" w14:textId="07C7D31B">
            <w:pPr>
              <w:keepNext/>
              <w:jc w:val="right"/>
              <w:rPr>
                <w:kern w:val="24"/>
                <w:sz w:val="20"/>
                <w:szCs w:val="20"/>
              </w:rPr>
            </w:pPr>
            <w:r w:rsidRPr="002027AA">
              <w:rPr>
                <w:kern w:val="24"/>
                <w:sz w:val="20"/>
                <w:szCs w:val="20"/>
              </w:rPr>
              <w:t>13,583</w:t>
            </w:r>
          </w:p>
        </w:tc>
        <w:tc>
          <w:tcPr>
            <w:tcW w:w="782" w:type="pct"/>
            <w:shd w:val="clear" w:color="auto" w:fill="auto"/>
          </w:tcPr>
          <w:p w:rsidR="005147EA" w:rsidP="00F80197" w14:paraId="7A6627F6" w14:textId="77777777">
            <w:pPr>
              <w:keepNext/>
              <w:jc w:val="right"/>
              <w:rPr>
                <w:kern w:val="24"/>
                <w:sz w:val="20"/>
                <w:szCs w:val="20"/>
              </w:rPr>
            </w:pPr>
          </w:p>
          <w:p w:rsidR="00563F8B" w:rsidP="00F80197" w14:paraId="66A61665" w14:textId="65D6BEE4">
            <w:pPr>
              <w:keepNext/>
              <w:jc w:val="right"/>
              <w:rPr>
                <w:kern w:val="24"/>
                <w:sz w:val="20"/>
                <w:szCs w:val="20"/>
              </w:rPr>
            </w:pPr>
            <w:r>
              <w:rPr>
                <w:kern w:val="24"/>
                <w:sz w:val="20"/>
                <w:szCs w:val="20"/>
              </w:rPr>
              <w:t>1</w:t>
            </w:r>
          </w:p>
        </w:tc>
        <w:tc>
          <w:tcPr>
            <w:tcW w:w="468" w:type="pct"/>
            <w:shd w:val="clear" w:color="auto" w:fill="auto"/>
          </w:tcPr>
          <w:p w:rsidR="00563F8B" w:rsidP="00F80197" w14:paraId="0CB60CE4" w14:textId="77777777">
            <w:pPr>
              <w:keepNext/>
              <w:jc w:val="right"/>
              <w:rPr>
                <w:kern w:val="24"/>
                <w:sz w:val="20"/>
                <w:szCs w:val="20"/>
              </w:rPr>
            </w:pPr>
          </w:p>
          <w:p w:rsidR="00563F8B" w:rsidP="00F80197" w14:paraId="3F194565" w14:textId="17FA5F78">
            <w:pPr>
              <w:keepNext/>
              <w:jc w:val="right"/>
              <w:rPr>
                <w:kern w:val="24"/>
                <w:sz w:val="20"/>
                <w:szCs w:val="20"/>
              </w:rPr>
            </w:pPr>
            <w:r w:rsidRPr="00AC5247">
              <w:rPr>
                <w:kern w:val="24"/>
                <w:sz w:val="20"/>
                <w:szCs w:val="20"/>
              </w:rPr>
              <w:t>13,583</w:t>
            </w:r>
          </w:p>
        </w:tc>
      </w:tr>
      <w:tr w14:paraId="2A8B00D3" w14:textId="77777777" w:rsidTr="00F40861">
        <w:tblPrEx>
          <w:tblW w:w="5066" w:type="pct"/>
          <w:jc w:val="center"/>
          <w:tblLayout w:type="fixed"/>
          <w:tblLook w:val="01E0"/>
        </w:tblPrEx>
        <w:trPr>
          <w:cantSplit/>
          <w:trHeight w:val="20"/>
          <w:jc w:val="center"/>
        </w:trPr>
        <w:tc>
          <w:tcPr>
            <w:tcW w:w="1449" w:type="pct"/>
            <w:shd w:val="clear" w:color="auto" w:fill="auto"/>
          </w:tcPr>
          <w:p w:rsidR="00F40861" w:rsidP="00F80197" w14:paraId="4F0D6D02" w14:textId="49759DD7">
            <w:pPr>
              <w:keepNext/>
              <w:rPr>
                <w:kern w:val="24"/>
                <w:sz w:val="20"/>
                <w:szCs w:val="20"/>
              </w:rPr>
            </w:pPr>
            <w:r w:rsidRPr="009766A1">
              <w:rPr>
                <w:sz w:val="20"/>
                <w:szCs w:val="20"/>
              </w:rPr>
              <w:t>Section 314.81(b)(2)(iii) (other postmarketing reports)</w:t>
            </w:r>
          </w:p>
        </w:tc>
        <w:tc>
          <w:tcPr>
            <w:tcW w:w="794" w:type="pct"/>
            <w:shd w:val="clear" w:color="auto" w:fill="auto"/>
          </w:tcPr>
          <w:p w:rsidR="00F40861" w:rsidP="00F80197" w14:paraId="511BD31F" w14:textId="40350EF5">
            <w:pPr>
              <w:keepNext/>
              <w:jc w:val="right"/>
              <w:rPr>
                <w:kern w:val="24"/>
                <w:sz w:val="20"/>
                <w:szCs w:val="20"/>
              </w:rPr>
            </w:pPr>
            <w:r w:rsidRPr="009766A1">
              <w:rPr>
                <w:sz w:val="20"/>
                <w:szCs w:val="20"/>
              </w:rPr>
              <w:t>1,324</w:t>
            </w:r>
          </w:p>
        </w:tc>
        <w:tc>
          <w:tcPr>
            <w:tcW w:w="843" w:type="pct"/>
            <w:shd w:val="clear" w:color="auto" w:fill="auto"/>
          </w:tcPr>
          <w:p w:rsidR="00F40861" w:rsidP="00F80197" w14:paraId="337F2D98" w14:textId="4E8B9C47">
            <w:pPr>
              <w:keepNext/>
              <w:jc w:val="right"/>
              <w:rPr>
                <w:kern w:val="24"/>
                <w:sz w:val="20"/>
                <w:szCs w:val="20"/>
              </w:rPr>
            </w:pPr>
            <w:r w:rsidRPr="009766A1">
              <w:rPr>
                <w:sz w:val="20"/>
                <w:szCs w:val="20"/>
              </w:rPr>
              <w:t>9</w:t>
            </w:r>
          </w:p>
        </w:tc>
        <w:tc>
          <w:tcPr>
            <w:tcW w:w="664" w:type="pct"/>
            <w:shd w:val="clear" w:color="auto" w:fill="auto"/>
          </w:tcPr>
          <w:p w:rsidR="00F40861" w:rsidP="00F80197" w14:paraId="3104F830" w14:textId="5CF73060">
            <w:pPr>
              <w:keepNext/>
              <w:jc w:val="right"/>
              <w:rPr>
                <w:kern w:val="24"/>
                <w:sz w:val="20"/>
                <w:szCs w:val="20"/>
              </w:rPr>
            </w:pPr>
            <w:r w:rsidRPr="009766A1">
              <w:rPr>
                <w:sz w:val="20"/>
                <w:szCs w:val="20"/>
              </w:rPr>
              <w:t>11,916</w:t>
            </w:r>
          </w:p>
        </w:tc>
        <w:tc>
          <w:tcPr>
            <w:tcW w:w="782" w:type="pct"/>
            <w:shd w:val="clear" w:color="auto" w:fill="auto"/>
          </w:tcPr>
          <w:p w:rsidR="00F40861" w:rsidRPr="009766A1" w:rsidP="00F80197" w14:paraId="1207B1E3" w14:textId="77777777">
            <w:pPr>
              <w:keepNext/>
              <w:ind w:hanging="14"/>
              <w:contextualSpacing/>
              <w:jc w:val="right"/>
              <w:rPr>
                <w:sz w:val="20"/>
                <w:szCs w:val="20"/>
              </w:rPr>
            </w:pPr>
            <w:r w:rsidRPr="009766A1">
              <w:rPr>
                <w:sz w:val="20"/>
                <w:szCs w:val="20"/>
              </w:rPr>
              <w:t>10 minutes</w:t>
            </w:r>
          </w:p>
          <w:p w:rsidR="00F40861" w:rsidP="00F80197" w14:paraId="26B2065B" w14:textId="4C40113A">
            <w:pPr>
              <w:keepNext/>
              <w:jc w:val="right"/>
              <w:rPr>
                <w:kern w:val="24"/>
                <w:sz w:val="20"/>
                <w:szCs w:val="20"/>
              </w:rPr>
            </w:pPr>
            <w:r w:rsidRPr="009766A1">
              <w:rPr>
                <w:sz w:val="20"/>
                <w:szCs w:val="20"/>
              </w:rPr>
              <w:t>(0.167 hours)</w:t>
            </w:r>
          </w:p>
        </w:tc>
        <w:tc>
          <w:tcPr>
            <w:tcW w:w="468" w:type="pct"/>
            <w:shd w:val="clear" w:color="auto" w:fill="auto"/>
          </w:tcPr>
          <w:p w:rsidR="00F40861" w:rsidP="00F80197" w14:paraId="16AA9E63" w14:textId="50E1CE03">
            <w:pPr>
              <w:keepNext/>
              <w:jc w:val="right"/>
              <w:rPr>
                <w:kern w:val="24"/>
                <w:sz w:val="20"/>
                <w:szCs w:val="20"/>
              </w:rPr>
            </w:pPr>
            <w:r w:rsidRPr="009766A1">
              <w:rPr>
                <w:sz w:val="20"/>
                <w:szCs w:val="20"/>
              </w:rPr>
              <w:t>1,990</w:t>
            </w:r>
          </w:p>
        </w:tc>
      </w:tr>
      <w:tr w14:paraId="49DF1214" w14:textId="77777777" w:rsidTr="00F40861">
        <w:tblPrEx>
          <w:tblW w:w="5066" w:type="pct"/>
          <w:jc w:val="center"/>
          <w:tblLayout w:type="fixed"/>
          <w:tblLook w:val="01E0"/>
        </w:tblPrEx>
        <w:trPr>
          <w:cantSplit/>
          <w:trHeight w:val="20"/>
          <w:jc w:val="center"/>
        </w:trPr>
        <w:tc>
          <w:tcPr>
            <w:tcW w:w="1449" w:type="pct"/>
            <w:shd w:val="clear" w:color="auto" w:fill="auto"/>
          </w:tcPr>
          <w:p w:rsidR="00F40861" w:rsidP="00F80197" w14:paraId="2543F8F7" w14:textId="01A9312B">
            <w:pPr>
              <w:keepNext/>
              <w:rPr>
                <w:kern w:val="24"/>
                <w:sz w:val="20"/>
                <w:szCs w:val="20"/>
              </w:rPr>
            </w:pPr>
            <w:r w:rsidRPr="009766A1">
              <w:rPr>
                <w:sz w:val="20"/>
                <w:szCs w:val="20"/>
              </w:rPr>
              <w:t>Section 601.12(f)(3), changes to an approved BLA.</w:t>
            </w:r>
          </w:p>
        </w:tc>
        <w:tc>
          <w:tcPr>
            <w:tcW w:w="794" w:type="pct"/>
            <w:shd w:val="clear" w:color="auto" w:fill="auto"/>
          </w:tcPr>
          <w:p w:rsidR="00F40861" w:rsidP="00F80197" w14:paraId="3BB2D19B" w14:textId="52CFFD8F">
            <w:pPr>
              <w:keepNext/>
              <w:jc w:val="right"/>
              <w:rPr>
                <w:kern w:val="24"/>
                <w:sz w:val="20"/>
                <w:szCs w:val="20"/>
              </w:rPr>
            </w:pPr>
            <w:r w:rsidRPr="009766A1">
              <w:rPr>
                <w:sz w:val="20"/>
                <w:szCs w:val="20"/>
              </w:rPr>
              <w:t>104</w:t>
            </w:r>
          </w:p>
        </w:tc>
        <w:tc>
          <w:tcPr>
            <w:tcW w:w="843" w:type="pct"/>
            <w:shd w:val="clear" w:color="auto" w:fill="auto"/>
          </w:tcPr>
          <w:p w:rsidR="00F40861" w:rsidP="00F80197" w14:paraId="561FF1C9" w14:textId="103F46F9">
            <w:pPr>
              <w:keepNext/>
              <w:jc w:val="right"/>
              <w:rPr>
                <w:kern w:val="24"/>
                <w:sz w:val="20"/>
                <w:szCs w:val="20"/>
              </w:rPr>
            </w:pPr>
            <w:r w:rsidRPr="009766A1">
              <w:rPr>
                <w:sz w:val="20"/>
                <w:szCs w:val="20"/>
              </w:rPr>
              <w:t>6</w:t>
            </w:r>
          </w:p>
        </w:tc>
        <w:tc>
          <w:tcPr>
            <w:tcW w:w="664" w:type="pct"/>
            <w:shd w:val="clear" w:color="auto" w:fill="auto"/>
          </w:tcPr>
          <w:p w:rsidR="00F40861" w:rsidP="00F80197" w14:paraId="228B9AFE" w14:textId="66926C3C">
            <w:pPr>
              <w:keepNext/>
              <w:jc w:val="right"/>
              <w:rPr>
                <w:kern w:val="24"/>
                <w:sz w:val="20"/>
                <w:szCs w:val="20"/>
              </w:rPr>
            </w:pPr>
            <w:r w:rsidRPr="009766A1">
              <w:rPr>
                <w:sz w:val="20"/>
                <w:szCs w:val="20"/>
              </w:rPr>
              <w:t>624</w:t>
            </w:r>
          </w:p>
        </w:tc>
        <w:tc>
          <w:tcPr>
            <w:tcW w:w="782" w:type="pct"/>
            <w:shd w:val="clear" w:color="auto" w:fill="auto"/>
          </w:tcPr>
          <w:p w:rsidR="00F40861" w:rsidRPr="009766A1" w:rsidP="00F80197" w14:paraId="1A4F3954" w14:textId="77777777">
            <w:pPr>
              <w:keepNext/>
              <w:contextualSpacing/>
              <w:jc w:val="right"/>
              <w:rPr>
                <w:sz w:val="20"/>
                <w:szCs w:val="20"/>
              </w:rPr>
            </w:pPr>
            <w:r w:rsidRPr="009766A1">
              <w:rPr>
                <w:sz w:val="20"/>
                <w:szCs w:val="20"/>
              </w:rPr>
              <w:t>10 minutes</w:t>
            </w:r>
          </w:p>
          <w:p w:rsidR="00F40861" w:rsidP="00F80197" w14:paraId="60C5B61F" w14:textId="6C5704D5">
            <w:pPr>
              <w:keepNext/>
              <w:jc w:val="right"/>
              <w:rPr>
                <w:kern w:val="24"/>
                <w:sz w:val="20"/>
                <w:szCs w:val="20"/>
              </w:rPr>
            </w:pPr>
            <w:r w:rsidRPr="009766A1">
              <w:rPr>
                <w:sz w:val="20"/>
                <w:szCs w:val="20"/>
              </w:rPr>
              <w:t>(0.167 hours)</w:t>
            </w:r>
          </w:p>
        </w:tc>
        <w:tc>
          <w:tcPr>
            <w:tcW w:w="468" w:type="pct"/>
            <w:shd w:val="clear" w:color="auto" w:fill="auto"/>
          </w:tcPr>
          <w:p w:rsidR="00F40861" w:rsidP="00F80197" w14:paraId="1BE8B7C7" w14:textId="61615DDB">
            <w:pPr>
              <w:keepNext/>
              <w:jc w:val="right"/>
              <w:rPr>
                <w:kern w:val="24"/>
                <w:sz w:val="20"/>
                <w:szCs w:val="20"/>
              </w:rPr>
            </w:pPr>
            <w:r w:rsidRPr="009766A1">
              <w:rPr>
                <w:sz w:val="20"/>
                <w:szCs w:val="20"/>
              </w:rPr>
              <w:t>104</w:t>
            </w:r>
          </w:p>
        </w:tc>
      </w:tr>
      <w:tr w14:paraId="10404C71" w14:textId="77777777" w:rsidTr="00F40861">
        <w:tblPrEx>
          <w:tblW w:w="5066" w:type="pct"/>
          <w:jc w:val="center"/>
          <w:tblLayout w:type="fixed"/>
          <w:tblLook w:val="01E0"/>
        </w:tblPrEx>
        <w:trPr>
          <w:cantSplit/>
          <w:trHeight w:val="20"/>
          <w:jc w:val="center"/>
        </w:trPr>
        <w:tc>
          <w:tcPr>
            <w:tcW w:w="1449" w:type="pct"/>
            <w:shd w:val="clear" w:color="auto" w:fill="auto"/>
          </w:tcPr>
          <w:p w:rsidR="00F40861" w:rsidP="00F80197" w14:paraId="1E55BACE" w14:textId="6F5A8BC6">
            <w:pPr>
              <w:keepNext/>
              <w:rPr>
                <w:kern w:val="24"/>
                <w:sz w:val="20"/>
                <w:szCs w:val="20"/>
              </w:rPr>
            </w:pPr>
            <w:r w:rsidRPr="009766A1">
              <w:rPr>
                <w:sz w:val="20"/>
                <w:szCs w:val="20"/>
              </w:rPr>
              <w:t>Section 514.80(b)(4)(ii), periodic report</w:t>
            </w:r>
            <w:r>
              <w:rPr>
                <w:sz w:val="20"/>
                <w:szCs w:val="20"/>
              </w:rPr>
              <w:t>s</w:t>
            </w:r>
            <w:r w:rsidRPr="009766A1">
              <w:rPr>
                <w:sz w:val="20"/>
                <w:szCs w:val="20"/>
              </w:rPr>
              <w:t>; labeling.</w:t>
            </w:r>
          </w:p>
        </w:tc>
        <w:tc>
          <w:tcPr>
            <w:tcW w:w="794" w:type="pct"/>
            <w:shd w:val="clear" w:color="auto" w:fill="auto"/>
          </w:tcPr>
          <w:p w:rsidR="00F40861" w:rsidP="00F80197" w14:paraId="59EC3B3D" w14:textId="7FB11660">
            <w:pPr>
              <w:keepNext/>
              <w:jc w:val="right"/>
              <w:rPr>
                <w:kern w:val="24"/>
                <w:sz w:val="20"/>
                <w:szCs w:val="20"/>
              </w:rPr>
            </w:pPr>
            <w:r w:rsidRPr="009766A1">
              <w:rPr>
                <w:sz w:val="20"/>
                <w:szCs w:val="20"/>
              </w:rPr>
              <w:t>79</w:t>
            </w:r>
          </w:p>
        </w:tc>
        <w:tc>
          <w:tcPr>
            <w:tcW w:w="843" w:type="pct"/>
            <w:shd w:val="clear" w:color="auto" w:fill="auto"/>
          </w:tcPr>
          <w:p w:rsidR="00F40861" w:rsidP="00F80197" w14:paraId="56A97B29" w14:textId="47B44CFF">
            <w:pPr>
              <w:keepNext/>
              <w:jc w:val="right"/>
              <w:rPr>
                <w:kern w:val="24"/>
                <w:sz w:val="20"/>
                <w:szCs w:val="20"/>
              </w:rPr>
            </w:pPr>
            <w:r w:rsidRPr="009766A1">
              <w:rPr>
                <w:sz w:val="20"/>
                <w:szCs w:val="20"/>
              </w:rPr>
              <w:t>20</w:t>
            </w:r>
          </w:p>
        </w:tc>
        <w:tc>
          <w:tcPr>
            <w:tcW w:w="664" w:type="pct"/>
            <w:shd w:val="clear" w:color="auto" w:fill="auto"/>
          </w:tcPr>
          <w:p w:rsidR="00F40861" w:rsidP="00F80197" w14:paraId="3EE6B23B" w14:textId="6AFAB0AB">
            <w:pPr>
              <w:keepNext/>
              <w:jc w:val="right"/>
              <w:rPr>
                <w:kern w:val="24"/>
                <w:sz w:val="20"/>
                <w:szCs w:val="20"/>
              </w:rPr>
            </w:pPr>
            <w:r w:rsidRPr="009766A1">
              <w:rPr>
                <w:sz w:val="20"/>
                <w:szCs w:val="20"/>
              </w:rPr>
              <w:t>1,580</w:t>
            </w:r>
          </w:p>
        </w:tc>
        <w:tc>
          <w:tcPr>
            <w:tcW w:w="782" w:type="pct"/>
            <w:shd w:val="clear" w:color="auto" w:fill="auto"/>
          </w:tcPr>
          <w:p w:rsidR="00F40861" w:rsidP="00F80197" w14:paraId="33504F36" w14:textId="2E588EC0">
            <w:pPr>
              <w:keepNext/>
              <w:jc w:val="right"/>
              <w:rPr>
                <w:kern w:val="24"/>
                <w:sz w:val="20"/>
                <w:szCs w:val="20"/>
              </w:rPr>
            </w:pPr>
            <w:r w:rsidRPr="009766A1">
              <w:rPr>
                <w:sz w:val="20"/>
                <w:szCs w:val="20"/>
              </w:rPr>
              <w:t>20 minutes (0.333 hours)</w:t>
            </w:r>
          </w:p>
        </w:tc>
        <w:tc>
          <w:tcPr>
            <w:tcW w:w="468" w:type="pct"/>
            <w:shd w:val="clear" w:color="auto" w:fill="auto"/>
          </w:tcPr>
          <w:p w:rsidR="00F40861" w:rsidP="00F80197" w14:paraId="2AFB92ED" w14:textId="166934B1">
            <w:pPr>
              <w:keepNext/>
              <w:jc w:val="right"/>
              <w:rPr>
                <w:kern w:val="24"/>
                <w:sz w:val="20"/>
                <w:szCs w:val="20"/>
              </w:rPr>
            </w:pPr>
            <w:r w:rsidRPr="009766A1">
              <w:rPr>
                <w:sz w:val="20"/>
                <w:szCs w:val="20"/>
              </w:rPr>
              <w:t>526</w:t>
            </w:r>
          </w:p>
        </w:tc>
      </w:tr>
      <w:tr w14:paraId="574908E8" w14:textId="77777777" w:rsidTr="00F40861">
        <w:tblPrEx>
          <w:tblW w:w="5066" w:type="pct"/>
          <w:jc w:val="center"/>
          <w:tblLayout w:type="fixed"/>
          <w:tblLook w:val="01E0"/>
        </w:tblPrEx>
        <w:trPr>
          <w:cantSplit/>
          <w:trHeight w:val="20"/>
          <w:jc w:val="center"/>
        </w:trPr>
        <w:tc>
          <w:tcPr>
            <w:tcW w:w="1449" w:type="pct"/>
            <w:shd w:val="clear" w:color="auto" w:fill="auto"/>
          </w:tcPr>
          <w:p w:rsidR="00F40861" w:rsidP="00F80197" w14:paraId="4FD6C575" w14:textId="5D173514">
            <w:pPr>
              <w:keepNext/>
              <w:rPr>
                <w:kern w:val="24"/>
                <w:sz w:val="20"/>
                <w:szCs w:val="20"/>
              </w:rPr>
            </w:pPr>
            <w:r>
              <w:rPr>
                <w:sz w:val="20"/>
                <w:szCs w:val="20"/>
              </w:rPr>
              <w:t>TOTAL</w:t>
            </w:r>
          </w:p>
        </w:tc>
        <w:tc>
          <w:tcPr>
            <w:tcW w:w="794" w:type="pct"/>
            <w:shd w:val="clear" w:color="auto" w:fill="auto"/>
          </w:tcPr>
          <w:p w:rsidR="00F40861" w:rsidP="00F80197" w14:paraId="7D61FCEE" w14:textId="77777777">
            <w:pPr>
              <w:keepNext/>
              <w:jc w:val="right"/>
              <w:rPr>
                <w:kern w:val="24"/>
                <w:sz w:val="20"/>
                <w:szCs w:val="20"/>
              </w:rPr>
            </w:pPr>
          </w:p>
        </w:tc>
        <w:tc>
          <w:tcPr>
            <w:tcW w:w="843" w:type="pct"/>
            <w:shd w:val="clear" w:color="auto" w:fill="auto"/>
          </w:tcPr>
          <w:p w:rsidR="00F40861" w:rsidP="00F80197" w14:paraId="33313817" w14:textId="77777777">
            <w:pPr>
              <w:keepNext/>
              <w:jc w:val="right"/>
              <w:rPr>
                <w:kern w:val="24"/>
                <w:sz w:val="20"/>
                <w:szCs w:val="20"/>
              </w:rPr>
            </w:pPr>
          </w:p>
        </w:tc>
        <w:tc>
          <w:tcPr>
            <w:tcW w:w="664" w:type="pct"/>
            <w:shd w:val="clear" w:color="auto" w:fill="auto"/>
          </w:tcPr>
          <w:p w:rsidR="00F40861" w:rsidP="00F80197" w14:paraId="02418720" w14:textId="5E5C24BE">
            <w:pPr>
              <w:keepNext/>
              <w:jc w:val="right"/>
              <w:rPr>
                <w:kern w:val="24"/>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27,703</w:t>
            </w:r>
            <w:r>
              <w:rPr>
                <w:sz w:val="20"/>
                <w:szCs w:val="20"/>
              </w:rPr>
              <w:fldChar w:fldCharType="end"/>
            </w:r>
          </w:p>
        </w:tc>
        <w:tc>
          <w:tcPr>
            <w:tcW w:w="782" w:type="pct"/>
            <w:shd w:val="clear" w:color="auto" w:fill="auto"/>
          </w:tcPr>
          <w:p w:rsidR="00F40861" w:rsidP="00F80197" w14:paraId="26E99604" w14:textId="77777777">
            <w:pPr>
              <w:keepNext/>
              <w:jc w:val="right"/>
              <w:rPr>
                <w:kern w:val="24"/>
                <w:sz w:val="20"/>
                <w:szCs w:val="20"/>
              </w:rPr>
            </w:pPr>
          </w:p>
        </w:tc>
        <w:tc>
          <w:tcPr>
            <w:tcW w:w="468" w:type="pct"/>
            <w:shd w:val="clear" w:color="auto" w:fill="auto"/>
          </w:tcPr>
          <w:p w:rsidR="00F40861" w:rsidP="00F80197" w14:paraId="6A2CE48E" w14:textId="0FFA7D1F">
            <w:pPr>
              <w:keepNext/>
              <w:jc w:val="right"/>
              <w:rPr>
                <w:kern w:val="24"/>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16,203</w:t>
            </w:r>
            <w:r>
              <w:rPr>
                <w:sz w:val="20"/>
                <w:szCs w:val="20"/>
              </w:rPr>
              <w:fldChar w:fldCharType="end"/>
            </w:r>
          </w:p>
        </w:tc>
      </w:tr>
    </w:tbl>
    <w:p w:rsidR="00563F8B" w:rsidP="00F80197" w14:paraId="479621EF" w14:textId="77777777">
      <w:pPr>
        <w:keepNext/>
        <w:rPr>
          <w:kern w:val="24"/>
          <w:sz w:val="20"/>
          <w:szCs w:val="20"/>
        </w:rPr>
      </w:pPr>
      <w:r>
        <w:rPr>
          <w:kern w:val="24"/>
          <w:sz w:val="20"/>
          <w:szCs w:val="20"/>
          <w:vertAlign w:val="superscript"/>
        </w:rPr>
        <w:t xml:space="preserve">1. </w:t>
      </w:r>
      <w:r>
        <w:rPr>
          <w:kern w:val="24"/>
          <w:sz w:val="20"/>
          <w:szCs w:val="20"/>
        </w:rPr>
        <w:t>Figures have been rounded.</w:t>
      </w:r>
    </w:p>
    <w:p w:rsidR="00563F8B" w:rsidP="00F80197" w14:paraId="65A0AD22" w14:textId="77777777">
      <w:pPr>
        <w:rPr>
          <w:kern w:val="24"/>
          <w:sz w:val="20"/>
          <w:szCs w:val="20"/>
        </w:rPr>
      </w:pPr>
    </w:p>
    <w:p w:rsidR="00563F8B" w:rsidP="00F80197" w14:paraId="601ECCFD" w14:textId="7C16EA40">
      <w:r>
        <w:t>We have characterized the information collection as a recordkeeping burden consistent with 44 U.S.C. 3502(13)(C), which defines the term “recordkeeping requirement” to include records disclosed to third parties, the Federal government, or the public.  Our estimates are based on the following assumptions:</w:t>
      </w:r>
    </w:p>
    <w:p w:rsidR="002636DA" w:rsidP="00F80197" w14:paraId="1F7BB5F0" w14:textId="27C722EA">
      <w:pPr>
        <w:pStyle w:val="ListParagraph"/>
        <w:numPr>
          <w:ilvl w:val="0"/>
          <w:numId w:val="13"/>
        </w:numPr>
        <w:ind w:left="720"/>
        <w:contextualSpacing/>
      </w:pPr>
      <w:r>
        <w:t xml:space="preserve">We assumed that all listed drug packages include the NDC format on their label and that </w:t>
      </w:r>
      <w:r w:rsidR="00BC5E4D">
        <w:t xml:space="preserve">95% of the label updates with the new NDC format will be made in coordination with a periodic labeling change that respondents intend to make unrelated to this rule </w:t>
      </w:r>
      <w:r>
        <w:t>during the transition period.</w:t>
      </w:r>
    </w:p>
    <w:p w:rsidR="002636DA" w:rsidP="00F80197" w14:paraId="421943E2" w14:textId="3EC11AEF">
      <w:pPr>
        <w:pStyle w:val="ListParagraph"/>
        <w:numPr>
          <w:ilvl w:val="0"/>
          <w:numId w:val="13"/>
        </w:numPr>
        <w:ind w:left="720"/>
        <w:contextualSpacing/>
      </w:pPr>
      <w:r>
        <w:t>W</w:t>
      </w:r>
      <w:r w:rsidR="00563F8B">
        <w:t>e assumed that each label change would take a respondent 1 hour</w:t>
      </w:r>
      <w:r>
        <w:t xml:space="preserve"> because </w:t>
      </w:r>
      <w:r w:rsidRPr="005A4906">
        <w:t xml:space="preserve">only a slight </w:t>
      </w:r>
      <w:r w:rsidR="009B4E2E">
        <w:t>label</w:t>
      </w:r>
      <w:r w:rsidR="00754037">
        <w:t xml:space="preserve"> </w:t>
      </w:r>
      <w:r w:rsidRPr="005A4906">
        <w:t>change</w:t>
      </w:r>
      <w:r>
        <w:t xml:space="preserve"> and not a </w:t>
      </w:r>
      <w:r w:rsidRPr="00682FE7" w:rsidR="00682FE7">
        <w:t>substantial redesign would be needed to modify the existing NDC format and barcode already included on the label</w:t>
      </w:r>
      <w:r w:rsidR="00563F8B">
        <w:t xml:space="preserve">.  </w:t>
      </w:r>
    </w:p>
    <w:p w:rsidR="00563F8B" w:rsidP="00F80197" w14:paraId="18AAE55F" w14:textId="496EC294">
      <w:pPr>
        <w:pStyle w:val="ListParagraph"/>
        <w:numPr>
          <w:ilvl w:val="0"/>
          <w:numId w:val="13"/>
        </w:numPr>
        <w:ind w:left="720"/>
        <w:contextualSpacing/>
      </w:pPr>
      <w:r>
        <w:t>Based on the drug listing database, we understand that there are approximately 271,655 listed drug packages</w:t>
      </w:r>
      <w:r w:rsidR="00B55CB8">
        <w:t xml:space="preserve">.  </w:t>
      </w:r>
      <w:r w:rsidRPr="003A4729" w:rsidR="003A4729">
        <w:t xml:space="preserve"> </w:t>
      </w:r>
      <w:r w:rsidR="007327FB">
        <w:t xml:space="preserve"> </w:t>
      </w:r>
      <w:r w:rsidR="003A4729">
        <w:t>We estimate that 5% of the 271,655 label</w:t>
      </w:r>
      <w:r w:rsidR="00285EF0">
        <w:t xml:space="preserve"> update</w:t>
      </w:r>
      <w:r w:rsidR="003A4729">
        <w:t>s</w:t>
      </w:r>
      <w:r w:rsidR="007327FB">
        <w:t xml:space="preserve"> (13,583 labels)</w:t>
      </w:r>
      <w:r w:rsidR="00A00BF6">
        <w:t xml:space="preserve"> will not be made in coordination with a periodic labeling change</w:t>
      </w:r>
      <w:r w:rsidR="00A67A58">
        <w:t>,</w:t>
      </w:r>
      <w:r w:rsidR="003A173F">
        <w:t xml:space="preserve"> </w:t>
      </w:r>
      <w:r w:rsidR="00DF4DD3">
        <w:t xml:space="preserve">resulting in an estimated </w:t>
      </w:r>
      <w:r w:rsidR="00C96AB1">
        <w:t xml:space="preserve">one-time </w:t>
      </w:r>
      <w:r w:rsidR="00DF4DD3">
        <w:t>burden of 13,58</w:t>
      </w:r>
      <w:r w:rsidR="00DC6FE2">
        <w:t>3 hours</w:t>
      </w:r>
      <w:r w:rsidR="002027AA">
        <w:t>.</w:t>
      </w:r>
      <w:r w:rsidR="002A6045">
        <w:t xml:space="preserve"> </w:t>
      </w:r>
    </w:p>
    <w:p w:rsidR="008E7AEA" w:rsidP="00F80197" w14:paraId="38E001D8" w14:textId="77777777">
      <w:pPr>
        <w:pStyle w:val="ListParagraph"/>
        <w:ind w:left="0"/>
      </w:pPr>
    </w:p>
    <w:p w:rsidR="008E7AEA" w:rsidP="00F80197" w14:paraId="33551FFB" w14:textId="65604265">
      <w:pPr>
        <w:pStyle w:val="ListParagraph"/>
        <w:ind w:left="0"/>
      </w:pPr>
      <w:r w:rsidRPr="00054852">
        <w:t>Section 314.81(b)(2)(iii)(</w:t>
      </w:r>
      <w:r w:rsidRPr="00054852">
        <w:rPr>
          <w:i/>
          <w:iCs/>
        </w:rPr>
        <w:t>c</w:t>
      </w:r>
      <w:r w:rsidRPr="00054852">
        <w:t>) requires firms to submit an annual report that includes a summary of any changes in labeling since the last annual report.  For prescription drugs whose label changes would be reported in an annual report pursuant to § 314.81, there are approximately 1</w:t>
      </w:r>
      <w:r>
        <w:t>,</w:t>
      </w:r>
      <w:r w:rsidRPr="00054852">
        <w:t>324 respondents that would submit reports and there are approximately 11,593 active approved applications.  This means that on average each application holder subject to § 314.81 will need to submit 8.76 annual reports (rounded to 9).  Information on listed drugs indicates there are approximately 117,367 separate, identifiable product packages that that are subject to an approved ANDA or NDA.  This means that on average each separate and distinct approved application includes approximately 10 separate and distinct product packages (117,367 unique distinct product packages/11,593 unique approved</w:t>
      </w:r>
      <w:r w:rsidRPr="00DE2B7B">
        <w:t xml:space="preserve"> applications).  We expect that the updating of the NDC format on a label would necessitate a simple statement in the annual report declaring that the NDC format has been updated, so we have assigned an estimate of 1 minute for such statements per label.  As each annual report </w:t>
      </w:r>
      <w:r>
        <w:t>under § </w:t>
      </w:r>
      <w:r w:rsidRPr="0023767E">
        <w:t>314.81(b)(2)(iii)(</w:t>
      </w:r>
      <w:r w:rsidRPr="0023767E">
        <w:rPr>
          <w:i/>
          <w:iCs/>
        </w:rPr>
        <w:t>c</w:t>
      </w:r>
      <w:r w:rsidRPr="0023767E">
        <w:t xml:space="preserve">) </w:t>
      </w:r>
      <w:r w:rsidRPr="00DE2B7B">
        <w:t xml:space="preserve">will include 10 such declarations (one for each unique product package), we estimate the burden to report these changes to be approximately </w:t>
      </w:r>
      <w:r w:rsidRPr="00AC65CD">
        <w:t>10</w:t>
      </w:r>
      <w:r w:rsidRPr="00DE2B7B">
        <w:t xml:space="preserve"> minutes</w:t>
      </w:r>
      <w:r>
        <w:t xml:space="preserve"> (</w:t>
      </w:r>
      <w:r w:rsidRPr="00DB1253">
        <w:t>0.167 hours</w:t>
      </w:r>
      <w:r>
        <w:t>)</w:t>
      </w:r>
      <w:r w:rsidRPr="00DE2B7B">
        <w:t xml:space="preserve"> per annual report.  Thus, we estimate the total burden </w:t>
      </w:r>
      <w:r>
        <w:t xml:space="preserve">under </w:t>
      </w:r>
      <w:r w:rsidRPr="008E7AEA">
        <w:t>§ 314.81(b)(2)(iii)(</w:t>
      </w:r>
      <w:r w:rsidRPr="008E7AEA">
        <w:rPr>
          <w:i/>
          <w:iCs/>
        </w:rPr>
        <w:t>c</w:t>
      </w:r>
      <w:r w:rsidRPr="008E7AEA">
        <w:t>) to be 1,990 hours (1,324 respondents × 9 annual reports per respondent × 0.167 hours = 1,990 hours).</w:t>
      </w:r>
      <w:r>
        <w:t xml:space="preserve"> </w:t>
      </w:r>
    </w:p>
    <w:p w:rsidR="008E7AEA" w:rsidP="00F80197" w14:paraId="63B8A9C3" w14:textId="77777777">
      <w:pPr>
        <w:pStyle w:val="ListParagraph"/>
        <w:ind w:left="0"/>
      </w:pPr>
    </w:p>
    <w:p w:rsidR="008E7AEA" w:rsidP="00F80197" w14:paraId="3E5585EA" w14:textId="7293C414">
      <w:pPr>
        <w:pStyle w:val="ListParagraph"/>
        <w:ind w:left="0"/>
      </w:pPr>
      <w:r w:rsidRPr="00DE2B7B">
        <w:t xml:space="preserve">Similarly, § 601.12(f)(3)(i)(A) requires manufacturers of biologics to include in their annual </w:t>
      </w:r>
      <w:r w:rsidRPr="00DE2B7B">
        <w:t>reports</w:t>
      </w:r>
      <w:r w:rsidRPr="00DE2B7B">
        <w:t xml:space="preserve"> editorial or similar minor labeling changes.  </w:t>
      </w:r>
      <w:r w:rsidRPr="00BA14BD">
        <w:t xml:space="preserve">For drug products whose label changes would be reported in an annual report pursuant to § 601.12(f)(3) for biological products, there are approximately 104 respondents that would submit reports and there are approximately 588 active approved applications. This means that on average each application holder will need to submit </w:t>
      </w:r>
      <w:r>
        <w:t>5.65</w:t>
      </w:r>
      <w:r w:rsidRPr="00BA14BD">
        <w:t xml:space="preserve"> annual reports</w:t>
      </w:r>
      <w:r>
        <w:t xml:space="preserve"> (rounded to </w:t>
      </w:r>
      <w:r w:rsidRPr="00BA14BD">
        <w:t>6</w:t>
      </w:r>
      <w:r>
        <w:t>)</w:t>
      </w:r>
      <w:r w:rsidRPr="00BA14BD">
        <w:t>.</w:t>
      </w:r>
      <w:r>
        <w:t xml:space="preserve"> </w:t>
      </w:r>
      <w:r w:rsidRPr="00F2385D">
        <w:t>There are approximately 5</w:t>
      </w:r>
      <w:r>
        <w:t>,</w:t>
      </w:r>
      <w:r w:rsidRPr="00F2385D">
        <w:t>940 separate, identifiable product packages that that are subject to an approved BLA.  This means that on average each separate and distinct approved application includes approximately 10 separate and distinct product packages (5</w:t>
      </w:r>
      <w:r>
        <w:t>,</w:t>
      </w:r>
      <w:r w:rsidRPr="00F2385D">
        <w:t>940 unique distinct product packages/588 unique approved applications).</w:t>
      </w:r>
      <w:r>
        <w:t xml:space="preserve"> Thus, we estimate the total </w:t>
      </w:r>
      <w:r w:rsidRPr="00054852">
        <w:t>burden under § 601.12(f)(3)(i)(A) to be 104 hours (104 respondents × 6 annual reports per respondent × (0.167 hours) = 104 hours).</w:t>
      </w:r>
    </w:p>
    <w:p w:rsidR="008E7AEA" w:rsidRPr="00DE2B7B" w:rsidP="00F80197" w14:paraId="71FF474F" w14:textId="77777777">
      <w:pPr>
        <w:pStyle w:val="ListParagraph"/>
        <w:ind w:left="0"/>
      </w:pPr>
    </w:p>
    <w:p w:rsidR="008E7AEA" w:rsidP="00F80197" w14:paraId="695F91B7" w14:textId="6693F4F8">
      <w:pPr>
        <w:contextualSpacing/>
      </w:pPr>
      <w:r>
        <w:t xml:space="preserve">For animal drugs whose label changes would be reported in an annual report pursuant to § 514.80(b)(4)(ii), we estimate there are 79 respondents that would submit reports and there are approximately 1,582 active approved applications.  On average each respondent will submit 20 annual reports </w:t>
      </w:r>
      <w:r w:rsidRPr="00DE2B7B">
        <w:t>(</w:t>
      </w:r>
      <w:r>
        <w:t>1,582</w:t>
      </w:r>
      <w:r w:rsidRPr="00DE2B7B">
        <w:t xml:space="preserve"> active approved applications × 1 annual report per active approved application/</w:t>
      </w:r>
      <w:r>
        <w:t>79</w:t>
      </w:r>
      <w:r w:rsidRPr="00DE2B7B">
        <w:t xml:space="preserve"> unique application holders)</w:t>
      </w:r>
      <w:r>
        <w:t xml:space="preserve">.  </w:t>
      </w:r>
      <w:r w:rsidRPr="00DE2B7B">
        <w:t>We expect that the updating of the NDC format on a label would necessitate a simple statement in the annual report declaring that the NDC format has been updated</w:t>
      </w:r>
      <w:r>
        <w:t>.  W</w:t>
      </w:r>
      <w:r w:rsidRPr="00DE2B7B">
        <w:t xml:space="preserve">e estimate </w:t>
      </w:r>
      <w:r>
        <w:t>1</w:t>
      </w:r>
      <w:r w:rsidRPr="00DE2B7B">
        <w:t xml:space="preserve"> minute for such statements per label.  As each annual report will include </w:t>
      </w:r>
      <w:r>
        <w:t>20</w:t>
      </w:r>
      <w:r w:rsidRPr="00DE2B7B">
        <w:t xml:space="preserve"> such declarations (one for each unique product package), we estimate the burden to report these changes to be approximately </w:t>
      </w:r>
      <w:r>
        <w:t>20</w:t>
      </w:r>
      <w:r w:rsidRPr="00DE2B7B">
        <w:t xml:space="preserve"> minutes per annual report</w:t>
      </w:r>
      <w:r>
        <w:t xml:space="preserve"> (</w:t>
      </w:r>
      <w:r w:rsidRPr="00111CF6">
        <w:t>0.333 hours</w:t>
      </w:r>
      <w:r>
        <w:t>)</w:t>
      </w:r>
      <w:r w:rsidRPr="00DE2B7B">
        <w:t xml:space="preserve">.  Thus, we estimate the total burden to be </w:t>
      </w:r>
      <w:r>
        <w:t>526</w:t>
      </w:r>
      <w:r w:rsidRPr="00DE2B7B">
        <w:t xml:space="preserve"> hours (</w:t>
      </w:r>
      <w:r>
        <w:t>79</w:t>
      </w:r>
      <w:r w:rsidRPr="00DE2B7B">
        <w:t xml:space="preserve"> respondents × </w:t>
      </w:r>
      <w:r>
        <w:t>20</w:t>
      </w:r>
      <w:r w:rsidRPr="00DE2B7B">
        <w:t xml:space="preserve"> annual reports per respondent × </w:t>
      </w:r>
      <w:r w:rsidRPr="000A1A3B">
        <w:t xml:space="preserve">0.333 hours </w:t>
      </w:r>
      <w:r w:rsidRPr="00DE2B7B">
        <w:t xml:space="preserve">= </w:t>
      </w:r>
      <w:r>
        <w:t>526</w:t>
      </w:r>
      <w:r w:rsidRPr="00DE2B7B">
        <w:t xml:space="preserve"> hours).</w:t>
      </w:r>
      <w:r>
        <w:t xml:space="preserve"> </w:t>
      </w:r>
    </w:p>
    <w:p w:rsidR="009A3C89" w:rsidP="00F80197" w14:paraId="7D88AEB3" w14:textId="6FA3622E">
      <w:pPr>
        <w:rPr>
          <w:rFonts w:eastAsia="Calibri"/>
        </w:rPr>
      </w:pPr>
    </w:p>
    <w:p w:rsidR="00357C8A" w:rsidRPr="005C71CA" w:rsidP="00F80197" w14:paraId="7FA30D7F" w14:textId="77777777">
      <w:pPr>
        <w:ind w:left="360"/>
        <w:rPr>
          <w:rFonts w:eastAsia="Calibri"/>
        </w:rPr>
      </w:pPr>
      <w:r w:rsidRPr="005C71CA">
        <w:rPr>
          <w:rFonts w:eastAsia="Calibri"/>
        </w:rPr>
        <w:t>12b.  Annualized Cost Burden Estimate</w:t>
      </w:r>
    </w:p>
    <w:p w:rsidR="0036077C" w:rsidP="00F80197" w14:paraId="658A0511" w14:textId="77777777">
      <w:pPr>
        <w:rPr>
          <w:rFonts w:eastAsia="Calibri"/>
        </w:rPr>
      </w:pPr>
    </w:p>
    <w:p w:rsidR="00B713B0" w:rsidP="00F80197" w14:paraId="017DCB7A" w14:textId="606032CE">
      <w:pPr>
        <w:rPr>
          <w:rFonts w:eastAsia="Calibri"/>
        </w:rPr>
      </w:pPr>
      <w:r w:rsidRPr="0EEEB5CA">
        <w:rPr>
          <w:rFonts w:eastAsia="Calibri"/>
        </w:rPr>
        <w:t>We assume an average pharmaceutical industry wage rate of $</w:t>
      </w:r>
      <w:r w:rsidRPr="0EEEB5CA" w:rsidR="529C7ED6">
        <w:rPr>
          <w:rFonts w:eastAsia="Calibri"/>
        </w:rPr>
        <w:t>119</w:t>
      </w:r>
      <w:r w:rsidRPr="0EEEB5CA">
        <w:rPr>
          <w:rFonts w:eastAsia="Calibri"/>
        </w:rPr>
        <w:t>.00 per hour to prepare and submit the information collection requirements</w:t>
      </w:r>
      <w:r w:rsidRPr="0EEEB5CA" w:rsidR="2166F11C">
        <w:rPr>
          <w:rFonts w:eastAsia="Calibri"/>
        </w:rPr>
        <w:t xml:space="preserve"> in this rulemaking</w:t>
      </w:r>
      <w:r w:rsidRPr="0EEEB5CA">
        <w:rPr>
          <w:rFonts w:eastAsia="Calibri"/>
        </w:rPr>
        <w:t xml:space="preserve">.  When multiplied by the </w:t>
      </w:r>
      <w:r w:rsidRPr="0EEEB5CA" w:rsidR="62B5A8E7">
        <w:rPr>
          <w:rFonts w:eastAsia="Calibri"/>
        </w:rPr>
        <w:t xml:space="preserve">total of both types of </w:t>
      </w:r>
      <w:r w:rsidRPr="0EEEB5CA">
        <w:rPr>
          <w:rFonts w:eastAsia="Calibri"/>
        </w:rPr>
        <w:t>burden hours above</w:t>
      </w:r>
      <w:r w:rsidRPr="0EEEB5CA" w:rsidR="7A51C661">
        <w:rPr>
          <w:rFonts w:eastAsia="Calibri"/>
        </w:rPr>
        <w:t xml:space="preserve"> (</w:t>
      </w:r>
      <w:r w:rsidR="00FA3BD8">
        <w:rPr>
          <w:rFonts w:eastAsia="Calibri"/>
        </w:rPr>
        <w:t>16,203</w:t>
      </w:r>
      <w:r w:rsidRPr="0EEEB5CA" w:rsidR="7A51C661">
        <w:rPr>
          <w:rFonts w:eastAsia="Calibri"/>
        </w:rPr>
        <w:t>)</w:t>
      </w:r>
      <w:r w:rsidRPr="0EEEB5CA">
        <w:rPr>
          <w:rFonts w:eastAsia="Calibri"/>
        </w:rPr>
        <w:t>, the cost to respondents is estimated at $</w:t>
      </w:r>
      <w:r w:rsidR="003A0B54">
        <w:rPr>
          <w:rFonts w:eastAsia="Calibri"/>
        </w:rPr>
        <w:t>1,928,157</w:t>
      </w:r>
      <w:r w:rsidRPr="0EEEB5CA">
        <w:rPr>
          <w:rFonts w:eastAsia="Calibri"/>
        </w:rPr>
        <w:t>.</w:t>
      </w:r>
      <w:r w:rsidR="009F7A7E">
        <w:rPr>
          <w:rFonts w:eastAsia="Calibri"/>
        </w:rPr>
        <w:t xml:space="preserve">  Assuming </w:t>
      </w:r>
      <w:r w:rsidR="009F7A7E">
        <w:rPr>
          <w:rFonts w:eastAsia="Calibri"/>
        </w:rPr>
        <w:t>all of</w:t>
      </w:r>
      <w:r w:rsidR="009F7A7E">
        <w:rPr>
          <w:rFonts w:eastAsia="Calibri"/>
        </w:rPr>
        <w:t xml:space="preserve"> these costs are incurred during the three</w:t>
      </w:r>
      <w:r w:rsidR="00EB342B">
        <w:rPr>
          <w:rFonts w:eastAsia="Calibri"/>
        </w:rPr>
        <w:t>-</w:t>
      </w:r>
      <w:r w:rsidR="009F7A7E">
        <w:rPr>
          <w:rFonts w:eastAsia="Calibri"/>
        </w:rPr>
        <w:t xml:space="preserve">year </w:t>
      </w:r>
      <w:r w:rsidR="00EB4088">
        <w:rPr>
          <w:rFonts w:eastAsia="Calibri"/>
        </w:rPr>
        <w:t>transition</w:t>
      </w:r>
      <w:r w:rsidR="009F7A7E">
        <w:rPr>
          <w:rFonts w:eastAsia="Calibri"/>
        </w:rPr>
        <w:t xml:space="preserve"> </w:t>
      </w:r>
      <w:r w:rsidR="00453DBC">
        <w:rPr>
          <w:rFonts w:eastAsia="Calibri"/>
        </w:rPr>
        <w:t>period</w:t>
      </w:r>
      <w:r w:rsidR="006F1619">
        <w:rPr>
          <w:rFonts w:eastAsia="Calibri"/>
        </w:rPr>
        <w:t xml:space="preserve">, we estimate the annualized cost to respondents </w:t>
      </w:r>
      <w:r w:rsidR="00474487">
        <w:rPr>
          <w:rFonts w:eastAsia="Calibri"/>
        </w:rPr>
        <w:t>for each of</w:t>
      </w:r>
      <w:r w:rsidR="004A073C">
        <w:rPr>
          <w:rFonts w:eastAsia="Calibri"/>
        </w:rPr>
        <w:t xml:space="preserve"> those three years </w:t>
      </w:r>
      <w:r w:rsidR="00F13DD9">
        <w:rPr>
          <w:rFonts w:eastAsia="Calibri"/>
        </w:rPr>
        <w:t>to be $642,719</w:t>
      </w:r>
      <w:r w:rsidR="009E275D">
        <w:rPr>
          <w:rFonts w:eastAsia="Calibri"/>
        </w:rPr>
        <w:t xml:space="preserve"> per year</w:t>
      </w:r>
      <w:r w:rsidR="00DF3569">
        <w:rPr>
          <w:rFonts w:eastAsia="Calibri"/>
        </w:rPr>
        <w:t xml:space="preserve"> ($1,928,157/3).</w:t>
      </w:r>
    </w:p>
    <w:p w:rsidR="00F53244" w:rsidRPr="00357C8A" w:rsidP="00F80197" w14:paraId="00F0D2A2" w14:textId="77777777">
      <w:pPr>
        <w:rPr>
          <w:rFonts w:eastAsia="Calibri"/>
        </w:rPr>
      </w:pPr>
    </w:p>
    <w:p w:rsidR="000F1C8B" w:rsidRPr="00F80197" w:rsidP="00F80197" w14:paraId="04003DA0" w14:textId="538D5626">
      <w:pPr>
        <w:numPr>
          <w:ilvl w:val="0"/>
          <w:numId w:val="9"/>
        </w:numPr>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F80197" w:rsidP="00F80197" w14:paraId="65A6798D" w14:textId="77777777">
      <w:pPr>
        <w:rPr>
          <w:rFonts w:eastAsia="Calibri"/>
        </w:rPr>
      </w:pPr>
    </w:p>
    <w:p w:rsidR="000F1C8B" w:rsidRPr="00706B6A" w:rsidP="00B67E04" w14:paraId="1848C346" w14:textId="08B835E4">
      <w:pPr>
        <w:rPr>
          <w:b/>
          <w:bCs/>
          <w:i/>
          <w:iCs/>
        </w:rPr>
      </w:pPr>
      <w:r>
        <w:t>There are no capital, start-up, operating or maintenance costs associated with th</w:t>
      </w:r>
      <w:r w:rsidR="00E22404">
        <w:t>e</w:t>
      </w:r>
      <w:r>
        <w:t xml:space="preserve"> information collection </w:t>
      </w:r>
      <w:r w:rsidR="00E22404">
        <w:t>in this final rule</w:t>
      </w:r>
      <w:r>
        <w:t>.</w:t>
      </w:r>
    </w:p>
    <w:p w:rsidR="000F1C8B" w:rsidRPr="000F1C8B" w:rsidP="00F80197" w14:paraId="26CD414A" w14:textId="77777777">
      <w:pPr>
        <w:rPr>
          <w:i/>
          <w:sz w:val="20"/>
          <w:szCs w:val="20"/>
        </w:rPr>
      </w:pPr>
    </w:p>
    <w:p w:rsidR="00357C8A" w:rsidRPr="00357C8A" w:rsidP="00F80197" w14:paraId="71F18877" w14:textId="77777777">
      <w:pPr>
        <w:keepNext/>
        <w:numPr>
          <w:ilvl w:val="0"/>
          <w:numId w:val="9"/>
        </w:numPr>
        <w:rPr>
          <w:rFonts w:eastAsia="Calibri"/>
          <w:u w:val="single"/>
        </w:rPr>
      </w:pPr>
      <w:r w:rsidRPr="00357C8A">
        <w:rPr>
          <w:rFonts w:eastAsia="Calibri"/>
          <w:u w:val="single"/>
        </w:rPr>
        <w:t>Annualized Cost to the Federal Government</w:t>
      </w:r>
    </w:p>
    <w:p w:rsidR="00F80197" w:rsidP="00F80197" w14:paraId="3361DE74" w14:textId="77777777">
      <w:pPr>
        <w:keepNext/>
        <w:rPr>
          <w:rFonts w:eastAsia="Calibri"/>
        </w:rPr>
      </w:pPr>
    </w:p>
    <w:p w:rsidR="00B713B0" w:rsidP="00F80197" w14:paraId="5A0D363D" w14:textId="0D1142E4">
      <w:pPr>
        <w:keepNext/>
        <w:rPr>
          <w:rFonts w:eastAsia="Calibri"/>
        </w:rPr>
      </w:pPr>
      <w:r w:rsidRPr="16B7E11B">
        <w:rPr>
          <w:rFonts w:eastAsia="Calibri"/>
        </w:rPr>
        <w:t>Due to the 7</w:t>
      </w:r>
      <w:r w:rsidRPr="75B96F06" w:rsidR="52638A9C">
        <w:rPr>
          <w:rFonts w:eastAsia="Calibri"/>
        </w:rPr>
        <w:t>-</w:t>
      </w:r>
      <w:r w:rsidRPr="16B7E11B">
        <w:rPr>
          <w:rFonts w:eastAsia="Calibri"/>
        </w:rPr>
        <w:t>year delayed effective date, there will be no cost to the Federal government</w:t>
      </w:r>
      <w:r w:rsidRPr="6662C026">
        <w:rPr>
          <w:rFonts w:eastAsia="Calibri"/>
        </w:rPr>
        <w:t xml:space="preserve"> for the first seven years after publ</w:t>
      </w:r>
      <w:r w:rsidRPr="6662C026" w:rsidR="41D488F1">
        <w:rPr>
          <w:rFonts w:eastAsia="Calibri"/>
        </w:rPr>
        <w:t>i</w:t>
      </w:r>
      <w:r w:rsidRPr="6662C026">
        <w:rPr>
          <w:rFonts w:eastAsia="Calibri"/>
        </w:rPr>
        <w:t>cation.</w:t>
      </w:r>
      <w:r w:rsidRPr="6662C026" w:rsidR="68C7DE13">
        <w:rPr>
          <w:rFonts w:eastAsia="Calibri"/>
        </w:rPr>
        <w:t xml:space="preserve"> </w:t>
      </w:r>
      <w:r w:rsidRPr="16B7E11B">
        <w:rPr>
          <w:rFonts w:eastAsia="Calibri"/>
        </w:rPr>
        <w:t xml:space="preserve"> </w:t>
      </w:r>
      <w:r w:rsidRPr="3AE98570" w:rsidR="005A59FC">
        <w:rPr>
          <w:rFonts w:eastAsia="Calibri"/>
        </w:rPr>
        <w:t xml:space="preserve">We </w:t>
      </w:r>
      <w:r w:rsidR="005A59FC">
        <w:rPr>
          <w:rFonts w:eastAsia="Calibri"/>
        </w:rPr>
        <w:t>estimate</w:t>
      </w:r>
      <w:r w:rsidRPr="3AE98570" w:rsidR="006A6B86">
        <w:rPr>
          <w:rFonts w:eastAsia="Calibri"/>
        </w:rPr>
        <w:t xml:space="preserve"> that, during the three-year transition period, </w:t>
      </w:r>
      <w:r w:rsidRPr="3AE98570" w:rsidR="005A59FC">
        <w:rPr>
          <w:rFonts w:eastAsia="Calibri"/>
        </w:rPr>
        <w:t>FDA</w:t>
      </w:r>
      <w:r w:rsidR="005A59FC">
        <w:rPr>
          <w:rFonts w:eastAsia="Calibri"/>
        </w:rPr>
        <w:t>’s</w:t>
      </w:r>
      <w:r w:rsidRPr="3AE98570" w:rsidR="005A59FC">
        <w:rPr>
          <w:rFonts w:eastAsia="Calibri"/>
        </w:rPr>
        <w:t xml:space="preserve"> </w:t>
      </w:r>
      <w:r w:rsidRPr="3AE98570" w:rsidR="006A6B86">
        <w:rPr>
          <w:rFonts w:eastAsia="Calibri"/>
        </w:rPr>
        <w:t xml:space="preserve">review </w:t>
      </w:r>
      <w:r w:rsidR="005A59FC">
        <w:rPr>
          <w:rFonts w:eastAsia="Calibri"/>
        </w:rPr>
        <w:t xml:space="preserve">of the </w:t>
      </w:r>
      <w:r w:rsidRPr="3AE98570" w:rsidR="006A6B86">
        <w:rPr>
          <w:rFonts w:eastAsia="Calibri"/>
        </w:rPr>
        <w:t xml:space="preserve">labeling updates made </w:t>
      </w:r>
      <w:r w:rsidRPr="3AE98570" w:rsidR="006A6B86">
        <w:rPr>
          <w:rFonts w:eastAsia="Calibri"/>
        </w:rPr>
        <w:t>as a result of</w:t>
      </w:r>
      <w:r w:rsidRPr="3AE98570" w:rsidR="006A6B86">
        <w:rPr>
          <w:rFonts w:eastAsia="Calibri"/>
        </w:rPr>
        <w:t xml:space="preserve"> the final rule</w:t>
      </w:r>
      <w:r w:rsidR="005A59FC">
        <w:rPr>
          <w:rFonts w:eastAsia="Calibri"/>
        </w:rPr>
        <w:t xml:space="preserve"> will </w:t>
      </w:r>
      <w:r w:rsidRPr="3AE98570" w:rsidR="005A59FC">
        <w:rPr>
          <w:rFonts w:eastAsia="Calibri"/>
        </w:rPr>
        <w:t>cost the Federal government approximately $5,</w:t>
      </w:r>
      <w:r w:rsidR="00134B46">
        <w:rPr>
          <w:rFonts w:eastAsia="Calibri"/>
        </w:rPr>
        <w:t>280</w:t>
      </w:r>
      <w:r w:rsidR="005A59FC">
        <w:rPr>
          <w:rFonts w:eastAsia="Calibri"/>
        </w:rPr>
        <w:t xml:space="preserve"> per year</w:t>
      </w:r>
      <w:r w:rsidRPr="3AE98570" w:rsidR="005A59FC">
        <w:rPr>
          <w:rFonts w:eastAsia="Calibri"/>
        </w:rPr>
        <w:t>.</w:t>
      </w:r>
      <w:r w:rsidR="005A59FC">
        <w:rPr>
          <w:rFonts w:eastAsia="Calibri"/>
        </w:rPr>
        <w:t xml:space="preserve">  W</w:t>
      </w:r>
      <w:r w:rsidR="006915AB">
        <w:rPr>
          <w:rFonts w:eastAsia="Calibri"/>
        </w:rPr>
        <w:t>e</w:t>
      </w:r>
      <w:r w:rsidR="004340B7">
        <w:rPr>
          <w:rFonts w:eastAsia="Calibri"/>
        </w:rPr>
        <w:t xml:space="preserve"> </w:t>
      </w:r>
      <w:r w:rsidR="006915AB">
        <w:rPr>
          <w:rFonts w:eastAsia="Calibri"/>
        </w:rPr>
        <w:t>a</w:t>
      </w:r>
      <w:r w:rsidRPr="3AE98570" w:rsidR="0CD8266C">
        <w:rPr>
          <w:rFonts w:eastAsia="Calibri"/>
        </w:rPr>
        <w:t>ssume</w:t>
      </w:r>
      <w:r w:rsidRPr="73BC0ACE" w:rsidR="0CD8266C">
        <w:rPr>
          <w:rFonts w:eastAsia="Calibri"/>
        </w:rPr>
        <w:t xml:space="preserve"> that we will receive</w:t>
      </w:r>
      <w:r w:rsidRPr="4AF712D6" w:rsidR="302CFB3E">
        <w:rPr>
          <w:rFonts w:eastAsia="Calibri"/>
        </w:rPr>
        <w:t xml:space="preserve"> </w:t>
      </w:r>
      <w:r w:rsidR="008B1A0A">
        <w:rPr>
          <w:rFonts w:eastAsia="Calibri"/>
        </w:rPr>
        <w:t xml:space="preserve">a total of </w:t>
      </w:r>
      <w:r w:rsidRPr="4AF712D6" w:rsidR="302CFB3E">
        <w:rPr>
          <w:rFonts w:eastAsia="Calibri"/>
        </w:rPr>
        <w:t xml:space="preserve">14,120 annual reports </w:t>
      </w:r>
      <w:r w:rsidRPr="73BC0ACE" w:rsidR="5FEC5C80">
        <w:rPr>
          <w:rFonts w:eastAsia="Calibri"/>
        </w:rPr>
        <w:t xml:space="preserve">and </w:t>
      </w:r>
      <w:r w:rsidRPr="3AE98570" w:rsidR="5FEC5C80">
        <w:rPr>
          <w:rFonts w:eastAsia="Calibri"/>
        </w:rPr>
        <w:t xml:space="preserve">spend </w:t>
      </w:r>
      <w:r w:rsidRPr="3AE98570" w:rsidR="302CFB3E">
        <w:rPr>
          <w:rFonts w:eastAsia="Calibri"/>
        </w:rPr>
        <w:t>1</w:t>
      </w:r>
      <w:r w:rsidRPr="4AF712D6" w:rsidR="302CFB3E">
        <w:rPr>
          <w:rFonts w:eastAsia="Calibri"/>
        </w:rPr>
        <w:t xml:space="preserve"> minute per report </w:t>
      </w:r>
      <w:r w:rsidR="009C5B68">
        <w:rPr>
          <w:rFonts w:eastAsia="Calibri"/>
        </w:rPr>
        <w:t xml:space="preserve">to </w:t>
      </w:r>
      <w:r w:rsidR="00476F4A">
        <w:rPr>
          <w:rFonts w:eastAsia="Calibri"/>
        </w:rPr>
        <w:t>confirm whether</w:t>
      </w:r>
      <w:r w:rsidR="009C5B68">
        <w:rPr>
          <w:rFonts w:eastAsia="Calibri"/>
        </w:rPr>
        <w:t xml:space="preserve"> the </w:t>
      </w:r>
      <w:r w:rsidR="00F835DF">
        <w:rPr>
          <w:rFonts w:eastAsia="Calibri"/>
        </w:rPr>
        <w:t xml:space="preserve">labeling </w:t>
      </w:r>
      <w:r w:rsidR="00901805">
        <w:rPr>
          <w:rFonts w:eastAsia="Calibri"/>
        </w:rPr>
        <w:t>update</w:t>
      </w:r>
      <w:r w:rsidR="00476F4A">
        <w:rPr>
          <w:rFonts w:eastAsia="Calibri"/>
        </w:rPr>
        <w:t>s were made</w:t>
      </w:r>
      <w:r w:rsidR="00A1359C">
        <w:rPr>
          <w:rFonts w:eastAsia="Calibri"/>
        </w:rPr>
        <w:t xml:space="preserve"> (</w:t>
      </w:r>
      <w:r w:rsidR="00A07D39">
        <w:rPr>
          <w:rFonts w:eastAsia="Calibri"/>
        </w:rPr>
        <w:t xml:space="preserve">14,120 </w:t>
      </w:r>
      <w:r w:rsidR="00835827">
        <w:rPr>
          <w:rFonts w:eastAsia="Calibri"/>
        </w:rPr>
        <w:t>minutes/60</w:t>
      </w:r>
      <w:r w:rsidR="00165EC3">
        <w:rPr>
          <w:rFonts w:eastAsia="Calibri"/>
        </w:rPr>
        <w:t xml:space="preserve"> = </w:t>
      </w:r>
      <w:r w:rsidR="00574773">
        <w:rPr>
          <w:rFonts w:eastAsia="Calibri"/>
        </w:rPr>
        <w:t>235 hours).  B</w:t>
      </w:r>
      <w:r w:rsidRPr="3AE98570" w:rsidR="47009CED">
        <w:rPr>
          <w:rFonts w:eastAsia="Calibri"/>
        </w:rPr>
        <w:t>ased</w:t>
      </w:r>
      <w:r w:rsidRPr="0EEEB5CA" w:rsidR="47009CED">
        <w:rPr>
          <w:rFonts w:eastAsia="Calibri"/>
        </w:rPr>
        <w:t xml:space="preserve"> on the </w:t>
      </w:r>
      <w:r w:rsidR="00574773">
        <w:rPr>
          <w:rFonts w:eastAsia="Calibri"/>
        </w:rPr>
        <w:t>hourly wage</w:t>
      </w:r>
      <w:r w:rsidRPr="0EEEB5CA" w:rsidR="47009CED">
        <w:rPr>
          <w:rFonts w:eastAsia="Calibri"/>
        </w:rPr>
        <w:t xml:space="preserve"> of </w:t>
      </w:r>
      <w:r w:rsidR="00574773">
        <w:rPr>
          <w:rFonts w:eastAsia="Calibri"/>
        </w:rPr>
        <w:t>$67.41 for a</w:t>
      </w:r>
      <w:r w:rsidRPr="0EEEB5CA" w:rsidR="47009CED">
        <w:rPr>
          <w:rFonts w:eastAsia="Calibri"/>
        </w:rPr>
        <w:t xml:space="preserve"> GS-13/Step 6 level </w:t>
      </w:r>
      <w:r w:rsidR="00574773">
        <w:rPr>
          <w:rFonts w:eastAsia="Calibri"/>
        </w:rPr>
        <w:t xml:space="preserve">reviewer </w:t>
      </w:r>
      <w:r w:rsidRPr="0EEEB5CA" w:rsidR="47009CED">
        <w:rPr>
          <w:rFonts w:eastAsia="Calibri"/>
        </w:rPr>
        <w:t xml:space="preserve">in the locality pay area of Washington-Baltimore-Arlington in 2025 (the average grade </w:t>
      </w:r>
      <w:r w:rsidRPr="0EEEB5CA" w:rsidR="47009CED">
        <w:rPr>
          <w:rFonts w:eastAsia="Calibri"/>
        </w:rPr>
        <w:t xml:space="preserve">among the personnel involved in the review), </w:t>
      </w:r>
      <w:r w:rsidR="00805F7D">
        <w:rPr>
          <w:rFonts w:eastAsia="Calibri"/>
        </w:rPr>
        <w:t>we estimate the total cost to be</w:t>
      </w:r>
      <w:r w:rsidR="00574773">
        <w:rPr>
          <w:rFonts w:eastAsia="Calibri"/>
        </w:rPr>
        <w:t xml:space="preserve"> </w:t>
      </w:r>
      <w:r w:rsidRPr="3AE98570" w:rsidR="47009CED">
        <w:rPr>
          <w:rFonts w:eastAsia="Calibri"/>
        </w:rPr>
        <w:t>$</w:t>
      </w:r>
      <w:r w:rsidR="00574773">
        <w:rPr>
          <w:rFonts w:eastAsia="Calibri"/>
        </w:rPr>
        <w:t>15</w:t>
      </w:r>
      <w:r w:rsidRPr="3AE98570" w:rsidR="47009CED">
        <w:rPr>
          <w:rFonts w:eastAsia="Calibri"/>
        </w:rPr>
        <w:t>,</w:t>
      </w:r>
      <w:r w:rsidR="00075F37">
        <w:rPr>
          <w:rFonts w:eastAsia="Calibri"/>
        </w:rPr>
        <w:t>841</w:t>
      </w:r>
      <w:r w:rsidRPr="3AE98570" w:rsidR="47009CED">
        <w:rPr>
          <w:rFonts w:eastAsia="Calibri"/>
        </w:rPr>
        <w:t xml:space="preserve"> (</w:t>
      </w:r>
      <w:r w:rsidR="00075F37">
        <w:rPr>
          <w:rFonts w:eastAsia="Calibri"/>
        </w:rPr>
        <w:t>235 hours</w:t>
      </w:r>
      <w:r w:rsidRPr="0EEEB5CA" w:rsidR="47009CED">
        <w:rPr>
          <w:rFonts w:eastAsia="Calibri"/>
        </w:rPr>
        <w:t xml:space="preserve"> x $</w:t>
      </w:r>
      <w:r w:rsidR="0077106A">
        <w:rPr>
          <w:rFonts w:eastAsia="Calibri"/>
        </w:rPr>
        <w:t xml:space="preserve">67.41/hour </w:t>
      </w:r>
      <w:r w:rsidRPr="3AE98570" w:rsidR="47009CED">
        <w:rPr>
          <w:rFonts w:eastAsia="Calibri"/>
        </w:rPr>
        <w:t>= $</w:t>
      </w:r>
      <w:r w:rsidR="0077106A">
        <w:rPr>
          <w:rFonts w:eastAsia="Calibri"/>
        </w:rPr>
        <w:t>15,841</w:t>
      </w:r>
      <w:r w:rsidRPr="0EEEB5CA" w:rsidR="47009CED">
        <w:rPr>
          <w:rFonts w:eastAsia="Calibri"/>
        </w:rPr>
        <w:t>)</w:t>
      </w:r>
      <w:r w:rsidRPr="3AE98570" w:rsidR="47009CED">
        <w:rPr>
          <w:rFonts w:eastAsia="Calibri"/>
        </w:rPr>
        <w:t>.</w:t>
      </w:r>
      <w:r w:rsidR="009414FA">
        <w:rPr>
          <w:rFonts w:eastAsia="Calibri"/>
        </w:rPr>
        <w:t xml:space="preserve">  On an annualized basis, we estimate th</w:t>
      </w:r>
      <w:r w:rsidR="00264387">
        <w:rPr>
          <w:rFonts w:eastAsia="Calibri"/>
        </w:rPr>
        <w:t>is</w:t>
      </w:r>
      <w:r w:rsidR="009414FA">
        <w:rPr>
          <w:rFonts w:eastAsia="Calibri"/>
        </w:rPr>
        <w:t xml:space="preserve"> cost to be </w:t>
      </w:r>
      <w:r w:rsidR="005B2AA4">
        <w:rPr>
          <w:rFonts w:eastAsia="Calibri"/>
        </w:rPr>
        <w:t>$</w:t>
      </w:r>
      <w:r w:rsidR="009B461C">
        <w:rPr>
          <w:rFonts w:eastAsia="Calibri"/>
        </w:rPr>
        <w:t>5,280</w:t>
      </w:r>
      <w:r w:rsidR="00CD051D">
        <w:rPr>
          <w:rFonts w:eastAsia="Calibri"/>
        </w:rPr>
        <w:t xml:space="preserve"> </w:t>
      </w:r>
      <w:r w:rsidR="003C6851">
        <w:rPr>
          <w:rFonts w:eastAsia="Calibri"/>
        </w:rPr>
        <w:t xml:space="preserve">per year over </w:t>
      </w:r>
      <w:r w:rsidR="00CD00C4">
        <w:rPr>
          <w:rFonts w:eastAsia="Calibri"/>
        </w:rPr>
        <w:t>3</w:t>
      </w:r>
      <w:r w:rsidR="00CD051D">
        <w:rPr>
          <w:rFonts w:eastAsia="Calibri"/>
        </w:rPr>
        <w:t xml:space="preserve"> years</w:t>
      </w:r>
      <w:r w:rsidR="00CD00C4">
        <w:rPr>
          <w:rFonts w:eastAsia="Calibri"/>
        </w:rPr>
        <w:t xml:space="preserve"> ($15,841/3)</w:t>
      </w:r>
      <w:r w:rsidR="00CD051D">
        <w:rPr>
          <w:rFonts w:eastAsia="Calibri"/>
        </w:rPr>
        <w:t>.</w:t>
      </w:r>
      <w:r w:rsidR="000328A5">
        <w:rPr>
          <w:rFonts w:eastAsia="Calibri"/>
        </w:rPr>
        <w:t xml:space="preserve">  </w:t>
      </w:r>
      <w:r w:rsidR="000328A5">
        <w:rPr>
          <w:rFonts w:eastAsia="Calibri"/>
        </w:rPr>
        <w:t>Previously, t</w:t>
      </w:r>
      <w:r w:rsidRPr="00FC7623" w:rsidR="000328A5">
        <w:rPr>
          <w:rFonts w:eastAsia="Calibri"/>
        </w:rPr>
        <w:t xml:space="preserve">he cost to </w:t>
      </w:r>
      <w:r w:rsidR="000328A5">
        <w:rPr>
          <w:rFonts w:eastAsia="Calibri"/>
        </w:rPr>
        <w:t xml:space="preserve">Federal </w:t>
      </w:r>
      <w:r w:rsidRPr="00FC7623" w:rsidR="000328A5">
        <w:rPr>
          <w:rFonts w:eastAsia="Calibri"/>
        </w:rPr>
        <w:t>government for the entirety of the 0910-0045 information collection was $3,250,000.  With the cost of this rule incorporated, the total is 3,265,841.</w:t>
      </w:r>
    </w:p>
    <w:p w:rsidR="00B713B0" w:rsidRPr="00B713B0" w:rsidP="00F80197" w14:paraId="47E6A97C" w14:textId="77777777">
      <w:pPr>
        <w:autoSpaceDE w:val="0"/>
        <w:autoSpaceDN w:val="0"/>
        <w:adjustRightInd w:val="0"/>
        <w:rPr>
          <w:rFonts w:eastAsia="Calibri"/>
        </w:rPr>
      </w:pPr>
    </w:p>
    <w:p w:rsidR="00357C8A" w:rsidP="00F80197" w14:paraId="7700E664" w14:textId="4A413343">
      <w:pPr>
        <w:numPr>
          <w:ilvl w:val="0"/>
          <w:numId w:val="9"/>
        </w:numPr>
        <w:rPr>
          <w:rFonts w:eastAsia="Calibri"/>
          <w:u w:val="single"/>
        </w:rPr>
      </w:pPr>
      <w:r w:rsidRPr="00357C8A">
        <w:rPr>
          <w:rFonts w:eastAsia="Calibri"/>
          <w:u w:val="single"/>
        </w:rPr>
        <w:t>Explanation for Program Changes or Adjustments</w:t>
      </w:r>
    </w:p>
    <w:p w:rsidR="00F80197" w:rsidP="00F80197" w14:paraId="29B08E42" w14:textId="77777777">
      <w:pPr>
        <w:rPr>
          <w:rFonts w:eastAsia="Calibri"/>
        </w:rPr>
      </w:pPr>
    </w:p>
    <w:p w:rsidR="00F164E1" w:rsidP="00F80197" w14:paraId="09DD7448" w14:textId="6F9779B4">
      <w:pPr>
        <w:rPr>
          <w:rFonts w:eastAsia="Calibri"/>
        </w:rPr>
      </w:pPr>
      <w:r>
        <w:rPr>
          <w:rFonts w:eastAsia="Calibri"/>
        </w:rPr>
        <w:t xml:space="preserve">We request </w:t>
      </w:r>
      <w:r w:rsidRPr="005C71CA" w:rsidR="006104DE">
        <w:rPr>
          <w:rFonts w:eastAsia="Calibri"/>
        </w:rPr>
        <w:t xml:space="preserve">OMB approval of </w:t>
      </w:r>
      <w:r w:rsidR="006104DE">
        <w:rPr>
          <w:rFonts w:eastAsia="Calibri"/>
        </w:rPr>
        <w:t>the information collection associated with the final rule</w:t>
      </w:r>
      <w:r w:rsidR="00C74981">
        <w:rPr>
          <w:rFonts w:eastAsia="Calibri"/>
        </w:rPr>
        <w:t xml:space="preserve">.  </w:t>
      </w:r>
      <w:r w:rsidRPr="00A26F61" w:rsidR="00FF2B5B">
        <w:rPr>
          <w:rFonts w:eastAsia="Calibri"/>
        </w:rPr>
        <w:t xml:space="preserve">We estimate the rulemaking will result </w:t>
      </w:r>
      <w:r w:rsidR="00E94C7C">
        <w:rPr>
          <w:rFonts w:eastAsia="Calibri"/>
        </w:rPr>
        <w:t xml:space="preserve">in a </w:t>
      </w:r>
      <w:r w:rsidR="007A1887">
        <w:rPr>
          <w:rFonts w:eastAsia="Calibri"/>
        </w:rPr>
        <w:t xml:space="preserve">one-time </w:t>
      </w:r>
      <w:r w:rsidR="00E94C7C">
        <w:rPr>
          <w:rFonts w:eastAsia="Calibri"/>
        </w:rPr>
        <w:t xml:space="preserve">burden </w:t>
      </w:r>
      <w:r w:rsidR="007A1887">
        <w:rPr>
          <w:rFonts w:eastAsia="Calibri"/>
        </w:rPr>
        <w:t xml:space="preserve">increase </w:t>
      </w:r>
      <w:r w:rsidR="00E94C7C">
        <w:rPr>
          <w:rFonts w:eastAsia="Calibri"/>
        </w:rPr>
        <w:t>of</w:t>
      </w:r>
      <w:r w:rsidRPr="00A26F61" w:rsidR="00FF2B5B">
        <w:rPr>
          <w:rFonts w:eastAsia="Calibri"/>
        </w:rPr>
        <w:t xml:space="preserve"> </w:t>
      </w:r>
      <w:r w:rsidR="00F72F4E">
        <w:rPr>
          <w:rFonts w:eastAsia="Calibri"/>
        </w:rPr>
        <w:t>16,203</w:t>
      </w:r>
      <w:r w:rsidRPr="00A26F61" w:rsidR="00E774E4">
        <w:rPr>
          <w:rFonts w:eastAsia="Calibri"/>
        </w:rPr>
        <w:t xml:space="preserve"> hours </w:t>
      </w:r>
      <w:r w:rsidR="00E774E4">
        <w:rPr>
          <w:rFonts w:eastAsia="Calibri"/>
        </w:rPr>
        <w:t xml:space="preserve">and </w:t>
      </w:r>
      <w:r w:rsidR="00F72F4E">
        <w:rPr>
          <w:rFonts w:eastAsia="Calibri"/>
        </w:rPr>
        <w:t>27</w:t>
      </w:r>
      <w:r w:rsidR="00633C07">
        <w:rPr>
          <w:rFonts w:eastAsia="Calibri"/>
        </w:rPr>
        <w:t>,703</w:t>
      </w:r>
      <w:r w:rsidRPr="00A26F61" w:rsidR="00E774E4">
        <w:rPr>
          <w:rFonts w:eastAsia="Calibri"/>
        </w:rPr>
        <w:t xml:space="preserve"> </w:t>
      </w:r>
      <w:r w:rsidR="00E774E4">
        <w:rPr>
          <w:rFonts w:eastAsia="Calibri"/>
        </w:rPr>
        <w:t>records</w:t>
      </w:r>
      <w:r w:rsidR="0059231F">
        <w:rPr>
          <w:rFonts w:eastAsia="Calibri"/>
        </w:rPr>
        <w:t xml:space="preserve"> to account for </w:t>
      </w:r>
      <w:r w:rsidR="00D051D0">
        <w:rPr>
          <w:rFonts w:eastAsia="Calibri"/>
        </w:rPr>
        <w:t xml:space="preserve">labeling changes made to reflect the revised </w:t>
      </w:r>
      <w:r w:rsidR="00473F15">
        <w:rPr>
          <w:rFonts w:eastAsia="Calibri"/>
        </w:rPr>
        <w:t>NDC</w:t>
      </w:r>
      <w:r w:rsidR="00852351">
        <w:rPr>
          <w:rFonts w:eastAsia="Calibri"/>
        </w:rPr>
        <w:t xml:space="preserve"> format</w:t>
      </w:r>
      <w:r w:rsidR="0074658D">
        <w:rPr>
          <w:rFonts w:eastAsia="Calibri"/>
        </w:rPr>
        <w:t xml:space="preserve"> and</w:t>
      </w:r>
      <w:r w:rsidR="00EB36A3">
        <w:rPr>
          <w:rFonts w:eastAsia="Calibri"/>
        </w:rPr>
        <w:t xml:space="preserve"> </w:t>
      </w:r>
      <w:r w:rsidR="00EB36A3">
        <w:t>not made in coordination with a periodic labeling change</w:t>
      </w:r>
      <w:r w:rsidR="00E774E4">
        <w:rPr>
          <w:rFonts w:eastAsia="Calibri"/>
        </w:rPr>
        <w:t>.</w:t>
      </w:r>
      <w:r w:rsidRPr="00A26F61" w:rsidR="00E774E4">
        <w:rPr>
          <w:rFonts w:eastAsia="Calibri"/>
        </w:rPr>
        <w:t xml:space="preserve"> </w:t>
      </w:r>
      <w:r w:rsidR="00633C07">
        <w:rPr>
          <w:rFonts w:eastAsia="Calibri"/>
        </w:rPr>
        <w:t xml:space="preserve"> Over the </w:t>
      </w:r>
      <w:r w:rsidR="00D17363">
        <w:rPr>
          <w:rFonts w:eastAsia="Calibri"/>
        </w:rPr>
        <w:t>3-</w:t>
      </w:r>
      <w:r w:rsidR="00633C07">
        <w:rPr>
          <w:rFonts w:eastAsia="Calibri"/>
        </w:rPr>
        <w:t xml:space="preserve">year </w:t>
      </w:r>
      <w:r w:rsidR="00D17363">
        <w:rPr>
          <w:rFonts w:eastAsia="Calibri"/>
        </w:rPr>
        <w:t xml:space="preserve">transition period, and as distributed across three affected Centers, this represents an increase of </w:t>
      </w:r>
      <w:r w:rsidR="00AA4198">
        <w:rPr>
          <w:rFonts w:eastAsia="Calibri"/>
        </w:rPr>
        <w:t>1,800 hours per year, per Center.</w:t>
      </w:r>
      <w:r w:rsidR="00A876A8">
        <w:rPr>
          <w:rFonts w:eastAsia="Calibri"/>
        </w:rPr>
        <w:t xml:space="preserve">  </w:t>
      </w:r>
      <w:r w:rsidR="00A876A8">
        <w:rPr>
          <w:rFonts w:eastAsia="Calibri"/>
        </w:rPr>
        <w:t xml:space="preserve">The previously approved burden was </w:t>
      </w:r>
      <w:r w:rsidRPr="00C044E2" w:rsidR="00A876A8">
        <w:rPr>
          <w:rFonts w:eastAsia="Calibri"/>
        </w:rPr>
        <w:t>323,271</w:t>
      </w:r>
      <w:r w:rsidR="00A876A8">
        <w:rPr>
          <w:rFonts w:eastAsia="Calibri"/>
        </w:rPr>
        <w:t xml:space="preserve"> hours and </w:t>
      </w:r>
      <w:r w:rsidRPr="00C044E2" w:rsidR="00A876A8">
        <w:rPr>
          <w:rFonts w:eastAsia="Calibri"/>
        </w:rPr>
        <w:t>353,659</w:t>
      </w:r>
      <w:r w:rsidR="00A876A8">
        <w:rPr>
          <w:rFonts w:eastAsia="Calibri"/>
        </w:rPr>
        <w:t xml:space="preserve"> responses.  With the burden of this rule incorporated, the requested total is </w:t>
      </w:r>
      <w:r w:rsidRPr="00F23396" w:rsidR="00A876A8">
        <w:rPr>
          <w:rFonts w:eastAsia="Calibri"/>
        </w:rPr>
        <w:t>339,474</w:t>
      </w:r>
      <w:r w:rsidR="00A876A8">
        <w:rPr>
          <w:rFonts w:eastAsia="Calibri"/>
        </w:rPr>
        <w:t xml:space="preserve"> hours and </w:t>
      </w:r>
      <w:r w:rsidRPr="00F23396" w:rsidR="00A876A8">
        <w:rPr>
          <w:rFonts w:eastAsia="Calibri"/>
        </w:rPr>
        <w:t>381,362</w:t>
      </w:r>
      <w:r w:rsidR="00A876A8">
        <w:rPr>
          <w:rFonts w:eastAsia="Calibri"/>
        </w:rPr>
        <w:t xml:space="preserve"> responses.</w:t>
      </w:r>
    </w:p>
    <w:p w:rsidR="005D6245" w:rsidP="00F80197" w14:paraId="427A6DA9" w14:textId="77777777">
      <w:pPr>
        <w:rPr>
          <w:rFonts w:eastAsia="Calibri"/>
        </w:rPr>
      </w:pPr>
    </w:p>
    <w:p w:rsidR="00357C8A" w:rsidRPr="00357C8A" w:rsidP="00F80197" w14:paraId="4D36AC2C" w14:textId="77777777">
      <w:pPr>
        <w:numPr>
          <w:ilvl w:val="0"/>
          <w:numId w:val="9"/>
        </w:numPr>
        <w:rPr>
          <w:rFonts w:eastAsia="Calibri"/>
          <w:u w:val="single"/>
        </w:rPr>
      </w:pPr>
      <w:r w:rsidRPr="00357C8A">
        <w:rPr>
          <w:rFonts w:eastAsia="Calibri"/>
          <w:u w:val="single"/>
        </w:rPr>
        <w:t>Plans for Tabulation and Publication and Project Time Schedule</w:t>
      </w:r>
    </w:p>
    <w:p w:rsidR="00F80197" w:rsidP="00F80197" w14:paraId="18A25BAE" w14:textId="77777777">
      <w:pPr>
        <w:pStyle w:val="Default"/>
        <w:contextualSpacing/>
        <w:rPr>
          <w:rFonts w:eastAsia="Calibri"/>
        </w:rPr>
      </w:pPr>
    </w:p>
    <w:p w:rsidR="00B713B0" w:rsidP="00F80197" w14:paraId="4577F910" w14:textId="226BB242">
      <w:pPr>
        <w:pStyle w:val="Default"/>
        <w:contextualSpacing/>
        <w:rPr>
          <w:rFonts w:eastAsia="Calibri"/>
        </w:rPr>
      </w:pPr>
      <w:r w:rsidRPr="005C71CA">
        <w:rPr>
          <w:rFonts w:eastAsia="Calibri"/>
        </w:rPr>
        <w:t>This information collected will not be published or tabulated.</w:t>
      </w:r>
    </w:p>
    <w:p w:rsidR="00B713B0" w:rsidP="00F80197" w14:paraId="269AB5ED" w14:textId="77777777">
      <w:pPr>
        <w:pStyle w:val="Default"/>
        <w:rPr>
          <w:rFonts w:eastAsia="Calibri"/>
        </w:rPr>
      </w:pPr>
    </w:p>
    <w:p w:rsidR="00B713B0" w:rsidRPr="00357C8A" w:rsidP="00F80197" w14:paraId="18421A25" w14:textId="77777777">
      <w:pPr>
        <w:numPr>
          <w:ilvl w:val="0"/>
          <w:numId w:val="9"/>
        </w:numPr>
        <w:rPr>
          <w:rFonts w:eastAsia="Calibri"/>
          <w:u w:val="single"/>
        </w:rPr>
      </w:pPr>
      <w:r w:rsidRPr="00357C8A">
        <w:rPr>
          <w:rFonts w:eastAsia="Calibri"/>
          <w:u w:val="single"/>
        </w:rPr>
        <w:t>Reason(s) Display of OMB Expiration Date is Inappropriate</w:t>
      </w:r>
    </w:p>
    <w:p w:rsidR="00F80197" w:rsidP="00F80197" w14:paraId="555D5AAF" w14:textId="77777777">
      <w:pPr>
        <w:contextualSpacing/>
      </w:pPr>
    </w:p>
    <w:p w:rsidR="00B713B0" w:rsidP="00F80197" w14:paraId="3AF1B723" w14:textId="27A3E38D">
      <w:pPr>
        <w:contextualSpacing/>
      </w:pPr>
      <w:r w:rsidRPr="001039F3">
        <w:t>FDA will display the OMB expiration date as required by 5 CFR 1320.5</w:t>
      </w:r>
      <w:r>
        <w:t>.</w:t>
      </w:r>
    </w:p>
    <w:p w:rsidR="00B713B0" w:rsidRPr="001039F3" w:rsidP="00F80197" w14:paraId="660B8E4F" w14:textId="77777777"/>
    <w:p w:rsidR="00B713B0" w:rsidP="00F80197" w14:paraId="645F494F" w14:textId="77777777">
      <w:pPr>
        <w:numPr>
          <w:ilvl w:val="0"/>
          <w:numId w:val="12"/>
        </w:numPr>
        <w:ind w:right="-1440"/>
        <w:rPr>
          <w:u w:val="single"/>
        </w:rPr>
      </w:pPr>
      <w:r w:rsidRPr="00C87A8E">
        <w:rPr>
          <w:u w:val="single"/>
        </w:rPr>
        <w:t>Exceptions to Certification for Paperwork Reduction Act Submissions</w:t>
      </w:r>
    </w:p>
    <w:p w:rsidR="00B713B0" w:rsidP="00F80197" w14:paraId="368C4905" w14:textId="77777777">
      <w:pPr>
        <w:tabs>
          <w:tab w:val="left" w:leader="dot" w:pos="4320"/>
          <w:tab w:val="left" w:pos="4680"/>
          <w:tab w:val="left" w:pos="5040"/>
          <w:tab w:val="left" w:pos="5400"/>
          <w:tab w:val="left" w:pos="6480"/>
          <w:tab w:val="left" w:pos="6840"/>
        </w:tabs>
      </w:pPr>
    </w:p>
    <w:p w:rsidR="00B713B0" w:rsidRPr="00B713B0" w:rsidP="00F80197" w14:paraId="3EDA1F2E" w14:textId="77777777">
      <w:pPr>
        <w:contextualSpacing/>
        <w:rPr>
          <w:rFonts w:eastAsia="Calibri"/>
        </w:rPr>
      </w:pPr>
      <w:r w:rsidRPr="00BD690B">
        <w:t>There are no exceptions to the certification.</w:t>
      </w:r>
    </w:p>
    <w:sectPr w:rsidSect="005C71CA">
      <w:footerReference w:type="even" r:id="rId7"/>
      <w:footerReference w:type="default" r:id="rId8"/>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9B0" w:rsidP="003F3DF5" w14:paraId="5A4D4C1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D29B0" w14:paraId="626D58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29B0" w:rsidP="003F3DF5" w14:paraId="394628A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9D29B0" w14:paraId="539333B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2E12F80C"/>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14001AE"/>
    <w:multiLevelType w:val="hybridMultilevel"/>
    <w:tmpl w:val="B5AAC3EC"/>
    <w:lvl w:ilvl="0">
      <w:start w:val="1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72E6F09"/>
    <w:multiLevelType w:val="hybridMultilevel"/>
    <w:tmpl w:val="D1AC5108"/>
    <w:lvl w:ilvl="0">
      <w:start w:val="17"/>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C743490"/>
    <w:multiLevelType w:val="hybridMultilevel"/>
    <w:tmpl w:val="2DFEC7B2"/>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E98660C"/>
    <w:multiLevelType w:val="hybridMultilevel"/>
    <w:tmpl w:val="0F00F2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7A24B2"/>
    <w:multiLevelType w:val="hybridMultilevel"/>
    <w:tmpl w:val="322E7268"/>
    <w:lvl w:ilvl="0">
      <w:start w:val="4"/>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98806701">
    <w:abstractNumId w:val="10"/>
  </w:num>
  <w:num w:numId="2" w16cid:durableId="1524199260">
    <w:abstractNumId w:val="1"/>
  </w:num>
  <w:num w:numId="3" w16cid:durableId="1587767148">
    <w:abstractNumId w:val="11"/>
  </w:num>
  <w:num w:numId="4" w16cid:durableId="1433161200">
    <w:abstractNumId w:val="3"/>
  </w:num>
  <w:num w:numId="5" w16cid:durableId="1099331465">
    <w:abstractNumId w:val="12"/>
  </w:num>
  <w:num w:numId="6" w16cid:durableId="330762902">
    <w:abstractNumId w:val="0"/>
  </w:num>
  <w:num w:numId="7" w16cid:durableId="1201361384">
    <w:abstractNumId w:val="2"/>
  </w:num>
  <w:num w:numId="8" w16cid:durableId="2063091381">
    <w:abstractNumId w:val="8"/>
  </w:num>
  <w:num w:numId="9" w16cid:durableId="1128545726">
    <w:abstractNumId w:val="9"/>
  </w:num>
  <w:num w:numId="10" w16cid:durableId="1672217271">
    <w:abstractNumId w:val="6"/>
  </w:num>
  <w:num w:numId="11" w16cid:durableId="1360281729">
    <w:abstractNumId w:val="5"/>
  </w:num>
  <w:num w:numId="12" w16cid:durableId="1176187373">
    <w:abstractNumId w:val="4"/>
  </w:num>
  <w:num w:numId="13" w16cid:durableId="197004072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1BE"/>
    <w:rsid w:val="00002907"/>
    <w:rsid w:val="00003C33"/>
    <w:rsid w:val="00003DFE"/>
    <w:rsid w:val="0000415F"/>
    <w:rsid w:val="000044DB"/>
    <w:rsid w:val="00010DEA"/>
    <w:rsid w:val="0001633D"/>
    <w:rsid w:val="000168CA"/>
    <w:rsid w:val="00017590"/>
    <w:rsid w:val="00020F3F"/>
    <w:rsid w:val="000213D9"/>
    <w:rsid w:val="00021E5A"/>
    <w:rsid w:val="00024869"/>
    <w:rsid w:val="000270C0"/>
    <w:rsid w:val="00031A2C"/>
    <w:rsid w:val="00031FE9"/>
    <w:rsid w:val="000328A5"/>
    <w:rsid w:val="00034AFB"/>
    <w:rsid w:val="00034B1B"/>
    <w:rsid w:val="0003579D"/>
    <w:rsid w:val="00035EA0"/>
    <w:rsid w:val="00042B93"/>
    <w:rsid w:val="00042BF4"/>
    <w:rsid w:val="00042CB4"/>
    <w:rsid w:val="0004324B"/>
    <w:rsid w:val="00043C7F"/>
    <w:rsid w:val="00043D8E"/>
    <w:rsid w:val="00045156"/>
    <w:rsid w:val="00045473"/>
    <w:rsid w:val="000462FF"/>
    <w:rsid w:val="000467A8"/>
    <w:rsid w:val="000507F0"/>
    <w:rsid w:val="00051070"/>
    <w:rsid w:val="0005355F"/>
    <w:rsid w:val="00054852"/>
    <w:rsid w:val="00061967"/>
    <w:rsid w:val="00061A35"/>
    <w:rsid w:val="000637DF"/>
    <w:rsid w:val="0006570F"/>
    <w:rsid w:val="000662FE"/>
    <w:rsid w:val="00070508"/>
    <w:rsid w:val="00071781"/>
    <w:rsid w:val="00072D4C"/>
    <w:rsid w:val="00073C90"/>
    <w:rsid w:val="00075DE8"/>
    <w:rsid w:val="00075F37"/>
    <w:rsid w:val="00076E80"/>
    <w:rsid w:val="00084C3D"/>
    <w:rsid w:val="00085346"/>
    <w:rsid w:val="00087439"/>
    <w:rsid w:val="000874A4"/>
    <w:rsid w:val="0009161C"/>
    <w:rsid w:val="00091846"/>
    <w:rsid w:val="00095B80"/>
    <w:rsid w:val="000A00FA"/>
    <w:rsid w:val="000A1A3B"/>
    <w:rsid w:val="000A1CF4"/>
    <w:rsid w:val="000B1D24"/>
    <w:rsid w:val="000B39F6"/>
    <w:rsid w:val="000B43B1"/>
    <w:rsid w:val="000B4A55"/>
    <w:rsid w:val="000B625A"/>
    <w:rsid w:val="000B7A98"/>
    <w:rsid w:val="000C09E4"/>
    <w:rsid w:val="000C0A79"/>
    <w:rsid w:val="000C0F73"/>
    <w:rsid w:val="000C1260"/>
    <w:rsid w:val="000C155A"/>
    <w:rsid w:val="000C1D10"/>
    <w:rsid w:val="000C2BFE"/>
    <w:rsid w:val="000C39FE"/>
    <w:rsid w:val="000C3A6B"/>
    <w:rsid w:val="000C560C"/>
    <w:rsid w:val="000C65E9"/>
    <w:rsid w:val="000C7F89"/>
    <w:rsid w:val="000D080B"/>
    <w:rsid w:val="000D0947"/>
    <w:rsid w:val="000D2960"/>
    <w:rsid w:val="000D2965"/>
    <w:rsid w:val="000D2CCA"/>
    <w:rsid w:val="000D4285"/>
    <w:rsid w:val="000D48FD"/>
    <w:rsid w:val="000D52FE"/>
    <w:rsid w:val="000D7322"/>
    <w:rsid w:val="000D79CC"/>
    <w:rsid w:val="000E1C64"/>
    <w:rsid w:val="000E3940"/>
    <w:rsid w:val="000E6073"/>
    <w:rsid w:val="000E7EB1"/>
    <w:rsid w:val="000F044A"/>
    <w:rsid w:val="000F1C8B"/>
    <w:rsid w:val="000F2392"/>
    <w:rsid w:val="000F251A"/>
    <w:rsid w:val="000F350A"/>
    <w:rsid w:val="000F60C0"/>
    <w:rsid w:val="000F7119"/>
    <w:rsid w:val="000F75BF"/>
    <w:rsid w:val="00100739"/>
    <w:rsid w:val="001039F3"/>
    <w:rsid w:val="0010493E"/>
    <w:rsid w:val="00104C58"/>
    <w:rsid w:val="001055A2"/>
    <w:rsid w:val="00106AF1"/>
    <w:rsid w:val="001075D3"/>
    <w:rsid w:val="00107885"/>
    <w:rsid w:val="00111A2C"/>
    <w:rsid w:val="00111CF6"/>
    <w:rsid w:val="0011287E"/>
    <w:rsid w:val="00112C91"/>
    <w:rsid w:val="00112E9B"/>
    <w:rsid w:val="00114FC4"/>
    <w:rsid w:val="001157CF"/>
    <w:rsid w:val="0012329C"/>
    <w:rsid w:val="001238E2"/>
    <w:rsid w:val="00126F6C"/>
    <w:rsid w:val="0013076A"/>
    <w:rsid w:val="00130B71"/>
    <w:rsid w:val="00134B46"/>
    <w:rsid w:val="00134FA7"/>
    <w:rsid w:val="00136C46"/>
    <w:rsid w:val="00137950"/>
    <w:rsid w:val="00141C99"/>
    <w:rsid w:val="00143108"/>
    <w:rsid w:val="00144A25"/>
    <w:rsid w:val="001463B2"/>
    <w:rsid w:val="00150331"/>
    <w:rsid w:val="00151482"/>
    <w:rsid w:val="00152F29"/>
    <w:rsid w:val="001555B3"/>
    <w:rsid w:val="0015621D"/>
    <w:rsid w:val="0016182A"/>
    <w:rsid w:val="00162B77"/>
    <w:rsid w:val="00162D36"/>
    <w:rsid w:val="00165EC3"/>
    <w:rsid w:val="001673A9"/>
    <w:rsid w:val="0017108B"/>
    <w:rsid w:val="00171EEF"/>
    <w:rsid w:val="00172456"/>
    <w:rsid w:val="00174D54"/>
    <w:rsid w:val="0017702C"/>
    <w:rsid w:val="001772B3"/>
    <w:rsid w:val="00183F3A"/>
    <w:rsid w:val="00184572"/>
    <w:rsid w:val="00185270"/>
    <w:rsid w:val="001862B1"/>
    <w:rsid w:val="001877DC"/>
    <w:rsid w:val="00190F4A"/>
    <w:rsid w:val="00192F31"/>
    <w:rsid w:val="00195414"/>
    <w:rsid w:val="0019731D"/>
    <w:rsid w:val="001A3786"/>
    <w:rsid w:val="001A3B5A"/>
    <w:rsid w:val="001A4A67"/>
    <w:rsid w:val="001A52D9"/>
    <w:rsid w:val="001A701A"/>
    <w:rsid w:val="001B36D0"/>
    <w:rsid w:val="001B40C9"/>
    <w:rsid w:val="001B71E2"/>
    <w:rsid w:val="001B7CE9"/>
    <w:rsid w:val="001C3EB0"/>
    <w:rsid w:val="001C4434"/>
    <w:rsid w:val="001C60FD"/>
    <w:rsid w:val="001C7033"/>
    <w:rsid w:val="001D1627"/>
    <w:rsid w:val="001D2A7D"/>
    <w:rsid w:val="001D495A"/>
    <w:rsid w:val="001D4C7A"/>
    <w:rsid w:val="001E1597"/>
    <w:rsid w:val="001E1D72"/>
    <w:rsid w:val="001E244C"/>
    <w:rsid w:val="001E2F60"/>
    <w:rsid w:val="001E3BAA"/>
    <w:rsid w:val="001E7234"/>
    <w:rsid w:val="001E7618"/>
    <w:rsid w:val="001F1437"/>
    <w:rsid w:val="001F1C6C"/>
    <w:rsid w:val="001F7A31"/>
    <w:rsid w:val="002010FC"/>
    <w:rsid w:val="002013D3"/>
    <w:rsid w:val="00201FE5"/>
    <w:rsid w:val="002027AA"/>
    <w:rsid w:val="0020420D"/>
    <w:rsid w:val="00205DA3"/>
    <w:rsid w:val="00206799"/>
    <w:rsid w:val="002074FE"/>
    <w:rsid w:val="002105F9"/>
    <w:rsid w:val="00211033"/>
    <w:rsid w:val="002114AC"/>
    <w:rsid w:val="00212ABE"/>
    <w:rsid w:val="0021507E"/>
    <w:rsid w:val="00223DA4"/>
    <w:rsid w:val="0022425B"/>
    <w:rsid w:val="002259EF"/>
    <w:rsid w:val="00225D2A"/>
    <w:rsid w:val="00227110"/>
    <w:rsid w:val="00236079"/>
    <w:rsid w:val="00237429"/>
    <w:rsid w:val="0023767E"/>
    <w:rsid w:val="00240398"/>
    <w:rsid w:val="002421F3"/>
    <w:rsid w:val="00242ED1"/>
    <w:rsid w:val="0024447F"/>
    <w:rsid w:val="002444BB"/>
    <w:rsid w:val="00244AAF"/>
    <w:rsid w:val="00245E7B"/>
    <w:rsid w:val="002474C5"/>
    <w:rsid w:val="00252D63"/>
    <w:rsid w:val="00253F31"/>
    <w:rsid w:val="00254069"/>
    <w:rsid w:val="002574B9"/>
    <w:rsid w:val="00261405"/>
    <w:rsid w:val="002618B8"/>
    <w:rsid w:val="002636DA"/>
    <w:rsid w:val="002639FF"/>
    <w:rsid w:val="00264387"/>
    <w:rsid w:val="0026690F"/>
    <w:rsid w:val="00266933"/>
    <w:rsid w:val="00270748"/>
    <w:rsid w:val="00271381"/>
    <w:rsid w:val="00271AB7"/>
    <w:rsid w:val="00272922"/>
    <w:rsid w:val="002734E5"/>
    <w:rsid w:val="00274198"/>
    <w:rsid w:val="0027422C"/>
    <w:rsid w:val="002746DB"/>
    <w:rsid w:val="0027477A"/>
    <w:rsid w:val="002748B6"/>
    <w:rsid w:val="00274975"/>
    <w:rsid w:val="00277BB7"/>
    <w:rsid w:val="002805D7"/>
    <w:rsid w:val="00280CAF"/>
    <w:rsid w:val="0028122F"/>
    <w:rsid w:val="00282F09"/>
    <w:rsid w:val="002844B5"/>
    <w:rsid w:val="00285EF0"/>
    <w:rsid w:val="00286429"/>
    <w:rsid w:val="002913F3"/>
    <w:rsid w:val="00291810"/>
    <w:rsid w:val="00291FCD"/>
    <w:rsid w:val="002926FB"/>
    <w:rsid w:val="00293476"/>
    <w:rsid w:val="00294D62"/>
    <w:rsid w:val="00295A74"/>
    <w:rsid w:val="00297532"/>
    <w:rsid w:val="00297FFD"/>
    <w:rsid w:val="002A06EB"/>
    <w:rsid w:val="002A1131"/>
    <w:rsid w:val="002A1210"/>
    <w:rsid w:val="002A2ED2"/>
    <w:rsid w:val="002A47D2"/>
    <w:rsid w:val="002A6045"/>
    <w:rsid w:val="002A6CAC"/>
    <w:rsid w:val="002A6E29"/>
    <w:rsid w:val="002A7FB5"/>
    <w:rsid w:val="002B12D2"/>
    <w:rsid w:val="002B1F54"/>
    <w:rsid w:val="002B2074"/>
    <w:rsid w:val="002B56FC"/>
    <w:rsid w:val="002C355E"/>
    <w:rsid w:val="002C47AB"/>
    <w:rsid w:val="002C4D4F"/>
    <w:rsid w:val="002C696C"/>
    <w:rsid w:val="002D0A2E"/>
    <w:rsid w:val="002D14D8"/>
    <w:rsid w:val="002D2129"/>
    <w:rsid w:val="002D2907"/>
    <w:rsid w:val="002D2E4D"/>
    <w:rsid w:val="002D3CCD"/>
    <w:rsid w:val="002D40A4"/>
    <w:rsid w:val="002D4799"/>
    <w:rsid w:val="002D68DC"/>
    <w:rsid w:val="002E3DD1"/>
    <w:rsid w:val="002E3FA4"/>
    <w:rsid w:val="002E454F"/>
    <w:rsid w:val="002E53A5"/>
    <w:rsid w:val="002E64B8"/>
    <w:rsid w:val="002E6834"/>
    <w:rsid w:val="002F2B61"/>
    <w:rsid w:val="002F2E17"/>
    <w:rsid w:val="002F4838"/>
    <w:rsid w:val="002F4AF6"/>
    <w:rsid w:val="00301D17"/>
    <w:rsid w:val="00310307"/>
    <w:rsid w:val="003113FF"/>
    <w:rsid w:val="00312622"/>
    <w:rsid w:val="00314794"/>
    <w:rsid w:val="00315CF7"/>
    <w:rsid w:val="0031708D"/>
    <w:rsid w:val="0032277F"/>
    <w:rsid w:val="003227DB"/>
    <w:rsid w:val="00322DC0"/>
    <w:rsid w:val="003232E5"/>
    <w:rsid w:val="0032455B"/>
    <w:rsid w:val="00324CF1"/>
    <w:rsid w:val="003278BA"/>
    <w:rsid w:val="003322E4"/>
    <w:rsid w:val="00333F76"/>
    <w:rsid w:val="003355C7"/>
    <w:rsid w:val="00336ADB"/>
    <w:rsid w:val="00336B69"/>
    <w:rsid w:val="0033788E"/>
    <w:rsid w:val="0034302B"/>
    <w:rsid w:val="003441BA"/>
    <w:rsid w:val="00350523"/>
    <w:rsid w:val="0035077B"/>
    <w:rsid w:val="0035189D"/>
    <w:rsid w:val="003520FF"/>
    <w:rsid w:val="00352187"/>
    <w:rsid w:val="003527E5"/>
    <w:rsid w:val="00355B62"/>
    <w:rsid w:val="00357C8A"/>
    <w:rsid w:val="0036077C"/>
    <w:rsid w:val="0036152B"/>
    <w:rsid w:val="003618C3"/>
    <w:rsid w:val="00371346"/>
    <w:rsid w:val="0037290B"/>
    <w:rsid w:val="003740BC"/>
    <w:rsid w:val="0037456B"/>
    <w:rsid w:val="003761FD"/>
    <w:rsid w:val="00376FFB"/>
    <w:rsid w:val="003801A3"/>
    <w:rsid w:val="00383D90"/>
    <w:rsid w:val="0038593F"/>
    <w:rsid w:val="003870AE"/>
    <w:rsid w:val="00387136"/>
    <w:rsid w:val="0038713E"/>
    <w:rsid w:val="0038747A"/>
    <w:rsid w:val="00387A9A"/>
    <w:rsid w:val="00391FE8"/>
    <w:rsid w:val="0039475A"/>
    <w:rsid w:val="00395EA6"/>
    <w:rsid w:val="00396AD0"/>
    <w:rsid w:val="003A0B54"/>
    <w:rsid w:val="003A0CEF"/>
    <w:rsid w:val="003A173F"/>
    <w:rsid w:val="003A1A27"/>
    <w:rsid w:val="003A2668"/>
    <w:rsid w:val="003A4729"/>
    <w:rsid w:val="003A485B"/>
    <w:rsid w:val="003A50CC"/>
    <w:rsid w:val="003B05BB"/>
    <w:rsid w:val="003B0BC5"/>
    <w:rsid w:val="003B15A1"/>
    <w:rsid w:val="003B42B3"/>
    <w:rsid w:val="003B6384"/>
    <w:rsid w:val="003C05C1"/>
    <w:rsid w:val="003C0FE2"/>
    <w:rsid w:val="003C40C2"/>
    <w:rsid w:val="003C4EBB"/>
    <w:rsid w:val="003C5941"/>
    <w:rsid w:val="003C6851"/>
    <w:rsid w:val="003D1531"/>
    <w:rsid w:val="003D2BDD"/>
    <w:rsid w:val="003D6675"/>
    <w:rsid w:val="003E00D0"/>
    <w:rsid w:val="003E061E"/>
    <w:rsid w:val="003E19F9"/>
    <w:rsid w:val="003E2396"/>
    <w:rsid w:val="003E4EC6"/>
    <w:rsid w:val="003E527E"/>
    <w:rsid w:val="003E553E"/>
    <w:rsid w:val="003E6A16"/>
    <w:rsid w:val="003E7078"/>
    <w:rsid w:val="003F319F"/>
    <w:rsid w:val="003F3DF5"/>
    <w:rsid w:val="003F72E2"/>
    <w:rsid w:val="003F73B8"/>
    <w:rsid w:val="003F74D4"/>
    <w:rsid w:val="003F79CE"/>
    <w:rsid w:val="003F7BEE"/>
    <w:rsid w:val="0040297E"/>
    <w:rsid w:val="004044DE"/>
    <w:rsid w:val="00406179"/>
    <w:rsid w:val="00407B1A"/>
    <w:rsid w:val="00410941"/>
    <w:rsid w:val="00411D11"/>
    <w:rsid w:val="004127C9"/>
    <w:rsid w:val="00413482"/>
    <w:rsid w:val="004139DC"/>
    <w:rsid w:val="00414494"/>
    <w:rsid w:val="00415A67"/>
    <w:rsid w:val="00415E23"/>
    <w:rsid w:val="0041670D"/>
    <w:rsid w:val="00416D4F"/>
    <w:rsid w:val="004176EC"/>
    <w:rsid w:val="004179B2"/>
    <w:rsid w:val="0042057E"/>
    <w:rsid w:val="00420884"/>
    <w:rsid w:val="00423272"/>
    <w:rsid w:val="00424061"/>
    <w:rsid w:val="00424908"/>
    <w:rsid w:val="00425FEA"/>
    <w:rsid w:val="004274A1"/>
    <w:rsid w:val="0043102B"/>
    <w:rsid w:val="00432FFB"/>
    <w:rsid w:val="00433895"/>
    <w:rsid w:val="004340B7"/>
    <w:rsid w:val="00435E2B"/>
    <w:rsid w:val="00440A2E"/>
    <w:rsid w:val="00442A3C"/>
    <w:rsid w:val="00443969"/>
    <w:rsid w:val="004439E1"/>
    <w:rsid w:val="0044439B"/>
    <w:rsid w:val="00444733"/>
    <w:rsid w:val="00445397"/>
    <w:rsid w:val="00446413"/>
    <w:rsid w:val="00447D74"/>
    <w:rsid w:val="00447EF5"/>
    <w:rsid w:val="00450A74"/>
    <w:rsid w:val="004518AD"/>
    <w:rsid w:val="004518C0"/>
    <w:rsid w:val="00453DBC"/>
    <w:rsid w:val="004546BF"/>
    <w:rsid w:val="00454B35"/>
    <w:rsid w:val="004601F4"/>
    <w:rsid w:val="004605A9"/>
    <w:rsid w:val="00460B51"/>
    <w:rsid w:val="004650B6"/>
    <w:rsid w:val="00465350"/>
    <w:rsid w:val="00466A70"/>
    <w:rsid w:val="00466AAA"/>
    <w:rsid w:val="004670B0"/>
    <w:rsid w:val="00470C63"/>
    <w:rsid w:val="00471C31"/>
    <w:rsid w:val="00472146"/>
    <w:rsid w:val="00473304"/>
    <w:rsid w:val="00473905"/>
    <w:rsid w:val="00473F15"/>
    <w:rsid w:val="00474487"/>
    <w:rsid w:val="004746FE"/>
    <w:rsid w:val="00475F4B"/>
    <w:rsid w:val="00476B91"/>
    <w:rsid w:val="00476DAA"/>
    <w:rsid w:val="00476F4A"/>
    <w:rsid w:val="0047734D"/>
    <w:rsid w:val="00477553"/>
    <w:rsid w:val="004818D1"/>
    <w:rsid w:val="00481A4C"/>
    <w:rsid w:val="00482696"/>
    <w:rsid w:val="004846BF"/>
    <w:rsid w:val="00484E91"/>
    <w:rsid w:val="00487363"/>
    <w:rsid w:val="004876C8"/>
    <w:rsid w:val="00491FD0"/>
    <w:rsid w:val="00492591"/>
    <w:rsid w:val="00493EF8"/>
    <w:rsid w:val="00494912"/>
    <w:rsid w:val="00495A81"/>
    <w:rsid w:val="00496D25"/>
    <w:rsid w:val="004972C5"/>
    <w:rsid w:val="004A073C"/>
    <w:rsid w:val="004A0D8E"/>
    <w:rsid w:val="004A14B6"/>
    <w:rsid w:val="004A4301"/>
    <w:rsid w:val="004A52F3"/>
    <w:rsid w:val="004A5323"/>
    <w:rsid w:val="004A5A99"/>
    <w:rsid w:val="004A6372"/>
    <w:rsid w:val="004A69D2"/>
    <w:rsid w:val="004A6AAF"/>
    <w:rsid w:val="004B0EE2"/>
    <w:rsid w:val="004B1C0B"/>
    <w:rsid w:val="004B24CF"/>
    <w:rsid w:val="004B2666"/>
    <w:rsid w:val="004B503A"/>
    <w:rsid w:val="004B6182"/>
    <w:rsid w:val="004B7D56"/>
    <w:rsid w:val="004C2B47"/>
    <w:rsid w:val="004C495C"/>
    <w:rsid w:val="004C6159"/>
    <w:rsid w:val="004C6979"/>
    <w:rsid w:val="004D13A2"/>
    <w:rsid w:val="004D3397"/>
    <w:rsid w:val="004D39AD"/>
    <w:rsid w:val="004D3E7A"/>
    <w:rsid w:val="004D500D"/>
    <w:rsid w:val="004E2790"/>
    <w:rsid w:val="004E2C7F"/>
    <w:rsid w:val="004F1511"/>
    <w:rsid w:val="004F23A2"/>
    <w:rsid w:val="004F54B3"/>
    <w:rsid w:val="004F594B"/>
    <w:rsid w:val="004F60E8"/>
    <w:rsid w:val="004F61E1"/>
    <w:rsid w:val="004F7CAC"/>
    <w:rsid w:val="00502D21"/>
    <w:rsid w:val="00503596"/>
    <w:rsid w:val="00503B56"/>
    <w:rsid w:val="005063D5"/>
    <w:rsid w:val="00511519"/>
    <w:rsid w:val="005117E0"/>
    <w:rsid w:val="005147EA"/>
    <w:rsid w:val="0051665A"/>
    <w:rsid w:val="00516C39"/>
    <w:rsid w:val="005170D5"/>
    <w:rsid w:val="00517E9E"/>
    <w:rsid w:val="0052001D"/>
    <w:rsid w:val="00520551"/>
    <w:rsid w:val="0052308D"/>
    <w:rsid w:val="0052356E"/>
    <w:rsid w:val="00524316"/>
    <w:rsid w:val="00524A72"/>
    <w:rsid w:val="00524DCF"/>
    <w:rsid w:val="0052670A"/>
    <w:rsid w:val="00527563"/>
    <w:rsid w:val="005278FA"/>
    <w:rsid w:val="00527F6D"/>
    <w:rsid w:val="00530053"/>
    <w:rsid w:val="0053065C"/>
    <w:rsid w:val="00530FB7"/>
    <w:rsid w:val="0053380B"/>
    <w:rsid w:val="00534B11"/>
    <w:rsid w:val="0053580E"/>
    <w:rsid w:val="00536692"/>
    <w:rsid w:val="00537D35"/>
    <w:rsid w:val="005410F5"/>
    <w:rsid w:val="00541280"/>
    <w:rsid w:val="00541875"/>
    <w:rsid w:val="00541C3A"/>
    <w:rsid w:val="005421CE"/>
    <w:rsid w:val="00543194"/>
    <w:rsid w:val="00544138"/>
    <w:rsid w:val="00544410"/>
    <w:rsid w:val="00553CF6"/>
    <w:rsid w:val="00554E34"/>
    <w:rsid w:val="005576B6"/>
    <w:rsid w:val="0055784E"/>
    <w:rsid w:val="005608D0"/>
    <w:rsid w:val="00560C9F"/>
    <w:rsid w:val="00560E9B"/>
    <w:rsid w:val="00560F42"/>
    <w:rsid w:val="00561765"/>
    <w:rsid w:val="00562C70"/>
    <w:rsid w:val="00563F8B"/>
    <w:rsid w:val="005648B4"/>
    <w:rsid w:val="005705CB"/>
    <w:rsid w:val="00573738"/>
    <w:rsid w:val="005740AD"/>
    <w:rsid w:val="00574773"/>
    <w:rsid w:val="00574E73"/>
    <w:rsid w:val="00575814"/>
    <w:rsid w:val="005758E1"/>
    <w:rsid w:val="00576DBD"/>
    <w:rsid w:val="0057759B"/>
    <w:rsid w:val="00577B5D"/>
    <w:rsid w:val="00577C19"/>
    <w:rsid w:val="00577D1B"/>
    <w:rsid w:val="005804F6"/>
    <w:rsid w:val="005818FC"/>
    <w:rsid w:val="00582654"/>
    <w:rsid w:val="00582698"/>
    <w:rsid w:val="00584583"/>
    <w:rsid w:val="005857AC"/>
    <w:rsid w:val="00585A91"/>
    <w:rsid w:val="00585C5F"/>
    <w:rsid w:val="00590E90"/>
    <w:rsid w:val="00590EEB"/>
    <w:rsid w:val="0059231F"/>
    <w:rsid w:val="005A035F"/>
    <w:rsid w:val="005A2CDA"/>
    <w:rsid w:val="005A2E46"/>
    <w:rsid w:val="005A4099"/>
    <w:rsid w:val="005A4906"/>
    <w:rsid w:val="005A59FC"/>
    <w:rsid w:val="005A6526"/>
    <w:rsid w:val="005A744E"/>
    <w:rsid w:val="005B0813"/>
    <w:rsid w:val="005B0AC4"/>
    <w:rsid w:val="005B0BC7"/>
    <w:rsid w:val="005B2AA4"/>
    <w:rsid w:val="005B375D"/>
    <w:rsid w:val="005B5151"/>
    <w:rsid w:val="005B5D41"/>
    <w:rsid w:val="005B6D51"/>
    <w:rsid w:val="005C1201"/>
    <w:rsid w:val="005C2C8F"/>
    <w:rsid w:val="005C38B2"/>
    <w:rsid w:val="005C3EC5"/>
    <w:rsid w:val="005C5029"/>
    <w:rsid w:val="005C55C2"/>
    <w:rsid w:val="005C5DF9"/>
    <w:rsid w:val="005C5FE8"/>
    <w:rsid w:val="005C71CA"/>
    <w:rsid w:val="005C745C"/>
    <w:rsid w:val="005D0520"/>
    <w:rsid w:val="005D0DB1"/>
    <w:rsid w:val="005D4DF5"/>
    <w:rsid w:val="005D5BC2"/>
    <w:rsid w:val="005D5C77"/>
    <w:rsid w:val="005D6245"/>
    <w:rsid w:val="005D671F"/>
    <w:rsid w:val="005D67C2"/>
    <w:rsid w:val="005D710D"/>
    <w:rsid w:val="005D7CDD"/>
    <w:rsid w:val="005E35EF"/>
    <w:rsid w:val="005E3BA3"/>
    <w:rsid w:val="005E42BA"/>
    <w:rsid w:val="005E6AEF"/>
    <w:rsid w:val="005F0A68"/>
    <w:rsid w:val="005F18B4"/>
    <w:rsid w:val="005F258A"/>
    <w:rsid w:val="005F28C2"/>
    <w:rsid w:val="005F6388"/>
    <w:rsid w:val="005F6DD2"/>
    <w:rsid w:val="00601363"/>
    <w:rsid w:val="00602E7B"/>
    <w:rsid w:val="00603138"/>
    <w:rsid w:val="00605318"/>
    <w:rsid w:val="00607125"/>
    <w:rsid w:val="006104DE"/>
    <w:rsid w:val="00610D06"/>
    <w:rsid w:val="00611D6B"/>
    <w:rsid w:val="00615AB6"/>
    <w:rsid w:val="006161EC"/>
    <w:rsid w:val="00617A4C"/>
    <w:rsid w:val="00622EE6"/>
    <w:rsid w:val="00624040"/>
    <w:rsid w:val="00625544"/>
    <w:rsid w:val="00625CFD"/>
    <w:rsid w:val="006263D2"/>
    <w:rsid w:val="00626429"/>
    <w:rsid w:val="006270F5"/>
    <w:rsid w:val="00627E2E"/>
    <w:rsid w:val="006306A6"/>
    <w:rsid w:val="006326EC"/>
    <w:rsid w:val="00632984"/>
    <w:rsid w:val="00633BE5"/>
    <w:rsid w:val="00633C07"/>
    <w:rsid w:val="0063408B"/>
    <w:rsid w:val="006350A1"/>
    <w:rsid w:val="00635549"/>
    <w:rsid w:val="006361DC"/>
    <w:rsid w:val="00636DE0"/>
    <w:rsid w:val="006374DD"/>
    <w:rsid w:val="006429E6"/>
    <w:rsid w:val="006436AE"/>
    <w:rsid w:val="0064380A"/>
    <w:rsid w:val="006511D9"/>
    <w:rsid w:val="00655D21"/>
    <w:rsid w:val="00655F07"/>
    <w:rsid w:val="00656DF5"/>
    <w:rsid w:val="0066029D"/>
    <w:rsid w:val="00662499"/>
    <w:rsid w:val="00663494"/>
    <w:rsid w:val="00663A42"/>
    <w:rsid w:val="006641C7"/>
    <w:rsid w:val="006643CB"/>
    <w:rsid w:val="006644F2"/>
    <w:rsid w:val="00664D0D"/>
    <w:rsid w:val="00665386"/>
    <w:rsid w:val="006705EA"/>
    <w:rsid w:val="00670BE2"/>
    <w:rsid w:val="006710DC"/>
    <w:rsid w:val="00672EDF"/>
    <w:rsid w:val="0067475D"/>
    <w:rsid w:val="006759ED"/>
    <w:rsid w:val="00675BA2"/>
    <w:rsid w:val="00676D09"/>
    <w:rsid w:val="0067701D"/>
    <w:rsid w:val="00680C3C"/>
    <w:rsid w:val="006822F6"/>
    <w:rsid w:val="00682FE7"/>
    <w:rsid w:val="00683EAA"/>
    <w:rsid w:val="006852EE"/>
    <w:rsid w:val="00685EB7"/>
    <w:rsid w:val="006915AB"/>
    <w:rsid w:val="006916D9"/>
    <w:rsid w:val="00691A9F"/>
    <w:rsid w:val="00697375"/>
    <w:rsid w:val="006A0E05"/>
    <w:rsid w:val="006A0E0B"/>
    <w:rsid w:val="006A26C6"/>
    <w:rsid w:val="006A4153"/>
    <w:rsid w:val="006A465A"/>
    <w:rsid w:val="006A6B86"/>
    <w:rsid w:val="006A7D5D"/>
    <w:rsid w:val="006B1322"/>
    <w:rsid w:val="006B710C"/>
    <w:rsid w:val="006C0515"/>
    <w:rsid w:val="006C19A1"/>
    <w:rsid w:val="006C4F7E"/>
    <w:rsid w:val="006C5026"/>
    <w:rsid w:val="006C564B"/>
    <w:rsid w:val="006C6293"/>
    <w:rsid w:val="006C6443"/>
    <w:rsid w:val="006C6C13"/>
    <w:rsid w:val="006D0C12"/>
    <w:rsid w:val="006D1209"/>
    <w:rsid w:val="006D1475"/>
    <w:rsid w:val="006D26DD"/>
    <w:rsid w:val="006D32DF"/>
    <w:rsid w:val="006D51BC"/>
    <w:rsid w:val="006D5D57"/>
    <w:rsid w:val="006D61D1"/>
    <w:rsid w:val="006D661D"/>
    <w:rsid w:val="006E0219"/>
    <w:rsid w:val="006E1D1B"/>
    <w:rsid w:val="006E2538"/>
    <w:rsid w:val="006E302F"/>
    <w:rsid w:val="006E383A"/>
    <w:rsid w:val="006E551C"/>
    <w:rsid w:val="006F1619"/>
    <w:rsid w:val="006F28AF"/>
    <w:rsid w:val="006F4806"/>
    <w:rsid w:val="006F4D6D"/>
    <w:rsid w:val="0070056B"/>
    <w:rsid w:val="007022DB"/>
    <w:rsid w:val="00703238"/>
    <w:rsid w:val="00705086"/>
    <w:rsid w:val="00706B6A"/>
    <w:rsid w:val="007168A4"/>
    <w:rsid w:val="007174FF"/>
    <w:rsid w:val="007177CA"/>
    <w:rsid w:val="00720AC5"/>
    <w:rsid w:val="00722001"/>
    <w:rsid w:val="007220BC"/>
    <w:rsid w:val="00723EE0"/>
    <w:rsid w:val="00724271"/>
    <w:rsid w:val="007312C8"/>
    <w:rsid w:val="007327FB"/>
    <w:rsid w:val="00732C97"/>
    <w:rsid w:val="00736249"/>
    <w:rsid w:val="00740A8E"/>
    <w:rsid w:val="00742CA1"/>
    <w:rsid w:val="0074658D"/>
    <w:rsid w:val="00750F0B"/>
    <w:rsid w:val="00751368"/>
    <w:rsid w:val="00751E66"/>
    <w:rsid w:val="00752E01"/>
    <w:rsid w:val="00754037"/>
    <w:rsid w:val="00754497"/>
    <w:rsid w:val="00754FC7"/>
    <w:rsid w:val="00755125"/>
    <w:rsid w:val="007604BC"/>
    <w:rsid w:val="0076093A"/>
    <w:rsid w:val="00761322"/>
    <w:rsid w:val="00763469"/>
    <w:rsid w:val="00763B7F"/>
    <w:rsid w:val="00764F4F"/>
    <w:rsid w:val="00765C25"/>
    <w:rsid w:val="0077106A"/>
    <w:rsid w:val="00771EAB"/>
    <w:rsid w:val="007727F0"/>
    <w:rsid w:val="00772CD7"/>
    <w:rsid w:val="0077437C"/>
    <w:rsid w:val="00774965"/>
    <w:rsid w:val="00776DD0"/>
    <w:rsid w:val="00777CF4"/>
    <w:rsid w:val="007826BE"/>
    <w:rsid w:val="00783399"/>
    <w:rsid w:val="00783959"/>
    <w:rsid w:val="00784F87"/>
    <w:rsid w:val="00785832"/>
    <w:rsid w:val="00786FD3"/>
    <w:rsid w:val="00787C39"/>
    <w:rsid w:val="00791703"/>
    <w:rsid w:val="0079284A"/>
    <w:rsid w:val="00792947"/>
    <w:rsid w:val="00792E21"/>
    <w:rsid w:val="00794BF6"/>
    <w:rsid w:val="00795DF3"/>
    <w:rsid w:val="00796C28"/>
    <w:rsid w:val="007A0F69"/>
    <w:rsid w:val="007A1887"/>
    <w:rsid w:val="007A1E30"/>
    <w:rsid w:val="007A1F13"/>
    <w:rsid w:val="007A2929"/>
    <w:rsid w:val="007A373C"/>
    <w:rsid w:val="007A59B6"/>
    <w:rsid w:val="007A68A4"/>
    <w:rsid w:val="007B0F1D"/>
    <w:rsid w:val="007B225C"/>
    <w:rsid w:val="007B3ED7"/>
    <w:rsid w:val="007B5361"/>
    <w:rsid w:val="007B6627"/>
    <w:rsid w:val="007C209A"/>
    <w:rsid w:val="007C4171"/>
    <w:rsid w:val="007C7092"/>
    <w:rsid w:val="007C75B1"/>
    <w:rsid w:val="007C7A5D"/>
    <w:rsid w:val="007D3DFC"/>
    <w:rsid w:val="007D57B3"/>
    <w:rsid w:val="007D642D"/>
    <w:rsid w:val="007D66C0"/>
    <w:rsid w:val="007D76C7"/>
    <w:rsid w:val="007E1EAB"/>
    <w:rsid w:val="007E2EA9"/>
    <w:rsid w:val="007E2F07"/>
    <w:rsid w:val="007E32A5"/>
    <w:rsid w:val="007E59A8"/>
    <w:rsid w:val="007E6DF4"/>
    <w:rsid w:val="007F018E"/>
    <w:rsid w:val="007F31B5"/>
    <w:rsid w:val="007F3654"/>
    <w:rsid w:val="007F5961"/>
    <w:rsid w:val="007F7B41"/>
    <w:rsid w:val="00800667"/>
    <w:rsid w:val="008011A9"/>
    <w:rsid w:val="00804C9A"/>
    <w:rsid w:val="00804D63"/>
    <w:rsid w:val="008053C1"/>
    <w:rsid w:val="00805F7D"/>
    <w:rsid w:val="0080776D"/>
    <w:rsid w:val="00810145"/>
    <w:rsid w:val="008108FA"/>
    <w:rsid w:val="00810FF1"/>
    <w:rsid w:val="00814ACB"/>
    <w:rsid w:val="0081526A"/>
    <w:rsid w:val="008171CA"/>
    <w:rsid w:val="008218F6"/>
    <w:rsid w:val="00821FB9"/>
    <w:rsid w:val="00822336"/>
    <w:rsid w:val="00822838"/>
    <w:rsid w:val="00823383"/>
    <w:rsid w:val="00823DFA"/>
    <w:rsid w:val="00830092"/>
    <w:rsid w:val="00833468"/>
    <w:rsid w:val="00835827"/>
    <w:rsid w:val="00835C40"/>
    <w:rsid w:val="008372D8"/>
    <w:rsid w:val="00837FB1"/>
    <w:rsid w:val="00840685"/>
    <w:rsid w:val="00841F75"/>
    <w:rsid w:val="00842D2A"/>
    <w:rsid w:val="00842DB7"/>
    <w:rsid w:val="00843752"/>
    <w:rsid w:val="00843B8E"/>
    <w:rsid w:val="0084479F"/>
    <w:rsid w:val="008477FA"/>
    <w:rsid w:val="00847E80"/>
    <w:rsid w:val="00852351"/>
    <w:rsid w:val="00852BAE"/>
    <w:rsid w:val="0085725E"/>
    <w:rsid w:val="00857FF6"/>
    <w:rsid w:val="00860104"/>
    <w:rsid w:val="00861191"/>
    <w:rsid w:val="00861AC3"/>
    <w:rsid w:val="0086337C"/>
    <w:rsid w:val="00863673"/>
    <w:rsid w:val="008636CE"/>
    <w:rsid w:val="0086398F"/>
    <w:rsid w:val="00864B33"/>
    <w:rsid w:val="008662DF"/>
    <w:rsid w:val="00873D4F"/>
    <w:rsid w:val="008742C1"/>
    <w:rsid w:val="0087509F"/>
    <w:rsid w:val="008751CC"/>
    <w:rsid w:val="00876221"/>
    <w:rsid w:val="00876F95"/>
    <w:rsid w:val="00880B24"/>
    <w:rsid w:val="0088252C"/>
    <w:rsid w:val="00884490"/>
    <w:rsid w:val="0088571E"/>
    <w:rsid w:val="00885B09"/>
    <w:rsid w:val="00885DF9"/>
    <w:rsid w:val="00892400"/>
    <w:rsid w:val="00892BBF"/>
    <w:rsid w:val="00894956"/>
    <w:rsid w:val="008A04F0"/>
    <w:rsid w:val="008A18E9"/>
    <w:rsid w:val="008A198B"/>
    <w:rsid w:val="008A209D"/>
    <w:rsid w:val="008A22BB"/>
    <w:rsid w:val="008A29B3"/>
    <w:rsid w:val="008A2EC6"/>
    <w:rsid w:val="008A33D0"/>
    <w:rsid w:val="008A51E3"/>
    <w:rsid w:val="008A6CFD"/>
    <w:rsid w:val="008B035D"/>
    <w:rsid w:val="008B03E7"/>
    <w:rsid w:val="008B0407"/>
    <w:rsid w:val="008B0E29"/>
    <w:rsid w:val="008B0EFA"/>
    <w:rsid w:val="008B1A0A"/>
    <w:rsid w:val="008B1F2C"/>
    <w:rsid w:val="008B30AB"/>
    <w:rsid w:val="008B3325"/>
    <w:rsid w:val="008B372F"/>
    <w:rsid w:val="008B3C77"/>
    <w:rsid w:val="008C0819"/>
    <w:rsid w:val="008C3013"/>
    <w:rsid w:val="008C3A04"/>
    <w:rsid w:val="008C3BB8"/>
    <w:rsid w:val="008C45B7"/>
    <w:rsid w:val="008C4B65"/>
    <w:rsid w:val="008C68B3"/>
    <w:rsid w:val="008C7954"/>
    <w:rsid w:val="008C797D"/>
    <w:rsid w:val="008D1C97"/>
    <w:rsid w:val="008D2553"/>
    <w:rsid w:val="008D3420"/>
    <w:rsid w:val="008D492F"/>
    <w:rsid w:val="008D4F8F"/>
    <w:rsid w:val="008D7FE3"/>
    <w:rsid w:val="008E06D8"/>
    <w:rsid w:val="008E1A3F"/>
    <w:rsid w:val="008E3FC3"/>
    <w:rsid w:val="008E4BFD"/>
    <w:rsid w:val="008E56B7"/>
    <w:rsid w:val="008E5D32"/>
    <w:rsid w:val="008E5F55"/>
    <w:rsid w:val="008E7931"/>
    <w:rsid w:val="008E7AEA"/>
    <w:rsid w:val="008F009A"/>
    <w:rsid w:val="008F1730"/>
    <w:rsid w:val="008F438F"/>
    <w:rsid w:val="008F5DFC"/>
    <w:rsid w:val="008F6B8E"/>
    <w:rsid w:val="009009E7"/>
    <w:rsid w:val="00901805"/>
    <w:rsid w:val="009039B6"/>
    <w:rsid w:val="0090496D"/>
    <w:rsid w:val="00904BE0"/>
    <w:rsid w:val="00905DEF"/>
    <w:rsid w:val="00906056"/>
    <w:rsid w:val="00907487"/>
    <w:rsid w:val="00907E5E"/>
    <w:rsid w:val="009119F9"/>
    <w:rsid w:val="009122AE"/>
    <w:rsid w:val="00913B43"/>
    <w:rsid w:val="0091653D"/>
    <w:rsid w:val="0092011B"/>
    <w:rsid w:val="00922A20"/>
    <w:rsid w:val="009257FD"/>
    <w:rsid w:val="009270EF"/>
    <w:rsid w:val="00927AD9"/>
    <w:rsid w:val="00930203"/>
    <w:rsid w:val="009311D2"/>
    <w:rsid w:val="009311E6"/>
    <w:rsid w:val="00931275"/>
    <w:rsid w:val="00932445"/>
    <w:rsid w:val="00933D8B"/>
    <w:rsid w:val="009347EF"/>
    <w:rsid w:val="00935E09"/>
    <w:rsid w:val="00936AC7"/>
    <w:rsid w:val="009414FA"/>
    <w:rsid w:val="00942846"/>
    <w:rsid w:val="0094643A"/>
    <w:rsid w:val="00946C32"/>
    <w:rsid w:val="009475BA"/>
    <w:rsid w:val="009512AB"/>
    <w:rsid w:val="00951897"/>
    <w:rsid w:val="00953B64"/>
    <w:rsid w:val="00954075"/>
    <w:rsid w:val="009548EE"/>
    <w:rsid w:val="00955B0E"/>
    <w:rsid w:val="00955F4C"/>
    <w:rsid w:val="00956A49"/>
    <w:rsid w:val="00956E66"/>
    <w:rsid w:val="00960E8C"/>
    <w:rsid w:val="0096166B"/>
    <w:rsid w:val="009646A7"/>
    <w:rsid w:val="00967C3B"/>
    <w:rsid w:val="009702FD"/>
    <w:rsid w:val="00970A88"/>
    <w:rsid w:val="00971979"/>
    <w:rsid w:val="00972CA7"/>
    <w:rsid w:val="009735E5"/>
    <w:rsid w:val="009766A1"/>
    <w:rsid w:val="0098033C"/>
    <w:rsid w:val="009818A1"/>
    <w:rsid w:val="009822A3"/>
    <w:rsid w:val="00984966"/>
    <w:rsid w:val="00986B80"/>
    <w:rsid w:val="009937BE"/>
    <w:rsid w:val="0099568F"/>
    <w:rsid w:val="00997905"/>
    <w:rsid w:val="00997BDF"/>
    <w:rsid w:val="009A1674"/>
    <w:rsid w:val="009A1D0E"/>
    <w:rsid w:val="009A3C89"/>
    <w:rsid w:val="009A6240"/>
    <w:rsid w:val="009B38BE"/>
    <w:rsid w:val="009B3BBB"/>
    <w:rsid w:val="009B461C"/>
    <w:rsid w:val="009B4DF2"/>
    <w:rsid w:val="009B4E2E"/>
    <w:rsid w:val="009B4FE0"/>
    <w:rsid w:val="009B7F86"/>
    <w:rsid w:val="009B7FB8"/>
    <w:rsid w:val="009C14AA"/>
    <w:rsid w:val="009C22BF"/>
    <w:rsid w:val="009C57DA"/>
    <w:rsid w:val="009C596E"/>
    <w:rsid w:val="009C5B68"/>
    <w:rsid w:val="009C684F"/>
    <w:rsid w:val="009C7DFA"/>
    <w:rsid w:val="009D074C"/>
    <w:rsid w:val="009D29B0"/>
    <w:rsid w:val="009D4230"/>
    <w:rsid w:val="009D5321"/>
    <w:rsid w:val="009D555A"/>
    <w:rsid w:val="009D665B"/>
    <w:rsid w:val="009D6E73"/>
    <w:rsid w:val="009D765E"/>
    <w:rsid w:val="009E0022"/>
    <w:rsid w:val="009E154B"/>
    <w:rsid w:val="009E20C1"/>
    <w:rsid w:val="009E275D"/>
    <w:rsid w:val="009E6A3F"/>
    <w:rsid w:val="009F0D74"/>
    <w:rsid w:val="009F1AE6"/>
    <w:rsid w:val="009F1F1D"/>
    <w:rsid w:val="009F2B4F"/>
    <w:rsid w:val="009F3B92"/>
    <w:rsid w:val="009F3C63"/>
    <w:rsid w:val="009F4F42"/>
    <w:rsid w:val="009F66B5"/>
    <w:rsid w:val="009F7A7E"/>
    <w:rsid w:val="00A00BF6"/>
    <w:rsid w:val="00A01D76"/>
    <w:rsid w:val="00A02AC1"/>
    <w:rsid w:val="00A02F10"/>
    <w:rsid w:val="00A0463B"/>
    <w:rsid w:val="00A04E70"/>
    <w:rsid w:val="00A0695D"/>
    <w:rsid w:val="00A07D39"/>
    <w:rsid w:val="00A1060C"/>
    <w:rsid w:val="00A111A1"/>
    <w:rsid w:val="00A1359C"/>
    <w:rsid w:val="00A13FE4"/>
    <w:rsid w:val="00A14BCF"/>
    <w:rsid w:val="00A16221"/>
    <w:rsid w:val="00A20222"/>
    <w:rsid w:val="00A20A7D"/>
    <w:rsid w:val="00A21C42"/>
    <w:rsid w:val="00A2324A"/>
    <w:rsid w:val="00A23304"/>
    <w:rsid w:val="00A2555D"/>
    <w:rsid w:val="00A2588A"/>
    <w:rsid w:val="00A26F61"/>
    <w:rsid w:val="00A311CC"/>
    <w:rsid w:val="00A32189"/>
    <w:rsid w:val="00A33EA9"/>
    <w:rsid w:val="00A35D42"/>
    <w:rsid w:val="00A36B43"/>
    <w:rsid w:val="00A41292"/>
    <w:rsid w:val="00A43F69"/>
    <w:rsid w:val="00A44D82"/>
    <w:rsid w:val="00A44E40"/>
    <w:rsid w:val="00A44E51"/>
    <w:rsid w:val="00A46CCF"/>
    <w:rsid w:val="00A506DE"/>
    <w:rsid w:val="00A51DDF"/>
    <w:rsid w:val="00A51E57"/>
    <w:rsid w:val="00A53451"/>
    <w:rsid w:val="00A60357"/>
    <w:rsid w:val="00A612E5"/>
    <w:rsid w:val="00A63627"/>
    <w:rsid w:val="00A67A58"/>
    <w:rsid w:val="00A70426"/>
    <w:rsid w:val="00A70444"/>
    <w:rsid w:val="00A707CC"/>
    <w:rsid w:val="00A710D0"/>
    <w:rsid w:val="00A71410"/>
    <w:rsid w:val="00A723B2"/>
    <w:rsid w:val="00A75A13"/>
    <w:rsid w:val="00A762EA"/>
    <w:rsid w:val="00A76462"/>
    <w:rsid w:val="00A778D2"/>
    <w:rsid w:val="00A80A84"/>
    <w:rsid w:val="00A8161E"/>
    <w:rsid w:val="00A82660"/>
    <w:rsid w:val="00A82F7F"/>
    <w:rsid w:val="00A83AFE"/>
    <w:rsid w:val="00A86842"/>
    <w:rsid w:val="00A87231"/>
    <w:rsid w:val="00A876A8"/>
    <w:rsid w:val="00A906EF"/>
    <w:rsid w:val="00A91B16"/>
    <w:rsid w:val="00A91E9A"/>
    <w:rsid w:val="00A93ED9"/>
    <w:rsid w:val="00A9456D"/>
    <w:rsid w:val="00A94C24"/>
    <w:rsid w:val="00A96221"/>
    <w:rsid w:val="00A97F6A"/>
    <w:rsid w:val="00AA0023"/>
    <w:rsid w:val="00AA181A"/>
    <w:rsid w:val="00AA4198"/>
    <w:rsid w:val="00AA503D"/>
    <w:rsid w:val="00AA7823"/>
    <w:rsid w:val="00AA7C2D"/>
    <w:rsid w:val="00AB32FF"/>
    <w:rsid w:val="00AB79EC"/>
    <w:rsid w:val="00AC15B9"/>
    <w:rsid w:val="00AC2887"/>
    <w:rsid w:val="00AC2DBB"/>
    <w:rsid w:val="00AC4EB0"/>
    <w:rsid w:val="00AC5247"/>
    <w:rsid w:val="00AC65CD"/>
    <w:rsid w:val="00AC6A99"/>
    <w:rsid w:val="00AD2530"/>
    <w:rsid w:val="00AD2702"/>
    <w:rsid w:val="00AD6048"/>
    <w:rsid w:val="00AE0F21"/>
    <w:rsid w:val="00AE1B8F"/>
    <w:rsid w:val="00AE270C"/>
    <w:rsid w:val="00AE365B"/>
    <w:rsid w:val="00AE3E4C"/>
    <w:rsid w:val="00AE3EF4"/>
    <w:rsid w:val="00AE4D27"/>
    <w:rsid w:val="00AE63C5"/>
    <w:rsid w:val="00AE693D"/>
    <w:rsid w:val="00AF0F9D"/>
    <w:rsid w:val="00AF14D9"/>
    <w:rsid w:val="00AF3B88"/>
    <w:rsid w:val="00AF6DC8"/>
    <w:rsid w:val="00B00924"/>
    <w:rsid w:val="00B0470A"/>
    <w:rsid w:val="00B055EF"/>
    <w:rsid w:val="00B06B5B"/>
    <w:rsid w:val="00B10F55"/>
    <w:rsid w:val="00B11203"/>
    <w:rsid w:val="00B122F4"/>
    <w:rsid w:val="00B12436"/>
    <w:rsid w:val="00B13622"/>
    <w:rsid w:val="00B13DAF"/>
    <w:rsid w:val="00B14A79"/>
    <w:rsid w:val="00B15885"/>
    <w:rsid w:val="00B160D9"/>
    <w:rsid w:val="00B1666B"/>
    <w:rsid w:val="00B17720"/>
    <w:rsid w:val="00B23769"/>
    <w:rsid w:val="00B23B10"/>
    <w:rsid w:val="00B23D6B"/>
    <w:rsid w:val="00B23FBA"/>
    <w:rsid w:val="00B24CE3"/>
    <w:rsid w:val="00B27498"/>
    <w:rsid w:val="00B30F5B"/>
    <w:rsid w:val="00B31665"/>
    <w:rsid w:val="00B3509D"/>
    <w:rsid w:val="00B35EB4"/>
    <w:rsid w:val="00B3674B"/>
    <w:rsid w:val="00B4092C"/>
    <w:rsid w:val="00B41789"/>
    <w:rsid w:val="00B44BF8"/>
    <w:rsid w:val="00B46192"/>
    <w:rsid w:val="00B46A7E"/>
    <w:rsid w:val="00B47C68"/>
    <w:rsid w:val="00B5061D"/>
    <w:rsid w:val="00B5144C"/>
    <w:rsid w:val="00B5262D"/>
    <w:rsid w:val="00B54774"/>
    <w:rsid w:val="00B55CB8"/>
    <w:rsid w:val="00B57135"/>
    <w:rsid w:val="00B57253"/>
    <w:rsid w:val="00B6494C"/>
    <w:rsid w:val="00B6527D"/>
    <w:rsid w:val="00B660A4"/>
    <w:rsid w:val="00B67E04"/>
    <w:rsid w:val="00B713B0"/>
    <w:rsid w:val="00B74115"/>
    <w:rsid w:val="00B756EC"/>
    <w:rsid w:val="00B75844"/>
    <w:rsid w:val="00B8037D"/>
    <w:rsid w:val="00B81808"/>
    <w:rsid w:val="00B832A1"/>
    <w:rsid w:val="00B832CC"/>
    <w:rsid w:val="00B86DFA"/>
    <w:rsid w:val="00B875B5"/>
    <w:rsid w:val="00B906D4"/>
    <w:rsid w:val="00B936D0"/>
    <w:rsid w:val="00B93B41"/>
    <w:rsid w:val="00B93C63"/>
    <w:rsid w:val="00B95D3D"/>
    <w:rsid w:val="00B962AD"/>
    <w:rsid w:val="00B96B9C"/>
    <w:rsid w:val="00BA14BD"/>
    <w:rsid w:val="00BA4FC9"/>
    <w:rsid w:val="00BA5C56"/>
    <w:rsid w:val="00BA6700"/>
    <w:rsid w:val="00BA7DF3"/>
    <w:rsid w:val="00BB1149"/>
    <w:rsid w:val="00BB15FB"/>
    <w:rsid w:val="00BB1C90"/>
    <w:rsid w:val="00BB2CDE"/>
    <w:rsid w:val="00BB39B2"/>
    <w:rsid w:val="00BB6916"/>
    <w:rsid w:val="00BB74DF"/>
    <w:rsid w:val="00BC213B"/>
    <w:rsid w:val="00BC2BB7"/>
    <w:rsid w:val="00BC5E4D"/>
    <w:rsid w:val="00BC716F"/>
    <w:rsid w:val="00BC7E23"/>
    <w:rsid w:val="00BD1C4F"/>
    <w:rsid w:val="00BD2E1C"/>
    <w:rsid w:val="00BD3D5B"/>
    <w:rsid w:val="00BD4A8C"/>
    <w:rsid w:val="00BD4C54"/>
    <w:rsid w:val="00BD690B"/>
    <w:rsid w:val="00BD6CB5"/>
    <w:rsid w:val="00BE29CC"/>
    <w:rsid w:val="00BE3600"/>
    <w:rsid w:val="00BE4005"/>
    <w:rsid w:val="00BE4D63"/>
    <w:rsid w:val="00BE501F"/>
    <w:rsid w:val="00BE5ABD"/>
    <w:rsid w:val="00BE6910"/>
    <w:rsid w:val="00BE7E72"/>
    <w:rsid w:val="00BF02FD"/>
    <w:rsid w:val="00BF12B2"/>
    <w:rsid w:val="00BF28D7"/>
    <w:rsid w:val="00BF3D0E"/>
    <w:rsid w:val="00BF5343"/>
    <w:rsid w:val="00BF5472"/>
    <w:rsid w:val="00C01F6F"/>
    <w:rsid w:val="00C041EA"/>
    <w:rsid w:val="00C044E2"/>
    <w:rsid w:val="00C058E3"/>
    <w:rsid w:val="00C07227"/>
    <w:rsid w:val="00C10940"/>
    <w:rsid w:val="00C11700"/>
    <w:rsid w:val="00C12862"/>
    <w:rsid w:val="00C12B32"/>
    <w:rsid w:val="00C13BBD"/>
    <w:rsid w:val="00C149AB"/>
    <w:rsid w:val="00C1620F"/>
    <w:rsid w:val="00C16929"/>
    <w:rsid w:val="00C17488"/>
    <w:rsid w:val="00C20690"/>
    <w:rsid w:val="00C23058"/>
    <w:rsid w:val="00C3258E"/>
    <w:rsid w:val="00C32901"/>
    <w:rsid w:val="00C34824"/>
    <w:rsid w:val="00C36020"/>
    <w:rsid w:val="00C40694"/>
    <w:rsid w:val="00C4244A"/>
    <w:rsid w:val="00C45FC4"/>
    <w:rsid w:val="00C468E4"/>
    <w:rsid w:val="00C471C5"/>
    <w:rsid w:val="00C479BF"/>
    <w:rsid w:val="00C5124B"/>
    <w:rsid w:val="00C52F03"/>
    <w:rsid w:val="00C53E5F"/>
    <w:rsid w:val="00C5781C"/>
    <w:rsid w:val="00C57890"/>
    <w:rsid w:val="00C627DF"/>
    <w:rsid w:val="00C66534"/>
    <w:rsid w:val="00C70542"/>
    <w:rsid w:val="00C71B48"/>
    <w:rsid w:val="00C747B2"/>
    <w:rsid w:val="00C74981"/>
    <w:rsid w:val="00C75CBF"/>
    <w:rsid w:val="00C76651"/>
    <w:rsid w:val="00C82D21"/>
    <w:rsid w:val="00C83E9C"/>
    <w:rsid w:val="00C84527"/>
    <w:rsid w:val="00C85B91"/>
    <w:rsid w:val="00C867CC"/>
    <w:rsid w:val="00C86BA2"/>
    <w:rsid w:val="00C87A8E"/>
    <w:rsid w:val="00C907E7"/>
    <w:rsid w:val="00C909B2"/>
    <w:rsid w:val="00C90AE2"/>
    <w:rsid w:val="00C92923"/>
    <w:rsid w:val="00C92FAD"/>
    <w:rsid w:val="00C95918"/>
    <w:rsid w:val="00C96AB1"/>
    <w:rsid w:val="00CA0223"/>
    <w:rsid w:val="00CA03BA"/>
    <w:rsid w:val="00CA0806"/>
    <w:rsid w:val="00CA4231"/>
    <w:rsid w:val="00CA529C"/>
    <w:rsid w:val="00CA634B"/>
    <w:rsid w:val="00CB29FB"/>
    <w:rsid w:val="00CB3D2F"/>
    <w:rsid w:val="00CC05DB"/>
    <w:rsid w:val="00CC0D7E"/>
    <w:rsid w:val="00CC1D43"/>
    <w:rsid w:val="00CC1E23"/>
    <w:rsid w:val="00CC2238"/>
    <w:rsid w:val="00CC2894"/>
    <w:rsid w:val="00CC607E"/>
    <w:rsid w:val="00CC674C"/>
    <w:rsid w:val="00CC6BF1"/>
    <w:rsid w:val="00CC6EA9"/>
    <w:rsid w:val="00CD00C4"/>
    <w:rsid w:val="00CD051D"/>
    <w:rsid w:val="00CD23EB"/>
    <w:rsid w:val="00CD275C"/>
    <w:rsid w:val="00CD3508"/>
    <w:rsid w:val="00CD49A8"/>
    <w:rsid w:val="00CD6CB2"/>
    <w:rsid w:val="00CD77C3"/>
    <w:rsid w:val="00CE112C"/>
    <w:rsid w:val="00CE3C75"/>
    <w:rsid w:val="00CE3E2F"/>
    <w:rsid w:val="00CE4013"/>
    <w:rsid w:val="00CE5AC3"/>
    <w:rsid w:val="00CE7949"/>
    <w:rsid w:val="00CF0121"/>
    <w:rsid w:val="00CF04EF"/>
    <w:rsid w:val="00CF2559"/>
    <w:rsid w:val="00CF29F7"/>
    <w:rsid w:val="00CF55D4"/>
    <w:rsid w:val="00D004F0"/>
    <w:rsid w:val="00D008DE"/>
    <w:rsid w:val="00D00C20"/>
    <w:rsid w:val="00D01AD4"/>
    <w:rsid w:val="00D02A20"/>
    <w:rsid w:val="00D02B97"/>
    <w:rsid w:val="00D04F1C"/>
    <w:rsid w:val="00D051D0"/>
    <w:rsid w:val="00D076F1"/>
    <w:rsid w:val="00D07BA0"/>
    <w:rsid w:val="00D07EC8"/>
    <w:rsid w:val="00D10157"/>
    <w:rsid w:val="00D1172D"/>
    <w:rsid w:val="00D145A6"/>
    <w:rsid w:val="00D150E7"/>
    <w:rsid w:val="00D15920"/>
    <w:rsid w:val="00D15AF5"/>
    <w:rsid w:val="00D16CE1"/>
    <w:rsid w:val="00D17363"/>
    <w:rsid w:val="00D2301A"/>
    <w:rsid w:val="00D232C3"/>
    <w:rsid w:val="00D23763"/>
    <w:rsid w:val="00D2491D"/>
    <w:rsid w:val="00D27C8B"/>
    <w:rsid w:val="00D346BD"/>
    <w:rsid w:val="00D34AA2"/>
    <w:rsid w:val="00D3772D"/>
    <w:rsid w:val="00D40813"/>
    <w:rsid w:val="00D4102E"/>
    <w:rsid w:val="00D42D47"/>
    <w:rsid w:val="00D43445"/>
    <w:rsid w:val="00D437BC"/>
    <w:rsid w:val="00D439E1"/>
    <w:rsid w:val="00D47503"/>
    <w:rsid w:val="00D517DF"/>
    <w:rsid w:val="00D5503A"/>
    <w:rsid w:val="00D55579"/>
    <w:rsid w:val="00D5578F"/>
    <w:rsid w:val="00D608DA"/>
    <w:rsid w:val="00D61E4B"/>
    <w:rsid w:val="00D63838"/>
    <w:rsid w:val="00D67A53"/>
    <w:rsid w:val="00D707AE"/>
    <w:rsid w:val="00D72E92"/>
    <w:rsid w:val="00D730BF"/>
    <w:rsid w:val="00D768EA"/>
    <w:rsid w:val="00D811EE"/>
    <w:rsid w:val="00D81FFE"/>
    <w:rsid w:val="00D84E9F"/>
    <w:rsid w:val="00D852F4"/>
    <w:rsid w:val="00D85809"/>
    <w:rsid w:val="00D86611"/>
    <w:rsid w:val="00D9449A"/>
    <w:rsid w:val="00D94F99"/>
    <w:rsid w:val="00D971C2"/>
    <w:rsid w:val="00D97356"/>
    <w:rsid w:val="00D974ED"/>
    <w:rsid w:val="00D97B2B"/>
    <w:rsid w:val="00D97CBE"/>
    <w:rsid w:val="00DA1081"/>
    <w:rsid w:val="00DA2C0C"/>
    <w:rsid w:val="00DB0EAA"/>
    <w:rsid w:val="00DB1110"/>
    <w:rsid w:val="00DB1177"/>
    <w:rsid w:val="00DB1253"/>
    <w:rsid w:val="00DB208B"/>
    <w:rsid w:val="00DB2B28"/>
    <w:rsid w:val="00DB3730"/>
    <w:rsid w:val="00DB65C6"/>
    <w:rsid w:val="00DB7421"/>
    <w:rsid w:val="00DC0955"/>
    <w:rsid w:val="00DC0E87"/>
    <w:rsid w:val="00DC371B"/>
    <w:rsid w:val="00DC3773"/>
    <w:rsid w:val="00DC3788"/>
    <w:rsid w:val="00DC4E22"/>
    <w:rsid w:val="00DC6FE2"/>
    <w:rsid w:val="00DC74C9"/>
    <w:rsid w:val="00DC76C7"/>
    <w:rsid w:val="00DD09F5"/>
    <w:rsid w:val="00DD0E02"/>
    <w:rsid w:val="00DD3ECF"/>
    <w:rsid w:val="00DD4201"/>
    <w:rsid w:val="00DD5E9F"/>
    <w:rsid w:val="00DD5F64"/>
    <w:rsid w:val="00DD68DD"/>
    <w:rsid w:val="00DE09E1"/>
    <w:rsid w:val="00DE2B7B"/>
    <w:rsid w:val="00DE2D05"/>
    <w:rsid w:val="00DE5711"/>
    <w:rsid w:val="00DE5E1E"/>
    <w:rsid w:val="00DE7342"/>
    <w:rsid w:val="00DE780D"/>
    <w:rsid w:val="00DF2079"/>
    <w:rsid w:val="00DF3569"/>
    <w:rsid w:val="00DF3BE6"/>
    <w:rsid w:val="00DF4DD3"/>
    <w:rsid w:val="00DF5BE2"/>
    <w:rsid w:val="00DF7B61"/>
    <w:rsid w:val="00E00EA0"/>
    <w:rsid w:val="00E021CB"/>
    <w:rsid w:val="00E0224F"/>
    <w:rsid w:val="00E02A7F"/>
    <w:rsid w:val="00E04156"/>
    <w:rsid w:val="00E138F1"/>
    <w:rsid w:val="00E151CE"/>
    <w:rsid w:val="00E21569"/>
    <w:rsid w:val="00E22404"/>
    <w:rsid w:val="00E2309D"/>
    <w:rsid w:val="00E26758"/>
    <w:rsid w:val="00E26E3D"/>
    <w:rsid w:val="00E30FBC"/>
    <w:rsid w:val="00E4079C"/>
    <w:rsid w:val="00E4357B"/>
    <w:rsid w:val="00E44091"/>
    <w:rsid w:val="00E443A7"/>
    <w:rsid w:val="00E44846"/>
    <w:rsid w:val="00E45904"/>
    <w:rsid w:val="00E46A99"/>
    <w:rsid w:val="00E5033F"/>
    <w:rsid w:val="00E50C02"/>
    <w:rsid w:val="00E51BF0"/>
    <w:rsid w:val="00E51E05"/>
    <w:rsid w:val="00E5343C"/>
    <w:rsid w:val="00E55A7C"/>
    <w:rsid w:val="00E56F51"/>
    <w:rsid w:val="00E60B28"/>
    <w:rsid w:val="00E620D3"/>
    <w:rsid w:val="00E62C30"/>
    <w:rsid w:val="00E63718"/>
    <w:rsid w:val="00E63782"/>
    <w:rsid w:val="00E63DE5"/>
    <w:rsid w:val="00E647AF"/>
    <w:rsid w:val="00E647C7"/>
    <w:rsid w:val="00E65A37"/>
    <w:rsid w:val="00E65EF7"/>
    <w:rsid w:val="00E73AEA"/>
    <w:rsid w:val="00E74721"/>
    <w:rsid w:val="00E754DF"/>
    <w:rsid w:val="00E75666"/>
    <w:rsid w:val="00E774E4"/>
    <w:rsid w:val="00E77B48"/>
    <w:rsid w:val="00E81C8C"/>
    <w:rsid w:val="00E84739"/>
    <w:rsid w:val="00E854E3"/>
    <w:rsid w:val="00E857FB"/>
    <w:rsid w:val="00E85F45"/>
    <w:rsid w:val="00E86088"/>
    <w:rsid w:val="00E86454"/>
    <w:rsid w:val="00E86A5A"/>
    <w:rsid w:val="00E902E5"/>
    <w:rsid w:val="00E9161E"/>
    <w:rsid w:val="00E91799"/>
    <w:rsid w:val="00E91BCB"/>
    <w:rsid w:val="00E92520"/>
    <w:rsid w:val="00E94C7C"/>
    <w:rsid w:val="00E94DDA"/>
    <w:rsid w:val="00E95959"/>
    <w:rsid w:val="00E967FB"/>
    <w:rsid w:val="00E97DF8"/>
    <w:rsid w:val="00EA204B"/>
    <w:rsid w:val="00EA2095"/>
    <w:rsid w:val="00EA21FE"/>
    <w:rsid w:val="00EA3001"/>
    <w:rsid w:val="00EA34E3"/>
    <w:rsid w:val="00EA7C52"/>
    <w:rsid w:val="00EA7C6D"/>
    <w:rsid w:val="00EB027D"/>
    <w:rsid w:val="00EB342B"/>
    <w:rsid w:val="00EB36A3"/>
    <w:rsid w:val="00EB37A6"/>
    <w:rsid w:val="00EB4088"/>
    <w:rsid w:val="00EB609A"/>
    <w:rsid w:val="00EB7538"/>
    <w:rsid w:val="00EC082D"/>
    <w:rsid w:val="00EC1868"/>
    <w:rsid w:val="00EC3800"/>
    <w:rsid w:val="00EC5B3C"/>
    <w:rsid w:val="00EC5F29"/>
    <w:rsid w:val="00ED6748"/>
    <w:rsid w:val="00EE0A4A"/>
    <w:rsid w:val="00EE1F93"/>
    <w:rsid w:val="00EE3BFF"/>
    <w:rsid w:val="00EE40C5"/>
    <w:rsid w:val="00EE53AB"/>
    <w:rsid w:val="00EE5699"/>
    <w:rsid w:val="00EE5E9D"/>
    <w:rsid w:val="00EE6468"/>
    <w:rsid w:val="00EE70A2"/>
    <w:rsid w:val="00EE7839"/>
    <w:rsid w:val="00EE7CF2"/>
    <w:rsid w:val="00EF36DE"/>
    <w:rsid w:val="00EF3D84"/>
    <w:rsid w:val="00EF5BD2"/>
    <w:rsid w:val="00EF7630"/>
    <w:rsid w:val="00F00423"/>
    <w:rsid w:val="00F00A9B"/>
    <w:rsid w:val="00F01A56"/>
    <w:rsid w:val="00F023D2"/>
    <w:rsid w:val="00F0335C"/>
    <w:rsid w:val="00F0574C"/>
    <w:rsid w:val="00F05792"/>
    <w:rsid w:val="00F123F3"/>
    <w:rsid w:val="00F1299B"/>
    <w:rsid w:val="00F12A8D"/>
    <w:rsid w:val="00F12D04"/>
    <w:rsid w:val="00F131CE"/>
    <w:rsid w:val="00F13DD9"/>
    <w:rsid w:val="00F146E4"/>
    <w:rsid w:val="00F164E1"/>
    <w:rsid w:val="00F16A1B"/>
    <w:rsid w:val="00F17BC1"/>
    <w:rsid w:val="00F207A4"/>
    <w:rsid w:val="00F20D59"/>
    <w:rsid w:val="00F2153B"/>
    <w:rsid w:val="00F2173C"/>
    <w:rsid w:val="00F23396"/>
    <w:rsid w:val="00F2385D"/>
    <w:rsid w:val="00F25173"/>
    <w:rsid w:val="00F26331"/>
    <w:rsid w:val="00F27D85"/>
    <w:rsid w:val="00F318EB"/>
    <w:rsid w:val="00F3339F"/>
    <w:rsid w:val="00F33EFD"/>
    <w:rsid w:val="00F34CAD"/>
    <w:rsid w:val="00F355AC"/>
    <w:rsid w:val="00F35C12"/>
    <w:rsid w:val="00F363DC"/>
    <w:rsid w:val="00F3640F"/>
    <w:rsid w:val="00F372AE"/>
    <w:rsid w:val="00F37509"/>
    <w:rsid w:val="00F40861"/>
    <w:rsid w:val="00F40CF7"/>
    <w:rsid w:val="00F44194"/>
    <w:rsid w:val="00F44D39"/>
    <w:rsid w:val="00F44E70"/>
    <w:rsid w:val="00F528B6"/>
    <w:rsid w:val="00F53244"/>
    <w:rsid w:val="00F5632D"/>
    <w:rsid w:val="00F57060"/>
    <w:rsid w:val="00F57E34"/>
    <w:rsid w:val="00F62946"/>
    <w:rsid w:val="00F637A2"/>
    <w:rsid w:val="00F63A89"/>
    <w:rsid w:val="00F63BA5"/>
    <w:rsid w:val="00F64E36"/>
    <w:rsid w:val="00F651F9"/>
    <w:rsid w:val="00F65202"/>
    <w:rsid w:val="00F66943"/>
    <w:rsid w:val="00F71A0F"/>
    <w:rsid w:val="00F71A3C"/>
    <w:rsid w:val="00F71A5A"/>
    <w:rsid w:val="00F72F4E"/>
    <w:rsid w:val="00F73A1A"/>
    <w:rsid w:val="00F73A96"/>
    <w:rsid w:val="00F756EC"/>
    <w:rsid w:val="00F769E0"/>
    <w:rsid w:val="00F80197"/>
    <w:rsid w:val="00F8098C"/>
    <w:rsid w:val="00F82F87"/>
    <w:rsid w:val="00F83410"/>
    <w:rsid w:val="00F835DF"/>
    <w:rsid w:val="00F847FF"/>
    <w:rsid w:val="00F85939"/>
    <w:rsid w:val="00F85D1C"/>
    <w:rsid w:val="00F92067"/>
    <w:rsid w:val="00F92A9D"/>
    <w:rsid w:val="00F94FC3"/>
    <w:rsid w:val="00FA1D45"/>
    <w:rsid w:val="00FA2887"/>
    <w:rsid w:val="00FA3BD8"/>
    <w:rsid w:val="00FA4A46"/>
    <w:rsid w:val="00FA75FE"/>
    <w:rsid w:val="00FB0324"/>
    <w:rsid w:val="00FB1032"/>
    <w:rsid w:val="00FB19D3"/>
    <w:rsid w:val="00FB26A4"/>
    <w:rsid w:val="00FB2E10"/>
    <w:rsid w:val="00FB3828"/>
    <w:rsid w:val="00FB39BC"/>
    <w:rsid w:val="00FB578B"/>
    <w:rsid w:val="00FB6A53"/>
    <w:rsid w:val="00FB6D2F"/>
    <w:rsid w:val="00FB7E89"/>
    <w:rsid w:val="00FC11CA"/>
    <w:rsid w:val="00FC3AB8"/>
    <w:rsid w:val="00FC3CE7"/>
    <w:rsid w:val="00FC6BDE"/>
    <w:rsid w:val="00FC7623"/>
    <w:rsid w:val="00FC7762"/>
    <w:rsid w:val="00FC7E80"/>
    <w:rsid w:val="00FD59FE"/>
    <w:rsid w:val="00FD6004"/>
    <w:rsid w:val="00FE27C3"/>
    <w:rsid w:val="00FE2FC8"/>
    <w:rsid w:val="00FE3123"/>
    <w:rsid w:val="00FE3934"/>
    <w:rsid w:val="00FE604A"/>
    <w:rsid w:val="00FE658D"/>
    <w:rsid w:val="00FE6F20"/>
    <w:rsid w:val="00FE7E8A"/>
    <w:rsid w:val="00FF2420"/>
    <w:rsid w:val="00FF2B5B"/>
    <w:rsid w:val="00FF50F2"/>
    <w:rsid w:val="00FF6138"/>
    <w:rsid w:val="00FF78B4"/>
    <w:rsid w:val="016631E0"/>
    <w:rsid w:val="0724161B"/>
    <w:rsid w:val="08026FB6"/>
    <w:rsid w:val="091F6A19"/>
    <w:rsid w:val="0ADED8C3"/>
    <w:rsid w:val="0CD8266C"/>
    <w:rsid w:val="0E700A56"/>
    <w:rsid w:val="0EEEB5CA"/>
    <w:rsid w:val="1299DF01"/>
    <w:rsid w:val="144BE90A"/>
    <w:rsid w:val="14AF5B49"/>
    <w:rsid w:val="160BF69E"/>
    <w:rsid w:val="162143E1"/>
    <w:rsid w:val="16B7E11B"/>
    <w:rsid w:val="197C730B"/>
    <w:rsid w:val="1E6577E6"/>
    <w:rsid w:val="1EAB8297"/>
    <w:rsid w:val="1EBC09A6"/>
    <w:rsid w:val="1FAA44F7"/>
    <w:rsid w:val="2166F11C"/>
    <w:rsid w:val="224D7B14"/>
    <w:rsid w:val="26DDA094"/>
    <w:rsid w:val="277C223B"/>
    <w:rsid w:val="2A190FD8"/>
    <w:rsid w:val="2BEFA35F"/>
    <w:rsid w:val="2CE5F5A4"/>
    <w:rsid w:val="2EB9C3E8"/>
    <w:rsid w:val="2FDB2626"/>
    <w:rsid w:val="302CFB3E"/>
    <w:rsid w:val="32267998"/>
    <w:rsid w:val="38DAD017"/>
    <w:rsid w:val="3AE98570"/>
    <w:rsid w:val="3B77F408"/>
    <w:rsid w:val="3E7D65CA"/>
    <w:rsid w:val="41D488F1"/>
    <w:rsid w:val="42F7FAE5"/>
    <w:rsid w:val="438CEB96"/>
    <w:rsid w:val="43B14AD8"/>
    <w:rsid w:val="446F5B74"/>
    <w:rsid w:val="450F8044"/>
    <w:rsid w:val="4514208A"/>
    <w:rsid w:val="452AC8AA"/>
    <w:rsid w:val="4612EA1E"/>
    <w:rsid w:val="46C4A1E6"/>
    <w:rsid w:val="46EAA601"/>
    <w:rsid w:val="47009CED"/>
    <w:rsid w:val="47E11A72"/>
    <w:rsid w:val="489623C9"/>
    <w:rsid w:val="48F4D906"/>
    <w:rsid w:val="49A3AEF5"/>
    <w:rsid w:val="4AAB8DB8"/>
    <w:rsid w:val="4AF712D6"/>
    <w:rsid w:val="4F7A915B"/>
    <w:rsid w:val="52638A9C"/>
    <w:rsid w:val="529C7ED6"/>
    <w:rsid w:val="59AB23A2"/>
    <w:rsid w:val="59C79B69"/>
    <w:rsid w:val="5C5CF303"/>
    <w:rsid w:val="5D3BCBBD"/>
    <w:rsid w:val="5DD18676"/>
    <w:rsid w:val="5FEC5C80"/>
    <w:rsid w:val="6054F632"/>
    <w:rsid w:val="62B5A8E7"/>
    <w:rsid w:val="65F9549E"/>
    <w:rsid w:val="66519FB4"/>
    <w:rsid w:val="6662C026"/>
    <w:rsid w:val="68A2AFAA"/>
    <w:rsid w:val="68C7DE13"/>
    <w:rsid w:val="6ADB9047"/>
    <w:rsid w:val="713EE79E"/>
    <w:rsid w:val="72E6947A"/>
    <w:rsid w:val="73BC0ACE"/>
    <w:rsid w:val="74A54E92"/>
    <w:rsid w:val="75B96F06"/>
    <w:rsid w:val="75C9F521"/>
    <w:rsid w:val="786A21C5"/>
    <w:rsid w:val="7A51C661"/>
    <w:rsid w:val="7B4FC354"/>
    <w:rsid w:val="7D9AB8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C117F8B"/>
  <w15:chartTrackingRefBased/>
  <w15:docId w15:val="{61DF6520-BDE3-4C61-BA6D-82C4F46C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E85F45"/>
    <w:pPr>
      <w:spacing w:after="120"/>
    </w:pPr>
  </w:style>
  <w:style w:type="character" w:customStyle="1" w:styleId="BodyTextChar">
    <w:name w:val="Body Text Char"/>
    <w:link w:val="BodyText"/>
    <w:rsid w:val="00E85F45"/>
    <w:rPr>
      <w:sz w:val="24"/>
      <w:szCs w:val="24"/>
    </w:rPr>
  </w:style>
  <w:style w:type="character" w:styleId="CommentReference">
    <w:name w:val="annotation reference"/>
    <w:uiPriority w:val="99"/>
    <w:rsid w:val="009D29B0"/>
    <w:rPr>
      <w:sz w:val="16"/>
      <w:szCs w:val="16"/>
    </w:rPr>
  </w:style>
  <w:style w:type="paragraph" w:styleId="CommentText">
    <w:name w:val="annotation text"/>
    <w:basedOn w:val="Normal"/>
    <w:link w:val="CommentTextChar"/>
    <w:uiPriority w:val="99"/>
    <w:rsid w:val="009D29B0"/>
    <w:rPr>
      <w:sz w:val="20"/>
      <w:szCs w:val="20"/>
    </w:rPr>
  </w:style>
  <w:style w:type="character" w:customStyle="1" w:styleId="CommentTextChar">
    <w:name w:val="Comment Text Char"/>
    <w:basedOn w:val="DefaultParagraphFont"/>
    <w:link w:val="CommentText"/>
    <w:uiPriority w:val="99"/>
    <w:rsid w:val="009D29B0"/>
  </w:style>
  <w:style w:type="paragraph" w:styleId="CommentSubject">
    <w:name w:val="annotation subject"/>
    <w:basedOn w:val="CommentText"/>
    <w:next w:val="CommentText"/>
    <w:link w:val="CommentSubjectChar"/>
    <w:rsid w:val="00172456"/>
    <w:rPr>
      <w:b/>
      <w:bCs/>
    </w:rPr>
  </w:style>
  <w:style w:type="character" w:customStyle="1" w:styleId="CommentSubjectChar">
    <w:name w:val="Comment Subject Char"/>
    <w:link w:val="CommentSubject"/>
    <w:rsid w:val="00172456"/>
    <w:rPr>
      <w:b/>
      <w:bCs/>
    </w:rPr>
  </w:style>
  <w:style w:type="paragraph" w:styleId="Caption">
    <w:name w:val="caption"/>
    <w:basedOn w:val="Normal"/>
    <w:next w:val="Normal"/>
    <w:link w:val="CaptionChar"/>
    <w:unhideWhenUsed/>
    <w:qFormat/>
    <w:rsid w:val="00B47C68"/>
    <w:rPr>
      <w:b/>
      <w:bCs/>
      <w:color w:val="000000"/>
      <w:sz w:val="20"/>
      <w:szCs w:val="20"/>
    </w:rPr>
  </w:style>
  <w:style w:type="character" w:customStyle="1" w:styleId="CaptionChar">
    <w:name w:val="Caption Char"/>
    <w:link w:val="Caption"/>
    <w:rsid w:val="00B47C68"/>
    <w:rPr>
      <w:b/>
      <w:bCs/>
      <w:color w:val="000000"/>
    </w:rPr>
  </w:style>
  <w:style w:type="paragraph" w:styleId="Revision">
    <w:name w:val="Revision"/>
    <w:hidden/>
    <w:uiPriority w:val="99"/>
    <w:semiHidden/>
    <w:rsid w:val="00861AC3"/>
    <w:rPr>
      <w:sz w:val="24"/>
      <w:szCs w:val="24"/>
    </w:rPr>
  </w:style>
  <w:style w:type="character" w:styleId="Mention">
    <w:name w:val="Mention"/>
    <w:basedOn w:val="DefaultParagraphFont"/>
    <w:uiPriority w:val="99"/>
    <w:unhideWhenUsed/>
    <w:rsid w:val="00E902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D236EA0A4294C839DDB707B7205D0" ma:contentTypeVersion="8" ma:contentTypeDescription="Create a new document." ma:contentTypeScope="" ma:versionID="72636376cdb42ba27d2c647ae76f2137">
  <xsd:schema xmlns:xsd="http://www.w3.org/2001/XMLSchema" xmlns:xs="http://www.w3.org/2001/XMLSchema" xmlns:p="http://schemas.microsoft.com/office/2006/metadata/properties" xmlns:ns1="http://schemas.microsoft.com/sharepoint/v3" xmlns:ns2="3715c468-53ac-40ff-b799-e88a16ccba70" xmlns:ns3="0bb6a811-b3fa-4dc0-865d-29408ea15fd5" targetNamespace="http://schemas.microsoft.com/office/2006/metadata/properties" ma:root="true" ma:fieldsID="c85ecce9ca792c4bc367fa9265f52727" ns1:_="" ns2:_="" ns3:_="">
    <xsd:import namespace="http://schemas.microsoft.com/sharepoint/v3"/>
    <xsd:import namespace="3715c468-53ac-40ff-b799-e88a16ccba70"/>
    <xsd:import namespace="0bb6a811-b3fa-4dc0-865d-29408ea15fd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15c468-53ac-40ff-b799-e88a16ccb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6a811-b3fa-4dc0-865d-29408ea15f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41572-116A-410C-979C-806E5F93E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15c468-53ac-40ff-b799-e88a16ccba70"/>
    <ds:schemaRef ds:uri="0bb6a811-b3fa-4dc0-865d-29408ea15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C5497-4321-48B4-82DE-42F774E7B3B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60F427A-A9E6-49D7-898F-3008A21A33A4}">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3144</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Dailey, Joan</dc:creator>
  <cp:lastModifiedBy>Taylor, Anne</cp:lastModifiedBy>
  <cp:revision>4</cp:revision>
  <cp:lastPrinted>2025-06-13T21:41:00Z</cp:lastPrinted>
  <dcterms:created xsi:type="dcterms:W3CDTF">2026-03-13T18:06:00Z</dcterms:created>
  <dcterms:modified xsi:type="dcterms:W3CDTF">2026-03-13T18:07:00Z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0x0101009AAD236EA0A4294C839DDB707B7205D0</vt:lpwstr>
  </property>
  <property fmtid="{D5CDD505-2E9C-101B-9397-08002B2CF9AE}" pid="3" name="lcf76f155ced4ddcb4097134ff3c332f">
    <vt:lpwstr/>
  </property>
  <property fmtid="{D5CDD505-2E9C-101B-9397-08002B2CF9AE}" pid="4" name="TaxCatchAll">
    <vt:lpwstr/>
  </property>
  <property fmtid="{D5CDD505-2E9C-101B-9397-08002B2CF9AE}" pid="5" name="_ip_UnifiedCompliancePolicyProperties">
    <vt:lpwstr/>
  </property>
  <property fmtid="{D5CDD505-2E9C-101B-9397-08002B2CF9AE}" pid="6" name="_ip_UnifiedCompliancePolicyUIAction">
    <vt:lpwstr/>
  </property>
</Properties>
</file>