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72327F" w:rsidP="0072327F" w14:paraId="29346D33" w14:textId="77777777">
      <w:pPr>
        <w:tabs>
          <w:tab w:val="center" w:pos="4680"/>
        </w:tabs>
        <w:suppressAutoHyphens/>
        <w:spacing w:line="480" w:lineRule="auto"/>
        <w:rPr>
          <w:b/>
          <w:szCs w:val="24"/>
        </w:rPr>
      </w:pPr>
    </w:p>
    <w:p w:rsidR="00447C1E" w:rsidRPr="00BD1DD0" w:rsidP="0072327F" w14:paraId="03E0F628" w14:textId="2615B102">
      <w:pPr>
        <w:tabs>
          <w:tab w:val="center" w:pos="4680"/>
        </w:tabs>
        <w:suppressAutoHyphens/>
        <w:spacing w:line="480" w:lineRule="auto"/>
        <w:jc w:val="center"/>
        <w:rPr>
          <w:b/>
          <w:szCs w:val="24"/>
        </w:rPr>
      </w:pPr>
      <w:r w:rsidRPr="00BD1DD0">
        <w:rPr>
          <w:b/>
          <w:szCs w:val="24"/>
        </w:rPr>
        <w:t>SUPPORTING STATEMENT</w:t>
      </w:r>
      <w:r w:rsidRPr="00BD1DD0" w:rsidR="0062567E">
        <w:rPr>
          <w:b/>
          <w:szCs w:val="24"/>
        </w:rPr>
        <w:t xml:space="preserve"> </w:t>
      </w:r>
      <w:r w:rsidR="00204E6E">
        <w:rPr>
          <w:b/>
          <w:szCs w:val="24"/>
        </w:rPr>
        <w:t xml:space="preserve">- PART A </w:t>
      </w:r>
      <w:r w:rsidRPr="00BD1DD0" w:rsidR="0062567E">
        <w:rPr>
          <w:b/>
          <w:szCs w:val="24"/>
        </w:rPr>
        <w:t>for</w:t>
      </w:r>
    </w:p>
    <w:p w:rsidR="00BD1DD0" w:rsidP="0072327F" w14:paraId="03E0F629" w14:textId="71A64631">
      <w:pPr>
        <w:tabs>
          <w:tab w:val="right" w:pos="9360"/>
        </w:tabs>
        <w:spacing w:line="480" w:lineRule="auto"/>
        <w:jc w:val="center"/>
        <w:rPr>
          <w:b/>
          <w:szCs w:val="24"/>
          <w:lang w:val=""/>
        </w:rPr>
      </w:pPr>
      <w:r w:rsidRPr="00BD1DD0">
        <w:rPr>
          <w:b/>
          <w:szCs w:val="24"/>
          <w:lang w:val=""/>
        </w:rPr>
        <w:t xml:space="preserve">OMB </w:t>
      </w:r>
      <w:r w:rsidRPr="00BD1DD0" w:rsidR="009F7E1A">
        <w:rPr>
          <w:b/>
          <w:szCs w:val="24"/>
          <w:lang w:val=""/>
        </w:rPr>
        <w:t xml:space="preserve">Control </w:t>
      </w:r>
      <w:r w:rsidRPr="00BD1DD0" w:rsidR="009F7E1A">
        <w:rPr>
          <w:b/>
          <w:szCs w:val="24"/>
        </w:rPr>
        <w:t>Number</w:t>
      </w:r>
      <w:r w:rsidRPr="00BD1DD0">
        <w:rPr>
          <w:b/>
          <w:szCs w:val="24"/>
          <w:lang w:val=""/>
        </w:rPr>
        <w:t xml:space="preserve"> 0584-</w:t>
      </w:r>
      <w:r w:rsidR="004A3BD3">
        <w:rPr>
          <w:b/>
          <w:szCs w:val="24"/>
          <w:lang w:val=""/>
        </w:rPr>
        <w:t>0</w:t>
      </w:r>
      <w:r w:rsidR="00286F27">
        <w:rPr>
          <w:b/>
          <w:szCs w:val="24"/>
          <w:lang w:val=""/>
        </w:rPr>
        <w:t>541</w:t>
      </w:r>
      <w:r w:rsidRPr="00BD1DD0" w:rsidR="00B335C9">
        <w:rPr>
          <w:b/>
          <w:szCs w:val="24"/>
          <w:lang w:val=""/>
        </w:rPr>
        <w:t>:</w:t>
      </w:r>
    </w:p>
    <w:p w:rsidR="00447C1E" w:rsidRPr="00BD1DD0" w:rsidP="0072327F" w14:paraId="03E0F62A" w14:textId="6A91D109">
      <w:pPr>
        <w:tabs>
          <w:tab w:val="right" w:pos="9360"/>
        </w:tabs>
        <w:spacing w:line="480" w:lineRule="auto"/>
        <w:jc w:val="center"/>
        <w:rPr>
          <w:b/>
          <w:szCs w:val="24"/>
        </w:rPr>
      </w:pPr>
      <w:r>
        <w:rPr>
          <w:b/>
          <w:szCs w:val="24"/>
        </w:rPr>
        <w:t>Senior Farmers’ Market Nutrition Program</w:t>
      </w:r>
      <w:r w:rsidR="00DA61AC">
        <w:rPr>
          <w:b/>
          <w:szCs w:val="24"/>
        </w:rPr>
        <w:t xml:space="preserve"> </w:t>
      </w:r>
      <w:r w:rsidR="00043C45">
        <w:rPr>
          <w:b/>
          <w:szCs w:val="24"/>
        </w:rPr>
        <w:t xml:space="preserve">(SFMNP) Program Regulations </w:t>
      </w:r>
      <w:r w:rsidR="00DA61AC">
        <w:rPr>
          <w:b/>
          <w:szCs w:val="24"/>
        </w:rPr>
        <w:t>– Reporting and Recordkeeping Burden</w:t>
      </w:r>
    </w:p>
    <w:p w:rsidR="0072327F" w:rsidP="0072327F" w14:paraId="4917826E" w14:textId="77777777">
      <w:pPr>
        <w:pStyle w:val="paragraph"/>
        <w:spacing w:before="0" w:beforeAutospacing="0" w:after="0" w:afterAutospacing="0" w:line="480" w:lineRule="auto"/>
        <w:textAlignment w:val="baseline"/>
        <w:rPr>
          <w:rStyle w:val="normaltextrun"/>
          <w:lang w:val="x-none"/>
        </w:rPr>
      </w:pPr>
    </w:p>
    <w:p w:rsidR="0021654A" w:rsidP="0072327F" w14:paraId="09F457D2" w14:textId="25F39665">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lang w:val="x-none"/>
        </w:rPr>
        <w:t>Lauren Clark</w:t>
      </w:r>
    </w:p>
    <w:p w:rsidR="0021654A" w:rsidP="0072327F" w14:paraId="7DD9D3CD" w14:textId="0CDD71C4">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Program Analyst/Administration, Benefits, and Certification Branch/Policy Division</w:t>
      </w:r>
    </w:p>
    <w:p w:rsidR="0021654A" w:rsidP="0072327F" w14:paraId="289F4860" w14:textId="26623436">
      <w:pPr>
        <w:pStyle w:val="paragraph"/>
        <w:spacing w:before="0" w:beforeAutospacing="0" w:after="0" w:afterAutospacing="0" w:line="480" w:lineRule="auto"/>
        <w:jc w:val="center"/>
        <w:textAlignment w:val="baseline"/>
        <w:rPr>
          <w:rFonts w:ascii="Segoe UI" w:hAnsi="Segoe UI" w:cs="Segoe UI"/>
          <w:sz w:val="18"/>
          <w:szCs w:val="18"/>
        </w:rPr>
      </w:pPr>
      <w:r>
        <w:rPr>
          <w:rStyle w:val="normaltextrun"/>
        </w:rPr>
        <w:t>Special Supplemental Nutrition Program for Women, Infants, and Children (WIC)</w:t>
      </w:r>
    </w:p>
    <w:p w:rsidR="0021654A" w:rsidP="0021654A" w14:paraId="3021C0B6" w14:textId="57E2CC63">
      <w:pPr>
        <w:pStyle w:val="paragraph"/>
        <w:spacing w:before="0" w:beforeAutospacing="0" w:after="0" w:afterAutospacing="0" w:line="480" w:lineRule="auto"/>
        <w:ind w:left="1440" w:right="915"/>
        <w:jc w:val="center"/>
        <w:textAlignment w:val="baseline"/>
        <w:rPr>
          <w:rFonts w:ascii="Segoe UI" w:hAnsi="Segoe UI" w:cs="Segoe UI"/>
          <w:b/>
          <w:bCs/>
          <w:sz w:val="18"/>
          <w:szCs w:val="18"/>
        </w:rPr>
      </w:pPr>
      <w:r>
        <w:rPr>
          <w:rStyle w:val="eop"/>
          <w:b/>
          <w:bCs/>
        </w:rPr>
        <w:t>  </w:t>
      </w:r>
    </w:p>
    <w:p w:rsidR="0021654A" w:rsidP="0072327F" w14:paraId="19EAD2EC" w14:textId="38F74B52">
      <w:pPr>
        <w:pStyle w:val="paragraph"/>
        <w:spacing w:before="0" w:beforeAutospacing="0" w:after="0" w:afterAutospacing="0" w:line="480" w:lineRule="auto"/>
        <w:jc w:val="center"/>
        <w:textAlignment w:val="baseline"/>
        <w:rPr>
          <w:rFonts w:ascii="Segoe UI" w:hAnsi="Segoe UI" w:cs="Segoe UI"/>
          <w:b/>
          <w:bCs/>
          <w:sz w:val="18"/>
          <w:szCs w:val="18"/>
        </w:rPr>
      </w:pPr>
      <w:r>
        <w:rPr>
          <w:rStyle w:val="normaltextrun"/>
        </w:rPr>
        <w:t xml:space="preserve">USDA, Food and Nutrition </w:t>
      </w:r>
      <w:r w:rsidR="00DC63B0">
        <w:rPr>
          <w:rStyle w:val="normaltextrun"/>
        </w:rPr>
        <w:t>Administration</w:t>
      </w:r>
      <w:r w:rsidR="00FD0355">
        <w:rPr>
          <w:rStyle w:val="normaltextrun"/>
        </w:rPr>
        <w:t xml:space="preserve"> (FNA)</w:t>
      </w:r>
    </w:p>
    <w:p w:rsidR="0021654A" w:rsidP="0072327F" w14:paraId="053E886A" w14:textId="128458CA">
      <w:pPr>
        <w:pStyle w:val="paragraph"/>
        <w:spacing w:before="0" w:beforeAutospacing="0" w:after="0" w:afterAutospacing="0" w:line="480" w:lineRule="auto"/>
        <w:jc w:val="center"/>
        <w:textAlignment w:val="baseline"/>
        <w:rPr>
          <w:rFonts w:ascii="Segoe UI" w:hAnsi="Segoe UI" w:cs="Segoe UI"/>
          <w:b/>
          <w:bCs/>
          <w:sz w:val="18"/>
          <w:szCs w:val="18"/>
        </w:rPr>
      </w:pPr>
      <w:r>
        <w:rPr>
          <w:rStyle w:val="normaltextrun"/>
        </w:rPr>
        <w:t>1320 Braddock Place</w:t>
      </w:r>
    </w:p>
    <w:p w:rsidR="0021654A" w:rsidP="0072327F" w14:paraId="7341DD92" w14:textId="063A2645">
      <w:pPr>
        <w:pStyle w:val="paragraph"/>
        <w:spacing w:before="0" w:beforeAutospacing="0" w:after="0" w:afterAutospacing="0" w:line="480" w:lineRule="auto"/>
        <w:jc w:val="center"/>
        <w:textAlignment w:val="baseline"/>
        <w:rPr>
          <w:rFonts w:ascii="Segoe UI" w:hAnsi="Segoe UI" w:cs="Segoe UI"/>
          <w:b/>
          <w:bCs/>
          <w:sz w:val="18"/>
          <w:szCs w:val="18"/>
        </w:rPr>
      </w:pPr>
      <w:r>
        <w:rPr>
          <w:rStyle w:val="normaltextrun"/>
        </w:rPr>
        <w:t>Alexandria, Virginia 22314</w:t>
      </w:r>
    </w:p>
    <w:p w:rsidR="00710E0A" w:rsidP="00607F46" w14:paraId="620F038C" w14:textId="77777777">
      <w:pPr>
        <w:spacing w:line="480" w:lineRule="auto"/>
        <w:jc w:val="center"/>
        <w:rPr>
          <w:szCs w:val="24"/>
        </w:rPr>
      </w:pPr>
    </w:p>
    <w:p w:rsidR="00312557" w:rsidP="00B14AA9" w14:paraId="1D78C7F4" w14:textId="77777777">
      <w:pPr>
        <w:spacing w:line="480" w:lineRule="auto"/>
        <w:rPr>
          <w:szCs w:val="24"/>
        </w:rPr>
      </w:pPr>
    </w:p>
    <w:p w:rsidR="00B14AA9" w:rsidRPr="00607F46" w:rsidP="00B14AA9" w14:paraId="4186B9EA" w14:textId="77777777">
      <w:pPr>
        <w:spacing w:line="480" w:lineRule="auto"/>
        <w:rPr>
          <w:szCs w:val="24"/>
        </w:rPr>
      </w:pPr>
    </w:p>
    <w:p w:rsidR="00197C18" w:rsidP="0050220E" w14:paraId="179874BE" w14:textId="4EC35166">
      <w:pPr>
        <w:pStyle w:val="BodyText"/>
        <w:spacing w:line="259" w:lineRule="auto"/>
        <w:ind w:right="927"/>
        <w:rPr>
          <w:szCs w:val="24"/>
        </w:rPr>
      </w:pPr>
    </w:p>
    <w:p w:rsidR="004D09DF" w:rsidRPr="004D09DF" w14:paraId="7CAB1DDC" w14:textId="77777777">
      <w:pPr>
        <w:widowControl/>
        <w:overflowPunct/>
        <w:autoSpaceDE/>
        <w:autoSpaceDN/>
        <w:adjustRightInd/>
        <w:textAlignment w:val="auto"/>
        <w:rPr>
          <w:b/>
          <w:szCs w:val="24"/>
        </w:rPr>
      </w:pPr>
      <w:r w:rsidRPr="004D09DF">
        <w:rPr>
          <w:b/>
          <w:szCs w:val="24"/>
        </w:rPr>
        <w:br w:type="page"/>
      </w:r>
    </w:p>
    <w:p w:rsidR="00905A5F" w:rsidP="009F7E1A" w14:paraId="03E0F638" w14:textId="45A8ED79">
      <w:pPr>
        <w:tabs>
          <w:tab w:val="center" w:pos="4680"/>
        </w:tabs>
        <w:rPr>
          <w:b/>
          <w:szCs w:val="24"/>
          <w:u w:val="single"/>
        </w:rPr>
      </w:pPr>
      <w:r>
        <w:rPr>
          <w:b/>
          <w:szCs w:val="24"/>
          <w:u w:val="single"/>
        </w:rPr>
        <w:t>Table of Contents</w:t>
      </w:r>
    </w:p>
    <w:p w:rsidR="00D43438" w14:paraId="486DE98A" w14:textId="53B5049F">
      <w:pPr>
        <w:pStyle w:val="TOC1"/>
        <w:rPr>
          <w:rFonts w:asciiTheme="minorHAnsi" w:eastAsiaTheme="minorEastAsia" w:hAnsiTheme="minorHAnsi" w:cstheme="minorBidi"/>
          <w:b w:val="0"/>
          <w:bCs w:val="0"/>
          <w:caps w:val="0"/>
          <w:kern w:val="2"/>
          <w:sz w:val="24"/>
          <w:szCs w:val="24"/>
          <w14:ligatures w14:val="standardContextual"/>
        </w:rPr>
      </w:pPr>
      <w:r>
        <w:rPr>
          <w:szCs w:val="24"/>
        </w:rPr>
        <w:fldChar w:fldCharType="begin"/>
      </w:r>
      <w:r>
        <w:rPr>
          <w:szCs w:val="24"/>
        </w:rPr>
        <w:instrText xml:space="preserve"> TOC \o "1-2" \h \z \u </w:instrText>
      </w:r>
      <w:r>
        <w:rPr>
          <w:szCs w:val="24"/>
        </w:rPr>
        <w:fldChar w:fldCharType="separate"/>
      </w:r>
      <w:hyperlink w:anchor="_Toc224640023" w:history="1">
        <w:r w:rsidRPr="000B4ADB">
          <w:rPr>
            <w:rStyle w:val="Hyperlink"/>
          </w:rPr>
          <w:t>Introduction</w:t>
        </w:r>
        <w:r>
          <w:rPr>
            <w:webHidden/>
          </w:rPr>
          <w:tab/>
        </w:r>
        <w:r>
          <w:rPr>
            <w:webHidden/>
          </w:rPr>
          <w:fldChar w:fldCharType="begin"/>
        </w:r>
        <w:r>
          <w:rPr>
            <w:webHidden/>
          </w:rPr>
          <w:instrText xml:space="preserve"> PAGEREF _Toc224640023 \h </w:instrText>
        </w:r>
        <w:r>
          <w:rPr>
            <w:webHidden/>
          </w:rPr>
          <w:fldChar w:fldCharType="separate"/>
        </w:r>
        <w:r w:rsidR="00985F73">
          <w:rPr>
            <w:webHidden/>
          </w:rPr>
          <w:t>4</w:t>
        </w:r>
        <w:r>
          <w:rPr>
            <w:webHidden/>
          </w:rPr>
          <w:fldChar w:fldCharType="end"/>
        </w:r>
      </w:hyperlink>
    </w:p>
    <w:p w:rsidR="00D43438" w14:paraId="3BA53C8F" w14:textId="2B07594B">
      <w:pPr>
        <w:pStyle w:val="TOC1"/>
        <w:rPr>
          <w:rFonts w:asciiTheme="minorHAnsi" w:eastAsiaTheme="minorEastAsia" w:hAnsiTheme="minorHAnsi" w:cstheme="minorBidi"/>
          <w:b w:val="0"/>
          <w:bCs w:val="0"/>
          <w:caps w:val="0"/>
          <w:kern w:val="2"/>
          <w:sz w:val="24"/>
          <w:szCs w:val="24"/>
          <w14:ligatures w14:val="standardContextual"/>
        </w:rPr>
      </w:pPr>
      <w:hyperlink w:anchor="_Toc224640024" w:history="1">
        <w:r w:rsidRPr="000B4ADB">
          <w:rPr>
            <w:rStyle w:val="Hyperlink"/>
          </w:rPr>
          <w:t>A1. Circumstances that make the collection of information necessary.</w:t>
        </w:r>
        <w:r>
          <w:rPr>
            <w:webHidden/>
          </w:rPr>
          <w:tab/>
        </w:r>
        <w:r>
          <w:rPr>
            <w:webHidden/>
          </w:rPr>
          <w:fldChar w:fldCharType="begin"/>
        </w:r>
        <w:r>
          <w:rPr>
            <w:webHidden/>
          </w:rPr>
          <w:instrText xml:space="preserve"> PAGEREF _Toc224640024 \h </w:instrText>
        </w:r>
        <w:r>
          <w:rPr>
            <w:webHidden/>
          </w:rPr>
          <w:fldChar w:fldCharType="separate"/>
        </w:r>
        <w:r w:rsidR="00985F73">
          <w:rPr>
            <w:webHidden/>
          </w:rPr>
          <w:t>4</w:t>
        </w:r>
        <w:r>
          <w:rPr>
            <w:webHidden/>
          </w:rPr>
          <w:fldChar w:fldCharType="end"/>
        </w:r>
      </w:hyperlink>
    </w:p>
    <w:p w:rsidR="00D43438" w14:paraId="4D11033B" w14:textId="7F0887E6">
      <w:pPr>
        <w:pStyle w:val="TOC1"/>
        <w:rPr>
          <w:rFonts w:asciiTheme="minorHAnsi" w:eastAsiaTheme="minorEastAsia" w:hAnsiTheme="minorHAnsi" w:cstheme="minorBidi"/>
          <w:b w:val="0"/>
          <w:bCs w:val="0"/>
          <w:caps w:val="0"/>
          <w:kern w:val="2"/>
          <w:sz w:val="24"/>
          <w:szCs w:val="24"/>
          <w14:ligatures w14:val="standardContextual"/>
        </w:rPr>
      </w:pPr>
      <w:hyperlink w:anchor="_Toc224640025" w:history="1">
        <w:r w:rsidRPr="000B4ADB">
          <w:rPr>
            <w:rStyle w:val="Hyperlink"/>
          </w:rPr>
          <w:t>A2. Purpose and use of the information.</w:t>
        </w:r>
        <w:r>
          <w:rPr>
            <w:webHidden/>
          </w:rPr>
          <w:tab/>
        </w:r>
        <w:r>
          <w:rPr>
            <w:webHidden/>
          </w:rPr>
          <w:fldChar w:fldCharType="begin"/>
        </w:r>
        <w:r>
          <w:rPr>
            <w:webHidden/>
          </w:rPr>
          <w:instrText xml:space="preserve"> PAGEREF _Toc224640025 \h </w:instrText>
        </w:r>
        <w:r>
          <w:rPr>
            <w:webHidden/>
          </w:rPr>
          <w:fldChar w:fldCharType="separate"/>
        </w:r>
        <w:r w:rsidR="00985F73">
          <w:rPr>
            <w:webHidden/>
          </w:rPr>
          <w:t>5</w:t>
        </w:r>
        <w:r>
          <w:rPr>
            <w:webHidden/>
          </w:rPr>
          <w:fldChar w:fldCharType="end"/>
        </w:r>
      </w:hyperlink>
    </w:p>
    <w:p w:rsidR="00D43438" w14:paraId="20B5BAA3" w14:textId="62F5B155">
      <w:pPr>
        <w:pStyle w:val="TOC1"/>
        <w:rPr>
          <w:rFonts w:asciiTheme="minorHAnsi" w:eastAsiaTheme="minorEastAsia" w:hAnsiTheme="minorHAnsi" w:cstheme="minorBidi"/>
          <w:b w:val="0"/>
          <w:bCs w:val="0"/>
          <w:caps w:val="0"/>
          <w:kern w:val="2"/>
          <w:sz w:val="24"/>
          <w:szCs w:val="24"/>
          <w14:ligatures w14:val="standardContextual"/>
        </w:rPr>
      </w:pPr>
      <w:hyperlink w:anchor="_Toc224640026" w:history="1">
        <w:r w:rsidRPr="000B4ADB">
          <w:rPr>
            <w:rStyle w:val="Hyperlink"/>
          </w:rPr>
          <w:t>A3.  Use of information technology and burden reduction.</w:t>
        </w:r>
        <w:r>
          <w:rPr>
            <w:webHidden/>
          </w:rPr>
          <w:tab/>
        </w:r>
        <w:r>
          <w:rPr>
            <w:webHidden/>
          </w:rPr>
          <w:fldChar w:fldCharType="begin"/>
        </w:r>
        <w:r>
          <w:rPr>
            <w:webHidden/>
          </w:rPr>
          <w:instrText xml:space="preserve"> PAGEREF _Toc224640026 \h </w:instrText>
        </w:r>
        <w:r>
          <w:rPr>
            <w:webHidden/>
          </w:rPr>
          <w:fldChar w:fldCharType="separate"/>
        </w:r>
        <w:r w:rsidR="00985F73">
          <w:rPr>
            <w:webHidden/>
          </w:rPr>
          <w:t>7</w:t>
        </w:r>
        <w:r>
          <w:rPr>
            <w:webHidden/>
          </w:rPr>
          <w:fldChar w:fldCharType="end"/>
        </w:r>
      </w:hyperlink>
    </w:p>
    <w:p w:rsidR="00D43438" w14:paraId="76C5CEA3" w14:textId="210A5810">
      <w:pPr>
        <w:pStyle w:val="TOC1"/>
        <w:rPr>
          <w:rFonts w:asciiTheme="minorHAnsi" w:eastAsiaTheme="minorEastAsia" w:hAnsiTheme="minorHAnsi" w:cstheme="minorBidi"/>
          <w:b w:val="0"/>
          <w:bCs w:val="0"/>
          <w:caps w:val="0"/>
          <w:kern w:val="2"/>
          <w:sz w:val="24"/>
          <w:szCs w:val="24"/>
          <w14:ligatures w14:val="standardContextual"/>
        </w:rPr>
      </w:pPr>
      <w:hyperlink w:anchor="_Toc224640027" w:history="1">
        <w:r w:rsidRPr="000B4ADB">
          <w:rPr>
            <w:rStyle w:val="Hyperlink"/>
          </w:rPr>
          <w:t>A4.  Efforts to identify duplication.</w:t>
        </w:r>
        <w:r>
          <w:rPr>
            <w:webHidden/>
          </w:rPr>
          <w:tab/>
        </w:r>
        <w:r>
          <w:rPr>
            <w:webHidden/>
          </w:rPr>
          <w:fldChar w:fldCharType="begin"/>
        </w:r>
        <w:r>
          <w:rPr>
            <w:webHidden/>
          </w:rPr>
          <w:instrText xml:space="preserve"> PAGEREF _Toc224640027 \h </w:instrText>
        </w:r>
        <w:r>
          <w:rPr>
            <w:webHidden/>
          </w:rPr>
          <w:fldChar w:fldCharType="separate"/>
        </w:r>
        <w:r w:rsidR="00985F73">
          <w:rPr>
            <w:webHidden/>
          </w:rPr>
          <w:t>8</w:t>
        </w:r>
        <w:r>
          <w:rPr>
            <w:webHidden/>
          </w:rPr>
          <w:fldChar w:fldCharType="end"/>
        </w:r>
      </w:hyperlink>
    </w:p>
    <w:p w:rsidR="00D43438" w14:paraId="1D9531BD" w14:textId="7601FD4A">
      <w:pPr>
        <w:pStyle w:val="TOC1"/>
        <w:rPr>
          <w:rFonts w:asciiTheme="minorHAnsi" w:eastAsiaTheme="minorEastAsia" w:hAnsiTheme="minorHAnsi" w:cstheme="minorBidi"/>
          <w:b w:val="0"/>
          <w:bCs w:val="0"/>
          <w:caps w:val="0"/>
          <w:kern w:val="2"/>
          <w:sz w:val="24"/>
          <w:szCs w:val="24"/>
          <w14:ligatures w14:val="standardContextual"/>
        </w:rPr>
      </w:pPr>
      <w:hyperlink w:anchor="_Toc224640028" w:history="1">
        <w:r w:rsidRPr="000B4ADB">
          <w:rPr>
            <w:rStyle w:val="Hyperlink"/>
          </w:rPr>
          <w:t>A5.  Impacts on small businesses or other small entities.</w:t>
        </w:r>
        <w:r>
          <w:rPr>
            <w:webHidden/>
          </w:rPr>
          <w:tab/>
        </w:r>
        <w:r>
          <w:rPr>
            <w:webHidden/>
          </w:rPr>
          <w:fldChar w:fldCharType="begin"/>
        </w:r>
        <w:r>
          <w:rPr>
            <w:webHidden/>
          </w:rPr>
          <w:instrText xml:space="preserve"> PAGEREF _Toc224640028 \h </w:instrText>
        </w:r>
        <w:r>
          <w:rPr>
            <w:webHidden/>
          </w:rPr>
          <w:fldChar w:fldCharType="separate"/>
        </w:r>
        <w:r w:rsidR="00985F73">
          <w:rPr>
            <w:webHidden/>
          </w:rPr>
          <w:t>9</w:t>
        </w:r>
        <w:r>
          <w:rPr>
            <w:webHidden/>
          </w:rPr>
          <w:fldChar w:fldCharType="end"/>
        </w:r>
      </w:hyperlink>
    </w:p>
    <w:p w:rsidR="00D43438" w14:paraId="7FA1D023" w14:textId="60E227E8">
      <w:pPr>
        <w:pStyle w:val="TOC1"/>
        <w:rPr>
          <w:rFonts w:asciiTheme="minorHAnsi" w:eastAsiaTheme="minorEastAsia" w:hAnsiTheme="minorHAnsi" w:cstheme="minorBidi"/>
          <w:b w:val="0"/>
          <w:bCs w:val="0"/>
          <w:caps w:val="0"/>
          <w:kern w:val="2"/>
          <w:sz w:val="24"/>
          <w:szCs w:val="24"/>
          <w14:ligatures w14:val="standardContextual"/>
        </w:rPr>
      </w:pPr>
      <w:hyperlink w:anchor="_Toc224640029" w:history="1">
        <w:r w:rsidRPr="000B4ADB">
          <w:rPr>
            <w:rStyle w:val="Hyperlink"/>
          </w:rPr>
          <w:t>A6.  Consequences of collecting the information less frequently.</w:t>
        </w:r>
        <w:r>
          <w:rPr>
            <w:webHidden/>
          </w:rPr>
          <w:tab/>
        </w:r>
        <w:r>
          <w:rPr>
            <w:webHidden/>
          </w:rPr>
          <w:fldChar w:fldCharType="begin"/>
        </w:r>
        <w:r>
          <w:rPr>
            <w:webHidden/>
          </w:rPr>
          <w:instrText xml:space="preserve"> PAGEREF _Toc224640029 \h </w:instrText>
        </w:r>
        <w:r>
          <w:rPr>
            <w:webHidden/>
          </w:rPr>
          <w:fldChar w:fldCharType="separate"/>
        </w:r>
        <w:r w:rsidR="00985F73">
          <w:rPr>
            <w:webHidden/>
          </w:rPr>
          <w:t>10</w:t>
        </w:r>
        <w:r>
          <w:rPr>
            <w:webHidden/>
          </w:rPr>
          <w:fldChar w:fldCharType="end"/>
        </w:r>
      </w:hyperlink>
    </w:p>
    <w:p w:rsidR="00D43438" w14:paraId="7DBABC8E" w14:textId="561BCA5A">
      <w:pPr>
        <w:pStyle w:val="TOC1"/>
        <w:rPr>
          <w:rFonts w:asciiTheme="minorHAnsi" w:eastAsiaTheme="minorEastAsia" w:hAnsiTheme="minorHAnsi" w:cstheme="minorBidi"/>
          <w:b w:val="0"/>
          <w:bCs w:val="0"/>
          <w:caps w:val="0"/>
          <w:kern w:val="2"/>
          <w:sz w:val="24"/>
          <w:szCs w:val="24"/>
          <w14:ligatures w14:val="standardContextual"/>
        </w:rPr>
      </w:pPr>
      <w:hyperlink w:anchor="_Toc224640030" w:history="1">
        <w:r w:rsidRPr="000B4ADB">
          <w:rPr>
            <w:rStyle w:val="Hyperlink"/>
          </w:rPr>
          <w:t>A7.  Special circumstances relating to the Guidelines of 5 CFR 1320.5.</w:t>
        </w:r>
        <w:r>
          <w:rPr>
            <w:webHidden/>
          </w:rPr>
          <w:tab/>
        </w:r>
        <w:r>
          <w:rPr>
            <w:webHidden/>
          </w:rPr>
          <w:fldChar w:fldCharType="begin"/>
        </w:r>
        <w:r>
          <w:rPr>
            <w:webHidden/>
          </w:rPr>
          <w:instrText xml:space="preserve"> PAGEREF _Toc224640030 \h </w:instrText>
        </w:r>
        <w:r>
          <w:rPr>
            <w:webHidden/>
          </w:rPr>
          <w:fldChar w:fldCharType="separate"/>
        </w:r>
        <w:r w:rsidR="00985F73">
          <w:rPr>
            <w:webHidden/>
          </w:rPr>
          <w:t>10</w:t>
        </w:r>
        <w:r>
          <w:rPr>
            <w:webHidden/>
          </w:rPr>
          <w:fldChar w:fldCharType="end"/>
        </w:r>
      </w:hyperlink>
    </w:p>
    <w:p w:rsidR="00D43438" w14:paraId="7FE09EE0" w14:textId="2F2C9F78">
      <w:pPr>
        <w:pStyle w:val="TOC1"/>
        <w:rPr>
          <w:rFonts w:asciiTheme="minorHAnsi" w:eastAsiaTheme="minorEastAsia" w:hAnsiTheme="minorHAnsi" w:cstheme="minorBidi"/>
          <w:b w:val="0"/>
          <w:bCs w:val="0"/>
          <w:caps w:val="0"/>
          <w:kern w:val="2"/>
          <w:sz w:val="24"/>
          <w:szCs w:val="24"/>
          <w14:ligatures w14:val="standardContextual"/>
        </w:rPr>
      </w:pPr>
      <w:hyperlink w:anchor="_Toc224640031" w:history="1">
        <w:r w:rsidRPr="000B4ADB">
          <w:rPr>
            <w:rStyle w:val="Hyperlink"/>
          </w:rPr>
          <w:t>A8.  Comments to the Federal Register Notice and efforts for consultation.</w:t>
        </w:r>
        <w:r>
          <w:rPr>
            <w:webHidden/>
          </w:rPr>
          <w:tab/>
        </w:r>
        <w:r>
          <w:rPr>
            <w:webHidden/>
          </w:rPr>
          <w:fldChar w:fldCharType="begin"/>
        </w:r>
        <w:r>
          <w:rPr>
            <w:webHidden/>
          </w:rPr>
          <w:instrText xml:space="preserve"> PAGEREF _Toc224640031 \h </w:instrText>
        </w:r>
        <w:r>
          <w:rPr>
            <w:webHidden/>
          </w:rPr>
          <w:fldChar w:fldCharType="separate"/>
        </w:r>
        <w:r w:rsidR="00985F73">
          <w:rPr>
            <w:webHidden/>
          </w:rPr>
          <w:t>12</w:t>
        </w:r>
        <w:r>
          <w:rPr>
            <w:webHidden/>
          </w:rPr>
          <w:fldChar w:fldCharType="end"/>
        </w:r>
      </w:hyperlink>
    </w:p>
    <w:p w:rsidR="00D43438" w14:paraId="673BEAFD" w14:textId="27EB088D">
      <w:pPr>
        <w:pStyle w:val="TOC1"/>
        <w:rPr>
          <w:rFonts w:asciiTheme="minorHAnsi" w:eastAsiaTheme="minorEastAsia" w:hAnsiTheme="minorHAnsi" w:cstheme="minorBidi"/>
          <w:b w:val="0"/>
          <w:bCs w:val="0"/>
          <w:caps w:val="0"/>
          <w:kern w:val="2"/>
          <w:sz w:val="24"/>
          <w:szCs w:val="24"/>
          <w14:ligatures w14:val="standardContextual"/>
        </w:rPr>
      </w:pPr>
      <w:hyperlink w:anchor="_Toc224640032" w:history="1">
        <w:r w:rsidRPr="000B4ADB">
          <w:rPr>
            <w:rStyle w:val="Hyperlink"/>
          </w:rPr>
          <w:t>A9.  Explain any decisions to provide any payment or gift to respondents.</w:t>
        </w:r>
        <w:r>
          <w:rPr>
            <w:webHidden/>
          </w:rPr>
          <w:tab/>
        </w:r>
        <w:r>
          <w:rPr>
            <w:webHidden/>
          </w:rPr>
          <w:fldChar w:fldCharType="begin"/>
        </w:r>
        <w:r>
          <w:rPr>
            <w:webHidden/>
          </w:rPr>
          <w:instrText xml:space="preserve"> PAGEREF _Toc224640032 \h </w:instrText>
        </w:r>
        <w:r>
          <w:rPr>
            <w:webHidden/>
          </w:rPr>
          <w:fldChar w:fldCharType="separate"/>
        </w:r>
        <w:r w:rsidR="00985F73">
          <w:rPr>
            <w:webHidden/>
          </w:rPr>
          <w:t>13</w:t>
        </w:r>
        <w:r>
          <w:rPr>
            <w:webHidden/>
          </w:rPr>
          <w:fldChar w:fldCharType="end"/>
        </w:r>
      </w:hyperlink>
    </w:p>
    <w:p w:rsidR="00D43438" w14:paraId="00B2D03E" w14:textId="66DB9B51">
      <w:pPr>
        <w:pStyle w:val="TOC1"/>
        <w:rPr>
          <w:rFonts w:asciiTheme="minorHAnsi" w:eastAsiaTheme="minorEastAsia" w:hAnsiTheme="minorHAnsi" w:cstheme="minorBidi"/>
          <w:b w:val="0"/>
          <w:bCs w:val="0"/>
          <w:caps w:val="0"/>
          <w:kern w:val="2"/>
          <w:sz w:val="24"/>
          <w:szCs w:val="24"/>
          <w14:ligatures w14:val="standardContextual"/>
        </w:rPr>
      </w:pPr>
      <w:hyperlink w:anchor="_Toc224640033" w:history="1">
        <w:r w:rsidRPr="000B4ADB">
          <w:rPr>
            <w:rStyle w:val="Hyperlink"/>
          </w:rPr>
          <w:t>A10.  Assurances of confidentiality provided to respondents.</w:t>
        </w:r>
        <w:r>
          <w:rPr>
            <w:webHidden/>
          </w:rPr>
          <w:tab/>
        </w:r>
        <w:r>
          <w:rPr>
            <w:webHidden/>
          </w:rPr>
          <w:fldChar w:fldCharType="begin"/>
        </w:r>
        <w:r>
          <w:rPr>
            <w:webHidden/>
          </w:rPr>
          <w:instrText xml:space="preserve"> PAGEREF _Toc224640033 \h </w:instrText>
        </w:r>
        <w:r>
          <w:rPr>
            <w:webHidden/>
          </w:rPr>
          <w:fldChar w:fldCharType="separate"/>
        </w:r>
        <w:r w:rsidR="00985F73">
          <w:rPr>
            <w:webHidden/>
          </w:rPr>
          <w:t>13</w:t>
        </w:r>
        <w:r>
          <w:rPr>
            <w:webHidden/>
          </w:rPr>
          <w:fldChar w:fldCharType="end"/>
        </w:r>
      </w:hyperlink>
    </w:p>
    <w:p w:rsidR="00D43438" w14:paraId="66EB9650" w14:textId="677DBD2A">
      <w:pPr>
        <w:pStyle w:val="TOC1"/>
        <w:rPr>
          <w:rFonts w:asciiTheme="minorHAnsi" w:eastAsiaTheme="minorEastAsia" w:hAnsiTheme="minorHAnsi" w:cstheme="minorBidi"/>
          <w:b w:val="0"/>
          <w:bCs w:val="0"/>
          <w:caps w:val="0"/>
          <w:kern w:val="2"/>
          <w:sz w:val="24"/>
          <w:szCs w:val="24"/>
          <w14:ligatures w14:val="standardContextual"/>
        </w:rPr>
      </w:pPr>
      <w:hyperlink w:anchor="_Toc224640034" w:history="1">
        <w:r w:rsidRPr="000B4ADB">
          <w:rPr>
            <w:rStyle w:val="Hyperlink"/>
          </w:rPr>
          <w:t>A11.  Justification for any questions of a sensitive nature.</w:t>
        </w:r>
        <w:r>
          <w:rPr>
            <w:webHidden/>
          </w:rPr>
          <w:tab/>
        </w:r>
        <w:r>
          <w:rPr>
            <w:webHidden/>
          </w:rPr>
          <w:fldChar w:fldCharType="begin"/>
        </w:r>
        <w:r>
          <w:rPr>
            <w:webHidden/>
          </w:rPr>
          <w:instrText xml:space="preserve"> PAGEREF _Toc224640034 \h </w:instrText>
        </w:r>
        <w:r>
          <w:rPr>
            <w:webHidden/>
          </w:rPr>
          <w:fldChar w:fldCharType="separate"/>
        </w:r>
        <w:r w:rsidR="00985F73">
          <w:rPr>
            <w:webHidden/>
          </w:rPr>
          <w:t>15</w:t>
        </w:r>
        <w:r>
          <w:rPr>
            <w:webHidden/>
          </w:rPr>
          <w:fldChar w:fldCharType="end"/>
        </w:r>
      </w:hyperlink>
    </w:p>
    <w:p w:rsidR="00D43438" w14:paraId="76F27951" w14:textId="297473FA">
      <w:pPr>
        <w:pStyle w:val="TOC1"/>
        <w:rPr>
          <w:rFonts w:asciiTheme="minorHAnsi" w:eastAsiaTheme="minorEastAsia" w:hAnsiTheme="minorHAnsi" w:cstheme="minorBidi"/>
          <w:b w:val="0"/>
          <w:bCs w:val="0"/>
          <w:caps w:val="0"/>
          <w:kern w:val="2"/>
          <w:sz w:val="24"/>
          <w:szCs w:val="24"/>
          <w14:ligatures w14:val="standardContextual"/>
        </w:rPr>
      </w:pPr>
      <w:hyperlink w:anchor="_Toc224640035" w:history="1">
        <w:r w:rsidRPr="000B4ADB">
          <w:rPr>
            <w:rStyle w:val="Hyperlink"/>
          </w:rPr>
          <w:t>A12.  Estimates of the hour burden of the collection of information.</w:t>
        </w:r>
        <w:r>
          <w:rPr>
            <w:webHidden/>
          </w:rPr>
          <w:tab/>
        </w:r>
        <w:r>
          <w:rPr>
            <w:webHidden/>
          </w:rPr>
          <w:fldChar w:fldCharType="begin"/>
        </w:r>
        <w:r>
          <w:rPr>
            <w:webHidden/>
          </w:rPr>
          <w:instrText xml:space="preserve"> PAGEREF _Toc224640035 \h </w:instrText>
        </w:r>
        <w:r>
          <w:rPr>
            <w:webHidden/>
          </w:rPr>
          <w:fldChar w:fldCharType="separate"/>
        </w:r>
        <w:r w:rsidR="00985F73">
          <w:rPr>
            <w:webHidden/>
          </w:rPr>
          <w:t>16</w:t>
        </w:r>
        <w:r>
          <w:rPr>
            <w:webHidden/>
          </w:rPr>
          <w:fldChar w:fldCharType="end"/>
        </w:r>
      </w:hyperlink>
    </w:p>
    <w:p w:rsidR="00D43438" w14:paraId="4F250033" w14:textId="482D3E09">
      <w:pPr>
        <w:pStyle w:val="TOC1"/>
        <w:rPr>
          <w:rFonts w:asciiTheme="minorHAnsi" w:eastAsiaTheme="minorEastAsia" w:hAnsiTheme="minorHAnsi" w:cstheme="minorBidi"/>
          <w:b w:val="0"/>
          <w:bCs w:val="0"/>
          <w:caps w:val="0"/>
          <w:kern w:val="2"/>
          <w:sz w:val="24"/>
          <w:szCs w:val="24"/>
          <w14:ligatures w14:val="standardContextual"/>
        </w:rPr>
      </w:pPr>
      <w:hyperlink w:anchor="_Toc224640036" w:history="1">
        <w:r w:rsidRPr="000B4ADB">
          <w:rPr>
            <w:rStyle w:val="Hyperlink"/>
          </w:rPr>
          <w:t>A13.  Estimates of other total annual cost burden.</w:t>
        </w:r>
        <w:r>
          <w:rPr>
            <w:webHidden/>
          </w:rPr>
          <w:tab/>
        </w:r>
        <w:r>
          <w:rPr>
            <w:webHidden/>
          </w:rPr>
          <w:fldChar w:fldCharType="begin"/>
        </w:r>
        <w:r>
          <w:rPr>
            <w:webHidden/>
          </w:rPr>
          <w:instrText xml:space="preserve"> PAGEREF _Toc224640036 \h </w:instrText>
        </w:r>
        <w:r>
          <w:rPr>
            <w:webHidden/>
          </w:rPr>
          <w:fldChar w:fldCharType="separate"/>
        </w:r>
        <w:r w:rsidR="00985F73">
          <w:rPr>
            <w:webHidden/>
          </w:rPr>
          <w:t>19</w:t>
        </w:r>
        <w:r>
          <w:rPr>
            <w:webHidden/>
          </w:rPr>
          <w:fldChar w:fldCharType="end"/>
        </w:r>
      </w:hyperlink>
    </w:p>
    <w:p w:rsidR="00D43438" w14:paraId="59859465" w14:textId="506B4674">
      <w:pPr>
        <w:pStyle w:val="TOC1"/>
        <w:rPr>
          <w:rFonts w:asciiTheme="minorHAnsi" w:eastAsiaTheme="minorEastAsia" w:hAnsiTheme="minorHAnsi" w:cstheme="minorBidi"/>
          <w:b w:val="0"/>
          <w:bCs w:val="0"/>
          <w:caps w:val="0"/>
          <w:kern w:val="2"/>
          <w:sz w:val="24"/>
          <w:szCs w:val="24"/>
          <w14:ligatures w14:val="standardContextual"/>
        </w:rPr>
      </w:pPr>
      <w:hyperlink w:anchor="_Toc224640037" w:history="1">
        <w:r w:rsidRPr="000B4ADB">
          <w:rPr>
            <w:rStyle w:val="Hyperlink"/>
          </w:rPr>
          <w:t>A14.  Provide estimates of annualized cost to the Federal Government.</w:t>
        </w:r>
        <w:r>
          <w:rPr>
            <w:webHidden/>
          </w:rPr>
          <w:tab/>
        </w:r>
        <w:r>
          <w:rPr>
            <w:webHidden/>
          </w:rPr>
          <w:fldChar w:fldCharType="begin"/>
        </w:r>
        <w:r>
          <w:rPr>
            <w:webHidden/>
          </w:rPr>
          <w:instrText xml:space="preserve"> PAGEREF _Toc224640037 \h </w:instrText>
        </w:r>
        <w:r>
          <w:rPr>
            <w:webHidden/>
          </w:rPr>
          <w:fldChar w:fldCharType="separate"/>
        </w:r>
        <w:r w:rsidR="00985F73">
          <w:rPr>
            <w:webHidden/>
          </w:rPr>
          <w:t>19</w:t>
        </w:r>
        <w:r>
          <w:rPr>
            <w:webHidden/>
          </w:rPr>
          <w:fldChar w:fldCharType="end"/>
        </w:r>
      </w:hyperlink>
    </w:p>
    <w:p w:rsidR="00D43438" w14:paraId="749AC7CC" w14:textId="75E9A449">
      <w:pPr>
        <w:pStyle w:val="TOC1"/>
        <w:rPr>
          <w:rFonts w:asciiTheme="minorHAnsi" w:eastAsiaTheme="minorEastAsia" w:hAnsiTheme="minorHAnsi" w:cstheme="minorBidi"/>
          <w:b w:val="0"/>
          <w:bCs w:val="0"/>
          <w:caps w:val="0"/>
          <w:kern w:val="2"/>
          <w:sz w:val="24"/>
          <w:szCs w:val="24"/>
          <w14:ligatures w14:val="standardContextual"/>
        </w:rPr>
      </w:pPr>
      <w:hyperlink w:anchor="_Toc224640038" w:history="1">
        <w:r w:rsidRPr="000B4ADB">
          <w:rPr>
            <w:rStyle w:val="Hyperlink"/>
          </w:rPr>
          <w:t>A15.  Explanation of program changes or adjustments.</w:t>
        </w:r>
        <w:r>
          <w:rPr>
            <w:webHidden/>
          </w:rPr>
          <w:tab/>
        </w:r>
        <w:r>
          <w:rPr>
            <w:webHidden/>
          </w:rPr>
          <w:fldChar w:fldCharType="begin"/>
        </w:r>
        <w:r>
          <w:rPr>
            <w:webHidden/>
          </w:rPr>
          <w:instrText xml:space="preserve"> PAGEREF _Toc224640038 \h </w:instrText>
        </w:r>
        <w:r>
          <w:rPr>
            <w:webHidden/>
          </w:rPr>
          <w:fldChar w:fldCharType="separate"/>
        </w:r>
        <w:r w:rsidR="00985F73">
          <w:rPr>
            <w:webHidden/>
          </w:rPr>
          <w:t>20</w:t>
        </w:r>
        <w:r>
          <w:rPr>
            <w:webHidden/>
          </w:rPr>
          <w:fldChar w:fldCharType="end"/>
        </w:r>
      </w:hyperlink>
    </w:p>
    <w:p w:rsidR="00D43438" w14:paraId="70EFC688" w14:textId="45A12197">
      <w:pPr>
        <w:pStyle w:val="TOC1"/>
        <w:rPr>
          <w:rFonts w:asciiTheme="minorHAnsi" w:eastAsiaTheme="minorEastAsia" w:hAnsiTheme="minorHAnsi" w:cstheme="minorBidi"/>
          <w:b w:val="0"/>
          <w:bCs w:val="0"/>
          <w:caps w:val="0"/>
          <w:kern w:val="2"/>
          <w:sz w:val="24"/>
          <w:szCs w:val="24"/>
          <w14:ligatures w14:val="standardContextual"/>
        </w:rPr>
      </w:pPr>
      <w:hyperlink w:anchor="_Toc224640039" w:history="1">
        <w:r w:rsidRPr="000B4ADB">
          <w:rPr>
            <w:rStyle w:val="Hyperlink"/>
          </w:rPr>
          <w:t>A16.  Plans for tabulation, and publication and project time schedule.</w:t>
        </w:r>
        <w:r>
          <w:rPr>
            <w:webHidden/>
          </w:rPr>
          <w:tab/>
        </w:r>
        <w:r>
          <w:rPr>
            <w:webHidden/>
          </w:rPr>
          <w:fldChar w:fldCharType="begin"/>
        </w:r>
        <w:r>
          <w:rPr>
            <w:webHidden/>
          </w:rPr>
          <w:instrText xml:space="preserve"> PAGEREF _Toc224640039 \h </w:instrText>
        </w:r>
        <w:r>
          <w:rPr>
            <w:webHidden/>
          </w:rPr>
          <w:fldChar w:fldCharType="separate"/>
        </w:r>
        <w:r w:rsidR="00985F73">
          <w:rPr>
            <w:webHidden/>
          </w:rPr>
          <w:t>22</w:t>
        </w:r>
        <w:r>
          <w:rPr>
            <w:webHidden/>
          </w:rPr>
          <w:fldChar w:fldCharType="end"/>
        </w:r>
      </w:hyperlink>
    </w:p>
    <w:p w:rsidR="00D43438" w14:paraId="39A03F20" w14:textId="25DABD39">
      <w:pPr>
        <w:pStyle w:val="TOC1"/>
        <w:rPr>
          <w:rFonts w:asciiTheme="minorHAnsi" w:eastAsiaTheme="minorEastAsia" w:hAnsiTheme="minorHAnsi" w:cstheme="minorBidi"/>
          <w:b w:val="0"/>
          <w:bCs w:val="0"/>
          <w:caps w:val="0"/>
          <w:kern w:val="2"/>
          <w:sz w:val="24"/>
          <w:szCs w:val="24"/>
          <w14:ligatures w14:val="standardContextual"/>
        </w:rPr>
      </w:pPr>
      <w:hyperlink w:anchor="_Toc224640040" w:history="1">
        <w:r w:rsidRPr="000B4ADB">
          <w:rPr>
            <w:rStyle w:val="Hyperlink"/>
          </w:rPr>
          <w:t>A17.  Displaying the OMB approval expiration date.</w:t>
        </w:r>
        <w:r>
          <w:rPr>
            <w:webHidden/>
          </w:rPr>
          <w:tab/>
        </w:r>
        <w:r>
          <w:rPr>
            <w:webHidden/>
          </w:rPr>
          <w:fldChar w:fldCharType="begin"/>
        </w:r>
        <w:r>
          <w:rPr>
            <w:webHidden/>
          </w:rPr>
          <w:instrText xml:space="preserve"> PAGEREF _Toc224640040 \h </w:instrText>
        </w:r>
        <w:r>
          <w:rPr>
            <w:webHidden/>
          </w:rPr>
          <w:fldChar w:fldCharType="separate"/>
        </w:r>
        <w:r w:rsidR="00985F73">
          <w:rPr>
            <w:webHidden/>
          </w:rPr>
          <w:t>23</w:t>
        </w:r>
        <w:r>
          <w:rPr>
            <w:webHidden/>
          </w:rPr>
          <w:fldChar w:fldCharType="end"/>
        </w:r>
      </w:hyperlink>
    </w:p>
    <w:p w:rsidR="00D43438" w14:paraId="53A281DF" w14:textId="7F472E22">
      <w:pPr>
        <w:pStyle w:val="TOC1"/>
        <w:rPr>
          <w:rFonts w:asciiTheme="minorHAnsi" w:eastAsiaTheme="minorEastAsia" w:hAnsiTheme="minorHAnsi" w:cstheme="minorBidi"/>
          <w:b w:val="0"/>
          <w:bCs w:val="0"/>
          <w:caps w:val="0"/>
          <w:kern w:val="2"/>
          <w:sz w:val="24"/>
          <w:szCs w:val="24"/>
          <w14:ligatures w14:val="standardContextual"/>
        </w:rPr>
      </w:pPr>
      <w:hyperlink w:anchor="_Toc224640041" w:history="1">
        <w:r w:rsidRPr="000B4ADB">
          <w:rPr>
            <w:rStyle w:val="Hyperlink"/>
          </w:rPr>
          <w:t>A18.  Exceptions to the certification statement identified in Item 19.</w:t>
        </w:r>
        <w:r>
          <w:rPr>
            <w:webHidden/>
          </w:rPr>
          <w:tab/>
        </w:r>
        <w:r>
          <w:rPr>
            <w:webHidden/>
          </w:rPr>
          <w:fldChar w:fldCharType="begin"/>
        </w:r>
        <w:r>
          <w:rPr>
            <w:webHidden/>
          </w:rPr>
          <w:instrText xml:space="preserve"> PAGEREF _Toc224640041 \h </w:instrText>
        </w:r>
        <w:r>
          <w:rPr>
            <w:webHidden/>
          </w:rPr>
          <w:fldChar w:fldCharType="separate"/>
        </w:r>
        <w:r w:rsidR="00985F73">
          <w:rPr>
            <w:webHidden/>
          </w:rPr>
          <w:t>23</w:t>
        </w:r>
        <w:r>
          <w:rPr>
            <w:webHidden/>
          </w:rPr>
          <w:fldChar w:fldCharType="end"/>
        </w:r>
      </w:hyperlink>
    </w:p>
    <w:p w:rsidR="00905A5F" w:rsidP="009F7E1A" w14:paraId="03E0F64C" w14:textId="1C5D1A49">
      <w:pPr>
        <w:tabs>
          <w:tab w:val="center" w:pos="4680"/>
        </w:tabs>
        <w:rPr>
          <w:b/>
          <w:szCs w:val="24"/>
          <w:u w:val="single"/>
        </w:rPr>
      </w:pPr>
      <w:r>
        <w:rPr>
          <w:b/>
          <w:szCs w:val="24"/>
          <w:u w:val="single"/>
        </w:rPr>
        <w:fldChar w:fldCharType="end"/>
      </w:r>
    </w:p>
    <w:p w:rsidR="00A2025F" w14:paraId="0EFAFACB" w14:textId="77777777">
      <w:pPr>
        <w:widowControl/>
        <w:overflowPunct/>
        <w:autoSpaceDE/>
        <w:autoSpaceDN/>
        <w:adjustRightInd/>
        <w:textAlignment w:val="auto"/>
        <w:rPr>
          <w:b/>
          <w:bCs/>
          <w:u w:val="single"/>
        </w:rPr>
      </w:pPr>
      <w:r>
        <w:rPr>
          <w:b/>
          <w:bCs/>
          <w:u w:val="single"/>
        </w:rPr>
        <w:br w:type="page"/>
      </w:r>
    </w:p>
    <w:p w:rsidR="002568E6" w:rsidP="00CC748A" w14:paraId="03E0F64E" w14:textId="3A0FE618">
      <w:pPr>
        <w:tabs>
          <w:tab w:val="left" w:pos="6649"/>
        </w:tabs>
        <w:rPr>
          <w:b/>
          <w:bCs/>
          <w:u w:val="single"/>
        </w:rPr>
      </w:pPr>
      <w:r w:rsidRPr="66EB0783">
        <w:rPr>
          <w:b/>
          <w:bCs/>
          <w:u w:val="single"/>
        </w:rPr>
        <w:t>Appendi</w:t>
      </w:r>
      <w:r w:rsidRPr="66EB0783" w:rsidR="009B0457">
        <w:rPr>
          <w:b/>
          <w:bCs/>
          <w:u w:val="single"/>
        </w:rPr>
        <w:t>x</w:t>
      </w:r>
      <w:r w:rsidRPr="66EB0783">
        <w:rPr>
          <w:b/>
          <w:bCs/>
          <w:u w:val="single"/>
        </w:rPr>
        <w:t>es</w:t>
      </w:r>
      <w:r w:rsidR="00EA759E">
        <w:rPr>
          <w:b/>
          <w:bCs/>
          <w:u w:val="single"/>
        </w:rPr>
        <w:tab/>
      </w:r>
    </w:p>
    <w:p w:rsidR="00CB1A9C" w:rsidRPr="00F674D4" w:rsidP="00CB1A9C" w14:paraId="00DCF3C8" w14:textId="367260D0">
      <w:pPr>
        <w:pStyle w:val="paragraph"/>
        <w:spacing w:before="0" w:beforeAutospacing="0" w:after="0" w:afterAutospacing="0"/>
        <w:textAlignment w:val="baseline"/>
        <w:rPr>
          <w:rStyle w:val="tabchar"/>
        </w:rPr>
      </w:pPr>
      <w:r>
        <w:rPr>
          <w:rStyle w:val="normaltextrun"/>
        </w:rPr>
        <w:t xml:space="preserve">Appendix </w:t>
      </w:r>
      <w:r w:rsidR="00DA3D15">
        <w:rPr>
          <w:rStyle w:val="normaltextrun"/>
        </w:rPr>
        <w:t>A</w:t>
      </w:r>
      <w:r w:rsidRPr="00CB1A9C">
        <w:rPr>
          <w:rStyle w:val="normaltextrun"/>
        </w:rPr>
        <w:t xml:space="preserve">: </w:t>
      </w:r>
      <w:r w:rsidRPr="00F674D4">
        <w:rPr>
          <w:rStyle w:val="normaltextrun"/>
        </w:rPr>
        <w:t>Farm Security and Rural Investment Act of 2002</w:t>
      </w:r>
      <w:r w:rsidRPr="00F674D4">
        <w:rPr>
          <w:rStyle w:val="tabchar"/>
        </w:rPr>
        <w:tab/>
      </w:r>
      <w:r w:rsidRPr="00F674D4">
        <w:rPr>
          <w:rStyle w:val="tabchar"/>
        </w:rPr>
        <w:tab/>
      </w:r>
      <w:r w:rsidRPr="00F674D4">
        <w:rPr>
          <w:rStyle w:val="tabchar"/>
        </w:rPr>
        <w:tab/>
      </w:r>
      <w:r w:rsidRPr="00F674D4">
        <w:rPr>
          <w:rStyle w:val="tabchar"/>
        </w:rPr>
        <w:tab/>
      </w:r>
    </w:p>
    <w:p w:rsidR="00CB1A9C" w:rsidP="00CB1A9C" w14:paraId="5F24CDAA" w14:textId="456E8152">
      <w:pPr>
        <w:pStyle w:val="paragraph"/>
        <w:spacing w:before="0" w:beforeAutospacing="0" w:after="0" w:afterAutospacing="0"/>
        <w:textAlignment w:val="baseline"/>
        <w:rPr>
          <w:rStyle w:val="normaltextrun"/>
        </w:rPr>
      </w:pPr>
      <w:r w:rsidRPr="00F674D4">
        <w:rPr>
          <w:rStyle w:val="tabchar"/>
        </w:rPr>
        <w:t xml:space="preserve">Appendix </w:t>
      </w:r>
      <w:r w:rsidR="00DA3D15">
        <w:rPr>
          <w:rStyle w:val="tabchar"/>
        </w:rPr>
        <w:t>B</w:t>
      </w:r>
      <w:r w:rsidRPr="00F674D4">
        <w:rPr>
          <w:rStyle w:val="tabchar"/>
        </w:rPr>
        <w:t xml:space="preserve">: </w:t>
      </w:r>
      <w:r w:rsidRPr="00F674D4">
        <w:rPr>
          <w:rStyle w:val="normaltextrun"/>
        </w:rPr>
        <w:t>Farm Security and Rural Investment Act of 2018</w:t>
      </w:r>
      <w:r w:rsidRPr="00CB1A9C">
        <w:rPr>
          <w:rStyle w:val="tabchar"/>
        </w:rPr>
        <w:tab/>
      </w:r>
      <w:r w:rsidRPr="00CB1A9C">
        <w:rPr>
          <w:rStyle w:val="tabchar"/>
        </w:rPr>
        <w:tab/>
      </w:r>
      <w:r w:rsidRPr="00CB1A9C">
        <w:rPr>
          <w:rStyle w:val="tabchar"/>
        </w:rPr>
        <w:tab/>
      </w:r>
      <w:r w:rsidRPr="00CB1A9C">
        <w:rPr>
          <w:rStyle w:val="tabchar"/>
        </w:rPr>
        <w:tab/>
      </w:r>
    </w:p>
    <w:p w:rsidR="00CB1A9C" w:rsidP="00CB1A9C" w14:paraId="2762F999" w14:textId="772FEADC">
      <w:pPr>
        <w:pStyle w:val="paragraph"/>
        <w:spacing w:before="0" w:beforeAutospacing="0" w:after="0" w:afterAutospacing="0"/>
        <w:textAlignment w:val="baseline"/>
        <w:rPr>
          <w:rStyle w:val="normaltextrun"/>
        </w:rPr>
      </w:pPr>
      <w:r>
        <w:rPr>
          <w:rStyle w:val="normaltextrun"/>
        </w:rPr>
        <w:t xml:space="preserve">Appendix </w:t>
      </w:r>
      <w:r w:rsidR="00DA3D15">
        <w:rPr>
          <w:rStyle w:val="normaltextrun"/>
        </w:rPr>
        <w:t>C</w:t>
      </w:r>
      <w:r>
        <w:rPr>
          <w:rStyle w:val="normaltextrun"/>
        </w:rPr>
        <w:t>: SFMNP Regulations (7 CFR Part 249)</w:t>
      </w:r>
    </w:p>
    <w:p w:rsidR="00CB1A9C" w:rsidP="00CB1A9C" w14:paraId="217EC1E5" w14:textId="223B3329">
      <w:pPr>
        <w:pStyle w:val="paragraph"/>
        <w:spacing w:before="0" w:beforeAutospacing="0" w:after="0" w:afterAutospacing="0"/>
        <w:textAlignment w:val="baseline"/>
        <w:rPr>
          <w:rFonts w:ascii="Segoe UI" w:hAnsi="Segoe UI" w:cs="Segoe UI"/>
          <w:sz w:val="18"/>
          <w:szCs w:val="18"/>
        </w:rPr>
      </w:pPr>
      <w:r>
        <w:rPr>
          <w:rStyle w:val="normaltextrun"/>
        </w:rPr>
        <w:t xml:space="preserve">Appendix </w:t>
      </w:r>
      <w:r w:rsidR="00DA3D15">
        <w:rPr>
          <w:rStyle w:val="normaltextrun"/>
        </w:rPr>
        <w:t>D</w:t>
      </w:r>
      <w:r>
        <w:rPr>
          <w:rStyle w:val="normaltextrun"/>
        </w:rPr>
        <w:t>: Burden Table </w:t>
      </w:r>
      <w:r>
        <w:rPr>
          <w:rStyle w:val="eop"/>
        </w:rPr>
        <w:t> </w:t>
      </w:r>
    </w:p>
    <w:p w:rsidR="00CB1A9C" w:rsidP="00CB1A9C" w14:paraId="16E1238B" w14:textId="5624BA97">
      <w:pPr>
        <w:pStyle w:val="paragraph"/>
        <w:spacing w:before="0" w:beforeAutospacing="0" w:after="0" w:afterAutospacing="0"/>
        <w:textAlignment w:val="baseline"/>
        <w:rPr>
          <w:rFonts w:ascii="Segoe UI" w:hAnsi="Segoe UI" w:cs="Segoe UI"/>
          <w:sz w:val="18"/>
          <w:szCs w:val="18"/>
        </w:rPr>
      </w:pPr>
      <w:r>
        <w:rPr>
          <w:rStyle w:val="normaltextrun"/>
        </w:rPr>
        <w:t xml:space="preserve">Appendix </w:t>
      </w:r>
      <w:r w:rsidR="00DA3D15">
        <w:rPr>
          <w:rStyle w:val="normaltextrun"/>
        </w:rPr>
        <w:t>E</w:t>
      </w:r>
      <w:r>
        <w:rPr>
          <w:rStyle w:val="normaltextrun"/>
        </w:rPr>
        <w:t>: Burden Narrative </w:t>
      </w:r>
      <w:r>
        <w:rPr>
          <w:rStyle w:val="eop"/>
        </w:rPr>
        <w:t> </w:t>
      </w:r>
    </w:p>
    <w:p w:rsidR="00CB1A9C" w:rsidP="00CB1A9C" w14:paraId="41455102" w14:textId="67466510">
      <w:pPr>
        <w:pStyle w:val="paragraph"/>
        <w:spacing w:before="0" w:beforeAutospacing="0" w:after="0" w:afterAutospacing="0"/>
        <w:textAlignment w:val="baseline"/>
        <w:rPr>
          <w:rFonts w:ascii="Segoe UI" w:hAnsi="Segoe UI" w:cs="Segoe UI"/>
          <w:sz w:val="18"/>
          <w:szCs w:val="18"/>
        </w:rPr>
      </w:pPr>
      <w:r>
        <w:rPr>
          <w:rStyle w:val="normaltextrun"/>
        </w:rPr>
        <w:t xml:space="preserve">Appendix </w:t>
      </w:r>
      <w:r w:rsidR="00FE12A3">
        <w:rPr>
          <w:rStyle w:val="normaltextrun"/>
        </w:rPr>
        <w:t>F</w:t>
      </w:r>
      <w:r>
        <w:rPr>
          <w:rStyle w:val="normaltextrun"/>
        </w:rPr>
        <w:t>: FPRS Landing Page and Public Burden Statement</w:t>
      </w:r>
      <w:r>
        <w:rPr>
          <w:rStyle w:val="eop"/>
        </w:rPr>
        <w:t> </w:t>
      </w:r>
    </w:p>
    <w:p w:rsidR="007D2C90" w:rsidP="007D2C90" w14:paraId="0BF4FE0A" w14:textId="4E58CCB6">
      <w:pPr>
        <w:pStyle w:val="paragraph"/>
        <w:spacing w:before="0" w:beforeAutospacing="0" w:after="0" w:afterAutospacing="0"/>
        <w:textAlignment w:val="baseline"/>
        <w:rPr>
          <w:rFonts w:ascii="Segoe UI" w:hAnsi="Segoe UI" w:cs="Segoe UI"/>
          <w:sz w:val="18"/>
          <w:szCs w:val="18"/>
        </w:rPr>
      </w:pPr>
      <w:r>
        <w:rPr>
          <w:rStyle w:val="normaltextrun"/>
        </w:rPr>
        <w:t xml:space="preserve">Appendix </w:t>
      </w:r>
      <w:r w:rsidR="00FE12A3">
        <w:rPr>
          <w:rStyle w:val="normaltextrun"/>
        </w:rPr>
        <w:t>G</w:t>
      </w:r>
      <w:r>
        <w:rPr>
          <w:rStyle w:val="normaltextrun"/>
        </w:rPr>
        <w:t>: FPRS SFMNP Annual Financial and Program Data Report (</w:t>
      </w:r>
      <w:r w:rsidR="0067105A">
        <w:rPr>
          <w:rStyle w:val="normaltextrun"/>
        </w:rPr>
        <w:t>FN</w:t>
      </w:r>
      <w:r w:rsidR="00FE12A3">
        <w:rPr>
          <w:rStyle w:val="normaltextrun"/>
        </w:rPr>
        <w:t>S</w:t>
      </w:r>
      <w:r>
        <w:rPr>
          <w:rStyle w:val="normaltextrun"/>
        </w:rPr>
        <w:t>-683A)</w:t>
      </w:r>
    </w:p>
    <w:p w:rsidR="00CB1A9C" w:rsidRPr="000B25A7" w:rsidP="00CB1A9C" w14:paraId="1A0805CF" w14:textId="639CB3D3">
      <w:pPr>
        <w:pStyle w:val="paragraph"/>
        <w:spacing w:before="0" w:beforeAutospacing="0" w:after="0" w:afterAutospacing="0"/>
        <w:textAlignment w:val="baseline"/>
        <w:rPr>
          <w:rStyle w:val="eop"/>
        </w:rPr>
      </w:pPr>
      <w:r w:rsidRPr="000B25A7">
        <w:rPr>
          <w:rStyle w:val="normaltextrun"/>
        </w:rPr>
        <w:t xml:space="preserve">Appendix </w:t>
      </w:r>
      <w:r w:rsidR="00FE12A3">
        <w:rPr>
          <w:rStyle w:val="normaltextrun"/>
        </w:rPr>
        <w:t>H:</w:t>
      </w:r>
      <w:r w:rsidRPr="000B25A7">
        <w:rPr>
          <w:rStyle w:val="normaltextrun"/>
        </w:rPr>
        <w:t xml:space="preserve"> Invitation to Comment on Revised Burden Estimates </w:t>
      </w:r>
      <w:r w:rsidRPr="000B25A7">
        <w:rPr>
          <w:rStyle w:val="eop"/>
        </w:rPr>
        <w:t> </w:t>
      </w:r>
    </w:p>
    <w:p w:rsidR="003974C4" w:rsidP="58476CA1" w14:paraId="25948D16" w14:textId="077A941F">
      <w:pPr>
        <w:pStyle w:val="paragraph"/>
        <w:spacing w:before="0" w:beforeAutospacing="0" w:after="0" w:afterAutospacing="0"/>
        <w:textAlignment w:val="baseline"/>
        <w:rPr>
          <w:rStyle w:val="eop"/>
        </w:rPr>
      </w:pPr>
      <w:r>
        <w:rPr>
          <w:rStyle w:val="eop"/>
        </w:rPr>
        <w:t xml:space="preserve">Appendix </w:t>
      </w:r>
      <w:r w:rsidR="00FE12A3">
        <w:rPr>
          <w:rStyle w:val="eop"/>
        </w:rPr>
        <w:t>I</w:t>
      </w:r>
      <w:r>
        <w:rPr>
          <w:rStyle w:val="eop"/>
        </w:rPr>
        <w:t>: Public Comment</w:t>
      </w:r>
    </w:p>
    <w:p w:rsidR="00710730" w14:paraId="44F336BF" w14:textId="77777777">
      <w:pPr>
        <w:widowControl/>
        <w:overflowPunct/>
        <w:autoSpaceDE/>
        <w:autoSpaceDN/>
        <w:adjustRightInd/>
        <w:textAlignment w:val="auto"/>
        <w:rPr>
          <w:b/>
          <w:szCs w:val="24"/>
        </w:rPr>
      </w:pPr>
      <w:bookmarkStart w:id="0" w:name="_Toc401831357"/>
      <w:r>
        <w:rPr>
          <w:szCs w:val="24"/>
        </w:rPr>
        <w:br w:type="page"/>
      </w:r>
    </w:p>
    <w:p w:rsidR="002224E5" w:rsidP="0062567E" w14:paraId="74066B92" w14:textId="77777777">
      <w:pPr>
        <w:pStyle w:val="Heading1"/>
        <w:rPr>
          <w:szCs w:val="24"/>
        </w:rPr>
      </w:pPr>
      <w:bookmarkStart w:id="1" w:name="_Toc224640023"/>
      <w:r>
        <w:rPr>
          <w:szCs w:val="24"/>
        </w:rPr>
        <w:t>Introduction</w:t>
      </w:r>
      <w:bookmarkEnd w:id="1"/>
    </w:p>
    <w:p w:rsidR="002224E5" w:rsidP="000224EB" w14:paraId="79353D9F" w14:textId="77777777"/>
    <w:p w:rsidR="000224EB" w:rsidP="000224EB" w14:paraId="7BFA9800" w14:textId="650D531D">
      <w:pPr>
        <w:suppressAutoHyphens/>
        <w:spacing w:after="240" w:line="480" w:lineRule="auto"/>
      </w:pPr>
      <w:r w:rsidRPr="58476CA1">
        <w:rPr>
          <w:rFonts w:cs="Arial"/>
        </w:rPr>
        <w:t>This I</w:t>
      </w:r>
      <w:r>
        <w:rPr>
          <w:rFonts w:cs="Arial"/>
        </w:rPr>
        <w:t>nformation Collection Request (ICR)</w:t>
      </w:r>
      <w:r w:rsidRPr="58476CA1">
        <w:rPr>
          <w:rFonts w:cs="Arial"/>
        </w:rPr>
        <w:t xml:space="preserve"> </w:t>
      </w:r>
      <w:r w:rsidRPr="58476CA1" w:rsidR="001E6574">
        <w:rPr>
          <w:rFonts w:cs="Arial"/>
        </w:rPr>
        <w:t xml:space="preserve">submission </w:t>
      </w:r>
      <w:r w:rsidR="001E6574">
        <w:rPr>
          <w:rFonts w:cs="Arial"/>
        </w:rPr>
        <w:t>reinstates</w:t>
      </w:r>
      <w:r>
        <w:rPr>
          <w:rFonts w:cs="Arial"/>
        </w:rPr>
        <w:t xml:space="preserve"> and revise</w:t>
      </w:r>
      <w:r w:rsidR="00F850A7">
        <w:rPr>
          <w:rFonts w:cs="Arial"/>
        </w:rPr>
        <w:t>s</w:t>
      </w:r>
      <w:r w:rsidRPr="58476CA1">
        <w:rPr>
          <w:rFonts w:cs="Arial"/>
        </w:rPr>
        <w:t xml:space="preserve"> </w:t>
      </w:r>
      <w:r>
        <w:t xml:space="preserve">OMB Control Number 0584-0541 (expiration date: 01/31/2026), </w:t>
      </w:r>
      <w:r w:rsidRPr="008B27C7">
        <w:t>Senior Farmers' Market Nutrition Program (SFMNP)</w:t>
      </w:r>
      <w:r>
        <w:t xml:space="preserve"> Program Regulations – Reporting and Recordkeeping Burden. </w:t>
      </w:r>
      <w:r w:rsidR="0083471E">
        <w:t xml:space="preserve">In </w:t>
      </w:r>
      <w:r w:rsidR="00C15D5E">
        <w:t xml:space="preserve">fiscal year </w:t>
      </w:r>
      <w:r w:rsidR="00C35F20">
        <w:t xml:space="preserve">(FY) </w:t>
      </w:r>
      <w:r w:rsidR="0083471E">
        <w:t xml:space="preserve">2025, </w:t>
      </w:r>
      <w:r w:rsidR="0067105A">
        <w:t>FNA</w:t>
      </w:r>
      <w:r w:rsidR="00121A95">
        <w:t xml:space="preserve"> </w:t>
      </w:r>
      <w:r w:rsidR="00C15D5E">
        <w:t>began</w:t>
      </w:r>
      <w:r w:rsidR="0083471E">
        <w:t xml:space="preserve"> </w:t>
      </w:r>
      <w:r w:rsidR="003F73D1">
        <w:t xml:space="preserve">to </w:t>
      </w:r>
      <w:r w:rsidR="00121A95">
        <w:t xml:space="preserve">revise and </w:t>
      </w:r>
      <w:r w:rsidR="00462EC2">
        <w:t>merge</w:t>
      </w:r>
      <w:r w:rsidR="00121A95">
        <w:t xml:space="preserve"> this ICR with </w:t>
      </w:r>
      <w:r w:rsidR="003F73D1">
        <w:t>the WIC Farmers’ Market Nutrition Program (FMNP) ICR</w:t>
      </w:r>
      <w:r w:rsidR="00121A95">
        <w:t xml:space="preserve">. </w:t>
      </w:r>
      <w:r w:rsidR="003F73D1">
        <w:t xml:space="preserve">However, </w:t>
      </w:r>
      <w:r w:rsidR="0083471E">
        <w:t>d</w:t>
      </w:r>
      <w:r>
        <w:t xml:space="preserve">ue to timing challenges resulting from a lapse in </w:t>
      </w:r>
      <w:r w:rsidR="00873D68">
        <w:t xml:space="preserve">appropriations </w:t>
      </w:r>
      <w:r>
        <w:t xml:space="preserve">for </w:t>
      </w:r>
      <w:r w:rsidR="0067105A">
        <w:t>FNA</w:t>
      </w:r>
      <w:r>
        <w:t>, the SFMNP information collection burden under OMB Control Number 0584-0541 expired on 01/31/2026</w:t>
      </w:r>
      <w:r w:rsidR="005F6ECD">
        <w:t>,</w:t>
      </w:r>
      <w:r w:rsidR="00BD3612">
        <w:t xml:space="preserve"> without being renewed</w:t>
      </w:r>
      <w:r>
        <w:t xml:space="preserve">. </w:t>
      </w:r>
      <w:r w:rsidR="0067105A">
        <w:t>FNA</w:t>
      </w:r>
      <w:r w:rsidR="00EB0939">
        <w:t xml:space="preserve"> has a continued need to collect SFMNP information under this OMB Control Number and is therefore seeking to reinstate and revise the expired collection. </w:t>
      </w:r>
    </w:p>
    <w:p w:rsidR="000224EB" w:rsidRPr="00FB64A8" w:rsidP="000224EB" w14:paraId="54113D2F" w14:textId="78B149CA">
      <w:pPr>
        <w:suppressAutoHyphens/>
        <w:spacing w:after="240" w:line="480" w:lineRule="auto"/>
      </w:pPr>
      <w:r>
        <w:t xml:space="preserve">Once OMB approves this request, </w:t>
      </w:r>
      <w:r w:rsidR="0067105A">
        <w:t>FNA</w:t>
      </w:r>
      <w:r>
        <w:t xml:space="preserve"> </w:t>
      </w:r>
      <w:r w:rsidR="009031D3">
        <w:t>intends</w:t>
      </w:r>
      <w:r w:rsidR="00BD43DC">
        <w:t xml:space="preserve"> to</w:t>
      </w:r>
      <w:r w:rsidR="009031D3">
        <w:t xml:space="preserve"> </w:t>
      </w:r>
      <w:r>
        <w:t>merge th</w:t>
      </w:r>
      <w:r w:rsidR="00205F1F">
        <w:t>i</w:t>
      </w:r>
      <w:r>
        <w:t>s information collection with OMB Control Number 0584-0447 (expiration date: 08/31/2027), WIC Farmers’ Market Nutrition Program (FMNP) Program Regulations – Reporting and Recordkeeping Burden. Upon successful</w:t>
      </w:r>
      <w:r w:rsidR="009A1CD0">
        <w:t>ly merging</w:t>
      </w:r>
      <w:r>
        <w:t xml:space="preserve">, </w:t>
      </w:r>
      <w:r w:rsidR="0067105A">
        <w:t>FNA</w:t>
      </w:r>
      <w:r>
        <w:t xml:space="preserve"> will discontinue OMB Control Number 0584-0541.</w:t>
      </w:r>
    </w:p>
    <w:p w:rsidR="005A3F80" w:rsidRPr="002568E6" w:rsidP="0062567E" w14:paraId="03E0F654" w14:textId="7AD57B33">
      <w:pPr>
        <w:pStyle w:val="Heading1"/>
        <w:rPr>
          <w:szCs w:val="24"/>
        </w:rPr>
      </w:pPr>
      <w:bookmarkStart w:id="2" w:name="_Toc224640024"/>
      <w:r w:rsidRPr="002568E6">
        <w:rPr>
          <w:szCs w:val="24"/>
        </w:rPr>
        <w:t xml:space="preserve">A1. </w:t>
      </w:r>
      <w:r w:rsidR="002568E6">
        <w:rPr>
          <w:szCs w:val="24"/>
        </w:rPr>
        <w:t>C</w:t>
      </w:r>
      <w:r w:rsidRPr="002568E6">
        <w:rPr>
          <w:szCs w:val="24"/>
        </w:rPr>
        <w:t>ircumstances that make the collection of information necessary.</w:t>
      </w:r>
      <w:bookmarkEnd w:id="0"/>
      <w:bookmarkEnd w:id="2"/>
    </w:p>
    <w:p w:rsidR="003333DF" w:rsidRPr="002568E6" w:rsidP="003333DF" w14:paraId="03E0F655" w14:textId="77777777">
      <w:pPr>
        <w:tabs>
          <w:tab w:val="left" w:pos="-720"/>
        </w:tabs>
        <w:suppressAutoHyphens/>
        <w:rPr>
          <w:b/>
          <w:szCs w:val="24"/>
        </w:rPr>
      </w:pPr>
    </w:p>
    <w:p w:rsidR="00590677" w:rsidP="58476CA1" w14:paraId="2B21ED5B" w14:textId="7C5B85A4">
      <w:pPr>
        <w:pStyle w:val="paragraph"/>
        <w:spacing w:before="0" w:beforeAutospacing="0" w:after="0" w:afterAutospacing="0"/>
        <w:textAlignment w:val="baseline"/>
        <w:rPr>
          <w:rStyle w:val="normaltextrun"/>
          <w:b/>
          <w:bCs/>
        </w:rPr>
      </w:pPr>
      <w:r w:rsidRPr="58476CA1">
        <w:rPr>
          <w:rStyle w:val="normaltextrun"/>
          <w:b/>
          <w:bCs/>
        </w:rPr>
        <w:t>Identify any legal or administrative requirements that necessitate the collection. Attach a copy of the appropriate section of each statute and regulation mandating or authorizing the collection of information.</w:t>
      </w:r>
    </w:p>
    <w:p w:rsidR="00590677" w:rsidP="58476CA1" w14:paraId="1C06AA6E" w14:textId="77777777">
      <w:pPr>
        <w:rPr>
          <w:rStyle w:val="normaltextrun"/>
          <w:lang w:val="en"/>
        </w:rPr>
      </w:pPr>
    </w:p>
    <w:p w:rsidR="009F7E1A" w:rsidRPr="000224EB" w:rsidP="000224EB" w14:paraId="03E0F659" w14:textId="6272DF1F">
      <w:pPr>
        <w:pStyle w:val="paragraph"/>
        <w:spacing w:before="0" w:beforeAutospacing="0" w:after="240" w:afterAutospacing="0" w:line="480" w:lineRule="auto"/>
        <w:textAlignment w:val="baseline"/>
      </w:pPr>
      <w:r>
        <w:t xml:space="preserve">SFMNP </w:t>
      </w:r>
      <w:r w:rsidR="00C24373">
        <w:t xml:space="preserve">provides eligible seniors with benefits to </w:t>
      </w:r>
      <w:r>
        <w:t xml:space="preserve">purchase </w:t>
      </w:r>
      <w:r w:rsidR="00584BEF">
        <w:t xml:space="preserve">local produce </w:t>
      </w:r>
      <w:r w:rsidR="00C24373">
        <w:t>at farmers’ markets, roadside stands, and community supported agriculture (CSA) programs. The Farm Security and Rural Investment Act of 2002, Public Law 107-</w:t>
      </w:r>
      <w:r w:rsidRPr="00DA3D15" w:rsidR="00C24373">
        <w:t>171</w:t>
      </w:r>
      <w:r w:rsidRPr="00DA3D15" w:rsidR="008A533D">
        <w:t xml:space="preserve"> (Appendix </w:t>
      </w:r>
      <w:r w:rsidRPr="00DA3D15" w:rsidR="00DA3D15">
        <w:t>A</w:t>
      </w:r>
      <w:r w:rsidRPr="00DA3D15" w:rsidR="008A533D">
        <w:t>)</w:t>
      </w:r>
      <w:r w:rsidRPr="00DA3D15" w:rsidR="00C24373">
        <w:t>,</w:t>
      </w:r>
      <w:r w:rsidR="00C24373">
        <w:t xml:space="preserve"> </w:t>
      </w:r>
      <w:r w:rsidR="007C1441">
        <w:t xml:space="preserve">initially </w:t>
      </w:r>
      <w:r w:rsidR="00C24373">
        <w:t xml:space="preserve">authorized SFMNP and gave USDA the authority to develop Federal regulations guiding the administration of SFMNP. </w:t>
      </w:r>
      <w:r w:rsidR="001E23A5">
        <w:t>Extensions of t</w:t>
      </w:r>
      <w:r w:rsidR="00C24373">
        <w:t xml:space="preserve">he Agriculture Improvement Act of 2018, Public Law 115-334 </w:t>
      </w:r>
      <w:r w:rsidR="00C24373">
        <w:t>(</w:t>
      </w:r>
      <w:r w:rsidRPr="00DA3D15" w:rsidR="00C24373">
        <w:t xml:space="preserve">Appendix </w:t>
      </w:r>
      <w:r w:rsidRPr="00DA3D15" w:rsidR="00DA3D15">
        <w:t>B</w:t>
      </w:r>
      <w:r w:rsidR="00C24373">
        <w:t xml:space="preserve">), </w:t>
      </w:r>
      <w:r w:rsidR="001E23A5">
        <w:t xml:space="preserve">have </w:t>
      </w:r>
      <w:r w:rsidR="00C24373">
        <w:t>provided continued funding for SFMNP</w:t>
      </w:r>
      <w:r w:rsidR="001E23A5">
        <w:t xml:space="preserve"> through FY 202</w:t>
      </w:r>
      <w:r w:rsidR="10D2E602">
        <w:t>6</w:t>
      </w:r>
      <w:r w:rsidR="00C24373">
        <w:t xml:space="preserve">. </w:t>
      </w:r>
      <w:r w:rsidR="00F07512">
        <w:t xml:space="preserve">SFMNP statute and </w:t>
      </w:r>
      <w:r w:rsidR="00C24373">
        <w:t xml:space="preserve">Federal regulations </w:t>
      </w:r>
      <w:r w:rsidR="000F1480">
        <w:t xml:space="preserve">at 7 CFR Part 249 </w:t>
      </w:r>
      <w:r w:rsidR="00C24373">
        <w:t>(</w:t>
      </w:r>
      <w:r w:rsidRPr="00DA3D15" w:rsidR="00C24373">
        <w:t xml:space="preserve">Appendix </w:t>
      </w:r>
      <w:r w:rsidR="00DA3D15">
        <w:t>C</w:t>
      </w:r>
      <w:r w:rsidR="00C24373">
        <w:t xml:space="preserve">) require that certain program-related information be collected and that full and complete records concerning SFMNP operations are maintained. The information reporting and recordkeeping burdens are necessary to ensure appropriate and efficient management of SFMNP. </w:t>
      </w:r>
    </w:p>
    <w:p w:rsidR="00A308DB" w:rsidRPr="002568E6" w:rsidP="0062567E" w14:paraId="03E0F65A" w14:textId="58D44C5D">
      <w:pPr>
        <w:pStyle w:val="Heading1"/>
        <w:rPr>
          <w:szCs w:val="24"/>
        </w:rPr>
      </w:pPr>
      <w:bookmarkStart w:id="3" w:name="_Toc401831358"/>
      <w:bookmarkStart w:id="4" w:name="_Toc224640025"/>
      <w:r>
        <w:t xml:space="preserve">A2. </w:t>
      </w:r>
      <w:r w:rsidR="00447C1E">
        <w:t xml:space="preserve">Purpose and </w:t>
      </w:r>
      <w:r w:rsidR="00C871AE">
        <w:t>u</w:t>
      </w:r>
      <w:r w:rsidR="00447C1E">
        <w:t xml:space="preserve">se of the </w:t>
      </w:r>
      <w:r w:rsidR="00C871AE">
        <w:t>i</w:t>
      </w:r>
      <w:r w:rsidR="00447C1E">
        <w:t>nformation.</w:t>
      </w:r>
      <w:bookmarkEnd w:id="3"/>
      <w:bookmarkEnd w:id="4"/>
    </w:p>
    <w:p w:rsidR="0062567E" w:rsidRPr="002568E6" w14:paraId="03E0F65B" w14:textId="77777777">
      <w:pPr>
        <w:tabs>
          <w:tab w:val="left" w:pos="-720"/>
        </w:tabs>
        <w:suppressAutoHyphens/>
        <w:rPr>
          <w:b/>
          <w:szCs w:val="24"/>
        </w:rPr>
      </w:pPr>
    </w:p>
    <w:p w:rsidR="003333DF" w:rsidRPr="002568E6" w14:paraId="03E0F65C" w14:textId="0FBA3B53">
      <w:pPr>
        <w:tabs>
          <w:tab w:val="left" w:pos="-720"/>
        </w:tabs>
        <w:suppressAutoHyphens/>
        <w:rPr>
          <w:b/>
          <w:szCs w:val="24"/>
        </w:rPr>
      </w:pPr>
      <w:r w:rsidRPr="002568E6">
        <w:rPr>
          <w:b/>
          <w:szCs w:val="24"/>
        </w:rPr>
        <w:t>Indicate</w:t>
      </w:r>
      <w:r w:rsidRPr="002568E6" w:rsidR="009F0786">
        <w:rPr>
          <w:b/>
          <w:szCs w:val="24"/>
        </w:rPr>
        <w:t xml:space="preserve"> how, by whom, and for what pur</w:t>
      </w:r>
      <w:r w:rsidRPr="002568E6">
        <w:rPr>
          <w:b/>
          <w:szCs w:val="24"/>
        </w:rPr>
        <w:t>pose the information is to be used.</w:t>
      </w:r>
      <w:r w:rsidRPr="002568E6" w:rsidR="009F0786">
        <w:rPr>
          <w:b/>
          <w:szCs w:val="24"/>
        </w:rPr>
        <w:t xml:space="preserve"> Except for a new collec</w:t>
      </w:r>
      <w:r w:rsidRPr="002568E6">
        <w:rPr>
          <w:b/>
          <w:szCs w:val="24"/>
        </w:rPr>
        <w:t xml:space="preserve">tion, indicate how the agency has </w:t>
      </w:r>
      <w:r w:rsidRPr="002568E6">
        <w:rPr>
          <w:b/>
          <w:szCs w:val="24"/>
        </w:rPr>
        <w:t>ac</w:t>
      </w:r>
      <w:r w:rsidRPr="002568E6" w:rsidR="00E27BE9">
        <w:rPr>
          <w:b/>
          <w:szCs w:val="24"/>
        </w:rPr>
        <w:t>tually used</w:t>
      </w:r>
      <w:r w:rsidRPr="002568E6" w:rsidR="00E27BE9">
        <w:rPr>
          <w:b/>
          <w:szCs w:val="24"/>
        </w:rPr>
        <w:t xml:space="preserve"> the informa</w:t>
      </w:r>
      <w:r w:rsidRPr="002568E6">
        <w:rPr>
          <w:b/>
          <w:szCs w:val="24"/>
        </w:rPr>
        <w:t>tion r</w:t>
      </w:r>
      <w:r w:rsidRPr="002568E6" w:rsidR="00E27BE9">
        <w:rPr>
          <w:b/>
          <w:szCs w:val="24"/>
        </w:rPr>
        <w:t>eceived from the current collec</w:t>
      </w:r>
      <w:r w:rsidRPr="002568E6">
        <w:rPr>
          <w:b/>
          <w:szCs w:val="24"/>
        </w:rPr>
        <w:t>tion.</w:t>
      </w:r>
    </w:p>
    <w:p w:rsidR="00341DEE" w:rsidP="00185209" w14:paraId="03E0F65F" w14:textId="4074C9E4"/>
    <w:p w:rsidR="000117DC" w:rsidP="00A71DCB" w14:paraId="7AD93531" w14:textId="76E01DE6">
      <w:pPr>
        <w:spacing w:after="240" w:line="480" w:lineRule="auto"/>
      </w:pPr>
      <w:r>
        <w:t xml:space="preserve">This </w:t>
      </w:r>
      <w:r w:rsidR="00E26D47">
        <w:t>collection</w:t>
      </w:r>
      <w:r>
        <w:t xml:space="preserve"> covers </w:t>
      </w:r>
      <w:r w:rsidR="00966B8E">
        <w:t xml:space="preserve">SFMNP </w:t>
      </w:r>
      <w:r>
        <w:t xml:space="preserve">requirements </w:t>
      </w:r>
      <w:r w:rsidR="00966B8E">
        <w:t xml:space="preserve">for </w:t>
      </w:r>
      <w:r>
        <w:t>State agencies</w:t>
      </w:r>
      <w:r w:rsidR="00B3666E">
        <w:t xml:space="preserve"> (including U.S. Territories and Indian Tribal Organizations)</w:t>
      </w:r>
      <w:r>
        <w:t xml:space="preserve">, local agencies, </w:t>
      </w:r>
      <w:r w:rsidR="00966B8E">
        <w:t>applicants for program benefits, and authorized outlets</w:t>
      </w:r>
      <w:r w:rsidR="00781701">
        <w:t xml:space="preserve"> (i.e., farmers, farmers’ markets, roadside stands, and CSA programs)</w:t>
      </w:r>
      <w:r w:rsidR="00966B8E">
        <w:t>.</w:t>
      </w:r>
      <w:r w:rsidR="00570AF9">
        <w:t xml:space="preserve"> </w:t>
      </w:r>
      <w:r w:rsidR="00D20A4B">
        <w:t xml:space="preserve">The collections covered by this ICR are either mandated by statute or regulation or required to obtain or retain benefits. See </w:t>
      </w:r>
      <w:r w:rsidRPr="00DA3D15" w:rsidR="00D20A4B">
        <w:t>Appendi</w:t>
      </w:r>
      <w:r w:rsidRPr="00A71DCB" w:rsidR="00D20A4B">
        <w:t xml:space="preserve">x </w:t>
      </w:r>
      <w:r w:rsidRPr="00DA3D15" w:rsidR="00DA3D15">
        <w:t>E</w:t>
      </w:r>
      <w:r w:rsidRPr="00DA3D15" w:rsidR="00D20A4B">
        <w:t>:</w:t>
      </w:r>
      <w:r w:rsidR="00D20A4B">
        <w:t xml:space="preserve"> Burden Narrative for a full description of each required information collection. </w:t>
      </w:r>
    </w:p>
    <w:p w:rsidR="00943317" w:rsidRPr="005F6ECD" w:rsidP="00A71DCB" w14:paraId="6B4A20E4" w14:textId="40E70C8C">
      <w:pPr>
        <w:spacing w:line="480" w:lineRule="auto"/>
      </w:pPr>
      <w:r w:rsidRPr="005F6ECD">
        <w:t>This submission covers</w:t>
      </w:r>
      <w:r w:rsidRPr="005F6ECD" w:rsidR="00FE05D3">
        <w:t xml:space="preserve"> the following State agency activities</w:t>
      </w:r>
      <w:r w:rsidRPr="005F6ECD">
        <w:t>:</w:t>
      </w:r>
    </w:p>
    <w:p w:rsidR="00F92700" w:rsidRPr="005F6ECD" w14:paraId="3B6749B9" w14:textId="4A21212F">
      <w:pPr>
        <w:pStyle w:val="ListParagraph"/>
        <w:numPr>
          <w:ilvl w:val="0"/>
          <w:numId w:val="4"/>
        </w:numPr>
        <w:spacing w:after="240"/>
        <w:rPr>
          <w:spacing w:val="0"/>
        </w:rPr>
      </w:pPr>
      <w:r w:rsidRPr="005F6ECD">
        <w:rPr>
          <w:spacing w:val="0"/>
        </w:rPr>
        <w:t xml:space="preserve">The time required to </w:t>
      </w:r>
      <w:r w:rsidRPr="005F6ECD" w:rsidR="00862D6D">
        <w:rPr>
          <w:spacing w:val="0"/>
        </w:rPr>
        <w:t>create materials for and conduct applicant certifications</w:t>
      </w:r>
      <w:r w:rsidRPr="005F6ECD" w:rsidR="002A60EB">
        <w:rPr>
          <w:spacing w:val="0"/>
        </w:rPr>
        <w:t>,</w:t>
      </w:r>
      <w:r w:rsidRPr="005F6ECD" w:rsidR="00862D6D">
        <w:rPr>
          <w:spacing w:val="0"/>
        </w:rPr>
        <w:t xml:space="preserve"> </w:t>
      </w:r>
      <w:r w:rsidRPr="005F6ECD" w:rsidR="00FE6C29">
        <w:rPr>
          <w:spacing w:val="0"/>
        </w:rPr>
        <w:t>nutrition education</w:t>
      </w:r>
      <w:r w:rsidRPr="005F6ECD" w:rsidR="002A60EB">
        <w:rPr>
          <w:spacing w:val="0"/>
        </w:rPr>
        <w:t>,</w:t>
      </w:r>
      <w:r w:rsidRPr="005F6ECD" w:rsidR="00FE6C29">
        <w:rPr>
          <w:spacing w:val="0"/>
        </w:rPr>
        <w:t xml:space="preserve"> </w:t>
      </w:r>
      <w:r w:rsidRPr="005F6ECD" w:rsidR="00674EAB">
        <w:rPr>
          <w:spacing w:val="0"/>
        </w:rPr>
        <w:t xml:space="preserve">and </w:t>
      </w:r>
      <w:r w:rsidRPr="005F6ECD" w:rsidR="00862D6D">
        <w:rPr>
          <w:spacing w:val="0"/>
        </w:rPr>
        <w:t>local agency and outlet authorization, training, and monitoring</w:t>
      </w:r>
      <w:r w:rsidRPr="005F6ECD" w:rsidR="0083777C">
        <w:rPr>
          <w:spacing w:val="0"/>
        </w:rPr>
        <w:t>;</w:t>
      </w:r>
      <w:r w:rsidRPr="005F6ECD" w:rsidR="00D72CA4">
        <w:rPr>
          <w:spacing w:val="0"/>
        </w:rPr>
        <w:t xml:space="preserve"> </w:t>
      </w:r>
      <w:r w:rsidRPr="005F6ECD" w:rsidR="00FA252C">
        <w:rPr>
          <w:spacing w:val="0"/>
        </w:rPr>
        <w:t xml:space="preserve">to manage </w:t>
      </w:r>
      <w:r w:rsidRPr="005F6ECD" w:rsidR="002A60EB">
        <w:rPr>
          <w:spacing w:val="0"/>
        </w:rPr>
        <w:t xml:space="preserve">outlet and participant </w:t>
      </w:r>
      <w:r w:rsidRPr="005F6ECD" w:rsidR="00D72CA4">
        <w:rPr>
          <w:spacing w:val="0"/>
        </w:rPr>
        <w:t>sanctions</w:t>
      </w:r>
      <w:r w:rsidRPr="005F6ECD" w:rsidR="00307C0A">
        <w:rPr>
          <w:spacing w:val="0"/>
        </w:rPr>
        <w:t>,</w:t>
      </w:r>
      <w:r w:rsidRPr="005F6ECD" w:rsidR="00D72CA4">
        <w:rPr>
          <w:spacing w:val="0"/>
        </w:rPr>
        <w:t xml:space="preserve"> appeals</w:t>
      </w:r>
      <w:r w:rsidRPr="005F6ECD" w:rsidR="00307C0A">
        <w:rPr>
          <w:spacing w:val="0"/>
        </w:rPr>
        <w:t>,</w:t>
      </w:r>
      <w:r w:rsidRPr="005F6ECD" w:rsidR="00D72CA4">
        <w:rPr>
          <w:spacing w:val="0"/>
        </w:rPr>
        <w:t xml:space="preserve"> and complaints;</w:t>
      </w:r>
      <w:r w:rsidRPr="005F6ECD" w:rsidR="00862D6D">
        <w:rPr>
          <w:spacing w:val="0"/>
        </w:rPr>
        <w:t xml:space="preserve"> </w:t>
      </w:r>
      <w:r w:rsidRPr="005F6ECD" w:rsidR="00A21F89">
        <w:rPr>
          <w:spacing w:val="0"/>
        </w:rPr>
        <w:t xml:space="preserve">and </w:t>
      </w:r>
      <w:r w:rsidRPr="005F6ECD" w:rsidR="00862D6D">
        <w:rPr>
          <w:spacing w:val="0"/>
        </w:rPr>
        <w:t xml:space="preserve">to </w:t>
      </w:r>
      <w:r w:rsidRPr="005F6ECD" w:rsidR="00E26D47">
        <w:rPr>
          <w:spacing w:val="0"/>
        </w:rPr>
        <w:t xml:space="preserve">maintain </w:t>
      </w:r>
      <w:r w:rsidRPr="005F6ECD" w:rsidR="00862D6D">
        <w:rPr>
          <w:spacing w:val="0"/>
        </w:rPr>
        <w:t>benefit distribution and financ</w:t>
      </w:r>
      <w:r w:rsidRPr="005F6ECD" w:rsidR="00E26D47">
        <w:rPr>
          <w:spacing w:val="0"/>
        </w:rPr>
        <w:t>ial systems</w:t>
      </w:r>
      <w:r w:rsidRPr="005F6ECD" w:rsidR="00A21F89">
        <w:rPr>
          <w:spacing w:val="0"/>
        </w:rPr>
        <w:t>. This collection also covers</w:t>
      </w:r>
      <w:r w:rsidRPr="005F6ECD" w:rsidR="00862D6D">
        <w:rPr>
          <w:spacing w:val="0"/>
        </w:rPr>
        <w:t xml:space="preserve"> </w:t>
      </w:r>
      <w:r w:rsidRPr="005F6ECD" w:rsidR="00FE05D3">
        <w:rPr>
          <w:spacing w:val="0"/>
        </w:rPr>
        <w:t xml:space="preserve">the recordkeeping requirements for such activities. </w:t>
      </w:r>
    </w:p>
    <w:p w:rsidR="00C66388" w:rsidRPr="005F6ECD" w14:paraId="7CBFEDAB" w14:textId="7C0425D6">
      <w:pPr>
        <w:pStyle w:val="ListParagraph"/>
        <w:numPr>
          <w:ilvl w:val="0"/>
          <w:numId w:val="4"/>
        </w:numPr>
        <w:spacing w:after="240"/>
        <w:rPr>
          <w:spacing w:val="0"/>
        </w:rPr>
      </w:pPr>
      <w:r w:rsidRPr="005F6ECD">
        <w:rPr>
          <w:spacing w:val="0"/>
        </w:rPr>
        <w:t xml:space="preserve">The </w:t>
      </w:r>
      <w:r w:rsidRPr="005F6ECD" w:rsidR="00BB4BE0">
        <w:rPr>
          <w:spacing w:val="0"/>
        </w:rPr>
        <w:t xml:space="preserve">State agency </w:t>
      </w:r>
      <w:r w:rsidRPr="005F6ECD">
        <w:rPr>
          <w:spacing w:val="0"/>
        </w:rPr>
        <w:t xml:space="preserve">reporting burden associated with </w:t>
      </w:r>
      <w:r w:rsidRPr="005F6ECD" w:rsidR="00BB4BE0">
        <w:rPr>
          <w:spacing w:val="0"/>
        </w:rPr>
        <w:t>collecting information from local agencies and authorized outlets in preparation for State Plan submissions.</w:t>
      </w:r>
      <w:r w:rsidRPr="005F6ECD">
        <w:rPr>
          <w:spacing w:val="0"/>
        </w:rPr>
        <w:t xml:space="preserve"> </w:t>
      </w:r>
      <w:r w:rsidRPr="005F6ECD" w:rsidR="00FA0F32">
        <w:rPr>
          <w:spacing w:val="0"/>
        </w:rPr>
        <w:t>The</w:t>
      </w:r>
      <w:r w:rsidRPr="005F6ECD">
        <w:rPr>
          <w:spacing w:val="0"/>
        </w:rPr>
        <w:t xml:space="preserve"> reporting </w:t>
      </w:r>
      <w:r w:rsidRPr="005F6ECD">
        <w:rPr>
          <w:spacing w:val="0"/>
        </w:rPr>
        <w:t xml:space="preserve">and recordkeeping burden </w:t>
      </w:r>
      <w:r w:rsidRPr="005F6ECD" w:rsidR="00FA0F32">
        <w:rPr>
          <w:spacing w:val="0"/>
        </w:rPr>
        <w:t xml:space="preserve">associated with submitting </w:t>
      </w:r>
      <w:r w:rsidRPr="005F6ECD">
        <w:rPr>
          <w:spacing w:val="0"/>
        </w:rPr>
        <w:t xml:space="preserve">State Plans </w:t>
      </w:r>
      <w:r w:rsidRPr="005F6ECD" w:rsidR="00FA0F32">
        <w:rPr>
          <w:spacing w:val="0"/>
        </w:rPr>
        <w:t xml:space="preserve">to </w:t>
      </w:r>
      <w:r w:rsidR="0067105A">
        <w:rPr>
          <w:spacing w:val="0"/>
        </w:rPr>
        <w:t>FNA</w:t>
      </w:r>
      <w:r w:rsidRPr="005F6ECD" w:rsidR="00FA0F32">
        <w:rPr>
          <w:spacing w:val="0"/>
        </w:rPr>
        <w:t xml:space="preserve"> </w:t>
      </w:r>
      <w:r w:rsidRPr="005F6ECD">
        <w:rPr>
          <w:spacing w:val="0"/>
        </w:rPr>
        <w:t xml:space="preserve">is covered under </w:t>
      </w:r>
      <w:r w:rsidRPr="005F6ECD" w:rsidR="00E352FD">
        <w:rPr>
          <w:spacing w:val="0"/>
        </w:rPr>
        <w:t>OMB Control Number 0584-0704</w:t>
      </w:r>
      <w:r w:rsidRPr="005F6ECD" w:rsidR="00D9298B">
        <w:rPr>
          <w:spacing w:val="0"/>
        </w:rPr>
        <w:t>, Waivers and State Plans (</w:t>
      </w:r>
      <w:r w:rsidRPr="005F6ECD" w:rsidR="00D9298B">
        <w:rPr>
          <w:spacing w:val="0"/>
        </w:rPr>
        <w:t>W</w:t>
      </w:r>
      <w:r w:rsidRPr="005F6ECD" w:rsidR="00780316">
        <w:rPr>
          <w:spacing w:val="0"/>
        </w:rPr>
        <w:t>i</w:t>
      </w:r>
      <w:r w:rsidRPr="005F6ECD" w:rsidR="00D9298B">
        <w:rPr>
          <w:spacing w:val="0"/>
        </w:rPr>
        <w:t>SP</w:t>
      </w:r>
      <w:r w:rsidRPr="005F6ECD" w:rsidR="00D9298B">
        <w:rPr>
          <w:spacing w:val="0"/>
        </w:rPr>
        <w:t>)</w:t>
      </w:r>
      <w:r w:rsidRPr="005F6ECD" w:rsidR="00780316">
        <w:rPr>
          <w:spacing w:val="0"/>
        </w:rPr>
        <w:t>,</w:t>
      </w:r>
      <w:r w:rsidRPr="005F6ECD" w:rsidR="00E352FD">
        <w:rPr>
          <w:spacing w:val="0"/>
        </w:rPr>
        <w:t xml:space="preserve"> expiration date: 12/31/2028</w:t>
      </w:r>
      <w:r w:rsidRPr="005F6ECD" w:rsidR="009A2278">
        <w:rPr>
          <w:spacing w:val="0"/>
        </w:rPr>
        <w:t xml:space="preserve">, which was approved since the </w:t>
      </w:r>
      <w:r w:rsidRPr="005F6ECD" w:rsidR="00AA3D3D">
        <w:rPr>
          <w:spacing w:val="0"/>
        </w:rPr>
        <w:t>last submission of this ICR</w:t>
      </w:r>
      <w:r w:rsidRPr="005F6ECD" w:rsidR="00780316">
        <w:rPr>
          <w:spacing w:val="0"/>
        </w:rPr>
        <w:t>.</w:t>
      </w:r>
      <w:r w:rsidRPr="005F6ECD" w:rsidR="00E352FD">
        <w:rPr>
          <w:spacing w:val="0"/>
        </w:rPr>
        <w:t xml:space="preserve"> </w:t>
      </w:r>
    </w:p>
    <w:p w:rsidR="00FE05D3" w:rsidRPr="005F6ECD" w14:paraId="15CCED28" w14:textId="5132B0FA">
      <w:pPr>
        <w:pStyle w:val="ListParagraph"/>
        <w:numPr>
          <w:ilvl w:val="0"/>
          <w:numId w:val="4"/>
        </w:numPr>
        <w:spacing w:after="240"/>
        <w:rPr>
          <w:spacing w:val="0"/>
        </w:rPr>
      </w:pPr>
      <w:r w:rsidRPr="005F6ECD">
        <w:rPr>
          <w:spacing w:val="0"/>
        </w:rPr>
        <w:t xml:space="preserve">The </w:t>
      </w:r>
      <w:r w:rsidRPr="005F6ECD" w:rsidR="00780316">
        <w:rPr>
          <w:spacing w:val="0"/>
        </w:rPr>
        <w:t xml:space="preserve">State agency </w:t>
      </w:r>
      <w:r w:rsidRPr="005F6ECD">
        <w:rPr>
          <w:spacing w:val="0"/>
        </w:rPr>
        <w:t xml:space="preserve">recordkeeping burden associated with </w:t>
      </w:r>
      <w:r w:rsidRPr="005F6ECD" w:rsidR="0097453B">
        <w:rPr>
          <w:spacing w:val="0"/>
        </w:rPr>
        <w:t xml:space="preserve">the </w:t>
      </w:r>
      <w:r w:rsidRPr="005F6ECD" w:rsidR="00BF3CA0">
        <w:rPr>
          <w:spacing w:val="0"/>
        </w:rPr>
        <w:t xml:space="preserve">SFMNP Annual Financial and Program Data Report </w:t>
      </w:r>
      <w:r w:rsidRPr="005F6ECD" w:rsidR="0097453B">
        <w:rPr>
          <w:spacing w:val="0"/>
        </w:rPr>
        <w:t>(</w:t>
      </w:r>
      <w:r w:rsidRPr="005F6ECD" w:rsidR="001404BA">
        <w:rPr>
          <w:spacing w:val="0"/>
        </w:rPr>
        <w:t>FNS-683A</w:t>
      </w:r>
      <w:r w:rsidRPr="005F6ECD" w:rsidR="0097453B">
        <w:rPr>
          <w:spacing w:val="0"/>
        </w:rPr>
        <w:t xml:space="preserve">, </w:t>
      </w:r>
      <w:r w:rsidRPr="005F6ECD" w:rsidR="00F90911">
        <w:rPr>
          <w:spacing w:val="0"/>
        </w:rPr>
        <w:t xml:space="preserve">Appendix </w:t>
      </w:r>
      <w:r w:rsidR="004C5C4D">
        <w:rPr>
          <w:spacing w:val="0"/>
        </w:rPr>
        <w:t>G</w:t>
      </w:r>
      <w:r w:rsidRPr="005F6ECD" w:rsidR="00F90911">
        <w:rPr>
          <w:spacing w:val="0"/>
        </w:rPr>
        <w:t>)</w:t>
      </w:r>
      <w:r w:rsidRPr="005F6ECD" w:rsidR="001404BA">
        <w:rPr>
          <w:spacing w:val="0"/>
        </w:rPr>
        <w:t xml:space="preserve">. The reporting burden for </w:t>
      </w:r>
      <w:r w:rsidRPr="005F6ECD">
        <w:rPr>
          <w:spacing w:val="0"/>
        </w:rPr>
        <w:t xml:space="preserve">this form is approved under OMB Control Number 0584-0594, Food Programs Reporting System (FPRS), expiration date: </w:t>
      </w:r>
      <w:r w:rsidRPr="005F6ECD" w:rsidR="00350826">
        <w:rPr>
          <w:spacing w:val="0"/>
        </w:rPr>
        <w:t>0</w:t>
      </w:r>
      <w:r w:rsidRPr="005F6ECD">
        <w:rPr>
          <w:spacing w:val="0"/>
        </w:rPr>
        <w:t>9/30/2026.</w:t>
      </w:r>
    </w:p>
    <w:p w:rsidR="00C35ADB" w:rsidRPr="005F6ECD" w:rsidP="00FE7C15" w14:paraId="4FDD3366" w14:textId="1F7BE14D">
      <w:pPr>
        <w:spacing w:after="240" w:line="480" w:lineRule="auto"/>
      </w:pPr>
      <w:r>
        <w:t>FNA</w:t>
      </w:r>
      <w:r w:rsidRPr="005F6ECD" w:rsidR="00C24373">
        <w:t xml:space="preserve"> uses the information collected </w:t>
      </w:r>
      <w:r w:rsidRPr="005F6ECD" w:rsidR="008C6CE6">
        <w:t>from State agencies</w:t>
      </w:r>
      <w:r w:rsidRPr="005F6ECD" w:rsidR="00FC4118">
        <w:t xml:space="preserve"> t</w:t>
      </w:r>
      <w:r w:rsidRPr="005F6ECD" w:rsidR="00C24373">
        <w:t xml:space="preserve">o </w:t>
      </w:r>
      <w:r w:rsidRPr="005F6ECD" w:rsidR="00262B64">
        <w:t xml:space="preserve">efficiently </w:t>
      </w:r>
      <w:r w:rsidRPr="005F6ECD" w:rsidR="0089661E">
        <w:t>manage</w:t>
      </w:r>
      <w:r w:rsidRPr="005F6ECD" w:rsidR="0016032C">
        <w:t xml:space="preserve"> </w:t>
      </w:r>
      <w:r w:rsidRPr="005F6ECD" w:rsidR="00D341C8">
        <w:t xml:space="preserve">SFMNP </w:t>
      </w:r>
      <w:r w:rsidRPr="005F6ECD" w:rsidR="0089661E">
        <w:t xml:space="preserve">operations. </w:t>
      </w:r>
      <w:r w:rsidRPr="005F6ECD" w:rsidR="0016032C">
        <w:t xml:space="preserve">For example, </w:t>
      </w:r>
      <w:r>
        <w:t>FNA</w:t>
      </w:r>
      <w:r w:rsidRPr="005F6ECD" w:rsidR="008C6CE6">
        <w:t xml:space="preserve"> </w:t>
      </w:r>
      <w:r w:rsidRPr="005F6ECD" w:rsidR="00D341C8">
        <w:t>assess</w:t>
      </w:r>
      <w:r w:rsidRPr="005F6ECD" w:rsidR="008C6CE6">
        <w:t>es</w:t>
      </w:r>
      <w:r w:rsidRPr="005F6ECD" w:rsidR="00D341C8">
        <w:t xml:space="preserve"> how each SFMNP State agency operates; </w:t>
      </w:r>
      <w:r w:rsidRPr="005F6ECD" w:rsidR="009F1B46">
        <w:t xml:space="preserve">tracks </w:t>
      </w:r>
      <w:r w:rsidRPr="005F6ECD" w:rsidR="00D341C8">
        <w:t>levels of participation; ensure</w:t>
      </w:r>
      <w:r w:rsidRPr="005F6ECD" w:rsidR="009F1B46">
        <w:t>s</w:t>
      </w:r>
      <w:r w:rsidRPr="005F6ECD" w:rsidR="00D341C8">
        <w:t xml:space="preserve"> the accountability of State agencies, local agencies, and authorized outlets; make</w:t>
      </w:r>
      <w:r w:rsidRPr="005F6ECD" w:rsidR="009F1B46">
        <w:t>s</w:t>
      </w:r>
      <w:r w:rsidRPr="005F6ECD" w:rsidR="00D341C8">
        <w:t xml:space="preserve"> program management decisions; and report</w:t>
      </w:r>
      <w:r w:rsidRPr="005F6ECD" w:rsidR="009F1B46">
        <w:t>s</w:t>
      </w:r>
      <w:r w:rsidRPr="005F6ECD" w:rsidR="00D341C8">
        <w:t xml:space="preserve"> to Congress</w:t>
      </w:r>
      <w:r w:rsidRPr="005F6ECD" w:rsidR="0097453B">
        <w:t>,</w:t>
      </w:r>
      <w:r w:rsidRPr="005F6ECD" w:rsidR="00D341C8">
        <w:t xml:space="preserve"> as needed</w:t>
      </w:r>
      <w:r w:rsidRPr="005F6ECD" w:rsidR="0097453B">
        <w:t>,</w:t>
      </w:r>
      <w:r w:rsidRPr="005F6ECD" w:rsidR="009F1B46">
        <w:t xml:space="preserve"> using this information</w:t>
      </w:r>
      <w:r w:rsidRPr="005F6ECD" w:rsidR="00D341C8">
        <w:t xml:space="preserve">. </w:t>
      </w:r>
    </w:p>
    <w:p w:rsidR="00585401" w:rsidP="002A65CF" w14:paraId="645467BA" w14:textId="20FF6084">
      <w:pPr>
        <w:spacing w:after="240" w:line="480" w:lineRule="auto"/>
      </w:pPr>
      <w:r>
        <w:t xml:space="preserve">State agencies are responsible for collecting information </w:t>
      </w:r>
      <w:r w:rsidR="001F3F10">
        <w:t xml:space="preserve">from participants, authorized outlets, and local agencies through State agency-developed forms or </w:t>
      </w:r>
      <w:r>
        <w:t xml:space="preserve">an electronic </w:t>
      </w:r>
      <w:r w:rsidR="001F3F10">
        <w:t xml:space="preserve">Management Information System (MIS). </w:t>
      </w:r>
      <w:r w:rsidR="00C24373">
        <w:t xml:space="preserve">Each State agency </w:t>
      </w:r>
      <w:r w:rsidR="001F3F10">
        <w:t>also</w:t>
      </w:r>
      <w:r w:rsidR="00C24373">
        <w:t xml:space="preserve"> </w:t>
      </w:r>
      <w:r w:rsidR="00A96660">
        <w:t>uses</w:t>
      </w:r>
      <w:r w:rsidR="00C24373">
        <w:t xml:space="preserve"> a financial management system to document </w:t>
      </w:r>
      <w:r w:rsidR="007E527D">
        <w:t>procedures for obligating funds</w:t>
      </w:r>
      <w:r w:rsidR="00C24373">
        <w:t xml:space="preserve">. </w:t>
      </w:r>
      <w:r w:rsidR="00C35ADB">
        <w:t>State agencies use the information collected to assess applicants’ eligibility</w:t>
      </w:r>
      <w:r w:rsidR="0097453B">
        <w:t>;</w:t>
      </w:r>
      <w:r w:rsidR="00C35ADB">
        <w:t xml:space="preserve"> to authorize outlets</w:t>
      </w:r>
      <w:r w:rsidR="0097453B">
        <w:t>;</w:t>
      </w:r>
      <w:r w:rsidR="00C35ADB">
        <w:t xml:space="preserve"> to administer, operate, and monitor the program</w:t>
      </w:r>
      <w:r w:rsidR="0097453B">
        <w:t>;</w:t>
      </w:r>
      <w:r w:rsidR="00C35ADB">
        <w:t xml:space="preserve"> and to report on operations to </w:t>
      </w:r>
      <w:r w:rsidR="0067105A">
        <w:t>FNA</w:t>
      </w:r>
      <w:r w:rsidR="0097453B">
        <w:t>,</w:t>
      </w:r>
      <w:r w:rsidR="00C35ADB">
        <w:t xml:space="preserve"> as needed.  </w:t>
      </w:r>
    </w:p>
    <w:p w:rsidR="00921CF7" w:rsidP="008D2C53" w14:paraId="61267463" w14:textId="51C19404">
      <w:pPr>
        <w:spacing w:after="240" w:line="480" w:lineRule="auto"/>
      </w:pPr>
      <w:r>
        <w:t xml:space="preserve">A State agency may delegate information collection activities that include participant certification information and nutrition education documentation to local agencies. For </w:t>
      </w:r>
      <w:r w:rsidR="00262B64">
        <w:t xml:space="preserve">a </w:t>
      </w:r>
      <w:r>
        <w:t>State or local agency to determine an applicant’s eligibility for participation in SFMNP, applicants are required to provide proof of income, categorical eligibility</w:t>
      </w:r>
      <w:r w:rsidR="00DE3103">
        <w:t xml:space="preserve">, and at the </w:t>
      </w:r>
      <w:r w:rsidR="00537BAE">
        <w:t xml:space="preserve">discretion of the State </w:t>
      </w:r>
      <w:r w:rsidR="00537BAE">
        <w:t>agency, residency</w:t>
      </w:r>
      <w:r>
        <w:t xml:space="preserve">. </w:t>
      </w:r>
    </w:p>
    <w:p w:rsidR="008D2C53" w:rsidP="008D2C53" w14:paraId="509A76AB" w14:textId="14CDD62B">
      <w:pPr>
        <w:spacing w:after="240" w:line="480" w:lineRule="auto"/>
      </w:pPr>
      <w:r>
        <w:t>T</w:t>
      </w:r>
      <w:r w:rsidR="00585401">
        <w:t xml:space="preserve">o ensure that outlets </w:t>
      </w:r>
      <w:r w:rsidR="00D86306">
        <w:t xml:space="preserve">accepting SFMNP benefits </w:t>
      </w:r>
      <w:r w:rsidR="00F35D1E">
        <w:t>operate</w:t>
      </w:r>
      <w:r w:rsidR="002F4592">
        <w:t xml:space="preserve"> in accordance with program rules, </w:t>
      </w:r>
      <w:r w:rsidR="00D86306">
        <w:t>they</w:t>
      </w:r>
      <w:r w:rsidR="00C24373">
        <w:t xml:space="preserve"> are required to </w:t>
      </w:r>
      <w:r w:rsidR="00C24373">
        <w:t>submit an application</w:t>
      </w:r>
      <w:r w:rsidR="00C24373">
        <w:t xml:space="preserve"> </w:t>
      </w:r>
      <w:r w:rsidR="00803C68">
        <w:t>and</w:t>
      </w:r>
      <w:r w:rsidR="00C24373">
        <w:t xml:space="preserve"> participate in training provided by the State agency</w:t>
      </w:r>
      <w:r w:rsidR="00803C68">
        <w:t>. Authorized outlets also</w:t>
      </w:r>
      <w:r w:rsidR="00C24373">
        <w:t xml:space="preserve"> perform coupon or electronic benefit reimbursement responsibilities</w:t>
      </w:r>
      <w:r w:rsidR="00803C68">
        <w:t xml:space="preserve"> to receive payment </w:t>
      </w:r>
      <w:r w:rsidR="000117DC">
        <w:t>for their SFMNP sales</w:t>
      </w:r>
      <w:r w:rsidR="00C24373">
        <w:t xml:space="preserve">. </w:t>
      </w:r>
    </w:p>
    <w:p w:rsidR="007B5CA6" w:rsidP="00F35D1E" w14:paraId="5B72082B" w14:textId="4BC19454">
      <w:pPr>
        <w:spacing w:after="240" w:line="480" w:lineRule="auto"/>
      </w:pPr>
      <w:r w:rsidRPr="00D743E5">
        <w:rPr>
          <w:bCs/>
        </w:rPr>
        <w:t xml:space="preserve">Information related to this burden may be made available to the Government Accountability Office (GAO) or Congressional offices upon request. The information may also be made available to private contractors conducting research for </w:t>
      </w:r>
      <w:r w:rsidR="00DC63B0">
        <w:rPr>
          <w:bCs/>
        </w:rPr>
        <w:t>FNA</w:t>
      </w:r>
      <w:r w:rsidRPr="00D743E5">
        <w:rPr>
          <w:bCs/>
        </w:rPr>
        <w:t>. The information may subsequently be made public when the reports developed by the contractors are issued. To protect the privacy of participants and outlets, information made available to the public is provided only in aggregate form without identifying individual participants or authorized outlets</w:t>
      </w:r>
      <w:r w:rsidRPr="00D743E5" w:rsidR="006964B5">
        <w:rPr>
          <w:bCs/>
        </w:rPr>
        <w:t xml:space="preserve"> (see question A10 for additional details on </w:t>
      </w:r>
      <w:r w:rsidR="004053EF">
        <w:rPr>
          <w:bCs/>
        </w:rPr>
        <w:t>privacy</w:t>
      </w:r>
      <w:r w:rsidRPr="00D743E5" w:rsidR="006964B5">
        <w:rPr>
          <w:bCs/>
        </w:rPr>
        <w:t>)</w:t>
      </w:r>
      <w:r w:rsidRPr="00D743E5">
        <w:rPr>
          <w:bCs/>
        </w:rPr>
        <w:t>.</w:t>
      </w:r>
    </w:p>
    <w:p w:rsidR="00A308DB" w:rsidRPr="002568E6" w:rsidP="0062567E" w14:paraId="03E0F660" w14:textId="77777777">
      <w:pPr>
        <w:pStyle w:val="Heading1"/>
        <w:rPr>
          <w:szCs w:val="24"/>
        </w:rPr>
      </w:pPr>
      <w:bookmarkStart w:id="5" w:name="_Toc401831359"/>
      <w:bookmarkStart w:id="6" w:name="_Toc224640026"/>
      <w:r w:rsidRPr="002568E6">
        <w:rPr>
          <w:szCs w:val="24"/>
        </w:rPr>
        <w:t xml:space="preserve">A3.  </w:t>
      </w:r>
      <w:r w:rsidRPr="002568E6" w:rsidR="00831EA7">
        <w:rPr>
          <w:szCs w:val="24"/>
        </w:rPr>
        <w:t xml:space="preserve">Use of </w:t>
      </w:r>
      <w:r w:rsidRPr="002568E6" w:rsidR="00826253">
        <w:rPr>
          <w:szCs w:val="24"/>
        </w:rPr>
        <w:t>i</w:t>
      </w:r>
      <w:r w:rsidRPr="002568E6" w:rsidR="00831EA7">
        <w:rPr>
          <w:szCs w:val="24"/>
        </w:rPr>
        <w:t xml:space="preserve">nformation </w:t>
      </w:r>
      <w:r w:rsidRPr="002568E6" w:rsidR="00826253">
        <w:rPr>
          <w:szCs w:val="24"/>
        </w:rPr>
        <w:t>t</w:t>
      </w:r>
      <w:r w:rsidRPr="002568E6" w:rsidR="00831EA7">
        <w:rPr>
          <w:szCs w:val="24"/>
        </w:rPr>
        <w:t xml:space="preserve">echnology and </w:t>
      </w:r>
      <w:r w:rsidRPr="002568E6" w:rsidR="00826253">
        <w:rPr>
          <w:szCs w:val="24"/>
        </w:rPr>
        <w:t>b</w:t>
      </w:r>
      <w:r w:rsidRPr="002568E6" w:rsidR="00831EA7">
        <w:rPr>
          <w:szCs w:val="24"/>
        </w:rPr>
        <w:t xml:space="preserve">urden </w:t>
      </w:r>
      <w:r w:rsidRPr="002568E6" w:rsidR="00826253">
        <w:rPr>
          <w:szCs w:val="24"/>
        </w:rPr>
        <w:t>r</w:t>
      </w:r>
      <w:r w:rsidRPr="002568E6" w:rsidR="00831EA7">
        <w:rPr>
          <w:szCs w:val="24"/>
        </w:rPr>
        <w:t>eduction</w:t>
      </w:r>
      <w:r w:rsidRPr="002568E6">
        <w:rPr>
          <w:szCs w:val="24"/>
        </w:rPr>
        <w:t>.</w:t>
      </w:r>
      <w:bookmarkEnd w:id="5"/>
      <w:bookmarkEnd w:id="6"/>
      <w:r w:rsidRPr="002568E6">
        <w:rPr>
          <w:szCs w:val="24"/>
        </w:rPr>
        <w:t xml:space="preserve">  </w:t>
      </w:r>
    </w:p>
    <w:p w:rsidR="003333DF" w:rsidRPr="002568E6" w14:paraId="03E0F661" w14:textId="77777777">
      <w:pPr>
        <w:tabs>
          <w:tab w:val="left" w:pos="0"/>
        </w:tabs>
        <w:suppressAutoHyphens/>
        <w:rPr>
          <w:szCs w:val="24"/>
        </w:rPr>
      </w:pPr>
    </w:p>
    <w:p w:rsidR="009E0731" w:rsidP="0062567E" w14:paraId="5FCD1E65" w14:textId="7F89E1E9">
      <w:pPr>
        <w:rPr>
          <w:b/>
          <w:szCs w:val="24"/>
        </w:rPr>
      </w:pPr>
      <w:r w:rsidRPr="002568E6">
        <w:rPr>
          <w:b/>
          <w:szCs w:val="24"/>
        </w:rPr>
        <w:t xml:space="preserve">Describe whether, and to what extent, the collection of information involves the use of </w:t>
      </w:r>
      <w:r w:rsidRPr="002568E6" w:rsidR="00542C4F">
        <w:rPr>
          <w:b/>
          <w:szCs w:val="24"/>
        </w:rPr>
        <w:t>automated, electronic, mechanical, or other technolog</w:t>
      </w:r>
      <w:r w:rsidRPr="002568E6">
        <w:rPr>
          <w:b/>
          <w:szCs w:val="24"/>
        </w:rPr>
        <w:t>ical collection techniques or oth</w:t>
      </w:r>
      <w:r w:rsidRPr="002568E6" w:rsidR="00542C4F">
        <w:rPr>
          <w:b/>
          <w:szCs w:val="24"/>
        </w:rPr>
        <w:t>er forms of information technology, e.g., permitting electronic sub</w:t>
      </w:r>
      <w:r w:rsidRPr="002568E6">
        <w:rPr>
          <w:b/>
          <w:szCs w:val="24"/>
        </w:rPr>
        <w:t xml:space="preserve">mission of responses, and the basis for the decision </w:t>
      </w:r>
      <w:r w:rsidRPr="002568E6" w:rsidR="00377009">
        <w:rPr>
          <w:b/>
          <w:szCs w:val="24"/>
        </w:rPr>
        <w:t>to adopt</w:t>
      </w:r>
      <w:r w:rsidRPr="002568E6">
        <w:rPr>
          <w:b/>
          <w:szCs w:val="24"/>
        </w:rPr>
        <w:t xml:space="preserve"> this means of co</w:t>
      </w:r>
      <w:r w:rsidRPr="002568E6" w:rsidR="00542C4F">
        <w:rPr>
          <w:b/>
          <w:szCs w:val="24"/>
        </w:rPr>
        <w:t>llection. Also describe any con</w:t>
      </w:r>
      <w:r w:rsidRPr="002568E6">
        <w:rPr>
          <w:b/>
          <w:szCs w:val="24"/>
        </w:rPr>
        <w:t>sideratio</w:t>
      </w:r>
      <w:r w:rsidRPr="002568E6" w:rsidR="00542C4F">
        <w:rPr>
          <w:b/>
          <w:szCs w:val="24"/>
        </w:rPr>
        <w:t>n of using information technology to reduce bur</w:t>
      </w:r>
      <w:r w:rsidRPr="002568E6">
        <w:rPr>
          <w:b/>
          <w:szCs w:val="24"/>
        </w:rPr>
        <w:t>den.</w:t>
      </w:r>
    </w:p>
    <w:p w:rsidR="00361146" w:rsidP="0062567E" w14:paraId="45E1B1C4" w14:textId="77777777">
      <w:pPr>
        <w:rPr>
          <w:b/>
          <w:szCs w:val="24"/>
        </w:rPr>
      </w:pPr>
    </w:p>
    <w:p w:rsidR="00B83CDF" w:rsidP="19534967" w14:paraId="620CFBCD" w14:textId="024AA2F1">
      <w:pPr>
        <w:suppressAutoHyphens/>
        <w:spacing w:after="240" w:line="480" w:lineRule="auto"/>
        <w:rPr>
          <w:rFonts w:cs="Arial"/>
          <w:lang w:val="en"/>
        </w:rPr>
      </w:pPr>
      <w:r>
        <w:t>FNA</w:t>
      </w:r>
      <w:r w:rsidR="00C24373">
        <w:t xml:space="preserve"> makes every effort to comply with the E-Government Act of 2002. Any information that must be submitted to </w:t>
      </w:r>
      <w:r>
        <w:t>FNA</w:t>
      </w:r>
      <w:r w:rsidR="00C24373">
        <w:t xml:space="preserve"> may be submitted via </w:t>
      </w:r>
      <w:hyperlink r:id="rId10" w:history="1">
        <w:r w:rsidRPr="4455514C" w:rsidR="00C24373">
          <w:rPr>
            <w:rStyle w:val="Hyperlink"/>
          </w:rPr>
          <w:t>PartnerWeb</w:t>
        </w:r>
      </w:hyperlink>
      <w:r w:rsidR="00C24373">
        <w:t xml:space="preserve">, a web-based </w:t>
      </w:r>
      <w:r w:rsidR="004053EF">
        <w:t xml:space="preserve">platform </w:t>
      </w:r>
      <w:r w:rsidR="00C24373">
        <w:t xml:space="preserve">that allows users to share and access information. </w:t>
      </w:r>
      <w:r w:rsidR="00613D34">
        <w:t>One hundred</w:t>
      </w:r>
      <w:r w:rsidR="00C24373">
        <w:t xml:space="preserve"> percent of State agencies choose </w:t>
      </w:r>
      <w:r w:rsidR="53955452">
        <w:t xml:space="preserve">to use </w:t>
      </w:r>
      <w:r w:rsidR="00C24373">
        <w:t>PartnerWeb</w:t>
      </w:r>
      <w:r w:rsidR="00C24373">
        <w:t xml:space="preserve">. </w:t>
      </w:r>
      <w:r w:rsidR="52593A43">
        <w:t xml:space="preserve">However, </w:t>
      </w:r>
      <w:r w:rsidR="795AFFD9">
        <w:t>t</w:t>
      </w:r>
      <w:r w:rsidR="00C24373">
        <w:t xml:space="preserve">hose with limited access to or familiarity with technology </w:t>
      </w:r>
      <w:r w:rsidR="006D31B9">
        <w:t>also</w:t>
      </w:r>
      <w:r w:rsidR="2A0864F6">
        <w:t xml:space="preserve"> have the option to</w:t>
      </w:r>
      <w:r w:rsidR="00CF3896">
        <w:t xml:space="preserve"> submit</w:t>
      </w:r>
      <w:r w:rsidR="2B12FA3D">
        <w:t xml:space="preserve"> information</w:t>
      </w:r>
      <w:r w:rsidR="00CF3896">
        <w:t xml:space="preserve"> via email,</w:t>
      </w:r>
      <w:r w:rsidR="006D31B9">
        <w:t xml:space="preserve"> </w:t>
      </w:r>
      <w:r w:rsidR="00C24373">
        <w:t>mail</w:t>
      </w:r>
      <w:r w:rsidR="1DF9E78C">
        <w:t>,</w:t>
      </w:r>
      <w:r w:rsidR="00C24373">
        <w:t xml:space="preserve"> or fax. </w:t>
      </w:r>
      <w:bookmarkStart w:id="7" w:name="_Hlk214517571"/>
    </w:p>
    <w:bookmarkEnd w:id="7"/>
    <w:p w:rsidR="00BA3F1D" w:rsidRPr="00B83CDF" w:rsidP="00B83CDF" w14:paraId="616EDCF8" w14:textId="65650695">
      <w:pPr>
        <w:tabs>
          <w:tab w:val="left" w:pos="0"/>
        </w:tabs>
        <w:suppressAutoHyphens/>
        <w:spacing w:line="480" w:lineRule="auto"/>
        <w:rPr>
          <w:rFonts w:cs="Arial"/>
          <w:lang w:val="en"/>
        </w:rPr>
      </w:pPr>
      <w:r>
        <w:t>FNA</w:t>
      </w:r>
      <w:r w:rsidR="00C24373">
        <w:t xml:space="preserve"> encourages its </w:t>
      </w:r>
      <w:r w:rsidR="00C24373">
        <w:t>State</w:t>
      </w:r>
      <w:r w:rsidR="00C24373">
        <w:t xml:space="preserve"> agency partners to offer electronic </w:t>
      </w:r>
      <w:r w:rsidR="00F23733">
        <w:t>submissions</w:t>
      </w:r>
      <w:r w:rsidR="00C24373">
        <w:t xml:space="preserve">, or forms with fillable </w:t>
      </w:r>
      <w:r w:rsidR="00C24373">
        <w:t>formats, to</w:t>
      </w:r>
      <w:r w:rsidR="00AC791B">
        <w:t xml:space="preserve"> participants,</w:t>
      </w:r>
      <w:r w:rsidR="00C24373">
        <w:t xml:space="preserve"> local agencies</w:t>
      </w:r>
      <w:r w:rsidR="00AC791B">
        <w:t>,</w:t>
      </w:r>
      <w:r w:rsidR="00C24373">
        <w:t xml:space="preserve"> and authorized outlets whenever feasible. </w:t>
      </w:r>
      <w:r w:rsidR="00613D34">
        <w:t>B</w:t>
      </w:r>
      <w:r w:rsidR="00ED078D">
        <w:t>ecause many State agencies administer both</w:t>
      </w:r>
      <w:r w:rsidR="00B83CDF">
        <w:t xml:space="preserve"> </w:t>
      </w:r>
      <w:r w:rsidR="00ED078D">
        <w:t>SFMNP</w:t>
      </w:r>
      <w:r w:rsidR="00613D34">
        <w:t xml:space="preserve"> and WIC FMNP</w:t>
      </w:r>
      <w:r w:rsidR="00ED078D">
        <w:t xml:space="preserve">, </w:t>
      </w:r>
      <w:r>
        <w:t>FNA</w:t>
      </w:r>
      <w:r w:rsidR="00ED078D">
        <w:t xml:space="preserve"> expects </w:t>
      </w:r>
      <w:r w:rsidR="00BF0BB2">
        <w:t>t</w:t>
      </w:r>
      <w:r w:rsidR="00ED078D">
        <w:t xml:space="preserve">hat State agencies may leverage web-based platforms designed for </w:t>
      </w:r>
      <w:r w:rsidR="00F61D45">
        <w:t xml:space="preserve">reporting and recordkeeping purposes to </w:t>
      </w:r>
      <w:r w:rsidR="00E54CB0">
        <w:t xml:space="preserve">consolidate </w:t>
      </w:r>
      <w:r w:rsidR="00F61D45">
        <w:t>activities</w:t>
      </w:r>
      <w:r w:rsidR="004053EF">
        <w:t xml:space="preserve"> </w:t>
      </w:r>
      <w:r w:rsidR="00E54CB0">
        <w:t xml:space="preserve">across programs </w:t>
      </w:r>
      <w:r w:rsidR="004053EF">
        <w:t xml:space="preserve">such as </w:t>
      </w:r>
      <w:r w:rsidR="00C24373">
        <w:t xml:space="preserve">collecting certification data, documenting local agency nutrition education plans, and documenting monitoring visits to authorized outlets. </w:t>
      </w:r>
      <w:r w:rsidR="00BF0BB2">
        <w:t>Ongoing improvements in these systems at the State and local agency levels continue to reduce the time and effort required to collect and transmit data.</w:t>
      </w:r>
      <w:r w:rsidR="00AC791B">
        <w:t xml:space="preserve"> </w:t>
      </w:r>
    </w:p>
    <w:p w:rsidR="00F477F7" w:rsidP="00F477F7" w14:paraId="3C2EF4E3" w14:textId="26F223EE">
      <w:pPr>
        <w:spacing w:before="240" w:line="480" w:lineRule="auto"/>
      </w:pPr>
      <w:r>
        <w:t>Improved and extended use of automated approaches to program management and service delivery is a</w:t>
      </w:r>
      <w:r w:rsidR="00083CD3">
        <w:t>n</w:t>
      </w:r>
      <w:r>
        <w:t xml:space="preserve"> </w:t>
      </w:r>
      <w:r w:rsidR="50DB08DD">
        <w:t xml:space="preserve">SFMNP </w:t>
      </w:r>
      <w:r>
        <w:t xml:space="preserve">priority. </w:t>
      </w:r>
      <w:r w:rsidR="50DB08DD">
        <w:t xml:space="preserve">SFMNP </w:t>
      </w:r>
      <w:r>
        <w:t>benefits have historically been provided via coupons or checks, but State agencies are increasingly adopting electronic systems for issuing, transacting, and redeeming benefits. This allows authorized outlets to submit transactions for reimbursement electronically in State agencies using electronic benefit systems.</w:t>
      </w:r>
    </w:p>
    <w:p w:rsidR="00F477F7" w:rsidP="00F477F7" w14:paraId="70757903" w14:textId="61A52D83">
      <w:pPr>
        <w:spacing w:before="240" w:line="480" w:lineRule="auto"/>
      </w:pPr>
      <w:r>
        <w:t xml:space="preserve">Overall, </w:t>
      </w:r>
      <w:r w:rsidR="00DC63B0">
        <w:t>FNA</w:t>
      </w:r>
      <w:r>
        <w:t xml:space="preserve"> estimates that all State and local agency reporting and recordkeeping responses and electronic transaction records submitted for reimbursement by authorized outlets are collected electronically. </w:t>
      </w:r>
      <w:r w:rsidR="00AF006B">
        <w:t xml:space="preserve">No </w:t>
      </w:r>
      <w:r>
        <w:t xml:space="preserve">other responses from authorized outlets </w:t>
      </w:r>
      <w:r w:rsidR="00AF006B">
        <w:t xml:space="preserve">or </w:t>
      </w:r>
      <w:r>
        <w:t xml:space="preserve">participants are collected electronically. Out of the </w:t>
      </w:r>
      <w:r w:rsidR="00D86879">
        <w:t>2,6</w:t>
      </w:r>
      <w:r w:rsidRPr="00D86879" w:rsidR="00D86879">
        <w:t>82,072</w:t>
      </w:r>
      <w:r w:rsidRPr="00D86879">
        <w:t xml:space="preserve"> responses</w:t>
      </w:r>
      <w:r>
        <w:t xml:space="preserve"> for this collection, </w:t>
      </w:r>
      <w:r w:rsidR="00DC63B0">
        <w:t>FNA</w:t>
      </w:r>
      <w:r>
        <w:t xml:space="preserve"> estimates that </w:t>
      </w:r>
      <w:r w:rsidR="00122FDE">
        <w:t>1,716,220</w:t>
      </w:r>
      <w:r w:rsidR="4CA4225B">
        <w:t xml:space="preserve"> responses</w:t>
      </w:r>
      <w:r>
        <w:t xml:space="preserve"> (</w:t>
      </w:r>
      <w:r w:rsidR="00967E50">
        <w:t>1,708,253</w:t>
      </w:r>
      <w:r w:rsidR="44431F89">
        <w:t xml:space="preserve"> </w:t>
      </w:r>
      <w:r>
        <w:t xml:space="preserve">State and government local agency responses + </w:t>
      </w:r>
      <w:r w:rsidR="00AD733C">
        <w:t>7,800</w:t>
      </w:r>
      <w:r>
        <w:t xml:space="preserve"> authorized outlet responses + </w:t>
      </w:r>
      <w:r w:rsidR="00AD733C">
        <w:t xml:space="preserve">167 </w:t>
      </w:r>
      <w:r>
        <w:t xml:space="preserve">non-profit local </w:t>
      </w:r>
      <w:r w:rsidRPr="00AD733C">
        <w:t>agency responses) or 6</w:t>
      </w:r>
      <w:r w:rsidR="00894951">
        <w:t>3.99</w:t>
      </w:r>
      <w:r w:rsidR="00473E6A">
        <w:t xml:space="preserve"> percent</w:t>
      </w:r>
      <w:r w:rsidRPr="00AD733C">
        <w:t xml:space="preserve"> (</w:t>
      </w:r>
      <w:r w:rsidRPr="00BD415A" w:rsidR="00AD733C">
        <w:t>1,716,220</w:t>
      </w:r>
      <w:r w:rsidRPr="00BD415A" w:rsidR="00D86879">
        <w:t xml:space="preserve"> </w:t>
      </w:r>
      <w:r w:rsidRPr="00AD733C">
        <w:t>/</w:t>
      </w:r>
      <w:r w:rsidRPr="00BD415A" w:rsidR="00D86879">
        <w:t xml:space="preserve"> </w:t>
      </w:r>
      <w:r w:rsidRPr="00AD733C" w:rsidR="00D86879">
        <w:t>2,682,072</w:t>
      </w:r>
      <w:r w:rsidRPr="00AD733C" w:rsidR="2890C06B">
        <w:t xml:space="preserve"> </w:t>
      </w:r>
      <w:r w:rsidRPr="00AD733C">
        <w:t xml:space="preserve">total responses x 100 = </w:t>
      </w:r>
      <w:r w:rsidR="00894951">
        <w:t>63.99</w:t>
      </w:r>
      <w:r w:rsidRPr="00AD733C">
        <w:t>) will be collected</w:t>
      </w:r>
      <w:r>
        <w:t xml:space="preserve"> electronically.</w:t>
      </w:r>
    </w:p>
    <w:p w:rsidR="00F477F7" w:rsidRPr="008F0F38" w:rsidP="58476CA1" w14:paraId="48723A4A" w14:textId="49AF8234">
      <w:pPr>
        <w:tabs>
          <w:tab w:val="left" w:pos="0"/>
        </w:tabs>
        <w:suppressAutoHyphens/>
        <w:rPr>
          <w:b/>
          <w:bCs/>
        </w:rPr>
      </w:pPr>
    </w:p>
    <w:p w:rsidR="00A02C99" w:rsidRPr="002568E6" w:rsidP="00A02C99" w14:paraId="2E6A3467" w14:textId="77777777">
      <w:pPr>
        <w:pStyle w:val="Heading1"/>
        <w:rPr>
          <w:szCs w:val="24"/>
        </w:rPr>
      </w:pPr>
      <w:bookmarkStart w:id="8" w:name="_Toc224640027"/>
      <w:r w:rsidRPr="002568E6">
        <w:rPr>
          <w:szCs w:val="24"/>
        </w:rPr>
        <w:t xml:space="preserve">A4.  </w:t>
      </w:r>
      <w:r>
        <w:rPr>
          <w:szCs w:val="24"/>
        </w:rPr>
        <w:t>E</w:t>
      </w:r>
      <w:r w:rsidRPr="002568E6">
        <w:rPr>
          <w:szCs w:val="24"/>
        </w:rPr>
        <w:t>fforts to identify duplication.</w:t>
      </w:r>
      <w:bookmarkEnd w:id="8"/>
      <w:r w:rsidRPr="002568E6">
        <w:rPr>
          <w:szCs w:val="24"/>
        </w:rPr>
        <w:t xml:space="preserve"> </w:t>
      </w:r>
    </w:p>
    <w:p w:rsidR="00A02C99" w:rsidRPr="002568E6" w:rsidP="00A02C99" w14:paraId="3B69319A" w14:textId="77777777">
      <w:pPr>
        <w:tabs>
          <w:tab w:val="left" w:pos="0"/>
        </w:tabs>
        <w:suppressAutoHyphens/>
        <w:rPr>
          <w:szCs w:val="24"/>
        </w:rPr>
      </w:pPr>
    </w:p>
    <w:p w:rsidR="00714259" w:rsidP="00714259" w14:paraId="250889CA" w14:textId="4E7108F6">
      <w:pPr>
        <w:tabs>
          <w:tab w:val="left" w:pos="0"/>
        </w:tabs>
        <w:suppressAutoHyphens/>
        <w:rPr>
          <w:b/>
          <w:szCs w:val="24"/>
        </w:rPr>
      </w:pPr>
      <w:r w:rsidRPr="002568E6">
        <w:rPr>
          <w:b/>
          <w:szCs w:val="24"/>
        </w:rPr>
        <w:t>Describe efforts to identify duplication. Show specifically why any similar information already available cannot be used or modified for use for the purposes described in Question 2.</w:t>
      </w:r>
    </w:p>
    <w:p w:rsidR="00714259" w:rsidP="00714259" w14:paraId="748BFA68" w14:textId="77777777">
      <w:pPr>
        <w:tabs>
          <w:tab w:val="left" w:pos="0"/>
        </w:tabs>
        <w:suppressAutoHyphens/>
        <w:rPr>
          <w:b/>
          <w:szCs w:val="24"/>
        </w:rPr>
      </w:pPr>
    </w:p>
    <w:p w:rsidR="008C0AE3" w:rsidRPr="00714259" w:rsidP="00734CFB" w14:paraId="50708FAB" w14:textId="29583A31">
      <w:pPr>
        <w:tabs>
          <w:tab w:val="left" w:pos="0"/>
        </w:tabs>
        <w:suppressAutoHyphens/>
        <w:spacing w:after="240" w:line="480" w:lineRule="auto"/>
      </w:pPr>
      <w:r>
        <w:t xml:space="preserve">Once OMB approves this information collection, </w:t>
      </w:r>
      <w:r w:rsidR="00DC63B0">
        <w:t>FNA</w:t>
      </w:r>
      <w:r>
        <w:t xml:space="preserve"> </w:t>
      </w:r>
      <w:r w:rsidR="00BA3884">
        <w:t xml:space="preserve">intends </w:t>
      </w:r>
      <w:r>
        <w:t xml:space="preserve">to </w:t>
      </w:r>
      <w:r w:rsidR="00772B8E">
        <w:t xml:space="preserve">merge </w:t>
      </w:r>
      <w:r>
        <w:t xml:space="preserve">it with the WIC FMNP ICR. </w:t>
      </w:r>
      <w:r w:rsidR="008F5905">
        <w:t>State agencies may jointly administer WIC FMNP and SFMNP</w:t>
      </w:r>
      <w:r w:rsidR="0002468A">
        <w:t xml:space="preserve"> as a consolidated program. </w:t>
      </w:r>
      <w:r w:rsidR="00C1078B">
        <w:t xml:space="preserve">The two </w:t>
      </w:r>
      <w:r w:rsidR="0002468A">
        <w:t>programs have similar reporting and recordkeeping requirements</w:t>
      </w:r>
      <w:r w:rsidR="00C1078B">
        <w:t xml:space="preserve">, and </w:t>
      </w:r>
      <w:r w:rsidR="00DC63B0">
        <w:t>FNA</w:t>
      </w:r>
      <w:r w:rsidR="00EE01AC">
        <w:t xml:space="preserve"> </w:t>
      </w:r>
      <w:r w:rsidR="00C1078B">
        <w:t xml:space="preserve">believes that combining the </w:t>
      </w:r>
      <w:r w:rsidR="009A003B">
        <w:t>two</w:t>
      </w:r>
      <w:r w:rsidR="00C24373">
        <w:t xml:space="preserve"> ICRs </w:t>
      </w:r>
      <w:r w:rsidR="00C1078B">
        <w:t xml:space="preserve">will eliminate </w:t>
      </w:r>
      <w:r w:rsidR="00C24373">
        <w:t>duplicative reporting of requirements</w:t>
      </w:r>
      <w:r w:rsidR="004E362F">
        <w:t xml:space="preserve"> which </w:t>
      </w:r>
      <w:r w:rsidR="00461CF6">
        <w:t>has occurred</w:t>
      </w:r>
      <w:r w:rsidR="004E362F">
        <w:t xml:space="preserve"> while</w:t>
      </w:r>
      <w:r w:rsidR="00461CF6">
        <w:t xml:space="preserve"> both</w:t>
      </w:r>
      <w:r w:rsidR="004E362F">
        <w:t xml:space="preserve"> OMB </w:t>
      </w:r>
      <w:r w:rsidR="008D6FCE">
        <w:t>Control N</w:t>
      </w:r>
      <w:r w:rsidR="004E362F">
        <w:t>umber</w:t>
      </w:r>
      <w:r w:rsidR="00461CF6">
        <w:t>s</w:t>
      </w:r>
      <w:r w:rsidR="004E362F">
        <w:t xml:space="preserve"> 05</w:t>
      </w:r>
      <w:r w:rsidR="00461CF6">
        <w:t>8</w:t>
      </w:r>
      <w:r w:rsidR="004E362F">
        <w:t xml:space="preserve">4-0541 </w:t>
      </w:r>
      <w:r w:rsidR="00461CF6">
        <w:t xml:space="preserve">and 0584-0447 </w:t>
      </w:r>
      <w:r w:rsidR="0059277C">
        <w:t xml:space="preserve">are </w:t>
      </w:r>
      <w:r w:rsidR="00D857EF">
        <w:t>active</w:t>
      </w:r>
      <w:r w:rsidR="00C24373">
        <w:t xml:space="preserve">. </w:t>
      </w:r>
    </w:p>
    <w:p w:rsidR="0071545F" w:rsidP="0071545F" w14:paraId="1A5D9249" w14:textId="3FB23B35">
      <w:pPr>
        <w:spacing w:after="240" w:line="480" w:lineRule="auto"/>
      </w:pPr>
      <w:r>
        <w:t>In addition to the information collections covered under OMB Control Number 0584-0541,</w:t>
      </w:r>
      <w:r w:rsidR="00060A36">
        <w:t xml:space="preserve"> </w:t>
      </w:r>
      <w:r>
        <w:t xml:space="preserve">several other information collections </w:t>
      </w:r>
      <w:r w:rsidR="00060A36">
        <w:t xml:space="preserve">cover </w:t>
      </w:r>
      <w:r>
        <w:t>SFMNP</w:t>
      </w:r>
      <w:r w:rsidR="00060A36">
        <w:t>-related submissions</w:t>
      </w:r>
      <w:r w:rsidR="00126054">
        <w:t>.</w:t>
      </w:r>
      <w:r w:rsidR="00DB24C2">
        <w:t xml:space="preserve"> As noted in A2, the </w:t>
      </w:r>
      <w:r w:rsidR="00DB24C2">
        <w:t>WiSP</w:t>
      </w:r>
      <w:r w:rsidR="00DB24C2">
        <w:t xml:space="preserve"> application and the FNS-683A</w:t>
      </w:r>
      <w:r w:rsidR="00855B92">
        <w:t xml:space="preserve"> both intersect with this ICR. </w:t>
      </w:r>
      <w:r w:rsidR="00CE3064">
        <w:t xml:space="preserve">SFMNP State agencies are </w:t>
      </w:r>
      <w:r w:rsidR="007F5B21">
        <w:t xml:space="preserve">also </w:t>
      </w:r>
      <w:r w:rsidR="00CE3064">
        <w:t>required to submit the</w:t>
      </w:r>
      <w:r w:rsidR="00A60F5D">
        <w:t xml:space="preserve"> Federal-State Supplemental Nutrition Programs Agreement</w:t>
      </w:r>
      <w:r w:rsidR="00CE3064">
        <w:t xml:space="preserve"> </w:t>
      </w:r>
      <w:r w:rsidR="00A60F5D">
        <w:t>(</w:t>
      </w:r>
      <w:r w:rsidR="00CE3064">
        <w:t>FNS-339) to receive federal funds</w:t>
      </w:r>
      <w:r w:rsidR="008641C0">
        <w:t xml:space="preserve">, which is covered under OMB Control Number </w:t>
      </w:r>
      <w:r w:rsidR="008050D8">
        <w:t>0584-0332</w:t>
      </w:r>
      <w:r w:rsidR="008641C0">
        <w:t xml:space="preserve">, expiration date: </w:t>
      </w:r>
      <w:r w:rsidR="00A60F5D">
        <w:t>0</w:t>
      </w:r>
      <w:r w:rsidR="008050D8">
        <w:t>8/31/2028</w:t>
      </w:r>
      <w:r w:rsidR="008641C0">
        <w:t xml:space="preserve">. </w:t>
      </w:r>
      <w:r w:rsidR="000268AD">
        <w:t xml:space="preserve">Each of these ICRs covers distinct SFMNP </w:t>
      </w:r>
      <w:r w:rsidR="00114D03">
        <w:t>activities</w:t>
      </w:r>
      <w:r w:rsidR="000268AD">
        <w:t xml:space="preserve">. </w:t>
      </w:r>
      <w:r w:rsidR="00DC63B0">
        <w:t>FNA</w:t>
      </w:r>
      <w:r w:rsidR="008C0AE3">
        <w:t xml:space="preserve"> </w:t>
      </w:r>
      <w:r w:rsidR="00C6348D">
        <w:t xml:space="preserve">strives to avoid duplication across </w:t>
      </w:r>
      <w:r w:rsidR="008641C0">
        <w:t>information collections</w:t>
      </w:r>
      <w:r>
        <w:t xml:space="preserve">. </w:t>
      </w:r>
    </w:p>
    <w:p w:rsidR="00A02C99" w:rsidRPr="002568E6" w:rsidP="00A02C99" w14:paraId="6C189AFB" w14:textId="77777777">
      <w:pPr>
        <w:pStyle w:val="Heading1"/>
        <w:rPr>
          <w:szCs w:val="24"/>
        </w:rPr>
      </w:pPr>
      <w:bookmarkStart w:id="9" w:name="_Toc224640028"/>
      <w:r w:rsidRPr="002568E6">
        <w:rPr>
          <w:szCs w:val="24"/>
        </w:rPr>
        <w:t>A5.  Impacts on small businesses or other small entities.</w:t>
      </w:r>
      <w:bookmarkEnd w:id="9"/>
      <w:r w:rsidRPr="002568E6">
        <w:rPr>
          <w:szCs w:val="24"/>
        </w:rPr>
        <w:t xml:space="preserve">  </w:t>
      </w:r>
    </w:p>
    <w:p w:rsidR="00A02C99" w:rsidRPr="002568E6" w:rsidP="00A02C99" w14:paraId="06FE7BAF" w14:textId="77777777">
      <w:pPr>
        <w:tabs>
          <w:tab w:val="left" w:pos="0"/>
        </w:tabs>
        <w:suppressAutoHyphens/>
        <w:rPr>
          <w:szCs w:val="24"/>
        </w:rPr>
      </w:pPr>
    </w:p>
    <w:p w:rsidR="00A02C99" w:rsidP="00361146" w14:paraId="2CFEEF14" w14:textId="77777777">
      <w:pPr>
        <w:tabs>
          <w:tab w:val="left" w:pos="0"/>
        </w:tabs>
        <w:suppressAutoHyphens/>
        <w:rPr>
          <w:b/>
          <w:szCs w:val="24"/>
        </w:rPr>
      </w:pPr>
      <w:r w:rsidRPr="002568E6">
        <w:rPr>
          <w:b/>
          <w:szCs w:val="24"/>
        </w:rPr>
        <w:t>If the collection of information impacts small businesses or other small entities (Item 5 of OMB Form 83-I), describe any methods used to minimize burden</w:t>
      </w:r>
      <w:r w:rsidR="003017DC">
        <w:rPr>
          <w:b/>
          <w:szCs w:val="24"/>
        </w:rPr>
        <w:t>.</w:t>
      </w:r>
    </w:p>
    <w:p w:rsidR="00EE2AF3" w:rsidRPr="00E25FFD" w:rsidP="00295B37" w14:paraId="5D382772" w14:textId="610BB273">
      <w:pPr>
        <w:spacing w:before="240" w:line="480" w:lineRule="auto"/>
      </w:pPr>
      <w:r>
        <w:t>T</w:t>
      </w:r>
      <w:r w:rsidR="00C24373">
        <w:t xml:space="preserve">he requirements for this information collection do not adversely </w:t>
      </w:r>
      <w:r w:rsidR="00C24373">
        <w:t>impact</w:t>
      </w:r>
      <w:r w:rsidR="00C24373">
        <w:t xml:space="preserve"> small businesses or other small entities. </w:t>
      </w:r>
      <w:r w:rsidR="00DC63B0">
        <w:t>FNA</w:t>
      </w:r>
      <w:r w:rsidR="00C24373">
        <w:t xml:space="preserve"> estimates that approximately 100</w:t>
      </w:r>
      <w:r w:rsidR="00301531">
        <w:t xml:space="preserve"> percent</w:t>
      </w:r>
      <w:r w:rsidR="00C24373">
        <w:t xml:space="preserve"> of the </w:t>
      </w:r>
      <w:r w:rsidR="00E16366">
        <w:t>18,991</w:t>
      </w:r>
      <w:r w:rsidR="00C24373">
        <w:t xml:space="preserve"> SFMNP authorized outlets are small businesses. Therefore, approximately </w:t>
      </w:r>
      <w:r w:rsidRPr="006C5D22" w:rsidR="00E16366">
        <w:t>2.2</w:t>
      </w:r>
      <w:r w:rsidR="00332B8D">
        <w:t>1</w:t>
      </w:r>
      <w:r w:rsidR="00301531">
        <w:t xml:space="preserve"> percent</w:t>
      </w:r>
      <w:r w:rsidRPr="001D1C01" w:rsidR="00C24373">
        <w:t xml:space="preserve"> of the </w:t>
      </w:r>
      <w:r w:rsidRPr="001D1C01">
        <w:t>858,</w:t>
      </w:r>
      <w:r>
        <w:t>570</w:t>
      </w:r>
      <w:r w:rsidR="00C24373">
        <w:t xml:space="preserve"> total respondents are small businesses. However, this information collection does not impose a significant economic impact on the</w:t>
      </w:r>
      <w:r w:rsidR="00295B37">
        <w:t>se s</w:t>
      </w:r>
      <w:r w:rsidR="00C24373">
        <w:t>m</w:t>
      </w:r>
      <w:r w:rsidR="00295B37">
        <w:t>all businesses</w:t>
      </w:r>
      <w:r w:rsidR="00C24373">
        <w:t xml:space="preserve"> and is a necessary component of </w:t>
      </w:r>
      <w:r w:rsidR="00301531">
        <w:t xml:space="preserve">being authorized </w:t>
      </w:r>
      <w:r w:rsidR="00C24373">
        <w:t xml:space="preserve">to participate in this program. </w:t>
      </w:r>
      <w:r w:rsidR="00E51BBA">
        <w:t>T</w:t>
      </w:r>
      <w:r w:rsidR="002B0AE7">
        <w:t>o minimize burden, many State agencies employ multiple forms of communication when collecting information from small businesses</w:t>
      </w:r>
      <w:r w:rsidR="0007651B">
        <w:t>,</w:t>
      </w:r>
      <w:r w:rsidR="002B0AE7">
        <w:t xml:space="preserve"> including </w:t>
      </w:r>
      <w:r w:rsidR="002B0AE7">
        <w:t>e</w:t>
      </w:r>
      <w:r w:rsidR="00AB3F2D">
        <w:t>mail</w:t>
      </w:r>
      <w:r w:rsidR="002B0AE7">
        <w:t xml:space="preserve">, internet portals that collect information through </w:t>
      </w:r>
      <w:r w:rsidR="0007651B">
        <w:t xml:space="preserve">a </w:t>
      </w:r>
      <w:r w:rsidR="002B0AE7">
        <w:t>website, and hard</w:t>
      </w:r>
      <w:r w:rsidR="00AB3F2D">
        <w:t>copy</w:t>
      </w:r>
      <w:r w:rsidR="002B0AE7">
        <w:t xml:space="preserve"> mail</w:t>
      </w:r>
      <w:r w:rsidR="0007651B">
        <w:t xml:space="preserve"> if needed</w:t>
      </w:r>
      <w:r w:rsidR="00D35710">
        <w:t>.</w:t>
      </w:r>
    </w:p>
    <w:p w:rsidR="003017DC" w:rsidP="58476CA1" w14:paraId="2D9FF264" w14:textId="75762E1B">
      <w:pPr>
        <w:tabs>
          <w:tab w:val="left" w:pos="0"/>
        </w:tabs>
        <w:suppressAutoHyphens/>
        <w:rPr>
          <w:b/>
          <w:bCs/>
        </w:rPr>
      </w:pPr>
    </w:p>
    <w:p w:rsidR="003017DC" w:rsidRPr="002568E6" w:rsidP="003017DC" w14:paraId="6C22B214" w14:textId="77777777">
      <w:pPr>
        <w:pStyle w:val="Heading1"/>
        <w:rPr>
          <w:szCs w:val="24"/>
        </w:rPr>
      </w:pPr>
      <w:bookmarkStart w:id="10" w:name="_Toc224640029"/>
      <w:r w:rsidRPr="002568E6">
        <w:rPr>
          <w:szCs w:val="24"/>
        </w:rPr>
        <w:t xml:space="preserve">A6.  Consequences of collecting </w:t>
      </w:r>
      <w:r w:rsidRPr="002568E6">
        <w:rPr>
          <w:szCs w:val="24"/>
        </w:rPr>
        <w:t>the information</w:t>
      </w:r>
      <w:r w:rsidRPr="002568E6">
        <w:rPr>
          <w:szCs w:val="24"/>
        </w:rPr>
        <w:t xml:space="preserve"> less frequently.</w:t>
      </w:r>
      <w:bookmarkEnd w:id="10"/>
      <w:r w:rsidRPr="002568E6">
        <w:rPr>
          <w:szCs w:val="24"/>
        </w:rPr>
        <w:t xml:space="preserve">  </w:t>
      </w:r>
    </w:p>
    <w:p w:rsidR="003017DC" w:rsidRPr="002568E6" w:rsidP="003017DC" w14:paraId="0A169B9C" w14:textId="77777777">
      <w:pPr>
        <w:tabs>
          <w:tab w:val="left" w:pos="0"/>
        </w:tabs>
        <w:suppressAutoHyphens/>
        <w:rPr>
          <w:szCs w:val="24"/>
        </w:rPr>
      </w:pPr>
    </w:p>
    <w:p w:rsidR="003017DC" w:rsidRPr="002568E6" w:rsidP="003017DC" w14:paraId="205C6A58" w14:textId="77777777">
      <w:pPr>
        <w:rPr>
          <w:b/>
          <w:szCs w:val="24"/>
        </w:rPr>
      </w:pPr>
      <w:r w:rsidRPr="002568E6">
        <w:rPr>
          <w:b/>
          <w:szCs w:val="24"/>
        </w:rPr>
        <w:t xml:space="preserve">Describe the </w:t>
      </w:r>
      <w:r w:rsidRPr="002568E6">
        <w:rPr>
          <w:b/>
          <w:szCs w:val="24"/>
        </w:rPr>
        <w:t>consequence</w:t>
      </w:r>
      <w:r w:rsidRPr="002568E6">
        <w:rPr>
          <w:b/>
          <w:szCs w:val="24"/>
        </w:rPr>
        <w:t xml:space="preserve"> </w:t>
      </w:r>
      <w:r w:rsidRPr="002568E6">
        <w:rPr>
          <w:b/>
          <w:szCs w:val="24"/>
        </w:rPr>
        <w:t>to</w:t>
      </w:r>
      <w:r w:rsidRPr="002568E6">
        <w:rPr>
          <w:b/>
          <w:szCs w:val="24"/>
        </w:rPr>
        <w:t xml:space="preserve"> Federal program or policy activities if the collection is not conducted, or is conducted less frequently, as well as any technical or legal obstacles to reducing burden.</w:t>
      </w:r>
    </w:p>
    <w:p w:rsidR="003017DC" w:rsidRPr="002568E6" w:rsidP="003017DC" w14:paraId="14686E10" w14:textId="77777777">
      <w:pPr>
        <w:tabs>
          <w:tab w:val="left" w:pos="-720"/>
        </w:tabs>
        <w:suppressAutoHyphens/>
        <w:rPr>
          <w:szCs w:val="24"/>
        </w:rPr>
      </w:pPr>
    </w:p>
    <w:p w:rsidR="00B325EB" w:rsidRPr="002568E6" w:rsidP="00301531" w14:paraId="55C32382" w14:textId="46D95BD5">
      <w:pPr>
        <w:tabs>
          <w:tab w:val="left" w:pos="-720"/>
        </w:tabs>
        <w:suppressAutoHyphens/>
        <w:spacing w:after="240" w:line="480" w:lineRule="auto"/>
        <w:rPr>
          <w:szCs w:val="24"/>
        </w:rPr>
      </w:pPr>
      <w:r w:rsidRPr="003173BF">
        <w:rPr>
          <w:szCs w:val="24"/>
        </w:rPr>
        <w:t>This is an information collection</w:t>
      </w:r>
      <w:r w:rsidR="00F9636C">
        <w:rPr>
          <w:szCs w:val="24"/>
        </w:rPr>
        <w:t xml:space="preserve"> </w:t>
      </w:r>
      <w:r w:rsidRPr="003173BF">
        <w:rPr>
          <w:szCs w:val="24"/>
        </w:rPr>
        <w:t>required by statute</w:t>
      </w:r>
      <w:r w:rsidR="00F93CF4">
        <w:rPr>
          <w:szCs w:val="24"/>
        </w:rPr>
        <w:t xml:space="preserve"> and regulation</w:t>
      </w:r>
      <w:r w:rsidRPr="003173BF">
        <w:rPr>
          <w:szCs w:val="24"/>
        </w:rPr>
        <w:t xml:space="preserve">, and which contains </w:t>
      </w:r>
      <w:r w:rsidR="00F80CA5">
        <w:rPr>
          <w:szCs w:val="24"/>
        </w:rPr>
        <w:t>activities</w:t>
      </w:r>
      <w:r w:rsidRPr="003173BF">
        <w:rPr>
          <w:szCs w:val="24"/>
        </w:rPr>
        <w:t xml:space="preserve"> to obtain or retain benefits and mandatory </w:t>
      </w:r>
      <w:r w:rsidR="00F80CA5">
        <w:rPr>
          <w:szCs w:val="24"/>
        </w:rPr>
        <w:t>activities</w:t>
      </w:r>
      <w:r w:rsidRPr="003173BF">
        <w:rPr>
          <w:szCs w:val="24"/>
        </w:rPr>
        <w:t>. The information is collected for the purpose of administering</w:t>
      </w:r>
      <w:r w:rsidR="000D06D4">
        <w:rPr>
          <w:szCs w:val="24"/>
        </w:rPr>
        <w:t xml:space="preserve"> an</w:t>
      </w:r>
      <w:r w:rsidRPr="003173BF">
        <w:rPr>
          <w:szCs w:val="24"/>
        </w:rPr>
        <w:t xml:space="preserve"> ongoing program.</w:t>
      </w:r>
      <w:r w:rsidR="003F7045">
        <w:rPr>
          <w:szCs w:val="24"/>
        </w:rPr>
        <w:t xml:space="preserve"> </w:t>
      </w:r>
      <w:r w:rsidR="008A2E40">
        <w:rPr>
          <w:szCs w:val="24"/>
        </w:rPr>
        <w:t>The majority of</w:t>
      </w:r>
      <w:r w:rsidR="008A2E40">
        <w:rPr>
          <w:szCs w:val="24"/>
        </w:rPr>
        <w:t xml:space="preserve"> </w:t>
      </w:r>
      <w:r w:rsidR="00F832F1">
        <w:rPr>
          <w:szCs w:val="24"/>
        </w:rPr>
        <w:t xml:space="preserve">the information is collected annually, with the following exceptions: </w:t>
      </w:r>
      <w:r w:rsidR="00F030C8">
        <w:rPr>
          <w:szCs w:val="24"/>
        </w:rPr>
        <w:t xml:space="preserve">local agency applications are completed every two years; farmer, farmers’ market, roadside stand, and CSA program applications are completed every three years; </w:t>
      </w:r>
      <w:r w:rsidR="004F6F28">
        <w:rPr>
          <w:szCs w:val="24"/>
        </w:rPr>
        <w:t xml:space="preserve">and authorized </w:t>
      </w:r>
      <w:r w:rsidR="000B33CD">
        <w:rPr>
          <w:szCs w:val="24"/>
        </w:rPr>
        <w:t>outlets</w:t>
      </w:r>
      <w:r w:rsidR="004F6F28">
        <w:rPr>
          <w:szCs w:val="24"/>
        </w:rPr>
        <w:t xml:space="preserve"> complete coupon and electronic reimbursement activities</w:t>
      </w:r>
      <w:r w:rsidR="00A95811">
        <w:rPr>
          <w:szCs w:val="24"/>
        </w:rPr>
        <w:t xml:space="preserve"> one-to-nine times, on average, each year</w:t>
      </w:r>
      <w:r w:rsidR="00F832F1">
        <w:rPr>
          <w:szCs w:val="24"/>
        </w:rPr>
        <w:t>.</w:t>
      </w:r>
      <w:r w:rsidR="00A95811">
        <w:rPr>
          <w:szCs w:val="24"/>
        </w:rPr>
        <w:t xml:space="preserve"> Authorized outlets are only required to submit coupons</w:t>
      </w:r>
      <w:r w:rsidR="00513169">
        <w:rPr>
          <w:szCs w:val="24"/>
        </w:rPr>
        <w:t>/electronic benefits</w:t>
      </w:r>
      <w:r w:rsidR="00A95811">
        <w:rPr>
          <w:szCs w:val="24"/>
        </w:rPr>
        <w:t xml:space="preserve"> for reimbursement </w:t>
      </w:r>
      <w:r w:rsidR="00513169">
        <w:rPr>
          <w:szCs w:val="24"/>
        </w:rPr>
        <w:t>by the annual deadline set by the State agency, but they often submit more frequently.</w:t>
      </w:r>
      <w:r w:rsidRPr="003173BF">
        <w:rPr>
          <w:szCs w:val="24"/>
        </w:rPr>
        <w:t xml:space="preserve"> If the information were collected less frequently, the efficiency, effectiveness, and integrity of the program could be jeopardized</w:t>
      </w:r>
      <w:r w:rsidR="00644DD9">
        <w:rPr>
          <w:szCs w:val="24"/>
        </w:rPr>
        <w:t xml:space="preserve"> because</w:t>
      </w:r>
      <w:r w:rsidRPr="003173BF">
        <w:rPr>
          <w:szCs w:val="24"/>
        </w:rPr>
        <w:t xml:space="preserve"> </w:t>
      </w:r>
      <w:r w:rsidR="00DC63B0">
        <w:rPr>
          <w:szCs w:val="24"/>
        </w:rPr>
        <w:t>FNA</w:t>
      </w:r>
      <w:r w:rsidRPr="003173BF">
        <w:rPr>
          <w:szCs w:val="24"/>
        </w:rPr>
        <w:t>’</w:t>
      </w:r>
      <w:r w:rsidR="00850B7D">
        <w:rPr>
          <w:szCs w:val="24"/>
        </w:rPr>
        <w:t>s</w:t>
      </w:r>
      <w:r w:rsidRPr="003173BF">
        <w:rPr>
          <w:szCs w:val="24"/>
        </w:rPr>
        <w:t xml:space="preserve"> ability to provide sufficient program oversight and detect violations in the use of federal funds could diminish greatly.    </w:t>
      </w:r>
    </w:p>
    <w:p w:rsidR="003017DC" w:rsidRPr="002568E6" w:rsidP="003017DC" w14:paraId="4956804B" w14:textId="77777777">
      <w:pPr>
        <w:pStyle w:val="Heading1"/>
        <w:rPr>
          <w:szCs w:val="24"/>
        </w:rPr>
      </w:pPr>
      <w:bookmarkStart w:id="11" w:name="_Toc224640030"/>
      <w:r w:rsidRPr="002568E6">
        <w:rPr>
          <w:szCs w:val="24"/>
        </w:rPr>
        <w:t>A7.  Special circumstances relating to the Guidelines of 5 CFR 1320.5.</w:t>
      </w:r>
      <w:bookmarkEnd w:id="11"/>
      <w:r w:rsidRPr="002568E6">
        <w:rPr>
          <w:szCs w:val="24"/>
        </w:rPr>
        <w:t xml:space="preserve">  </w:t>
      </w:r>
    </w:p>
    <w:p w:rsidR="003017DC" w:rsidRPr="002568E6" w:rsidP="003017DC" w14:paraId="1684925E" w14:textId="77777777">
      <w:pPr>
        <w:tabs>
          <w:tab w:val="left" w:pos="0"/>
        </w:tabs>
        <w:suppressAutoHyphens/>
        <w:rPr>
          <w:szCs w:val="24"/>
        </w:rPr>
      </w:pPr>
    </w:p>
    <w:p w:rsidR="003017DC" w:rsidRPr="002568E6" w:rsidP="003017DC" w14:paraId="76EFE0CF" w14:textId="77777777">
      <w:pPr>
        <w:widowControl/>
        <w:rPr>
          <w:b/>
          <w:szCs w:val="24"/>
        </w:rPr>
      </w:pPr>
      <w:r w:rsidRPr="002568E6">
        <w:rPr>
          <w:b/>
          <w:szCs w:val="24"/>
        </w:rPr>
        <w:t xml:space="preserve">Explain any special circumstances that would cause an information collection to be conducted in a manner: </w:t>
      </w:r>
    </w:p>
    <w:p w:rsidR="003017DC" w:rsidRPr="002568E6" w14:paraId="6B905C08"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 xml:space="preserve">Requiring respondents to report information to the agency more often than quarterly; </w:t>
      </w:r>
    </w:p>
    <w:p w:rsidR="003017DC" w:rsidRPr="002568E6" w14:paraId="1C27A268"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 xml:space="preserve">Requiring respondents to prepare a written response to a collection of information in fewer than 30 days after </w:t>
      </w:r>
      <w:r w:rsidRPr="002568E6">
        <w:rPr>
          <w:b/>
          <w:szCs w:val="24"/>
        </w:rPr>
        <w:t>receipt of</w:t>
      </w:r>
      <w:r w:rsidRPr="002568E6">
        <w:rPr>
          <w:b/>
          <w:szCs w:val="24"/>
        </w:rPr>
        <w:t xml:space="preserve"> it; </w:t>
      </w:r>
    </w:p>
    <w:p w:rsidR="003017DC" w:rsidRPr="002568E6" w14:paraId="378E413B"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 xml:space="preserve">Requiring respondents to submit more than an original and two copies of any document; </w:t>
      </w:r>
    </w:p>
    <w:p w:rsidR="003017DC" w14:paraId="676938EA"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Requiring respondents to retain records, other than health, medical, government contract, grant-in-aid, or tax records for more than three years;</w:t>
      </w:r>
    </w:p>
    <w:p w:rsidR="00C50378" w:rsidP="009C18FB" w14:paraId="0026F31A" w14:textId="77777777"/>
    <w:p w:rsidR="00C50378" w:rsidRPr="00C50378" w:rsidP="009C18FB" w14:paraId="121F854B" w14:textId="63766501">
      <w:pPr>
        <w:spacing w:line="480" w:lineRule="auto"/>
        <w:rPr>
          <w:bCs/>
        </w:rPr>
      </w:pPr>
      <w:r w:rsidRPr="009C18FB">
        <w:rPr>
          <w:bCs/>
        </w:rPr>
        <w:t xml:space="preserve">Under </w:t>
      </w:r>
      <w:r w:rsidR="00B45CCC">
        <w:rPr>
          <w:rStyle w:val="normaltextrun"/>
          <w:color w:val="000000"/>
          <w:bdr w:val="none" w:sz="0" w:space="0" w:color="auto" w:frame="1"/>
        </w:rPr>
        <w:t>7 CFR</w:t>
      </w:r>
      <w:r>
        <w:rPr>
          <w:rStyle w:val="normaltextrun"/>
          <w:color w:val="000000"/>
          <w:bdr w:val="none" w:sz="0" w:space="0" w:color="auto" w:frame="1"/>
        </w:rPr>
        <w:t xml:space="preserve"> 249.23(a)(2)</w:t>
      </w:r>
      <w:r w:rsidRPr="009C18FB">
        <w:rPr>
          <w:bCs/>
        </w:rPr>
        <w:t xml:space="preserve">, all records shall be retained for a minimum of three years following </w:t>
      </w:r>
      <w:r w:rsidRPr="009C18FB">
        <w:rPr>
          <w:bCs/>
        </w:rPr>
        <w:t xml:space="preserve">the date of submission of the final expenditure report for the period to which the report pertains. If any litigation, claim, negotiation, audit or other action involving the records has been started before the end of the three-year period, the records shall be kept until all issues are resolved, or until the end of the regular three-year period, whichever is later.  </w:t>
      </w:r>
    </w:p>
    <w:p w:rsidR="003017DC" w:rsidRPr="002568E6" w14:paraId="4AB969F6"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 xml:space="preserve">In connection with a statistical survey, that is not designed to produce valid and reliable results that can be generalized to the universe of study; </w:t>
      </w:r>
    </w:p>
    <w:p w:rsidR="003017DC" w14:paraId="4622CCFF"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Requiring the use of a statistical data classification that has not been reviewed and approved by OMB;</w:t>
      </w:r>
    </w:p>
    <w:p w:rsidR="00363496" w:rsidP="00363496" w14:paraId="421838B2" w14:textId="77777777">
      <w:pPr>
        <w:widowControl/>
        <w:tabs>
          <w:tab w:val="left" w:pos="-720"/>
        </w:tabs>
        <w:suppressAutoHyphens/>
        <w:overflowPunct/>
        <w:autoSpaceDE/>
        <w:autoSpaceDN/>
        <w:adjustRightInd/>
        <w:textAlignment w:val="auto"/>
        <w:rPr>
          <w:b/>
          <w:szCs w:val="24"/>
        </w:rPr>
      </w:pPr>
    </w:p>
    <w:p w:rsidR="00363496" w:rsidRPr="00363496" w:rsidP="002E6402" w14:paraId="62C1E34B" w14:textId="3B1FB6A6">
      <w:pPr>
        <w:widowControl/>
        <w:tabs>
          <w:tab w:val="left" w:pos="-720"/>
        </w:tabs>
        <w:suppressAutoHyphens/>
        <w:overflowPunct/>
        <w:autoSpaceDE/>
        <w:autoSpaceDN/>
        <w:adjustRightInd/>
        <w:spacing w:line="480" w:lineRule="auto"/>
        <w:textAlignment w:val="auto"/>
        <w:rPr>
          <w:bCs/>
          <w:szCs w:val="24"/>
        </w:rPr>
      </w:pPr>
      <w:r w:rsidRPr="002E6402">
        <w:rPr>
          <w:bCs/>
          <w:szCs w:val="24"/>
        </w:rPr>
        <w:t xml:space="preserve">Under </w:t>
      </w:r>
      <w:r w:rsidR="000F3416">
        <w:rPr>
          <w:bCs/>
          <w:szCs w:val="24"/>
        </w:rPr>
        <w:t xml:space="preserve">7 CFR </w:t>
      </w:r>
      <w:r w:rsidRPr="002E6402">
        <w:rPr>
          <w:bCs/>
          <w:szCs w:val="24"/>
        </w:rPr>
        <w:t xml:space="preserve">249.25(b), </w:t>
      </w:r>
      <w:r w:rsidR="00DC63B0">
        <w:rPr>
          <w:bCs/>
          <w:szCs w:val="24"/>
        </w:rPr>
        <w:t>FNA</w:t>
      </w:r>
      <w:r w:rsidRPr="002E6402">
        <w:rPr>
          <w:bCs/>
          <w:szCs w:val="24"/>
        </w:rPr>
        <w:t xml:space="preserve"> reserves the right to use information obtained under the program</w:t>
      </w:r>
      <w:r>
        <w:rPr>
          <w:bCs/>
          <w:szCs w:val="24"/>
        </w:rPr>
        <w:t>s</w:t>
      </w:r>
      <w:r w:rsidRPr="002E6402">
        <w:rPr>
          <w:bCs/>
          <w:szCs w:val="24"/>
        </w:rPr>
        <w:t xml:space="preserve"> in a summary, statistical, or other form that does not identify </w:t>
      </w:r>
      <w:r w:rsidRPr="002E6402">
        <w:rPr>
          <w:bCs/>
          <w:szCs w:val="24"/>
        </w:rPr>
        <w:t>particular individuals</w:t>
      </w:r>
      <w:r w:rsidRPr="002E6402">
        <w:rPr>
          <w:bCs/>
          <w:szCs w:val="24"/>
        </w:rPr>
        <w:t xml:space="preserve">. </w:t>
      </w:r>
    </w:p>
    <w:p w:rsidR="003017DC" w:rsidRPr="002568E6" w14:paraId="401F292E" w14:textId="77777777">
      <w:pPr>
        <w:widowControl/>
        <w:numPr>
          <w:ilvl w:val="0"/>
          <w:numId w:val="1"/>
        </w:numPr>
        <w:tabs>
          <w:tab w:val="left" w:pos="-720"/>
        </w:tabs>
        <w:suppressAutoHyphens/>
        <w:overflowPunct/>
        <w:autoSpaceDE/>
        <w:autoSpaceDN/>
        <w:adjustRightInd/>
        <w:textAlignment w:val="auto"/>
        <w:rPr>
          <w:b/>
          <w:szCs w:val="24"/>
        </w:rPr>
      </w:pPr>
      <w:r w:rsidRPr="002568E6">
        <w:rPr>
          <w:b/>
          <w:szCs w:val="24"/>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3017DC" w:rsidRPr="002568E6" w14:paraId="067B9BB0" w14:textId="77777777">
      <w:pPr>
        <w:pStyle w:val="BodyText"/>
        <w:numPr>
          <w:ilvl w:val="0"/>
          <w:numId w:val="1"/>
        </w:numPr>
        <w:rPr>
          <w:b w:val="0"/>
          <w:szCs w:val="24"/>
        </w:rPr>
      </w:pPr>
      <w:r w:rsidRPr="002568E6">
        <w:rPr>
          <w:szCs w:val="24"/>
        </w:rPr>
        <w:t xml:space="preserve">Requiring respondents to submit proprietary trade </w:t>
      </w:r>
      <w:r w:rsidRPr="002568E6">
        <w:rPr>
          <w:szCs w:val="24"/>
        </w:rPr>
        <w:t>secret</w:t>
      </w:r>
      <w:r w:rsidRPr="002568E6">
        <w:rPr>
          <w:szCs w:val="24"/>
        </w:rPr>
        <w:t>, or other confidential information unless the agency can demonstrate that it has instituted procedures to protect the information's confidentiality to the extent permitted by law.</w:t>
      </w:r>
    </w:p>
    <w:p w:rsidR="003017DC" w:rsidRPr="002568E6" w:rsidP="003017DC" w14:paraId="4F105779" w14:textId="77777777">
      <w:pPr>
        <w:tabs>
          <w:tab w:val="left" w:pos="0"/>
        </w:tabs>
        <w:suppressAutoHyphens/>
        <w:rPr>
          <w:szCs w:val="24"/>
        </w:rPr>
      </w:pPr>
    </w:p>
    <w:p w:rsidR="000F3416" w:rsidRPr="000F3416" w:rsidP="66EB0783" w14:paraId="4AAA94D9" w14:textId="6AF4E1EC">
      <w:pPr>
        <w:pStyle w:val="paragraph"/>
        <w:spacing w:before="0" w:beforeAutospacing="0" w:after="0" w:afterAutospacing="0" w:line="480" w:lineRule="auto"/>
        <w:textAlignment w:val="baseline"/>
        <w:rPr>
          <w:rStyle w:val="normaltextrun"/>
          <w:rFonts w:ascii="Segoe UI" w:hAnsi="Segoe UI" w:cs="Segoe UI"/>
          <w:sz w:val="18"/>
          <w:szCs w:val="18"/>
        </w:rPr>
      </w:pPr>
      <w:r>
        <w:rPr>
          <w:rStyle w:val="normaltextrun"/>
          <w:color w:val="000000"/>
          <w:shd w:val="clear" w:color="auto" w:fill="FFFFFF"/>
        </w:rPr>
        <w:t xml:space="preserve">Under </w:t>
      </w:r>
      <w:r w:rsidRPr="31E95EC7">
        <w:t>7 CFR</w:t>
      </w:r>
      <w:r>
        <w:rPr>
          <w:rStyle w:val="normaltextrun"/>
          <w:color w:val="000000"/>
          <w:shd w:val="clear" w:color="auto" w:fill="FFFFFF"/>
        </w:rPr>
        <w:t xml:space="preserve"> 249.24</w:t>
      </w:r>
      <w:r>
        <w:rPr>
          <w:rStyle w:val="normaltextrun"/>
          <w:b/>
          <w:bCs/>
          <w:color w:val="000000"/>
          <w:shd w:val="clear" w:color="auto" w:fill="FFFFFF"/>
        </w:rPr>
        <w:t xml:space="preserve">, </w:t>
      </w:r>
      <w:r>
        <w:rPr>
          <w:rStyle w:val="normaltextrun"/>
          <w:color w:val="000000"/>
          <w:shd w:val="clear" w:color="auto" w:fill="FFFFFF"/>
        </w:rPr>
        <w:t>the State agency must restrict the use or disclosure of information obtained from SFMNP applicants and participants to: (</w:t>
      </w:r>
      <w:r w:rsidR="009340FC">
        <w:rPr>
          <w:rStyle w:val="normaltextrun"/>
          <w:color w:val="000000"/>
          <w:shd w:val="clear" w:color="auto" w:fill="FFFFFF"/>
        </w:rPr>
        <w:t>1</w:t>
      </w:r>
      <w:r>
        <w:rPr>
          <w:rStyle w:val="normaltextrun"/>
          <w:color w:val="000000"/>
          <w:shd w:val="clear" w:color="auto" w:fill="FFFFFF"/>
        </w:rPr>
        <w:t xml:space="preserve">) </w:t>
      </w:r>
      <w:r w:rsidR="009340FC">
        <w:rPr>
          <w:rStyle w:val="normaltextrun"/>
          <w:color w:val="000000"/>
          <w:shd w:val="clear" w:color="auto" w:fill="FFFFFF"/>
        </w:rPr>
        <w:t>p</w:t>
      </w:r>
      <w:r>
        <w:rPr>
          <w:rStyle w:val="normaltextrun"/>
          <w:color w:val="000000"/>
          <w:shd w:val="clear" w:color="auto" w:fill="FFFFFF"/>
        </w:rPr>
        <w:t xml:space="preserve">ersons directly connected with the administration or enforcement of SFMNP, including persons investigating or prosecuting violations in SFMNP under Federal, </w:t>
      </w:r>
      <w:r w:rsidRPr="31E95EC7">
        <w:rPr>
          <w:rStyle w:val="normaltextrun"/>
          <w:color w:val="000000" w:themeColor="text1"/>
        </w:rPr>
        <w:t>S</w:t>
      </w:r>
      <w:r>
        <w:rPr>
          <w:rStyle w:val="normaltextrun"/>
          <w:color w:val="000000"/>
          <w:shd w:val="clear" w:color="auto" w:fill="FFFFFF"/>
        </w:rPr>
        <w:t>tate or local authority; (</w:t>
      </w:r>
      <w:r w:rsidR="009340FC">
        <w:rPr>
          <w:rStyle w:val="normaltextrun"/>
          <w:color w:val="000000"/>
          <w:shd w:val="clear" w:color="auto" w:fill="FFFFFF"/>
        </w:rPr>
        <w:t>2</w:t>
      </w:r>
      <w:r>
        <w:rPr>
          <w:rStyle w:val="normaltextrun"/>
          <w:color w:val="000000"/>
          <w:shd w:val="clear" w:color="auto" w:fill="FFFFFF"/>
        </w:rPr>
        <w:t xml:space="preserve">) the Comptroller General of the United States for audit and examination authorized by law; and (3) representatives of public organizations designated by the chief </w:t>
      </w:r>
      <w:r w:rsidRPr="31E95EC7">
        <w:rPr>
          <w:rStyle w:val="normaltextrun"/>
          <w:color w:val="000000" w:themeColor="text1"/>
        </w:rPr>
        <w:t>S</w:t>
      </w:r>
      <w:r>
        <w:rPr>
          <w:rStyle w:val="normaltextrun"/>
          <w:color w:val="000000"/>
          <w:shd w:val="clear" w:color="auto" w:fill="FFFFFF"/>
        </w:rPr>
        <w:t xml:space="preserve">tate agency officer (or, in the case of Indian Tribal governments acting as SFMNP State agencies, the governing authority) that administer food, nutrition, or other assistance programs that serve persons categorically eligible for SFMNP. The </w:t>
      </w:r>
      <w:r w:rsidRPr="31E95EC7">
        <w:rPr>
          <w:rStyle w:val="normaltextrun"/>
          <w:color w:val="000000" w:themeColor="text1"/>
        </w:rPr>
        <w:t>S</w:t>
      </w:r>
      <w:r>
        <w:rPr>
          <w:rStyle w:val="normaltextrun"/>
          <w:color w:val="000000"/>
          <w:shd w:val="clear" w:color="auto" w:fill="FFFFFF"/>
        </w:rPr>
        <w:t xml:space="preserve">tate agency must execute a written agreement with each such designated organization: (1) specifying that the receiving organization may employ SFMNP information only for the purpose of establishing the eligibility of SFMNP applicants and participants for food, nutrition, or other </w:t>
      </w:r>
      <w:r>
        <w:rPr>
          <w:rStyle w:val="normaltextrun"/>
          <w:color w:val="000000"/>
          <w:shd w:val="clear" w:color="auto" w:fill="FFFFFF"/>
        </w:rPr>
        <w:t>assistance programs that it administers and conducts outreach to SFMNP applicants and participants for such programs, and (2) containing the receiving organization's assurance that it will not, in turn, disclose the information to a third party</w:t>
      </w:r>
      <w:r w:rsidR="009340FC">
        <w:rPr>
          <w:rStyle w:val="eop"/>
          <w:color w:val="000000"/>
          <w:shd w:val="clear" w:color="auto" w:fill="FFFFFF"/>
        </w:rPr>
        <w:t>.</w:t>
      </w:r>
    </w:p>
    <w:p w:rsidR="0085612E" w:rsidRPr="000F3416" w:rsidP="0085612E" w14:paraId="44D108C7" w14:textId="7E6D8595">
      <w:pPr>
        <w:pStyle w:val="paragraph"/>
        <w:spacing w:before="0" w:beforeAutospacing="0" w:after="0" w:afterAutospacing="0" w:line="480" w:lineRule="auto"/>
        <w:textAlignment w:val="baseline"/>
      </w:pPr>
      <w:r>
        <w:rPr>
          <w:rStyle w:val="normaltextrun"/>
        </w:rPr>
        <w:t>There are no other special circumstances. The collection of information is conducted in a manner consistent with the guidelines in 5 CFR 1320.5(d).</w:t>
      </w:r>
      <w:r>
        <w:rPr>
          <w:rStyle w:val="eop"/>
        </w:rPr>
        <w:t> </w:t>
      </w:r>
    </w:p>
    <w:p w:rsidR="003017DC" w:rsidRPr="002E6402" w:rsidP="003017DC" w14:paraId="1B86C0CD" w14:textId="77777777">
      <w:pPr>
        <w:tabs>
          <w:tab w:val="left" w:pos="-720"/>
        </w:tabs>
        <w:suppressAutoHyphens/>
        <w:rPr>
          <w:color w:val="C00000"/>
          <w:szCs w:val="24"/>
        </w:rPr>
      </w:pPr>
    </w:p>
    <w:p w:rsidR="00BE0B08" w:rsidRPr="002568E6" w:rsidP="0062567E" w14:paraId="03E0F687" w14:textId="77777777">
      <w:pPr>
        <w:pStyle w:val="Heading1"/>
        <w:rPr>
          <w:szCs w:val="24"/>
        </w:rPr>
      </w:pPr>
      <w:bookmarkStart w:id="12" w:name="_Toc401831364"/>
      <w:bookmarkStart w:id="13" w:name="_Toc224640031"/>
      <w:r w:rsidRPr="002568E6">
        <w:rPr>
          <w:szCs w:val="24"/>
        </w:rPr>
        <w:t xml:space="preserve">A8.  </w:t>
      </w:r>
      <w:r w:rsidRPr="002568E6" w:rsidR="005917B8">
        <w:rPr>
          <w:szCs w:val="24"/>
        </w:rPr>
        <w:t xml:space="preserve">Comments to the Federal Register Notice and efforts </w:t>
      </w:r>
      <w:r w:rsidR="002568E6">
        <w:rPr>
          <w:szCs w:val="24"/>
        </w:rPr>
        <w:t xml:space="preserve">for </w:t>
      </w:r>
      <w:r w:rsidRPr="002568E6" w:rsidR="005917B8">
        <w:rPr>
          <w:szCs w:val="24"/>
        </w:rPr>
        <w:t>consult</w:t>
      </w:r>
      <w:r w:rsidR="002568E6">
        <w:rPr>
          <w:szCs w:val="24"/>
        </w:rPr>
        <w:t>ation</w:t>
      </w:r>
      <w:r w:rsidRPr="002568E6" w:rsidR="005917B8">
        <w:rPr>
          <w:szCs w:val="24"/>
        </w:rPr>
        <w:t>.</w:t>
      </w:r>
      <w:bookmarkEnd w:id="12"/>
      <w:bookmarkEnd w:id="13"/>
      <w:r w:rsidRPr="002568E6">
        <w:rPr>
          <w:szCs w:val="24"/>
        </w:rPr>
        <w:t xml:space="preserve">  </w:t>
      </w:r>
    </w:p>
    <w:p w:rsidR="003333DF" w:rsidRPr="002568E6" w:rsidP="005917B8" w14:paraId="03E0F688" w14:textId="77777777">
      <w:pPr>
        <w:tabs>
          <w:tab w:val="left" w:pos="450"/>
        </w:tabs>
        <w:suppressAutoHyphens/>
        <w:ind w:left="450" w:hanging="450"/>
        <w:rPr>
          <w:szCs w:val="24"/>
        </w:rPr>
      </w:pPr>
    </w:p>
    <w:p w:rsidR="003333DF" w:rsidRPr="002568E6" w:rsidP="0062567E" w14:paraId="03E0F689" w14:textId="77777777">
      <w:pPr>
        <w:rPr>
          <w:b/>
          <w:szCs w:val="24"/>
        </w:rPr>
      </w:pPr>
      <w:r w:rsidRPr="002568E6">
        <w:rPr>
          <w:b/>
          <w:szCs w:val="24"/>
        </w:rPr>
        <w:t xml:space="preserve">If applicable, provide a copy and identify the date and page number of </w:t>
      </w:r>
      <w:r w:rsidRPr="002568E6">
        <w:rPr>
          <w:b/>
          <w:szCs w:val="24"/>
        </w:rPr>
        <w:t>publication</w:t>
      </w:r>
      <w:r w:rsidRPr="002568E6">
        <w:rPr>
          <w:b/>
          <w:szCs w:val="24"/>
        </w:rPr>
        <w:t xml:space="preserve">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Pr="002568E6">
        <w:rPr>
          <w:b/>
          <w:szCs w:val="24"/>
        </w:rPr>
        <w:tab/>
      </w:r>
    </w:p>
    <w:p w:rsidR="003333DF" w:rsidP="0062567E" w14:paraId="03E0F68A" w14:textId="77777777">
      <w:pPr>
        <w:rPr>
          <w:b/>
          <w:szCs w:val="24"/>
        </w:rPr>
      </w:pPr>
    </w:p>
    <w:p w:rsidR="0097370B" w:rsidP="0097370B" w14:paraId="54761AD5" w14:textId="713A42DD">
      <w:pPr>
        <w:spacing w:line="480" w:lineRule="auto"/>
        <w:rPr>
          <w:rStyle w:val="eop"/>
          <w:color w:val="000000"/>
          <w:shd w:val="clear" w:color="auto" w:fill="FFFFFF"/>
        </w:rPr>
      </w:pPr>
      <w:r>
        <w:rPr>
          <w:rStyle w:val="normaltextrun"/>
          <w:color w:val="000000"/>
          <w:shd w:val="clear" w:color="auto" w:fill="FFFFFF"/>
        </w:rPr>
        <w:t xml:space="preserve">The invitation for comments was set forth in a 60-Day Notice on page </w:t>
      </w:r>
      <w:r w:rsidR="002910DC">
        <w:rPr>
          <w:rStyle w:val="normaltextrun"/>
          <w:color w:val="000000"/>
          <w:shd w:val="clear" w:color="auto" w:fill="FFFFFF"/>
        </w:rPr>
        <w:t>15591</w:t>
      </w:r>
      <w:r>
        <w:rPr>
          <w:rStyle w:val="normaltextrun"/>
          <w:color w:val="000000"/>
          <w:shd w:val="clear" w:color="auto" w:fill="FFFFFF"/>
        </w:rPr>
        <w:t xml:space="preserve"> of the Federal Register (Vol. </w:t>
      </w:r>
      <w:r w:rsidR="007C0C08">
        <w:rPr>
          <w:rStyle w:val="normaltextrun"/>
          <w:color w:val="000000"/>
          <w:shd w:val="clear" w:color="auto" w:fill="FFFFFF"/>
        </w:rPr>
        <w:t>91</w:t>
      </w:r>
      <w:r>
        <w:rPr>
          <w:rStyle w:val="normaltextrun"/>
          <w:color w:val="000000"/>
          <w:shd w:val="clear" w:color="auto" w:fill="FFFFFF"/>
        </w:rPr>
        <w:t xml:space="preserve">, No. </w:t>
      </w:r>
      <w:r w:rsidR="007C0C08">
        <w:rPr>
          <w:rStyle w:val="normaltextrun"/>
          <w:color w:val="000000"/>
          <w:shd w:val="clear" w:color="auto" w:fill="FFFFFF"/>
        </w:rPr>
        <w:t>60</w:t>
      </w:r>
      <w:r>
        <w:rPr>
          <w:rStyle w:val="normaltextrun"/>
          <w:color w:val="000000"/>
          <w:shd w:val="clear" w:color="auto" w:fill="FFFFFF"/>
        </w:rPr>
        <w:t xml:space="preserve">) on </w:t>
      </w:r>
      <w:r w:rsidR="007C0C08">
        <w:rPr>
          <w:rStyle w:val="normaltextrun"/>
          <w:color w:val="000000"/>
          <w:shd w:val="clear" w:color="auto" w:fill="FFFFFF"/>
        </w:rPr>
        <w:t>March 30, 2026</w:t>
      </w:r>
      <w:r>
        <w:rPr>
          <w:rStyle w:val="normaltextrun"/>
          <w:color w:val="000000"/>
          <w:shd w:val="clear" w:color="auto" w:fill="FFFFFF"/>
        </w:rPr>
        <w:t>. The public co</w:t>
      </w:r>
      <w:r w:rsidRPr="00E43802">
        <w:rPr>
          <w:rStyle w:val="normaltextrun"/>
          <w:color w:val="000000"/>
          <w:shd w:val="clear" w:color="auto" w:fill="FFFFFF"/>
        </w:rPr>
        <w:t xml:space="preserve">mment period ended on </w:t>
      </w:r>
      <w:r w:rsidR="00CE1B1B">
        <w:rPr>
          <w:rStyle w:val="normaltextrun"/>
          <w:color w:val="000000"/>
          <w:shd w:val="clear" w:color="auto" w:fill="FFFFFF"/>
        </w:rPr>
        <w:t>May 29, 2026</w:t>
      </w:r>
      <w:r w:rsidRPr="00E43802">
        <w:rPr>
          <w:rStyle w:val="normaltextrun"/>
          <w:color w:val="000000"/>
          <w:shd w:val="clear" w:color="auto" w:fill="FFFFFF"/>
        </w:rPr>
        <w:t>.</w:t>
      </w:r>
      <w:r w:rsidRPr="00E43802">
        <w:rPr>
          <w:rStyle w:val="eop"/>
          <w:color w:val="000000"/>
          <w:shd w:val="clear" w:color="auto" w:fill="FFFFFF"/>
        </w:rPr>
        <w:t> </w:t>
      </w:r>
      <w:r w:rsidR="00DC63B0">
        <w:rPr>
          <w:rStyle w:val="eop"/>
          <w:color w:val="000000"/>
          <w:shd w:val="clear" w:color="auto" w:fill="FFFFFF"/>
        </w:rPr>
        <w:t>FNA</w:t>
      </w:r>
      <w:r w:rsidR="002F7742">
        <w:rPr>
          <w:rStyle w:val="eop"/>
          <w:color w:val="000000"/>
          <w:shd w:val="clear" w:color="auto" w:fill="FFFFFF"/>
        </w:rPr>
        <w:t xml:space="preserve"> received </w:t>
      </w:r>
      <w:r w:rsidR="00A74252">
        <w:rPr>
          <w:rStyle w:val="eop"/>
          <w:color w:val="000000"/>
          <w:shd w:val="clear" w:color="auto" w:fill="FFFFFF"/>
        </w:rPr>
        <w:t>one</w:t>
      </w:r>
      <w:r w:rsidR="002F7742">
        <w:rPr>
          <w:rStyle w:val="eop"/>
          <w:color w:val="000000"/>
          <w:shd w:val="clear" w:color="auto" w:fill="FFFFFF"/>
        </w:rPr>
        <w:t xml:space="preserve"> </w:t>
      </w:r>
      <w:r w:rsidR="000A16C8">
        <w:rPr>
          <w:rStyle w:val="eop"/>
          <w:color w:val="000000"/>
          <w:shd w:val="clear" w:color="auto" w:fill="FFFFFF"/>
        </w:rPr>
        <w:t xml:space="preserve">anonymous </w:t>
      </w:r>
      <w:r w:rsidR="002F7742">
        <w:rPr>
          <w:rStyle w:val="eop"/>
          <w:color w:val="000000"/>
          <w:shd w:val="clear" w:color="auto" w:fill="FFFFFF"/>
        </w:rPr>
        <w:t>comment</w:t>
      </w:r>
      <w:r w:rsidR="00003ABF">
        <w:rPr>
          <w:rStyle w:val="eop"/>
          <w:color w:val="000000"/>
          <w:shd w:val="clear" w:color="auto" w:fill="FFFFFF"/>
        </w:rPr>
        <w:t xml:space="preserve"> </w:t>
      </w:r>
      <w:r w:rsidR="00372EBA">
        <w:rPr>
          <w:rStyle w:val="eop"/>
          <w:color w:val="000000"/>
          <w:shd w:val="clear" w:color="auto" w:fill="FFFFFF"/>
        </w:rPr>
        <w:t xml:space="preserve">that was supportive of the information collection (Appendix </w:t>
      </w:r>
      <w:r w:rsidR="004C5C4D">
        <w:rPr>
          <w:rStyle w:val="eop"/>
          <w:color w:val="000000"/>
          <w:shd w:val="clear" w:color="auto" w:fill="FFFFFF"/>
        </w:rPr>
        <w:t>I</w:t>
      </w:r>
      <w:r w:rsidR="00372EBA">
        <w:rPr>
          <w:rStyle w:val="eop"/>
          <w:color w:val="000000"/>
          <w:shd w:val="clear" w:color="auto" w:fill="FFFFFF"/>
        </w:rPr>
        <w:t xml:space="preserve">). </w:t>
      </w:r>
      <w:r w:rsidR="00CC681A">
        <w:rPr>
          <w:rStyle w:val="eop"/>
          <w:color w:val="000000"/>
          <w:shd w:val="clear" w:color="auto" w:fill="FFFFFF"/>
        </w:rPr>
        <w:t xml:space="preserve">The comment did not result in any </w:t>
      </w:r>
      <w:r w:rsidR="00132082">
        <w:rPr>
          <w:rStyle w:val="eop"/>
          <w:color w:val="000000"/>
          <w:shd w:val="clear" w:color="auto" w:fill="FFFFFF"/>
        </w:rPr>
        <w:t>updates</w:t>
      </w:r>
      <w:r w:rsidR="00186392">
        <w:rPr>
          <w:rStyle w:val="eop"/>
          <w:color w:val="000000"/>
          <w:shd w:val="clear" w:color="auto" w:fill="FFFFFF"/>
        </w:rPr>
        <w:t xml:space="preserve"> to the burden estimates.</w:t>
      </w:r>
      <w:r w:rsidR="00A74252">
        <w:rPr>
          <w:rStyle w:val="eop"/>
          <w:color w:val="000000"/>
          <w:shd w:val="clear" w:color="auto" w:fill="FFFFFF"/>
        </w:rPr>
        <w:t xml:space="preserve"> </w:t>
      </w:r>
    </w:p>
    <w:p w:rsidR="003333DF" w:rsidRPr="002568E6" w:rsidP="0062567E" w14:paraId="03E0F68B" w14:textId="77777777">
      <w:pPr>
        <w:rPr>
          <w:b/>
          <w:szCs w:val="24"/>
        </w:rPr>
      </w:pPr>
      <w:r w:rsidRPr="002568E6">
        <w:rPr>
          <w:b/>
          <w:szCs w:val="24"/>
        </w:rPr>
        <w:t xml:space="preserve">Describe efforts to consult with </w:t>
      </w:r>
      <w:r w:rsidRPr="002568E6">
        <w:rPr>
          <w:b/>
          <w:szCs w:val="24"/>
        </w:rPr>
        <w:t>persons</w:t>
      </w:r>
      <w:r w:rsidRPr="002568E6">
        <w:rPr>
          <w:b/>
          <w:szCs w:val="24"/>
        </w:rPr>
        <w:t xml:space="preserve"> outside the agency to obtain their views on the availability of data, frequency of collection, the clarity of instructions and recordkeeping, disclosure, or reporting format (if any), and on the data elements to be recorded, disclosed, or reported.  </w:t>
      </w:r>
    </w:p>
    <w:p w:rsidR="003333DF" w:rsidRPr="002568E6" w:rsidP="0062567E" w14:paraId="03E0F68C" w14:textId="77777777">
      <w:pPr>
        <w:rPr>
          <w:b/>
          <w:szCs w:val="24"/>
        </w:rPr>
      </w:pPr>
    </w:p>
    <w:p w:rsidR="003333DF" w:rsidRPr="002568E6" w:rsidP="0062567E" w14:paraId="03E0F68D" w14:textId="77777777">
      <w:pPr>
        <w:rPr>
          <w:b/>
          <w:szCs w:val="24"/>
        </w:rPr>
      </w:pPr>
      <w:r w:rsidRPr="002568E6">
        <w:rPr>
          <w:b/>
          <w:szCs w:val="24"/>
        </w:rPr>
        <w:t>Consultation</w:t>
      </w:r>
      <w:r w:rsidRPr="002568E6">
        <w:rPr>
          <w:b/>
          <w:szCs w:val="24"/>
        </w:rPr>
        <w:t xml:space="preserve">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ED28F2" w:rsidP="00ED28F2" w14:paraId="03E0F68E" w14:textId="5F1632CD">
      <w:pPr>
        <w:tabs>
          <w:tab w:val="left" w:pos="-720"/>
        </w:tabs>
        <w:suppressAutoHyphens/>
        <w:rPr>
          <w:szCs w:val="24"/>
        </w:rPr>
      </w:pPr>
      <w:bookmarkStart w:id="14" w:name="OLE_LINK1"/>
      <w:bookmarkStart w:id="15" w:name="OLE_LINK2"/>
    </w:p>
    <w:p w:rsidR="00B93664" w:rsidP="00B93664" w14:paraId="639E2E5D" w14:textId="7BBADA7F">
      <w:pPr>
        <w:pStyle w:val="paragraph"/>
        <w:spacing w:before="0" w:beforeAutospacing="0" w:after="0" w:afterAutospacing="0" w:line="480" w:lineRule="auto"/>
        <w:textAlignment w:val="baseline"/>
        <w:rPr>
          <w:rFonts w:ascii="Segoe UI" w:hAnsi="Segoe UI" w:cs="Segoe UI"/>
          <w:sz w:val="18"/>
          <w:szCs w:val="18"/>
        </w:rPr>
      </w:pPr>
      <w:r>
        <w:rPr>
          <w:rStyle w:val="normaltextrun"/>
        </w:rPr>
        <w:t xml:space="preserve">The individuals/organizations listed </w:t>
      </w:r>
      <w:r w:rsidRPr="00D02CEA">
        <w:rPr>
          <w:rStyle w:val="normaltextrun"/>
        </w:rPr>
        <w:t>below (see Appendix</w:t>
      </w:r>
      <w:r w:rsidRPr="00D02CEA" w:rsidR="00F67CC4">
        <w:rPr>
          <w:rStyle w:val="normaltextrun"/>
        </w:rPr>
        <w:t xml:space="preserve"> </w:t>
      </w:r>
      <w:r w:rsidR="004C5C4D">
        <w:rPr>
          <w:rStyle w:val="normaltextrun"/>
        </w:rPr>
        <w:t>H</w:t>
      </w:r>
      <w:r w:rsidRPr="00D02CEA">
        <w:rPr>
          <w:rStyle w:val="normaltextrun"/>
        </w:rPr>
        <w:t>) have</w:t>
      </w:r>
      <w:r>
        <w:rPr>
          <w:rStyle w:val="normaltextrun"/>
        </w:rPr>
        <w:t xml:space="preserve"> been consulted about burden estimates and/or other characteristics associated with this data collection.</w:t>
      </w:r>
    </w:p>
    <w:p w:rsidR="00DB15E2" w14:paraId="17108430" w14:textId="77777777">
      <w:pPr>
        <w:pStyle w:val="paragraph"/>
        <w:numPr>
          <w:ilvl w:val="0"/>
          <w:numId w:val="2"/>
        </w:numPr>
        <w:spacing w:before="0" w:beforeAutospacing="0" w:after="0" w:afterAutospacing="0" w:line="480" w:lineRule="auto"/>
        <w:textAlignment w:val="baseline"/>
      </w:pPr>
      <w:r>
        <w:rPr>
          <w:rStyle w:val="normaltextrun"/>
        </w:rPr>
        <w:t>Phil Blalock, Executive Director</w:t>
      </w:r>
      <w:r>
        <w:rPr>
          <w:rStyle w:val="eop"/>
        </w:rPr>
        <w:t> </w:t>
      </w:r>
      <w:r>
        <w:br/>
      </w:r>
      <w:r>
        <w:rPr>
          <w:rStyle w:val="normaltextrun"/>
        </w:rPr>
        <w:t>National Association for Farmers Market Nutrition Programs</w:t>
      </w:r>
      <w:r>
        <w:rPr>
          <w:rStyle w:val="eop"/>
        </w:rPr>
        <w:t> </w:t>
      </w:r>
      <w:r>
        <w:br/>
      </w:r>
      <w:hyperlink r:id="rId11" w:history="1">
        <w:r w:rsidRPr="0077486B">
          <w:rPr>
            <w:rStyle w:val="Hyperlink"/>
          </w:rPr>
          <w:t>phil@triangleassociatesinc.com</w:t>
        </w:r>
      </w:hyperlink>
      <w:r>
        <w:rPr>
          <w:rStyle w:val="eop"/>
        </w:rPr>
        <w:t> </w:t>
      </w:r>
    </w:p>
    <w:p w:rsidR="00DB15E2" w14:paraId="372172BE" w14:textId="05FEEDDC">
      <w:pPr>
        <w:pStyle w:val="paragraph"/>
        <w:numPr>
          <w:ilvl w:val="0"/>
          <w:numId w:val="2"/>
        </w:numPr>
        <w:spacing w:before="0" w:beforeAutospacing="0" w:after="0" w:afterAutospacing="0" w:line="480" w:lineRule="auto"/>
        <w:textAlignment w:val="baseline"/>
      </w:pPr>
      <w:r w:rsidRPr="19534967">
        <w:rPr>
          <w:rStyle w:val="normaltextrun"/>
        </w:rPr>
        <w:t>Yescenia Mota</w:t>
      </w:r>
      <w:r w:rsidRPr="19534967" w:rsidR="00B93664">
        <w:rPr>
          <w:rStyle w:val="normaltextrun"/>
        </w:rPr>
        <w:t xml:space="preserve">, </w:t>
      </w:r>
      <w:r w:rsidRPr="19534967">
        <w:rPr>
          <w:rStyle w:val="normaltextrun"/>
        </w:rPr>
        <w:t>President</w:t>
      </w:r>
      <w:r w:rsidR="0095318A">
        <w:rPr>
          <w:rStyle w:val="normaltextrun"/>
        </w:rPr>
        <w:t xml:space="preserve"> &amp; Darlene Wolnik, Senior Project Manager</w:t>
      </w:r>
      <w:r>
        <w:br/>
      </w:r>
      <w:r w:rsidRPr="19534967" w:rsidR="00B93664">
        <w:rPr>
          <w:rStyle w:val="normaltextrun"/>
        </w:rPr>
        <w:t>Farmers Market Coalition </w:t>
      </w:r>
      <w:r w:rsidRPr="19534967" w:rsidR="00B93664">
        <w:rPr>
          <w:rStyle w:val="eop"/>
        </w:rPr>
        <w:t> </w:t>
      </w:r>
      <w:r>
        <w:br/>
      </w:r>
      <w:hyperlink r:id="rId12">
        <w:r w:rsidRPr="19534967" w:rsidR="006C5E88">
          <w:rPr>
            <w:rStyle w:val="Hyperlink"/>
          </w:rPr>
          <w:t>yescenia@farmersmarketcoalition.org</w:t>
        </w:r>
      </w:hyperlink>
      <w:r w:rsidRPr="19534967" w:rsidR="00B93664">
        <w:rPr>
          <w:rStyle w:val="normaltextrun"/>
        </w:rPr>
        <w:t> </w:t>
      </w:r>
      <w:r w:rsidR="0095318A">
        <w:rPr>
          <w:rStyle w:val="normaltextrun"/>
        </w:rPr>
        <w:t xml:space="preserve">&amp; </w:t>
      </w:r>
      <w:hyperlink r:id="rId13" w:history="1">
        <w:r w:rsidRPr="001E10E9" w:rsidR="0095318A">
          <w:rPr>
            <w:rStyle w:val="Hyperlink"/>
          </w:rPr>
          <w:t>darlene@farmersmarketcoalition.org</w:t>
        </w:r>
      </w:hyperlink>
      <w:r w:rsidR="0095318A">
        <w:rPr>
          <w:rStyle w:val="normaltextrun"/>
        </w:rPr>
        <w:t xml:space="preserve"> </w:t>
      </w:r>
      <w:r w:rsidRPr="19534967" w:rsidR="00B93664">
        <w:rPr>
          <w:rStyle w:val="eop"/>
        </w:rPr>
        <w:t> </w:t>
      </w:r>
      <w:r w:rsidR="0095318A">
        <w:rPr>
          <w:rStyle w:val="eop"/>
        </w:rPr>
        <w:t xml:space="preserve"> </w:t>
      </w:r>
    </w:p>
    <w:p w:rsidR="00DC11D3" w:rsidRPr="009A0EBF" w14:paraId="7C248649" w14:textId="6E6907FA">
      <w:pPr>
        <w:pStyle w:val="paragraph"/>
        <w:numPr>
          <w:ilvl w:val="0"/>
          <w:numId w:val="2"/>
        </w:numPr>
        <w:spacing w:before="0" w:beforeAutospacing="0" w:after="0" w:afterAutospacing="0" w:line="480" w:lineRule="auto"/>
        <w:textAlignment w:val="baseline"/>
      </w:pPr>
      <w:r w:rsidRPr="1213715D">
        <w:rPr>
          <w:rStyle w:val="eop"/>
        </w:rPr>
        <w:t>Georgia Machell, President and Chief Executive Officer</w:t>
      </w:r>
      <w:r>
        <w:br/>
      </w:r>
      <w:r w:rsidRPr="1213715D">
        <w:rPr>
          <w:rStyle w:val="eop"/>
        </w:rPr>
        <w:t>National WIC Association</w:t>
      </w:r>
      <w:r>
        <w:br/>
      </w:r>
      <w:hyperlink r:id="rId14">
        <w:r w:rsidRPr="1213715D" w:rsidR="005D5B73">
          <w:rPr>
            <w:rStyle w:val="Hyperlink"/>
          </w:rPr>
          <w:t>gmachell@nwica.org</w:t>
        </w:r>
      </w:hyperlink>
      <w:r w:rsidR="005D5B73">
        <w:t xml:space="preserve"> </w:t>
      </w:r>
    </w:p>
    <w:p w:rsidR="000F3416" w:rsidRPr="000F3416" w:rsidP="0046371B" w14:paraId="4017CC1E" w14:textId="7C44C8DF">
      <w:pPr>
        <w:pStyle w:val="paragraph"/>
        <w:spacing w:before="0" w:beforeAutospacing="0" w:after="240" w:afterAutospacing="0" w:line="480" w:lineRule="auto"/>
        <w:textAlignment w:val="baseline"/>
        <w:rPr>
          <w:rStyle w:val="eop"/>
        </w:rPr>
      </w:pPr>
      <w:r>
        <w:rPr>
          <w:rStyle w:val="normaltextrun"/>
        </w:rPr>
        <w:t>FNA</w:t>
      </w:r>
      <w:r w:rsidRPr="66EB0783" w:rsidR="00C24373">
        <w:rPr>
          <w:rStyle w:val="normaltextrun"/>
        </w:rPr>
        <w:t xml:space="preserve"> consults with its </w:t>
      </w:r>
      <w:r w:rsidRPr="66EB0783" w:rsidR="6688B41B">
        <w:rPr>
          <w:rStyle w:val="normaltextrun"/>
        </w:rPr>
        <w:t>r</w:t>
      </w:r>
      <w:r w:rsidRPr="66EB0783" w:rsidR="00C24373">
        <w:rPr>
          <w:rStyle w:val="normaltextrun"/>
        </w:rPr>
        <w:t xml:space="preserve">egional </w:t>
      </w:r>
      <w:r w:rsidRPr="66EB0783" w:rsidR="631FAF46">
        <w:rPr>
          <w:rStyle w:val="normaltextrun"/>
        </w:rPr>
        <w:t>o</w:t>
      </w:r>
      <w:r w:rsidRPr="66EB0783" w:rsidR="00C24373">
        <w:rPr>
          <w:rStyle w:val="normaltextrun"/>
        </w:rPr>
        <w:t xml:space="preserve">ffices regarding any proposed changes </w:t>
      </w:r>
      <w:r w:rsidRPr="66EB0783" w:rsidR="00C24373">
        <w:rPr>
          <w:rStyle w:val="normaltextrun"/>
        </w:rPr>
        <w:t>as a result of</w:t>
      </w:r>
      <w:r w:rsidRPr="66EB0783" w:rsidR="00C24373">
        <w:rPr>
          <w:rStyle w:val="normaltextrun"/>
        </w:rPr>
        <w:t xml:space="preserve"> legislative, regulatory, or administrative changes. Regional </w:t>
      </w:r>
      <w:r w:rsidRPr="66EB0783" w:rsidR="2514EC47">
        <w:rPr>
          <w:rStyle w:val="normaltextrun"/>
        </w:rPr>
        <w:t>o</w:t>
      </w:r>
      <w:r w:rsidRPr="66EB0783" w:rsidR="00C24373">
        <w:rPr>
          <w:rStyle w:val="normaltextrun"/>
        </w:rPr>
        <w:t xml:space="preserve">ffices are in constant contact with State agencies which provide feedback on </w:t>
      </w:r>
      <w:r>
        <w:rPr>
          <w:rStyle w:val="normaltextrun"/>
        </w:rPr>
        <w:t>FNA</w:t>
      </w:r>
      <w:r w:rsidRPr="66EB0783" w:rsidR="00C24373">
        <w:rPr>
          <w:rStyle w:val="normaltextrun"/>
        </w:rPr>
        <w:t xml:space="preserve"> processes and procedures that may impact them.</w:t>
      </w:r>
      <w:r w:rsidRPr="66EB0783" w:rsidR="00C24373">
        <w:rPr>
          <w:rStyle w:val="eop"/>
        </w:rPr>
        <w:t> </w:t>
      </w:r>
    </w:p>
    <w:p w:rsidR="00BE0B08" w:rsidRPr="002568E6" w:rsidP="0062567E" w14:paraId="03E0F691" w14:textId="77777777">
      <w:pPr>
        <w:pStyle w:val="Heading1"/>
        <w:rPr>
          <w:szCs w:val="24"/>
        </w:rPr>
      </w:pPr>
      <w:bookmarkStart w:id="16" w:name="_Toc401831365"/>
      <w:bookmarkStart w:id="17" w:name="_Toc224640032"/>
      <w:bookmarkEnd w:id="14"/>
      <w:bookmarkEnd w:id="15"/>
      <w:r w:rsidRPr="002568E6">
        <w:rPr>
          <w:szCs w:val="24"/>
        </w:rPr>
        <w:t>A9.  Explain any decisions to provide any payment or gift to respondents.</w:t>
      </w:r>
      <w:bookmarkEnd w:id="16"/>
      <w:bookmarkEnd w:id="17"/>
      <w:r w:rsidRPr="002568E6">
        <w:rPr>
          <w:szCs w:val="24"/>
        </w:rPr>
        <w:t xml:space="preserve">  </w:t>
      </w:r>
    </w:p>
    <w:p w:rsidR="003333DF" w:rsidRPr="002568E6" w:rsidP="00BE0B08" w14:paraId="03E0F692" w14:textId="77777777">
      <w:pPr>
        <w:tabs>
          <w:tab w:val="left" w:pos="0"/>
        </w:tabs>
        <w:suppressAutoHyphens/>
        <w:rPr>
          <w:szCs w:val="24"/>
        </w:rPr>
      </w:pPr>
    </w:p>
    <w:p w:rsidR="003333DF" w:rsidRPr="002568E6" w:rsidP="00BE0B08" w14:paraId="03E0F693" w14:textId="77777777">
      <w:pPr>
        <w:tabs>
          <w:tab w:val="left" w:pos="0"/>
        </w:tabs>
        <w:suppressAutoHyphens/>
        <w:rPr>
          <w:b/>
          <w:szCs w:val="24"/>
        </w:rPr>
      </w:pPr>
      <w:r w:rsidRPr="002568E6">
        <w:rPr>
          <w:b/>
          <w:szCs w:val="24"/>
        </w:rPr>
        <w:t>Explain any decision to provide any payment or gift to respondents, other than remuneration of contractors or grantees.</w:t>
      </w:r>
    </w:p>
    <w:p w:rsidR="00ED28F2" w:rsidRPr="002568E6" w:rsidP="00ED28F2" w14:paraId="03E0F694" w14:textId="77777777">
      <w:pPr>
        <w:tabs>
          <w:tab w:val="left" w:pos="-720"/>
        </w:tabs>
        <w:suppressAutoHyphens/>
        <w:rPr>
          <w:szCs w:val="24"/>
        </w:rPr>
      </w:pPr>
    </w:p>
    <w:p w:rsidR="00ED28F2" w:rsidP="00DC5D44" w14:paraId="03E0F696" w14:textId="2DF80B0A">
      <w:pPr>
        <w:tabs>
          <w:tab w:val="left" w:pos="-720"/>
          <w:tab w:val="left" w:pos="1005"/>
        </w:tabs>
        <w:suppressAutoHyphens/>
        <w:spacing w:after="240" w:line="480" w:lineRule="auto"/>
        <w:rPr>
          <w:rStyle w:val="eop"/>
          <w:color w:val="000000"/>
          <w:shd w:val="clear" w:color="auto" w:fill="FFFFFF"/>
        </w:rPr>
      </w:pPr>
      <w:r>
        <w:rPr>
          <w:rStyle w:val="normaltextrun"/>
          <w:color w:val="000000"/>
          <w:shd w:val="clear" w:color="auto" w:fill="FFFFFF"/>
        </w:rPr>
        <w:t>There are no payments or gifts to respondents.  </w:t>
      </w:r>
      <w:r>
        <w:rPr>
          <w:rStyle w:val="eop"/>
          <w:color w:val="000000"/>
          <w:shd w:val="clear" w:color="auto" w:fill="FFFFFF"/>
        </w:rPr>
        <w:t> </w:t>
      </w:r>
    </w:p>
    <w:p w:rsidR="00BE0B08" w:rsidRPr="002568E6" w:rsidP="0062567E" w14:paraId="03E0F697" w14:textId="77777777">
      <w:pPr>
        <w:pStyle w:val="Heading1"/>
        <w:rPr>
          <w:szCs w:val="24"/>
        </w:rPr>
      </w:pPr>
      <w:bookmarkStart w:id="18" w:name="_Toc401831366"/>
      <w:bookmarkStart w:id="19" w:name="_Toc224640033"/>
      <w:r w:rsidRPr="002568E6">
        <w:rPr>
          <w:szCs w:val="24"/>
        </w:rPr>
        <w:t>A10.  Assurances of confidentiality provided to respondents.</w:t>
      </w:r>
      <w:bookmarkEnd w:id="18"/>
      <w:bookmarkEnd w:id="19"/>
      <w:r w:rsidRPr="002568E6">
        <w:rPr>
          <w:szCs w:val="24"/>
        </w:rPr>
        <w:t xml:space="preserve">  </w:t>
      </w:r>
    </w:p>
    <w:p w:rsidR="003333DF" w:rsidRPr="002568E6" w:rsidP="00BE0B08" w14:paraId="03E0F698" w14:textId="77777777">
      <w:pPr>
        <w:rPr>
          <w:szCs w:val="24"/>
        </w:rPr>
      </w:pPr>
    </w:p>
    <w:p w:rsidR="003333DF" w:rsidRPr="002568E6" w:rsidP="0062567E" w14:paraId="03E0F699" w14:textId="77777777">
      <w:pPr>
        <w:pStyle w:val="ListParagraph"/>
        <w:spacing w:line="240" w:lineRule="auto"/>
        <w:ind w:left="0"/>
        <w:rPr>
          <w:b/>
          <w:szCs w:val="24"/>
        </w:rPr>
      </w:pPr>
      <w:r w:rsidRPr="002568E6">
        <w:rPr>
          <w:b/>
          <w:szCs w:val="24"/>
        </w:rPr>
        <w:t>Describe any assurance of confidentiality provided to respondents and the basis for the assurance in statute, regulation, or agency policy.</w:t>
      </w:r>
    </w:p>
    <w:p w:rsidR="003333DF" w:rsidRPr="002568E6" w:rsidP="00BE0B08" w14:paraId="03E0F69A" w14:textId="77777777">
      <w:pPr>
        <w:rPr>
          <w:szCs w:val="24"/>
        </w:rPr>
      </w:pPr>
    </w:p>
    <w:p w:rsidR="000F3416" w:rsidP="31E95EC7" w14:paraId="673EAD6A" w14:textId="388D70C8">
      <w:pPr>
        <w:suppressAutoHyphens/>
        <w:spacing w:after="240" w:line="480" w:lineRule="auto"/>
      </w:pPr>
      <w:r>
        <w:t xml:space="preserve">Private </w:t>
      </w:r>
      <w:r w:rsidR="00C24373">
        <w:t xml:space="preserve">applicant information (i.e., </w:t>
      </w:r>
      <w:r w:rsidR="00AB5132">
        <w:t>personally identifiable information (PII)</w:t>
      </w:r>
      <w:r w:rsidR="00C24373">
        <w:t xml:space="preserve">) to include name and contact information is collected by State and local agencies </w:t>
      </w:r>
      <w:r w:rsidR="00C24373">
        <w:t>in order to</w:t>
      </w:r>
      <w:r w:rsidR="00C24373">
        <w:t xml:space="preserve"> determine program eligibility and provide benefits; however, this information is anonymized and aggregated when reported to </w:t>
      </w:r>
      <w:r w:rsidR="00DC63B0">
        <w:t>FNA</w:t>
      </w:r>
      <w:r w:rsidR="00C24373">
        <w:t xml:space="preserve">.  </w:t>
      </w:r>
    </w:p>
    <w:p w:rsidR="00F8308B" w:rsidP="4455514C" w14:paraId="591408C6" w14:textId="6C1435FB">
      <w:pPr>
        <w:spacing w:after="240" w:line="480" w:lineRule="auto"/>
      </w:pPr>
      <w:r>
        <w:t xml:space="preserve">The Department complies with the Privacy Act of 1974. State agencies are required to comply with </w:t>
      </w:r>
      <w:r w:rsidR="1772B11D">
        <w:t xml:space="preserve">privacy </w:t>
      </w:r>
      <w:r>
        <w:t xml:space="preserve">requirements set forth in </w:t>
      </w:r>
      <w:r w:rsidR="000F3416">
        <w:t xml:space="preserve">7 CFR </w:t>
      </w:r>
      <w:r>
        <w:t xml:space="preserve">249.24. These regulations require State agencies to “restrict the use or disclosure of information obtained from SFMNP applicants and participants to persons directly connected with the administration or enforcement of the SFMNP, including persons investigating or prosecuting violations in </w:t>
      </w:r>
      <w:r w:rsidR="002B3A93">
        <w:t xml:space="preserve">the </w:t>
      </w:r>
      <w:r>
        <w:t xml:space="preserve">SFMNP under </w:t>
      </w:r>
      <w:r w:rsidR="002B3A93">
        <w:t>F</w:t>
      </w:r>
      <w:r>
        <w:t xml:space="preserve">ederal, State or local authority.” State agencies must answer questions and provide information concerning participant and applicant </w:t>
      </w:r>
      <w:r w:rsidR="6BF3478F">
        <w:t xml:space="preserve">privacy </w:t>
      </w:r>
      <w:r>
        <w:t xml:space="preserve">in their State Plan submissions to </w:t>
      </w:r>
      <w:r w:rsidR="00DC63B0">
        <w:t>FNA</w:t>
      </w:r>
      <w:r>
        <w:t xml:space="preserve">. </w:t>
      </w:r>
    </w:p>
    <w:p w:rsidR="00F8308B" w:rsidP="31E95EC7" w14:paraId="79AD3733" w14:textId="74BB6BA0">
      <w:pPr>
        <w:suppressAutoHyphens/>
        <w:spacing w:after="240" w:line="480" w:lineRule="auto"/>
      </w:pPr>
      <w:r>
        <w:t xml:space="preserve">SFMNP regulations also allow disclosure of information to representatives of public organizations designated by the chief State agency officer. The State agency must execute a written agreement with each such designated organization: “1) Specifying that the receiving organization may employ SFMNP information only for the purpose of establishing the eligibility of SFMNP applicants and participants for food, nutrition, or other assistance programs that it administers and conducts outreach to SFMNP applicants and participants for such programs; and (2) Containing the receiving organization's assurance that it will not, in turn, disclose the information to a third party.”   </w:t>
      </w:r>
    </w:p>
    <w:p w:rsidR="00F8308B" w:rsidP="4455514C" w14:paraId="4248B360" w14:textId="10488179">
      <w:pPr>
        <w:suppressAutoHyphens/>
        <w:spacing w:after="240" w:line="480" w:lineRule="auto"/>
      </w:pPr>
      <w:r>
        <w:t xml:space="preserve">Information obtained from program applicants, participants, farmers, and farmers’ markets is kept </w:t>
      </w:r>
      <w:r w:rsidR="1B826A1C">
        <w:t xml:space="preserve">private </w:t>
      </w:r>
      <w:r>
        <w:t xml:space="preserve">in adherence to 7 CFR 249.24 and will not be disclosed to </w:t>
      </w:r>
      <w:r w:rsidR="00613492">
        <w:t>anyone,</w:t>
      </w:r>
      <w:r>
        <w:t xml:space="preserve"> but the individuals involved with this data collection or investigation, except as otherwise permitted or required by law or the above-noted provisions of the SFMNP regulations.   </w:t>
      </w:r>
    </w:p>
    <w:p w:rsidR="00F8308B" w:rsidP="31E95EC7" w14:paraId="13F166D3" w14:textId="70BA8C5C">
      <w:pPr>
        <w:suppressAutoHyphens/>
        <w:spacing w:after="240" w:line="480" w:lineRule="auto"/>
      </w:pPr>
      <w:r>
        <w:t xml:space="preserve">With constantly changing technology, as well as constantly changing threats, </w:t>
      </w:r>
      <w:r w:rsidR="00DC63B0">
        <w:t>FNA</w:t>
      </w:r>
      <w:r>
        <w:t xml:space="preserve"> has taken the position that it is impossible to set and enforce security standards for State agency systems. It would be inappropriate for </w:t>
      </w:r>
      <w:r w:rsidR="00DC63B0">
        <w:t>FNA</w:t>
      </w:r>
      <w:r>
        <w:t xml:space="preserve"> to assume the liability of approving or certifying systems </w:t>
      </w:r>
      <w:r>
        <w:t xml:space="preserve">with </w:t>
      </w:r>
      <w:r>
        <w:t>regard to</w:t>
      </w:r>
      <w:r>
        <w:t xml:space="preserve"> security. To the extent that </w:t>
      </w:r>
      <w:r w:rsidR="00DC63B0">
        <w:t>FNA</w:t>
      </w:r>
      <w:r>
        <w:t xml:space="preserve"> reviews security as part of the assessment of a </w:t>
      </w:r>
      <w:r>
        <w:t>State</w:t>
      </w:r>
      <w:r>
        <w:t xml:space="preserve"> agency system, it is to inquire about the State agency’s standards and protocols, and to seek the State agency’s own attestation that they are adhering to their standards.  </w:t>
      </w:r>
    </w:p>
    <w:p w:rsidR="00BB11FA" w:rsidP="31E95EC7" w14:paraId="4EC5A76D" w14:textId="0C644CEC">
      <w:pPr>
        <w:suppressAutoHyphens/>
        <w:spacing w:after="240" w:line="480" w:lineRule="auto"/>
      </w:pPr>
      <w:r>
        <w:t xml:space="preserve">This ICR does not request </w:t>
      </w:r>
      <w:r w:rsidR="00AB5132">
        <w:t>PII</w:t>
      </w:r>
      <w:r>
        <w:t xml:space="preserve">, nor does it include any forms that require a Privacy Act </w:t>
      </w:r>
      <w:r w:rsidR="0014407A">
        <w:t>s</w:t>
      </w:r>
      <w:r>
        <w:t xml:space="preserve">tatement. </w:t>
      </w:r>
      <w:r w:rsidR="00DC63B0">
        <w:t>FNA</w:t>
      </w:r>
      <w:r>
        <w:t xml:space="preserve"> receives (and maintains) only aggregated data not involving PII for this collection. The State and local agencies use and maintain their M</w:t>
      </w:r>
      <w:r w:rsidR="003615C0">
        <w:t>IS</w:t>
      </w:r>
      <w:r>
        <w:t xml:space="preserve"> to manage PII. </w:t>
      </w:r>
      <w:r w:rsidR="00DC63B0">
        <w:t>FNA</w:t>
      </w:r>
      <w:r>
        <w:t xml:space="preserve"> ensures that State and local agencies keep information </w:t>
      </w:r>
      <w:r w:rsidR="7CBB917A">
        <w:t>private</w:t>
      </w:r>
      <w:r>
        <w:t xml:space="preserve">, in compliance with program regulations, through management evaluations (ME). If an ME reveals that </w:t>
      </w:r>
      <w:r w:rsidR="0A88B12B">
        <w:t xml:space="preserve">private </w:t>
      </w:r>
      <w:r>
        <w:t xml:space="preserve">information has been shared or could have been at risk of being shared, </w:t>
      </w:r>
      <w:r w:rsidR="00DC63B0">
        <w:t>FNA</w:t>
      </w:r>
      <w:r>
        <w:t xml:space="preserve"> will require a corrective action plan to correct the noncompliance. </w:t>
      </w:r>
    </w:p>
    <w:p w:rsidR="0014407A" w:rsidRPr="002568E6" w:rsidP="0046371B" w14:paraId="2BB22049" w14:textId="771395F9">
      <w:pPr>
        <w:suppressAutoHyphens/>
        <w:spacing w:after="240" w:line="480" w:lineRule="auto"/>
      </w:pPr>
      <w:r>
        <w:t xml:space="preserve">The </w:t>
      </w:r>
      <w:r w:rsidR="00DC63B0">
        <w:t>FNA</w:t>
      </w:r>
      <w:r>
        <w:t xml:space="preserve"> Privacy Officer</w:t>
      </w:r>
      <w:r w:rsidR="0046133B">
        <w:t>, Deea Coleman,</w:t>
      </w:r>
      <w:r>
        <w:t xml:space="preserve"> determined that a Privacy Act System of Records Notice (SORN) is not applicable to this collection. </w:t>
      </w:r>
    </w:p>
    <w:p w:rsidR="00A308DB" w:rsidRPr="002568E6" w:rsidP="0062567E" w14:paraId="03E0F69D" w14:textId="77777777">
      <w:pPr>
        <w:pStyle w:val="Heading1"/>
        <w:rPr>
          <w:szCs w:val="24"/>
        </w:rPr>
      </w:pPr>
      <w:bookmarkStart w:id="20" w:name="_Toc401831367"/>
      <w:bookmarkStart w:id="21" w:name="_Toc224640034"/>
      <w:r w:rsidRPr="002568E6">
        <w:rPr>
          <w:szCs w:val="24"/>
        </w:rPr>
        <w:t>A11.  Justification for any questions of a sensitive nature.</w:t>
      </w:r>
      <w:bookmarkEnd w:id="20"/>
      <w:bookmarkEnd w:id="21"/>
      <w:r w:rsidRPr="002568E6">
        <w:rPr>
          <w:szCs w:val="24"/>
        </w:rPr>
        <w:t xml:space="preserve">  </w:t>
      </w:r>
      <w:r w:rsidRPr="002568E6" w:rsidR="005A3F80">
        <w:rPr>
          <w:szCs w:val="24"/>
        </w:rPr>
        <w:t xml:space="preserve">  </w:t>
      </w:r>
    </w:p>
    <w:p w:rsidR="003333DF" w:rsidRPr="002568E6" w:rsidP="00BE0B08" w14:paraId="03E0F69E" w14:textId="77777777">
      <w:pPr>
        <w:tabs>
          <w:tab w:val="left" w:pos="0"/>
        </w:tabs>
        <w:suppressAutoHyphens/>
        <w:rPr>
          <w:szCs w:val="24"/>
        </w:rPr>
      </w:pPr>
    </w:p>
    <w:p w:rsidR="003333DF" w:rsidRPr="002568E6" w:rsidP="00BE0B08" w14:paraId="03E0F69F" w14:textId="4D4656FD">
      <w:pPr>
        <w:tabs>
          <w:tab w:val="left" w:pos="0"/>
        </w:tabs>
        <w:suppressAutoHyphens/>
        <w:rPr>
          <w:b/>
          <w:szCs w:val="24"/>
        </w:rPr>
      </w:pPr>
      <w:r w:rsidRPr="002568E6">
        <w:rPr>
          <w:b/>
          <w:szCs w:val="24"/>
        </w:rPr>
        <w:t xml:space="preserve">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w:t>
      </w:r>
      <w:r w:rsidRPr="002568E6">
        <w:rPr>
          <w:b/>
          <w:szCs w:val="24"/>
        </w:rPr>
        <w:t>persons</w:t>
      </w:r>
      <w:r w:rsidRPr="002568E6">
        <w:rPr>
          <w:b/>
          <w:szCs w:val="24"/>
        </w:rPr>
        <w:t xml:space="preserve"> from whom the information is requested, and any steps to be taken to obtain their consent.</w:t>
      </w:r>
    </w:p>
    <w:p w:rsidR="00ED28F2" w:rsidRPr="002568E6" w:rsidP="00ED28F2" w14:paraId="03E0F6A0" w14:textId="77777777">
      <w:pPr>
        <w:tabs>
          <w:tab w:val="left" w:pos="-720"/>
        </w:tabs>
        <w:suppressAutoHyphens/>
        <w:rPr>
          <w:szCs w:val="24"/>
        </w:rPr>
      </w:pPr>
    </w:p>
    <w:p w:rsidR="008E2949" w:rsidP="00BB11FA" w14:paraId="6B352B5B" w14:textId="1F536951">
      <w:pPr>
        <w:tabs>
          <w:tab w:val="left" w:pos="-720"/>
        </w:tabs>
        <w:suppressAutoHyphens/>
        <w:spacing w:after="240" w:line="480" w:lineRule="auto"/>
        <w:rPr>
          <w:szCs w:val="24"/>
        </w:rPr>
      </w:pPr>
      <w:r>
        <w:rPr>
          <w:szCs w:val="24"/>
        </w:rPr>
        <w:t>T</w:t>
      </w:r>
      <w:r w:rsidRPr="00F35262" w:rsidR="00F35262">
        <w:rPr>
          <w:szCs w:val="24"/>
        </w:rPr>
        <w:t xml:space="preserve">he SFMNP </w:t>
      </w:r>
      <w:r>
        <w:rPr>
          <w:szCs w:val="24"/>
        </w:rPr>
        <w:t xml:space="preserve">certification process requires applicants to </w:t>
      </w:r>
      <w:r w:rsidRPr="00F35262" w:rsidR="00F35262">
        <w:rPr>
          <w:szCs w:val="24"/>
        </w:rPr>
        <w:t>meet certain eligibility criteria to participat</w:t>
      </w:r>
      <w:r w:rsidR="00692DA8">
        <w:rPr>
          <w:szCs w:val="24"/>
        </w:rPr>
        <w:t>e</w:t>
      </w:r>
      <w:r w:rsidRPr="00F35262" w:rsidR="00F35262">
        <w:rPr>
          <w:szCs w:val="24"/>
        </w:rPr>
        <w:t>. Participants must be low-income seniors, generally defined as individuals who are at least 60 years old and who have household incomes of not more than 185</w:t>
      </w:r>
      <w:r w:rsidR="003E2C16">
        <w:rPr>
          <w:szCs w:val="24"/>
        </w:rPr>
        <w:t xml:space="preserve"> percent</w:t>
      </w:r>
      <w:r w:rsidRPr="00F35262" w:rsidR="00F35262">
        <w:rPr>
          <w:szCs w:val="24"/>
        </w:rPr>
        <w:t xml:space="preserve"> of the Federal poverty guidelines. During the certification process, </w:t>
      </w:r>
      <w:r w:rsidR="0063139D">
        <w:rPr>
          <w:szCs w:val="24"/>
        </w:rPr>
        <w:t xml:space="preserve">applicants must provide information on their </w:t>
      </w:r>
      <w:r w:rsidRPr="00F35262" w:rsidR="00F35262">
        <w:rPr>
          <w:szCs w:val="24"/>
        </w:rPr>
        <w:t>annual earnings and age.</w:t>
      </w:r>
      <w:r w:rsidR="0028785D">
        <w:rPr>
          <w:szCs w:val="24"/>
        </w:rPr>
        <w:t xml:space="preserve"> State agencies develop their own </w:t>
      </w:r>
      <w:r w:rsidR="00E87EA9">
        <w:rPr>
          <w:szCs w:val="24"/>
        </w:rPr>
        <w:t xml:space="preserve">SFMNP </w:t>
      </w:r>
      <w:r w:rsidR="0028785D">
        <w:rPr>
          <w:szCs w:val="24"/>
        </w:rPr>
        <w:t>application forms.</w:t>
      </w:r>
      <w:r w:rsidRPr="00F35262" w:rsidR="00F35262">
        <w:rPr>
          <w:szCs w:val="24"/>
        </w:rPr>
        <w:t xml:space="preserve"> </w:t>
      </w:r>
      <w:r w:rsidR="00796682">
        <w:rPr>
          <w:szCs w:val="24"/>
        </w:rPr>
        <w:t xml:space="preserve">To comply </w:t>
      </w:r>
      <w:r w:rsidR="00796682">
        <w:rPr>
          <w:szCs w:val="24"/>
        </w:rPr>
        <w:t xml:space="preserve">with civil rights requirements, State agencies </w:t>
      </w:r>
      <w:r w:rsidR="00AD65DE">
        <w:rPr>
          <w:szCs w:val="24"/>
        </w:rPr>
        <w:t xml:space="preserve">must </w:t>
      </w:r>
      <w:r w:rsidR="00237E2B">
        <w:rPr>
          <w:szCs w:val="24"/>
        </w:rPr>
        <w:t xml:space="preserve">follow </w:t>
      </w:r>
      <w:r w:rsidR="00DC63B0">
        <w:rPr>
          <w:szCs w:val="24"/>
        </w:rPr>
        <w:t>FNA</w:t>
      </w:r>
      <w:r w:rsidR="00AD65DE">
        <w:rPr>
          <w:szCs w:val="24"/>
        </w:rPr>
        <w:t xml:space="preserve"> instructions</w:t>
      </w:r>
      <w:r w:rsidR="009F1E58">
        <w:rPr>
          <w:szCs w:val="24"/>
        </w:rPr>
        <w:t xml:space="preserve"> and OMB guidance</w:t>
      </w:r>
      <w:r w:rsidR="00237E2B">
        <w:rPr>
          <w:szCs w:val="24"/>
        </w:rPr>
        <w:t xml:space="preserve"> </w:t>
      </w:r>
      <w:r w:rsidR="00AD65DE">
        <w:rPr>
          <w:szCs w:val="24"/>
        </w:rPr>
        <w:t xml:space="preserve">for </w:t>
      </w:r>
      <w:r w:rsidR="00237E2B">
        <w:rPr>
          <w:szCs w:val="24"/>
        </w:rPr>
        <w:t xml:space="preserve">collecting </w:t>
      </w:r>
      <w:r w:rsidR="00AD65DE">
        <w:rPr>
          <w:szCs w:val="24"/>
        </w:rPr>
        <w:t>racial and ethnic participation data, per 7 CFR 249.7(a)(vi).</w:t>
      </w:r>
      <w:r w:rsidR="00892779">
        <w:rPr>
          <w:szCs w:val="24"/>
        </w:rPr>
        <w:t xml:space="preserve"> </w:t>
      </w:r>
    </w:p>
    <w:p w:rsidR="00281570" w:rsidRPr="002568E6" w:rsidP="0046371B" w14:paraId="710FA7A7" w14:textId="3E7A8A92">
      <w:pPr>
        <w:tabs>
          <w:tab w:val="left" w:pos="-720"/>
        </w:tabs>
        <w:suppressAutoHyphens/>
        <w:spacing w:after="240" w:line="480" w:lineRule="auto"/>
        <w:rPr>
          <w:szCs w:val="24"/>
        </w:rPr>
      </w:pPr>
      <w:r w:rsidRPr="00F35262">
        <w:rPr>
          <w:szCs w:val="24"/>
        </w:rPr>
        <w:t xml:space="preserve">At the time of certification, each SFMNP applicant or authorized representative must read or have read to them </w:t>
      </w:r>
      <w:r w:rsidR="00E25F39">
        <w:rPr>
          <w:szCs w:val="24"/>
        </w:rPr>
        <w:t xml:space="preserve">a </w:t>
      </w:r>
      <w:r w:rsidRPr="00F35262">
        <w:rPr>
          <w:szCs w:val="24"/>
        </w:rPr>
        <w:t>statement</w:t>
      </w:r>
      <w:r w:rsidR="00E25F39">
        <w:rPr>
          <w:szCs w:val="24"/>
        </w:rPr>
        <w:t xml:space="preserve"> </w:t>
      </w:r>
      <w:r w:rsidR="00351701">
        <w:rPr>
          <w:szCs w:val="24"/>
        </w:rPr>
        <w:t xml:space="preserve">explaining </w:t>
      </w:r>
      <w:r w:rsidRPr="00F35262">
        <w:rPr>
          <w:szCs w:val="24"/>
        </w:rPr>
        <w:t>that</w:t>
      </w:r>
      <w:r w:rsidR="00D670A8">
        <w:rPr>
          <w:szCs w:val="24"/>
        </w:rPr>
        <w:t xml:space="preserve"> the</w:t>
      </w:r>
      <w:r w:rsidRPr="00F35262">
        <w:rPr>
          <w:szCs w:val="24"/>
        </w:rPr>
        <w:t xml:space="preserve"> information </w:t>
      </w:r>
      <w:r w:rsidR="00726A45">
        <w:rPr>
          <w:szCs w:val="24"/>
        </w:rPr>
        <w:t>they</w:t>
      </w:r>
      <w:r w:rsidR="009F1AA9">
        <w:rPr>
          <w:szCs w:val="24"/>
        </w:rPr>
        <w:t xml:space="preserve"> are</w:t>
      </w:r>
      <w:r w:rsidR="00726A45">
        <w:rPr>
          <w:szCs w:val="24"/>
        </w:rPr>
        <w:t xml:space="preserve"> provid</w:t>
      </w:r>
      <w:r w:rsidR="009F1AA9">
        <w:rPr>
          <w:szCs w:val="24"/>
        </w:rPr>
        <w:t>ing</w:t>
      </w:r>
      <w:r w:rsidR="00726A45">
        <w:rPr>
          <w:szCs w:val="24"/>
        </w:rPr>
        <w:t xml:space="preserve"> </w:t>
      </w:r>
      <w:r w:rsidR="002E4FE6">
        <w:rPr>
          <w:szCs w:val="24"/>
        </w:rPr>
        <w:t>is</w:t>
      </w:r>
      <w:r w:rsidRPr="00F35262">
        <w:rPr>
          <w:szCs w:val="24"/>
        </w:rPr>
        <w:t xml:space="preserve"> </w:t>
      </w:r>
      <w:r w:rsidR="00B75B4B">
        <w:rPr>
          <w:szCs w:val="24"/>
        </w:rPr>
        <w:t>required</w:t>
      </w:r>
      <w:r w:rsidRPr="00F35262" w:rsidR="00B75B4B">
        <w:rPr>
          <w:szCs w:val="24"/>
        </w:rPr>
        <w:t xml:space="preserve"> </w:t>
      </w:r>
      <w:r w:rsidR="00B75B4B">
        <w:rPr>
          <w:szCs w:val="24"/>
        </w:rPr>
        <w:t xml:space="preserve">to </w:t>
      </w:r>
      <w:r w:rsidRPr="00F35262">
        <w:rPr>
          <w:szCs w:val="24"/>
        </w:rPr>
        <w:t>receiv</w:t>
      </w:r>
      <w:r w:rsidR="00B75B4B">
        <w:rPr>
          <w:szCs w:val="24"/>
        </w:rPr>
        <w:t>e</w:t>
      </w:r>
      <w:r w:rsidRPr="00F35262">
        <w:rPr>
          <w:szCs w:val="24"/>
        </w:rPr>
        <w:t xml:space="preserve"> SFMNP benefits</w:t>
      </w:r>
      <w:r w:rsidR="00E4040B">
        <w:rPr>
          <w:szCs w:val="24"/>
        </w:rPr>
        <w:t xml:space="preserve">. Applicants must </w:t>
      </w:r>
      <w:r w:rsidRPr="00F35262">
        <w:rPr>
          <w:szCs w:val="24"/>
        </w:rPr>
        <w:t>sign their acknowledg</w:t>
      </w:r>
      <w:r w:rsidR="00F63187">
        <w:rPr>
          <w:szCs w:val="24"/>
        </w:rPr>
        <w:t>ment</w:t>
      </w:r>
      <w:r w:rsidR="00482E0A">
        <w:rPr>
          <w:szCs w:val="24"/>
        </w:rPr>
        <w:t xml:space="preserve"> to </w:t>
      </w:r>
      <w:r w:rsidR="004D0DF3">
        <w:rPr>
          <w:szCs w:val="24"/>
        </w:rPr>
        <w:t>receive benefits</w:t>
      </w:r>
      <w:r w:rsidR="00482E0A">
        <w:rPr>
          <w:szCs w:val="24"/>
        </w:rPr>
        <w:t xml:space="preserve">. </w:t>
      </w:r>
      <w:r w:rsidR="00937DFD">
        <w:rPr>
          <w:szCs w:val="24"/>
        </w:rPr>
        <w:t xml:space="preserve">See the </w:t>
      </w:r>
      <w:r w:rsidRPr="00281570" w:rsidR="00C24373">
        <w:rPr>
          <w:szCs w:val="24"/>
        </w:rPr>
        <w:t xml:space="preserve">response to A10 above for more information about </w:t>
      </w:r>
      <w:r w:rsidR="002C0ED8">
        <w:rPr>
          <w:szCs w:val="24"/>
        </w:rPr>
        <w:t>SFMNP</w:t>
      </w:r>
      <w:r w:rsidRPr="00281570" w:rsidR="00C24373">
        <w:rPr>
          <w:szCs w:val="24"/>
        </w:rPr>
        <w:t xml:space="preserve"> </w:t>
      </w:r>
      <w:r w:rsidR="00B75B4B">
        <w:rPr>
          <w:szCs w:val="24"/>
        </w:rPr>
        <w:t>privacy</w:t>
      </w:r>
      <w:r w:rsidRPr="00281570" w:rsidR="00B75B4B">
        <w:rPr>
          <w:szCs w:val="24"/>
        </w:rPr>
        <w:t xml:space="preserve"> </w:t>
      </w:r>
      <w:r w:rsidRPr="00281570" w:rsidR="00C24373">
        <w:rPr>
          <w:szCs w:val="24"/>
        </w:rPr>
        <w:t>requirements</w:t>
      </w:r>
      <w:r w:rsidR="00937DFD">
        <w:rPr>
          <w:szCs w:val="24"/>
        </w:rPr>
        <w:t>.</w:t>
      </w:r>
    </w:p>
    <w:p w:rsidR="000438E8" w:rsidRPr="002568E6" w:rsidP="0062567E" w14:paraId="03E0F6A3" w14:textId="77777777">
      <w:pPr>
        <w:pStyle w:val="Heading1"/>
        <w:rPr>
          <w:szCs w:val="24"/>
        </w:rPr>
      </w:pPr>
      <w:bookmarkStart w:id="22" w:name="_Toc401831368"/>
      <w:bookmarkStart w:id="23" w:name="_Toc224640035"/>
      <w:r w:rsidRPr="002568E6">
        <w:rPr>
          <w:szCs w:val="24"/>
        </w:rPr>
        <w:t>A12.  Estimates of the hour burden of the collection of information.</w:t>
      </w:r>
      <w:bookmarkEnd w:id="22"/>
      <w:bookmarkEnd w:id="23"/>
      <w:r w:rsidRPr="002568E6">
        <w:rPr>
          <w:szCs w:val="24"/>
        </w:rPr>
        <w:t xml:space="preserve">  </w:t>
      </w:r>
    </w:p>
    <w:p w:rsidR="003333DF" w:rsidRPr="002568E6" w:rsidP="000438E8" w14:paraId="03E0F6A4" w14:textId="77777777">
      <w:pPr>
        <w:tabs>
          <w:tab w:val="left" w:pos="0"/>
        </w:tabs>
        <w:suppressAutoHyphens/>
        <w:rPr>
          <w:b/>
          <w:szCs w:val="24"/>
        </w:rPr>
      </w:pPr>
    </w:p>
    <w:p w:rsidR="003333DF" w:rsidRPr="002568E6" w:rsidP="000438E8" w14:paraId="03E0F6A5" w14:textId="6FB48CE3">
      <w:pPr>
        <w:tabs>
          <w:tab w:val="left" w:pos="0"/>
        </w:tabs>
        <w:suppressAutoHyphens/>
        <w:rPr>
          <w:b/>
          <w:szCs w:val="24"/>
        </w:rPr>
      </w:pPr>
      <w:r w:rsidRPr="002568E6">
        <w:rPr>
          <w:b/>
          <w:szCs w:val="24"/>
        </w:rPr>
        <w:t>Provide estimates of the hour burden of the collection of information. Indicate the number of respondents, frequency of response, annual hour burden, and an explanation of how the burden was estimated.</w:t>
      </w:r>
    </w:p>
    <w:p w:rsidR="003333DF" w:rsidRPr="002568E6" w:rsidP="000438E8" w14:paraId="03E0F6A6" w14:textId="77777777">
      <w:pPr>
        <w:tabs>
          <w:tab w:val="left" w:pos="0"/>
        </w:tabs>
        <w:suppressAutoHyphens/>
        <w:rPr>
          <w:b/>
          <w:szCs w:val="24"/>
        </w:rPr>
      </w:pPr>
    </w:p>
    <w:p w:rsidR="003333DF" w:rsidRPr="002568E6" w:rsidP="66EB0783" w14:paraId="03E0F6A7" w14:textId="60C45BD8">
      <w:pPr>
        <w:tabs>
          <w:tab w:val="left" w:pos="0"/>
        </w:tabs>
        <w:suppressAutoHyphens/>
        <w:rPr>
          <w:b/>
          <w:bCs/>
        </w:rPr>
      </w:pPr>
      <w:r w:rsidRPr="66EB0783">
        <w:rPr>
          <w:b/>
          <w:bCs/>
        </w:rPr>
        <w:t>A.</w:t>
      </w:r>
      <w:r w:rsidRPr="66EB0783" w:rsidR="5FA2CB86">
        <w:rPr>
          <w:b/>
          <w:bCs/>
        </w:rPr>
        <w:t xml:space="preserve"> </w:t>
      </w:r>
      <w:r w:rsidRPr="66EB0783">
        <w:rPr>
          <w:b/>
          <w:bCs/>
        </w:rPr>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ED28F2" w:rsidRPr="002568E6" w:rsidP="00ED28F2" w14:paraId="03E0F6A8" w14:textId="77777777">
      <w:pPr>
        <w:tabs>
          <w:tab w:val="left" w:pos="-720"/>
        </w:tabs>
        <w:suppressAutoHyphens/>
        <w:rPr>
          <w:szCs w:val="24"/>
        </w:rPr>
      </w:pPr>
    </w:p>
    <w:p w:rsidR="008C1DD2" w:rsidP="31E95EC7" w14:paraId="02181DC4" w14:textId="1F0952DF">
      <w:pPr>
        <w:suppressAutoHyphens/>
        <w:spacing w:after="240" w:line="480" w:lineRule="auto"/>
      </w:pPr>
      <w:r>
        <w:t xml:space="preserve">This information collection includes the </w:t>
      </w:r>
      <w:r w:rsidR="005214A9">
        <w:t xml:space="preserve">burden associated with the </w:t>
      </w:r>
      <w:r>
        <w:t xml:space="preserve">reporting and recordkeeping requirements for </w:t>
      </w:r>
      <w:r w:rsidR="005214A9">
        <w:t>SFMNP</w:t>
      </w:r>
      <w:r>
        <w:t xml:space="preserve">. </w:t>
      </w:r>
      <w:r w:rsidR="00A83B4D">
        <w:t>R</w:t>
      </w:r>
      <w:r w:rsidR="00C0575F">
        <w:t>evision</w:t>
      </w:r>
      <w:r w:rsidR="00A83B4D">
        <w:t>s</w:t>
      </w:r>
      <w:r w:rsidR="00C0575F">
        <w:t xml:space="preserve"> </w:t>
      </w:r>
      <w:r w:rsidR="00A83B4D">
        <w:t xml:space="preserve">in the burden hours </w:t>
      </w:r>
      <w:r w:rsidR="00C0575F">
        <w:t xml:space="preserve">are due to </w:t>
      </w:r>
      <w:r w:rsidR="00A83B4D">
        <w:t xml:space="preserve">program changes, resulting from </w:t>
      </w:r>
      <w:r w:rsidR="00C0575F">
        <w:t xml:space="preserve">SFMNP </w:t>
      </w:r>
      <w:r>
        <w:t>S</w:t>
      </w:r>
      <w:r w:rsidR="00C0575F">
        <w:t>tate agencies transitioning from paper coupon systems to electronic benefit systems</w:t>
      </w:r>
      <w:r w:rsidR="00F01F41">
        <w:t xml:space="preserve">, the approval of the </w:t>
      </w:r>
      <w:r w:rsidR="00F01F41">
        <w:t>WiSP</w:t>
      </w:r>
      <w:r w:rsidR="00F01F41">
        <w:t xml:space="preserve"> ICR, and </w:t>
      </w:r>
      <w:r w:rsidR="00C0575F">
        <w:t xml:space="preserve">corrections to more accurately capture program requirements. </w:t>
      </w:r>
      <w:r w:rsidR="008F6914">
        <w:t xml:space="preserve">Additional revisions in the burden hours are due to </w:t>
      </w:r>
      <w:r w:rsidR="00C0575F">
        <w:t>program adjustments</w:t>
      </w:r>
      <w:r w:rsidR="008F6914">
        <w:t>, which</w:t>
      </w:r>
      <w:r w:rsidR="00C0575F">
        <w:t xml:space="preserve"> account for changes in the number of participants, authorized outlets, and </w:t>
      </w:r>
      <w:r>
        <w:t>S</w:t>
      </w:r>
      <w:r w:rsidR="00C0575F">
        <w:t xml:space="preserve">tate and local agencies. </w:t>
      </w:r>
      <w:r w:rsidR="00CB49E9">
        <w:t xml:space="preserve">See the </w:t>
      </w:r>
      <w:r w:rsidR="00601D65">
        <w:t xml:space="preserve">burden </w:t>
      </w:r>
      <w:r w:rsidRPr="005433F5" w:rsidR="00601D65">
        <w:t xml:space="preserve">table (Attachment </w:t>
      </w:r>
      <w:r w:rsidRPr="005433F5" w:rsidR="005433F5">
        <w:t>D</w:t>
      </w:r>
      <w:r w:rsidRPr="005433F5" w:rsidR="00601D65">
        <w:t xml:space="preserve">), </w:t>
      </w:r>
      <w:r w:rsidRPr="005433F5" w:rsidR="00A31BC7">
        <w:t xml:space="preserve">the </w:t>
      </w:r>
      <w:r w:rsidRPr="005433F5" w:rsidR="00CB49E9">
        <w:t xml:space="preserve">burden narrative (Attachment </w:t>
      </w:r>
      <w:r w:rsidRPr="005433F5" w:rsidR="005433F5">
        <w:t>E</w:t>
      </w:r>
      <w:r w:rsidRPr="005433F5" w:rsidR="00CB49E9">
        <w:t>)</w:t>
      </w:r>
      <w:r w:rsidRPr="005433F5" w:rsidR="00A31BC7">
        <w:t>,</w:t>
      </w:r>
      <w:r w:rsidRPr="005433F5" w:rsidR="00CB49E9">
        <w:t xml:space="preserve"> and</w:t>
      </w:r>
      <w:r w:rsidR="00CB49E9">
        <w:t xml:space="preserve"> the response to question A15 below for additional details.</w:t>
      </w:r>
      <w:r w:rsidR="00C0575F">
        <w:t xml:space="preserve"> </w:t>
      </w:r>
    </w:p>
    <w:tbl>
      <w:tblPr>
        <w:tblpPr w:leftFromText="180" w:rightFromText="180" w:vertAnchor="text" w:horzAnchor="margin" w:tblpXSpec="center" w:tblpY="5544"/>
        <w:tblW w:w="5563" w:type="pct"/>
        <w:jc w:val="center"/>
        <w:tblLayout w:type="fixed"/>
        <w:tblLook w:val="0000"/>
      </w:tblPr>
      <w:tblGrid>
        <w:gridCol w:w="3444"/>
        <w:gridCol w:w="1523"/>
        <w:gridCol w:w="1430"/>
        <w:gridCol w:w="1476"/>
        <w:gridCol w:w="1043"/>
        <w:gridCol w:w="1476"/>
      </w:tblGrid>
      <w:tr w14:paraId="20704685" w14:textId="77777777" w:rsidTr="00BC6599">
        <w:tblPrEx>
          <w:tblW w:w="5563" w:type="pct"/>
          <w:jc w:val="center"/>
          <w:tblLayout w:type="fixed"/>
          <w:tblLook w:val="0000"/>
        </w:tblPrEx>
        <w:trPr>
          <w:trHeight w:val="707"/>
          <w:jc w:val="center"/>
        </w:trPr>
        <w:tc>
          <w:tcPr>
            <w:tcW w:w="1657" w:type="pct"/>
            <w:tcBorders>
              <w:top w:val="single" w:sz="8" w:space="0" w:color="auto"/>
              <w:left w:val="single" w:sz="8" w:space="0" w:color="auto"/>
              <w:bottom w:val="single" w:sz="8" w:space="0" w:color="auto"/>
              <w:right w:val="single" w:sz="4" w:space="0" w:color="auto"/>
            </w:tcBorders>
            <w:noWrap/>
            <w:vAlign w:val="center"/>
          </w:tcPr>
          <w:p w:rsidR="00BC6599" w:rsidRPr="00304DFF" w:rsidP="00BC6599" w14:paraId="4AEC5D64" w14:textId="77777777">
            <w:pPr>
              <w:jc w:val="center"/>
              <w:rPr>
                <w:b/>
              </w:rPr>
            </w:pPr>
            <w:r>
              <w:br w:type="page"/>
            </w:r>
            <w:r w:rsidRPr="00304DFF">
              <w:rPr>
                <w:b/>
              </w:rPr>
              <w:t>Type of Respondent</w:t>
            </w:r>
          </w:p>
        </w:tc>
        <w:tc>
          <w:tcPr>
            <w:tcW w:w="733" w:type="pct"/>
            <w:tcBorders>
              <w:top w:val="single" w:sz="8" w:space="0" w:color="auto"/>
              <w:left w:val="nil"/>
              <w:bottom w:val="single" w:sz="8" w:space="0" w:color="auto"/>
              <w:right w:val="single" w:sz="4" w:space="0" w:color="auto"/>
            </w:tcBorders>
            <w:vAlign w:val="center"/>
          </w:tcPr>
          <w:p w:rsidR="00BC6599" w:rsidRPr="00304DFF" w:rsidP="00BC6599" w14:paraId="68C7A502" w14:textId="77777777">
            <w:pPr>
              <w:jc w:val="center"/>
              <w:rPr>
                <w:b/>
                <w:color w:val="000000"/>
              </w:rPr>
            </w:pPr>
            <w:r w:rsidRPr="00304DFF">
              <w:rPr>
                <w:b/>
                <w:color w:val="000000"/>
              </w:rPr>
              <w:t>Total Estimated Number of Respondents</w:t>
            </w:r>
          </w:p>
        </w:tc>
        <w:tc>
          <w:tcPr>
            <w:tcW w:w="688" w:type="pct"/>
            <w:tcBorders>
              <w:top w:val="single" w:sz="8" w:space="0" w:color="auto"/>
              <w:left w:val="nil"/>
              <w:bottom w:val="single" w:sz="8" w:space="0" w:color="auto"/>
              <w:right w:val="single" w:sz="4" w:space="0" w:color="auto"/>
            </w:tcBorders>
            <w:vAlign w:val="center"/>
          </w:tcPr>
          <w:p w:rsidR="00BC6599" w:rsidRPr="00304DFF" w:rsidP="00BC6599" w14:paraId="4E123C34" w14:textId="77777777">
            <w:pPr>
              <w:jc w:val="center"/>
              <w:rPr>
                <w:b/>
                <w:color w:val="000000"/>
              </w:rPr>
            </w:pPr>
            <w:r w:rsidRPr="00304DFF">
              <w:rPr>
                <w:b/>
                <w:color w:val="000000"/>
              </w:rPr>
              <w:t>Annual Responses Per Respondent</w:t>
            </w:r>
          </w:p>
        </w:tc>
        <w:tc>
          <w:tcPr>
            <w:tcW w:w="710" w:type="pct"/>
            <w:tcBorders>
              <w:top w:val="single" w:sz="8" w:space="0" w:color="auto"/>
              <w:left w:val="nil"/>
              <w:bottom w:val="single" w:sz="8" w:space="0" w:color="auto"/>
              <w:right w:val="single" w:sz="4" w:space="0" w:color="auto"/>
            </w:tcBorders>
            <w:vAlign w:val="center"/>
          </w:tcPr>
          <w:p w:rsidR="00BC6599" w:rsidRPr="00304DFF" w:rsidP="00BC6599" w14:paraId="2C9C881C" w14:textId="77777777">
            <w:pPr>
              <w:jc w:val="center"/>
              <w:rPr>
                <w:b/>
                <w:color w:val="000000"/>
              </w:rPr>
            </w:pPr>
            <w:r w:rsidRPr="00304DFF">
              <w:rPr>
                <w:b/>
                <w:color w:val="000000"/>
              </w:rPr>
              <w:t>Total Estimated Annual Responses</w:t>
            </w:r>
          </w:p>
        </w:tc>
        <w:tc>
          <w:tcPr>
            <w:tcW w:w="502" w:type="pct"/>
            <w:tcBorders>
              <w:top w:val="single" w:sz="8" w:space="0" w:color="auto"/>
              <w:left w:val="nil"/>
              <w:bottom w:val="single" w:sz="8" w:space="0" w:color="auto"/>
              <w:right w:val="single" w:sz="4" w:space="0" w:color="auto"/>
            </w:tcBorders>
            <w:vAlign w:val="center"/>
          </w:tcPr>
          <w:p w:rsidR="00BC6599" w:rsidRPr="00304DFF" w:rsidP="00BC6599" w14:paraId="0C1E5F42" w14:textId="77777777">
            <w:pPr>
              <w:jc w:val="center"/>
              <w:rPr>
                <w:b/>
                <w:color w:val="000000"/>
              </w:rPr>
            </w:pPr>
            <w:r w:rsidRPr="00304DFF">
              <w:rPr>
                <w:b/>
                <w:color w:val="000000"/>
              </w:rPr>
              <w:t xml:space="preserve">Burden Hours Per Request </w:t>
            </w:r>
          </w:p>
        </w:tc>
        <w:tc>
          <w:tcPr>
            <w:tcW w:w="710" w:type="pct"/>
            <w:tcBorders>
              <w:top w:val="single" w:sz="8" w:space="0" w:color="auto"/>
              <w:left w:val="nil"/>
              <w:bottom w:val="single" w:sz="8" w:space="0" w:color="auto"/>
              <w:right w:val="single" w:sz="8" w:space="0" w:color="auto"/>
            </w:tcBorders>
            <w:vAlign w:val="center"/>
          </w:tcPr>
          <w:p w:rsidR="00BC6599" w:rsidRPr="00304DFF" w:rsidP="00BC6599" w14:paraId="04392C97" w14:textId="77777777">
            <w:pPr>
              <w:jc w:val="center"/>
              <w:rPr>
                <w:b/>
                <w:color w:val="000000"/>
              </w:rPr>
            </w:pPr>
            <w:r>
              <w:rPr>
                <w:b/>
                <w:color w:val="000000"/>
              </w:rPr>
              <w:t xml:space="preserve">Total </w:t>
            </w:r>
            <w:r w:rsidRPr="00304DFF">
              <w:rPr>
                <w:b/>
                <w:color w:val="000000"/>
              </w:rPr>
              <w:t>Estimated Burden Hours</w:t>
            </w:r>
          </w:p>
        </w:tc>
      </w:tr>
      <w:tr w14:paraId="63B530EF" w14:textId="77777777" w:rsidTr="00BC6599">
        <w:tblPrEx>
          <w:tblW w:w="5563" w:type="pct"/>
          <w:jc w:val="center"/>
          <w:tblLayout w:type="fixed"/>
          <w:tblLook w:val="0000"/>
        </w:tblPrEx>
        <w:trPr>
          <w:trHeight w:val="288"/>
          <w:jc w:val="center"/>
        </w:trPr>
        <w:tc>
          <w:tcPr>
            <w:tcW w:w="5000" w:type="pct"/>
            <w:gridSpan w:val="6"/>
            <w:tcBorders>
              <w:top w:val="single" w:sz="8" w:space="0" w:color="auto"/>
              <w:left w:val="single" w:sz="8" w:space="0" w:color="auto"/>
              <w:bottom w:val="single" w:sz="8" w:space="0" w:color="auto"/>
              <w:right w:val="single" w:sz="8" w:space="0" w:color="auto"/>
            </w:tcBorders>
            <w:noWrap/>
            <w:vAlign w:val="center"/>
          </w:tcPr>
          <w:p w:rsidR="00BC6599" w:rsidRPr="002A1B17" w:rsidP="00BC6599" w14:paraId="0E4E0F7F" w14:textId="77777777">
            <w:pPr>
              <w:jc w:val="center"/>
              <w:rPr>
                <w:b/>
                <w:i/>
                <w:iCs/>
                <w:color w:val="000000"/>
              </w:rPr>
            </w:pPr>
            <w:r w:rsidRPr="002A1B17">
              <w:rPr>
                <w:b/>
                <w:i/>
                <w:iCs/>
                <w:color w:val="000000"/>
              </w:rPr>
              <w:t>Reporting</w:t>
            </w:r>
          </w:p>
        </w:tc>
      </w:tr>
      <w:tr w14:paraId="6B975D54" w14:textId="77777777" w:rsidTr="00BC6599">
        <w:tblPrEx>
          <w:tblW w:w="5563" w:type="pct"/>
          <w:jc w:val="center"/>
          <w:tblLayout w:type="fixed"/>
          <w:tblLook w:val="0000"/>
        </w:tblPrEx>
        <w:trPr>
          <w:trHeight w:val="435"/>
          <w:jc w:val="center"/>
        </w:trPr>
        <w:tc>
          <w:tcPr>
            <w:tcW w:w="1657" w:type="pct"/>
            <w:tcBorders>
              <w:top w:val="single" w:sz="4" w:space="0" w:color="auto"/>
              <w:left w:val="single" w:sz="8" w:space="0" w:color="auto"/>
              <w:bottom w:val="single" w:sz="4" w:space="0" w:color="auto"/>
              <w:right w:val="single" w:sz="4" w:space="0" w:color="auto"/>
            </w:tcBorders>
            <w:vAlign w:val="center"/>
          </w:tcPr>
          <w:p w:rsidR="00BC6599" w:rsidRPr="00304DFF" w:rsidP="00BC6599" w14:paraId="39232AB3" w14:textId="77777777">
            <w:r w:rsidRPr="00304DFF">
              <w:t xml:space="preserve">STATE, LOCAL, &amp; INDIAN TRIBAL </w:t>
            </w:r>
            <w:r>
              <w:t>ORGANIZATIONS</w:t>
            </w:r>
          </w:p>
          <w:p w:rsidR="00BC6599" w:rsidRPr="004E4123" w:rsidP="00BC6599" w14:paraId="1529E1C2" w14:textId="77777777">
            <w:pPr>
              <w:rPr>
                <w:sz w:val="22"/>
                <w:szCs w:val="22"/>
              </w:rPr>
            </w:pPr>
            <w:r w:rsidRPr="004E4123">
              <w:rPr>
                <w:sz w:val="22"/>
                <w:szCs w:val="22"/>
              </w:rPr>
              <w:t>(</w:t>
            </w:r>
            <w:r>
              <w:rPr>
                <w:sz w:val="22"/>
                <w:szCs w:val="22"/>
              </w:rPr>
              <w:t>56 SFMNP State agencies</w:t>
            </w:r>
            <w:r w:rsidRPr="004E4123">
              <w:rPr>
                <w:sz w:val="22"/>
                <w:szCs w:val="22"/>
              </w:rPr>
              <w:t xml:space="preserve">; </w:t>
            </w:r>
            <w:r>
              <w:rPr>
                <w:sz w:val="22"/>
                <w:szCs w:val="22"/>
              </w:rPr>
              <w:t>779 SFMNP local agencies</w:t>
            </w:r>
            <w:r w:rsidRPr="004E4123">
              <w:rPr>
                <w:sz w:val="22"/>
                <w:szCs w:val="22"/>
              </w:rPr>
              <w:t>)</w:t>
            </w:r>
          </w:p>
        </w:tc>
        <w:tc>
          <w:tcPr>
            <w:tcW w:w="733" w:type="pct"/>
            <w:tcBorders>
              <w:top w:val="nil"/>
              <w:left w:val="nil"/>
              <w:bottom w:val="single" w:sz="4" w:space="0" w:color="auto"/>
              <w:right w:val="single" w:sz="4" w:space="0" w:color="auto"/>
            </w:tcBorders>
            <w:noWrap/>
            <w:vAlign w:val="center"/>
          </w:tcPr>
          <w:p w:rsidR="00BC6599" w:rsidRPr="00304DFF" w:rsidP="00BC6599" w14:paraId="02C682F5" w14:textId="77777777">
            <w:pPr>
              <w:jc w:val="center"/>
            </w:pPr>
            <w:r>
              <w:t>835</w:t>
            </w:r>
          </w:p>
        </w:tc>
        <w:tc>
          <w:tcPr>
            <w:tcW w:w="688" w:type="pct"/>
            <w:tcBorders>
              <w:top w:val="nil"/>
              <w:left w:val="nil"/>
              <w:bottom w:val="single" w:sz="4" w:space="0" w:color="auto"/>
              <w:right w:val="single" w:sz="4" w:space="0" w:color="auto"/>
            </w:tcBorders>
            <w:noWrap/>
            <w:vAlign w:val="center"/>
          </w:tcPr>
          <w:p w:rsidR="00BC6599" w:rsidRPr="00304DFF" w:rsidP="00BC6599" w14:paraId="149A9C51" w14:textId="77777777">
            <w:pPr>
              <w:jc w:val="center"/>
            </w:pPr>
            <w:r>
              <w:t>1,038.19</w:t>
            </w:r>
          </w:p>
        </w:tc>
        <w:tc>
          <w:tcPr>
            <w:tcW w:w="710" w:type="pct"/>
            <w:tcBorders>
              <w:top w:val="nil"/>
              <w:left w:val="nil"/>
              <w:bottom w:val="single" w:sz="4" w:space="0" w:color="auto"/>
              <w:right w:val="single" w:sz="4" w:space="0" w:color="auto"/>
            </w:tcBorders>
            <w:noWrap/>
            <w:vAlign w:val="center"/>
          </w:tcPr>
          <w:p w:rsidR="00BC6599" w:rsidRPr="00304DFF" w:rsidP="00BC6599" w14:paraId="0A6B8275" w14:textId="77777777">
            <w:pPr>
              <w:jc w:val="center"/>
            </w:pPr>
            <w:r>
              <w:t>866,996</w:t>
            </w:r>
          </w:p>
        </w:tc>
        <w:tc>
          <w:tcPr>
            <w:tcW w:w="502" w:type="pct"/>
            <w:tcBorders>
              <w:top w:val="nil"/>
              <w:left w:val="nil"/>
              <w:bottom w:val="single" w:sz="4" w:space="0" w:color="auto"/>
              <w:right w:val="single" w:sz="4" w:space="0" w:color="auto"/>
            </w:tcBorders>
            <w:noWrap/>
            <w:vAlign w:val="center"/>
          </w:tcPr>
          <w:p w:rsidR="00BC6599" w:rsidRPr="00304DFF" w:rsidP="00BC6599" w14:paraId="5978815E" w14:textId="77777777">
            <w:pPr>
              <w:jc w:val="center"/>
            </w:pPr>
            <w:r w:rsidRPr="00F766DE">
              <w:t>0.26</w:t>
            </w:r>
          </w:p>
        </w:tc>
        <w:tc>
          <w:tcPr>
            <w:tcW w:w="710" w:type="pct"/>
            <w:tcBorders>
              <w:top w:val="nil"/>
              <w:left w:val="nil"/>
              <w:bottom w:val="single" w:sz="4" w:space="0" w:color="auto"/>
              <w:right w:val="single" w:sz="8" w:space="0" w:color="auto"/>
            </w:tcBorders>
            <w:noWrap/>
            <w:vAlign w:val="center"/>
          </w:tcPr>
          <w:p w:rsidR="00BC6599" w:rsidRPr="00304DFF" w:rsidP="00BC6599" w14:paraId="7F07DC32" w14:textId="690125F3">
            <w:pPr>
              <w:jc w:val="center"/>
            </w:pPr>
            <w:r>
              <w:t>223,24</w:t>
            </w:r>
            <w:r w:rsidR="00BB5E46">
              <w:t>6</w:t>
            </w:r>
          </w:p>
        </w:tc>
      </w:tr>
      <w:tr w14:paraId="70FE85FF" w14:textId="77777777" w:rsidTr="00BC6599">
        <w:tblPrEx>
          <w:tblW w:w="5563" w:type="pct"/>
          <w:jc w:val="center"/>
          <w:tblLayout w:type="fixed"/>
          <w:tblLook w:val="0000"/>
        </w:tblPrEx>
        <w:trPr>
          <w:trHeight w:val="369"/>
          <w:jc w:val="center"/>
        </w:trPr>
        <w:tc>
          <w:tcPr>
            <w:tcW w:w="1657" w:type="pct"/>
            <w:tcBorders>
              <w:top w:val="nil"/>
              <w:left w:val="single" w:sz="8" w:space="0" w:color="auto"/>
              <w:bottom w:val="single" w:sz="4" w:space="0" w:color="auto"/>
              <w:right w:val="single" w:sz="4" w:space="0" w:color="auto"/>
            </w:tcBorders>
            <w:vAlign w:val="center"/>
          </w:tcPr>
          <w:p w:rsidR="00BC6599" w:rsidRPr="0046371B" w:rsidP="00BC6599" w14:paraId="28E44066" w14:textId="77777777">
            <w:r w:rsidRPr="0046371B">
              <w:t>AUTHORIZED OUTLETS &amp; NON-PROFIT BUSINESSES</w:t>
            </w:r>
          </w:p>
          <w:p w:rsidR="00BC6599" w:rsidRPr="004E4123" w:rsidP="00BC6599" w14:paraId="57875DA6" w14:textId="77777777">
            <w:pPr>
              <w:rPr>
                <w:sz w:val="22"/>
                <w:szCs w:val="22"/>
              </w:rPr>
            </w:pPr>
            <w:r w:rsidRPr="0046371B">
              <w:rPr>
                <w:sz w:val="22"/>
                <w:szCs w:val="22"/>
              </w:rPr>
              <w:t>(18,991 SFMNP authorized outlets; 334 SFMNP non-profit local agencies</w:t>
            </w:r>
            <w:r w:rsidRPr="00905DA6">
              <w:rPr>
                <w:sz w:val="22"/>
                <w:szCs w:val="22"/>
              </w:rPr>
              <w:t>)</w:t>
            </w:r>
          </w:p>
        </w:tc>
        <w:tc>
          <w:tcPr>
            <w:tcW w:w="733" w:type="pct"/>
            <w:tcBorders>
              <w:top w:val="nil"/>
              <w:left w:val="nil"/>
              <w:bottom w:val="single" w:sz="4" w:space="0" w:color="auto"/>
              <w:right w:val="single" w:sz="4" w:space="0" w:color="auto"/>
            </w:tcBorders>
            <w:noWrap/>
            <w:vAlign w:val="center"/>
          </w:tcPr>
          <w:p w:rsidR="00BC6599" w:rsidRPr="000E19E4" w:rsidP="00BC6599" w14:paraId="7F2085EA" w14:textId="77777777">
            <w:pPr>
              <w:jc w:val="center"/>
            </w:pPr>
            <w:r>
              <w:t>19,325</w:t>
            </w:r>
          </w:p>
        </w:tc>
        <w:tc>
          <w:tcPr>
            <w:tcW w:w="688" w:type="pct"/>
            <w:tcBorders>
              <w:top w:val="nil"/>
              <w:left w:val="nil"/>
              <w:bottom w:val="single" w:sz="4" w:space="0" w:color="auto"/>
              <w:right w:val="single" w:sz="4" w:space="0" w:color="auto"/>
            </w:tcBorders>
            <w:noWrap/>
            <w:vAlign w:val="center"/>
          </w:tcPr>
          <w:p w:rsidR="00BC6599" w:rsidRPr="000E19E4" w:rsidP="00BC6599" w14:paraId="1DBE4F55" w14:textId="77777777">
            <w:pPr>
              <w:jc w:val="center"/>
            </w:pPr>
            <w:r>
              <w:t>6.96</w:t>
            </w:r>
          </w:p>
        </w:tc>
        <w:tc>
          <w:tcPr>
            <w:tcW w:w="710" w:type="pct"/>
            <w:tcBorders>
              <w:top w:val="single" w:sz="4" w:space="0" w:color="auto"/>
              <w:left w:val="nil"/>
              <w:bottom w:val="single" w:sz="4" w:space="0" w:color="auto"/>
              <w:right w:val="nil"/>
            </w:tcBorders>
            <w:noWrap/>
            <w:vAlign w:val="center"/>
          </w:tcPr>
          <w:p w:rsidR="00BC6599" w:rsidRPr="000E19E4" w:rsidP="00BC6599" w14:paraId="28F623F5" w14:textId="77777777">
            <w:pPr>
              <w:jc w:val="center"/>
            </w:pPr>
            <w:r>
              <w:t>134,495</w:t>
            </w:r>
          </w:p>
        </w:tc>
        <w:tc>
          <w:tcPr>
            <w:tcW w:w="502" w:type="pct"/>
            <w:tcBorders>
              <w:top w:val="nil"/>
              <w:left w:val="single" w:sz="4" w:space="0" w:color="auto"/>
              <w:bottom w:val="single" w:sz="4" w:space="0" w:color="auto"/>
              <w:right w:val="single" w:sz="4" w:space="0" w:color="auto"/>
            </w:tcBorders>
            <w:noWrap/>
            <w:vAlign w:val="center"/>
          </w:tcPr>
          <w:p w:rsidR="00BC6599" w:rsidRPr="000E19E4" w:rsidP="00BC6599" w14:paraId="05CE2AB3" w14:textId="6FC7DD6A">
            <w:pPr>
              <w:jc w:val="center"/>
            </w:pPr>
            <w:r w:rsidRPr="00A44273">
              <w:t>2.</w:t>
            </w:r>
            <w:r w:rsidR="00BB5E46">
              <w:t>77</w:t>
            </w:r>
          </w:p>
        </w:tc>
        <w:tc>
          <w:tcPr>
            <w:tcW w:w="710" w:type="pct"/>
            <w:tcBorders>
              <w:top w:val="nil"/>
              <w:left w:val="nil"/>
              <w:bottom w:val="single" w:sz="4" w:space="0" w:color="auto"/>
              <w:right w:val="single" w:sz="8" w:space="0" w:color="auto"/>
            </w:tcBorders>
            <w:noWrap/>
            <w:vAlign w:val="center"/>
          </w:tcPr>
          <w:p w:rsidR="00BC6599" w:rsidRPr="000E19E4" w:rsidP="00BC6599" w14:paraId="5148CD73" w14:textId="69E8FD97">
            <w:pPr>
              <w:jc w:val="center"/>
            </w:pPr>
            <w:r>
              <w:t>3</w:t>
            </w:r>
            <w:r w:rsidR="00BB5E46">
              <w:t>72,619</w:t>
            </w:r>
          </w:p>
        </w:tc>
      </w:tr>
      <w:tr w14:paraId="641D5EB0" w14:textId="77777777" w:rsidTr="00BC6599">
        <w:tblPrEx>
          <w:tblW w:w="5563" w:type="pct"/>
          <w:jc w:val="center"/>
          <w:tblLayout w:type="fixed"/>
          <w:tblLook w:val="0000"/>
        </w:tblPrEx>
        <w:trPr>
          <w:trHeight w:val="435"/>
          <w:jc w:val="center"/>
        </w:trPr>
        <w:tc>
          <w:tcPr>
            <w:tcW w:w="1657" w:type="pct"/>
            <w:tcBorders>
              <w:top w:val="single" w:sz="4" w:space="0" w:color="auto"/>
              <w:left w:val="single" w:sz="8" w:space="0" w:color="auto"/>
              <w:bottom w:val="single" w:sz="4" w:space="0" w:color="auto"/>
              <w:right w:val="single" w:sz="4" w:space="0" w:color="auto"/>
            </w:tcBorders>
            <w:vAlign w:val="center"/>
          </w:tcPr>
          <w:p w:rsidR="00BC6599" w:rsidRPr="00304DFF" w:rsidP="00BC6599" w14:paraId="6F6783F1" w14:textId="77777777">
            <w:r w:rsidRPr="00304DFF">
              <w:t xml:space="preserve">INDIVIDUALS/HOUSEHOLDS </w:t>
            </w:r>
            <w:r w:rsidRPr="004E4123">
              <w:rPr>
                <w:sz w:val="22"/>
                <w:szCs w:val="22"/>
              </w:rPr>
              <w:t>(</w:t>
            </w:r>
            <w:r>
              <w:rPr>
                <w:sz w:val="22"/>
                <w:szCs w:val="22"/>
              </w:rPr>
              <w:t>838,410 SFMNP participants</w:t>
            </w:r>
            <w:r w:rsidRPr="004E4123">
              <w:rPr>
                <w:sz w:val="22"/>
                <w:szCs w:val="22"/>
              </w:rPr>
              <w:t>)</w:t>
            </w:r>
          </w:p>
        </w:tc>
        <w:tc>
          <w:tcPr>
            <w:tcW w:w="733" w:type="pct"/>
            <w:tcBorders>
              <w:top w:val="single" w:sz="4" w:space="0" w:color="auto"/>
              <w:left w:val="nil"/>
              <w:bottom w:val="single" w:sz="4" w:space="0" w:color="auto"/>
              <w:right w:val="single" w:sz="4" w:space="0" w:color="auto"/>
            </w:tcBorders>
            <w:noWrap/>
            <w:vAlign w:val="center"/>
          </w:tcPr>
          <w:p w:rsidR="00BC6599" w:rsidRPr="00304DFF" w:rsidP="00BC6599" w14:paraId="713D9B93" w14:textId="77777777">
            <w:pPr>
              <w:jc w:val="center"/>
            </w:pPr>
            <w:r>
              <w:t>838,410</w:t>
            </w:r>
          </w:p>
        </w:tc>
        <w:tc>
          <w:tcPr>
            <w:tcW w:w="688" w:type="pct"/>
            <w:tcBorders>
              <w:top w:val="single" w:sz="4" w:space="0" w:color="auto"/>
              <w:left w:val="nil"/>
              <w:bottom w:val="single" w:sz="4" w:space="0" w:color="auto"/>
              <w:right w:val="single" w:sz="4" w:space="0" w:color="auto"/>
            </w:tcBorders>
            <w:noWrap/>
            <w:vAlign w:val="center"/>
          </w:tcPr>
          <w:p w:rsidR="00BC6599" w:rsidRPr="00304DFF" w:rsidP="00BC6599" w14:paraId="63864D50" w14:textId="77777777">
            <w:pPr>
              <w:jc w:val="center"/>
            </w:pPr>
            <w:r>
              <w:t>1.00</w:t>
            </w:r>
          </w:p>
        </w:tc>
        <w:tc>
          <w:tcPr>
            <w:tcW w:w="710" w:type="pct"/>
            <w:tcBorders>
              <w:top w:val="single" w:sz="4" w:space="0" w:color="auto"/>
              <w:left w:val="nil"/>
              <w:bottom w:val="single" w:sz="4" w:space="0" w:color="auto"/>
              <w:right w:val="single" w:sz="4" w:space="0" w:color="auto"/>
            </w:tcBorders>
            <w:noWrap/>
            <w:vAlign w:val="center"/>
          </w:tcPr>
          <w:p w:rsidR="00BC6599" w:rsidRPr="00304DFF" w:rsidP="00BC6599" w14:paraId="3250DA18" w14:textId="77777777">
            <w:pPr>
              <w:jc w:val="center"/>
            </w:pPr>
            <w:r>
              <w:t>839,323</w:t>
            </w:r>
          </w:p>
        </w:tc>
        <w:tc>
          <w:tcPr>
            <w:tcW w:w="502" w:type="pct"/>
            <w:tcBorders>
              <w:top w:val="single" w:sz="4" w:space="0" w:color="auto"/>
              <w:left w:val="nil"/>
              <w:bottom w:val="single" w:sz="4" w:space="0" w:color="auto"/>
              <w:right w:val="single" w:sz="4" w:space="0" w:color="auto"/>
            </w:tcBorders>
            <w:noWrap/>
            <w:vAlign w:val="center"/>
          </w:tcPr>
          <w:p w:rsidR="00BC6599" w:rsidRPr="00304DFF" w:rsidP="00BC6599" w14:paraId="62CB9100" w14:textId="77777777">
            <w:pPr>
              <w:jc w:val="center"/>
            </w:pPr>
            <w:r w:rsidRPr="00E43AA6">
              <w:t>0.25</w:t>
            </w:r>
          </w:p>
        </w:tc>
        <w:tc>
          <w:tcPr>
            <w:tcW w:w="710" w:type="pct"/>
            <w:tcBorders>
              <w:top w:val="single" w:sz="4" w:space="0" w:color="auto"/>
              <w:left w:val="nil"/>
              <w:bottom w:val="single" w:sz="4" w:space="0" w:color="auto"/>
              <w:right w:val="single" w:sz="8" w:space="0" w:color="auto"/>
            </w:tcBorders>
            <w:noWrap/>
            <w:vAlign w:val="center"/>
          </w:tcPr>
          <w:p w:rsidR="00BC6599" w:rsidRPr="00304DFF" w:rsidP="00BC6599" w14:paraId="36869560" w14:textId="77777777">
            <w:pPr>
              <w:jc w:val="center"/>
            </w:pPr>
            <w:r>
              <w:t>210,562</w:t>
            </w:r>
          </w:p>
        </w:tc>
      </w:tr>
      <w:tr w14:paraId="1A901E92" w14:textId="77777777" w:rsidTr="00BC6599">
        <w:tblPrEx>
          <w:tblW w:w="5563" w:type="pct"/>
          <w:jc w:val="center"/>
          <w:tblLayout w:type="fixed"/>
          <w:tblLook w:val="0000"/>
        </w:tblPrEx>
        <w:trPr>
          <w:trHeight w:val="435"/>
          <w:jc w:val="center"/>
        </w:trPr>
        <w:tc>
          <w:tcPr>
            <w:tcW w:w="1657" w:type="pct"/>
            <w:tcBorders>
              <w:top w:val="single" w:sz="8" w:space="0" w:color="auto"/>
              <w:left w:val="single" w:sz="8" w:space="0" w:color="auto"/>
              <w:bottom w:val="single" w:sz="8" w:space="0" w:color="auto"/>
              <w:right w:val="single" w:sz="4" w:space="0" w:color="auto"/>
            </w:tcBorders>
            <w:shd w:val="clear" w:color="auto" w:fill="C0C0C0"/>
            <w:vAlign w:val="center"/>
          </w:tcPr>
          <w:p w:rsidR="00BC6599" w:rsidRPr="00304DFF" w:rsidP="00BC6599" w14:paraId="55C66578" w14:textId="77777777">
            <w:pPr>
              <w:jc w:val="center"/>
              <w:rPr>
                <w:b/>
                <w:bCs/>
              </w:rPr>
            </w:pPr>
            <w:r w:rsidRPr="00304DFF">
              <w:rPr>
                <w:b/>
                <w:bCs/>
              </w:rPr>
              <w:t>Total Reporting Burden</w:t>
            </w:r>
          </w:p>
        </w:tc>
        <w:tc>
          <w:tcPr>
            <w:tcW w:w="733" w:type="pct"/>
            <w:tcBorders>
              <w:top w:val="single" w:sz="8" w:space="0" w:color="auto"/>
              <w:left w:val="nil"/>
              <w:bottom w:val="single" w:sz="8" w:space="0" w:color="auto"/>
              <w:right w:val="single" w:sz="4" w:space="0" w:color="auto"/>
            </w:tcBorders>
            <w:noWrap/>
            <w:vAlign w:val="center"/>
          </w:tcPr>
          <w:p w:rsidR="00BC6599" w:rsidRPr="009B0FEA" w:rsidP="00BC6599" w14:paraId="372F9D23" w14:textId="77777777">
            <w:pPr>
              <w:jc w:val="center"/>
              <w:rPr>
                <w:b/>
              </w:rPr>
            </w:pPr>
            <w:r>
              <w:rPr>
                <w:b/>
              </w:rPr>
              <w:t>858,570</w:t>
            </w:r>
          </w:p>
        </w:tc>
        <w:tc>
          <w:tcPr>
            <w:tcW w:w="688" w:type="pct"/>
            <w:tcBorders>
              <w:top w:val="single" w:sz="8" w:space="0" w:color="auto"/>
              <w:left w:val="nil"/>
              <w:bottom w:val="single" w:sz="8" w:space="0" w:color="auto"/>
              <w:right w:val="single" w:sz="4" w:space="0" w:color="auto"/>
            </w:tcBorders>
            <w:shd w:val="clear" w:color="auto" w:fill="C0C0C0"/>
            <w:noWrap/>
            <w:vAlign w:val="center"/>
          </w:tcPr>
          <w:p w:rsidR="00BC6599" w:rsidRPr="009B0FEA" w:rsidP="00BC6599" w14:paraId="38AC1AD0" w14:textId="77777777">
            <w:pPr>
              <w:jc w:val="center"/>
              <w:rPr>
                <w:b/>
              </w:rPr>
            </w:pPr>
          </w:p>
        </w:tc>
        <w:tc>
          <w:tcPr>
            <w:tcW w:w="710" w:type="pct"/>
            <w:tcBorders>
              <w:top w:val="single" w:sz="8" w:space="0" w:color="auto"/>
              <w:left w:val="nil"/>
              <w:bottom w:val="single" w:sz="8" w:space="0" w:color="auto"/>
              <w:right w:val="single" w:sz="4" w:space="0" w:color="auto"/>
            </w:tcBorders>
            <w:noWrap/>
            <w:vAlign w:val="center"/>
          </w:tcPr>
          <w:p w:rsidR="00BC6599" w:rsidRPr="009B0FEA" w:rsidP="00BC6599" w14:paraId="3D8D61E6" w14:textId="77777777">
            <w:pPr>
              <w:jc w:val="center"/>
              <w:rPr>
                <w:b/>
              </w:rPr>
            </w:pPr>
            <w:r>
              <w:rPr>
                <w:b/>
              </w:rPr>
              <w:t>1,840,814</w:t>
            </w:r>
          </w:p>
        </w:tc>
        <w:tc>
          <w:tcPr>
            <w:tcW w:w="502" w:type="pct"/>
            <w:tcBorders>
              <w:top w:val="single" w:sz="8" w:space="0" w:color="auto"/>
              <w:left w:val="nil"/>
              <w:bottom w:val="single" w:sz="8" w:space="0" w:color="auto"/>
              <w:right w:val="single" w:sz="4" w:space="0" w:color="auto"/>
            </w:tcBorders>
            <w:shd w:val="clear" w:color="auto" w:fill="C0C0C0"/>
            <w:noWrap/>
            <w:vAlign w:val="center"/>
          </w:tcPr>
          <w:p w:rsidR="00BC6599" w:rsidRPr="009B0FEA" w:rsidP="00BC6599" w14:paraId="73F18134" w14:textId="77777777">
            <w:pPr>
              <w:jc w:val="center"/>
              <w:rPr>
                <w:b/>
              </w:rPr>
            </w:pPr>
          </w:p>
        </w:tc>
        <w:tc>
          <w:tcPr>
            <w:tcW w:w="710" w:type="pct"/>
            <w:tcBorders>
              <w:top w:val="single" w:sz="8" w:space="0" w:color="auto"/>
              <w:left w:val="nil"/>
              <w:bottom w:val="single" w:sz="8" w:space="0" w:color="auto"/>
              <w:right w:val="single" w:sz="8" w:space="0" w:color="auto"/>
            </w:tcBorders>
            <w:noWrap/>
            <w:vAlign w:val="center"/>
          </w:tcPr>
          <w:p w:rsidR="00BC6599" w:rsidRPr="009B0FEA" w:rsidP="00BC6599" w14:paraId="12F6A121" w14:textId="504E812C">
            <w:pPr>
              <w:jc w:val="center"/>
              <w:rPr>
                <w:b/>
              </w:rPr>
            </w:pPr>
            <w:r>
              <w:rPr>
                <w:b/>
              </w:rPr>
              <w:t>8</w:t>
            </w:r>
            <w:r w:rsidR="00887FD4">
              <w:rPr>
                <w:b/>
              </w:rPr>
              <w:t>06,427</w:t>
            </w:r>
          </w:p>
        </w:tc>
      </w:tr>
      <w:tr w14:paraId="3DECF4FE" w14:textId="77777777" w:rsidTr="00BC6599">
        <w:tblPrEx>
          <w:tblW w:w="5563" w:type="pct"/>
          <w:jc w:val="center"/>
          <w:tblLayout w:type="fixed"/>
          <w:tblLook w:val="0000"/>
        </w:tblPrEx>
        <w:trPr>
          <w:trHeight w:val="404"/>
          <w:jc w:val="center"/>
        </w:trPr>
        <w:tc>
          <w:tcPr>
            <w:tcW w:w="5000" w:type="pct"/>
            <w:gridSpan w:val="6"/>
            <w:tcBorders>
              <w:top w:val="single" w:sz="8" w:space="0" w:color="auto"/>
              <w:left w:val="single" w:sz="8" w:space="0" w:color="auto"/>
              <w:bottom w:val="single" w:sz="8" w:space="0" w:color="auto"/>
              <w:right w:val="single" w:sz="8" w:space="0" w:color="auto"/>
            </w:tcBorders>
            <w:noWrap/>
            <w:vAlign w:val="center"/>
          </w:tcPr>
          <w:p w:rsidR="00BC6599" w:rsidRPr="002A1B17" w:rsidP="00BC6599" w14:paraId="25F187A1" w14:textId="77777777">
            <w:pPr>
              <w:jc w:val="center"/>
              <w:rPr>
                <w:b/>
                <w:i/>
                <w:iCs/>
                <w:color w:val="000000"/>
              </w:rPr>
            </w:pPr>
            <w:r w:rsidRPr="002A1B17">
              <w:rPr>
                <w:b/>
                <w:i/>
                <w:iCs/>
                <w:color w:val="000000"/>
              </w:rPr>
              <w:t>Recordkeeping</w:t>
            </w:r>
          </w:p>
        </w:tc>
      </w:tr>
      <w:tr w14:paraId="23B24E54" w14:textId="77777777" w:rsidTr="00BC6599">
        <w:tblPrEx>
          <w:tblW w:w="5563" w:type="pct"/>
          <w:jc w:val="center"/>
          <w:tblLayout w:type="fixed"/>
          <w:tblLook w:val="0000"/>
        </w:tblPrEx>
        <w:trPr>
          <w:trHeight w:val="435"/>
          <w:jc w:val="center"/>
        </w:trPr>
        <w:tc>
          <w:tcPr>
            <w:tcW w:w="1657" w:type="pct"/>
            <w:tcBorders>
              <w:top w:val="single" w:sz="4" w:space="0" w:color="auto"/>
              <w:left w:val="single" w:sz="8" w:space="0" w:color="auto"/>
              <w:bottom w:val="single" w:sz="8" w:space="0" w:color="auto"/>
              <w:right w:val="single" w:sz="4" w:space="0" w:color="auto"/>
            </w:tcBorders>
            <w:vAlign w:val="center"/>
          </w:tcPr>
          <w:p w:rsidR="00BC6599" w:rsidRPr="00304DFF" w:rsidP="00BC6599" w14:paraId="467F9561" w14:textId="77777777">
            <w:r w:rsidRPr="00304DFF">
              <w:t xml:space="preserve">STATE, LOCAL, &amp; INDIAN TRIBAL </w:t>
            </w:r>
            <w:r>
              <w:t>ORGANIZATIONS</w:t>
            </w:r>
          </w:p>
          <w:p w:rsidR="00BC6599" w:rsidRPr="004E4123" w:rsidP="00BC6599" w14:paraId="279293AA" w14:textId="77777777">
            <w:pPr>
              <w:rPr>
                <w:sz w:val="22"/>
                <w:szCs w:val="22"/>
              </w:rPr>
            </w:pPr>
            <w:r w:rsidRPr="330B9A1B">
              <w:rPr>
                <w:sz w:val="22"/>
                <w:szCs w:val="22"/>
              </w:rPr>
              <w:t>(56 SFMNP State agencies)</w:t>
            </w:r>
          </w:p>
        </w:tc>
        <w:tc>
          <w:tcPr>
            <w:tcW w:w="733" w:type="pct"/>
            <w:tcBorders>
              <w:top w:val="nil"/>
              <w:left w:val="nil"/>
              <w:bottom w:val="single" w:sz="8" w:space="0" w:color="auto"/>
              <w:right w:val="single" w:sz="4" w:space="0" w:color="auto"/>
            </w:tcBorders>
            <w:noWrap/>
            <w:vAlign w:val="center"/>
          </w:tcPr>
          <w:p w:rsidR="00BC6599" w:rsidRPr="00304DFF" w:rsidP="00BC6599" w14:paraId="3D37AA0A" w14:textId="77777777">
            <w:pPr>
              <w:jc w:val="center"/>
            </w:pPr>
            <w:r>
              <w:t>56</w:t>
            </w:r>
          </w:p>
        </w:tc>
        <w:tc>
          <w:tcPr>
            <w:tcW w:w="688" w:type="pct"/>
            <w:tcBorders>
              <w:top w:val="nil"/>
              <w:left w:val="nil"/>
              <w:bottom w:val="single" w:sz="8" w:space="0" w:color="auto"/>
              <w:right w:val="single" w:sz="4" w:space="0" w:color="auto"/>
            </w:tcBorders>
            <w:noWrap/>
            <w:vAlign w:val="center"/>
          </w:tcPr>
          <w:p w:rsidR="00BC6599" w:rsidRPr="00304DFF" w:rsidP="00BC6599" w14:paraId="1B830DD6" w14:textId="77777777">
            <w:pPr>
              <w:jc w:val="center"/>
            </w:pPr>
            <w:r>
              <w:t>15,022.46</w:t>
            </w:r>
          </w:p>
        </w:tc>
        <w:tc>
          <w:tcPr>
            <w:tcW w:w="710" w:type="pct"/>
            <w:tcBorders>
              <w:top w:val="nil"/>
              <w:left w:val="nil"/>
              <w:bottom w:val="single" w:sz="8" w:space="0" w:color="auto"/>
              <w:right w:val="single" w:sz="4" w:space="0" w:color="auto"/>
            </w:tcBorders>
            <w:noWrap/>
            <w:vAlign w:val="center"/>
          </w:tcPr>
          <w:p w:rsidR="00BC6599" w:rsidRPr="00304DFF" w:rsidP="00BC6599" w14:paraId="0DB69A2B" w14:textId="77777777">
            <w:pPr>
              <w:jc w:val="center"/>
            </w:pPr>
            <w:r>
              <w:t>841,258</w:t>
            </w:r>
          </w:p>
        </w:tc>
        <w:tc>
          <w:tcPr>
            <w:tcW w:w="502" w:type="pct"/>
            <w:tcBorders>
              <w:top w:val="nil"/>
              <w:left w:val="nil"/>
              <w:bottom w:val="single" w:sz="8" w:space="0" w:color="auto"/>
              <w:right w:val="single" w:sz="4" w:space="0" w:color="auto"/>
            </w:tcBorders>
            <w:noWrap/>
            <w:vAlign w:val="center"/>
          </w:tcPr>
          <w:p w:rsidR="00BC6599" w:rsidRPr="00304DFF" w:rsidP="00BC6599" w14:paraId="31452BC7" w14:textId="77777777">
            <w:pPr>
              <w:jc w:val="center"/>
            </w:pPr>
            <w:r w:rsidRPr="00FE5843">
              <w:t>0.02</w:t>
            </w:r>
          </w:p>
        </w:tc>
        <w:tc>
          <w:tcPr>
            <w:tcW w:w="710" w:type="pct"/>
            <w:tcBorders>
              <w:top w:val="nil"/>
              <w:left w:val="nil"/>
              <w:bottom w:val="single" w:sz="8" w:space="0" w:color="auto"/>
              <w:right w:val="single" w:sz="8" w:space="0" w:color="auto"/>
            </w:tcBorders>
            <w:noWrap/>
            <w:vAlign w:val="center"/>
          </w:tcPr>
          <w:p w:rsidR="00BC6599" w:rsidRPr="00304DFF" w:rsidP="00BC6599" w14:paraId="45AD480F" w14:textId="77777777">
            <w:pPr>
              <w:jc w:val="center"/>
            </w:pPr>
            <w:r>
              <w:t>17,983</w:t>
            </w:r>
          </w:p>
        </w:tc>
      </w:tr>
      <w:tr w14:paraId="4D5CE718" w14:textId="77777777" w:rsidTr="00BC6599">
        <w:tblPrEx>
          <w:tblW w:w="5563" w:type="pct"/>
          <w:jc w:val="center"/>
          <w:tblLayout w:type="fixed"/>
          <w:tblLook w:val="0000"/>
        </w:tblPrEx>
        <w:trPr>
          <w:trHeight w:val="435"/>
          <w:jc w:val="center"/>
        </w:trPr>
        <w:tc>
          <w:tcPr>
            <w:tcW w:w="1657"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rsidR="00BC6599" w:rsidRPr="00A90752" w:rsidP="00BC6599" w14:paraId="0A73AF0E" w14:textId="77777777">
            <w:pPr>
              <w:jc w:val="center"/>
              <w:rPr>
                <w:b/>
                <w:bCs/>
              </w:rPr>
            </w:pPr>
            <w:r w:rsidRPr="00A90752">
              <w:rPr>
                <w:b/>
                <w:bCs/>
              </w:rPr>
              <w:t>Total Recordkeeping Burden</w:t>
            </w:r>
          </w:p>
        </w:tc>
        <w:tc>
          <w:tcPr>
            <w:tcW w:w="733" w:type="pct"/>
            <w:tcBorders>
              <w:top w:val="single" w:sz="8" w:space="0" w:color="auto"/>
              <w:left w:val="nil"/>
              <w:bottom w:val="single" w:sz="8" w:space="0" w:color="auto"/>
              <w:right w:val="single" w:sz="4" w:space="0" w:color="auto"/>
            </w:tcBorders>
            <w:noWrap/>
            <w:vAlign w:val="center"/>
          </w:tcPr>
          <w:p w:rsidR="00BC6599" w:rsidRPr="00A90752" w:rsidP="00BC6599" w14:paraId="130F6AF4" w14:textId="77777777">
            <w:pPr>
              <w:jc w:val="center"/>
              <w:rPr>
                <w:b/>
                <w:bCs/>
              </w:rPr>
            </w:pPr>
            <w:r>
              <w:rPr>
                <w:b/>
                <w:bCs/>
              </w:rPr>
              <w:t>56</w:t>
            </w:r>
          </w:p>
        </w:tc>
        <w:tc>
          <w:tcPr>
            <w:tcW w:w="688"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BC6599" w:rsidRPr="00A90752" w:rsidP="00BC6599" w14:paraId="5186D553" w14:textId="77777777">
            <w:pPr>
              <w:jc w:val="center"/>
              <w:rPr>
                <w:b/>
                <w:bCs/>
              </w:rPr>
            </w:pPr>
          </w:p>
        </w:tc>
        <w:tc>
          <w:tcPr>
            <w:tcW w:w="710" w:type="pct"/>
            <w:tcBorders>
              <w:top w:val="single" w:sz="8" w:space="0" w:color="auto"/>
              <w:left w:val="nil"/>
              <w:bottom w:val="single" w:sz="8" w:space="0" w:color="auto"/>
              <w:right w:val="single" w:sz="4" w:space="0" w:color="auto"/>
            </w:tcBorders>
            <w:noWrap/>
            <w:vAlign w:val="center"/>
          </w:tcPr>
          <w:p w:rsidR="00BC6599" w:rsidRPr="00A90752" w:rsidP="00BC6599" w14:paraId="3CB2C451" w14:textId="77777777">
            <w:pPr>
              <w:jc w:val="center"/>
              <w:rPr>
                <w:b/>
                <w:bCs/>
              </w:rPr>
            </w:pPr>
            <w:r>
              <w:rPr>
                <w:b/>
                <w:bCs/>
              </w:rPr>
              <w:t>841,258</w:t>
            </w:r>
          </w:p>
        </w:tc>
        <w:tc>
          <w:tcPr>
            <w:tcW w:w="502"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BC6599" w:rsidRPr="00A90752" w:rsidP="00BC6599" w14:paraId="3122383C" w14:textId="77777777">
            <w:pPr>
              <w:jc w:val="center"/>
              <w:rPr>
                <w:b/>
                <w:bCs/>
              </w:rPr>
            </w:pPr>
          </w:p>
        </w:tc>
        <w:tc>
          <w:tcPr>
            <w:tcW w:w="710" w:type="pct"/>
            <w:tcBorders>
              <w:top w:val="single" w:sz="8" w:space="0" w:color="auto"/>
              <w:left w:val="nil"/>
              <w:bottom w:val="single" w:sz="8" w:space="0" w:color="auto"/>
              <w:right w:val="single" w:sz="8" w:space="0" w:color="auto"/>
            </w:tcBorders>
            <w:noWrap/>
            <w:vAlign w:val="center"/>
          </w:tcPr>
          <w:p w:rsidR="00BC6599" w:rsidRPr="00A90752" w:rsidP="00BC6599" w14:paraId="08D4235A" w14:textId="77777777">
            <w:pPr>
              <w:jc w:val="center"/>
              <w:rPr>
                <w:b/>
                <w:bCs/>
              </w:rPr>
            </w:pPr>
            <w:r>
              <w:rPr>
                <w:b/>
                <w:bCs/>
              </w:rPr>
              <w:t>17,983</w:t>
            </w:r>
          </w:p>
        </w:tc>
      </w:tr>
      <w:tr w14:paraId="0D3FD5F2" w14:textId="77777777" w:rsidTr="00BC6599">
        <w:tblPrEx>
          <w:tblW w:w="5563" w:type="pct"/>
          <w:jc w:val="center"/>
          <w:tblLayout w:type="fixed"/>
          <w:tblLook w:val="0000"/>
        </w:tblPrEx>
        <w:trPr>
          <w:trHeight w:val="435"/>
          <w:jc w:val="center"/>
        </w:trPr>
        <w:tc>
          <w:tcPr>
            <w:tcW w:w="1657" w:type="pct"/>
            <w:tcBorders>
              <w:top w:val="single" w:sz="8" w:space="0" w:color="auto"/>
              <w:left w:val="single" w:sz="8" w:space="0" w:color="auto"/>
              <w:bottom w:val="single" w:sz="8" w:space="0" w:color="auto"/>
              <w:right w:val="single" w:sz="4" w:space="0" w:color="auto"/>
            </w:tcBorders>
            <w:shd w:val="clear" w:color="auto" w:fill="BFBFBF" w:themeFill="background1" w:themeFillShade="BF"/>
            <w:vAlign w:val="center"/>
          </w:tcPr>
          <w:p w:rsidR="00BC6599" w:rsidRPr="00917830" w:rsidP="00BC6599" w14:paraId="001A74CA" w14:textId="77777777">
            <w:pPr>
              <w:jc w:val="center"/>
              <w:rPr>
                <w:b/>
              </w:rPr>
            </w:pPr>
            <w:r w:rsidRPr="00917830">
              <w:rPr>
                <w:b/>
              </w:rPr>
              <w:t>Total Reporting &amp; Recordkeeping Burden</w:t>
            </w:r>
          </w:p>
        </w:tc>
        <w:tc>
          <w:tcPr>
            <w:tcW w:w="733" w:type="pct"/>
            <w:tcBorders>
              <w:top w:val="single" w:sz="8" w:space="0" w:color="auto"/>
              <w:left w:val="nil"/>
              <w:bottom w:val="single" w:sz="8" w:space="0" w:color="auto"/>
              <w:right w:val="single" w:sz="4" w:space="0" w:color="auto"/>
            </w:tcBorders>
            <w:noWrap/>
            <w:vAlign w:val="center"/>
          </w:tcPr>
          <w:p w:rsidR="00BC6599" w:rsidRPr="00A578C3" w:rsidP="00BC6599" w14:paraId="11FF2088" w14:textId="77777777">
            <w:pPr>
              <w:jc w:val="center"/>
              <w:rPr>
                <w:b/>
              </w:rPr>
            </w:pPr>
            <w:r>
              <w:rPr>
                <w:b/>
              </w:rPr>
              <w:t>858,570</w:t>
            </w:r>
          </w:p>
        </w:tc>
        <w:tc>
          <w:tcPr>
            <w:tcW w:w="688"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BC6599" w:rsidRPr="00A578C3" w:rsidP="00BC6599" w14:paraId="038FCF43" w14:textId="77777777">
            <w:pPr>
              <w:jc w:val="center"/>
              <w:rPr>
                <w:b/>
              </w:rPr>
            </w:pPr>
          </w:p>
        </w:tc>
        <w:tc>
          <w:tcPr>
            <w:tcW w:w="710" w:type="pct"/>
            <w:tcBorders>
              <w:top w:val="single" w:sz="8" w:space="0" w:color="auto"/>
              <w:left w:val="nil"/>
              <w:bottom w:val="single" w:sz="8" w:space="0" w:color="auto"/>
              <w:right w:val="single" w:sz="4" w:space="0" w:color="auto"/>
            </w:tcBorders>
            <w:noWrap/>
            <w:vAlign w:val="center"/>
          </w:tcPr>
          <w:p w:rsidR="00BC6599" w:rsidRPr="00A578C3" w:rsidP="00BC6599" w14:paraId="3F0EF49E" w14:textId="77777777">
            <w:pPr>
              <w:jc w:val="center"/>
              <w:rPr>
                <w:b/>
              </w:rPr>
            </w:pPr>
            <w:r>
              <w:rPr>
                <w:b/>
              </w:rPr>
              <w:t>2,682,072</w:t>
            </w:r>
          </w:p>
        </w:tc>
        <w:tc>
          <w:tcPr>
            <w:tcW w:w="502" w:type="pct"/>
            <w:tcBorders>
              <w:top w:val="single" w:sz="8" w:space="0" w:color="auto"/>
              <w:left w:val="nil"/>
              <w:bottom w:val="single" w:sz="8" w:space="0" w:color="auto"/>
              <w:right w:val="single" w:sz="4" w:space="0" w:color="auto"/>
            </w:tcBorders>
            <w:shd w:val="clear" w:color="auto" w:fill="BFBFBF" w:themeFill="background1" w:themeFillShade="BF"/>
            <w:noWrap/>
            <w:vAlign w:val="center"/>
          </w:tcPr>
          <w:p w:rsidR="00BC6599" w:rsidRPr="00A578C3" w:rsidP="00BC6599" w14:paraId="3BCB3509" w14:textId="77777777">
            <w:pPr>
              <w:jc w:val="center"/>
              <w:rPr>
                <w:b/>
              </w:rPr>
            </w:pPr>
          </w:p>
        </w:tc>
        <w:tc>
          <w:tcPr>
            <w:tcW w:w="710" w:type="pct"/>
            <w:tcBorders>
              <w:top w:val="single" w:sz="8" w:space="0" w:color="auto"/>
              <w:left w:val="nil"/>
              <w:bottom w:val="single" w:sz="8" w:space="0" w:color="auto"/>
              <w:right w:val="single" w:sz="8" w:space="0" w:color="auto"/>
            </w:tcBorders>
            <w:noWrap/>
            <w:vAlign w:val="center"/>
          </w:tcPr>
          <w:p w:rsidR="00BC6599" w:rsidRPr="00A578C3" w:rsidP="00BC6599" w14:paraId="7DBE6BF0" w14:textId="03F32BD4">
            <w:pPr>
              <w:jc w:val="center"/>
              <w:rPr>
                <w:b/>
              </w:rPr>
            </w:pPr>
            <w:r>
              <w:rPr>
                <w:b/>
              </w:rPr>
              <w:t>8</w:t>
            </w:r>
            <w:r w:rsidR="00E01DFC">
              <w:rPr>
                <w:b/>
              </w:rPr>
              <w:t>24,410</w:t>
            </w:r>
          </w:p>
        </w:tc>
      </w:tr>
    </w:tbl>
    <w:p w:rsidR="008C1DD2" w:rsidP="008C1DD2" w14:paraId="6C1BC3E5" w14:textId="3F52C4B0">
      <w:pPr>
        <w:tabs>
          <w:tab w:val="left" w:pos="-720"/>
        </w:tabs>
        <w:suppressAutoHyphens/>
        <w:spacing w:after="240" w:line="480" w:lineRule="auto"/>
        <w:rPr>
          <w:szCs w:val="24"/>
        </w:rPr>
      </w:pPr>
      <w:r w:rsidRPr="00301725">
        <w:rPr>
          <w:szCs w:val="24"/>
        </w:rPr>
        <w:t xml:space="preserve">With this revision, </w:t>
      </w:r>
      <w:r w:rsidR="00DC63B0">
        <w:rPr>
          <w:szCs w:val="24"/>
        </w:rPr>
        <w:t>FNA</w:t>
      </w:r>
      <w:r w:rsidRPr="00301725">
        <w:rPr>
          <w:szCs w:val="24"/>
        </w:rPr>
        <w:t xml:space="preserve"> estimates that this collection w</w:t>
      </w:r>
      <w:r w:rsidRPr="007C0B22">
        <w:rPr>
          <w:szCs w:val="24"/>
        </w:rPr>
        <w:t xml:space="preserve">ill have </w:t>
      </w:r>
      <w:r w:rsidRPr="0046371B" w:rsidR="007A5601">
        <w:rPr>
          <w:szCs w:val="24"/>
        </w:rPr>
        <w:t>858,</w:t>
      </w:r>
      <w:r w:rsidRPr="0046371B" w:rsidR="007C0B22">
        <w:rPr>
          <w:szCs w:val="24"/>
        </w:rPr>
        <w:t>570</w:t>
      </w:r>
      <w:r w:rsidRPr="007C0B22">
        <w:rPr>
          <w:szCs w:val="24"/>
        </w:rPr>
        <w:t xml:space="preserve"> respondents, </w:t>
      </w:r>
      <w:r w:rsidRPr="0046371B" w:rsidR="007C0B22">
        <w:rPr>
          <w:szCs w:val="24"/>
        </w:rPr>
        <w:t>2,682,072</w:t>
      </w:r>
      <w:r w:rsidRPr="007C0B22">
        <w:rPr>
          <w:szCs w:val="24"/>
        </w:rPr>
        <w:t xml:space="preserve"> responses, and </w:t>
      </w:r>
      <w:r w:rsidRPr="0046371B" w:rsidR="007C0B22">
        <w:rPr>
          <w:szCs w:val="24"/>
        </w:rPr>
        <w:t>8</w:t>
      </w:r>
      <w:r w:rsidR="00E37641">
        <w:rPr>
          <w:szCs w:val="24"/>
        </w:rPr>
        <w:t>24</w:t>
      </w:r>
      <w:r w:rsidR="00C50EE9">
        <w:rPr>
          <w:szCs w:val="24"/>
        </w:rPr>
        <w:t>,410</w:t>
      </w:r>
      <w:r w:rsidRPr="007C0B22">
        <w:rPr>
          <w:szCs w:val="24"/>
        </w:rPr>
        <w:t xml:space="preserve"> burden hours, as detailed</w:t>
      </w:r>
      <w:r w:rsidRPr="00301725">
        <w:rPr>
          <w:szCs w:val="24"/>
        </w:rPr>
        <w:t xml:space="preserve"> in the chart below and </w:t>
      </w:r>
      <w:r w:rsidRPr="005433F5">
        <w:rPr>
          <w:szCs w:val="24"/>
        </w:rPr>
        <w:t xml:space="preserve">Appendix </w:t>
      </w:r>
      <w:r w:rsidRPr="005433F5" w:rsidR="005433F5">
        <w:rPr>
          <w:szCs w:val="24"/>
        </w:rPr>
        <w:t>D</w:t>
      </w:r>
      <w:r w:rsidRPr="00301725">
        <w:rPr>
          <w:szCs w:val="24"/>
        </w:rPr>
        <w:t xml:space="preserve">. The overall annual information collection burden is estimated to </w:t>
      </w:r>
      <w:r w:rsidRPr="007C0B22">
        <w:rPr>
          <w:szCs w:val="24"/>
        </w:rPr>
        <w:t xml:space="preserve">have decreased by </w:t>
      </w:r>
      <w:r w:rsidRPr="0046371B" w:rsidR="007C0B22">
        <w:rPr>
          <w:szCs w:val="24"/>
        </w:rPr>
        <w:t>3</w:t>
      </w:r>
      <w:r w:rsidR="00C50EE9">
        <w:rPr>
          <w:szCs w:val="24"/>
        </w:rPr>
        <w:t>12,954</w:t>
      </w:r>
      <w:r w:rsidRPr="007C0B22">
        <w:rPr>
          <w:szCs w:val="24"/>
        </w:rPr>
        <w:t xml:space="preserve"> burden</w:t>
      </w:r>
      <w:r w:rsidRPr="00301725">
        <w:rPr>
          <w:szCs w:val="24"/>
        </w:rPr>
        <w:t xml:space="preserve"> hours due to adjustments and program changes</w:t>
      </w:r>
      <w:r w:rsidR="00F842B5">
        <w:rPr>
          <w:szCs w:val="24"/>
        </w:rPr>
        <w:t xml:space="preserve">, </w:t>
      </w:r>
      <w:r w:rsidRPr="00F842B5" w:rsidR="00F842B5">
        <w:rPr>
          <w:szCs w:val="24"/>
        </w:rPr>
        <w:t>from 1,137,363</w:t>
      </w:r>
      <w:r w:rsidRPr="00F842B5">
        <w:rPr>
          <w:szCs w:val="24"/>
        </w:rPr>
        <w:t xml:space="preserve"> hours </w:t>
      </w:r>
      <w:r w:rsidRPr="00F842B5" w:rsidR="00F842B5">
        <w:rPr>
          <w:szCs w:val="24"/>
        </w:rPr>
        <w:t>in the previous</w:t>
      </w:r>
      <w:r w:rsidR="00F842B5">
        <w:rPr>
          <w:szCs w:val="24"/>
        </w:rPr>
        <w:t xml:space="preserve"> submission</w:t>
      </w:r>
      <w:r w:rsidRPr="00301725">
        <w:rPr>
          <w:szCs w:val="24"/>
        </w:rPr>
        <w:t xml:space="preserve">. The revisions </w:t>
      </w:r>
      <w:r w:rsidR="00570D05">
        <w:rPr>
          <w:szCs w:val="24"/>
        </w:rPr>
        <w:t xml:space="preserve">will </w:t>
      </w:r>
      <w:r w:rsidRPr="00301725">
        <w:rPr>
          <w:szCs w:val="24"/>
        </w:rPr>
        <w:t xml:space="preserve">decrease </w:t>
      </w:r>
      <w:r w:rsidRPr="005108E0">
        <w:rPr>
          <w:szCs w:val="24"/>
        </w:rPr>
        <w:t xml:space="preserve">the </w:t>
      </w:r>
      <w:r w:rsidRPr="00D93259">
        <w:rPr>
          <w:szCs w:val="24"/>
        </w:rPr>
        <w:t xml:space="preserve">approved reporting burden by </w:t>
      </w:r>
      <w:r w:rsidRPr="0046371B" w:rsidR="00F842B5">
        <w:rPr>
          <w:szCs w:val="24"/>
        </w:rPr>
        <w:t>1</w:t>
      </w:r>
      <w:r w:rsidR="00C50EE9">
        <w:rPr>
          <w:szCs w:val="24"/>
        </w:rPr>
        <w:t>45,582</w:t>
      </w:r>
      <w:r w:rsidRPr="00D93259">
        <w:rPr>
          <w:szCs w:val="24"/>
        </w:rPr>
        <w:t xml:space="preserve"> hours (from </w:t>
      </w:r>
      <w:r w:rsidRPr="00D93259" w:rsidR="00F842B5">
        <w:rPr>
          <w:szCs w:val="24"/>
        </w:rPr>
        <w:t>952,009</w:t>
      </w:r>
      <w:r w:rsidRPr="00D93259" w:rsidR="00722EDC">
        <w:rPr>
          <w:szCs w:val="24"/>
        </w:rPr>
        <w:t xml:space="preserve"> </w:t>
      </w:r>
      <w:r w:rsidRPr="00D93259">
        <w:rPr>
          <w:szCs w:val="24"/>
        </w:rPr>
        <w:t xml:space="preserve">hours to </w:t>
      </w:r>
      <w:r w:rsidRPr="00D93259" w:rsidR="005108E0">
        <w:rPr>
          <w:szCs w:val="24"/>
        </w:rPr>
        <w:t>8</w:t>
      </w:r>
      <w:r w:rsidR="002009DF">
        <w:rPr>
          <w:szCs w:val="24"/>
        </w:rPr>
        <w:t>06,427</w:t>
      </w:r>
      <w:r w:rsidRPr="00D93259">
        <w:rPr>
          <w:szCs w:val="24"/>
        </w:rPr>
        <w:t xml:space="preserve"> hours) and </w:t>
      </w:r>
      <w:r w:rsidRPr="00D93259" w:rsidR="00570D05">
        <w:rPr>
          <w:szCs w:val="24"/>
        </w:rPr>
        <w:t xml:space="preserve">will </w:t>
      </w:r>
      <w:r w:rsidRPr="00D93259">
        <w:rPr>
          <w:szCs w:val="24"/>
        </w:rPr>
        <w:t xml:space="preserve">decrease the approved recordkeeping burden by </w:t>
      </w:r>
      <w:r w:rsidRPr="0046371B" w:rsidR="005108E0">
        <w:rPr>
          <w:szCs w:val="24"/>
        </w:rPr>
        <w:t>167,372</w:t>
      </w:r>
      <w:r w:rsidRPr="00D93259">
        <w:rPr>
          <w:szCs w:val="24"/>
        </w:rPr>
        <w:t xml:space="preserve"> hours (from </w:t>
      </w:r>
      <w:r w:rsidRPr="0046371B" w:rsidR="005108E0">
        <w:rPr>
          <w:szCs w:val="24"/>
        </w:rPr>
        <w:t>185,355</w:t>
      </w:r>
      <w:r w:rsidRPr="00D93259">
        <w:rPr>
          <w:szCs w:val="24"/>
        </w:rPr>
        <w:t xml:space="preserve"> hours to </w:t>
      </w:r>
      <w:r w:rsidRPr="00D93259" w:rsidR="00D93259">
        <w:rPr>
          <w:szCs w:val="24"/>
        </w:rPr>
        <w:t>17,983</w:t>
      </w:r>
      <w:r w:rsidRPr="00D93259">
        <w:rPr>
          <w:szCs w:val="24"/>
        </w:rPr>
        <w:t xml:space="preserve"> hours</w:t>
      </w:r>
      <w:r w:rsidRPr="00301725">
        <w:rPr>
          <w:szCs w:val="24"/>
        </w:rPr>
        <w:t xml:space="preserve">). </w:t>
      </w:r>
    </w:p>
    <w:p w:rsidR="00214243" w:rsidP="66EB0783" w14:paraId="03E0F6AA" w14:textId="76F76EA0">
      <w:pPr>
        <w:suppressAutoHyphens/>
        <w:spacing w:line="480" w:lineRule="auto"/>
      </w:pPr>
      <w:r>
        <w:t xml:space="preserve">A table describing the type of respondents, frequency of response, and </w:t>
      </w:r>
      <w:r>
        <w:t>annual hour</w:t>
      </w:r>
      <w:r>
        <w:t xml:space="preserve"> burden is below (</w:t>
      </w:r>
      <w:r w:rsidRPr="006D73B4">
        <w:t>see Appendi</w:t>
      </w:r>
      <w:r w:rsidRPr="006D73B4" w:rsidR="00AB5132">
        <w:t>x</w:t>
      </w:r>
      <w:r w:rsidRPr="006D73B4">
        <w:t xml:space="preserve">es </w:t>
      </w:r>
      <w:r w:rsidRPr="0046371B" w:rsidR="006D73B4">
        <w:t>D</w:t>
      </w:r>
      <w:r w:rsidRPr="006D73B4">
        <w:t xml:space="preserve"> and </w:t>
      </w:r>
      <w:r w:rsidRPr="006D73B4" w:rsidR="006D73B4">
        <w:t>E</w:t>
      </w:r>
      <w:r w:rsidRPr="006D73B4">
        <w:t xml:space="preserve"> for</w:t>
      </w:r>
      <w:r>
        <w:t xml:space="preserve"> further details). </w:t>
      </w:r>
      <w:r w:rsidR="00700985">
        <w:t xml:space="preserve">There </w:t>
      </w:r>
      <w:r w:rsidR="000618D6">
        <w:t>are</w:t>
      </w:r>
      <w:r w:rsidR="00700985">
        <w:t xml:space="preserve"> no third-party disclosure burden activities associated with this information collection request.</w:t>
      </w:r>
    </w:p>
    <w:p w:rsidR="0062567E" w:rsidRPr="002568E6" w:rsidP="000438E8" w14:paraId="03E0F6AB" w14:textId="4F59844B">
      <w:pPr>
        <w:tabs>
          <w:tab w:val="left" w:pos="0"/>
        </w:tabs>
        <w:suppressAutoHyphens/>
        <w:rPr>
          <w:b/>
          <w:szCs w:val="24"/>
        </w:rPr>
      </w:pPr>
      <w:r w:rsidRPr="002568E6">
        <w:rPr>
          <w:b/>
          <w:szCs w:val="24"/>
        </w:rPr>
        <w:t>B.</w:t>
      </w:r>
      <w:r w:rsidRPr="002568E6">
        <w:rPr>
          <w:b/>
          <w:szCs w:val="24"/>
        </w:rPr>
        <w:tab/>
        <w:t xml:space="preserve">Provide estimates of annualized </w:t>
      </w:r>
      <w:r w:rsidRPr="002568E6">
        <w:rPr>
          <w:b/>
          <w:szCs w:val="24"/>
        </w:rPr>
        <w:t>cost</w:t>
      </w:r>
      <w:r w:rsidRPr="002568E6">
        <w:rPr>
          <w:b/>
          <w:szCs w:val="24"/>
        </w:rPr>
        <w:t xml:space="preserve"> to respondents for the hour burdens for collections of information, identifying and using appropriate wage rate categories.</w:t>
      </w:r>
    </w:p>
    <w:p w:rsidR="002300FB" w:rsidP="002300FB" w14:paraId="5F151156" w14:textId="77777777">
      <w:pPr>
        <w:tabs>
          <w:tab w:val="left" w:pos="-720"/>
        </w:tabs>
        <w:suppressAutoHyphens/>
        <w:rPr>
          <w:b/>
          <w:bCs/>
          <w:color w:val="C00000"/>
          <w:szCs w:val="24"/>
          <w:u w:val="single"/>
        </w:rPr>
      </w:pPr>
    </w:p>
    <w:tbl>
      <w:tblPr>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705"/>
        <w:gridCol w:w="2433"/>
        <w:gridCol w:w="1256"/>
        <w:gridCol w:w="1995"/>
      </w:tblGrid>
      <w:tr w14:paraId="5E0AFB9B" w14:textId="77777777" w:rsidTr="00CD34A9">
        <w:tblPrEx>
          <w:tblW w:w="93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val="255"/>
          <w:tblHeader/>
          <w:jc w:val="center"/>
        </w:trPr>
        <w:tc>
          <w:tcPr>
            <w:tcW w:w="3705" w:type="dxa"/>
            <w:tcBorders>
              <w:top w:val="single" w:sz="4" w:space="0" w:color="auto"/>
              <w:left w:val="single" w:sz="4" w:space="0" w:color="auto"/>
              <w:bottom w:val="single" w:sz="4" w:space="0" w:color="auto"/>
              <w:right w:val="single" w:sz="4" w:space="0" w:color="auto"/>
            </w:tcBorders>
            <w:vAlign w:val="center"/>
          </w:tcPr>
          <w:p w:rsidR="002300FB" w:rsidRPr="002300FB" w:rsidP="002300FB" w14:paraId="4646F518" w14:textId="77777777">
            <w:pPr>
              <w:rPr>
                <w:b/>
                <w:bCs/>
                <w:szCs w:val="24"/>
              </w:rPr>
            </w:pPr>
            <w:r w:rsidRPr="002300FB">
              <w:rPr>
                <w:b/>
                <w:bCs/>
                <w:szCs w:val="24"/>
              </w:rPr>
              <w:t>Description of the Collection Activity</w:t>
            </w:r>
          </w:p>
        </w:tc>
        <w:tc>
          <w:tcPr>
            <w:tcW w:w="2433" w:type="dxa"/>
            <w:tcBorders>
              <w:top w:val="single" w:sz="4" w:space="0" w:color="auto"/>
              <w:left w:val="single" w:sz="4" w:space="0" w:color="auto"/>
              <w:bottom w:val="single" w:sz="4" w:space="0" w:color="auto"/>
              <w:right w:val="single" w:sz="4" w:space="0" w:color="auto"/>
            </w:tcBorders>
            <w:noWrap/>
            <w:vAlign w:val="center"/>
          </w:tcPr>
          <w:p w:rsidR="002300FB" w:rsidRPr="002300FB" w:rsidP="002300FB" w14:paraId="2B35864B" w14:textId="77777777">
            <w:pPr>
              <w:rPr>
                <w:b/>
                <w:bCs/>
                <w:szCs w:val="24"/>
              </w:rPr>
            </w:pPr>
            <w:r w:rsidRPr="002300FB">
              <w:rPr>
                <w:b/>
                <w:bCs/>
                <w:szCs w:val="24"/>
              </w:rPr>
              <w:t>Estimated Total Annual Burden on Respondents (Hours)</w:t>
            </w:r>
          </w:p>
        </w:tc>
        <w:tc>
          <w:tcPr>
            <w:tcW w:w="1256" w:type="dxa"/>
            <w:tcBorders>
              <w:top w:val="single" w:sz="4" w:space="0" w:color="auto"/>
              <w:left w:val="single" w:sz="4" w:space="0" w:color="auto"/>
              <w:bottom w:val="single" w:sz="4" w:space="0" w:color="auto"/>
              <w:right w:val="single" w:sz="4" w:space="0" w:color="auto"/>
            </w:tcBorders>
            <w:noWrap/>
            <w:vAlign w:val="center"/>
          </w:tcPr>
          <w:p w:rsidR="002300FB" w:rsidRPr="002300FB" w:rsidP="002300FB" w14:paraId="3F6DA64A" w14:textId="77777777">
            <w:pPr>
              <w:rPr>
                <w:b/>
                <w:bCs/>
                <w:szCs w:val="24"/>
              </w:rPr>
            </w:pPr>
            <w:r w:rsidRPr="002300FB">
              <w:rPr>
                <w:b/>
                <w:bCs/>
                <w:szCs w:val="24"/>
              </w:rPr>
              <w:t>Estimated Average Income per Hour*</w:t>
            </w:r>
          </w:p>
        </w:tc>
        <w:tc>
          <w:tcPr>
            <w:tcW w:w="1995" w:type="dxa"/>
            <w:tcBorders>
              <w:top w:val="single" w:sz="4" w:space="0" w:color="auto"/>
              <w:left w:val="single" w:sz="4" w:space="0" w:color="auto"/>
              <w:bottom w:val="single" w:sz="4" w:space="0" w:color="auto"/>
              <w:right w:val="single" w:sz="4" w:space="0" w:color="auto"/>
            </w:tcBorders>
            <w:noWrap/>
            <w:vAlign w:val="center"/>
          </w:tcPr>
          <w:p w:rsidR="002300FB" w:rsidRPr="002300FB" w:rsidP="002300FB" w14:paraId="6C9143D1" w14:textId="77777777">
            <w:pPr>
              <w:rPr>
                <w:b/>
                <w:bCs/>
                <w:szCs w:val="24"/>
              </w:rPr>
            </w:pPr>
          </w:p>
          <w:p w:rsidR="002300FB" w:rsidRPr="002300FB" w:rsidP="002300FB" w14:paraId="1BE38816" w14:textId="77777777">
            <w:pPr>
              <w:rPr>
                <w:b/>
                <w:bCs/>
                <w:szCs w:val="24"/>
              </w:rPr>
            </w:pPr>
            <w:r w:rsidRPr="002300FB">
              <w:rPr>
                <w:b/>
                <w:bCs/>
                <w:szCs w:val="24"/>
              </w:rPr>
              <w:t>Estimated Total Annual Respondent Cost</w:t>
            </w:r>
          </w:p>
          <w:p w:rsidR="002300FB" w:rsidRPr="002300FB" w:rsidP="002300FB" w14:paraId="02E881D9" w14:textId="77777777">
            <w:pPr>
              <w:rPr>
                <w:b/>
                <w:bCs/>
                <w:szCs w:val="24"/>
              </w:rPr>
            </w:pPr>
            <w:r w:rsidRPr="002300FB">
              <w:rPr>
                <w:b/>
                <w:bCs/>
                <w:szCs w:val="24"/>
              </w:rPr>
              <w:t>(base annual cost + 33%)</w:t>
            </w:r>
          </w:p>
          <w:p w:rsidR="002300FB" w:rsidRPr="002300FB" w:rsidP="002300FB" w14:paraId="2CCA0ABF" w14:textId="77777777">
            <w:pPr>
              <w:rPr>
                <w:b/>
                <w:bCs/>
                <w:szCs w:val="24"/>
              </w:rPr>
            </w:pPr>
          </w:p>
        </w:tc>
      </w:tr>
      <w:tr w14:paraId="6B5EBD76" w14:textId="77777777" w:rsidTr="00CD34A9">
        <w:tblPrEx>
          <w:tblW w:w="9389" w:type="dxa"/>
          <w:jc w:val="center"/>
          <w:tblLayout w:type="fixed"/>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62DE4" w:rsidRPr="002300FB" w:rsidP="00F62DE4" w14:paraId="66635F52" w14:textId="77777777">
            <w:pPr>
              <w:rPr>
                <w:szCs w:val="24"/>
              </w:rPr>
            </w:pPr>
            <w:r w:rsidRPr="002300FB">
              <w:rPr>
                <w:bCs/>
                <w:color w:val="000000"/>
                <w:szCs w:val="24"/>
              </w:rPr>
              <w:t>#0584-0447 State and local staff</w:t>
            </w:r>
          </w:p>
        </w:tc>
        <w:tc>
          <w:tcPr>
            <w:tcW w:w="2433" w:type="dxa"/>
            <w:tcBorders>
              <w:top w:val="single" w:sz="4" w:space="0" w:color="auto"/>
              <w:left w:val="single" w:sz="4" w:space="0" w:color="auto"/>
              <w:bottom w:val="single" w:sz="4" w:space="0" w:color="auto"/>
              <w:right w:val="single" w:sz="4" w:space="0" w:color="auto"/>
            </w:tcBorders>
            <w:noWrap/>
          </w:tcPr>
          <w:p w:rsidR="00E67379" w:rsidRPr="00E67379" w:rsidP="00E67379" w14:paraId="0D4CA9DA" w14:textId="490DF698">
            <w:pPr>
              <w:jc w:val="right"/>
            </w:pPr>
            <w:r>
              <w:t>241,2</w:t>
            </w:r>
            <w:r w:rsidR="001B5568">
              <w:t>28.71</w:t>
            </w:r>
          </w:p>
        </w:tc>
        <w:tc>
          <w:tcPr>
            <w:tcW w:w="1256" w:type="dxa"/>
            <w:tcBorders>
              <w:top w:val="single" w:sz="4" w:space="0" w:color="auto"/>
              <w:left w:val="single" w:sz="4" w:space="0" w:color="auto"/>
              <w:bottom w:val="single" w:sz="4" w:space="0" w:color="auto"/>
              <w:right w:val="single" w:sz="4" w:space="0" w:color="auto"/>
            </w:tcBorders>
            <w:noWrap/>
          </w:tcPr>
          <w:p w:rsidR="00F62DE4" w:rsidRPr="002300FB" w:rsidP="004463D7" w14:paraId="511CDA99" w14:textId="3473C967">
            <w:pPr>
              <w:jc w:val="right"/>
              <w:rPr>
                <w:szCs w:val="24"/>
              </w:rPr>
            </w:pPr>
            <w:r w:rsidRPr="00A44C30">
              <w:t xml:space="preserve"> $3</w:t>
            </w:r>
            <w:r w:rsidR="00A15BA6">
              <w:t>5.50</w:t>
            </w:r>
            <w:r w:rsidRPr="00A44C30">
              <w:t xml:space="preserve"> </w:t>
            </w:r>
          </w:p>
        </w:tc>
        <w:tc>
          <w:tcPr>
            <w:tcW w:w="1995" w:type="dxa"/>
            <w:tcBorders>
              <w:top w:val="single" w:sz="4" w:space="0" w:color="auto"/>
              <w:left w:val="single" w:sz="4" w:space="0" w:color="auto"/>
              <w:bottom w:val="single" w:sz="4" w:space="0" w:color="auto"/>
              <w:right w:val="single" w:sz="4" w:space="0" w:color="auto"/>
            </w:tcBorders>
            <w:noWrap/>
          </w:tcPr>
          <w:p w:rsidR="00F62DE4" w:rsidRPr="002300FB" w:rsidP="004463D7" w14:paraId="5AFB0795" w14:textId="6C87BB4F">
            <w:pPr>
              <w:jc w:val="right"/>
              <w:rPr>
                <w:szCs w:val="24"/>
              </w:rPr>
            </w:pPr>
            <w:r w:rsidRPr="00150C3A">
              <w:t xml:space="preserve"> $</w:t>
            </w:r>
            <w:r w:rsidR="006D33D0">
              <w:t>11,</w:t>
            </w:r>
            <w:r w:rsidR="002D090A">
              <w:t>389,613.55</w:t>
            </w:r>
          </w:p>
        </w:tc>
      </w:tr>
      <w:tr w14:paraId="0303A165" w14:textId="77777777" w:rsidTr="00CD34A9">
        <w:tblPrEx>
          <w:tblW w:w="9389" w:type="dxa"/>
          <w:jc w:val="center"/>
          <w:tblLayout w:type="fixed"/>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62DE4" w:rsidRPr="002300FB" w:rsidP="00F62DE4" w14:paraId="2C974C02" w14:textId="6D77CAB7">
            <w:pPr>
              <w:rPr>
                <w:bCs/>
                <w:color w:val="000000"/>
                <w:szCs w:val="24"/>
              </w:rPr>
            </w:pPr>
            <w:r w:rsidRPr="002300FB">
              <w:rPr>
                <w:szCs w:val="24"/>
              </w:rPr>
              <w:t xml:space="preserve">#0584-0447 </w:t>
            </w:r>
            <w:r w:rsidR="009D3151">
              <w:rPr>
                <w:szCs w:val="24"/>
              </w:rPr>
              <w:t>A</w:t>
            </w:r>
            <w:r w:rsidRPr="002300FB">
              <w:rPr>
                <w:szCs w:val="24"/>
              </w:rPr>
              <w:t xml:space="preserve">uthorized </w:t>
            </w:r>
            <w:r w:rsidR="009D3151">
              <w:rPr>
                <w:szCs w:val="24"/>
              </w:rPr>
              <w:t>o</w:t>
            </w:r>
            <w:r w:rsidRPr="002300FB">
              <w:rPr>
                <w:szCs w:val="24"/>
              </w:rPr>
              <w:t>utlets</w:t>
            </w:r>
          </w:p>
        </w:tc>
        <w:tc>
          <w:tcPr>
            <w:tcW w:w="2433" w:type="dxa"/>
            <w:tcBorders>
              <w:top w:val="single" w:sz="4" w:space="0" w:color="auto"/>
              <w:left w:val="single" w:sz="4" w:space="0" w:color="auto"/>
              <w:bottom w:val="single" w:sz="4" w:space="0" w:color="auto"/>
              <w:right w:val="single" w:sz="4" w:space="0" w:color="auto"/>
            </w:tcBorders>
            <w:noWrap/>
          </w:tcPr>
          <w:p w:rsidR="00F62DE4" w:rsidRPr="002300FB" w:rsidP="004463D7" w14:paraId="434BB12F" w14:textId="407A8F21">
            <w:pPr>
              <w:jc w:val="right"/>
              <w:rPr>
                <w:bCs/>
                <w:color w:val="000000"/>
                <w:szCs w:val="24"/>
              </w:rPr>
            </w:pPr>
            <w:r>
              <w:t>3</w:t>
            </w:r>
            <w:r w:rsidR="001B5568">
              <w:t>72,285.02</w:t>
            </w:r>
          </w:p>
        </w:tc>
        <w:tc>
          <w:tcPr>
            <w:tcW w:w="1256" w:type="dxa"/>
            <w:tcBorders>
              <w:top w:val="single" w:sz="4" w:space="0" w:color="auto"/>
              <w:left w:val="single" w:sz="4" w:space="0" w:color="auto"/>
              <w:bottom w:val="single" w:sz="4" w:space="0" w:color="auto"/>
              <w:right w:val="single" w:sz="4" w:space="0" w:color="auto"/>
            </w:tcBorders>
            <w:noWrap/>
          </w:tcPr>
          <w:p w:rsidR="00F62DE4" w:rsidRPr="002300FB" w:rsidP="004463D7" w14:paraId="49D9245A" w14:textId="4FD375FE">
            <w:pPr>
              <w:jc w:val="right"/>
              <w:rPr>
                <w:bCs/>
                <w:szCs w:val="24"/>
              </w:rPr>
            </w:pPr>
            <w:r w:rsidRPr="00A44C30">
              <w:t xml:space="preserve"> $21.</w:t>
            </w:r>
            <w:r w:rsidR="00474B8A">
              <w:t>44</w:t>
            </w:r>
            <w:r w:rsidRPr="00A44C30">
              <w:t xml:space="preserve"> </w:t>
            </w:r>
          </w:p>
        </w:tc>
        <w:tc>
          <w:tcPr>
            <w:tcW w:w="1995" w:type="dxa"/>
            <w:tcBorders>
              <w:top w:val="single" w:sz="4" w:space="0" w:color="auto"/>
              <w:left w:val="single" w:sz="4" w:space="0" w:color="auto"/>
              <w:bottom w:val="single" w:sz="4" w:space="0" w:color="auto"/>
              <w:right w:val="single" w:sz="4" w:space="0" w:color="auto"/>
            </w:tcBorders>
            <w:noWrap/>
          </w:tcPr>
          <w:p w:rsidR="00F62DE4" w:rsidRPr="002300FB" w:rsidP="004463D7" w14:paraId="2A546717" w14:textId="707EA37B">
            <w:pPr>
              <w:jc w:val="right"/>
              <w:rPr>
                <w:szCs w:val="24"/>
              </w:rPr>
            </w:pPr>
            <w:r w:rsidRPr="00150C3A">
              <w:t xml:space="preserve"> $</w:t>
            </w:r>
            <w:r w:rsidR="006D33D0">
              <w:t>10,</w:t>
            </w:r>
            <w:r w:rsidR="00AF680C">
              <w:t>615,781.80</w:t>
            </w:r>
            <w:r w:rsidRPr="00150C3A">
              <w:t xml:space="preserve"> </w:t>
            </w:r>
          </w:p>
        </w:tc>
      </w:tr>
      <w:tr w14:paraId="0A8434F5" w14:textId="77777777" w:rsidTr="00CD34A9">
        <w:tblPrEx>
          <w:tblW w:w="9389" w:type="dxa"/>
          <w:jc w:val="center"/>
          <w:tblLayout w:type="fixed"/>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62DE4" w:rsidRPr="002300FB" w:rsidP="00F62DE4" w14:paraId="3D535078" w14:textId="560F0A34">
            <w:pPr>
              <w:rPr>
                <w:bCs/>
                <w:color w:val="000000"/>
                <w:szCs w:val="24"/>
              </w:rPr>
            </w:pPr>
            <w:r w:rsidRPr="002300FB">
              <w:rPr>
                <w:bCs/>
                <w:color w:val="000000"/>
                <w:szCs w:val="24"/>
              </w:rPr>
              <w:t xml:space="preserve">#0584-0447 </w:t>
            </w:r>
            <w:r w:rsidR="009D3151">
              <w:rPr>
                <w:bCs/>
                <w:color w:val="000000"/>
                <w:szCs w:val="24"/>
              </w:rPr>
              <w:t>N</w:t>
            </w:r>
            <w:r w:rsidRPr="002300FB">
              <w:rPr>
                <w:bCs/>
                <w:color w:val="000000"/>
                <w:szCs w:val="24"/>
              </w:rPr>
              <w:t>on-profit</w:t>
            </w:r>
            <w:r w:rsidRPr="002300FB">
              <w:rPr>
                <w:bCs/>
                <w:color w:val="000000"/>
                <w:szCs w:val="24"/>
              </w:rPr>
              <w:t xml:space="preserve"> </w:t>
            </w:r>
            <w:r w:rsidR="009D3151">
              <w:rPr>
                <w:bCs/>
                <w:color w:val="000000"/>
                <w:szCs w:val="24"/>
              </w:rPr>
              <w:t>b</w:t>
            </w:r>
            <w:r w:rsidRPr="002300FB">
              <w:rPr>
                <w:bCs/>
                <w:color w:val="000000"/>
                <w:szCs w:val="24"/>
              </w:rPr>
              <w:t>usinesses</w:t>
            </w:r>
          </w:p>
        </w:tc>
        <w:tc>
          <w:tcPr>
            <w:tcW w:w="2433" w:type="dxa"/>
            <w:tcBorders>
              <w:top w:val="single" w:sz="4" w:space="0" w:color="auto"/>
              <w:left w:val="single" w:sz="4" w:space="0" w:color="auto"/>
              <w:bottom w:val="single" w:sz="4" w:space="0" w:color="auto"/>
              <w:right w:val="single" w:sz="4" w:space="0" w:color="auto"/>
            </w:tcBorders>
            <w:noWrap/>
          </w:tcPr>
          <w:p w:rsidR="00F62DE4" w:rsidRPr="002300FB" w:rsidP="004463D7" w14:paraId="4042EEF4" w14:textId="025832AD">
            <w:pPr>
              <w:jc w:val="right"/>
              <w:rPr>
                <w:szCs w:val="24"/>
              </w:rPr>
            </w:pPr>
            <w:r>
              <w:t>333.90</w:t>
            </w:r>
          </w:p>
        </w:tc>
        <w:tc>
          <w:tcPr>
            <w:tcW w:w="1256" w:type="dxa"/>
            <w:tcBorders>
              <w:top w:val="single" w:sz="4" w:space="0" w:color="auto"/>
              <w:left w:val="single" w:sz="4" w:space="0" w:color="auto"/>
              <w:bottom w:val="single" w:sz="4" w:space="0" w:color="auto"/>
              <w:right w:val="single" w:sz="4" w:space="0" w:color="auto"/>
            </w:tcBorders>
            <w:noWrap/>
          </w:tcPr>
          <w:p w:rsidR="00F62DE4" w:rsidRPr="002300FB" w:rsidP="004463D7" w14:paraId="62D5CB93" w14:textId="559AF343">
            <w:pPr>
              <w:jc w:val="right"/>
              <w:rPr>
                <w:bCs/>
                <w:szCs w:val="24"/>
              </w:rPr>
            </w:pPr>
            <w:r w:rsidRPr="00A44C30">
              <w:t xml:space="preserve"> $2</w:t>
            </w:r>
            <w:r w:rsidR="00E44F9D">
              <w:t>1.04</w:t>
            </w:r>
            <w:r w:rsidRPr="00A44C30">
              <w:t xml:space="preserve"> </w:t>
            </w:r>
          </w:p>
        </w:tc>
        <w:tc>
          <w:tcPr>
            <w:tcW w:w="1995" w:type="dxa"/>
            <w:tcBorders>
              <w:top w:val="single" w:sz="4" w:space="0" w:color="auto"/>
              <w:left w:val="single" w:sz="4" w:space="0" w:color="auto"/>
              <w:bottom w:val="single" w:sz="4" w:space="0" w:color="auto"/>
              <w:right w:val="single" w:sz="4" w:space="0" w:color="auto"/>
            </w:tcBorders>
            <w:noWrap/>
          </w:tcPr>
          <w:p w:rsidR="00F62DE4" w:rsidRPr="002300FB" w:rsidP="004463D7" w14:paraId="3EEFA470" w14:textId="444B3159">
            <w:pPr>
              <w:jc w:val="right"/>
              <w:rPr>
                <w:szCs w:val="24"/>
              </w:rPr>
            </w:pPr>
            <w:r w:rsidRPr="00150C3A">
              <w:t xml:space="preserve"> $</w:t>
            </w:r>
            <w:r w:rsidR="002145CA">
              <w:t>9,</w:t>
            </w:r>
            <w:r w:rsidR="00B67B13">
              <w:t>343.59</w:t>
            </w:r>
            <w:r w:rsidRPr="00150C3A">
              <w:t xml:space="preserve"> </w:t>
            </w:r>
          </w:p>
        </w:tc>
      </w:tr>
      <w:tr w14:paraId="182EF6D3" w14:textId="77777777" w:rsidTr="00CD34A9">
        <w:tblPrEx>
          <w:tblW w:w="9389" w:type="dxa"/>
          <w:jc w:val="center"/>
          <w:tblLayout w:type="fixed"/>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vAlign w:val="center"/>
          </w:tcPr>
          <w:p w:rsidR="00F62DE4" w:rsidRPr="002300FB" w:rsidP="00F62DE4" w14:paraId="0CF04D6F" w14:textId="06A84843">
            <w:pPr>
              <w:rPr>
                <w:bCs/>
                <w:color w:val="000000"/>
                <w:szCs w:val="24"/>
              </w:rPr>
            </w:pPr>
            <w:r w:rsidRPr="002300FB">
              <w:rPr>
                <w:bCs/>
                <w:color w:val="000000"/>
                <w:szCs w:val="24"/>
              </w:rPr>
              <w:t>#0584-0447 Individuals/households</w:t>
            </w:r>
          </w:p>
        </w:tc>
        <w:tc>
          <w:tcPr>
            <w:tcW w:w="2433" w:type="dxa"/>
            <w:tcBorders>
              <w:top w:val="single" w:sz="4" w:space="0" w:color="auto"/>
              <w:left w:val="single" w:sz="4" w:space="0" w:color="auto"/>
              <w:bottom w:val="single" w:sz="4" w:space="0" w:color="auto"/>
              <w:right w:val="single" w:sz="4" w:space="0" w:color="auto"/>
            </w:tcBorders>
            <w:noWrap/>
          </w:tcPr>
          <w:p w:rsidR="00F62DE4" w:rsidRPr="002300FB" w:rsidP="004463D7" w14:paraId="79D7582A" w14:textId="2346C4AB">
            <w:pPr>
              <w:jc w:val="right"/>
              <w:rPr>
                <w:bCs/>
                <w:color w:val="000000"/>
                <w:szCs w:val="24"/>
              </w:rPr>
            </w:pPr>
            <w:r>
              <w:t>210,562.23</w:t>
            </w:r>
          </w:p>
        </w:tc>
        <w:tc>
          <w:tcPr>
            <w:tcW w:w="1256" w:type="dxa"/>
            <w:tcBorders>
              <w:top w:val="single" w:sz="4" w:space="0" w:color="auto"/>
              <w:left w:val="single" w:sz="4" w:space="0" w:color="auto"/>
              <w:bottom w:val="single" w:sz="4" w:space="0" w:color="auto"/>
              <w:right w:val="single" w:sz="4" w:space="0" w:color="auto"/>
            </w:tcBorders>
            <w:noWrap/>
          </w:tcPr>
          <w:p w:rsidR="00F62DE4" w:rsidRPr="002300FB" w:rsidP="004463D7" w14:paraId="555E2FFA" w14:textId="4CD83745">
            <w:pPr>
              <w:jc w:val="right"/>
              <w:rPr>
                <w:bCs/>
                <w:szCs w:val="24"/>
              </w:rPr>
            </w:pPr>
            <w:r w:rsidRPr="00A44C30">
              <w:t xml:space="preserve"> $7.25 </w:t>
            </w:r>
          </w:p>
        </w:tc>
        <w:tc>
          <w:tcPr>
            <w:tcW w:w="1995" w:type="dxa"/>
            <w:tcBorders>
              <w:top w:val="single" w:sz="4" w:space="0" w:color="auto"/>
              <w:left w:val="single" w:sz="4" w:space="0" w:color="auto"/>
              <w:bottom w:val="single" w:sz="4" w:space="0" w:color="auto"/>
              <w:right w:val="single" w:sz="4" w:space="0" w:color="auto"/>
            </w:tcBorders>
            <w:noWrap/>
          </w:tcPr>
          <w:p w:rsidR="00F62DE4" w:rsidRPr="002300FB" w:rsidP="004463D7" w14:paraId="1963793E" w14:textId="706D01D0">
            <w:pPr>
              <w:jc w:val="right"/>
              <w:rPr>
                <w:szCs w:val="24"/>
              </w:rPr>
            </w:pPr>
            <w:r w:rsidRPr="00150C3A">
              <w:t xml:space="preserve"> $</w:t>
            </w:r>
            <w:r w:rsidR="002145CA">
              <w:t>2,030,346.</w:t>
            </w:r>
            <w:r w:rsidR="00D558BC">
              <w:t>30</w:t>
            </w:r>
            <w:r w:rsidRPr="00150C3A">
              <w:t xml:space="preserve"> </w:t>
            </w:r>
          </w:p>
        </w:tc>
      </w:tr>
      <w:tr w14:paraId="51A64062" w14:textId="77777777" w:rsidTr="00CD34A9">
        <w:tblPrEx>
          <w:tblW w:w="9389" w:type="dxa"/>
          <w:jc w:val="center"/>
          <w:tblLayout w:type="fixed"/>
          <w:tblLook w:val="0000"/>
        </w:tblPrEx>
        <w:trPr>
          <w:trHeight w:val="255"/>
          <w:jc w:val="center"/>
        </w:trPr>
        <w:tc>
          <w:tcPr>
            <w:tcW w:w="3705" w:type="dxa"/>
            <w:tcBorders>
              <w:top w:val="single" w:sz="4" w:space="0" w:color="auto"/>
              <w:left w:val="single" w:sz="4" w:space="0" w:color="auto"/>
              <w:bottom w:val="single" w:sz="4" w:space="0" w:color="auto"/>
              <w:right w:val="single" w:sz="4" w:space="0" w:color="auto"/>
            </w:tcBorders>
            <w:noWrap/>
            <w:vAlign w:val="center"/>
          </w:tcPr>
          <w:p w:rsidR="00F62DE4" w:rsidRPr="002300FB" w:rsidP="00F62DE4" w14:paraId="5CBFB213" w14:textId="77777777">
            <w:pPr>
              <w:rPr>
                <w:b/>
                <w:szCs w:val="24"/>
              </w:rPr>
            </w:pPr>
            <w:r w:rsidRPr="002300FB">
              <w:rPr>
                <w:b/>
                <w:szCs w:val="24"/>
              </w:rPr>
              <w:t>Totals</w:t>
            </w:r>
          </w:p>
        </w:tc>
        <w:tc>
          <w:tcPr>
            <w:tcW w:w="2433" w:type="dxa"/>
            <w:tcBorders>
              <w:top w:val="single" w:sz="4" w:space="0" w:color="auto"/>
              <w:left w:val="single" w:sz="4" w:space="0" w:color="auto"/>
              <w:bottom w:val="single" w:sz="4" w:space="0" w:color="auto"/>
              <w:right w:val="single" w:sz="4" w:space="0" w:color="auto"/>
            </w:tcBorders>
            <w:noWrap/>
            <w:vAlign w:val="center"/>
          </w:tcPr>
          <w:p w:rsidR="00F62DE4" w:rsidRPr="002300FB" w:rsidP="004463D7" w14:paraId="411F704C" w14:textId="470CA1E6">
            <w:pPr>
              <w:jc w:val="right"/>
              <w:rPr>
                <w:szCs w:val="24"/>
              </w:rPr>
            </w:pPr>
            <w:r>
              <w:rPr>
                <w:szCs w:val="24"/>
              </w:rPr>
              <w:t>8</w:t>
            </w:r>
            <w:r w:rsidR="00824D29">
              <w:rPr>
                <w:szCs w:val="24"/>
              </w:rPr>
              <w:t>24,409.86</w:t>
            </w:r>
          </w:p>
        </w:tc>
        <w:tc>
          <w:tcPr>
            <w:tcW w:w="1256" w:type="dxa"/>
            <w:tcBorders>
              <w:top w:val="single" w:sz="4" w:space="0" w:color="auto"/>
              <w:left w:val="single" w:sz="4" w:space="0" w:color="auto"/>
              <w:bottom w:val="single" w:sz="4" w:space="0" w:color="auto"/>
              <w:right w:val="single" w:sz="4" w:space="0" w:color="auto"/>
            </w:tcBorders>
            <w:noWrap/>
            <w:vAlign w:val="center"/>
          </w:tcPr>
          <w:p w:rsidR="00F62DE4" w:rsidRPr="002300FB" w:rsidP="004463D7" w14:paraId="6E23F4F0" w14:textId="77777777">
            <w:pPr>
              <w:jc w:val="right"/>
              <w:rPr>
                <w:szCs w:val="24"/>
              </w:rPr>
            </w:pPr>
          </w:p>
        </w:tc>
        <w:tc>
          <w:tcPr>
            <w:tcW w:w="1995" w:type="dxa"/>
            <w:tcBorders>
              <w:top w:val="single" w:sz="4" w:space="0" w:color="auto"/>
              <w:left w:val="single" w:sz="4" w:space="0" w:color="auto"/>
              <w:bottom w:val="single" w:sz="4" w:space="0" w:color="auto"/>
              <w:right w:val="single" w:sz="4" w:space="0" w:color="auto"/>
            </w:tcBorders>
            <w:noWrap/>
          </w:tcPr>
          <w:p w:rsidR="00F62DE4" w:rsidRPr="002300FB" w:rsidP="004463D7" w14:paraId="74789984" w14:textId="3A126F3E">
            <w:pPr>
              <w:jc w:val="right"/>
              <w:rPr>
                <w:szCs w:val="24"/>
              </w:rPr>
            </w:pPr>
            <w:r w:rsidRPr="00150C3A">
              <w:t xml:space="preserve"> $</w:t>
            </w:r>
            <w:r w:rsidR="0022582B">
              <w:t xml:space="preserve"> </w:t>
            </w:r>
            <w:r w:rsidR="002145CA">
              <w:t>2</w:t>
            </w:r>
            <w:r w:rsidR="00B67B13">
              <w:t>4,045,085.24</w:t>
            </w:r>
          </w:p>
        </w:tc>
      </w:tr>
    </w:tbl>
    <w:p w:rsidR="002300FB" w:rsidRPr="002300FB" w:rsidP="002300FB" w14:paraId="23764323" w14:textId="07E63C81">
      <w:pPr>
        <w:rPr>
          <w:bCs/>
          <w:szCs w:val="24"/>
        </w:rPr>
      </w:pPr>
      <w:r>
        <w:rPr>
          <w:bCs/>
          <w:szCs w:val="24"/>
        </w:rPr>
        <w:t xml:space="preserve">* </w:t>
      </w:r>
      <w:r w:rsidR="004516CB">
        <w:rPr>
          <w:bCs/>
          <w:szCs w:val="24"/>
        </w:rPr>
        <w:t>Numbers may not</w:t>
      </w:r>
      <w:r w:rsidR="00825F2A">
        <w:rPr>
          <w:bCs/>
          <w:szCs w:val="24"/>
        </w:rPr>
        <w:t xml:space="preserve"> exactly match the </w:t>
      </w:r>
      <w:r w:rsidR="000F3A72">
        <w:rPr>
          <w:bCs/>
          <w:szCs w:val="24"/>
        </w:rPr>
        <w:t>b</w:t>
      </w:r>
      <w:r w:rsidR="00825F2A">
        <w:rPr>
          <w:bCs/>
          <w:szCs w:val="24"/>
        </w:rPr>
        <w:t xml:space="preserve">urden </w:t>
      </w:r>
      <w:r w:rsidR="000F3A72">
        <w:rPr>
          <w:bCs/>
          <w:szCs w:val="24"/>
        </w:rPr>
        <w:t>t</w:t>
      </w:r>
      <w:r w:rsidR="00825F2A">
        <w:rPr>
          <w:bCs/>
          <w:szCs w:val="24"/>
        </w:rPr>
        <w:t xml:space="preserve">able (Appendix </w:t>
      </w:r>
      <w:r w:rsidR="00FB19AF">
        <w:rPr>
          <w:bCs/>
          <w:szCs w:val="24"/>
        </w:rPr>
        <w:t>D</w:t>
      </w:r>
      <w:r w:rsidR="00825F2A">
        <w:rPr>
          <w:bCs/>
          <w:szCs w:val="24"/>
        </w:rPr>
        <w:t>)</w:t>
      </w:r>
      <w:r w:rsidR="004516CB">
        <w:rPr>
          <w:bCs/>
          <w:szCs w:val="24"/>
        </w:rPr>
        <w:t xml:space="preserve"> due to rounding. </w:t>
      </w:r>
      <w:r>
        <w:rPr>
          <w:bCs/>
          <w:szCs w:val="24"/>
        </w:rPr>
        <w:t>These mean hourly rates were obtained from the U.S. Department of Labor, Bureau of Labor Statistics, May 202</w:t>
      </w:r>
      <w:r w:rsidR="00C24A83">
        <w:rPr>
          <w:bCs/>
          <w:szCs w:val="24"/>
        </w:rPr>
        <w:t>5</w:t>
      </w:r>
      <w:r w:rsidR="00557CC2">
        <w:rPr>
          <w:bCs/>
          <w:szCs w:val="24"/>
        </w:rPr>
        <w:t xml:space="preserve"> </w:t>
      </w:r>
      <w:r>
        <w:rPr>
          <w:bCs/>
          <w:szCs w:val="24"/>
        </w:rPr>
        <w:t>National Industry-Specific Occupational Employment and Wage Estimates (</w:t>
      </w:r>
      <w:hyperlink r:id="rId15" w:history="1">
        <w:r>
          <w:rPr>
            <w:rStyle w:val="Hyperlink"/>
            <w:bCs/>
            <w:szCs w:val="24"/>
          </w:rPr>
          <w:t>https://www.bls.gov/oes/current/oessrci.htm</w:t>
        </w:r>
      </w:hyperlink>
      <w:r>
        <w:rPr>
          <w:bCs/>
          <w:szCs w:val="24"/>
        </w:rPr>
        <w:t xml:space="preserve">).  </w:t>
      </w:r>
    </w:p>
    <w:p w:rsidR="002300FB" w:rsidP="002300FB" w14:paraId="1E13A13A" w14:textId="77777777">
      <w:pPr>
        <w:spacing w:line="480" w:lineRule="auto"/>
        <w:rPr>
          <w:b/>
          <w:bCs/>
        </w:rPr>
      </w:pPr>
    </w:p>
    <w:p w:rsidR="002300FB" w:rsidRPr="00206DDE" w:rsidP="002300FB" w14:paraId="0AFA6990" w14:textId="538E8866">
      <w:pPr>
        <w:spacing w:line="480" w:lineRule="auto"/>
        <w:rPr>
          <w:b/>
          <w:bCs/>
        </w:rPr>
      </w:pPr>
      <w:r w:rsidRPr="00206DDE">
        <w:rPr>
          <w:b/>
          <w:bCs/>
        </w:rPr>
        <w:t>State and Local Staff</w:t>
      </w:r>
    </w:p>
    <w:p w:rsidR="002300FB" w:rsidP="002300FB" w14:paraId="43B0769B" w14:textId="18FC4A40">
      <w:pPr>
        <w:spacing w:line="480" w:lineRule="auto"/>
      </w:pPr>
      <w:r>
        <w:t>The average hourly rate for State and local staff is $3</w:t>
      </w:r>
      <w:r w:rsidR="00A15BA6">
        <w:t>5.50</w:t>
      </w:r>
      <w:r>
        <w:t xml:space="preserve"> (($3</w:t>
      </w:r>
      <w:r w:rsidR="00057F3C">
        <w:t>8.15</w:t>
      </w:r>
      <w:r>
        <w:t xml:space="preserve"> + $3</w:t>
      </w:r>
      <w:r w:rsidR="00E2054C">
        <w:t>2.85</w:t>
      </w:r>
      <w:r>
        <w:t xml:space="preserve">)/2), which is the mean of </w:t>
      </w:r>
      <w:r w:rsidR="009C4E52">
        <w:t>“</w:t>
      </w:r>
      <w:r>
        <w:t>all occupations</w:t>
      </w:r>
      <w:r w:rsidR="002363BA">
        <w:t>”</w:t>
      </w:r>
      <w:r>
        <w:t xml:space="preserve"> for both State and local government data (U.S. Department of Labor, Bureau of Labor Statistics, </w:t>
      </w:r>
      <w:hyperlink r:id="rId16" w:anchor="/industry/999201">
        <w:r w:rsidRPr="66EB0783" w:rsidR="0034547E">
          <w:rPr>
            <w:rStyle w:val="Hyperlink"/>
          </w:rPr>
          <w:t>https://data.bls.gov/oes/#/industry/999201</w:t>
        </w:r>
      </w:hyperlink>
      <w:r w:rsidR="0034547E">
        <w:t xml:space="preserve"> </w:t>
      </w:r>
      <w:r>
        <w:t xml:space="preserve">and </w:t>
      </w:r>
      <w:hyperlink r:id="rId16" w:anchor="/industry/999301">
        <w:r w:rsidRPr="66EB0783" w:rsidR="00225152">
          <w:rPr>
            <w:rStyle w:val="Hyperlink"/>
          </w:rPr>
          <w:t>https://data.bls.gov/oes/#/industry/999301</w:t>
        </w:r>
      </w:hyperlink>
      <w:r w:rsidR="00225152">
        <w:t xml:space="preserve">, </w:t>
      </w:r>
      <w:r>
        <w:t xml:space="preserve">respectively).  </w:t>
      </w:r>
    </w:p>
    <w:p w:rsidR="002300FB" w:rsidP="002300FB" w14:paraId="46694927" w14:textId="77777777">
      <w:pPr>
        <w:spacing w:line="480" w:lineRule="auto"/>
        <w:rPr>
          <w:b/>
          <w:bCs/>
        </w:rPr>
      </w:pPr>
      <w:r w:rsidRPr="00BB1DE0">
        <w:rPr>
          <w:b/>
          <w:bCs/>
        </w:rPr>
        <w:t>Authorized Outlets</w:t>
      </w:r>
    </w:p>
    <w:p w:rsidR="002300FB" w:rsidP="002300FB" w14:paraId="5028361B" w14:textId="579E2428">
      <w:pPr>
        <w:spacing w:line="480" w:lineRule="auto"/>
        <w:rPr>
          <w:bCs/>
        </w:rPr>
      </w:pPr>
      <w:r>
        <w:rPr>
          <w:bCs/>
        </w:rPr>
        <w:t>The average hourly rate for authorized outlet staff is $</w:t>
      </w:r>
      <w:r w:rsidR="000B2455">
        <w:rPr>
          <w:bCs/>
        </w:rPr>
        <w:t>2</w:t>
      </w:r>
      <w:r>
        <w:rPr>
          <w:bCs/>
        </w:rPr>
        <w:t>1.</w:t>
      </w:r>
      <w:r w:rsidR="00474B8A">
        <w:rPr>
          <w:bCs/>
        </w:rPr>
        <w:t>44</w:t>
      </w:r>
      <w:r w:rsidR="000B2455">
        <w:rPr>
          <w:bCs/>
        </w:rPr>
        <w:t>,</w:t>
      </w:r>
      <w:r w:rsidRPr="004F38E1">
        <w:rPr>
          <w:bCs/>
        </w:rPr>
        <w:t xml:space="preserve"> which is the mean of </w:t>
      </w:r>
      <w:r w:rsidR="002363BA">
        <w:rPr>
          <w:bCs/>
        </w:rPr>
        <w:t>“</w:t>
      </w:r>
      <w:r w:rsidR="00A56614">
        <w:rPr>
          <w:bCs/>
        </w:rPr>
        <w:t>all occupations</w:t>
      </w:r>
      <w:r w:rsidR="002363BA">
        <w:rPr>
          <w:bCs/>
        </w:rPr>
        <w:t>”</w:t>
      </w:r>
      <w:r w:rsidR="00A56614">
        <w:rPr>
          <w:bCs/>
        </w:rPr>
        <w:t xml:space="preserve"> in the </w:t>
      </w:r>
      <w:r w:rsidR="00A4017A">
        <w:rPr>
          <w:bCs/>
        </w:rPr>
        <w:t>Agriculture, Forestry, Fishing and Hunting</w:t>
      </w:r>
      <w:r w:rsidR="000B2455">
        <w:rPr>
          <w:bCs/>
        </w:rPr>
        <w:t xml:space="preserve"> </w:t>
      </w:r>
      <w:r w:rsidR="00714ABC">
        <w:rPr>
          <w:bCs/>
        </w:rPr>
        <w:t>industry</w:t>
      </w:r>
      <w:r>
        <w:rPr>
          <w:bCs/>
        </w:rPr>
        <w:t xml:space="preserve"> (U.S. Department of Labor, Bureau of Labor Statistics,</w:t>
      </w:r>
      <w:r w:rsidR="000B2455">
        <w:rPr>
          <w:bCs/>
        </w:rPr>
        <w:t xml:space="preserve"> </w:t>
      </w:r>
      <w:hyperlink r:id="rId16" w:anchor="/industry/11--12" w:history="1">
        <w:r w:rsidRPr="0077486B" w:rsidR="000B2455">
          <w:rPr>
            <w:rStyle w:val="Hyperlink"/>
            <w:bCs/>
          </w:rPr>
          <w:t>https://data.bls.gov/oes/#/industry/11--12</w:t>
        </w:r>
      </w:hyperlink>
      <w:r w:rsidRPr="00192FBB">
        <w:rPr>
          <w:bCs/>
        </w:rPr>
        <w:t xml:space="preserve">). </w:t>
      </w:r>
    </w:p>
    <w:p w:rsidR="002300FB" w:rsidP="002300FB" w14:paraId="5F3540C1" w14:textId="77777777">
      <w:pPr>
        <w:spacing w:line="480" w:lineRule="auto"/>
        <w:rPr>
          <w:b/>
          <w:bCs/>
        </w:rPr>
      </w:pPr>
      <w:r w:rsidRPr="00CD56E5">
        <w:rPr>
          <w:b/>
          <w:bCs/>
        </w:rPr>
        <w:t>Non</w:t>
      </w:r>
      <w:r>
        <w:rPr>
          <w:b/>
          <w:bCs/>
        </w:rPr>
        <w:t>-</w:t>
      </w:r>
      <w:r w:rsidRPr="00CD56E5">
        <w:rPr>
          <w:b/>
          <w:bCs/>
        </w:rPr>
        <w:t>profit Businesses</w:t>
      </w:r>
    </w:p>
    <w:p w:rsidR="002300FB" w:rsidP="002300FB" w14:paraId="19021C35" w14:textId="25A58C5E">
      <w:pPr>
        <w:spacing w:line="480" w:lineRule="auto"/>
        <w:rPr>
          <w:bCs/>
        </w:rPr>
      </w:pPr>
      <w:r w:rsidRPr="004C2EB4">
        <w:rPr>
          <w:bCs/>
        </w:rPr>
        <w:t xml:space="preserve">The average hourly rate for </w:t>
      </w:r>
      <w:r>
        <w:rPr>
          <w:bCs/>
        </w:rPr>
        <w:t>non-profit business staff is $</w:t>
      </w:r>
      <w:r w:rsidR="00A56614">
        <w:rPr>
          <w:bCs/>
        </w:rPr>
        <w:t>2</w:t>
      </w:r>
      <w:r w:rsidR="00E44F9D">
        <w:rPr>
          <w:bCs/>
        </w:rPr>
        <w:t>1.04</w:t>
      </w:r>
      <w:r w:rsidRPr="004C2EB4">
        <w:rPr>
          <w:bCs/>
        </w:rPr>
        <w:t xml:space="preserve"> which is the mean of </w:t>
      </w:r>
      <w:r w:rsidR="002363BA">
        <w:rPr>
          <w:bCs/>
        </w:rPr>
        <w:t>“</w:t>
      </w:r>
      <w:r>
        <w:rPr>
          <w:bCs/>
        </w:rPr>
        <w:t>all occupations</w:t>
      </w:r>
      <w:r w:rsidR="002363BA">
        <w:rPr>
          <w:bCs/>
        </w:rPr>
        <w:t>”</w:t>
      </w:r>
      <w:r w:rsidRPr="004C2EB4">
        <w:rPr>
          <w:bCs/>
        </w:rPr>
        <w:t xml:space="preserve"> </w:t>
      </w:r>
      <w:r w:rsidR="00714ABC">
        <w:rPr>
          <w:bCs/>
        </w:rPr>
        <w:t xml:space="preserve">in the </w:t>
      </w:r>
      <w:r w:rsidRPr="004C2EB4">
        <w:rPr>
          <w:bCs/>
        </w:rPr>
        <w:t>Social Assistance</w:t>
      </w:r>
      <w:r>
        <w:rPr>
          <w:bCs/>
        </w:rPr>
        <w:t xml:space="preserve"> category of </w:t>
      </w:r>
      <w:r w:rsidRPr="004C2EB4">
        <w:rPr>
          <w:bCs/>
        </w:rPr>
        <w:t xml:space="preserve">Health Care and Social Assistance (U.S. Department of Labor, Bureau of Labor Statistics, </w:t>
      </w:r>
      <w:hyperlink r:id="rId16" w:anchor="/industry/624000" w:history="1">
        <w:r w:rsidRPr="0077486B" w:rsidR="00714ABC">
          <w:rPr>
            <w:rStyle w:val="Hyperlink"/>
          </w:rPr>
          <w:t>https://data.bls.gov/oes/#/industry/624000</w:t>
        </w:r>
      </w:hyperlink>
      <w:r w:rsidRPr="004C2EB4">
        <w:rPr>
          <w:bCs/>
        </w:rPr>
        <w:t xml:space="preserve">).  </w:t>
      </w:r>
    </w:p>
    <w:p w:rsidR="002300FB" w:rsidRPr="00BB1DE0" w:rsidP="002300FB" w14:paraId="1B8D36FB" w14:textId="77777777">
      <w:pPr>
        <w:spacing w:line="480" w:lineRule="auto"/>
        <w:rPr>
          <w:b/>
          <w:bCs/>
        </w:rPr>
      </w:pPr>
      <w:r>
        <w:rPr>
          <w:b/>
          <w:bCs/>
        </w:rPr>
        <w:t>Individuals/households</w:t>
      </w:r>
    </w:p>
    <w:p w:rsidR="00A7598F" w:rsidRPr="00AE31A4" w:rsidP="00886B3B" w14:paraId="5DAF5FEE" w14:textId="7265FD6C">
      <w:pPr>
        <w:spacing w:line="480" w:lineRule="auto"/>
        <w:rPr>
          <w:b/>
          <w:color w:val="C00000"/>
          <w:szCs w:val="24"/>
        </w:rPr>
      </w:pPr>
      <w:r w:rsidRPr="004F38E1">
        <w:rPr>
          <w:bCs/>
        </w:rPr>
        <w:t xml:space="preserve">The $7.25 hourly rate for applicants for </w:t>
      </w:r>
      <w:r w:rsidR="001F6A2E">
        <w:rPr>
          <w:bCs/>
        </w:rPr>
        <w:t xml:space="preserve">WIC </w:t>
      </w:r>
      <w:r>
        <w:rPr>
          <w:bCs/>
        </w:rPr>
        <w:t>FMNP</w:t>
      </w:r>
      <w:r w:rsidRPr="004F38E1">
        <w:rPr>
          <w:bCs/>
        </w:rPr>
        <w:t xml:space="preserve"> </w:t>
      </w:r>
      <w:r w:rsidR="005E4381">
        <w:rPr>
          <w:bCs/>
        </w:rPr>
        <w:t xml:space="preserve">and SFMNP </w:t>
      </w:r>
      <w:r w:rsidRPr="004F38E1">
        <w:rPr>
          <w:bCs/>
        </w:rPr>
        <w:t xml:space="preserve">benefits is the Federal minimum wage </w:t>
      </w:r>
      <w:r>
        <w:rPr>
          <w:bCs/>
        </w:rPr>
        <w:t xml:space="preserve">which was last set in </w:t>
      </w:r>
      <w:r w:rsidRPr="004F38E1">
        <w:rPr>
          <w:bCs/>
        </w:rPr>
        <w:t>July 20</w:t>
      </w:r>
      <w:r>
        <w:rPr>
          <w:bCs/>
        </w:rPr>
        <w:t>09</w:t>
      </w:r>
      <w:r w:rsidRPr="004F38E1">
        <w:rPr>
          <w:bCs/>
        </w:rPr>
        <w:t xml:space="preserve"> (U.S. Department of Labor, </w:t>
      </w:r>
      <w:hyperlink r:id="rId17" w:history="1">
        <w:r w:rsidRPr="005D7978" w:rsidR="002300FB">
          <w:rPr>
            <w:rStyle w:val="Hyperlink"/>
            <w:bCs/>
          </w:rPr>
          <w:t>https://www.dol.gov/whd/minimumwage.htm</w:t>
        </w:r>
      </w:hyperlink>
      <w:r>
        <w:rPr>
          <w:bCs/>
        </w:rPr>
        <w:t>).</w:t>
      </w:r>
    </w:p>
    <w:p w:rsidR="0000091D" w:rsidRPr="006E6375" w:rsidP="006E6375" w14:paraId="6DEE804E" w14:textId="77777777">
      <w:pPr>
        <w:tabs>
          <w:tab w:val="left" w:pos="0"/>
        </w:tabs>
        <w:suppressAutoHyphens/>
        <w:rPr>
          <w:b/>
          <w:color w:val="C00000"/>
          <w:szCs w:val="24"/>
        </w:rPr>
      </w:pPr>
    </w:p>
    <w:p w:rsidR="000438E8" w:rsidRPr="002568E6" w:rsidP="0062567E" w14:paraId="03E0F6AF" w14:textId="77777777">
      <w:pPr>
        <w:pStyle w:val="Heading1"/>
        <w:rPr>
          <w:szCs w:val="24"/>
        </w:rPr>
      </w:pPr>
      <w:bookmarkStart w:id="24" w:name="_Toc401831369"/>
      <w:bookmarkStart w:id="25" w:name="_Toc224640036"/>
      <w:r w:rsidRPr="002568E6">
        <w:rPr>
          <w:szCs w:val="24"/>
        </w:rPr>
        <w:t xml:space="preserve">A13.  Estimates of other total annual cost </w:t>
      </w:r>
      <w:r w:rsidRPr="002568E6" w:rsidR="00ED28F2">
        <w:rPr>
          <w:szCs w:val="24"/>
        </w:rPr>
        <w:t>burden</w:t>
      </w:r>
      <w:r w:rsidRPr="002568E6">
        <w:rPr>
          <w:szCs w:val="24"/>
        </w:rPr>
        <w:t>.</w:t>
      </w:r>
      <w:bookmarkEnd w:id="24"/>
      <w:bookmarkEnd w:id="25"/>
    </w:p>
    <w:p w:rsidR="0062567E" w:rsidRPr="002568E6" w:rsidP="000438E8" w14:paraId="03E0F6B0" w14:textId="77777777">
      <w:pPr>
        <w:tabs>
          <w:tab w:val="left" w:pos="0"/>
        </w:tabs>
        <w:suppressAutoHyphens/>
        <w:rPr>
          <w:b/>
          <w:szCs w:val="24"/>
        </w:rPr>
      </w:pPr>
    </w:p>
    <w:p w:rsidR="0062567E" w:rsidRPr="002568E6" w:rsidP="000438E8" w14:paraId="03E0F6B1" w14:textId="77777777">
      <w:pPr>
        <w:tabs>
          <w:tab w:val="left" w:pos="0"/>
        </w:tabs>
        <w:suppressAutoHyphens/>
        <w:rPr>
          <w:b/>
          <w:szCs w:val="24"/>
        </w:rPr>
      </w:pPr>
      <w:r w:rsidRPr="002568E6">
        <w:rPr>
          <w:b/>
          <w:szCs w:val="24"/>
        </w:rPr>
        <w:t>Provide estimates of the total annual cost burden to respondents or recordkeepers resulting from the collection of information, (do not include the cost of any hour burden shown in questions 12 and 14).  The cost estimates should be split into two components: (a) a total capital and start-up cost component annualized over its expected useful life; and (b) a total operation and maintenance and purchase of services component.</w:t>
      </w:r>
    </w:p>
    <w:p w:rsidR="002B67D9" w:rsidP="00886B3B" w14:paraId="03FBF38A" w14:textId="5C0D2696">
      <w:pPr>
        <w:tabs>
          <w:tab w:val="left" w:pos="-720"/>
        </w:tabs>
        <w:suppressAutoHyphens/>
        <w:spacing w:before="240" w:after="240" w:line="480" w:lineRule="auto"/>
      </w:pPr>
      <w:r w:rsidRPr="00E426D1">
        <w:t>There are no capital/start-up or ongoing operation/maintenance costs associated with this information collection.</w:t>
      </w:r>
    </w:p>
    <w:p w:rsidR="00A308DB" w:rsidRPr="002568E6" w:rsidP="0062567E" w14:paraId="03E0F6B5" w14:textId="4A714CCB">
      <w:pPr>
        <w:pStyle w:val="Heading1"/>
        <w:rPr>
          <w:szCs w:val="24"/>
        </w:rPr>
      </w:pPr>
      <w:bookmarkStart w:id="26" w:name="_Toc401831370"/>
      <w:bookmarkStart w:id="27" w:name="_Toc224640037"/>
      <w:r w:rsidRPr="002568E6">
        <w:rPr>
          <w:szCs w:val="24"/>
        </w:rPr>
        <w:t xml:space="preserve">A14.  Provide estimates of annualized cost to the Federal </w:t>
      </w:r>
      <w:r w:rsidR="00C125E8">
        <w:rPr>
          <w:szCs w:val="24"/>
        </w:rPr>
        <w:t>G</w:t>
      </w:r>
      <w:r w:rsidRPr="002568E6">
        <w:rPr>
          <w:szCs w:val="24"/>
        </w:rPr>
        <w:t>overnment.</w:t>
      </w:r>
      <w:bookmarkEnd w:id="26"/>
      <w:bookmarkEnd w:id="27"/>
      <w:r w:rsidRPr="002568E6" w:rsidR="0088245A">
        <w:rPr>
          <w:szCs w:val="24"/>
        </w:rPr>
        <w:t xml:space="preserve">  </w:t>
      </w:r>
    </w:p>
    <w:p w:rsidR="0062567E" w:rsidRPr="002568E6" w:rsidP="000438E8" w14:paraId="03E0F6B6" w14:textId="77777777">
      <w:pPr>
        <w:tabs>
          <w:tab w:val="left" w:pos="0"/>
        </w:tabs>
        <w:suppressAutoHyphens/>
        <w:rPr>
          <w:szCs w:val="24"/>
        </w:rPr>
      </w:pPr>
    </w:p>
    <w:p w:rsidR="0062567E" w:rsidRPr="002568E6" w:rsidP="0062567E" w14:paraId="03E0F6B7" w14:textId="4C824AD7">
      <w:pPr>
        <w:pStyle w:val="ListParagraph"/>
        <w:widowControl/>
        <w:spacing w:line="240" w:lineRule="auto"/>
        <w:ind w:left="0"/>
        <w:rPr>
          <w:b/>
          <w:szCs w:val="24"/>
        </w:rPr>
      </w:pPr>
      <w:r w:rsidRPr="002568E6">
        <w:rPr>
          <w:b/>
          <w:szCs w:val="24"/>
        </w:rPr>
        <w:t xml:space="preserve">Provide estimates of annualized cost to the Federal </w:t>
      </w:r>
      <w:r w:rsidR="00C125E8">
        <w:rPr>
          <w:b/>
          <w:szCs w:val="24"/>
        </w:rPr>
        <w:t>G</w:t>
      </w:r>
      <w:r w:rsidRPr="002568E6">
        <w:rPr>
          <w:b/>
          <w:szCs w:val="24"/>
        </w:rPr>
        <w:t>overnment.  Provide a description of the method used to estimate cost and any other expense that would not have been incurred without this collection of information.</w:t>
      </w:r>
    </w:p>
    <w:p w:rsidR="0062567E" w:rsidRPr="002568E6" w:rsidP="000438E8" w14:paraId="03E0F6B8" w14:textId="77777777">
      <w:pPr>
        <w:tabs>
          <w:tab w:val="left" w:pos="0"/>
        </w:tabs>
        <w:suppressAutoHyphens/>
        <w:rPr>
          <w:szCs w:val="24"/>
        </w:rPr>
      </w:pPr>
    </w:p>
    <w:p w:rsidR="009E1FFD" w:rsidP="00886B3B" w14:paraId="1806EAFD" w14:textId="33A4ABAF">
      <w:pPr>
        <w:tabs>
          <w:tab w:val="left" w:pos="720"/>
          <w:tab w:val="left" w:pos="1080"/>
          <w:tab w:val="left" w:pos="1260"/>
          <w:tab w:val="left" w:pos="1440"/>
          <w:tab w:val="left" w:pos="2880"/>
          <w:tab w:val="left" w:pos="5760"/>
          <w:tab w:val="left" w:pos="6480"/>
        </w:tabs>
        <w:spacing w:after="240" w:line="480" w:lineRule="auto"/>
      </w:pPr>
      <w:r>
        <w:t>In 2026, t</w:t>
      </w:r>
      <w:r w:rsidR="00DF27F0">
        <w:t>he average</w:t>
      </w:r>
      <w:r w:rsidR="007909C0">
        <w:t xml:space="preserve"> base</w:t>
      </w:r>
      <w:r w:rsidR="00DF27F0">
        <w:t xml:space="preserve"> hourly wage across General Schedule (GS) 11, 12, and 13 salaries at Step 6 is $43.08 </w:t>
      </w:r>
      <w:r w:rsidR="00701B84">
        <w:t>(</w:t>
      </w:r>
      <w:r w:rsidRPr="0036510B">
        <w:t>($</w:t>
      </w:r>
      <w:r>
        <w:t>35.66</w:t>
      </w:r>
      <w:r w:rsidRPr="0036510B">
        <w:t xml:space="preserve"> + $</w:t>
      </w:r>
      <w:r>
        <w:t>42.74</w:t>
      </w:r>
      <w:r w:rsidRPr="0036510B">
        <w:t xml:space="preserve"> + $</w:t>
      </w:r>
      <w:r>
        <w:t>50.83</w:t>
      </w:r>
      <w:r w:rsidRPr="0036510B">
        <w:t>)</w:t>
      </w:r>
      <w:r w:rsidR="00701B84">
        <w:t xml:space="preserve"> </w:t>
      </w:r>
      <w:r w:rsidRPr="0036510B">
        <w:t>/</w:t>
      </w:r>
      <w:r w:rsidR="00701B84">
        <w:t xml:space="preserve"> </w:t>
      </w:r>
      <w:r w:rsidRPr="0036510B">
        <w:t>3</w:t>
      </w:r>
      <w:r>
        <w:t xml:space="preserve"> </w:t>
      </w:r>
      <w:r w:rsidRPr="0036510B">
        <w:t>= $</w:t>
      </w:r>
      <w:r>
        <w:t>43.08</w:t>
      </w:r>
      <w:r w:rsidRPr="0036510B">
        <w:t>)</w:t>
      </w:r>
      <w:r w:rsidR="00BB4682">
        <w:t>,</w:t>
      </w:r>
      <w:r w:rsidR="003466A6">
        <w:t xml:space="preserve"> according to </w:t>
      </w:r>
      <w:r w:rsidRPr="0036510B" w:rsidR="003466A6">
        <w:t xml:space="preserve">the U.S. Office of Personnel Management </w:t>
      </w:r>
      <w:r w:rsidR="007909C0">
        <w:t xml:space="preserve">at </w:t>
      </w:r>
      <w:hyperlink r:id="rId18" w:history="1">
        <w:r w:rsidRPr="007909C0" w:rsidR="007909C0">
          <w:rPr>
            <w:rStyle w:val="Hyperlink"/>
          </w:rPr>
          <w:t>https://www.opm.gov/policy-data-oversight/pay-leave/salaries-wages/salary-tables/26Tables/html/GS_h.aspx</w:t>
        </w:r>
      </w:hyperlink>
      <w:r w:rsidR="003466A6">
        <w:t>.</w:t>
      </w:r>
      <w:r w:rsidR="008A1EF7">
        <w:t xml:space="preserve"> Therefore, th</w:t>
      </w:r>
      <w:r w:rsidR="002B5C4A">
        <w:t xml:space="preserve">e estimated base cost </w:t>
      </w:r>
      <w:r w:rsidR="007625DC">
        <w:t xml:space="preserve">for one </w:t>
      </w:r>
      <w:r w:rsidR="00CE2CAC">
        <w:t xml:space="preserve">full-time equivalent (FTE) staff </w:t>
      </w:r>
      <w:r w:rsidR="002B5C4A">
        <w:t xml:space="preserve">is </w:t>
      </w:r>
      <w:r w:rsidRPr="004E6566" w:rsidR="004E6566">
        <w:t>$89,</w:t>
      </w:r>
      <w:r w:rsidR="009A5BDE">
        <w:t>606.40</w:t>
      </w:r>
      <w:r w:rsidRPr="004E6566" w:rsidR="004E6566">
        <w:t xml:space="preserve"> </w:t>
      </w:r>
      <w:r w:rsidR="004E6566">
        <w:t>($43.08 x</w:t>
      </w:r>
      <w:r w:rsidR="002B5C4A">
        <w:t xml:space="preserve"> </w:t>
      </w:r>
      <w:r w:rsidR="0063099E">
        <w:t xml:space="preserve">40 hours x 52 weeks = </w:t>
      </w:r>
      <w:r w:rsidRPr="004E6566" w:rsidR="004E6566">
        <w:t>$89,</w:t>
      </w:r>
      <w:r w:rsidR="009A5BDE">
        <w:t>606.40</w:t>
      </w:r>
      <w:r w:rsidR="004E6566">
        <w:t xml:space="preserve">). </w:t>
      </w:r>
      <w:r w:rsidR="009F21E3">
        <w:t>An additional 33</w:t>
      </w:r>
      <w:r w:rsidR="00062604">
        <w:t xml:space="preserve"> percent</w:t>
      </w:r>
      <w:r w:rsidR="009F21E3">
        <w:t xml:space="preserve"> of the base cost</w:t>
      </w:r>
      <w:r w:rsidR="00062604">
        <w:t xml:space="preserve">, or </w:t>
      </w:r>
      <w:r w:rsidRPr="00062604" w:rsidR="00062604">
        <w:t>$29,</w:t>
      </w:r>
      <w:r w:rsidR="009A5BDE">
        <w:t>570.11</w:t>
      </w:r>
      <w:r w:rsidR="00062604">
        <w:t>,</w:t>
      </w:r>
      <w:r w:rsidRPr="00062604" w:rsidR="00062604">
        <w:t xml:space="preserve"> </w:t>
      </w:r>
      <w:r w:rsidR="009F21E3">
        <w:t>must be added to represent fully loaded wages. Therefore</w:t>
      </w:r>
      <w:r w:rsidR="00062604">
        <w:t>,</w:t>
      </w:r>
      <w:r w:rsidR="009F21E3">
        <w:t xml:space="preserve"> each FTE costs an estimated </w:t>
      </w:r>
      <w:r w:rsidRPr="00201DE4" w:rsidR="00201DE4">
        <w:t>$119,1</w:t>
      </w:r>
      <w:r w:rsidR="00605B4A">
        <w:t>76</w:t>
      </w:r>
      <w:r w:rsidRPr="00201DE4" w:rsidR="00201DE4">
        <w:t>.</w:t>
      </w:r>
      <w:r w:rsidR="00605B4A">
        <w:t>51</w:t>
      </w:r>
      <w:r w:rsidRPr="00201DE4" w:rsidR="00201DE4">
        <w:t xml:space="preserve"> </w:t>
      </w:r>
      <w:r w:rsidR="009F21E3">
        <w:t>annually</w:t>
      </w:r>
      <w:r w:rsidR="00BB4682">
        <w:t xml:space="preserve"> (</w:t>
      </w:r>
      <w:r w:rsidRPr="004E6566" w:rsidR="00BB4682">
        <w:t>$89,</w:t>
      </w:r>
      <w:r w:rsidR="00605B4A">
        <w:t>606</w:t>
      </w:r>
      <w:r w:rsidRPr="004E6566" w:rsidR="00BB4682">
        <w:t>.4</w:t>
      </w:r>
      <w:r w:rsidR="00605B4A">
        <w:t>0</w:t>
      </w:r>
      <w:r w:rsidR="00BB4682">
        <w:t xml:space="preserve"> + </w:t>
      </w:r>
      <w:r w:rsidRPr="00062604" w:rsidR="00BB4682">
        <w:t>$29,57</w:t>
      </w:r>
      <w:r w:rsidR="00605B4A">
        <w:t>0</w:t>
      </w:r>
      <w:r w:rsidRPr="00062604" w:rsidR="00BB4682">
        <w:t>.</w:t>
      </w:r>
      <w:r w:rsidR="00605B4A">
        <w:t>11</w:t>
      </w:r>
      <w:r w:rsidR="00BB4682">
        <w:t>)</w:t>
      </w:r>
      <w:r w:rsidR="009F21E3">
        <w:t>.</w:t>
      </w:r>
    </w:p>
    <w:p w:rsidR="00306E47" w:rsidRPr="002568E6" w:rsidP="00940AC5" w14:paraId="60F30133" w14:textId="5B06A8C5">
      <w:pPr>
        <w:tabs>
          <w:tab w:val="left" w:pos="-720"/>
        </w:tabs>
        <w:suppressAutoHyphens/>
        <w:spacing w:after="240" w:line="480" w:lineRule="auto"/>
        <w:rPr>
          <w:szCs w:val="24"/>
        </w:rPr>
      </w:pPr>
      <w:r>
        <w:t>FNA</w:t>
      </w:r>
      <w:r w:rsidR="00212649">
        <w:t xml:space="preserve"> estimates that </w:t>
      </w:r>
      <w:r w:rsidR="00BB4682">
        <w:t xml:space="preserve">3 </w:t>
      </w:r>
      <w:r w:rsidR="00212649">
        <w:t xml:space="preserve">FTE staff in the National Office and 7 FTE staff in the Regional Offices are responsible for </w:t>
      </w:r>
      <w:r w:rsidRPr="00910895" w:rsidR="00212649">
        <w:t xml:space="preserve">SFMNP maintenance (reporting and recordkeeping, monitoring, technical </w:t>
      </w:r>
      <w:r w:rsidRPr="00910895" w:rsidR="00212649">
        <w:t>assistance, review and analysis)</w:t>
      </w:r>
      <w:r w:rsidR="00212649">
        <w:t xml:space="preserve">. </w:t>
      </w:r>
      <w:r w:rsidR="00AB56F3">
        <w:t>Therefore, the estimated annual cost to the Federal government for this collection is $</w:t>
      </w:r>
      <w:r w:rsidRPr="00AB56F3" w:rsidR="00AB56F3">
        <w:t>1,191,7</w:t>
      </w:r>
      <w:r w:rsidR="00F14AE2">
        <w:t>65</w:t>
      </w:r>
      <w:r w:rsidRPr="00AB56F3" w:rsidR="00AB56F3">
        <w:t>.</w:t>
      </w:r>
      <w:r w:rsidR="00F14AE2">
        <w:t>12</w:t>
      </w:r>
      <w:r w:rsidRPr="00AB56F3" w:rsidR="00AB56F3">
        <w:t xml:space="preserve"> </w:t>
      </w:r>
      <w:r w:rsidR="00AB56F3">
        <w:t xml:space="preserve">(10 FTEs x </w:t>
      </w:r>
      <w:r w:rsidRPr="00201DE4" w:rsidR="00AB56F3">
        <w:t>$119,17</w:t>
      </w:r>
      <w:r w:rsidR="00F14AE2">
        <w:t>6.51</w:t>
      </w:r>
      <w:r w:rsidR="00AB56F3">
        <w:t>).</w:t>
      </w:r>
    </w:p>
    <w:p w:rsidR="000438E8" w:rsidRPr="002568E6" w:rsidP="0062567E" w14:paraId="03E0F6BB" w14:textId="77777777">
      <w:pPr>
        <w:pStyle w:val="Heading1"/>
        <w:rPr>
          <w:szCs w:val="24"/>
        </w:rPr>
      </w:pPr>
      <w:bookmarkStart w:id="28" w:name="_Toc401831371"/>
      <w:bookmarkStart w:id="29" w:name="_Toc224640038"/>
      <w:r>
        <w:t xml:space="preserve">A15.  </w:t>
      </w:r>
      <w:r w:rsidR="00C619D0">
        <w:t xml:space="preserve">Explanation of </w:t>
      </w:r>
      <w:r w:rsidR="00E0371E">
        <w:t xml:space="preserve">program </w:t>
      </w:r>
      <w:r w:rsidR="00C619D0">
        <w:t>changes or adjustments</w:t>
      </w:r>
      <w:r w:rsidR="005E0A1A">
        <w:t>.</w:t>
      </w:r>
      <w:bookmarkEnd w:id="28"/>
      <w:bookmarkEnd w:id="29"/>
    </w:p>
    <w:p w:rsidR="0062567E" w:rsidRPr="002568E6" w:rsidP="0062567E" w14:paraId="03E0F6BC" w14:textId="77777777">
      <w:pPr>
        <w:tabs>
          <w:tab w:val="left" w:pos="0"/>
        </w:tabs>
        <w:suppressAutoHyphens/>
        <w:jc w:val="center"/>
        <w:rPr>
          <w:b/>
          <w:szCs w:val="24"/>
        </w:rPr>
      </w:pPr>
    </w:p>
    <w:p w:rsidR="0062567E" w:rsidRPr="002568E6" w:rsidP="0062567E" w14:paraId="03E0F6BD" w14:textId="77777777">
      <w:pPr>
        <w:pStyle w:val="ListParagraph"/>
        <w:widowControl/>
        <w:spacing w:line="360" w:lineRule="auto"/>
        <w:ind w:left="0"/>
        <w:rPr>
          <w:b/>
          <w:szCs w:val="24"/>
        </w:rPr>
      </w:pPr>
      <w:r w:rsidRPr="002568E6">
        <w:rPr>
          <w:b/>
          <w:szCs w:val="24"/>
        </w:rPr>
        <w:t>Explain the reasons for any program changes or adjustments reported in Items 13 or 14 of the OMB Form 83-</w:t>
      </w:r>
      <w:r w:rsidRPr="002568E6" w:rsidR="00ED28F2">
        <w:rPr>
          <w:b/>
          <w:szCs w:val="24"/>
        </w:rPr>
        <w:t>I</w:t>
      </w:r>
      <w:r w:rsidRPr="002568E6">
        <w:rPr>
          <w:b/>
          <w:szCs w:val="24"/>
        </w:rPr>
        <w:t>.</w:t>
      </w:r>
    </w:p>
    <w:p w:rsidR="00266D6A" w:rsidP="00ED28F2" w14:paraId="1133EE38" w14:textId="77777777">
      <w:pPr>
        <w:tabs>
          <w:tab w:val="left" w:pos="-720"/>
        </w:tabs>
        <w:suppressAutoHyphens/>
        <w:rPr>
          <w:szCs w:val="24"/>
        </w:rPr>
      </w:pPr>
    </w:p>
    <w:p w:rsidR="00001558" w:rsidP="1213715D" w14:paraId="5F778090" w14:textId="05306928">
      <w:pPr>
        <w:suppressAutoHyphens/>
        <w:spacing w:after="240" w:line="480" w:lineRule="auto"/>
      </w:pPr>
      <w:r>
        <w:t xml:space="preserve">This </w:t>
      </w:r>
      <w:r w:rsidR="004A024C">
        <w:t xml:space="preserve">reinstatement and </w:t>
      </w:r>
      <w:r>
        <w:t xml:space="preserve">revision </w:t>
      </w:r>
      <w:r w:rsidR="00FD1FE5">
        <w:t>includes</w:t>
      </w:r>
      <w:r w:rsidR="004A024C">
        <w:t xml:space="preserve"> </w:t>
      </w:r>
      <w:r>
        <w:t>both program changes and program adjustments.</w:t>
      </w:r>
      <w:r w:rsidR="00FD1FE5">
        <w:t xml:space="preserve"> </w:t>
      </w:r>
      <w:r w:rsidR="00C24373">
        <w:t>The program changes in thi</w:t>
      </w:r>
      <w:r w:rsidR="00B25F0A">
        <w:t xml:space="preserve">s revision </w:t>
      </w:r>
      <w:r w:rsidR="00372117">
        <w:t xml:space="preserve">fall into </w:t>
      </w:r>
      <w:r w:rsidR="00B35243">
        <w:t>three</w:t>
      </w:r>
      <w:r w:rsidR="00FD1FE5">
        <w:t xml:space="preserve"> </w:t>
      </w:r>
      <w:r w:rsidR="00372117">
        <w:t xml:space="preserve">categories: </w:t>
      </w:r>
      <w:r w:rsidR="00FD1FE5">
        <w:t>1</w:t>
      </w:r>
      <w:r w:rsidR="00494260">
        <w:t>)</w:t>
      </w:r>
      <w:r w:rsidR="00BF3699">
        <w:t xml:space="preserve"> </w:t>
      </w:r>
      <w:r w:rsidR="0081794D">
        <w:t xml:space="preserve">the adoption of </w:t>
      </w:r>
      <w:r w:rsidR="0081794D">
        <w:t>WiSP</w:t>
      </w:r>
      <w:r w:rsidR="0081794D">
        <w:t xml:space="preserve"> for State Plans; 2) </w:t>
      </w:r>
      <w:r w:rsidR="005E5E56">
        <w:t xml:space="preserve">changes to program operations due to the </w:t>
      </w:r>
      <w:r w:rsidR="005E5E56">
        <w:t>eSolution</w:t>
      </w:r>
      <w:r w:rsidR="005E5E56">
        <w:t xml:space="preserve"> transition;</w:t>
      </w:r>
      <w:r w:rsidR="00B35243">
        <w:t xml:space="preserve"> and</w:t>
      </w:r>
      <w:r w:rsidR="005E5E56">
        <w:t xml:space="preserve"> </w:t>
      </w:r>
      <w:r w:rsidR="0081794D">
        <w:t>3</w:t>
      </w:r>
      <w:r w:rsidR="005E5E56">
        <w:t>)</w:t>
      </w:r>
      <w:r w:rsidR="00494260">
        <w:t xml:space="preserve"> </w:t>
      </w:r>
      <w:r w:rsidR="004D26FE">
        <w:t xml:space="preserve">corrections to </w:t>
      </w:r>
      <w:r w:rsidR="00BF3699">
        <w:t>more accurately capture program requirements</w:t>
      </w:r>
      <w:r w:rsidR="00B35243">
        <w:t xml:space="preserve">, including adding </w:t>
      </w:r>
      <w:r w:rsidR="000C4CEB">
        <w:t xml:space="preserve">existing </w:t>
      </w:r>
      <w:r w:rsidR="00AA2D10">
        <w:t>programmatic requirements that were in use without PRA approval</w:t>
      </w:r>
      <w:r w:rsidR="00B35243">
        <w:t xml:space="preserve"> into this collection</w:t>
      </w:r>
      <w:r w:rsidR="005E5E56">
        <w:t>.</w:t>
      </w:r>
      <w:r w:rsidR="00A457A0">
        <w:t xml:space="preserve"> </w:t>
      </w:r>
      <w:r w:rsidR="00C24373">
        <w:t xml:space="preserve">Each of these categories </w:t>
      </w:r>
      <w:r w:rsidR="0039601B">
        <w:t>is</w:t>
      </w:r>
      <w:r w:rsidR="00C24373">
        <w:t xml:space="preserve"> described below and additional details are available in the burden narrative (</w:t>
      </w:r>
      <w:r w:rsidRPr="00AC20AE" w:rsidR="00C24373">
        <w:t xml:space="preserve">Appendix </w:t>
      </w:r>
      <w:r w:rsidR="00B17FC5">
        <w:t>E</w:t>
      </w:r>
      <w:r w:rsidRPr="00AC20AE" w:rsidR="00C24373">
        <w:t xml:space="preserve">). Altogether, these program changes account for a decrease of </w:t>
      </w:r>
      <w:r w:rsidRPr="00940AC5" w:rsidR="00AC20AE">
        <w:t>3</w:t>
      </w:r>
      <w:r w:rsidR="005B2FC6">
        <w:t>5</w:t>
      </w:r>
      <w:r w:rsidRPr="00940AC5" w:rsidR="00AC20AE">
        <w:t>0,</w:t>
      </w:r>
      <w:r w:rsidR="003C6EA5">
        <w:t>118</w:t>
      </w:r>
      <w:r w:rsidRPr="00AC20AE" w:rsidR="00C24373">
        <w:t xml:space="preserve"> burden hours</w:t>
      </w:r>
      <w:r w:rsidR="00284724">
        <w:t xml:space="preserve"> since this ICR’s previous submission</w:t>
      </w:r>
      <w:r w:rsidR="00C24373">
        <w:t>.</w:t>
      </w:r>
    </w:p>
    <w:p w:rsidR="004C16AB" w14:paraId="102B38D6" w14:textId="55BA460A">
      <w:pPr>
        <w:pStyle w:val="ListParagraph"/>
        <w:numPr>
          <w:ilvl w:val="0"/>
          <w:numId w:val="3"/>
        </w:numPr>
        <w:spacing w:after="240"/>
      </w:pPr>
      <w:r>
        <w:rPr>
          <w:b/>
          <w:bCs/>
        </w:rPr>
        <w:t xml:space="preserve">Adoption of </w:t>
      </w:r>
      <w:r>
        <w:rPr>
          <w:b/>
          <w:bCs/>
        </w:rPr>
        <w:t>WiSP</w:t>
      </w:r>
      <w:r>
        <w:rPr>
          <w:b/>
          <w:bCs/>
        </w:rPr>
        <w:t xml:space="preserve"> </w:t>
      </w:r>
      <w:r w:rsidR="007E271C">
        <w:br/>
      </w:r>
      <w:r w:rsidR="00DC63B0">
        <w:t>FNA</w:t>
      </w:r>
      <w:r>
        <w:t xml:space="preserve"> recently received approval to collect State Plan submission</w:t>
      </w:r>
      <w:r w:rsidR="004E1B5E">
        <w:t xml:space="preserve"> information</w:t>
      </w:r>
      <w:r>
        <w:t xml:space="preserve"> through the Waivers and State Plans (</w:t>
      </w:r>
      <w:r>
        <w:t>WiSP</w:t>
      </w:r>
      <w:r>
        <w:t>) application</w:t>
      </w:r>
      <w:r w:rsidR="00EA18BB">
        <w:t>.</w:t>
      </w:r>
      <w:r>
        <w:t xml:space="preserve"> The </w:t>
      </w:r>
      <w:r>
        <w:t>WiSP</w:t>
      </w:r>
      <w:r>
        <w:t xml:space="preserve"> ICR</w:t>
      </w:r>
      <w:r w:rsidR="00EA18BB">
        <w:t>, OMB Control Number 0584-0704,</w:t>
      </w:r>
      <w:r>
        <w:t xml:space="preserve"> </w:t>
      </w:r>
      <w:r w:rsidR="00067443">
        <w:t xml:space="preserve">expiring </w:t>
      </w:r>
      <w:r w:rsidR="00693630">
        <w:t>12/31/2028</w:t>
      </w:r>
      <w:r w:rsidR="00DD06D8">
        <w:t xml:space="preserve">, </w:t>
      </w:r>
      <w:r>
        <w:t xml:space="preserve">now covers </w:t>
      </w:r>
      <w:r w:rsidR="00EA18BB">
        <w:t xml:space="preserve">most </w:t>
      </w:r>
      <w:r>
        <w:t xml:space="preserve">State Plan reporting burden and all State Plan recordkeeping burden. This submission maintains 1,120 hours of State agency reporting burden to account for the time required to collect </w:t>
      </w:r>
      <w:r w:rsidR="007C7343">
        <w:t xml:space="preserve">necessary </w:t>
      </w:r>
      <w:r>
        <w:t xml:space="preserve">information in preparation for the State Plan submission. </w:t>
      </w:r>
    </w:p>
    <w:p w:rsidR="007E271C" w14:paraId="2616B94A" w14:textId="328FD858">
      <w:pPr>
        <w:pStyle w:val="ListParagraph"/>
        <w:numPr>
          <w:ilvl w:val="0"/>
          <w:numId w:val="3"/>
        </w:numPr>
        <w:spacing w:after="240"/>
      </w:pPr>
      <w:r>
        <w:rPr>
          <w:b/>
          <w:bCs/>
        </w:rPr>
        <w:t>eSolution</w:t>
      </w:r>
      <w:r w:rsidR="00187B13">
        <w:rPr>
          <w:b/>
          <w:bCs/>
        </w:rPr>
        <w:t xml:space="preserve"> Transition</w:t>
      </w:r>
    </w:p>
    <w:p w:rsidR="00001558" w:rsidRPr="009368F5" w:rsidP="00187B13" w14:paraId="475F72CA" w14:textId="6B52A8CD">
      <w:pPr>
        <w:pStyle w:val="ListParagraph"/>
        <w:ind w:left="360"/>
        <w:rPr>
          <w:rStyle w:val="eop"/>
          <w:spacing w:val="0"/>
          <w:szCs w:val="24"/>
        </w:rPr>
      </w:pPr>
      <w:r w:rsidRPr="33A05415">
        <w:rPr>
          <w:rStyle w:val="eop"/>
        </w:rPr>
        <w:t xml:space="preserve">SFMNP </w:t>
      </w:r>
      <w:r w:rsidRPr="33A05415" w:rsidR="00C24373">
        <w:rPr>
          <w:rStyle w:val="eop"/>
        </w:rPr>
        <w:t xml:space="preserve">State agencies are increasingly </w:t>
      </w:r>
      <w:r w:rsidRPr="33A05415">
        <w:rPr>
          <w:rStyle w:val="eop"/>
        </w:rPr>
        <w:t xml:space="preserve">replacing paper coupon benefit systems with </w:t>
      </w:r>
      <w:r w:rsidRPr="33A05415" w:rsidR="00C24373">
        <w:rPr>
          <w:rStyle w:val="eop"/>
        </w:rPr>
        <w:t xml:space="preserve">electronic </w:t>
      </w:r>
      <w:r w:rsidRPr="33A05415" w:rsidR="00C24373">
        <w:rPr>
          <w:rStyle w:val="eop"/>
        </w:rPr>
        <w:t xml:space="preserve">systems for issuing, transacting, and redeeming benefits. </w:t>
      </w:r>
      <w:r w:rsidRPr="33A05415" w:rsidR="00223954">
        <w:rPr>
          <w:rStyle w:val="eop"/>
        </w:rPr>
        <w:t xml:space="preserve">Transitioning to </w:t>
      </w:r>
      <w:r w:rsidRPr="33A05415" w:rsidR="00223954">
        <w:rPr>
          <w:rStyle w:val="eop"/>
        </w:rPr>
        <w:t>eSolutions</w:t>
      </w:r>
      <w:r w:rsidRPr="33A05415" w:rsidR="00223954">
        <w:rPr>
          <w:rStyle w:val="eop"/>
        </w:rPr>
        <w:t xml:space="preserve"> introduces operational efficiencies for </w:t>
      </w:r>
      <w:r w:rsidR="00FD1FE5">
        <w:rPr>
          <w:rStyle w:val="eop"/>
        </w:rPr>
        <w:t>S</w:t>
      </w:r>
      <w:r w:rsidRPr="33A05415" w:rsidR="00223954">
        <w:rPr>
          <w:rStyle w:val="eop"/>
        </w:rPr>
        <w:t xml:space="preserve">tate agencies to </w:t>
      </w:r>
      <w:r w:rsidRPr="33A05415" w:rsidR="001D509B">
        <w:rPr>
          <w:rStyle w:val="eop"/>
        </w:rPr>
        <w:t>identify</w:t>
      </w:r>
      <w:r w:rsidRPr="33A05415" w:rsidR="00223954">
        <w:rPr>
          <w:rStyle w:val="eop"/>
        </w:rPr>
        <w:t xml:space="preserve"> benefits as </w:t>
      </w:r>
      <w:r w:rsidRPr="33A05415" w:rsidR="00553778">
        <w:rPr>
          <w:rStyle w:val="eop"/>
        </w:rPr>
        <w:t xml:space="preserve">validly </w:t>
      </w:r>
      <w:r w:rsidRPr="33A05415" w:rsidR="00223954">
        <w:rPr>
          <w:rStyle w:val="eop"/>
        </w:rPr>
        <w:t>redeemed</w:t>
      </w:r>
      <w:r w:rsidRPr="33A05415" w:rsidR="00553778">
        <w:rPr>
          <w:rStyle w:val="eop"/>
        </w:rPr>
        <w:t>, lost or stolen, expired, or not matching issuance records</w:t>
      </w:r>
      <w:r w:rsidRPr="33A05415" w:rsidR="00223954">
        <w:rPr>
          <w:rStyle w:val="eop"/>
        </w:rPr>
        <w:t xml:space="preserve">, and for authorized outlets to submit transactions to the State agency for payment. </w:t>
      </w:r>
      <w:r w:rsidRPr="33A05415" w:rsidR="00C24373">
        <w:rPr>
          <w:rStyle w:val="eop"/>
        </w:rPr>
        <w:t xml:space="preserve">This </w:t>
      </w:r>
      <w:r w:rsidRPr="33A05415">
        <w:rPr>
          <w:rStyle w:val="eop"/>
        </w:rPr>
        <w:t xml:space="preserve">program change </w:t>
      </w:r>
      <w:r w:rsidR="00FD1FE5">
        <w:rPr>
          <w:rStyle w:val="eop"/>
        </w:rPr>
        <w:t xml:space="preserve">accounts for </w:t>
      </w:r>
      <w:r w:rsidR="002C13AD">
        <w:rPr>
          <w:rStyle w:val="eop"/>
        </w:rPr>
        <w:t xml:space="preserve">a reduction of </w:t>
      </w:r>
      <w:r w:rsidR="003C6EA5">
        <w:rPr>
          <w:rStyle w:val="eop"/>
        </w:rPr>
        <w:t>51.00</w:t>
      </w:r>
      <w:r w:rsidR="00FD1FE5">
        <w:rPr>
          <w:rStyle w:val="eop"/>
        </w:rPr>
        <w:t xml:space="preserve"> </w:t>
      </w:r>
      <w:r w:rsidR="002C13AD">
        <w:rPr>
          <w:rStyle w:val="eop"/>
        </w:rPr>
        <w:t>burden hours</w:t>
      </w:r>
      <w:r w:rsidR="00C842EE">
        <w:rPr>
          <w:rStyle w:val="eop"/>
        </w:rPr>
        <w:t xml:space="preserve"> for State agencies and a reduction of </w:t>
      </w:r>
      <w:r w:rsidR="009368F5">
        <w:rPr>
          <w:rStyle w:val="eop"/>
        </w:rPr>
        <w:t>3</w:t>
      </w:r>
      <w:r w:rsidR="003C6EA5">
        <w:rPr>
          <w:rStyle w:val="eop"/>
        </w:rPr>
        <w:t>50</w:t>
      </w:r>
      <w:r w:rsidR="005C2AEF">
        <w:rPr>
          <w:rStyle w:val="eop"/>
        </w:rPr>
        <w:t>,146.56</w:t>
      </w:r>
      <w:r w:rsidR="00C842EE">
        <w:rPr>
          <w:rStyle w:val="eop"/>
        </w:rPr>
        <w:t xml:space="preserve"> burden hours for authorized outlets</w:t>
      </w:r>
      <w:r w:rsidRPr="33A05415">
        <w:rPr>
          <w:rStyle w:val="eop"/>
        </w:rPr>
        <w:t xml:space="preserve">. </w:t>
      </w:r>
    </w:p>
    <w:p w:rsidR="003151F7" w14:paraId="746E64C8" w14:textId="6BE1BC0A">
      <w:pPr>
        <w:pStyle w:val="ListParagraph"/>
        <w:numPr>
          <w:ilvl w:val="0"/>
          <w:numId w:val="3"/>
        </w:numPr>
      </w:pPr>
      <w:r w:rsidRPr="00C6354B">
        <w:rPr>
          <w:b/>
          <w:bCs/>
        </w:rPr>
        <w:t xml:space="preserve">Corrections </w:t>
      </w:r>
      <w:r w:rsidRPr="00C6354B" w:rsidR="00847C21">
        <w:rPr>
          <w:b/>
          <w:bCs/>
        </w:rPr>
        <w:t xml:space="preserve">to </w:t>
      </w:r>
      <w:r w:rsidRPr="00C6354B">
        <w:rPr>
          <w:b/>
          <w:bCs/>
        </w:rPr>
        <w:t>Estimates</w:t>
      </w:r>
      <w:r>
        <w:br/>
      </w:r>
      <w:r w:rsidR="00143D4A">
        <w:t xml:space="preserve">This submission makes several corrections to burden estimates to </w:t>
      </w:r>
      <w:r w:rsidR="00CE5708">
        <w:t xml:space="preserve">more accurately capture </w:t>
      </w:r>
      <w:r w:rsidR="00E47423">
        <w:t>the time required for activities</w:t>
      </w:r>
      <w:r w:rsidR="00D613EE">
        <w:t xml:space="preserve">. </w:t>
      </w:r>
      <w:r w:rsidR="002352B4">
        <w:t xml:space="preserve">Most significant among these is an increase in the estimated amount of time required for applicants to complete certification for the programs. Previous submissions estimated </w:t>
      </w:r>
      <w:r w:rsidR="008249B9">
        <w:t xml:space="preserve">one minute per SFMNP certification. This submission adjusts that estimate to 15 minutes </w:t>
      </w:r>
      <w:r w:rsidR="004927F7">
        <w:t xml:space="preserve">to </w:t>
      </w:r>
      <w:r w:rsidR="00575ABF">
        <w:t xml:space="preserve">better capture the learning </w:t>
      </w:r>
      <w:r w:rsidR="00AC3ED5">
        <w:t>and</w:t>
      </w:r>
      <w:r w:rsidR="00575ABF">
        <w:t xml:space="preserve"> comprehension burden associated with participants receiving instructions for how to use their benefits</w:t>
      </w:r>
      <w:r w:rsidR="004927F7">
        <w:t>,</w:t>
      </w:r>
      <w:r w:rsidR="00575ABF">
        <w:t xml:space="preserve"> </w:t>
      </w:r>
      <w:r w:rsidR="00AC3ED5">
        <w:t xml:space="preserve">and </w:t>
      </w:r>
      <w:r w:rsidR="004927F7">
        <w:t xml:space="preserve">to </w:t>
      </w:r>
      <w:r w:rsidR="00AC3ED5">
        <w:t xml:space="preserve">align with the estimated time required for </w:t>
      </w:r>
      <w:r w:rsidR="004927F7">
        <w:t>S</w:t>
      </w:r>
      <w:r w:rsidR="00AC3ED5">
        <w:t xml:space="preserve">tate or local agency staff to complete the certifications. Additional corrections include </w:t>
      </w:r>
      <w:r w:rsidR="008E260F">
        <w:t xml:space="preserve">decreasing the amount of time required for </w:t>
      </w:r>
      <w:r w:rsidR="004927F7">
        <w:t>S</w:t>
      </w:r>
      <w:r w:rsidR="008E260F">
        <w:t>tate agencies to document that participants have received nutrition education</w:t>
      </w:r>
      <w:r w:rsidR="00847C21">
        <w:t xml:space="preserve"> </w:t>
      </w:r>
      <w:r w:rsidR="008E260F">
        <w:t xml:space="preserve">and estimating that only one-third of authorized outlets will apply for </w:t>
      </w:r>
      <w:r w:rsidR="00CB68CF">
        <w:t xml:space="preserve">authorization each year, rather than one-half, to better reflect that </w:t>
      </w:r>
      <w:r w:rsidR="004927F7">
        <w:t>S</w:t>
      </w:r>
      <w:r w:rsidR="00CB68CF">
        <w:t xml:space="preserve">tate agency agreements with authorized outlets may last up to three years. </w:t>
      </w:r>
      <w:r w:rsidR="00C6354B">
        <w:br/>
      </w:r>
      <w:r>
        <w:br/>
      </w:r>
      <w:r w:rsidR="008D2E11">
        <w:t xml:space="preserve">One item has </w:t>
      </w:r>
      <w:r w:rsidR="00C202E2">
        <w:t xml:space="preserve">also </w:t>
      </w:r>
      <w:r w:rsidR="008D2E11">
        <w:t xml:space="preserve">been added to this ICR that was previously </w:t>
      </w:r>
      <w:r w:rsidR="00786A9D">
        <w:t xml:space="preserve">in use </w:t>
      </w:r>
      <w:r w:rsidR="00AD03B0">
        <w:t xml:space="preserve">but inadvertently omitted from </w:t>
      </w:r>
      <w:r w:rsidR="00181BF3">
        <w:t xml:space="preserve">previous </w:t>
      </w:r>
      <w:r w:rsidR="00AD03B0">
        <w:t>submissions</w:t>
      </w:r>
      <w:r w:rsidR="00786A9D">
        <w:t xml:space="preserve">: </w:t>
      </w:r>
      <w:r w:rsidR="003E0B84">
        <w:t xml:space="preserve">the </w:t>
      </w:r>
      <w:r w:rsidR="00FF2A1A">
        <w:t>S</w:t>
      </w:r>
      <w:r w:rsidR="003E0B84">
        <w:t>tate</w:t>
      </w:r>
      <w:r w:rsidR="00786A9D">
        <w:t xml:space="preserve"> agency burden associated with developing nutrition education. SFMNP </w:t>
      </w:r>
      <w:r w:rsidR="000D7DB3">
        <w:t>S</w:t>
      </w:r>
      <w:r w:rsidR="00786A9D">
        <w:t xml:space="preserve">tate agencies are required to either develop nutrition education for participants or to </w:t>
      </w:r>
      <w:r w:rsidR="00E90774">
        <w:t xml:space="preserve">coordinate with another agency to provide such education. The time required to either develop nutrition education materials or enter into an agreement with another agency </w:t>
      </w:r>
      <w:r w:rsidR="00E90774">
        <w:t xml:space="preserve">was not previously reported in the SFMNP ICR. </w:t>
      </w:r>
      <w:r w:rsidR="006E1E00">
        <w:t xml:space="preserve">Additionally, the SFMNP </w:t>
      </w:r>
      <w:r w:rsidR="00EE4F69">
        <w:t>S</w:t>
      </w:r>
      <w:r w:rsidR="00AD6F18">
        <w:t xml:space="preserve">tate agency </w:t>
      </w:r>
      <w:r w:rsidR="006E1E00">
        <w:t xml:space="preserve">burden estimates </w:t>
      </w:r>
      <w:r w:rsidR="00AD6F18">
        <w:t xml:space="preserve">previously omitted the </w:t>
      </w:r>
      <w:r w:rsidR="001331E4">
        <w:t xml:space="preserve">burden associated with participant complaints and sanctions. These estimates </w:t>
      </w:r>
      <w:r w:rsidR="00E820FD">
        <w:t>will be included in this ICR going forward.</w:t>
      </w:r>
    </w:p>
    <w:p w:rsidR="00F832CF" w:rsidP="006C5D22" w14:paraId="5222CC03" w14:textId="00E3AC0E">
      <w:pPr>
        <w:suppressAutoHyphens/>
        <w:spacing w:before="240" w:after="240" w:line="480" w:lineRule="auto"/>
      </w:pPr>
      <w:r>
        <w:t xml:space="preserve">In addition to the requested burden revisions resulting from program changes, this revision </w:t>
      </w:r>
      <w:r w:rsidR="00641047">
        <w:t xml:space="preserve">accounts for program adjustments. </w:t>
      </w:r>
      <w:r w:rsidR="00556C8F">
        <w:t xml:space="preserve">Since the previous SFMNP submission, </w:t>
      </w:r>
      <w:r w:rsidR="00641047">
        <w:t xml:space="preserve">the number of </w:t>
      </w:r>
      <w:r w:rsidR="00CC15CC">
        <w:t xml:space="preserve">State </w:t>
      </w:r>
      <w:r w:rsidR="00BC21E8">
        <w:t xml:space="preserve">agencies has increased from 55 to 56, the number of </w:t>
      </w:r>
      <w:r w:rsidR="00641047">
        <w:t>local agencies has increased</w:t>
      </w:r>
      <w:r w:rsidR="00BC21E8">
        <w:t xml:space="preserve"> from 968 to 1,113</w:t>
      </w:r>
      <w:r w:rsidR="00641047">
        <w:t>, the number of participants has increased</w:t>
      </w:r>
      <w:r w:rsidR="00BC21E8">
        <w:t xml:space="preserve"> from 725,686 to 838,410</w:t>
      </w:r>
      <w:r w:rsidR="00641047">
        <w:t xml:space="preserve">, </w:t>
      </w:r>
      <w:r w:rsidR="00986429">
        <w:t xml:space="preserve">and </w:t>
      </w:r>
      <w:r w:rsidR="00641047">
        <w:t xml:space="preserve">the number of authorized outlets </w:t>
      </w:r>
      <w:r w:rsidR="00986429">
        <w:t xml:space="preserve">has </w:t>
      </w:r>
      <w:r w:rsidRPr="00653690" w:rsidR="00986429">
        <w:t>decreased</w:t>
      </w:r>
      <w:r w:rsidRPr="00653690" w:rsidR="00BC21E8">
        <w:t xml:space="preserve"> from </w:t>
      </w:r>
      <w:r w:rsidRPr="00653690" w:rsidR="00EC298B">
        <w:t>19,555 to 18,991</w:t>
      </w:r>
      <w:r w:rsidRPr="00653690" w:rsidR="00986429">
        <w:t xml:space="preserve">. </w:t>
      </w:r>
      <w:r w:rsidRPr="00653690" w:rsidR="00E1616B">
        <w:t xml:space="preserve">Altogether, these program adjustments account for </w:t>
      </w:r>
      <w:r w:rsidRPr="00653690" w:rsidR="00233C25">
        <w:t>a</w:t>
      </w:r>
      <w:r w:rsidRPr="00653690" w:rsidR="00653690">
        <w:t>n</w:t>
      </w:r>
      <w:r w:rsidRPr="00653690" w:rsidR="00233C25">
        <w:t xml:space="preserve"> </w:t>
      </w:r>
      <w:r w:rsidRPr="006C5D22" w:rsidR="00653690">
        <w:t xml:space="preserve">increase </w:t>
      </w:r>
      <w:r w:rsidRPr="00653690" w:rsidR="00233C25">
        <w:t>of</w:t>
      </w:r>
      <w:r w:rsidRPr="00653690" w:rsidR="00E1616B">
        <w:t xml:space="preserve"> </w:t>
      </w:r>
      <w:r w:rsidRPr="006C5D22" w:rsidR="00653690">
        <w:t>37,164</w:t>
      </w:r>
      <w:r w:rsidRPr="00653690" w:rsidR="00E1616B">
        <w:t xml:space="preserve"> </w:t>
      </w:r>
      <w:r w:rsidRPr="00653690" w:rsidR="00233C25">
        <w:t xml:space="preserve">burden </w:t>
      </w:r>
      <w:r w:rsidRPr="00653690" w:rsidR="00E1616B">
        <w:t>hours.</w:t>
      </w:r>
    </w:p>
    <w:p w:rsidR="00880EB7" w:rsidP="00880EB7" w14:paraId="4210BB9D" w14:textId="68F46412">
      <w:pPr>
        <w:tabs>
          <w:tab w:val="left" w:pos="0"/>
        </w:tabs>
        <w:suppressAutoHyphens/>
        <w:spacing w:after="240" w:line="480" w:lineRule="auto"/>
        <w:rPr>
          <w:szCs w:val="24"/>
        </w:rPr>
      </w:pPr>
      <w:r>
        <w:t xml:space="preserve">Overall, </w:t>
      </w:r>
      <w:r w:rsidR="00DC63B0">
        <w:t>FNA</w:t>
      </w:r>
      <w:r>
        <w:t xml:space="preserve"> estimates that the burden hours for this collection will decrease </w:t>
      </w:r>
      <w:r w:rsidRPr="002202B0">
        <w:t xml:space="preserve">by </w:t>
      </w:r>
      <w:r w:rsidRPr="006C5D22" w:rsidR="001B2352">
        <w:t>3</w:t>
      </w:r>
      <w:r w:rsidR="00413321">
        <w:t>12,954</w:t>
      </w:r>
      <w:r w:rsidRPr="002202B0">
        <w:t xml:space="preserve"> hours (</w:t>
      </w:r>
      <w:r w:rsidRPr="006C5D22" w:rsidR="001B2352">
        <w:t>-</w:t>
      </w:r>
      <w:r w:rsidRPr="006C5D22" w:rsidR="002202B0">
        <w:t>3</w:t>
      </w:r>
      <w:r w:rsidR="00413321">
        <w:t>50,118</w:t>
      </w:r>
      <w:r w:rsidRPr="002202B0">
        <w:t xml:space="preserve"> hours </w:t>
      </w:r>
      <w:r w:rsidRPr="002202B0" w:rsidR="00B90E88">
        <w:t xml:space="preserve">from changes </w:t>
      </w:r>
      <w:r w:rsidRPr="002202B0">
        <w:t xml:space="preserve">+ </w:t>
      </w:r>
      <w:r w:rsidRPr="006C5D22" w:rsidR="002202B0">
        <w:rPr>
          <w:szCs w:val="24"/>
        </w:rPr>
        <w:t>37,164</w:t>
      </w:r>
      <w:r w:rsidRPr="002202B0" w:rsidR="00A62F08">
        <w:rPr>
          <w:szCs w:val="24"/>
        </w:rPr>
        <w:t xml:space="preserve"> </w:t>
      </w:r>
      <w:r w:rsidRPr="002202B0">
        <w:t>hours</w:t>
      </w:r>
      <w:r w:rsidRPr="002202B0" w:rsidR="00F43A57">
        <w:t xml:space="preserve"> from adjustments</w:t>
      </w:r>
      <w:r w:rsidRPr="002202B0">
        <w:t>)</w:t>
      </w:r>
      <w:r>
        <w:t xml:space="preserve">. </w:t>
      </w:r>
      <w:r w:rsidR="00DC63B0">
        <w:t>FNA</w:t>
      </w:r>
      <w:r>
        <w:t xml:space="preserve"> estimates that there will be an overall </w:t>
      </w:r>
      <w:r w:rsidR="004A6597">
        <w:t>in</w:t>
      </w:r>
      <w:r>
        <w:t xml:space="preserve">crease of </w:t>
      </w:r>
      <w:r w:rsidR="007110D4">
        <w:t>280,795</w:t>
      </w:r>
      <w:r>
        <w:t xml:space="preserve"> responses due to both program changes and adjustments. </w:t>
      </w:r>
    </w:p>
    <w:p w:rsidR="00A308DB" w:rsidRPr="002568E6" w:rsidP="0062567E" w14:paraId="03E0F6C1" w14:textId="77777777">
      <w:pPr>
        <w:pStyle w:val="Heading1"/>
        <w:rPr>
          <w:szCs w:val="24"/>
        </w:rPr>
      </w:pPr>
      <w:bookmarkStart w:id="30" w:name="_Toc401831372"/>
      <w:bookmarkStart w:id="31" w:name="_Toc224640039"/>
      <w:r w:rsidRPr="002568E6">
        <w:rPr>
          <w:szCs w:val="24"/>
        </w:rPr>
        <w:t xml:space="preserve">A16.  </w:t>
      </w:r>
      <w:r w:rsidRPr="002568E6" w:rsidR="00842E02">
        <w:rPr>
          <w:szCs w:val="24"/>
        </w:rPr>
        <w:t>Plans</w:t>
      </w:r>
      <w:r w:rsidRPr="002568E6">
        <w:rPr>
          <w:szCs w:val="24"/>
        </w:rPr>
        <w:t xml:space="preserve"> for </w:t>
      </w:r>
      <w:r w:rsidRPr="002568E6">
        <w:rPr>
          <w:szCs w:val="24"/>
        </w:rPr>
        <w:t>tabulation, and</w:t>
      </w:r>
      <w:r w:rsidRPr="002568E6">
        <w:rPr>
          <w:szCs w:val="24"/>
        </w:rPr>
        <w:t xml:space="preserve"> publication</w:t>
      </w:r>
      <w:r w:rsidRPr="002568E6" w:rsidR="00842E02">
        <w:rPr>
          <w:szCs w:val="24"/>
        </w:rPr>
        <w:t xml:space="preserve"> and project time schedule</w:t>
      </w:r>
      <w:r w:rsidRPr="002568E6">
        <w:rPr>
          <w:szCs w:val="24"/>
        </w:rPr>
        <w:t>.</w:t>
      </w:r>
      <w:bookmarkEnd w:id="30"/>
      <w:bookmarkEnd w:id="31"/>
      <w:r w:rsidRPr="002568E6">
        <w:rPr>
          <w:szCs w:val="24"/>
        </w:rPr>
        <w:t xml:space="preserve"> </w:t>
      </w:r>
    </w:p>
    <w:p w:rsidR="00A308DB" w:rsidRPr="002568E6" w:rsidP="000438E8" w14:paraId="03E0F6C2" w14:textId="77777777">
      <w:pPr>
        <w:tabs>
          <w:tab w:val="left" w:pos="0"/>
        </w:tabs>
        <w:suppressAutoHyphens/>
        <w:rPr>
          <w:b/>
          <w:szCs w:val="24"/>
        </w:rPr>
      </w:pPr>
    </w:p>
    <w:p w:rsidR="0062567E" w:rsidRPr="002568E6" w:rsidP="0062567E" w14:paraId="03E0F6C3" w14:textId="77777777">
      <w:pPr>
        <w:pStyle w:val="ListParagraph"/>
        <w:widowControl/>
        <w:spacing w:line="360" w:lineRule="auto"/>
        <w:ind w:left="0"/>
        <w:rPr>
          <w:b/>
          <w:szCs w:val="24"/>
        </w:rPr>
      </w:pPr>
      <w:r w:rsidRPr="002568E6">
        <w:rPr>
          <w:b/>
          <w:szCs w:val="24"/>
        </w:rPr>
        <w:t>For collections of information whose results are planned to be published, outline plans for tabulation and publication.</w:t>
      </w:r>
    </w:p>
    <w:p w:rsidR="00ED28F2" w:rsidP="00ED28F2" w14:paraId="03E0F6C4" w14:textId="77777777">
      <w:pPr>
        <w:tabs>
          <w:tab w:val="left" w:pos="-720"/>
        </w:tabs>
        <w:suppressAutoHyphens/>
        <w:rPr>
          <w:szCs w:val="24"/>
        </w:rPr>
      </w:pPr>
    </w:p>
    <w:p w:rsidR="00BA4963" w:rsidRPr="002568E6" w:rsidP="31E95EC7" w14:paraId="03F37818" w14:textId="12027280">
      <w:pPr>
        <w:suppressAutoHyphens/>
        <w:spacing w:line="480" w:lineRule="auto"/>
      </w:pPr>
      <w:r>
        <w:t>FNA</w:t>
      </w:r>
      <w:r w:rsidR="00C24373">
        <w:t xml:space="preserve"> publishes certain </w:t>
      </w:r>
      <w:r w:rsidR="00C24373">
        <w:t>program</w:t>
      </w:r>
      <w:r w:rsidR="00C24373">
        <w:t xml:space="preserve"> and financial data about </w:t>
      </w:r>
      <w:r w:rsidR="00226A86">
        <w:t xml:space="preserve">SFMNP </w:t>
      </w:r>
      <w:r w:rsidR="00C24373">
        <w:t xml:space="preserve">annually on its website </w:t>
      </w:r>
      <w:hyperlink r:id="rId19">
        <w:r w:rsidRPr="330B9A1B" w:rsidR="00371554">
          <w:rPr>
            <w:rStyle w:val="Hyperlink"/>
          </w:rPr>
          <w:t>www.fns.usda.gov</w:t>
        </w:r>
      </w:hyperlink>
      <w:r w:rsidR="00C24373">
        <w:t xml:space="preserve">. The following data is published: the total number of participants served, the total number of outlets, the individual State agency grant amount, and the total Federal funding amount. </w:t>
      </w:r>
      <w:r>
        <w:t>FNA</w:t>
      </w:r>
      <w:r w:rsidR="00D535BD">
        <w:t xml:space="preserve"> also periodically reports on its website on </w:t>
      </w:r>
      <w:r w:rsidR="00061FAC">
        <w:t>S</w:t>
      </w:r>
      <w:r w:rsidR="00D535BD">
        <w:t xml:space="preserve">tate agencies’ adoption of </w:t>
      </w:r>
      <w:r w:rsidR="00D535BD">
        <w:t>eSolutions</w:t>
      </w:r>
      <w:r w:rsidR="00D535BD">
        <w:t xml:space="preserve">. </w:t>
      </w:r>
      <w:r w:rsidR="00C24373">
        <w:t xml:space="preserve">Additional information may be shared with contractors that are completing studies about SFMNP and may be used, in aggregate form, in resulting publications.  </w:t>
      </w:r>
    </w:p>
    <w:p w:rsidR="000438E8" w:rsidRPr="002568E6" w:rsidP="000438E8" w14:paraId="03E0F6C6" w14:textId="77777777">
      <w:pPr>
        <w:tabs>
          <w:tab w:val="left" w:pos="0"/>
        </w:tabs>
        <w:suppressAutoHyphens/>
        <w:rPr>
          <w:szCs w:val="24"/>
        </w:rPr>
      </w:pPr>
    </w:p>
    <w:p w:rsidR="00A308DB" w:rsidRPr="002568E6" w:rsidP="0062567E" w14:paraId="03E0F6C7" w14:textId="45C080FE">
      <w:pPr>
        <w:pStyle w:val="Heading1"/>
      </w:pPr>
      <w:bookmarkStart w:id="32" w:name="_Toc401831373"/>
      <w:bookmarkStart w:id="33" w:name="_Toc224640040"/>
      <w:r>
        <w:t xml:space="preserve">A17.  </w:t>
      </w:r>
      <w:r w:rsidR="001C6CBE">
        <w:t xml:space="preserve">Displaying the OMB </w:t>
      </w:r>
      <w:r w:rsidR="00C871AE">
        <w:t>a</w:t>
      </w:r>
      <w:r w:rsidR="001C6CBE">
        <w:t xml:space="preserve">pproval </w:t>
      </w:r>
      <w:r w:rsidR="00C871AE">
        <w:t>e</w:t>
      </w:r>
      <w:r w:rsidR="001C6CBE">
        <w:t xml:space="preserve">xpiration </w:t>
      </w:r>
      <w:r w:rsidR="00C871AE">
        <w:t>d</w:t>
      </w:r>
      <w:r w:rsidR="001C6CBE">
        <w:t>ate.</w:t>
      </w:r>
      <w:bookmarkEnd w:id="32"/>
      <w:bookmarkEnd w:id="33"/>
    </w:p>
    <w:p w:rsidR="0062567E" w:rsidRPr="002568E6" w:rsidP="0062567E" w14:paraId="03E0F6C8" w14:textId="77777777">
      <w:pPr>
        <w:pStyle w:val="ListParagraph"/>
        <w:widowControl/>
        <w:spacing w:line="240" w:lineRule="auto"/>
        <w:ind w:left="0"/>
        <w:rPr>
          <w:b/>
          <w:szCs w:val="24"/>
        </w:rPr>
      </w:pPr>
    </w:p>
    <w:p w:rsidR="0062567E" w:rsidRPr="002568E6" w:rsidP="0062567E" w14:paraId="03E0F6C9" w14:textId="77777777">
      <w:pPr>
        <w:pStyle w:val="ListParagraph"/>
        <w:widowControl/>
        <w:spacing w:line="240" w:lineRule="auto"/>
        <w:ind w:left="0"/>
        <w:rPr>
          <w:b/>
          <w:szCs w:val="24"/>
        </w:rPr>
      </w:pPr>
      <w:r w:rsidRPr="002568E6">
        <w:rPr>
          <w:b/>
          <w:szCs w:val="24"/>
        </w:rPr>
        <w:t>If seeking approval to not display the expiration date for OMB approval of the information collection, explain the reasons that display would be inappropriate.</w:t>
      </w:r>
    </w:p>
    <w:p w:rsidR="00ED28F2" w:rsidRPr="002568E6" w:rsidP="00ED28F2" w14:paraId="03E0F6CA" w14:textId="77777777">
      <w:pPr>
        <w:tabs>
          <w:tab w:val="left" w:pos="-720"/>
        </w:tabs>
        <w:suppressAutoHyphens/>
        <w:rPr>
          <w:szCs w:val="24"/>
        </w:rPr>
      </w:pPr>
    </w:p>
    <w:p w:rsidR="000438E8" w:rsidP="00FF2D4B" w14:paraId="03E0F6CC" w14:textId="58B9B6E1">
      <w:pPr>
        <w:tabs>
          <w:tab w:val="left" w:pos="0"/>
        </w:tabs>
        <w:suppressAutoHyphens/>
        <w:spacing w:line="480" w:lineRule="auto"/>
        <w:rPr>
          <w:szCs w:val="24"/>
        </w:rPr>
      </w:pPr>
      <w:r w:rsidRPr="00FF2D4B">
        <w:rPr>
          <w:szCs w:val="24"/>
        </w:rPr>
        <w:t xml:space="preserve">The agency plans to display the expiration date for OMB approval of the information collection on all instruments.  </w:t>
      </w:r>
    </w:p>
    <w:p w:rsidR="00FF2D4B" w:rsidRPr="002568E6" w:rsidP="000438E8" w14:paraId="76AA10F0" w14:textId="77777777">
      <w:pPr>
        <w:tabs>
          <w:tab w:val="left" w:pos="0"/>
        </w:tabs>
        <w:suppressAutoHyphens/>
        <w:rPr>
          <w:szCs w:val="24"/>
        </w:rPr>
      </w:pPr>
    </w:p>
    <w:p w:rsidR="00A308DB" w:rsidRPr="002568E6" w:rsidP="0062567E" w14:paraId="03E0F6CD" w14:textId="77777777">
      <w:pPr>
        <w:pStyle w:val="Heading1"/>
        <w:rPr>
          <w:szCs w:val="24"/>
        </w:rPr>
      </w:pPr>
      <w:bookmarkStart w:id="34" w:name="_Toc401831374"/>
      <w:bookmarkStart w:id="35" w:name="_Toc224640041"/>
      <w:r w:rsidRPr="002568E6">
        <w:rPr>
          <w:szCs w:val="24"/>
        </w:rPr>
        <w:t>A18.  Exception</w:t>
      </w:r>
      <w:r w:rsidR="002568E6">
        <w:rPr>
          <w:szCs w:val="24"/>
        </w:rPr>
        <w:t>s</w:t>
      </w:r>
      <w:r w:rsidRPr="002568E6">
        <w:rPr>
          <w:szCs w:val="24"/>
        </w:rPr>
        <w:t xml:space="preserve"> to the certification statement identified in Item 19.</w:t>
      </w:r>
      <w:bookmarkEnd w:id="34"/>
      <w:bookmarkEnd w:id="35"/>
      <w:r w:rsidRPr="002568E6" w:rsidR="006F346E">
        <w:rPr>
          <w:szCs w:val="24"/>
        </w:rPr>
        <w:t xml:space="preserve">  </w:t>
      </w:r>
    </w:p>
    <w:p w:rsidR="0062567E" w:rsidRPr="002568E6" w:rsidP="000438E8" w14:paraId="03E0F6CE" w14:textId="77777777">
      <w:pPr>
        <w:tabs>
          <w:tab w:val="left" w:pos="0"/>
        </w:tabs>
        <w:suppressAutoHyphens/>
        <w:rPr>
          <w:b/>
          <w:szCs w:val="24"/>
        </w:rPr>
      </w:pPr>
    </w:p>
    <w:p w:rsidR="0062567E" w:rsidP="330B9A1B" w14:paraId="03E0F6CF" w14:textId="1BAD2D6E">
      <w:pPr>
        <w:tabs>
          <w:tab w:val="left" w:pos="0"/>
        </w:tabs>
        <w:suppressAutoHyphens/>
        <w:rPr>
          <w:b/>
          <w:bCs/>
        </w:rPr>
      </w:pPr>
      <w:r w:rsidRPr="330B9A1B">
        <w:rPr>
          <w:b/>
          <w:bCs/>
        </w:rPr>
        <w:t>Explain each exception to the certification statement identified in Item 19 of the OMB 83-I</w:t>
      </w:r>
      <w:r w:rsidRPr="330B9A1B" w:rsidR="00D2564A">
        <w:rPr>
          <w:b/>
          <w:bCs/>
        </w:rPr>
        <w:t xml:space="preserve"> </w:t>
      </w:r>
      <w:r w:rsidRPr="330B9A1B" w:rsidR="08FAE113">
        <w:rPr>
          <w:b/>
          <w:bCs/>
        </w:rPr>
        <w:t>“</w:t>
      </w:r>
      <w:r w:rsidRPr="330B9A1B">
        <w:rPr>
          <w:b/>
          <w:bCs/>
        </w:rPr>
        <w:t>Certification for Paperwork Reduction Act.</w:t>
      </w:r>
      <w:r w:rsidRPr="330B9A1B" w:rsidR="66917ED4">
        <w:rPr>
          <w:b/>
          <w:bCs/>
        </w:rPr>
        <w:t>”</w:t>
      </w:r>
    </w:p>
    <w:p w:rsidR="00226A86" w:rsidP="000438E8" w14:paraId="617A8312" w14:textId="77777777">
      <w:pPr>
        <w:tabs>
          <w:tab w:val="left" w:pos="0"/>
        </w:tabs>
        <w:suppressAutoHyphens/>
        <w:rPr>
          <w:bCs/>
          <w:szCs w:val="24"/>
        </w:rPr>
      </w:pPr>
    </w:p>
    <w:p w:rsidR="00226A86" w:rsidRPr="00226A86" w:rsidP="000438E8" w14:paraId="7CBDD4DD" w14:textId="1F089CD9">
      <w:pPr>
        <w:tabs>
          <w:tab w:val="left" w:pos="0"/>
        </w:tabs>
        <w:suppressAutoHyphens/>
        <w:rPr>
          <w:bCs/>
          <w:szCs w:val="24"/>
        </w:rPr>
      </w:pPr>
      <w:r>
        <w:t xml:space="preserve">The </w:t>
      </w:r>
      <w:r w:rsidR="00061FAC">
        <w:t>a</w:t>
      </w:r>
      <w:r>
        <w:t xml:space="preserve">gency certifies compliance with all provisions under Item 19 of OMB Form 83-I.  </w:t>
      </w:r>
    </w:p>
    <w:p w:rsidR="00A625DE" w14:paraId="03E0F6D0" w14:textId="762985AA">
      <w:pPr>
        <w:widowControl/>
        <w:overflowPunct/>
        <w:autoSpaceDE/>
        <w:autoSpaceDN/>
        <w:adjustRightInd/>
        <w:textAlignment w:val="auto"/>
        <w:rPr>
          <w:szCs w:val="24"/>
        </w:rPr>
      </w:pPr>
    </w:p>
    <w:sectPr w:rsidSect="00E12626">
      <w:footerReference w:type="default" r:id="rId20"/>
      <w:pgSz w:w="12240" w:h="15840"/>
      <w:pgMar w:top="1440" w:right="1440" w:bottom="720" w:left="1440" w:header="0" w:footer="1006"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5617" w14:paraId="77F49220" w14:textId="77777777">
      <w:pPr>
        <w:spacing w:line="20" w:lineRule="exact"/>
      </w:pPr>
    </w:p>
  </w:endnote>
  <w:endnote w:type="continuationSeparator" w:id="1">
    <w:p w:rsidR="00065617" w14:paraId="3EF835F8" w14:textId="77777777">
      <w:r>
        <w:t xml:space="preserve"> </w:t>
      </w:r>
    </w:p>
  </w:endnote>
  <w:endnote w:type="continuationNotice" w:id="2">
    <w:p w:rsidR="00065617" w14:paraId="2603BD26" w14:textId="77777777">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61497623"/>
      <w:docPartObj>
        <w:docPartGallery w:val="Page Numbers (Bottom of Page)"/>
        <w:docPartUnique/>
      </w:docPartObj>
    </w:sdtPr>
    <w:sdtContent>
      <w:sdt>
        <w:sdtPr>
          <w:id w:val="-1769616900"/>
          <w:docPartObj>
            <w:docPartGallery w:val="Page Numbers (Top of Page)"/>
            <w:docPartUnique/>
          </w:docPartObj>
        </w:sdtPr>
        <w:sdtContent>
          <w:p w:rsidR="007F4C4C" w:rsidP="00301725" w14:paraId="6824847A" w14:textId="77777777">
            <w:pPr>
              <w:pStyle w:val="Footer"/>
              <w:jc w:val="right"/>
            </w:pPr>
          </w:p>
          <w:p w:rsidR="00BF780B" w:rsidP="00301725" w14:paraId="03E0F6E2" w14:textId="38EFF205">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617" w14:paraId="695FDCD8" w14:textId="77777777">
      <w:r>
        <w:separator/>
      </w:r>
    </w:p>
  </w:footnote>
  <w:footnote w:type="continuationSeparator" w:id="1">
    <w:p w:rsidR="00065617" w14:paraId="5B346671" w14:textId="77777777">
      <w:r>
        <w:continuationSeparator/>
      </w:r>
    </w:p>
  </w:footnote>
  <w:footnote w:type="continuationNotice" w:id="2">
    <w:p w:rsidR="00065617" w14:paraId="473F4DB2"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537"/>
    <w:multiLevelType w:val="hybridMultilevel"/>
    <w:tmpl w:val="C2D291A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
    <w:nsid w:val="2EE07373"/>
    <w:multiLevelType w:val="hybridMultilevel"/>
    <w:tmpl w:val="A40E566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502D12BD"/>
    <w:multiLevelType w:val="hybridMultilevel"/>
    <w:tmpl w:val="0706D71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5D9729BB"/>
    <w:multiLevelType w:val="hybridMultilevel"/>
    <w:tmpl w:val="67E2BF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0206964"/>
    <w:multiLevelType w:val="hybridMultilevel"/>
    <w:tmpl w:val="CB1C67B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num w:numId="1" w16cid:durableId="1041200291">
    <w:abstractNumId w:val="0"/>
  </w:num>
  <w:num w:numId="2" w16cid:durableId="1556314358">
    <w:abstractNumId w:val="2"/>
  </w:num>
  <w:num w:numId="3" w16cid:durableId="1869441505">
    <w:abstractNumId w:val="1"/>
  </w:num>
  <w:num w:numId="4" w16cid:durableId="560016215">
    <w:abstractNumId w:val="3"/>
  </w:num>
  <w:num w:numId="5" w16cid:durableId="237525477">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5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 w:id="2"/>
  </w:footnotePr>
  <w:endnotePr>
    <w:endnote w:id="0"/>
    <w:endnote w:id="1"/>
    <w:endnote w:id="2"/>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8"/>
    <w:rsid w:val="000007AA"/>
    <w:rsid w:val="0000091D"/>
    <w:rsid w:val="00001558"/>
    <w:rsid w:val="00001CB2"/>
    <w:rsid w:val="00001DDD"/>
    <w:rsid w:val="00003901"/>
    <w:rsid w:val="00003ABF"/>
    <w:rsid w:val="00003E15"/>
    <w:rsid w:val="00003EA5"/>
    <w:rsid w:val="0000559A"/>
    <w:rsid w:val="000061DC"/>
    <w:rsid w:val="00006410"/>
    <w:rsid w:val="000076A1"/>
    <w:rsid w:val="000077DF"/>
    <w:rsid w:val="00007847"/>
    <w:rsid w:val="0000790A"/>
    <w:rsid w:val="00010DE3"/>
    <w:rsid w:val="00010DEC"/>
    <w:rsid w:val="000117DC"/>
    <w:rsid w:val="0001226D"/>
    <w:rsid w:val="000145E1"/>
    <w:rsid w:val="000146A5"/>
    <w:rsid w:val="00014B4D"/>
    <w:rsid w:val="00015FCF"/>
    <w:rsid w:val="0002165B"/>
    <w:rsid w:val="00021A9D"/>
    <w:rsid w:val="000223C1"/>
    <w:rsid w:val="000224EB"/>
    <w:rsid w:val="00022592"/>
    <w:rsid w:val="00023422"/>
    <w:rsid w:val="000234FF"/>
    <w:rsid w:val="00023BFF"/>
    <w:rsid w:val="0002468A"/>
    <w:rsid w:val="00024854"/>
    <w:rsid w:val="000268AD"/>
    <w:rsid w:val="00026C25"/>
    <w:rsid w:val="00027233"/>
    <w:rsid w:val="000300B6"/>
    <w:rsid w:val="0003206B"/>
    <w:rsid w:val="00032382"/>
    <w:rsid w:val="0003253A"/>
    <w:rsid w:val="00032621"/>
    <w:rsid w:val="000329F0"/>
    <w:rsid w:val="00033D3C"/>
    <w:rsid w:val="00034735"/>
    <w:rsid w:val="00035BA7"/>
    <w:rsid w:val="000361BB"/>
    <w:rsid w:val="000373C7"/>
    <w:rsid w:val="00040718"/>
    <w:rsid w:val="00040D50"/>
    <w:rsid w:val="00041725"/>
    <w:rsid w:val="000417D2"/>
    <w:rsid w:val="00041F63"/>
    <w:rsid w:val="0004287A"/>
    <w:rsid w:val="000431A5"/>
    <w:rsid w:val="0004364B"/>
    <w:rsid w:val="000438E8"/>
    <w:rsid w:val="00043C45"/>
    <w:rsid w:val="000447C0"/>
    <w:rsid w:val="00044F2A"/>
    <w:rsid w:val="0004539F"/>
    <w:rsid w:val="00045639"/>
    <w:rsid w:val="000460EC"/>
    <w:rsid w:val="0004668E"/>
    <w:rsid w:val="00047338"/>
    <w:rsid w:val="00047B5E"/>
    <w:rsid w:val="000505B0"/>
    <w:rsid w:val="00050632"/>
    <w:rsid w:val="000507EA"/>
    <w:rsid w:val="00051BA7"/>
    <w:rsid w:val="000528C9"/>
    <w:rsid w:val="00052C5C"/>
    <w:rsid w:val="000536F6"/>
    <w:rsid w:val="00053AB5"/>
    <w:rsid w:val="00054647"/>
    <w:rsid w:val="00054849"/>
    <w:rsid w:val="00054E5E"/>
    <w:rsid w:val="00055199"/>
    <w:rsid w:val="00056479"/>
    <w:rsid w:val="00056A34"/>
    <w:rsid w:val="00057C77"/>
    <w:rsid w:val="00057F3C"/>
    <w:rsid w:val="00060767"/>
    <w:rsid w:val="0006089A"/>
    <w:rsid w:val="00060A36"/>
    <w:rsid w:val="000618D6"/>
    <w:rsid w:val="00061FAC"/>
    <w:rsid w:val="00061FC3"/>
    <w:rsid w:val="000621C5"/>
    <w:rsid w:val="00062604"/>
    <w:rsid w:val="00063761"/>
    <w:rsid w:val="00063800"/>
    <w:rsid w:val="0006449A"/>
    <w:rsid w:val="00064754"/>
    <w:rsid w:val="00065617"/>
    <w:rsid w:val="0006609B"/>
    <w:rsid w:val="00067443"/>
    <w:rsid w:val="0006757C"/>
    <w:rsid w:val="00070A9C"/>
    <w:rsid w:val="00071ACF"/>
    <w:rsid w:val="00072177"/>
    <w:rsid w:val="00072C97"/>
    <w:rsid w:val="00074470"/>
    <w:rsid w:val="00074E26"/>
    <w:rsid w:val="00075063"/>
    <w:rsid w:val="000750F4"/>
    <w:rsid w:val="00075687"/>
    <w:rsid w:val="00075AFC"/>
    <w:rsid w:val="0007651B"/>
    <w:rsid w:val="00076D3A"/>
    <w:rsid w:val="0007767F"/>
    <w:rsid w:val="00080C3F"/>
    <w:rsid w:val="000812F7"/>
    <w:rsid w:val="000813D9"/>
    <w:rsid w:val="000814FD"/>
    <w:rsid w:val="0008163A"/>
    <w:rsid w:val="00081BA4"/>
    <w:rsid w:val="00082C62"/>
    <w:rsid w:val="00083CD3"/>
    <w:rsid w:val="00084B36"/>
    <w:rsid w:val="00085A30"/>
    <w:rsid w:val="00086831"/>
    <w:rsid w:val="00090155"/>
    <w:rsid w:val="00090C98"/>
    <w:rsid w:val="000911E8"/>
    <w:rsid w:val="00091501"/>
    <w:rsid w:val="00093427"/>
    <w:rsid w:val="0009567D"/>
    <w:rsid w:val="00095C26"/>
    <w:rsid w:val="00097265"/>
    <w:rsid w:val="00097C20"/>
    <w:rsid w:val="000A16C8"/>
    <w:rsid w:val="000A2044"/>
    <w:rsid w:val="000A28C4"/>
    <w:rsid w:val="000A34BE"/>
    <w:rsid w:val="000A3781"/>
    <w:rsid w:val="000A4F8D"/>
    <w:rsid w:val="000A60C8"/>
    <w:rsid w:val="000A6162"/>
    <w:rsid w:val="000A6BC5"/>
    <w:rsid w:val="000A7424"/>
    <w:rsid w:val="000A7F56"/>
    <w:rsid w:val="000B2455"/>
    <w:rsid w:val="000B25A7"/>
    <w:rsid w:val="000B26F1"/>
    <w:rsid w:val="000B26F3"/>
    <w:rsid w:val="000B33CD"/>
    <w:rsid w:val="000B3A0D"/>
    <w:rsid w:val="000B3F67"/>
    <w:rsid w:val="000B4ADB"/>
    <w:rsid w:val="000B50C9"/>
    <w:rsid w:val="000B7767"/>
    <w:rsid w:val="000B7836"/>
    <w:rsid w:val="000B7E4C"/>
    <w:rsid w:val="000C089B"/>
    <w:rsid w:val="000C0C80"/>
    <w:rsid w:val="000C0E9F"/>
    <w:rsid w:val="000C10F7"/>
    <w:rsid w:val="000C228C"/>
    <w:rsid w:val="000C2AC1"/>
    <w:rsid w:val="000C30AC"/>
    <w:rsid w:val="000C4501"/>
    <w:rsid w:val="000C4CEB"/>
    <w:rsid w:val="000C55A2"/>
    <w:rsid w:val="000C5B0F"/>
    <w:rsid w:val="000C68DF"/>
    <w:rsid w:val="000C6CB0"/>
    <w:rsid w:val="000C7506"/>
    <w:rsid w:val="000D06D4"/>
    <w:rsid w:val="000D0C93"/>
    <w:rsid w:val="000D17F6"/>
    <w:rsid w:val="000D279A"/>
    <w:rsid w:val="000D4418"/>
    <w:rsid w:val="000D5750"/>
    <w:rsid w:val="000D6419"/>
    <w:rsid w:val="000D724C"/>
    <w:rsid w:val="000D74CF"/>
    <w:rsid w:val="000D7DB3"/>
    <w:rsid w:val="000E19E4"/>
    <w:rsid w:val="000E1CA0"/>
    <w:rsid w:val="000E2E6E"/>
    <w:rsid w:val="000E31D8"/>
    <w:rsid w:val="000E31E9"/>
    <w:rsid w:val="000E3CC6"/>
    <w:rsid w:val="000E4107"/>
    <w:rsid w:val="000E61B9"/>
    <w:rsid w:val="000E6570"/>
    <w:rsid w:val="000E6CC9"/>
    <w:rsid w:val="000E71C0"/>
    <w:rsid w:val="000E72F6"/>
    <w:rsid w:val="000E74E0"/>
    <w:rsid w:val="000E7D6D"/>
    <w:rsid w:val="000F04D1"/>
    <w:rsid w:val="000F1480"/>
    <w:rsid w:val="000F1A48"/>
    <w:rsid w:val="000F1BD4"/>
    <w:rsid w:val="000F1D8B"/>
    <w:rsid w:val="000F24C8"/>
    <w:rsid w:val="000F2BAE"/>
    <w:rsid w:val="000F3416"/>
    <w:rsid w:val="000F3A72"/>
    <w:rsid w:val="000F4564"/>
    <w:rsid w:val="000F4EE7"/>
    <w:rsid w:val="000F56E7"/>
    <w:rsid w:val="000F5C34"/>
    <w:rsid w:val="001004FF"/>
    <w:rsid w:val="00100816"/>
    <w:rsid w:val="001036BF"/>
    <w:rsid w:val="001052BD"/>
    <w:rsid w:val="0010698D"/>
    <w:rsid w:val="001100CF"/>
    <w:rsid w:val="00110773"/>
    <w:rsid w:val="00111240"/>
    <w:rsid w:val="00111925"/>
    <w:rsid w:val="00113E0D"/>
    <w:rsid w:val="00114D03"/>
    <w:rsid w:val="00115490"/>
    <w:rsid w:val="00115E73"/>
    <w:rsid w:val="00116200"/>
    <w:rsid w:val="00116A2C"/>
    <w:rsid w:val="00117098"/>
    <w:rsid w:val="001170E4"/>
    <w:rsid w:val="00117A58"/>
    <w:rsid w:val="00117A9E"/>
    <w:rsid w:val="00117F70"/>
    <w:rsid w:val="001207B9"/>
    <w:rsid w:val="00120E7F"/>
    <w:rsid w:val="00121633"/>
    <w:rsid w:val="00121A95"/>
    <w:rsid w:val="00122007"/>
    <w:rsid w:val="0012249E"/>
    <w:rsid w:val="00122FDE"/>
    <w:rsid w:val="00124DFC"/>
    <w:rsid w:val="0012531F"/>
    <w:rsid w:val="00126054"/>
    <w:rsid w:val="0012698F"/>
    <w:rsid w:val="00126FFB"/>
    <w:rsid w:val="00127364"/>
    <w:rsid w:val="00130FB4"/>
    <w:rsid w:val="00132082"/>
    <w:rsid w:val="0013274E"/>
    <w:rsid w:val="00132EF8"/>
    <w:rsid w:val="00132F0C"/>
    <w:rsid w:val="0013306C"/>
    <w:rsid w:val="001331E4"/>
    <w:rsid w:val="001334EF"/>
    <w:rsid w:val="0013469F"/>
    <w:rsid w:val="001363FB"/>
    <w:rsid w:val="00137465"/>
    <w:rsid w:val="00137C0A"/>
    <w:rsid w:val="001400F1"/>
    <w:rsid w:val="001404B8"/>
    <w:rsid w:val="001404BA"/>
    <w:rsid w:val="00143411"/>
    <w:rsid w:val="0014383A"/>
    <w:rsid w:val="00143852"/>
    <w:rsid w:val="00143D4A"/>
    <w:rsid w:val="00143F0C"/>
    <w:rsid w:val="0014407A"/>
    <w:rsid w:val="001446AF"/>
    <w:rsid w:val="001456C1"/>
    <w:rsid w:val="001457D0"/>
    <w:rsid w:val="00145FCB"/>
    <w:rsid w:val="00150C3A"/>
    <w:rsid w:val="00150E1B"/>
    <w:rsid w:val="0015139F"/>
    <w:rsid w:val="0015169B"/>
    <w:rsid w:val="00151DF5"/>
    <w:rsid w:val="00154B1B"/>
    <w:rsid w:val="00154D85"/>
    <w:rsid w:val="0015651C"/>
    <w:rsid w:val="00156785"/>
    <w:rsid w:val="00156839"/>
    <w:rsid w:val="00156D06"/>
    <w:rsid w:val="00157282"/>
    <w:rsid w:val="001574A8"/>
    <w:rsid w:val="0015769E"/>
    <w:rsid w:val="00157BFA"/>
    <w:rsid w:val="0016032C"/>
    <w:rsid w:val="00160DAC"/>
    <w:rsid w:val="00160E33"/>
    <w:rsid w:val="001613F6"/>
    <w:rsid w:val="00161B5E"/>
    <w:rsid w:val="00163CD5"/>
    <w:rsid w:val="001653EF"/>
    <w:rsid w:val="00166501"/>
    <w:rsid w:val="00167686"/>
    <w:rsid w:val="00167E32"/>
    <w:rsid w:val="001707E2"/>
    <w:rsid w:val="00170CFE"/>
    <w:rsid w:val="00170D5C"/>
    <w:rsid w:val="00171619"/>
    <w:rsid w:val="00172701"/>
    <w:rsid w:val="00172B17"/>
    <w:rsid w:val="00172CD4"/>
    <w:rsid w:val="0017348C"/>
    <w:rsid w:val="00174E72"/>
    <w:rsid w:val="00176141"/>
    <w:rsid w:val="00180150"/>
    <w:rsid w:val="00181841"/>
    <w:rsid w:val="00181BF3"/>
    <w:rsid w:val="00182728"/>
    <w:rsid w:val="001829D2"/>
    <w:rsid w:val="0018306B"/>
    <w:rsid w:val="001834A9"/>
    <w:rsid w:val="00183E9D"/>
    <w:rsid w:val="0018456B"/>
    <w:rsid w:val="0018468D"/>
    <w:rsid w:val="00185209"/>
    <w:rsid w:val="00185270"/>
    <w:rsid w:val="0018551A"/>
    <w:rsid w:val="00185680"/>
    <w:rsid w:val="00186392"/>
    <w:rsid w:val="00186E7E"/>
    <w:rsid w:val="0018740F"/>
    <w:rsid w:val="00187B13"/>
    <w:rsid w:val="001912C2"/>
    <w:rsid w:val="00192E67"/>
    <w:rsid w:val="00192FBB"/>
    <w:rsid w:val="00193325"/>
    <w:rsid w:val="001939BA"/>
    <w:rsid w:val="001964E8"/>
    <w:rsid w:val="00197C18"/>
    <w:rsid w:val="001A01C9"/>
    <w:rsid w:val="001A39CD"/>
    <w:rsid w:val="001A4609"/>
    <w:rsid w:val="001A5634"/>
    <w:rsid w:val="001A6200"/>
    <w:rsid w:val="001A63AF"/>
    <w:rsid w:val="001B12A5"/>
    <w:rsid w:val="001B1E25"/>
    <w:rsid w:val="001B2352"/>
    <w:rsid w:val="001B2B5E"/>
    <w:rsid w:val="001B3543"/>
    <w:rsid w:val="001B3D92"/>
    <w:rsid w:val="001B50A5"/>
    <w:rsid w:val="001B533C"/>
    <w:rsid w:val="001B5568"/>
    <w:rsid w:val="001B6C6D"/>
    <w:rsid w:val="001B7724"/>
    <w:rsid w:val="001C0169"/>
    <w:rsid w:val="001C0A40"/>
    <w:rsid w:val="001C0F02"/>
    <w:rsid w:val="001C15C7"/>
    <w:rsid w:val="001C20A3"/>
    <w:rsid w:val="001C256E"/>
    <w:rsid w:val="001C2BEB"/>
    <w:rsid w:val="001C3371"/>
    <w:rsid w:val="001C3A4C"/>
    <w:rsid w:val="001C3C8C"/>
    <w:rsid w:val="001C4C39"/>
    <w:rsid w:val="001C5266"/>
    <w:rsid w:val="001C6CBE"/>
    <w:rsid w:val="001C70AF"/>
    <w:rsid w:val="001C756B"/>
    <w:rsid w:val="001C7DC9"/>
    <w:rsid w:val="001D1C01"/>
    <w:rsid w:val="001D1F6E"/>
    <w:rsid w:val="001D2F45"/>
    <w:rsid w:val="001D3101"/>
    <w:rsid w:val="001D343E"/>
    <w:rsid w:val="001D3F29"/>
    <w:rsid w:val="001D4772"/>
    <w:rsid w:val="001D4FB0"/>
    <w:rsid w:val="001D509B"/>
    <w:rsid w:val="001D5EB7"/>
    <w:rsid w:val="001D6FE6"/>
    <w:rsid w:val="001E0815"/>
    <w:rsid w:val="001E0DE6"/>
    <w:rsid w:val="001E10E9"/>
    <w:rsid w:val="001E22E9"/>
    <w:rsid w:val="001E23A5"/>
    <w:rsid w:val="001E2EB4"/>
    <w:rsid w:val="001E462A"/>
    <w:rsid w:val="001E5CCA"/>
    <w:rsid w:val="001E5E66"/>
    <w:rsid w:val="001E6574"/>
    <w:rsid w:val="001E6F5B"/>
    <w:rsid w:val="001E7C8A"/>
    <w:rsid w:val="001F054A"/>
    <w:rsid w:val="001F10BF"/>
    <w:rsid w:val="001F3F10"/>
    <w:rsid w:val="001F549E"/>
    <w:rsid w:val="001F6A2E"/>
    <w:rsid w:val="001F6E85"/>
    <w:rsid w:val="001F73D9"/>
    <w:rsid w:val="002003B7"/>
    <w:rsid w:val="002009DF"/>
    <w:rsid w:val="00200DA1"/>
    <w:rsid w:val="00201068"/>
    <w:rsid w:val="00201287"/>
    <w:rsid w:val="00201DE4"/>
    <w:rsid w:val="0020228F"/>
    <w:rsid w:val="00204DED"/>
    <w:rsid w:val="00204E6E"/>
    <w:rsid w:val="00205B44"/>
    <w:rsid w:val="00205F1F"/>
    <w:rsid w:val="002062CF"/>
    <w:rsid w:val="00206DDE"/>
    <w:rsid w:val="002075EB"/>
    <w:rsid w:val="00210D68"/>
    <w:rsid w:val="00210FA8"/>
    <w:rsid w:val="0021110C"/>
    <w:rsid w:val="00212649"/>
    <w:rsid w:val="00212905"/>
    <w:rsid w:val="00213436"/>
    <w:rsid w:val="00214243"/>
    <w:rsid w:val="002145CA"/>
    <w:rsid w:val="00215CC6"/>
    <w:rsid w:val="002161A1"/>
    <w:rsid w:val="0021654A"/>
    <w:rsid w:val="00217DE3"/>
    <w:rsid w:val="002202B0"/>
    <w:rsid w:val="00220705"/>
    <w:rsid w:val="00222334"/>
    <w:rsid w:val="002224E5"/>
    <w:rsid w:val="00222EDC"/>
    <w:rsid w:val="00223954"/>
    <w:rsid w:val="00223EC1"/>
    <w:rsid w:val="0022443A"/>
    <w:rsid w:val="002246D6"/>
    <w:rsid w:val="00225152"/>
    <w:rsid w:val="002251B2"/>
    <w:rsid w:val="0022582B"/>
    <w:rsid w:val="00226A86"/>
    <w:rsid w:val="002275E0"/>
    <w:rsid w:val="00227625"/>
    <w:rsid w:val="002300FB"/>
    <w:rsid w:val="002308D5"/>
    <w:rsid w:val="00231C61"/>
    <w:rsid w:val="00233472"/>
    <w:rsid w:val="00233C25"/>
    <w:rsid w:val="002341BF"/>
    <w:rsid w:val="00234AFB"/>
    <w:rsid w:val="002352B4"/>
    <w:rsid w:val="00235EB3"/>
    <w:rsid w:val="002363BA"/>
    <w:rsid w:val="00236CFC"/>
    <w:rsid w:val="002370B7"/>
    <w:rsid w:val="00237731"/>
    <w:rsid w:val="00237E2B"/>
    <w:rsid w:val="002400EE"/>
    <w:rsid w:val="00240586"/>
    <w:rsid w:val="00241834"/>
    <w:rsid w:val="002443B8"/>
    <w:rsid w:val="00245150"/>
    <w:rsid w:val="00245CF0"/>
    <w:rsid w:val="00245D16"/>
    <w:rsid w:val="00246457"/>
    <w:rsid w:val="002468EE"/>
    <w:rsid w:val="00247400"/>
    <w:rsid w:val="00250CEF"/>
    <w:rsid w:val="00252CF2"/>
    <w:rsid w:val="00253ECC"/>
    <w:rsid w:val="00255137"/>
    <w:rsid w:val="0025683E"/>
    <w:rsid w:val="002568E6"/>
    <w:rsid w:val="002575F6"/>
    <w:rsid w:val="002615F5"/>
    <w:rsid w:val="00262817"/>
    <w:rsid w:val="00262B64"/>
    <w:rsid w:val="00262C70"/>
    <w:rsid w:val="00262D42"/>
    <w:rsid w:val="0026333C"/>
    <w:rsid w:val="00263995"/>
    <w:rsid w:val="002649A9"/>
    <w:rsid w:val="00264DDB"/>
    <w:rsid w:val="00265623"/>
    <w:rsid w:val="00266D6A"/>
    <w:rsid w:val="00267E64"/>
    <w:rsid w:val="00267F4D"/>
    <w:rsid w:val="00270599"/>
    <w:rsid w:val="00270D71"/>
    <w:rsid w:val="00272DD6"/>
    <w:rsid w:val="002737E9"/>
    <w:rsid w:val="00275494"/>
    <w:rsid w:val="0027695F"/>
    <w:rsid w:val="00277040"/>
    <w:rsid w:val="00277AE6"/>
    <w:rsid w:val="00281570"/>
    <w:rsid w:val="00283364"/>
    <w:rsid w:val="00283D3E"/>
    <w:rsid w:val="00284431"/>
    <w:rsid w:val="00284724"/>
    <w:rsid w:val="00284BB2"/>
    <w:rsid w:val="00286F27"/>
    <w:rsid w:val="00287177"/>
    <w:rsid w:val="0028785D"/>
    <w:rsid w:val="002900F6"/>
    <w:rsid w:val="0029036E"/>
    <w:rsid w:val="00290432"/>
    <w:rsid w:val="00290ED6"/>
    <w:rsid w:val="002910DC"/>
    <w:rsid w:val="00292852"/>
    <w:rsid w:val="00293096"/>
    <w:rsid w:val="002954B1"/>
    <w:rsid w:val="00295B37"/>
    <w:rsid w:val="002A1862"/>
    <w:rsid w:val="002A1B17"/>
    <w:rsid w:val="002A1B3D"/>
    <w:rsid w:val="002A542E"/>
    <w:rsid w:val="002A57E0"/>
    <w:rsid w:val="002A60EB"/>
    <w:rsid w:val="002A635C"/>
    <w:rsid w:val="002A65CF"/>
    <w:rsid w:val="002A7390"/>
    <w:rsid w:val="002B02D7"/>
    <w:rsid w:val="002B0654"/>
    <w:rsid w:val="002B0AE7"/>
    <w:rsid w:val="002B3A93"/>
    <w:rsid w:val="002B46E1"/>
    <w:rsid w:val="002B4C72"/>
    <w:rsid w:val="002B4F85"/>
    <w:rsid w:val="002B4FCB"/>
    <w:rsid w:val="002B5C4A"/>
    <w:rsid w:val="002B621C"/>
    <w:rsid w:val="002B64A0"/>
    <w:rsid w:val="002B6598"/>
    <w:rsid w:val="002B67D9"/>
    <w:rsid w:val="002C05AC"/>
    <w:rsid w:val="002C0ED8"/>
    <w:rsid w:val="002C13AD"/>
    <w:rsid w:val="002C2401"/>
    <w:rsid w:val="002C4936"/>
    <w:rsid w:val="002C512C"/>
    <w:rsid w:val="002C65D4"/>
    <w:rsid w:val="002C6748"/>
    <w:rsid w:val="002C69CD"/>
    <w:rsid w:val="002C781D"/>
    <w:rsid w:val="002C7A7E"/>
    <w:rsid w:val="002C7B26"/>
    <w:rsid w:val="002D0382"/>
    <w:rsid w:val="002D06C3"/>
    <w:rsid w:val="002D090A"/>
    <w:rsid w:val="002D0DED"/>
    <w:rsid w:val="002D1120"/>
    <w:rsid w:val="002D12B1"/>
    <w:rsid w:val="002D1D22"/>
    <w:rsid w:val="002D1E33"/>
    <w:rsid w:val="002D47CD"/>
    <w:rsid w:val="002D54BC"/>
    <w:rsid w:val="002D568A"/>
    <w:rsid w:val="002D67A2"/>
    <w:rsid w:val="002E1315"/>
    <w:rsid w:val="002E1A35"/>
    <w:rsid w:val="002E3332"/>
    <w:rsid w:val="002E3A0B"/>
    <w:rsid w:val="002E3AFC"/>
    <w:rsid w:val="002E3B1B"/>
    <w:rsid w:val="002E3D8B"/>
    <w:rsid w:val="002E3E5E"/>
    <w:rsid w:val="002E40A9"/>
    <w:rsid w:val="002E4FE6"/>
    <w:rsid w:val="002E5181"/>
    <w:rsid w:val="002E55A3"/>
    <w:rsid w:val="002E5EA6"/>
    <w:rsid w:val="002E6402"/>
    <w:rsid w:val="002E6B5E"/>
    <w:rsid w:val="002E6BCD"/>
    <w:rsid w:val="002E7427"/>
    <w:rsid w:val="002F1DBF"/>
    <w:rsid w:val="002F2888"/>
    <w:rsid w:val="002F28FD"/>
    <w:rsid w:val="002F3249"/>
    <w:rsid w:val="002F3604"/>
    <w:rsid w:val="002F4036"/>
    <w:rsid w:val="002F4592"/>
    <w:rsid w:val="002F5421"/>
    <w:rsid w:val="002F55F6"/>
    <w:rsid w:val="002F5951"/>
    <w:rsid w:val="002F6509"/>
    <w:rsid w:val="002F7742"/>
    <w:rsid w:val="00300A23"/>
    <w:rsid w:val="00301531"/>
    <w:rsid w:val="00301725"/>
    <w:rsid w:val="003017DC"/>
    <w:rsid w:val="00302861"/>
    <w:rsid w:val="00302BD7"/>
    <w:rsid w:val="003037C0"/>
    <w:rsid w:val="00304807"/>
    <w:rsid w:val="00304DFF"/>
    <w:rsid w:val="00305B5C"/>
    <w:rsid w:val="00306E47"/>
    <w:rsid w:val="0030751A"/>
    <w:rsid w:val="00307C0A"/>
    <w:rsid w:val="00307D2B"/>
    <w:rsid w:val="0031071F"/>
    <w:rsid w:val="00310BF2"/>
    <w:rsid w:val="00312557"/>
    <w:rsid w:val="003125D7"/>
    <w:rsid w:val="00312A60"/>
    <w:rsid w:val="00313A06"/>
    <w:rsid w:val="003140F4"/>
    <w:rsid w:val="00315029"/>
    <w:rsid w:val="003151F7"/>
    <w:rsid w:val="003164E9"/>
    <w:rsid w:val="003173BF"/>
    <w:rsid w:val="0032170B"/>
    <w:rsid w:val="003232E6"/>
    <w:rsid w:val="0032497D"/>
    <w:rsid w:val="00324C06"/>
    <w:rsid w:val="00325195"/>
    <w:rsid w:val="0032533B"/>
    <w:rsid w:val="00326F10"/>
    <w:rsid w:val="0033142E"/>
    <w:rsid w:val="00332727"/>
    <w:rsid w:val="00332B8D"/>
    <w:rsid w:val="00333190"/>
    <w:rsid w:val="003333DF"/>
    <w:rsid w:val="00334635"/>
    <w:rsid w:val="00334D76"/>
    <w:rsid w:val="0033630C"/>
    <w:rsid w:val="0033721D"/>
    <w:rsid w:val="0033724F"/>
    <w:rsid w:val="00341AC2"/>
    <w:rsid w:val="00341CEE"/>
    <w:rsid w:val="00341DA8"/>
    <w:rsid w:val="00341DEE"/>
    <w:rsid w:val="00341EC0"/>
    <w:rsid w:val="00342170"/>
    <w:rsid w:val="00342475"/>
    <w:rsid w:val="00343967"/>
    <w:rsid w:val="0034535B"/>
    <w:rsid w:val="0034537B"/>
    <w:rsid w:val="0034547E"/>
    <w:rsid w:val="003466A6"/>
    <w:rsid w:val="00350550"/>
    <w:rsid w:val="00350826"/>
    <w:rsid w:val="0035169F"/>
    <w:rsid w:val="00351701"/>
    <w:rsid w:val="00351783"/>
    <w:rsid w:val="003521A9"/>
    <w:rsid w:val="00352E3D"/>
    <w:rsid w:val="00354D6E"/>
    <w:rsid w:val="00355823"/>
    <w:rsid w:val="00356D92"/>
    <w:rsid w:val="00360B8B"/>
    <w:rsid w:val="00360E30"/>
    <w:rsid w:val="00361146"/>
    <w:rsid w:val="003615C0"/>
    <w:rsid w:val="00361956"/>
    <w:rsid w:val="003621D1"/>
    <w:rsid w:val="00363496"/>
    <w:rsid w:val="003637E7"/>
    <w:rsid w:val="0036497A"/>
    <w:rsid w:val="0036510B"/>
    <w:rsid w:val="00366BB8"/>
    <w:rsid w:val="0037115C"/>
    <w:rsid w:val="00371554"/>
    <w:rsid w:val="00372117"/>
    <w:rsid w:val="00372784"/>
    <w:rsid w:val="00372EBA"/>
    <w:rsid w:val="00376E39"/>
    <w:rsid w:val="00377009"/>
    <w:rsid w:val="003770FE"/>
    <w:rsid w:val="00377F6A"/>
    <w:rsid w:val="00380104"/>
    <w:rsid w:val="00383C0A"/>
    <w:rsid w:val="00385A58"/>
    <w:rsid w:val="00386068"/>
    <w:rsid w:val="003871A9"/>
    <w:rsid w:val="003874A5"/>
    <w:rsid w:val="00391913"/>
    <w:rsid w:val="00393405"/>
    <w:rsid w:val="003938BB"/>
    <w:rsid w:val="00393D45"/>
    <w:rsid w:val="003954DC"/>
    <w:rsid w:val="00395831"/>
    <w:rsid w:val="0039601B"/>
    <w:rsid w:val="00396505"/>
    <w:rsid w:val="00396E91"/>
    <w:rsid w:val="003974C4"/>
    <w:rsid w:val="003A06D7"/>
    <w:rsid w:val="003A12DB"/>
    <w:rsid w:val="003A1AE7"/>
    <w:rsid w:val="003A222F"/>
    <w:rsid w:val="003A4F9D"/>
    <w:rsid w:val="003A556E"/>
    <w:rsid w:val="003A5B7D"/>
    <w:rsid w:val="003A7703"/>
    <w:rsid w:val="003A7BBE"/>
    <w:rsid w:val="003B0933"/>
    <w:rsid w:val="003B0FD0"/>
    <w:rsid w:val="003B10E4"/>
    <w:rsid w:val="003B1199"/>
    <w:rsid w:val="003B1D07"/>
    <w:rsid w:val="003B1EEA"/>
    <w:rsid w:val="003B23D4"/>
    <w:rsid w:val="003B28E2"/>
    <w:rsid w:val="003B328D"/>
    <w:rsid w:val="003B3BD8"/>
    <w:rsid w:val="003B4C92"/>
    <w:rsid w:val="003B4D93"/>
    <w:rsid w:val="003B6F44"/>
    <w:rsid w:val="003C223A"/>
    <w:rsid w:val="003C2346"/>
    <w:rsid w:val="003C3FCC"/>
    <w:rsid w:val="003C41FC"/>
    <w:rsid w:val="003C5E7D"/>
    <w:rsid w:val="003C646A"/>
    <w:rsid w:val="003C6BDD"/>
    <w:rsid w:val="003C6EA5"/>
    <w:rsid w:val="003C7229"/>
    <w:rsid w:val="003D2FA4"/>
    <w:rsid w:val="003D3135"/>
    <w:rsid w:val="003D3BFE"/>
    <w:rsid w:val="003D5BBC"/>
    <w:rsid w:val="003D6927"/>
    <w:rsid w:val="003E0287"/>
    <w:rsid w:val="003E0B84"/>
    <w:rsid w:val="003E0D93"/>
    <w:rsid w:val="003E1BC3"/>
    <w:rsid w:val="003E2C16"/>
    <w:rsid w:val="003E2F2D"/>
    <w:rsid w:val="003E5DDC"/>
    <w:rsid w:val="003E64F6"/>
    <w:rsid w:val="003F03C1"/>
    <w:rsid w:val="003F0A10"/>
    <w:rsid w:val="003F0C14"/>
    <w:rsid w:val="003F17F8"/>
    <w:rsid w:val="003F1F1A"/>
    <w:rsid w:val="003F4D07"/>
    <w:rsid w:val="003F50F0"/>
    <w:rsid w:val="003F52C7"/>
    <w:rsid w:val="003F5A04"/>
    <w:rsid w:val="003F61F3"/>
    <w:rsid w:val="003F6B55"/>
    <w:rsid w:val="003F7045"/>
    <w:rsid w:val="003F73D1"/>
    <w:rsid w:val="003F7EFD"/>
    <w:rsid w:val="004000FA"/>
    <w:rsid w:val="00400575"/>
    <w:rsid w:val="00400754"/>
    <w:rsid w:val="00401194"/>
    <w:rsid w:val="00401A4A"/>
    <w:rsid w:val="004033DD"/>
    <w:rsid w:val="004037F9"/>
    <w:rsid w:val="0040495B"/>
    <w:rsid w:val="00404C0C"/>
    <w:rsid w:val="004053EF"/>
    <w:rsid w:val="004058D9"/>
    <w:rsid w:val="004060BE"/>
    <w:rsid w:val="004061F0"/>
    <w:rsid w:val="004071DC"/>
    <w:rsid w:val="00407AEA"/>
    <w:rsid w:val="00410DDF"/>
    <w:rsid w:val="00410DFF"/>
    <w:rsid w:val="004113AB"/>
    <w:rsid w:val="00411BAA"/>
    <w:rsid w:val="004127EA"/>
    <w:rsid w:val="00413321"/>
    <w:rsid w:val="004144E2"/>
    <w:rsid w:val="004145BC"/>
    <w:rsid w:val="00415AE6"/>
    <w:rsid w:val="0041622F"/>
    <w:rsid w:val="00417359"/>
    <w:rsid w:val="00417C54"/>
    <w:rsid w:val="004209A5"/>
    <w:rsid w:val="00420EC7"/>
    <w:rsid w:val="00420EE8"/>
    <w:rsid w:val="004216B3"/>
    <w:rsid w:val="00421843"/>
    <w:rsid w:val="00421B24"/>
    <w:rsid w:val="00422327"/>
    <w:rsid w:val="004227CD"/>
    <w:rsid w:val="00423271"/>
    <w:rsid w:val="00425AAD"/>
    <w:rsid w:val="00425E6E"/>
    <w:rsid w:val="004260CA"/>
    <w:rsid w:val="0042652D"/>
    <w:rsid w:val="0043148A"/>
    <w:rsid w:val="00431975"/>
    <w:rsid w:val="00432716"/>
    <w:rsid w:val="00433171"/>
    <w:rsid w:val="0043383F"/>
    <w:rsid w:val="00435AB5"/>
    <w:rsid w:val="00435CAB"/>
    <w:rsid w:val="00437234"/>
    <w:rsid w:val="00437471"/>
    <w:rsid w:val="0044026A"/>
    <w:rsid w:val="00440392"/>
    <w:rsid w:val="00442B73"/>
    <w:rsid w:val="00443A6D"/>
    <w:rsid w:val="00443E03"/>
    <w:rsid w:val="0044408E"/>
    <w:rsid w:val="00444648"/>
    <w:rsid w:val="0044484A"/>
    <w:rsid w:val="004448C5"/>
    <w:rsid w:val="00444A6D"/>
    <w:rsid w:val="004459C6"/>
    <w:rsid w:val="00446314"/>
    <w:rsid w:val="004463D7"/>
    <w:rsid w:val="004467BF"/>
    <w:rsid w:val="004470D5"/>
    <w:rsid w:val="00447C1E"/>
    <w:rsid w:val="00451216"/>
    <w:rsid w:val="00451335"/>
    <w:rsid w:val="0045149E"/>
    <w:rsid w:val="004516CB"/>
    <w:rsid w:val="00451DEC"/>
    <w:rsid w:val="00452E03"/>
    <w:rsid w:val="00455134"/>
    <w:rsid w:val="00455C33"/>
    <w:rsid w:val="0045699E"/>
    <w:rsid w:val="004600D7"/>
    <w:rsid w:val="00460978"/>
    <w:rsid w:val="0046133B"/>
    <w:rsid w:val="00461CF6"/>
    <w:rsid w:val="00462343"/>
    <w:rsid w:val="00462B00"/>
    <w:rsid w:val="00462C4E"/>
    <w:rsid w:val="00462EC2"/>
    <w:rsid w:val="004630AA"/>
    <w:rsid w:val="0046371B"/>
    <w:rsid w:val="00463760"/>
    <w:rsid w:val="0046423B"/>
    <w:rsid w:val="00464884"/>
    <w:rsid w:val="004708FD"/>
    <w:rsid w:val="004714B1"/>
    <w:rsid w:val="00471781"/>
    <w:rsid w:val="00471EF3"/>
    <w:rsid w:val="00472A8F"/>
    <w:rsid w:val="00472E23"/>
    <w:rsid w:val="00473E6A"/>
    <w:rsid w:val="00474A8E"/>
    <w:rsid w:val="00474B8A"/>
    <w:rsid w:val="004752E2"/>
    <w:rsid w:val="0047544E"/>
    <w:rsid w:val="0047561A"/>
    <w:rsid w:val="00476676"/>
    <w:rsid w:val="004770E5"/>
    <w:rsid w:val="00477E91"/>
    <w:rsid w:val="004801AA"/>
    <w:rsid w:val="00482E0A"/>
    <w:rsid w:val="00483781"/>
    <w:rsid w:val="00483CCC"/>
    <w:rsid w:val="00483F2C"/>
    <w:rsid w:val="00484C1E"/>
    <w:rsid w:val="0048763D"/>
    <w:rsid w:val="00487A5A"/>
    <w:rsid w:val="00491EB1"/>
    <w:rsid w:val="004927F7"/>
    <w:rsid w:val="00493AFF"/>
    <w:rsid w:val="00493B8F"/>
    <w:rsid w:val="00493F5D"/>
    <w:rsid w:val="00494260"/>
    <w:rsid w:val="00494A82"/>
    <w:rsid w:val="00495383"/>
    <w:rsid w:val="004A024C"/>
    <w:rsid w:val="004A2A02"/>
    <w:rsid w:val="004A2D34"/>
    <w:rsid w:val="004A2F08"/>
    <w:rsid w:val="004A32CD"/>
    <w:rsid w:val="004A3BD3"/>
    <w:rsid w:val="004A3D1A"/>
    <w:rsid w:val="004A4277"/>
    <w:rsid w:val="004A4857"/>
    <w:rsid w:val="004A48CA"/>
    <w:rsid w:val="004A543C"/>
    <w:rsid w:val="004A572C"/>
    <w:rsid w:val="004A6286"/>
    <w:rsid w:val="004A6581"/>
    <w:rsid w:val="004A6597"/>
    <w:rsid w:val="004B46EC"/>
    <w:rsid w:val="004B4E9C"/>
    <w:rsid w:val="004B5038"/>
    <w:rsid w:val="004B78B7"/>
    <w:rsid w:val="004C1201"/>
    <w:rsid w:val="004C16AB"/>
    <w:rsid w:val="004C2E49"/>
    <w:rsid w:val="004C2EB4"/>
    <w:rsid w:val="004C50AE"/>
    <w:rsid w:val="004C5C4D"/>
    <w:rsid w:val="004C615B"/>
    <w:rsid w:val="004C69A7"/>
    <w:rsid w:val="004C7423"/>
    <w:rsid w:val="004C78C6"/>
    <w:rsid w:val="004D02DD"/>
    <w:rsid w:val="004D04AD"/>
    <w:rsid w:val="004D09DF"/>
    <w:rsid w:val="004D0DF3"/>
    <w:rsid w:val="004D1FDB"/>
    <w:rsid w:val="004D26FE"/>
    <w:rsid w:val="004D3638"/>
    <w:rsid w:val="004D43D3"/>
    <w:rsid w:val="004D5E86"/>
    <w:rsid w:val="004D6747"/>
    <w:rsid w:val="004E03BE"/>
    <w:rsid w:val="004E11D8"/>
    <w:rsid w:val="004E160F"/>
    <w:rsid w:val="004E1B5E"/>
    <w:rsid w:val="004E2E40"/>
    <w:rsid w:val="004E362F"/>
    <w:rsid w:val="004E4123"/>
    <w:rsid w:val="004E4959"/>
    <w:rsid w:val="004E5435"/>
    <w:rsid w:val="004E5D8C"/>
    <w:rsid w:val="004E5F80"/>
    <w:rsid w:val="004E6058"/>
    <w:rsid w:val="004E6566"/>
    <w:rsid w:val="004E6BFA"/>
    <w:rsid w:val="004E72D3"/>
    <w:rsid w:val="004E75C4"/>
    <w:rsid w:val="004E7651"/>
    <w:rsid w:val="004E7FD0"/>
    <w:rsid w:val="004F0FDE"/>
    <w:rsid w:val="004F1085"/>
    <w:rsid w:val="004F2540"/>
    <w:rsid w:val="004F2F54"/>
    <w:rsid w:val="004F32F9"/>
    <w:rsid w:val="004F38E1"/>
    <w:rsid w:val="004F3E1B"/>
    <w:rsid w:val="004F4886"/>
    <w:rsid w:val="004F6EDF"/>
    <w:rsid w:val="004F6F28"/>
    <w:rsid w:val="004F6FC1"/>
    <w:rsid w:val="004F72C7"/>
    <w:rsid w:val="004F77ED"/>
    <w:rsid w:val="00501E6E"/>
    <w:rsid w:val="005020E6"/>
    <w:rsid w:val="0050220E"/>
    <w:rsid w:val="0050255B"/>
    <w:rsid w:val="00503920"/>
    <w:rsid w:val="00503F52"/>
    <w:rsid w:val="00505C81"/>
    <w:rsid w:val="00506D32"/>
    <w:rsid w:val="0050718E"/>
    <w:rsid w:val="005072CD"/>
    <w:rsid w:val="00507489"/>
    <w:rsid w:val="00510385"/>
    <w:rsid w:val="00510518"/>
    <w:rsid w:val="0051085D"/>
    <w:rsid w:val="005108E0"/>
    <w:rsid w:val="00511375"/>
    <w:rsid w:val="00511668"/>
    <w:rsid w:val="00511934"/>
    <w:rsid w:val="00512C6B"/>
    <w:rsid w:val="00513169"/>
    <w:rsid w:val="00515E3B"/>
    <w:rsid w:val="00517761"/>
    <w:rsid w:val="00520630"/>
    <w:rsid w:val="00520A94"/>
    <w:rsid w:val="005213F9"/>
    <w:rsid w:val="005214A9"/>
    <w:rsid w:val="005234BE"/>
    <w:rsid w:val="00523991"/>
    <w:rsid w:val="00523EC4"/>
    <w:rsid w:val="005265EF"/>
    <w:rsid w:val="005266CA"/>
    <w:rsid w:val="00531165"/>
    <w:rsid w:val="005329DF"/>
    <w:rsid w:val="005336E6"/>
    <w:rsid w:val="005338E2"/>
    <w:rsid w:val="005358BC"/>
    <w:rsid w:val="005364A3"/>
    <w:rsid w:val="005368A5"/>
    <w:rsid w:val="0053713F"/>
    <w:rsid w:val="00537718"/>
    <w:rsid w:val="00537BAE"/>
    <w:rsid w:val="00540608"/>
    <w:rsid w:val="00542038"/>
    <w:rsid w:val="00542051"/>
    <w:rsid w:val="00542C4F"/>
    <w:rsid w:val="005433F5"/>
    <w:rsid w:val="00543A05"/>
    <w:rsid w:val="0054455C"/>
    <w:rsid w:val="005445BE"/>
    <w:rsid w:val="005457D6"/>
    <w:rsid w:val="00545890"/>
    <w:rsid w:val="00546886"/>
    <w:rsid w:val="00546F75"/>
    <w:rsid w:val="00550A3B"/>
    <w:rsid w:val="00550E21"/>
    <w:rsid w:val="0055158F"/>
    <w:rsid w:val="005524A2"/>
    <w:rsid w:val="005525E5"/>
    <w:rsid w:val="0055304E"/>
    <w:rsid w:val="00553778"/>
    <w:rsid w:val="005547E1"/>
    <w:rsid w:val="0055526B"/>
    <w:rsid w:val="00556C8F"/>
    <w:rsid w:val="00557CC2"/>
    <w:rsid w:val="005601C3"/>
    <w:rsid w:val="00560A01"/>
    <w:rsid w:val="00561A1D"/>
    <w:rsid w:val="00563472"/>
    <w:rsid w:val="00563EAF"/>
    <w:rsid w:val="00564E52"/>
    <w:rsid w:val="0056518C"/>
    <w:rsid w:val="00565D5B"/>
    <w:rsid w:val="005674F7"/>
    <w:rsid w:val="00567DE7"/>
    <w:rsid w:val="00570AF9"/>
    <w:rsid w:val="00570D05"/>
    <w:rsid w:val="005721E3"/>
    <w:rsid w:val="0057386A"/>
    <w:rsid w:val="00573A54"/>
    <w:rsid w:val="00573B29"/>
    <w:rsid w:val="00575ABF"/>
    <w:rsid w:val="00575E3A"/>
    <w:rsid w:val="00577783"/>
    <w:rsid w:val="00580507"/>
    <w:rsid w:val="00580DB2"/>
    <w:rsid w:val="00581E48"/>
    <w:rsid w:val="005827E8"/>
    <w:rsid w:val="00583A9A"/>
    <w:rsid w:val="0058465D"/>
    <w:rsid w:val="00584BEF"/>
    <w:rsid w:val="005853DF"/>
    <w:rsid w:val="00585401"/>
    <w:rsid w:val="00586075"/>
    <w:rsid w:val="00586F6C"/>
    <w:rsid w:val="00590677"/>
    <w:rsid w:val="00590C6C"/>
    <w:rsid w:val="00590FB4"/>
    <w:rsid w:val="005912FB"/>
    <w:rsid w:val="005917B8"/>
    <w:rsid w:val="00591AD7"/>
    <w:rsid w:val="0059277C"/>
    <w:rsid w:val="005939F1"/>
    <w:rsid w:val="00593BB9"/>
    <w:rsid w:val="005940EB"/>
    <w:rsid w:val="0059545A"/>
    <w:rsid w:val="005955C7"/>
    <w:rsid w:val="00596012"/>
    <w:rsid w:val="00596675"/>
    <w:rsid w:val="005967BB"/>
    <w:rsid w:val="005A047F"/>
    <w:rsid w:val="005A0C2E"/>
    <w:rsid w:val="005A28E3"/>
    <w:rsid w:val="005A3B72"/>
    <w:rsid w:val="005A3F80"/>
    <w:rsid w:val="005A4F79"/>
    <w:rsid w:val="005A598F"/>
    <w:rsid w:val="005A6314"/>
    <w:rsid w:val="005A7463"/>
    <w:rsid w:val="005B14B8"/>
    <w:rsid w:val="005B172E"/>
    <w:rsid w:val="005B1855"/>
    <w:rsid w:val="005B1D54"/>
    <w:rsid w:val="005B26C7"/>
    <w:rsid w:val="005B2A87"/>
    <w:rsid w:val="005B2FC6"/>
    <w:rsid w:val="005B33AD"/>
    <w:rsid w:val="005B3BAE"/>
    <w:rsid w:val="005B49B6"/>
    <w:rsid w:val="005B6126"/>
    <w:rsid w:val="005B6621"/>
    <w:rsid w:val="005C04BB"/>
    <w:rsid w:val="005C112C"/>
    <w:rsid w:val="005C286E"/>
    <w:rsid w:val="005C2AEF"/>
    <w:rsid w:val="005C2B14"/>
    <w:rsid w:val="005C33B4"/>
    <w:rsid w:val="005C423C"/>
    <w:rsid w:val="005C50FC"/>
    <w:rsid w:val="005C5467"/>
    <w:rsid w:val="005C54B0"/>
    <w:rsid w:val="005C5F18"/>
    <w:rsid w:val="005C62EB"/>
    <w:rsid w:val="005C6321"/>
    <w:rsid w:val="005C641F"/>
    <w:rsid w:val="005C7B32"/>
    <w:rsid w:val="005D021A"/>
    <w:rsid w:val="005D1397"/>
    <w:rsid w:val="005D4603"/>
    <w:rsid w:val="005D532E"/>
    <w:rsid w:val="005D5B73"/>
    <w:rsid w:val="005D651E"/>
    <w:rsid w:val="005D6B8E"/>
    <w:rsid w:val="005D7978"/>
    <w:rsid w:val="005D7CF3"/>
    <w:rsid w:val="005E0A1A"/>
    <w:rsid w:val="005E1CB4"/>
    <w:rsid w:val="005E22A5"/>
    <w:rsid w:val="005E292E"/>
    <w:rsid w:val="005E4381"/>
    <w:rsid w:val="005E5E56"/>
    <w:rsid w:val="005E697E"/>
    <w:rsid w:val="005E6A3C"/>
    <w:rsid w:val="005E7295"/>
    <w:rsid w:val="005F0A77"/>
    <w:rsid w:val="005F1471"/>
    <w:rsid w:val="005F152B"/>
    <w:rsid w:val="005F2923"/>
    <w:rsid w:val="005F2CDE"/>
    <w:rsid w:val="005F2D36"/>
    <w:rsid w:val="005F31C0"/>
    <w:rsid w:val="005F3DAD"/>
    <w:rsid w:val="005F43D7"/>
    <w:rsid w:val="005F5FFE"/>
    <w:rsid w:val="005F6830"/>
    <w:rsid w:val="005F6ECD"/>
    <w:rsid w:val="005F7C5A"/>
    <w:rsid w:val="00600349"/>
    <w:rsid w:val="00600B7F"/>
    <w:rsid w:val="00600F05"/>
    <w:rsid w:val="00601D65"/>
    <w:rsid w:val="00602835"/>
    <w:rsid w:val="00603FF7"/>
    <w:rsid w:val="00604BE2"/>
    <w:rsid w:val="00604DE9"/>
    <w:rsid w:val="006059DF"/>
    <w:rsid w:val="00605B4A"/>
    <w:rsid w:val="006064DA"/>
    <w:rsid w:val="0060707B"/>
    <w:rsid w:val="00607273"/>
    <w:rsid w:val="00607F46"/>
    <w:rsid w:val="00613492"/>
    <w:rsid w:val="006135CC"/>
    <w:rsid w:val="00613D34"/>
    <w:rsid w:val="0061558C"/>
    <w:rsid w:val="00616358"/>
    <w:rsid w:val="0061696B"/>
    <w:rsid w:val="00617731"/>
    <w:rsid w:val="00617B1B"/>
    <w:rsid w:val="0062182F"/>
    <w:rsid w:val="0062241E"/>
    <w:rsid w:val="006226A2"/>
    <w:rsid w:val="006228E2"/>
    <w:rsid w:val="00623B24"/>
    <w:rsid w:val="00623CEE"/>
    <w:rsid w:val="0062567E"/>
    <w:rsid w:val="00626691"/>
    <w:rsid w:val="0063099E"/>
    <w:rsid w:val="00630C90"/>
    <w:rsid w:val="0063139D"/>
    <w:rsid w:val="00631926"/>
    <w:rsid w:val="0063244C"/>
    <w:rsid w:val="006328B8"/>
    <w:rsid w:val="00634425"/>
    <w:rsid w:val="00634E66"/>
    <w:rsid w:val="00636313"/>
    <w:rsid w:val="0063688D"/>
    <w:rsid w:val="006368D6"/>
    <w:rsid w:val="0063747B"/>
    <w:rsid w:val="00637C04"/>
    <w:rsid w:val="006403CB"/>
    <w:rsid w:val="00640744"/>
    <w:rsid w:val="00640767"/>
    <w:rsid w:val="00640F7D"/>
    <w:rsid w:val="00641047"/>
    <w:rsid w:val="00641535"/>
    <w:rsid w:val="0064229A"/>
    <w:rsid w:val="006430DD"/>
    <w:rsid w:val="00644DD9"/>
    <w:rsid w:val="006469D1"/>
    <w:rsid w:val="00646DDA"/>
    <w:rsid w:val="00647C2E"/>
    <w:rsid w:val="0065006B"/>
    <w:rsid w:val="0065010C"/>
    <w:rsid w:val="00650EBF"/>
    <w:rsid w:val="00652503"/>
    <w:rsid w:val="00653690"/>
    <w:rsid w:val="006539ED"/>
    <w:rsid w:val="00654AD0"/>
    <w:rsid w:val="00655D39"/>
    <w:rsid w:val="0065657E"/>
    <w:rsid w:val="0066069C"/>
    <w:rsid w:val="00661AF9"/>
    <w:rsid w:val="00661B51"/>
    <w:rsid w:val="0066212A"/>
    <w:rsid w:val="00663ACC"/>
    <w:rsid w:val="006643B4"/>
    <w:rsid w:val="00664919"/>
    <w:rsid w:val="00664978"/>
    <w:rsid w:val="00664AD0"/>
    <w:rsid w:val="00664C7C"/>
    <w:rsid w:val="006655AB"/>
    <w:rsid w:val="0066583A"/>
    <w:rsid w:val="00665B4D"/>
    <w:rsid w:val="00666350"/>
    <w:rsid w:val="0066688F"/>
    <w:rsid w:val="00666F6E"/>
    <w:rsid w:val="00670975"/>
    <w:rsid w:val="00670D9C"/>
    <w:rsid w:val="0067105A"/>
    <w:rsid w:val="00671FCE"/>
    <w:rsid w:val="00673E6A"/>
    <w:rsid w:val="00674EAB"/>
    <w:rsid w:val="006758F1"/>
    <w:rsid w:val="00675EDB"/>
    <w:rsid w:val="00676E4D"/>
    <w:rsid w:val="00677034"/>
    <w:rsid w:val="00677CC1"/>
    <w:rsid w:val="0068067E"/>
    <w:rsid w:val="00682090"/>
    <w:rsid w:val="0068319C"/>
    <w:rsid w:val="0068401E"/>
    <w:rsid w:val="00686481"/>
    <w:rsid w:val="00686BB3"/>
    <w:rsid w:val="00687C66"/>
    <w:rsid w:val="00687D79"/>
    <w:rsid w:val="00690023"/>
    <w:rsid w:val="006926B2"/>
    <w:rsid w:val="006929FB"/>
    <w:rsid w:val="00692DA8"/>
    <w:rsid w:val="00693630"/>
    <w:rsid w:val="00694161"/>
    <w:rsid w:val="00694A12"/>
    <w:rsid w:val="00695911"/>
    <w:rsid w:val="0069649B"/>
    <w:rsid w:val="006964B5"/>
    <w:rsid w:val="00696634"/>
    <w:rsid w:val="00696CF2"/>
    <w:rsid w:val="006A131B"/>
    <w:rsid w:val="006A2C72"/>
    <w:rsid w:val="006A3E01"/>
    <w:rsid w:val="006A4809"/>
    <w:rsid w:val="006A5E05"/>
    <w:rsid w:val="006A5EF2"/>
    <w:rsid w:val="006A6102"/>
    <w:rsid w:val="006A7A14"/>
    <w:rsid w:val="006A7F48"/>
    <w:rsid w:val="006B005F"/>
    <w:rsid w:val="006B0D64"/>
    <w:rsid w:val="006B0EF8"/>
    <w:rsid w:val="006B3508"/>
    <w:rsid w:val="006B3BF8"/>
    <w:rsid w:val="006B3D99"/>
    <w:rsid w:val="006B4222"/>
    <w:rsid w:val="006B4BFE"/>
    <w:rsid w:val="006B6861"/>
    <w:rsid w:val="006C0738"/>
    <w:rsid w:val="006C0F33"/>
    <w:rsid w:val="006C133D"/>
    <w:rsid w:val="006C2B18"/>
    <w:rsid w:val="006C2CF7"/>
    <w:rsid w:val="006C4942"/>
    <w:rsid w:val="006C4AF8"/>
    <w:rsid w:val="006C4BE5"/>
    <w:rsid w:val="006C53C6"/>
    <w:rsid w:val="006C5470"/>
    <w:rsid w:val="006C571B"/>
    <w:rsid w:val="006C5D22"/>
    <w:rsid w:val="006C5E88"/>
    <w:rsid w:val="006C60D2"/>
    <w:rsid w:val="006C6F61"/>
    <w:rsid w:val="006C7186"/>
    <w:rsid w:val="006D081B"/>
    <w:rsid w:val="006D0EAD"/>
    <w:rsid w:val="006D0FF5"/>
    <w:rsid w:val="006D2901"/>
    <w:rsid w:val="006D310A"/>
    <w:rsid w:val="006D31B9"/>
    <w:rsid w:val="006D33D0"/>
    <w:rsid w:val="006D4339"/>
    <w:rsid w:val="006D5546"/>
    <w:rsid w:val="006D5D1F"/>
    <w:rsid w:val="006D672C"/>
    <w:rsid w:val="006D6B2A"/>
    <w:rsid w:val="006D6B43"/>
    <w:rsid w:val="006D73B4"/>
    <w:rsid w:val="006D7835"/>
    <w:rsid w:val="006D7F88"/>
    <w:rsid w:val="006E0650"/>
    <w:rsid w:val="006E1348"/>
    <w:rsid w:val="006E1E00"/>
    <w:rsid w:val="006E248A"/>
    <w:rsid w:val="006E2A84"/>
    <w:rsid w:val="006E2B92"/>
    <w:rsid w:val="006E4AC6"/>
    <w:rsid w:val="006E4B7F"/>
    <w:rsid w:val="006E5418"/>
    <w:rsid w:val="006E57B8"/>
    <w:rsid w:val="006E5E54"/>
    <w:rsid w:val="006E6375"/>
    <w:rsid w:val="006E7B20"/>
    <w:rsid w:val="006F05C3"/>
    <w:rsid w:val="006F0605"/>
    <w:rsid w:val="006F0655"/>
    <w:rsid w:val="006F06E7"/>
    <w:rsid w:val="006F0D1E"/>
    <w:rsid w:val="006F15B1"/>
    <w:rsid w:val="006F174B"/>
    <w:rsid w:val="006F2251"/>
    <w:rsid w:val="006F2919"/>
    <w:rsid w:val="006F3032"/>
    <w:rsid w:val="006F346E"/>
    <w:rsid w:val="006F4EF2"/>
    <w:rsid w:val="006F5B38"/>
    <w:rsid w:val="006F5BA7"/>
    <w:rsid w:val="006F6A9F"/>
    <w:rsid w:val="00700579"/>
    <w:rsid w:val="00700985"/>
    <w:rsid w:val="00700F3B"/>
    <w:rsid w:val="0070172B"/>
    <w:rsid w:val="00701B84"/>
    <w:rsid w:val="00701E5A"/>
    <w:rsid w:val="00702822"/>
    <w:rsid w:val="0070367B"/>
    <w:rsid w:val="00703688"/>
    <w:rsid w:val="007056D8"/>
    <w:rsid w:val="007057FE"/>
    <w:rsid w:val="0070610E"/>
    <w:rsid w:val="00706CAE"/>
    <w:rsid w:val="00707ED6"/>
    <w:rsid w:val="00707EED"/>
    <w:rsid w:val="00710730"/>
    <w:rsid w:val="00710CF7"/>
    <w:rsid w:val="00710E0A"/>
    <w:rsid w:val="007110D4"/>
    <w:rsid w:val="0071282D"/>
    <w:rsid w:val="007135AF"/>
    <w:rsid w:val="00714259"/>
    <w:rsid w:val="00714ABC"/>
    <w:rsid w:val="0071545F"/>
    <w:rsid w:val="00717337"/>
    <w:rsid w:val="00717835"/>
    <w:rsid w:val="00720489"/>
    <w:rsid w:val="0072072E"/>
    <w:rsid w:val="00720BC7"/>
    <w:rsid w:val="00722B78"/>
    <w:rsid w:val="00722EDC"/>
    <w:rsid w:val="0072327F"/>
    <w:rsid w:val="00723374"/>
    <w:rsid w:val="00725AF7"/>
    <w:rsid w:val="00726A45"/>
    <w:rsid w:val="00726ED8"/>
    <w:rsid w:val="007300FD"/>
    <w:rsid w:val="00730697"/>
    <w:rsid w:val="0073096B"/>
    <w:rsid w:val="00731746"/>
    <w:rsid w:val="007317BC"/>
    <w:rsid w:val="007329D0"/>
    <w:rsid w:val="0073357B"/>
    <w:rsid w:val="00733A77"/>
    <w:rsid w:val="00733F94"/>
    <w:rsid w:val="00734119"/>
    <w:rsid w:val="00734CFB"/>
    <w:rsid w:val="00734D74"/>
    <w:rsid w:val="00736CE0"/>
    <w:rsid w:val="007377F1"/>
    <w:rsid w:val="0074205E"/>
    <w:rsid w:val="00742246"/>
    <w:rsid w:val="007439F4"/>
    <w:rsid w:val="00745570"/>
    <w:rsid w:val="00745D6B"/>
    <w:rsid w:val="00745F3B"/>
    <w:rsid w:val="00746093"/>
    <w:rsid w:val="00746327"/>
    <w:rsid w:val="0074676D"/>
    <w:rsid w:val="00746993"/>
    <w:rsid w:val="00747267"/>
    <w:rsid w:val="007500B9"/>
    <w:rsid w:val="007505B0"/>
    <w:rsid w:val="00750B61"/>
    <w:rsid w:val="00751946"/>
    <w:rsid w:val="007532C9"/>
    <w:rsid w:val="00754981"/>
    <w:rsid w:val="0075547B"/>
    <w:rsid w:val="00756119"/>
    <w:rsid w:val="007561DC"/>
    <w:rsid w:val="0075715C"/>
    <w:rsid w:val="00760434"/>
    <w:rsid w:val="00760D81"/>
    <w:rsid w:val="00761877"/>
    <w:rsid w:val="007625DC"/>
    <w:rsid w:val="00763D19"/>
    <w:rsid w:val="007648E2"/>
    <w:rsid w:val="00764AB6"/>
    <w:rsid w:val="00766BBC"/>
    <w:rsid w:val="00767D78"/>
    <w:rsid w:val="007704A9"/>
    <w:rsid w:val="007704FE"/>
    <w:rsid w:val="007712BF"/>
    <w:rsid w:val="00772867"/>
    <w:rsid w:val="00772B26"/>
    <w:rsid w:val="00772B8E"/>
    <w:rsid w:val="0077330C"/>
    <w:rsid w:val="0077486B"/>
    <w:rsid w:val="00774A9B"/>
    <w:rsid w:val="00774EBB"/>
    <w:rsid w:val="00774F5C"/>
    <w:rsid w:val="00776494"/>
    <w:rsid w:val="00776D16"/>
    <w:rsid w:val="00777DA0"/>
    <w:rsid w:val="00780316"/>
    <w:rsid w:val="00781701"/>
    <w:rsid w:val="00783919"/>
    <w:rsid w:val="00783DA7"/>
    <w:rsid w:val="00784603"/>
    <w:rsid w:val="0078653A"/>
    <w:rsid w:val="00786A9D"/>
    <w:rsid w:val="00787991"/>
    <w:rsid w:val="007909C0"/>
    <w:rsid w:val="00790F04"/>
    <w:rsid w:val="00792C32"/>
    <w:rsid w:val="00794AFB"/>
    <w:rsid w:val="00796682"/>
    <w:rsid w:val="007968DB"/>
    <w:rsid w:val="0079692A"/>
    <w:rsid w:val="00797164"/>
    <w:rsid w:val="00797DCF"/>
    <w:rsid w:val="007A01DD"/>
    <w:rsid w:val="007A0B38"/>
    <w:rsid w:val="007A0E5C"/>
    <w:rsid w:val="007A238A"/>
    <w:rsid w:val="007A293E"/>
    <w:rsid w:val="007A2BBA"/>
    <w:rsid w:val="007A5463"/>
    <w:rsid w:val="007A5601"/>
    <w:rsid w:val="007A5E7D"/>
    <w:rsid w:val="007A692C"/>
    <w:rsid w:val="007A7123"/>
    <w:rsid w:val="007B0003"/>
    <w:rsid w:val="007B008F"/>
    <w:rsid w:val="007B13FA"/>
    <w:rsid w:val="007B17C2"/>
    <w:rsid w:val="007B1CA3"/>
    <w:rsid w:val="007B215B"/>
    <w:rsid w:val="007B3030"/>
    <w:rsid w:val="007B32AD"/>
    <w:rsid w:val="007B3405"/>
    <w:rsid w:val="007B36D8"/>
    <w:rsid w:val="007B39C6"/>
    <w:rsid w:val="007B4588"/>
    <w:rsid w:val="007B4A75"/>
    <w:rsid w:val="007B5CA6"/>
    <w:rsid w:val="007B602D"/>
    <w:rsid w:val="007B76AE"/>
    <w:rsid w:val="007C0B22"/>
    <w:rsid w:val="007C0BE8"/>
    <w:rsid w:val="007C0C08"/>
    <w:rsid w:val="007C0D2F"/>
    <w:rsid w:val="007C0EBF"/>
    <w:rsid w:val="007C1441"/>
    <w:rsid w:val="007C20B0"/>
    <w:rsid w:val="007C2127"/>
    <w:rsid w:val="007C31C5"/>
    <w:rsid w:val="007C44DA"/>
    <w:rsid w:val="007C457B"/>
    <w:rsid w:val="007C4C38"/>
    <w:rsid w:val="007C4F80"/>
    <w:rsid w:val="007C5D52"/>
    <w:rsid w:val="007C5DF1"/>
    <w:rsid w:val="007C69BD"/>
    <w:rsid w:val="007C70D7"/>
    <w:rsid w:val="007C7343"/>
    <w:rsid w:val="007D10E0"/>
    <w:rsid w:val="007D1FBD"/>
    <w:rsid w:val="007D2C90"/>
    <w:rsid w:val="007D398A"/>
    <w:rsid w:val="007D46EC"/>
    <w:rsid w:val="007D49C3"/>
    <w:rsid w:val="007D4D5F"/>
    <w:rsid w:val="007D5A2B"/>
    <w:rsid w:val="007D76FB"/>
    <w:rsid w:val="007D78B3"/>
    <w:rsid w:val="007E0B9B"/>
    <w:rsid w:val="007E221E"/>
    <w:rsid w:val="007E271C"/>
    <w:rsid w:val="007E3170"/>
    <w:rsid w:val="007E4256"/>
    <w:rsid w:val="007E47B8"/>
    <w:rsid w:val="007E5135"/>
    <w:rsid w:val="007E527D"/>
    <w:rsid w:val="007E5364"/>
    <w:rsid w:val="007E73AB"/>
    <w:rsid w:val="007E76B3"/>
    <w:rsid w:val="007F12F0"/>
    <w:rsid w:val="007F14A0"/>
    <w:rsid w:val="007F2B2C"/>
    <w:rsid w:val="007F429B"/>
    <w:rsid w:val="007F4C4C"/>
    <w:rsid w:val="007F5B21"/>
    <w:rsid w:val="007F7629"/>
    <w:rsid w:val="007F78AE"/>
    <w:rsid w:val="00800EE9"/>
    <w:rsid w:val="00801786"/>
    <w:rsid w:val="00803216"/>
    <w:rsid w:val="00803C68"/>
    <w:rsid w:val="00803F09"/>
    <w:rsid w:val="00803F61"/>
    <w:rsid w:val="008050D8"/>
    <w:rsid w:val="008050EE"/>
    <w:rsid w:val="008071C5"/>
    <w:rsid w:val="00810BB3"/>
    <w:rsid w:val="00811349"/>
    <w:rsid w:val="00812FC9"/>
    <w:rsid w:val="00813EE2"/>
    <w:rsid w:val="00814E3B"/>
    <w:rsid w:val="00814FD6"/>
    <w:rsid w:val="00816EB4"/>
    <w:rsid w:val="0081794D"/>
    <w:rsid w:val="0082083D"/>
    <w:rsid w:val="00821848"/>
    <w:rsid w:val="00821AC8"/>
    <w:rsid w:val="008221AA"/>
    <w:rsid w:val="008242CE"/>
    <w:rsid w:val="0082448C"/>
    <w:rsid w:val="008249B9"/>
    <w:rsid w:val="00824D29"/>
    <w:rsid w:val="00825F2A"/>
    <w:rsid w:val="00826253"/>
    <w:rsid w:val="0082662A"/>
    <w:rsid w:val="0082671D"/>
    <w:rsid w:val="00826DD8"/>
    <w:rsid w:val="008270DC"/>
    <w:rsid w:val="0082771B"/>
    <w:rsid w:val="0083118E"/>
    <w:rsid w:val="00831EA7"/>
    <w:rsid w:val="008323EF"/>
    <w:rsid w:val="00833324"/>
    <w:rsid w:val="0083471E"/>
    <w:rsid w:val="00835A63"/>
    <w:rsid w:val="00836269"/>
    <w:rsid w:val="0083777C"/>
    <w:rsid w:val="008377B5"/>
    <w:rsid w:val="0084088A"/>
    <w:rsid w:val="00840FEF"/>
    <w:rsid w:val="0084121E"/>
    <w:rsid w:val="00841477"/>
    <w:rsid w:val="00841AA8"/>
    <w:rsid w:val="00841C28"/>
    <w:rsid w:val="00842E02"/>
    <w:rsid w:val="008437BA"/>
    <w:rsid w:val="008444AF"/>
    <w:rsid w:val="008467D5"/>
    <w:rsid w:val="00847C21"/>
    <w:rsid w:val="00850201"/>
    <w:rsid w:val="008502C2"/>
    <w:rsid w:val="008507EF"/>
    <w:rsid w:val="00850904"/>
    <w:rsid w:val="00850B7D"/>
    <w:rsid w:val="00852035"/>
    <w:rsid w:val="008525DD"/>
    <w:rsid w:val="0085343E"/>
    <w:rsid w:val="00853829"/>
    <w:rsid w:val="008539AF"/>
    <w:rsid w:val="00853BF9"/>
    <w:rsid w:val="00854A84"/>
    <w:rsid w:val="00855B92"/>
    <w:rsid w:val="0085612E"/>
    <w:rsid w:val="008565C4"/>
    <w:rsid w:val="00856AB0"/>
    <w:rsid w:val="00861FED"/>
    <w:rsid w:val="00862315"/>
    <w:rsid w:val="00862A3F"/>
    <w:rsid w:val="00862D6D"/>
    <w:rsid w:val="00864054"/>
    <w:rsid w:val="008641C0"/>
    <w:rsid w:val="008648BF"/>
    <w:rsid w:val="00864CC9"/>
    <w:rsid w:val="00865066"/>
    <w:rsid w:val="008652BD"/>
    <w:rsid w:val="00867094"/>
    <w:rsid w:val="0086796A"/>
    <w:rsid w:val="00867C20"/>
    <w:rsid w:val="00870B6A"/>
    <w:rsid w:val="00870BB1"/>
    <w:rsid w:val="0087184F"/>
    <w:rsid w:val="0087187D"/>
    <w:rsid w:val="00871E93"/>
    <w:rsid w:val="00872B95"/>
    <w:rsid w:val="00872E5B"/>
    <w:rsid w:val="008733D8"/>
    <w:rsid w:val="00873D68"/>
    <w:rsid w:val="00873E15"/>
    <w:rsid w:val="008745A8"/>
    <w:rsid w:val="008759CD"/>
    <w:rsid w:val="00880EB7"/>
    <w:rsid w:val="0088245A"/>
    <w:rsid w:val="008832DB"/>
    <w:rsid w:val="00884B5C"/>
    <w:rsid w:val="0088500E"/>
    <w:rsid w:val="0088586D"/>
    <w:rsid w:val="00886AC1"/>
    <w:rsid w:val="00886B3B"/>
    <w:rsid w:val="008876AB"/>
    <w:rsid w:val="00887FD4"/>
    <w:rsid w:val="0089001B"/>
    <w:rsid w:val="0089040D"/>
    <w:rsid w:val="00890E70"/>
    <w:rsid w:val="008915FB"/>
    <w:rsid w:val="00891B38"/>
    <w:rsid w:val="0089273C"/>
    <w:rsid w:val="00892779"/>
    <w:rsid w:val="00893D84"/>
    <w:rsid w:val="00894494"/>
    <w:rsid w:val="008944A9"/>
    <w:rsid w:val="008945EC"/>
    <w:rsid w:val="00894951"/>
    <w:rsid w:val="00894A83"/>
    <w:rsid w:val="0089577E"/>
    <w:rsid w:val="00895C4C"/>
    <w:rsid w:val="00895CB0"/>
    <w:rsid w:val="0089661E"/>
    <w:rsid w:val="00897297"/>
    <w:rsid w:val="00897DE4"/>
    <w:rsid w:val="008A1A85"/>
    <w:rsid w:val="008A1EF7"/>
    <w:rsid w:val="008A1F39"/>
    <w:rsid w:val="008A234A"/>
    <w:rsid w:val="008A2948"/>
    <w:rsid w:val="008A2E40"/>
    <w:rsid w:val="008A4BF3"/>
    <w:rsid w:val="008A533D"/>
    <w:rsid w:val="008A684F"/>
    <w:rsid w:val="008A730D"/>
    <w:rsid w:val="008A7380"/>
    <w:rsid w:val="008A7D74"/>
    <w:rsid w:val="008B0F94"/>
    <w:rsid w:val="008B25E6"/>
    <w:rsid w:val="008B27C7"/>
    <w:rsid w:val="008B2859"/>
    <w:rsid w:val="008B355A"/>
    <w:rsid w:val="008B3FDA"/>
    <w:rsid w:val="008B4683"/>
    <w:rsid w:val="008B472E"/>
    <w:rsid w:val="008B4905"/>
    <w:rsid w:val="008B57A8"/>
    <w:rsid w:val="008C00B4"/>
    <w:rsid w:val="008C0AE3"/>
    <w:rsid w:val="008C140B"/>
    <w:rsid w:val="008C1668"/>
    <w:rsid w:val="008C1DD2"/>
    <w:rsid w:val="008C2EB3"/>
    <w:rsid w:val="008C2EEC"/>
    <w:rsid w:val="008C3FAF"/>
    <w:rsid w:val="008C62AD"/>
    <w:rsid w:val="008C6BEB"/>
    <w:rsid w:val="008C6CE6"/>
    <w:rsid w:val="008C6DDB"/>
    <w:rsid w:val="008D02C5"/>
    <w:rsid w:val="008D0CF8"/>
    <w:rsid w:val="008D1717"/>
    <w:rsid w:val="008D174D"/>
    <w:rsid w:val="008D2C53"/>
    <w:rsid w:val="008D2E11"/>
    <w:rsid w:val="008D2E1A"/>
    <w:rsid w:val="008D2FF6"/>
    <w:rsid w:val="008D3102"/>
    <w:rsid w:val="008D554A"/>
    <w:rsid w:val="008D5DC5"/>
    <w:rsid w:val="008D6200"/>
    <w:rsid w:val="008D62B2"/>
    <w:rsid w:val="008D6925"/>
    <w:rsid w:val="008D69E5"/>
    <w:rsid w:val="008D6FCE"/>
    <w:rsid w:val="008E260F"/>
    <w:rsid w:val="008E266E"/>
    <w:rsid w:val="008E2949"/>
    <w:rsid w:val="008E2B05"/>
    <w:rsid w:val="008E416E"/>
    <w:rsid w:val="008E569D"/>
    <w:rsid w:val="008E67C1"/>
    <w:rsid w:val="008F0099"/>
    <w:rsid w:val="008F0605"/>
    <w:rsid w:val="008F0A60"/>
    <w:rsid w:val="008F0F25"/>
    <w:rsid w:val="008F0F38"/>
    <w:rsid w:val="008F263D"/>
    <w:rsid w:val="008F2DEC"/>
    <w:rsid w:val="008F30A6"/>
    <w:rsid w:val="008F3383"/>
    <w:rsid w:val="008F38CA"/>
    <w:rsid w:val="008F3F14"/>
    <w:rsid w:val="008F5905"/>
    <w:rsid w:val="008F5B24"/>
    <w:rsid w:val="008F6914"/>
    <w:rsid w:val="008F7578"/>
    <w:rsid w:val="00900DBB"/>
    <w:rsid w:val="00902E57"/>
    <w:rsid w:val="009031D3"/>
    <w:rsid w:val="00903920"/>
    <w:rsid w:val="00904305"/>
    <w:rsid w:val="009044A4"/>
    <w:rsid w:val="009049D1"/>
    <w:rsid w:val="00904B63"/>
    <w:rsid w:val="00904C50"/>
    <w:rsid w:val="00905A5F"/>
    <w:rsid w:val="00905DA6"/>
    <w:rsid w:val="009062BF"/>
    <w:rsid w:val="00906EF8"/>
    <w:rsid w:val="00906F7A"/>
    <w:rsid w:val="00910330"/>
    <w:rsid w:val="00910824"/>
    <w:rsid w:val="00910895"/>
    <w:rsid w:val="00910CCC"/>
    <w:rsid w:val="00910CE6"/>
    <w:rsid w:val="009118F9"/>
    <w:rsid w:val="0091196C"/>
    <w:rsid w:val="00913138"/>
    <w:rsid w:val="009141DF"/>
    <w:rsid w:val="009167A4"/>
    <w:rsid w:val="00917120"/>
    <w:rsid w:val="009171A0"/>
    <w:rsid w:val="00917830"/>
    <w:rsid w:val="00920B77"/>
    <w:rsid w:val="00921995"/>
    <w:rsid w:val="00921A94"/>
    <w:rsid w:val="00921CF7"/>
    <w:rsid w:val="009222FE"/>
    <w:rsid w:val="0092248C"/>
    <w:rsid w:val="00922DEC"/>
    <w:rsid w:val="00922FC1"/>
    <w:rsid w:val="009232EE"/>
    <w:rsid w:val="00923F25"/>
    <w:rsid w:val="0092466F"/>
    <w:rsid w:val="00925D56"/>
    <w:rsid w:val="0092640D"/>
    <w:rsid w:val="0092668F"/>
    <w:rsid w:val="00930FCC"/>
    <w:rsid w:val="00931869"/>
    <w:rsid w:val="00931BF0"/>
    <w:rsid w:val="00933FC8"/>
    <w:rsid w:val="009340FC"/>
    <w:rsid w:val="009361A2"/>
    <w:rsid w:val="009368F5"/>
    <w:rsid w:val="00936C25"/>
    <w:rsid w:val="009377B7"/>
    <w:rsid w:val="009379DE"/>
    <w:rsid w:val="00937DFD"/>
    <w:rsid w:val="009405FE"/>
    <w:rsid w:val="00940AC5"/>
    <w:rsid w:val="0094179F"/>
    <w:rsid w:val="00941E03"/>
    <w:rsid w:val="00943317"/>
    <w:rsid w:val="009434AA"/>
    <w:rsid w:val="00943852"/>
    <w:rsid w:val="00943FCF"/>
    <w:rsid w:val="00944853"/>
    <w:rsid w:val="0094502C"/>
    <w:rsid w:val="009450C9"/>
    <w:rsid w:val="00945E95"/>
    <w:rsid w:val="009476D9"/>
    <w:rsid w:val="0094796B"/>
    <w:rsid w:val="009500BC"/>
    <w:rsid w:val="0095318A"/>
    <w:rsid w:val="009536A2"/>
    <w:rsid w:val="00955E73"/>
    <w:rsid w:val="00956D8E"/>
    <w:rsid w:val="009575C7"/>
    <w:rsid w:val="009575CF"/>
    <w:rsid w:val="00957EC8"/>
    <w:rsid w:val="00961994"/>
    <w:rsid w:val="00962D74"/>
    <w:rsid w:val="00962F5F"/>
    <w:rsid w:val="00963321"/>
    <w:rsid w:val="009645B3"/>
    <w:rsid w:val="009646EB"/>
    <w:rsid w:val="00964E59"/>
    <w:rsid w:val="0096596A"/>
    <w:rsid w:val="00965B13"/>
    <w:rsid w:val="00965DCD"/>
    <w:rsid w:val="009666C0"/>
    <w:rsid w:val="00966860"/>
    <w:rsid w:val="00966B8E"/>
    <w:rsid w:val="00967E50"/>
    <w:rsid w:val="00967F46"/>
    <w:rsid w:val="0097160D"/>
    <w:rsid w:val="009717B5"/>
    <w:rsid w:val="00971B95"/>
    <w:rsid w:val="00971C3A"/>
    <w:rsid w:val="00971E20"/>
    <w:rsid w:val="00972641"/>
    <w:rsid w:val="009727E2"/>
    <w:rsid w:val="00972F4F"/>
    <w:rsid w:val="0097370B"/>
    <w:rsid w:val="00973A02"/>
    <w:rsid w:val="00974170"/>
    <w:rsid w:val="0097453B"/>
    <w:rsid w:val="00974589"/>
    <w:rsid w:val="00974A06"/>
    <w:rsid w:val="00974B18"/>
    <w:rsid w:val="009751DC"/>
    <w:rsid w:val="00975A4C"/>
    <w:rsid w:val="00976A12"/>
    <w:rsid w:val="009772B4"/>
    <w:rsid w:val="00980270"/>
    <w:rsid w:val="0098036F"/>
    <w:rsid w:val="00980D53"/>
    <w:rsid w:val="009810FB"/>
    <w:rsid w:val="00981759"/>
    <w:rsid w:val="0098205B"/>
    <w:rsid w:val="0098306F"/>
    <w:rsid w:val="00983ECF"/>
    <w:rsid w:val="009846F1"/>
    <w:rsid w:val="00984DEB"/>
    <w:rsid w:val="00985089"/>
    <w:rsid w:val="009853F5"/>
    <w:rsid w:val="00985454"/>
    <w:rsid w:val="00985CED"/>
    <w:rsid w:val="00985F73"/>
    <w:rsid w:val="00986429"/>
    <w:rsid w:val="00986A71"/>
    <w:rsid w:val="00986CFB"/>
    <w:rsid w:val="00990736"/>
    <w:rsid w:val="00991650"/>
    <w:rsid w:val="00991FC3"/>
    <w:rsid w:val="00992CA5"/>
    <w:rsid w:val="00993BC1"/>
    <w:rsid w:val="00994791"/>
    <w:rsid w:val="00994B07"/>
    <w:rsid w:val="00994BF3"/>
    <w:rsid w:val="00997530"/>
    <w:rsid w:val="00997EE3"/>
    <w:rsid w:val="009A003B"/>
    <w:rsid w:val="009A0C9C"/>
    <w:rsid w:val="009A0EBF"/>
    <w:rsid w:val="009A1CD0"/>
    <w:rsid w:val="009A1DB4"/>
    <w:rsid w:val="009A1EE2"/>
    <w:rsid w:val="009A2278"/>
    <w:rsid w:val="009A28AF"/>
    <w:rsid w:val="009A32C5"/>
    <w:rsid w:val="009A3AAC"/>
    <w:rsid w:val="009A5786"/>
    <w:rsid w:val="009A5A09"/>
    <w:rsid w:val="009A5BDE"/>
    <w:rsid w:val="009A6BE0"/>
    <w:rsid w:val="009A6E32"/>
    <w:rsid w:val="009A6E3B"/>
    <w:rsid w:val="009A7BE0"/>
    <w:rsid w:val="009B0457"/>
    <w:rsid w:val="009B063A"/>
    <w:rsid w:val="009B0FEA"/>
    <w:rsid w:val="009B270A"/>
    <w:rsid w:val="009B2E15"/>
    <w:rsid w:val="009B4B0D"/>
    <w:rsid w:val="009B60CA"/>
    <w:rsid w:val="009B6105"/>
    <w:rsid w:val="009C11CF"/>
    <w:rsid w:val="009C14B9"/>
    <w:rsid w:val="009C18FB"/>
    <w:rsid w:val="009C1A67"/>
    <w:rsid w:val="009C32A5"/>
    <w:rsid w:val="009C35F0"/>
    <w:rsid w:val="009C419C"/>
    <w:rsid w:val="009C4E52"/>
    <w:rsid w:val="009C5170"/>
    <w:rsid w:val="009C5B28"/>
    <w:rsid w:val="009C7411"/>
    <w:rsid w:val="009C7E3F"/>
    <w:rsid w:val="009D00C0"/>
    <w:rsid w:val="009D1422"/>
    <w:rsid w:val="009D2B8B"/>
    <w:rsid w:val="009D2F27"/>
    <w:rsid w:val="009D3151"/>
    <w:rsid w:val="009D3CF9"/>
    <w:rsid w:val="009D4DA3"/>
    <w:rsid w:val="009D5A73"/>
    <w:rsid w:val="009D5B4E"/>
    <w:rsid w:val="009D5C70"/>
    <w:rsid w:val="009D7A98"/>
    <w:rsid w:val="009E0731"/>
    <w:rsid w:val="009E07EA"/>
    <w:rsid w:val="009E0DFB"/>
    <w:rsid w:val="009E1059"/>
    <w:rsid w:val="009E120D"/>
    <w:rsid w:val="009E1234"/>
    <w:rsid w:val="009E196C"/>
    <w:rsid w:val="009E1FFD"/>
    <w:rsid w:val="009E3311"/>
    <w:rsid w:val="009E3852"/>
    <w:rsid w:val="009E5C01"/>
    <w:rsid w:val="009E6159"/>
    <w:rsid w:val="009F0360"/>
    <w:rsid w:val="009F0786"/>
    <w:rsid w:val="009F0EAB"/>
    <w:rsid w:val="009F104D"/>
    <w:rsid w:val="009F146E"/>
    <w:rsid w:val="009F14CE"/>
    <w:rsid w:val="009F160E"/>
    <w:rsid w:val="009F1AA9"/>
    <w:rsid w:val="009F1B46"/>
    <w:rsid w:val="009F1E58"/>
    <w:rsid w:val="009F21E3"/>
    <w:rsid w:val="009F228E"/>
    <w:rsid w:val="009F4E77"/>
    <w:rsid w:val="009F54AE"/>
    <w:rsid w:val="009F54E4"/>
    <w:rsid w:val="009F6220"/>
    <w:rsid w:val="009F67CC"/>
    <w:rsid w:val="009F7643"/>
    <w:rsid w:val="009F7E1A"/>
    <w:rsid w:val="00A016B7"/>
    <w:rsid w:val="00A01EF8"/>
    <w:rsid w:val="00A021C3"/>
    <w:rsid w:val="00A02C99"/>
    <w:rsid w:val="00A04535"/>
    <w:rsid w:val="00A0636E"/>
    <w:rsid w:val="00A063A1"/>
    <w:rsid w:val="00A107BD"/>
    <w:rsid w:val="00A10F0B"/>
    <w:rsid w:val="00A1154D"/>
    <w:rsid w:val="00A12B87"/>
    <w:rsid w:val="00A12F4D"/>
    <w:rsid w:val="00A13F72"/>
    <w:rsid w:val="00A15BA6"/>
    <w:rsid w:val="00A15D98"/>
    <w:rsid w:val="00A160BF"/>
    <w:rsid w:val="00A171D3"/>
    <w:rsid w:val="00A17719"/>
    <w:rsid w:val="00A1796E"/>
    <w:rsid w:val="00A2025F"/>
    <w:rsid w:val="00A20EFB"/>
    <w:rsid w:val="00A2115F"/>
    <w:rsid w:val="00A21EBB"/>
    <w:rsid w:val="00A21F89"/>
    <w:rsid w:val="00A24C1D"/>
    <w:rsid w:val="00A2585E"/>
    <w:rsid w:val="00A25BC2"/>
    <w:rsid w:val="00A2637F"/>
    <w:rsid w:val="00A27B3A"/>
    <w:rsid w:val="00A308DB"/>
    <w:rsid w:val="00A30E61"/>
    <w:rsid w:val="00A3110D"/>
    <w:rsid w:val="00A31871"/>
    <w:rsid w:val="00A31B2A"/>
    <w:rsid w:val="00A31BC7"/>
    <w:rsid w:val="00A31F7F"/>
    <w:rsid w:val="00A32543"/>
    <w:rsid w:val="00A3317C"/>
    <w:rsid w:val="00A33C42"/>
    <w:rsid w:val="00A33D23"/>
    <w:rsid w:val="00A34D06"/>
    <w:rsid w:val="00A363F9"/>
    <w:rsid w:val="00A36859"/>
    <w:rsid w:val="00A372E6"/>
    <w:rsid w:val="00A37C7D"/>
    <w:rsid w:val="00A37C87"/>
    <w:rsid w:val="00A4017A"/>
    <w:rsid w:val="00A42106"/>
    <w:rsid w:val="00A431C7"/>
    <w:rsid w:val="00A439DA"/>
    <w:rsid w:val="00A43C26"/>
    <w:rsid w:val="00A44273"/>
    <w:rsid w:val="00A44347"/>
    <w:rsid w:val="00A44C30"/>
    <w:rsid w:val="00A457A0"/>
    <w:rsid w:val="00A45DE3"/>
    <w:rsid w:val="00A500EE"/>
    <w:rsid w:val="00A5090D"/>
    <w:rsid w:val="00A5158F"/>
    <w:rsid w:val="00A51D62"/>
    <w:rsid w:val="00A520EC"/>
    <w:rsid w:val="00A52BEF"/>
    <w:rsid w:val="00A52EB1"/>
    <w:rsid w:val="00A539D2"/>
    <w:rsid w:val="00A55E93"/>
    <w:rsid w:val="00A56614"/>
    <w:rsid w:val="00A56DAE"/>
    <w:rsid w:val="00A578C3"/>
    <w:rsid w:val="00A60F5D"/>
    <w:rsid w:val="00A616E0"/>
    <w:rsid w:val="00A61C77"/>
    <w:rsid w:val="00A6232F"/>
    <w:rsid w:val="00A625DE"/>
    <w:rsid w:val="00A62F08"/>
    <w:rsid w:val="00A63D5C"/>
    <w:rsid w:val="00A641B0"/>
    <w:rsid w:val="00A64291"/>
    <w:rsid w:val="00A649BB"/>
    <w:rsid w:val="00A65202"/>
    <w:rsid w:val="00A654B5"/>
    <w:rsid w:val="00A66DF7"/>
    <w:rsid w:val="00A6703B"/>
    <w:rsid w:val="00A70E02"/>
    <w:rsid w:val="00A71DCB"/>
    <w:rsid w:val="00A7252E"/>
    <w:rsid w:val="00A72603"/>
    <w:rsid w:val="00A73197"/>
    <w:rsid w:val="00A731F8"/>
    <w:rsid w:val="00A73507"/>
    <w:rsid w:val="00A7421A"/>
    <w:rsid w:val="00A74252"/>
    <w:rsid w:val="00A7459E"/>
    <w:rsid w:val="00A74D22"/>
    <w:rsid w:val="00A7534A"/>
    <w:rsid w:val="00A7598F"/>
    <w:rsid w:val="00A75998"/>
    <w:rsid w:val="00A7688B"/>
    <w:rsid w:val="00A76AF3"/>
    <w:rsid w:val="00A771FD"/>
    <w:rsid w:val="00A81B52"/>
    <w:rsid w:val="00A81BB5"/>
    <w:rsid w:val="00A82AA1"/>
    <w:rsid w:val="00A82BB4"/>
    <w:rsid w:val="00A83B4D"/>
    <w:rsid w:val="00A83C71"/>
    <w:rsid w:val="00A83D29"/>
    <w:rsid w:val="00A83FB0"/>
    <w:rsid w:val="00A84109"/>
    <w:rsid w:val="00A84452"/>
    <w:rsid w:val="00A84DBC"/>
    <w:rsid w:val="00A8576C"/>
    <w:rsid w:val="00A905F5"/>
    <w:rsid w:val="00A90752"/>
    <w:rsid w:val="00A925C9"/>
    <w:rsid w:val="00A92D91"/>
    <w:rsid w:val="00A94222"/>
    <w:rsid w:val="00A95811"/>
    <w:rsid w:val="00A95DB5"/>
    <w:rsid w:val="00A96660"/>
    <w:rsid w:val="00A969EB"/>
    <w:rsid w:val="00A96B59"/>
    <w:rsid w:val="00AA004F"/>
    <w:rsid w:val="00AA0315"/>
    <w:rsid w:val="00AA2D10"/>
    <w:rsid w:val="00AA2EB1"/>
    <w:rsid w:val="00AA3249"/>
    <w:rsid w:val="00AA327E"/>
    <w:rsid w:val="00AA3D3D"/>
    <w:rsid w:val="00AA55D2"/>
    <w:rsid w:val="00AA597A"/>
    <w:rsid w:val="00AA5AFE"/>
    <w:rsid w:val="00AA6BEE"/>
    <w:rsid w:val="00AA74C3"/>
    <w:rsid w:val="00AB053E"/>
    <w:rsid w:val="00AB0DCC"/>
    <w:rsid w:val="00AB2526"/>
    <w:rsid w:val="00AB31A8"/>
    <w:rsid w:val="00AB3D50"/>
    <w:rsid w:val="00AB3F2D"/>
    <w:rsid w:val="00AB507E"/>
    <w:rsid w:val="00AB5132"/>
    <w:rsid w:val="00AB5540"/>
    <w:rsid w:val="00AB56F3"/>
    <w:rsid w:val="00AB5F42"/>
    <w:rsid w:val="00AB67B2"/>
    <w:rsid w:val="00AB6B56"/>
    <w:rsid w:val="00AC0DA1"/>
    <w:rsid w:val="00AC1CF7"/>
    <w:rsid w:val="00AC20AE"/>
    <w:rsid w:val="00AC2B52"/>
    <w:rsid w:val="00AC37D3"/>
    <w:rsid w:val="00AC3ED5"/>
    <w:rsid w:val="00AC4FEF"/>
    <w:rsid w:val="00AC5997"/>
    <w:rsid w:val="00AC5E9E"/>
    <w:rsid w:val="00AC61A8"/>
    <w:rsid w:val="00AC6F66"/>
    <w:rsid w:val="00AC791B"/>
    <w:rsid w:val="00AD03B0"/>
    <w:rsid w:val="00AD0C62"/>
    <w:rsid w:val="00AD14B7"/>
    <w:rsid w:val="00AD1B31"/>
    <w:rsid w:val="00AD2642"/>
    <w:rsid w:val="00AD2800"/>
    <w:rsid w:val="00AD437E"/>
    <w:rsid w:val="00AD4629"/>
    <w:rsid w:val="00AD5417"/>
    <w:rsid w:val="00AD5759"/>
    <w:rsid w:val="00AD65DE"/>
    <w:rsid w:val="00AD6B03"/>
    <w:rsid w:val="00AD6ECF"/>
    <w:rsid w:val="00AD6F18"/>
    <w:rsid w:val="00AD733C"/>
    <w:rsid w:val="00AE075C"/>
    <w:rsid w:val="00AE0DA1"/>
    <w:rsid w:val="00AE19E0"/>
    <w:rsid w:val="00AE2A54"/>
    <w:rsid w:val="00AE31A4"/>
    <w:rsid w:val="00AE4743"/>
    <w:rsid w:val="00AE4CDC"/>
    <w:rsid w:val="00AE4F48"/>
    <w:rsid w:val="00AE5974"/>
    <w:rsid w:val="00AE6A0B"/>
    <w:rsid w:val="00AE7A2F"/>
    <w:rsid w:val="00AE7E9D"/>
    <w:rsid w:val="00AF000A"/>
    <w:rsid w:val="00AF006B"/>
    <w:rsid w:val="00AF1330"/>
    <w:rsid w:val="00AF143D"/>
    <w:rsid w:val="00AF307D"/>
    <w:rsid w:val="00AF32EA"/>
    <w:rsid w:val="00AF34DB"/>
    <w:rsid w:val="00AF3BF6"/>
    <w:rsid w:val="00AF55EF"/>
    <w:rsid w:val="00AF5D3E"/>
    <w:rsid w:val="00AF680C"/>
    <w:rsid w:val="00AF684C"/>
    <w:rsid w:val="00AF7AC8"/>
    <w:rsid w:val="00B001DA"/>
    <w:rsid w:val="00B0031E"/>
    <w:rsid w:val="00B01286"/>
    <w:rsid w:val="00B01769"/>
    <w:rsid w:val="00B01B6B"/>
    <w:rsid w:val="00B035CB"/>
    <w:rsid w:val="00B04C62"/>
    <w:rsid w:val="00B055B7"/>
    <w:rsid w:val="00B06607"/>
    <w:rsid w:val="00B06CD9"/>
    <w:rsid w:val="00B12FBB"/>
    <w:rsid w:val="00B1425C"/>
    <w:rsid w:val="00B14AA9"/>
    <w:rsid w:val="00B1523C"/>
    <w:rsid w:val="00B15D97"/>
    <w:rsid w:val="00B17FC5"/>
    <w:rsid w:val="00B20E43"/>
    <w:rsid w:val="00B2117C"/>
    <w:rsid w:val="00B22E0E"/>
    <w:rsid w:val="00B24B6B"/>
    <w:rsid w:val="00B24DAF"/>
    <w:rsid w:val="00B25F0A"/>
    <w:rsid w:val="00B303B9"/>
    <w:rsid w:val="00B30A20"/>
    <w:rsid w:val="00B325EB"/>
    <w:rsid w:val="00B32C3B"/>
    <w:rsid w:val="00B335C9"/>
    <w:rsid w:val="00B3374F"/>
    <w:rsid w:val="00B33B4C"/>
    <w:rsid w:val="00B33FB9"/>
    <w:rsid w:val="00B35243"/>
    <w:rsid w:val="00B35AEE"/>
    <w:rsid w:val="00B35F66"/>
    <w:rsid w:val="00B3666E"/>
    <w:rsid w:val="00B367B3"/>
    <w:rsid w:val="00B36D92"/>
    <w:rsid w:val="00B40CDF"/>
    <w:rsid w:val="00B40E2C"/>
    <w:rsid w:val="00B410B9"/>
    <w:rsid w:val="00B4117A"/>
    <w:rsid w:val="00B41480"/>
    <w:rsid w:val="00B41F25"/>
    <w:rsid w:val="00B42633"/>
    <w:rsid w:val="00B42A4C"/>
    <w:rsid w:val="00B43C57"/>
    <w:rsid w:val="00B43CDC"/>
    <w:rsid w:val="00B44520"/>
    <w:rsid w:val="00B45036"/>
    <w:rsid w:val="00B45CCC"/>
    <w:rsid w:val="00B46119"/>
    <w:rsid w:val="00B47D5D"/>
    <w:rsid w:val="00B5016E"/>
    <w:rsid w:val="00B502BF"/>
    <w:rsid w:val="00B516AF"/>
    <w:rsid w:val="00B51E21"/>
    <w:rsid w:val="00B52C79"/>
    <w:rsid w:val="00B534DA"/>
    <w:rsid w:val="00B55CA4"/>
    <w:rsid w:val="00B56346"/>
    <w:rsid w:val="00B57B8C"/>
    <w:rsid w:val="00B616CD"/>
    <w:rsid w:val="00B623C6"/>
    <w:rsid w:val="00B623E3"/>
    <w:rsid w:val="00B62726"/>
    <w:rsid w:val="00B628CB"/>
    <w:rsid w:val="00B6562C"/>
    <w:rsid w:val="00B65E14"/>
    <w:rsid w:val="00B677F2"/>
    <w:rsid w:val="00B67B13"/>
    <w:rsid w:val="00B72F92"/>
    <w:rsid w:val="00B73492"/>
    <w:rsid w:val="00B73AFC"/>
    <w:rsid w:val="00B73F2F"/>
    <w:rsid w:val="00B75864"/>
    <w:rsid w:val="00B758CC"/>
    <w:rsid w:val="00B75B4B"/>
    <w:rsid w:val="00B77105"/>
    <w:rsid w:val="00B77958"/>
    <w:rsid w:val="00B77C3D"/>
    <w:rsid w:val="00B80D93"/>
    <w:rsid w:val="00B82A6B"/>
    <w:rsid w:val="00B833CB"/>
    <w:rsid w:val="00B8362B"/>
    <w:rsid w:val="00B83CDF"/>
    <w:rsid w:val="00B8734A"/>
    <w:rsid w:val="00B87A36"/>
    <w:rsid w:val="00B90E35"/>
    <w:rsid w:val="00B90E88"/>
    <w:rsid w:val="00B92C27"/>
    <w:rsid w:val="00B9315A"/>
    <w:rsid w:val="00B932BE"/>
    <w:rsid w:val="00B9352B"/>
    <w:rsid w:val="00B93664"/>
    <w:rsid w:val="00B9398D"/>
    <w:rsid w:val="00B93A5E"/>
    <w:rsid w:val="00B94086"/>
    <w:rsid w:val="00B942FD"/>
    <w:rsid w:val="00B943D7"/>
    <w:rsid w:val="00B94F6E"/>
    <w:rsid w:val="00B95B69"/>
    <w:rsid w:val="00B96662"/>
    <w:rsid w:val="00B967C8"/>
    <w:rsid w:val="00B9680A"/>
    <w:rsid w:val="00B968A0"/>
    <w:rsid w:val="00B97F74"/>
    <w:rsid w:val="00BA0965"/>
    <w:rsid w:val="00BA0B9F"/>
    <w:rsid w:val="00BA25DB"/>
    <w:rsid w:val="00BA2E7F"/>
    <w:rsid w:val="00BA3884"/>
    <w:rsid w:val="00BA38E0"/>
    <w:rsid w:val="00BA3F1D"/>
    <w:rsid w:val="00BA4963"/>
    <w:rsid w:val="00BA4BA8"/>
    <w:rsid w:val="00BB11FA"/>
    <w:rsid w:val="00BB1681"/>
    <w:rsid w:val="00BB1DE0"/>
    <w:rsid w:val="00BB3F05"/>
    <w:rsid w:val="00BB4682"/>
    <w:rsid w:val="00BB46F5"/>
    <w:rsid w:val="00BB4B24"/>
    <w:rsid w:val="00BB4BE0"/>
    <w:rsid w:val="00BB540E"/>
    <w:rsid w:val="00BB5E46"/>
    <w:rsid w:val="00BB60AE"/>
    <w:rsid w:val="00BB6B52"/>
    <w:rsid w:val="00BC1F50"/>
    <w:rsid w:val="00BC207F"/>
    <w:rsid w:val="00BC21E8"/>
    <w:rsid w:val="00BC23B8"/>
    <w:rsid w:val="00BC45B8"/>
    <w:rsid w:val="00BC50BE"/>
    <w:rsid w:val="00BC51A7"/>
    <w:rsid w:val="00BC5FAF"/>
    <w:rsid w:val="00BC6599"/>
    <w:rsid w:val="00BC68BE"/>
    <w:rsid w:val="00BC6ABA"/>
    <w:rsid w:val="00BC7EEE"/>
    <w:rsid w:val="00BD0123"/>
    <w:rsid w:val="00BD1DD0"/>
    <w:rsid w:val="00BD2329"/>
    <w:rsid w:val="00BD29F1"/>
    <w:rsid w:val="00BD31CB"/>
    <w:rsid w:val="00BD3612"/>
    <w:rsid w:val="00BD415A"/>
    <w:rsid w:val="00BD43DC"/>
    <w:rsid w:val="00BD4DF6"/>
    <w:rsid w:val="00BD4DF9"/>
    <w:rsid w:val="00BD523D"/>
    <w:rsid w:val="00BD5404"/>
    <w:rsid w:val="00BD5862"/>
    <w:rsid w:val="00BD63BE"/>
    <w:rsid w:val="00BD6F9A"/>
    <w:rsid w:val="00BD7CB0"/>
    <w:rsid w:val="00BE0B08"/>
    <w:rsid w:val="00BE21F9"/>
    <w:rsid w:val="00BE294C"/>
    <w:rsid w:val="00BE308A"/>
    <w:rsid w:val="00BE420C"/>
    <w:rsid w:val="00BE4553"/>
    <w:rsid w:val="00BE5423"/>
    <w:rsid w:val="00BE589F"/>
    <w:rsid w:val="00BE6AD6"/>
    <w:rsid w:val="00BF0BB2"/>
    <w:rsid w:val="00BF0F97"/>
    <w:rsid w:val="00BF10B6"/>
    <w:rsid w:val="00BF1BBD"/>
    <w:rsid w:val="00BF2B93"/>
    <w:rsid w:val="00BF2C40"/>
    <w:rsid w:val="00BF2DF4"/>
    <w:rsid w:val="00BF3699"/>
    <w:rsid w:val="00BF3A77"/>
    <w:rsid w:val="00BF3CA0"/>
    <w:rsid w:val="00BF3CC1"/>
    <w:rsid w:val="00BF3FB5"/>
    <w:rsid w:val="00BF4B90"/>
    <w:rsid w:val="00BF780B"/>
    <w:rsid w:val="00BF7BBC"/>
    <w:rsid w:val="00C00128"/>
    <w:rsid w:val="00C02236"/>
    <w:rsid w:val="00C02A28"/>
    <w:rsid w:val="00C02C23"/>
    <w:rsid w:val="00C02C6A"/>
    <w:rsid w:val="00C03B30"/>
    <w:rsid w:val="00C0515B"/>
    <w:rsid w:val="00C05443"/>
    <w:rsid w:val="00C05589"/>
    <w:rsid w:val="00C0575F"/>
    <w:rsid w:val="00C075A4"/>
    <w:rsid w:val="00C0786C"/>
    <w:rsid w:val="00C1078B"/>
    <w:rsid w:val="00C10D1F"/>
    <w:rsid w:val="00C125E8"/>
    <w:rsid w:val="00C1283E"/>
    <w:rsid w:val="00C134C9"/>
    <w:rsid w:val="00C13E67"/>
    <w:rsid w:val="00C13F91"/>
    <w:rsid w:val="00C13FF3"/>
    <w:rsid w:val="00C14E50"/>
    <w:rsid w:val="00C15742"/>
    <w:rsid w:val="00C15AB7"/>
    <w:rsid w:val="00C15D5E"/>
    <w:rsid w:val="00C16031"/>
    <w:rsid w:val="00C17A13"/>
    <w:rsid w:val="00C17AE8"/>
    <w:rsid w:val="00C202E2"/>
    <w:rsid w:val="00C20D38"/>
    <w:rsid w:val="00C20E94"/>
    <w:rsid w:val="00C23B53"/>
    <w:rsid w:val="00C24355"/>
    <w:rsid w:val="00C24373"/>
    <w:rsid w:val="00C2441C"/>
    <w:rsid w:val="00C24A83"/>
    <w:rsid w:val="00C24C23"/>
    <w:rsid w:val="00C25057"/>
    <w:rsid w:val="00C2565F"/>
    <w:rsid w:val="00C25696"/>
    <w:rsid w:val="00C279DD"/>
    <w:rsid w:val="00C30BCD"/>
    <w:rsid w:val="00C30DB5"/>
    <w:rsid w:val="00C315EE"/>
    <w:rsid w:val="00C3213C"/>
    <w:rsid w:val="00C322A7"/>
    <w:rsid w:val="00C329F9"/>
    <w:rsid w:val="00C32B1D"/>
    <w:rsid w:val="00C32C06"/>
    <w:rsid w:val="00C32DEF"/>
    <w:rsid w:val="00C332C3"/>
    <w:rsid w:val="00C333A0"/>
    <w:rsid w:val="00C3491C"/>
    <w:rsid w:val="00C34D0E"/>
    <w:rsid w:val="00C351B7"/>
    <w:rsid w:val="00C35769"/>
    <w:rsid w:val="00C35ADB"/>
    <w:rsid w:val="00C35F20"/>
    <w:rsid w:val="00C365BA"/>
    <w:rsid w:val="00C36E90"/>
    <w:rsid w:val="00C37760"/>
    <w:rsid w:val="00C379C4"/>
    <w:rsid w:val="00C40202"/>
    <w:rsid w:val="00C408EC"/>
    <w:rsid w:val="00C40BC0"/>
    <w:rsid w:val="00C41E75"/>
    <w:rsid w:val="00C427D6"/>
    <w:rsid w:val="00C44640"/>
    <w:rsid w:val="00C44E86"/>
    <w:rsid w:val="00C45064"/>
    <w:rsid w:val="00C4592B"/>
    <w:rsid w:val="00C459EE"/>
    <w:rsid w:val="00C46119"/>
    <w:rsid w:val="00C469F4"/>
    <w:rsid w:val="00C50378"/>
    <w:rsid w:val="00C50EE9"/>
    <w:rsid w:val="00C50FC5"/>
    <w:rsid w:val="00C5330F"/>
    <w:rsid w:val="00C53AC5"/>
    <w:rsid w:val="00C54837"/>
    <w:rsid w:val="00C54977"/>
    <w:rsid w:val="00C54A1A"/>
    <w:rsid w:val="00C557D4"/>
    <w:rsid w:val="00C55A6C"/>
    <w:rsid w:val="00C5617B"/>
    <w:rsid w:val="00C570D2"/>
    <w:rsid w:val="00C6025D"/>
    <w:rsid w:val="00C619D0"/>
    <w:rsid w:val="00C61B37"/>
    <w:rsid w:val="00C6348D"/>
    <w:rsid w:val="00C6354B"/>
    <w:rsid w:val="00C66388"/>
    <w:rsid w:val="00C6774D"/>
    <w:rsid w:val="00C7097C"/>
    <w:rsid w:val="00C70AD9"/>
    <w:rsid w:val="00C713C0"/>
    <w:rsid w:val="00C72374"/>
    <w:rsid w:val="00C73357"/>
    <w:rsid w:val="00C73EA2"/>
    <w:rsid w:val="00C77545"/>
    <w:rsid w:val="00C77A75"/>
    <w:rsid w:val="00C77CDA"/>
    <w:rsid w:val="00C81187"/>
    <w:rsid w:val="00C82339"/>
    <w:rsid w:val="00C82609"/>
    <w:rsid w:val="00C83F52"/>
    <w:rsid w:val="00C842EE"/>
    <w:rsid w:val="00C84D5A"/>
    <w:rsid w:val="00C851FC"/>
    <w:rsid w:val="00C86066"/>
    <w:rsid w:val="00C860DE"/>
    <w:rsid w:val="00C867FB"/>
    <w:rsid w:val="00C871AE"/>
    <w:rsid w:val="00C87EA8"/>
    <w:rsid w:val="00C87F8E"/>
    <w:rsid w:val="00C90227"/>
    <w:rsid w:val="00C915DE"/>
    <w:rsid w:val="00C929DD"/>
    <w:rsid w:val="00C92F70"/>
    <w:rsid w:val="00C93698"/>
    <w:rsid w:val="00C93BBB"/>
    <w:rsid w:val="00C96348"/>
    <w:rsid w:val="00C96940"/>
    <w:rsid w:val="00C97510"/>
    <w:rsid w:val="00CA0412"/>
    <w:rsid w:val="00CA15FE"/>
    <w:rsid w:val="00CA1F00"/>
    <w:rsid w:val="00CA2EE6"/>
    <w:rsid w:val="00CA33C7"/>
    <w:rsid w:val="00CA4863"/>
    <w:rsid w:val="00CA5F04"/>
    <w:rsid w:val="00CA61A0"/>
    <w:rsid w:val="00CB022F"/>
    <w:rsid w:val="00CB0237"/>
    <w:rsid w:val="00CB0320"/>
    <w:rsid w:val="00CB1A9C"/>
    <w:rsid w:val="00CB2536"/>
    <w:rsid w:val="00CB29CF"/>
    <w:rsid w:val="00CB462E"/>
    <w:rsid w:val="00CB49E9"/>
    <w:rsid w:val="00CB4BAA"/>
    <w:rsid w:val="00CB68CF"/>
    <w:rsid w:val="00CB73B1"/>
    <w:rsid w:val="00CB7E0B"/>
    <w:rsid w:val="00CC03DA"/>
    <w:rsid w:val="00CC15CC"/>
    <w:rsid w:val="00CC28F3"/>
    <w:rsid w:val="00CC312E"/>
    <w:rsid w:val="00CC3B51"/>
    <w:rsid w:val="00CC400E"/>
    <w:rsid w:val="00CC58DC"/>
    <w:rsid w:val="00CC5EE3"/>
    <w:rsid w:val="00CC66C2"/>
    <w:rsid w:val="00CC681A"/>
    <w:rsid w:val="00CC6CDA"/>
    <w:rsid w:val="00CC748A"/>
    <w:rsid w:val="00CC78BC"/>
    <w:rsid w:val="00CC78E0"/>
    <w:rsid w:val="00CC7BDE"/>
    <w:rsid w:val="00CC7D21"/>
    <w:rsid w:val="00CD11B6"/>
    <w:rsid w:val="00CD1384"/>
    <w:rsid w:val="00CD1603"/>
    <w:rsid w:val="00CD1F9D"/>
    <w:rsid w:val="00CD30A2"/>
    <w:rsid w:val="00CD34A9"/>
    <w:rsid w:val="00CD4EFE"/>
    <w:rsid w:val="00CD56E5"/>
    <w:rsid w:val="00CD60D8"/>
    <w:rsid w:val="00CD62F5"/>
    <w:rsid w:val="00CD63BC"/>
    <w:rsid w:val="00CE09B3"/>
    <w:rsid w:val="00CE0D6F"/>
    <w:rsid w:val="00CE0F9C"/>
    <w:rsid w:val="00CE1B1B"/>
    <w:rsid w:val="00CE28ED"/>
    <w:rsid w:val="00CE29DE"/>
    <w:rsid w:val="00CE2A36"/>
    <w:rsid w:val="00CE2CAC"/>
    <w:rsid w:val="00CE2F33"/>
    <w:rsid w:val="00CE3064"/>
    <w:rsid w:val="00CE5708"/>
    <w:rsid w:val="00CE5DB2"/>
    <w:rsid w:val="00CE5DF7"/>
    <w:rsid w:val="00CF0312"/>
    <w:rsid w:val="00CF0BBA"/>
    <w:rsid w:val="00CF0E76"/>
    <w:rsid w:val="00CF128C"/>
    <w:rsid w:val="00CF14F8"/>
    <w:rsid w:val="00CF198E"/>
    <w:rsid w:val="00CF1FEE"/>
    <w:rsid w:val="00CF2F46"/>
    <w:rsid w:val="00CF3028"/>
    <w:rsid w:val="00CF3896"/>
    <w:rsid w:val="00CF4D27"/>
    <w:rsid w:val="00CF60C2"/>
    <w:rsid w:val="00CF669B"/>
    <w:rsid w:val="00CF6C4D"/>
    <w:rsid w:val="00CF7201"/>
    <w:rsid w:val="00CF7CB1"/>
    <w:rsid w:val="00D0059B"/>
    <w:rsid w:val="00D01018"/>
    <w:rsid w:val="00D01174"/>
    <w:rsid w:val="00D02CEA"/>
    <w:rsid w:val="00D0459C"/>
    <w:rsid w:val="00D0475D"/>
    <w:rsid w:val="00D04910"/>
    <w:rsid w:val="00D04B01"/>
    <w:rsid w:val="00D04E5A"/>
    <w:rsid w:val="00D05889"/>
    <w:rsid w:val="00D076D5"/>
    <w:rsid w:val="00D100BF"/>
    <w:rsid w:val="00D12812"/>
    <w:rsid w:val="00D13013"/>
    <w:rsid w:val="00D148DA"/>
    <w:rsid w:val="00D15723"/>
    <w:rsid w:val="00D1795D"/>
    <w:rsid w:val="00D17F46"/>
    <w:rsid w:val="00D200A1"/>
    <w:rsid w:val="00D20A4B"/>
    <w:rsid w:val="00D2213B"/>
    <w:rsid w:val="00D227C2"/>
    <w:rsid w:val="00D228EF"/>
    <w:rsid w:val="00D245FB"/>
    <w:rsid w:val="00D254A5"/>
    <w:rsid w:val="00D2564A"/>
    <w:rsid w:val="00D300E9"/>
    <w:rsid w:val="00D3089A"/>
    <w:rsid w:val="00D33375"/>
    <w:rsid w:val="00D33FD5"/>
    <w:rsid w:val="00D341C8"/>
    <w:rsid w:val="00D352D9"/>
    <w:rsid w:val="00D35710"/>
    <w:rsid w:val="00D3646B"/>
    <w:rsid w:val="00D373E1"/>
    <w:rsid w:val="00D3753F"/>
    <w:rsid w:val="00D37A4B"/>
    <w:rsid w:val="00D41FA8"/>
    <w:rsid w:val="00D42125"/>
    <w:rsid w:val="00D42417"/>
    <w:rsid w:val="00D4297F"/>
    <w:rsid w:val="00D43438"/>
    <w:rsid w:val="00D446BB"/>
    <w:rsid w:val="00D46D94"/>
    <w:rsid w:val="00D4702B"/>
    <w:rsid w:val="00D4719E"/>
    <w:rsid w:val="00D51918"/>
    <w:rsid w:val="00D519EF"/>
    <w:rsid w:val="00D5257C"/>
    <w:rsid w:val="00D525AD"/>
    <w:rsid w:val="00D528DB"/>
    <w:rsid w:val="00D52B33"/>
    <w:rsid w:val="00D5320B"/>
    <w:rsid w:val="00D535BD"/>
    <w:rsid w:val="00D54541"/>
    <w:rsid w:val="00D558BC"/>
    <w:rsid w:val="00D55B8A"/>
    <w:rsid w:val="00D571DE"/>
    <w:rsid w:val="00D57DE9"/>
    <w:rsid w:val="00D60210"/>
    <w:rsid w:val="00D60388"/>
    <w:rsid w:val="00D603FC"/>
    <w:rsid w:val="00D60507"/>
    <w:rsid w:val="00D6099F"/>
    <w:rsid w:val="00D60F53"/>
    <w:rsid w:val="00D613EE"/>
    <w:rsid w:val="00D61B62"/>
    <w:rsid w:val="00D64255"/>
    <w:rsid w:val="00D65685"/>
    <w:rsid w:val="00D65FFD"/>
    <w:rsid w:val="00D66261"/>
    <w:rsid w:val="00D665AE"/>
    <w:rsid w:val="00D66655"/>
    <w:rsid w:val="00D66B88"/>
    <w:rsid w:val="00D66DEF"/>
    <w:rsid w:val="00D670A8"/>
    <w:rsid w:val="00D6795C"/>
    <w:rsid w:val="00D67BCB"/>
    <w:rsid w:val="00D7035E"/>
    <w:rsid w:val="00D70455"/>
    <w:rsid w:val="00D704CC"/>
    <w:rsid w:val="00D713CE"/>
    <w:rsid w:val="00D71774"/>
    <w:rsid w:val="00D71D84"/>
    <w:rsid w:val="00D71DFC"/>
    <w:rsid w:val="00D72641"/>
    <w:rsid w:val="00D726F8"/>
    <w:rsid w:val="00D72CA4"/>
    <w:rsid w:val="00D743E5"/>
    <w:rsid w:val="00D7447A"/>
    <w:rsid w:val="00D7545C"/>
    <w:rsid w:val="00D75794"/>
    <w:rsid w:val="00D7624B"/>
    <w:rsid w:val="00D76CF7"/>
    <w:rsid w:val="00D77071"/>
    <w:rsid w:val="00D77B69"/>
    <w:rsid w:val="00D77F76"/>
    <w:rsid w:val="00D803BD"/>
    <w:rsid w:val="00D80A7A"/>
    <w:rsid w:val="00D815E8"/>
    <w:rsid w:val="00D81A81"/>
    <w:rsid w:val="00D81E32"/>
    <w:rsid w:val="00D82746"/>
    <w:rsid w:val="00D83489"/>
    <w:rsid w:val="00D84706"/>
    <w:rsid w:val="00D84ABE"/>
    <w:rsid w:val="00D84C83"/>
    <w:rsid w:val="00D857EF"/>
    <w:rsid w:val="00D86306"/>
    <w:rsid w:val="00D86879"/>
    <w:rsid w:val="00D90238"/>
    <w:rsid w:val="00D907B3"/>
    <w:rsid w:val="00D91BC2"/>
    <w:rsid w:val="00D91CEF"/>
    <w:rsid w:val="00D9264A"/>
    <w:rsid w:val="00D9298B"/>
    <w:rsid w:val="00D93106"/>
    <w:rsid w:val="00D93259"/>
    <w:rsid w:val="00D93DB0"/>
    <w:rsid w:val="00D94892"/>
    <w:rsid w:val="00D94CD1"/>
    <w:rsid w:val="00D96C21"/>
    <w:rsid w:val="00D97501"/>
    <w:rsid w:val="00D97CA6"/>
    <w:rsid w:val="00DA0E06"/>
    <w:rsid w:val="00DA19BA"/>
    <w:rsid w:val="00DA1C69"/>
    <w:rsid w:val="00DA1D2B"/>
    <w:rsid w:val="00DA267F"/>
    <w:rsid w:val="00DA39D4"/>
    <w:rsid w:val="00DA3D15"/>
    <w:rsid w:val="00DA40F0"/>
    <w:rsid w:val="00DA4414"/>
    <w:rsid w:val="00DA5169"/>
    <w:rsid w:val="00DA5801"/>
    <w:rsid w:val="00DA6090"/>
    <w:rsid w:val="00DA61AC"/>
    <w:rsid w:val="00DA643C"/>
    <w:rsid w:val="00DA6CF2"/>
    <w:rsid w:val="00DA70E5"/>
    <w:rsid w:val="00DA7793"/>
    <w:rsid w:val="00DA7DCC"/>
    <w:rsid w:val="00DB15E2"/>
    <w:rsid w:val="00DB1809"/>
    <w:rsid w:val="00DB24C2"/>
    <w:rsid w:val="00DB4209"/>
    <w:rsid w:val="00DB52C6"/>
    <w:rsid w:val="00DB71BA"/>
    <w:rsid w:val="00DB739F"/>
    <w:rsid w:val="00DB7D72"/>
    <w:rsid w:val="00DB7E31"/>
    <w:rsid w:val="00DC08D5"/>
    <w:rsid w:val="00DC11D3"/>
    <w:rsid w:val="00DC1BD4"/>
    <w:rsid w:val="00DC1DC2"/>
    <w:rsid w:val="00DC3ED1"/>
    <w:rsid w:val="00DC4628"/>
    <w:rsid w:val="00DC56D0"/>
    <w:rsid w:val="00DC5D44"/>
    <w:rsid w:val="00DC63B0"/>
    <w:rsid w:val="00DC6BEA"/>
    <w:rsid w:val="00DC773F"/>
    <w:rsid w:val="00DD0251"/>
    <w:rsid w:val="00DD0384"/>
    <w:rsid w:val="00DD06D8"/>
    <w:rsid w:val="00DD0B0A"/>
    <w:rsid w:val="00DD12B3"/>
    <w:rsid w:val="00DD1995"/>
    <w:rsid w:val="00DD1A9F"/>
    <w:rsid w:val="00DD1AF7"/>
    <w:rsid w:val="00DD4073"/>
    <w:rsid w:val="00DD4661"/>
    <w:rsid w:val="00DD5C89"/>
    <w:rsid w:val="00DD62DE"/>
    <w:rsid w:val="00DD7880"/>
    <w:rsid w:val="00DD7A23"/>
    <w:rsid w:val="00DE0204"/>
    <w:rsid w:val="00DE0D99"/>
    <w:rsid w:val="00DE13FD"/>
    <w:rsid w:val="00DE1B52"/>
    <w:rsid w:val="00DE1D1B"/>
    <w:rsid w:val="00DE23F4"/>
    <w:rsid w:val="00DE2494"/>
    <w:rsid w:val="00DE283C"/>
    <w:rsid w:val="00DE3103"/>
    <w:rsid w:val="00DE4085"/>
    <w:rsid w:val="00DE49B0"/>
    <w:rsid w:val="00DE58C7"/>
    <w:rsid w:val="00DE5C38"/>
    <w:rsid w:val="00DE686A"/>
    <w:rsid w:val="00DF0354"/>
    <w:rsid w:val="00DF09F1"/>
    <w:rsid w:val="00DF27F0"/>
    <w:rsid w:val="00DF2C39"/>
    <w:rsid w:val="00DF2F7E"/>
    <w:rsid w:val="00DF5756"/>
    <w:rsid w:val="00DF57F1"/>
    <w:rsid w:val="00DF6BF3"/>
    <w:rsid w:val="00DF70D9"/>
    <w:rsid w:val="00DF7A41"/>
    <w:rsid w:val="00E00927"/>
    <w:rsid w:val="00E0098E"/>
    <w:rsid w:val="00E01DFC"/>
    <w:rsid w:val="00E0371E"/>
    <w:rsid w:val="00E03B56"/>
    <w:rsid w:val="00E0572B"/>
    <w:rsid w:val="00E06442"/>
    <w:rsid w:val="00E06672"/>
    <w:rsid w:val="00E1019A"/>
    <w:rsid w:val="00E10AB6"/>
    <w:rsid w:val="00E116DA"/>
    <w:rsid w:val="00E11A38"/>
    <w:rsid w:val="00E12626"/>
    <w:rsid w:val="00E127B8"/>
    <w:rsid w:val="00E12A70"/>
    <w:rsid w:val="00E13003"/>
    <w:rsid w:val="00E15351"/>
    <w:rsid w:val="00E1616B"/>
    <w:rsid w:val="00E16366"/>
    <w:rsid w:val="00E169C4"/>
    <w:rsid w:val="00E16AF8"/>
    <w:rsid w:val="00E16D1A"/>
    <w:rsid w:val="00E17450"/>
    <w:rsid w:val="00E2054C"/>
    <w:rsid w:val="00E2060D"/>
    <w:rsid w:val="00E22E91"/>
    <w:rsid w:val="00E23B8B"/>
    <w:rsid w:val="00E24C4B"/>
    <w:rsid w:val="00E25F39"/>
    <w:rsid w:val="00E25FFD"/>
    <w:rsid w:val="00E26D47"/>
    <w:rsid w:val="00E27695"/>
    <w:rsid w:val="00E279C3"/>
    <w:rsid w:val="00E27BE9"/>
    <w:rsid w:val="00E30474"/>
    <w:rsid w:val="00E30E94"/>
    <w:rsid w:val="00E315C8"/>
    <w:rsid w:val="00E3278B"/>
    <w:rsid w:val="00E33523"/>
    <w:rsid w:val="00E34868"/>
    <w:rsid w:val="00E352FD"/>
    <w:rsid w:val="00E3583D"/>
    <w:rsid w:val="00E35B7D"/>
    <w:rsid w:val="00E36433"/>
    <w:rsid w:val="00E368D6"/>
    <w:rsid w:val="00E37641"/>
    <w:rsid w:val="00E37B85"/>
    <w:rsid w:val="00E37CF7"/>
    <w:rsid w:val="00E403BF"/>
    <w:rsid w:val="00E4040B"/>
    <w:rsid w:val="00E40AFB"/>
    <w:rsid w:val="00E41819"/>
    <w:rsid w:val="00E41939"/>
    <w:rsid w:val="00E421F6"/>
    <w:rsid w:val="00E426D1"/>
    <w:rsid w:val="00E432BC"/>
    <w:rsid w:val="00E4352D"/>
    <w:rsid w:val="00E437F4"/>
    <w:rsid w:val="00E43802"/>
    <w:rsid w:val="00E43AA6"/>
    <w:rsid w:val="00E4401A"/>
    <w:rsid w:val="00E442A4"/>
    <w:rsid w:val="00E44643"/>
    <w:rsid w:val="00E44AE6"/>
    <w:rsid w:val="00E44F9D"/>
    <w:rsid w:val="00E452CE"/>
    <w:rsid w:val="00E46F66"/>
    <w:rsid w:val="00E47383"/>
    <w:rsid w:val="00E47423"/>
    <w:rsid w:val="00E51BBA"/>
    <w:rsid w:val="00E52126"/>
    <w:rsid w:val="00E52597"/>
    <w:rsid w:val="00E534EB"/>
    <w:rsid w:val="00E53A02"/>
    <w:rsid w:val="00E53C5D"/>
    <w:rsid w:val="00E5460E"/>
    <w:rsid w:val="00E546CF"/>
    <w:rsid w:val="00E548DC"/>
    <w:rsid w:val="00E54CB0"/>
    <w:rsid w:val="00E55327"/>
    <w:rsid w:val="00E557DC"/>
    <w:rsid w:val="00E563A4"/>
    <w:rsid w:val="00E5698C"/>
    <w:rsid w:val="00E5741B"/>
    <w:rsid w:val="00E57A43"/>
    <w:rsid w:val="00E603F6"/>
    <w:rsid w:val="00E60510"/>
    <w:rsid w:val="00E606B2"/>
    <w:rsid w:val="00E614E7"/>
    <w:rsid w:val="00E6196C"/>
    <w:rsid w:val="00E62A26"/>
    <w:rsid w:val="00E63ADA"/>
    <w:rsid w:val="00E63BDA"/>
    <w:rsid w:val="00E65299"/>
    <w:rsid w:val="00E661F0"/>
    <w:rsid w:val="00E67379"/>
    <w:rsid w:val="00E674D5"/>
    <w:rsid w:val="00E70ABD"/>
    <w:rsid w:val="00E724EC"/>
    <w:rsid w:val="00E730BC"/>
    <w:rsid w:val="00E757B4"/>
    <w:rsid w:val="00E75B60"/>
    <w:rsid w:val="00E75D84"/>
    <w:rsid w:val="00E779B7"/>
    <w:rsid w:val="00E77A50"/>
    <w:rsid w:val="00E8084A"/>
    <w:rsid w:val="00E810A3"/>
    <w:rsid w:val="00E812B2"/>
    <w:rsid w:val="00E81772"/>
    <w:rsid w:val="00E820FD"/>
    <w:rsid w:val="00E82168"/>
    <w:rsid w:val="00E84E10"/>
    <w:rsid w:val="00E85C67"/>
    <w:rsid w:val="00E87EA9"/>
    <w:rsid w:val="00E905D4"/>
    <w:rsid w:val="00E90774"/>
    <w:rsid w:val="00E91FD4"/>
    <w:rsid w:val="00E92A98"/>
    <w:rsid w:val="00E92EC6"/>
    <w:rsid w:val="00E937AD"/>
    <w:rsid w:val="00E94193"/>
    <w:rsid w:val="00E94338"/>
    <w:rsid w:val="00E948E4"/>
    <w:rsid w:val="00E94D94"/>
    <w:rsid w:val="00E94E2E"/>
    <w:rsid w:val="00E95E15"/>
    <w:rsid w:val="00E96345"/>
    <w:rsid w:val="00E96E76"/>
    <w:rsid w:val="00E973BF"/>
    <w:rsid w:val="00E97E45"/>
    <w:rsid w:val="00EA0C3D"/>
    <w:rsid w:val="00EA18BB"/>
    <w:rsid w:val="00EA18CA"/>
    <w:rsid w:val="00EA2F5B"/>
    <w:rsid w:val="00EA30F4"/>
    <w:rsid w:val="00EA369C"/>
    <w:rsid w:val="00EA3C99"/>
    <w:rsid w:val="00EA41E9"/>
    <w:rsid w:val="00EA52B6"/>
    <w:rsid w:val="00EA5B71"/>
    <w:rsid w:val="00EA63CF"/>
    <w:rsid w:val="00EA755E"/>
    <w:rsid w:val="00EA759E"/>
    <w:rsid w:val="00EB0163"/>
    <w:rsid w:val="00EB0939"/>
    <w:rsid w:val="00EB1562"/>
    <w:rsid w:val="00EB1C72"/>
    <w:rsid w:val="00EB252D"/>
    <w:rsid w:val="00EB29FF"/>
    <w:rsid w:val="00EB2A7D"/>
    <w:rsid w:val="00EB2D5B"/>
    <w:rsid w:val="00EB3649"/>
    <w:rsid w:val="00EB3985"/>
    <w:rsid w:val="00EB3AF1"/>
    <w:rsid w:val="00EB4A80"/>
    <w:rsid w:val="00EB770D"/>
    <w:rsid w:val="00EB7D33"/>
    <w:rsid w:val="00EC00A3"/>
    <w:rsid w:val="00EC0443"/>
    <w:rsid w:val="00EC054C"/>
    <w:rsid w:val="00EC0798"/>
    <w:rsid w:val="00EC1282"/>
    <w:rsid w:val="00EC17A9"/>
    <w:rsid w:val="00EC1D6A"/>
    <w:rsid w:val="00EC298B"/>
    <w:rsid w:val="00EC35EA"/>
    <w:rsid w:val="00EC6954"/>
    <w:rsid w:val="00EC6AE7"/>
    <w:rsid w:val="00EC6E59"/>
    <w:rsid w:val="00ED078D"/>
    <w:rsid w:val="00ED0BEA"/>
    <w:rsid w:val="00ED1B44"/>
    <w:rsid w:val="00ED1D9C"/>
    <w:rsid w:val="00ED240A"/>
    <w:rsid w:val="00ED28F2"/>
    <w:rsid w:val="00ED2F0D"/>
    <w:rsid w:val="00ED3465"/>
    <w:rsid w:val="00ED39F3"/>
    <w:rsid w:val="00ED3E7D"/>
    <w:rsid w:val="00ED5039"/>
    <w:rsid w:val="00EE0069"/>
    <w:rsid w:val="00EE01AC"/>
    <w:rsid w:val="00EE15BC"/>
    <w:rsid w:val="00EE2AF3"/>
    <w:rsid w:val="00EE3E96"/>
    <w:rsid w:val="00EE4C61"/>
    <w:rsid w:val="00EE4F69"/>
    <w:rsid w:val="00EE50D2"/>
    <w:rsid w:val="00EE574A"/>
    <w:rsid w:val="00EE59C2"/>
    <w:rsid w:val="00EE639C"/>
    <w:rsid w:val="00EE76C5"/>
    <w:rsid w:val="00EE76DB"/>
    <w:rsid w:val="00EF249A"/>
    <w:rsid w:val="00EF2FA8"/>
    <w:rsid w:val="00EF347D"/>
    <w:rsid w:val="00EF3E6A"/>
    <w:rsid w:val="00EF415A"/>
    <w:rsid w:val="00EF46A2"/>
    <w:rsid w:val="00EF5820"/>
    <w:rsid w:val="00EF6C44"/>
    <w:rsid w:val="00F00259"/>
    <w:rsid w:val="00F00653"/>
    <w:rsid w:val="00F01348"/>
    <w:rsid w:val="00F01F41"/>
    <w:rsid w:val="00F026D5"/>
    <w:rsid w:val="00F028D8"/>
    <w:rsid w:val="00F02BFD"/>
    <w:rsid w:val="00F030C8"/>
    <w:rsid w:val="00F05414"/>
    <w:rsid w:val="00F05D6B"/>
    <w:rsid w:val="00F0633E"/>
    <w:rsid w:val="00F06527"/>
    <w:rsid w:val="00F07336"/>
    <w:rsid w:val="00F07512"/>
    <w:rsid w:val="00F07654"/>
    <w:rsid w:val="00F10753"/>
    <w:rsid w:val="00F10FA6"/>
    <w:rsid w:val="00F14AE2"/>
    <w:rsid w:val="00F1599B"/>
    <w:rsid w:val="00F15ACC"/>
    <w:rsid w:val="00F15B96"/>
    <w:rsid w:val="00F15D18"/>
    <w:rsid w:val="00F17794"/>
    <w:rsid w:val="00F178A6"/>
    <w:rsid w:val="00F17F14"/>
    <w:rsid w:val="00F20AEF"/>
    <w:rsid w:val="00F20F37"/>
    <w:rsid w:val="00F22A97"/>
    <w:rsid w:val="00F23533"/>
    <w:rsid w:val="00F23733"/>
    <w:rsid w:val="00F23C61"/>
    <w:rsid w:val="00F23E7C"/>
    <w:rsid w:val="00F26E4E"/>
    <w:rsid w:val="00F27116"/>
    <w:rsid w:val="00F27614"/>
    <w:rsid w:val="00F305A7"/>
    <w:rsid w:val="00F312DB"/>
    <w:rsid w:val="00F31DC7"/>
    <w:rsid w:val="00F32212"/>
    <w:rsid w:val="00F326B3"/>
    <w:rsid w:val="00F35262"/>
    <w:rsid w:val="00F35A44"/>
    <w:rsid w:val="00F35D1E"/>
    <w:rsid w:val="00F36057"/>
    <w:rsid w:val="00F36940"/>
    <w:rsid w:val="00F4115C"/>
    <w:rsid w:val="00F411CB"/>
    <w:rsid w:val="00F4305C"/>
    <w:rsid w:val="00F43A57"/>
    <w:rsid w:val="00F443C6"/>
    <w:rsid w:val="00F45742"/>
    <w:rsid w:val="00F4744B"/>
    <w:rsid w:val="00F4755B"/>
    <w:rsid w:val="00F477F7"/>
    <w:rsid w:val="00F5031E"/>
    <w:rsid w:val="00F507F6"/>
    <w:rsid w:val="00F519B5"/>
    <w:rsid w:val="00F51A73"/>
    <w:rsid w:val="00F54087"/>
    <w:rsid w:val="00F546DE"/>
    <w:rsid w:val="00F55F14"/>
    <w:rsid w:val="00F56124"/>
    <w:rsid w:val="00F56218"/>
    <w:rsid w:val="00F56824"/>
    <w:rsid w:val="00F56F54"/>
    <w:rsid w:val="00F570E0"/>
    <w:rsid w:val="00F57BC2"/>
    <w:rsid w:val="00F60765"/>
    <w:rsid w:val="00F61AC4"/>
    <w:rsid w:val="00F61D45"/>
    <w:rsid w:val="00F62DE4"/>
    <w:rsid w:val="00F62E54"/>
    <w:rsid w:val="00F63187"/>
    <w:rsid w:val="00F63FAF"/>
    <w:rsid w:val="00F64EFC"/>
    <w:rsid w:val="00F65818"/>
    <w:rsid w:val="00F674D4"/>
    <w:rsid w:val="00F67BD0"/>
    <w:rsid w:val="00F67CC4"/>
    <w:rsid w:val="00F702F5"/>
    <w:rsid w:val="00F7052B"/>
    <w:rsid w:val="00F7632B"/>
    <w:rsid w:val="00F766DE"/>
    <w:rsid w:val="00F767AC"/>
    <w:rsid w:val="00F76E06"/>
    <w:rsid w:val="00F80CA5"/>
    <w:rsid w:val="00F80D93"/>
    <w:rsid w:val="00F80F6C"/>
    <w:rsid w:val="00F8107B"/>
    <w:rsid w:val="00F8269D"/>
    <w:rsid w:val="00F82BCE"/>
    <w:rsid w:val="00F8308B"/>
    <w:rsid w:val="00F832CF"/>
    <w:rsid w:val="00F832F1"/>
    <w:rsid w:val="00F833A0"/>
    <w:rsid w:val="00F84248"/>
    <w:rsid w:val="00F842B5"/>
    <w:rsid w:val="00F850A7"/>
    <w:rsid w:val="00F854FE"/>
    <w:rsid w:val="00F85F80"/>
    <w:rsid w:val="00F86755"/>
    <w:rsid w:val="00F868A2"/>
    <w:rsid w:val="00F86D0C"/>
    <w:rsid w:val="00F8793E"/>
    <w:rsid w:val="00F90911"/>
    <w:rsid w:val="00F90A7B"/>
    <w:rsid w:val="00F91587"/>
    <w:rsid w:val="00F91EB8"/>
    <w:rsid w:val="00F92700"/>
    <w:rsid w:val="00F9324B"/>
    <w:rsid w:val="00F93CF4"/>
    <w:rsid w:val="00F943AD"/>
    <w:rsid w:val="00F94900"/>
    <w:rsid w:val="00F95373"/>
    <w:rsid w:val="00F960C4"/>
    <w:rsid w:val="00F96207"/>
    <w:rsid w:val="00F9636C"/>
    <w:rsid w:val="00F9665A"/>
    <w:rsid w:val="00F97372"/>
    <w:rsid w:val="00F978B8"/>
    <w:rsid w:val="00F97F7D"/>
    <w:rsid w:val="00FA03F2"/>
    <w:rsid w:val="00FA0F32"/>
    <w:rsid w:val="00FA1A86"/>
    <w:rsid w:val="00FA2369"/>
    <w:rsid w:val="00FA252C"/>
    <w:rsid w:val="00FA2FE1"/>
    <w:rsid w:val="00FA37DD"/>
    <w:rsid w:val="00FA5256"/>
    <w:rsid w:val="00FA7479"/>
    <w:rsid w:val="00FB0501"/>
    <w:rsid w:val="00FB19AF"/>
    <w:rsid w:val="00FB1E3A"/>
    <w:rsid w:val="00FB27A2"/>
    <w:rsid w:val="00FB3797"/>
    <w:rsid w:val="00FB3D8C"/>
    <w:rsid w:val="00FB41E1"/>
    <w:rsid w:val="00FB6150"/>
    <w:rsid w:val="00FB64A8"/>
    <w:rsid w:val="00FB7646"/>
    <w:rsid w:val="00FB7807"/>
    <w:rsid w:val="00FB7AB0"/>
    <w:rsid w:val="00FC0EF5"/>
    <w:rsid w:val="00FC26B5"/>
    <w:rsid w:val="00FC4118"/>
    <w:rsid w:val="00FC5234"/>
    <w:rsid w:val="00FC54F6"/>
    <w:rsid w:val="00FC5505"/>
    <w:rsid w:val="00FC592E"/>
    <w:rsid w:val="00FC5EA6"/>
    <w:rsid w:val="00FC5EF5"/>
    <w:rsid w:val="00FC6836"/>
    <w:rsid w:val="00FC6BFD"/>
    <w:rsid w:val="00FC6F1A"/>
    <w:rsid w:val="00FD0355"/>
    <w:rsid w:val="00FD14C0"/>
    <w:rsid w:val="00FD1B1E"/>
    <w:rsid w:val="00FD1FE5"/>
    <w:rsid w:val="00FD302A"/>
    <w:rsid w:val="00FD389E"/>
    <w:rsid w:val="00FD48F4"/>
    <w:rsid w:val="00FD65F1"/>
    <w:rsid w:val="00FD71D3"/>
    <w:rsid w:val="00FD7B21"/>
    <w:rsid w:val="00FE05D3"/>
    <w:rsid w:val="00FE09E0"/>
    <w:rsid w:val="00FE12A3"/>
    <w:rsid w:val="00FE1B20"/>
    <w:rsid w:val="00FE21EF"/>
    <w:rsid w:val="00FE37C1"/>
    <w:rsid w:val="00FE397E"/>
    <w:rsid w:val="00FE3A05"/>
    <w:rsid w:val="00FE41E0"/>
    <w:rsid w:val="00FE4778"/>
    <w:rsid w:val="00FE4809"/>
    <w:rsid w:val="00FE4AC5"/>
    <w:rsid w:val="00FE4EE1"/>
    <w:rsid w:val="00FE5843"/>
    <w:rsid w:val="00FE6859"/>
    <w:rsid w:val="00FE6B1F"/>
    <w:rsid w:val="00FE6C29"/>
    <w:rsid w:val="00FE7C15"/>
    <w:rsid w:val="00FE7D9F"/>
    <w:rsid w:val="00FF00F2"/>
    <w:rsid w:val="00FF07E5"/>
    <w:rsid w:val="00FF2937"/>
    <w:rsid w:val="00FF2A1A"/>
    <w:rsid w:val="00FF2D4B"/>
    <w:rsid w:val="00FF43D4"/>
    <w:rsid w:val="00FF4E35"/>
    <w:rsid w:val="00FF5B04"/>
    <w:rsid w:val="00FF704D"/>
    <w:rsid w:val="00FF7335"/>
    <w:rsid w:val="00FF7E68"/>
    <w:rsid w:val="010D3CD8"/>
    <w:rsid w:val="02C884A8"/>
    <w:rsid w:val="04C9D955"/>
    <w:rsid w:val="051AD01E"/>
    <w:rsid w:val="06014915"/>
    <w:rsid w:val="060FE429"/>
    <w:rsid w:val="06325FF0"/>
    <w:rsid w:val="06A6DF1D"/>
    <w:rsid w:val="06C2F044"/>
    <w:rsid w:val="07E61603"/>
    <w:rsid w:val="08158E83"/>
    <w:rsid w:val="08E3D9D1"/>
    <w:rsid w:val="08FAE113"/>
    <w:rsid w:val="09A57574"/>
    <w:rsid w:val="0A1E1E08"/>
    <w:rsid w:val="0A3D6F29"/>
    <w:rsid w:val="0A5CB117"/>
    <w:rsid w:val="0A88B12B"/>
    <w:rsid w:val="0AC12D76"/>
    <w:rsid w:val="0AEB4B7F"/>
    <w:rsid w:val="0C5FB5A2"/>
    <w:rsid w:val="0CAF5DDA"/>
    <w:rsid w:val="0DDFF6B2"/>
    <w:rsid w:val="0E7CE50C"/>
    <w:rsid w:val="0F86BCD6"/>
    <w:rsid w:val="1030A9DC"/>
    <w:rsid w:val="10D2E602"/>
    <w:rsid w:val="11483A59"/>
    <w:rsid w:val="11C2F609"/>
    <w:rsid w:val="11D0EAB0"/>
    <w:rsid w:val="12071E8B"/>
    <w:rsid w:val="1213715D"/>
    <w:rsid w:val="125A7934"/>
    <w:rsid w:val="128B92C3"/>
    <w:rsid w:val="12C5B20A"/>
    <w:rsid w:val="13AE41F7"/>
    <w:rsid w:val="14983EE2"/>
    <w:rsid w:val="1772B11D"/>
    <w:rsid w:val="17897ED7"/>
    <w:rsid w:val="17E01E46"/>
    <w:rsid w:val="18190EA7"/>
    <w:rsid w:val="18365EE2"/>
    <w:rsid w:val="194887DE"/>
    <w:rsid w:val="19534967"/>
    <w:rsid w:val="199D294D"/>
    <w:rsid w:val="19A6A5B1"/>
    <w:rsid w:val="19B86B3D"/>
    <w:rsid w:val="1A4C3C97"/>
    <w:rsid w:val="1A8B5C44"/>
    <w:rsid w:val="1B37CD9C"/>
    <w:rsid w:val="1B826A1C"/>
    <w:rsid w:val="1D19E284"/>
    <w:rsid w:val="1D34E5A9"/>
    <w:rsid w:val="1DF9E78C"/>
    <w:rsid w:val="1E2C89DD"/>
    <w:rsid w:val="1E343207"/>
    <w:rsid w:val="1F0ACDF2"/>
    <w:rsid w:val="1F4811E6"/>
    <w:rsid w:val="1F57A0A9"/>
    <w:rsid w:val="2031D4B3"/>
    <w:rsid w:val="20493CD7"/>
    <w:rsid w:val="205B3BB5"/>
    <w:rsid w:val="2076C802"/>
    <w:rsid w:val="208D508E"/>
    <w:rsid w:val="212FE6F3"/>
    <w:rsid w:val="2150FD44"/>
    <w:rsid w:val="224230D5"/>
    <w:rsid w:val="22F8195D"/>
    <w:rsid w:val="22F88BE4"/>
    <w:rsid w:val="237DF2AB"/>
    <w:rsid w:val="23DD9144"/>
    <w:rsid w:val="241AD32C"/>
    <w:rsid w:val="244B2928"/>
    <w:rsid w:val="246B23D5"/>
    <w:rsid w:val="24E99ECD"/>
    <w:rsid w:val="2514EC47"/>
    <w:rsid w:val="25B1C6B7"/>
    <w:rsid w:val="25F595CB"/>
    <w:rsid w:val="26FEF885"/>
    <w:rsid w:val="2890C06B"/>
    <w:rsid w:val="28E41785"/>
    <w:rsid w:val="29242653"/>
    <w:rsid w:val="2A0864F6"/>
    <w:rsid w:val="2A9DE3E3"/>
    <w:rsid w:val="2B12FA3D"/>
    <w:rsid w:val="2B19C741"/>
    <w:rsid w:val="2BFDD249"/>
    <w:rsid w:val="2C744537"/>
    <w:rsid w:val="2F1901A8"/>
    <w:rsid w:val="2FCAA7B7"/>
    <w:rsid w:val="2FF9AA57"/>
    <w:rsid w:val="3025EDDC"/>
    <w:rsid w:val="3073582D"/>
    <w:rsid w:val="30A598C5"/>
    <w:rsid w:val="30B2AADB"/>
    <w:rsid w:val="31274150"/>
    <w:rsid w:val="31E95EC7"/>
    <w:rsid w:val="32664CFE"/>
    <w:rsid w:val="330B9A1B"/>
    <w:rsid w:val="33A05415"/>
    <w:rsid w:val="344B93F6"/>
    <w:rsid w:val="3460C6AB"/>
    <w:rsid w:val="34A628A6"/>
    <w:rsid w:val="34ACA439"/>
    <w:rsid w:val="360BC9A3"/>
    <w:rsid w:val="369149A4"/>
    <w:rsid w:val="36B20666"/>
    <w:rsid w:val="3827819C"/>
    <w:rsid w:val="39AC3976"/>
    <w:rsid w:val="3A8AF007"/>
    <w:rsid w:val="3AE5FA7C"/>
    <w:rsid w:val="3B725C19"/>
    <w:rsid w:val="3C647016"/>
    <w:rsid w:val="3D7BD254"/>
    <w:rsid w:val="3D9F30F3"/>
    <w:rsid w:val="3DAFF8EC"/>
    <w:rsid w:val="3F65DEBC"/>
    <w:rsid w:val="4005C4E7"/>
    <w:rsid w:val="408ADF52"/>
    <w:rsid w:val="426B7697"/>
    <w:rsid w:val="42B3CB10"/>
    <w:rsid w:val="433F38E9"/>
    <w:rsid w:val="43C738CF"/>
    <w:rsid w:val="43EFE93C"/>
    <w:rsid w:val="440B2DEF"/>
    <w:rsid w:val="44431F89"/>
    <w:rsid w:val="4455514C"/>
    <w:rsid w:val="445F822F"/>
    <w:rsid w:val="446B6295"/>
    <w:rsid w:val="44820045"/>
    <w:rsid w:val="4646CD91"/>
    <w:rsid w:val="47EFBEA8"/>
    <w:rsid w:val="484865C1"/>
    <w:rsid w:val="4855DC8F"/>
    <w:rsid w:val="49DE9696"/>
    <w:rsid w:val="49DEE612"/>
    <w:rsid w:val="4A4B8F1F"/>
    <w:rsid w:val="4A8F0F7B"/>
    <w:rsid w:val="4ADC9E42"/>
    <w:rsid w:val="4B2E0215"/>
    <w:rsid w:val="4BB80593"/>
    <w:rsid w:val="4C4A3249"/>
    <w:rsid w:val="4C967F52"/>
    <w:rsid w:val="4CA4225B"/>
    <w:rsid w:val="4D8D872E"/>
    <w:rsid w:val="4E22C603"/>
    <w:rsid w:val="4EFB8A98"/>
    <w:rsid w:val="4F056081"/>
    <w:rsid w:val="50DB08DD"/>
    <w:rsid w:val="50E642E0"/>
    <w:rsid w:val="510908BA"/>
    <w:rsid w:val="51397E97"/>
    <w:rsid w:val="51492A42"/>
    <w:rsid w:val="51D97C5E"/>
    <w:rsid w:val="51E6B5B4"/>
    <w:rsid w:val="52593A43"/>
    <w:rsid w:val="52C66CDD"/>
    <w:rsid w:val="53955452"/>
    <w:rsid w:val="54CC49CB"/>
    <w:rsid w:val="55678E36"/>
    <w:rsid w:val="558228DC"/>
    <w:rsid w:val="57565AD4"/>
    <w:rsid w:val="57E4DBC1"/>
    <w:rsid w:val="58384CF0"/>
    <w:rsid w:val="58476CA1"/>
    <w:rsid w:val="58A88B49"/>
    <w:rsid w:val="58F6BEA3"/>
    <w:rsid w:val="5956E5F0"/>
    <w:rsid w:val="59EA1F4E"/>
    <w:rsid w:val="5AF1E38D"/>
    <w:rsid w:val="5D8B1169"/>
    <w:rsid w:val="5DACB520"/>
    <w:rsid w:val="5ED26429"/>
    <w:rsid w:val="5F61FB5B"/>
    <w:rsid w:val="5FA2CB86"/>
    <w:rsid w:val="5FB99092"/>
    <w:rsid w:val="5FC73351"/>
    <w:rsid w:val="61589D7A"/>
    <w:rsid w:val="615E2B7C"/>
    <w:rsid w:val="618D5ECE"/>
    <w:rsid w:val="62E7CE11"/>
    <w:rsid w:val="62FF9A7E"/>
    <w:rsid w:val="631FAF46"/>
    <w:rsid w:val="6333AB89"/>
    <w:rsid w:val="6386DFA8"/>
    <w:rsid w:val="63E06CCD"/>
    <w:rsid w:val="64DB54F8"/>
    <w:rsid w:val="655A39DD"/>
    <w:rsid w:val="655DA192"/>
    <w:rsid w:val="65EF8316"/>
    <w:rsid w:val="6688B41B"/>
    <w:rsid w:val="66917ED4"/>
    <w:rsid w:val="66EB0783"/>
    <w:rsid w:val="6725705B"/>
    <w:rsid w:val="6745B270"/>
    <w:rsid w:val="6786A787"/>
    <w:rsid w:val="67942504"/>
    <w:rsid w:val="67A8A472"/>
    <w:rsid w:val="67AD9625"/>
    <w:rsid w:val="6836A56B"/>
    <w:rsid w:val="684C62A0"/>
    <w:rsid w:val="6A041C24"/>
    <w:rsid w:val="6ACFCC23"/>
    <w:rsid w:val="6B0BC1DE"/>
    <w:rsid w:val="6BE69019"/>
    <w:rsid w:val="6BF3478F"/>
    <w:rsid w:val="6C079975"/>
    <w:rsid w:val="6C85A74B"/>
    <w:rsid w:val="6CABC83A"/>
    <w:rsid w:val="70A613A0"/>
    <w:rsid w:val="71A5ECB1"/>
    <w:rsid w:val="73A39E1E"/>
    <w:rsid w:val="742996B5"/>
    <w:rsid w:val="74755048"/>
    <w:rsid w:val="74A0AAFC"/>
    <w:rsid w:val="77576BC8"/>
    <w:rsid w:val="795AFFD9"/>
    <w:rsid w:val="79F06F81"/>
    <w:rsid w:val="7A0BD780"/>
    <w:rsid w:val="7A10352B"/>
    <w:rsid w:val="7A97E68B"/>
    <w:rsid w:val="7AF46F3C"/>
    <w:rsid w:val="7C6ADE3F"/>
    <w:rsid w:val="7CBB917A"/>
    <w:rsid w:val="7D8FF6F1"/>
    <w:rsid w:val="7DC20FE1"/>
    <w:rsid w:val="7DFBB722"/>
    <w:rsid w:val="7E34DCE0"/>
    <w:rsid w:val="7E709429"/>
    <w:rsid w:val="7EBD7ADF"/>
    <w:rsid w:val="7ED408C7"/>
    <w:rsid w:val="7FEE30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03E0F628"/>
  <w15:docId w15:val="{802F6C74-914D-4776-BD43-947819DA2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75B60"/>
    <w:pPr>
      <w:widowControl w:val="0"/>
      <w:overflowPunct w:val="0"/>
      <w:autoSpaceDE w:val="0"/>
      <w:autoSpaceDN w:val="0"/>
      <w:adjustRightInd w:val="0"/>
      <w:textAlignment w:val="baseline"/>
    </w:pPr>
    <w:rPr>
      <w:sz w:val="24"/>
    </w:rPr>
  </w:style>
  <w:style w:type="paragraph" w:styleId="Heading1">
    <w:name w:val="heading 1"/>
    <w:basedOn w:val="Normal"/>
    <w:next w:val="Normal"/>
    <w:qFormat/>
    <w:rsid w:val="00E973BF"/>
    <w:pPr>
      <w:keepNext/>
      <w:tabs>
        <w:tab w:val="center" w:pos="4680"/>
      </w:tabs>
      <w:suppressAutoHyphens/>
      <w:outlineLvl w:val="0"/>
    </w:pPr>
    <w:rPr>
      <w:b/>
    </w:rPr>
  </w:style>
  <w:style w:type="paragraph" w:styleId="Heading2">
    <w:name w:val="heading 2"/>
    <w:basedOn w:val="Normal"/>
    <w:next w:val="Normal"/>
    <w:qFormat/>
    <w:rsid w:val="00E973BF"/>
    <w:pPr>
      <w:keepNext/>
      <w:tabs>
        <w:tab w:val="center" w:pos="4680"/>
      </w:tabs>
      <w:suppressAutoHyphens/>
      <w:jc w:val="center"/>
      <w:outlineLvl w:val="1"/>
    </w:pPr>
    <w:rPr>
      <w:b/>
    </w:rPr>
  </w:style>
  <w:style w:type="paragraph" w:styleId="Heading4">
    <w:name w:val="heading 4"/>
    <w:basedOn w:val="Normal"/>
    <w:next w:val="Normal"/>
    <w:link w:val="Heading4Char"/>
    <w:semiHidden/>
    <w:unhideWhenUsed/>
    <w:qFormat/>
    <w:rsid w:val="00DA643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E973BF"/>
  </w:style>
  <w:style w:type="character" w:styleId="EndnoteReference">
    <w:name w:val="endnote reference"/>
    <w:basedOn w:val="DefaultParagraphFont"/>
    <w:semiHidden/>
    <w:rsid w:val="00E973BF"/>
    <w:rPr>
      <w:vertAlign w:val="superscript"/>
    </w:rPr>
  </w:style>
  <w:style w:type="paragraph" w:styleId="FootnoteText">
    <w:name w:val="footnote text"/>
    <w:basedOn w:val="Normal"/>
    <w:semiHidden/>
    <w:rsid w:val="00E973BF"/>
  </w:style>
  <w:style w:type="character" w:styleId="FootnoteReference">
    <w:name w:val="footnote reference"/>
    <w:basedOn w:val="DefaultParagraphFont"/>
    <w:semiHidden/>
    <w:rsid w:val="00E973BF"/>
    <w:rPr>
      <w:vertAlign w:val="superscript"/>
    </w:rPr>
  </w:style>
  <w:style w:type="paragraph" w:styleId="TOC1">
    <w:name w:val="toc 1"/>
    <w:basedOn w:val="Normal"/>
    <w:next w:val="Normal"/>
    <w:uiPriority w:val="39"/>
    <w:rsid w:val="00905A5F"/>
    <w:pPr>
      <w:tabs>
        <w:tab w:val="right" w:leader="dot" w:pos="9350"/>
      </w:tabs>
      <w:spacing w:before="120" w:after="120"/>
    </w:pPr>
    <w:rPr>
      <w:b/>
      <w:bCs/>
      <w:caps/>
      <w:noProof/>
      <w:sz w:val="20"/>
    </w:rPr>
  </w:style>
  <w:style w:type="paragraph" w:styleId="TOC2">
    <w:name w:val="toc 2"/>
    <w:basedOn w:val="Normal"/>
    <w:next w:val="Normal"/>
    <w:semiHidden/>
    <w:rsid w:val="00E973BF"/>
    <w:pPr>
      <w:ind w:left="240"/>
    </w:pPr>
    <w:rPr>
      <w:rFonts w:asciiTheme="minorHAnsi" w:hAnsiTheme="minorHAnsi"/>
      <w:smallCaps/>
      <w:sz w:val="20"/>
    </w:rPr>
  </w:style>
  <w:style w:type="paragraph" w:styleId="TOC3">
    <w:name w:val="toc 3"/>
    <w:basedOn w:val="Normal"/>
    <w:next w:val="Normal"/>
    <w:semiHidden/>
    <w:rsid w:val="00E973BF"/>
    <w:pPr>
      <w:ind w:left="480"/>
    </w:pPr>
    <w:rPr>
      <w:rFonts w:asciiTheme="minorHAnsi" w:hAnsiTheme="minorHAnsi"/>
      <w:i/>
      <w:iCs/>
      <w:sz w:val="20"/>
    </w:rPr>
  </w:style>
  <w:style w:type="paragraph" w:styleId="TOC4">
    <w:name w:val="toc 4"/>
    <w:basedOn w:val="Normal"/>
    <w:next w:val="Normal"/>
    <w:semiHidden/>
    <w:rsid w:val="00E973BF"/>
    <w:pPr>
      <w:ind w:left="720"/>
    </w:pPr>
    <w:rPr>
      <w:rFonts w:asciiTheme="minorHAnsi" w:hAnsiTheme="minorHAnsi"/>
      <w:sz w:val="18"/>
      <w:szCs w:val="18"/>
    </w:rPr>
  </w:style>
  <w:style w:type="paragraph" w:styleId="TOC5">
    <w:name w:val="toc 5"/>
    <w:basedOn w:val="Normal"/>
    <w:next w:val="Normal"/>
    <w:semiHidden/>
    <w:rsid w:val="00E973BF"/>
    <w:pPr>
      <w:ind w:left="960"/>
    </w:pPr>
    <w:rPr>
      <w:rFonts w:asciiTheme="minorHAnsi" w:hAnsiTheme="minorHAnsi"/>
      <w:sz w:val="18"/>
      <w:szCs w:val="18"/>
    </w:rPr>
  </w:style>
  <w:style w:type="paragraph" w:styleId="TOC6">
    <w:name w:val="toc 6"/>
    <w:basedOn w:val="Normal"/>
    <w:next w:val="Normal"/>
    <w:semiHidden/>
    <w:rsid w:val="00E973BF"/>
    <w:pPr>
      <w:ind w:left="1200"/>
    </w:pPr>
    <w:rPr>
      <w:rFonts w:asciiTheme="minorHAnsi" w:hAnsiTheme="minorHAnsi"/>
      <w:sz w:val="18"/>
      <w:szCs w:val="18"/>
    </w:rPr>
  </w:style>
  <w:style w:type="paragraph" w:styleId="TOC7">
    <w:name w:val="toc 7"/>
    <w:basedOn w:val="Normal"/>
    <w:next w:val="Normal"/>
    <w:semiHidden/>
    <w:rsid w:val="00E973BF"/>
    <w:pPr>
      <w:ind w:left="1440"/>
    </w:pPr>
    <w:rPr>
      <w:rFonts w:asciiTheme="minorHAnsi" w:hAnsiTheme="minorHAnsi"/>
      <w:sz w:val="18"/>
      <w:szCs w:val="18"/>
    </w:rPr>
  </w:style>
  <w:style w:type="paragraph" w:styleId="TOC8">
    <w:name w:val="toc 8"/>
    <w:basedOn w:val="Normal"/>
    <w:next w:val="Normal"/>
    <w:semiHidden/>
    <w:rsid w:val="00E973BF"/>
    <w:pPr>
      <w:ind w:left="1680"/>
    </w:pPr>
    <w:rPr>
      <w:rFonts w:asciiTheme="minorHAnsi" w:hAnsiTheme="minorHAnsi"/>
      <w:sz w:val="18"/>
      <w:szCs w:val="18"/>
    </w:rPr>
  </w:style>
  <w:style w:type="paragraph" w:styleId="TOC9">
    <w:name w:val="toc 9"/>
    <w:basedOn w:val="Normal"/>
    <w:next w:val="Normal"/>
    <w:semiHidden/>
    <w:rsid w:val="00E973BF"/>
    <w:pPr>
      <w:ind w:left="1920"/>
    </w:pPr>
    <w:rPr>
      <w:rFonts w:asciiTheme="minorHAnsi" w:hAnsiTheme="minorHAnsi"/>
      <w:sz w:val="18"/>
      <w:szCs w:val="18"/>
    </w:rPr>
  </w:style>
  <w:style w:type="paragraph" w:styleId="Index1">
    <w:name w:val="index 1"/>
    <w:basedOn w:val="Normal"/>
    <w:next w:val="Normal"/>
    <w:semiHidden/>
    <w:rsid w:val="00E973BF"/>
    <w:pPr>
      <w:tabs>
        <w:tab w:val="right" w:leader="dot" w:pos="9360"/>
      </w:tabs>
      <w:suppressAutoHyphens/>
      <w:ind w:left="1440" w:right="720" w:hanging="1440"/>
    </w:pPr>
  </w:style>
  <w:style w:type="paragraph" w:styleId="Index2">
    <w:name w:val="index 2"/>
    <w:basedOn w:val="Normal"/>
    <w:next w:val="Normal"/>
    <w:semiHidden/>
    <w:rsid w:val="00E973BF"/>
    <w:pPr>
      <w:tabs>
        <w:tab w:val="right" w:leader="dot" w:pos="9360"/>
      </w:tabs>
      <w:suppressAutoHyphens/>
      <w:ind w:left="1440" w:right="720" w:hanging="720"/>
    </w:pPr>
  </w:style>
  <w:style w:type="paragraph" w:styleId="TOAHeading">
    <w:name w:val="toa heading"/>
    <w:basedOn w:val="Normal"/>
    <w:next w:val="Normal"/>
    <w:semiHidden/>
    <w:rsid w:val="00E973BF"/>
    <w:pPr>
      <w:tabs>
        <w:tab w:val="right" w:pos="9360"/>
      </w:tabs>
      <w:suppressAutoHyphens/>
    </w:pPr>
  </w:style>
  <w:style w:type="paragraph" w:styleId="Caption">
    <w:name w:val="caption"/>
    <w:basedOn w:val="Normal"/>
    <w:next w:val="Normal"/>
    <w:qFormat/>
    <w:rsid w:val="00E973BF"/>
  </w:style>
  <w:style w:type="character" w:customStyle="1" w:styleId="EquationCaption">
    <w:name w:val="_Equation Caption"/>
    <w:rsid w:val="00E973BF"/>
  </w:style>
  <w:style w:type="paragraph" w:styleId="Footer">
    <w:name w:val="footer"/>
    <w:basedOn w:val="Normal"/>
    <w:link w:val="FooterChar"/>
    <w:uiPriority w:val="99"/>
    <w:rsid w:val="00E973BF"/>
    <w:pPr>
      <w:tabs>
        <w:tab w:val="center" w:pos="4320"/>
        <w:tab w:val="right" w:pos="8640"/>
      </w:tabs>
    </w:pPr>
  </w:style>
  <w:style w:type="paragraph" w:styleId="BodyText">
    <w:name w:val="Body Text"/>
    <w:basedOn w:val="Normal"/>
    <w:rsid w:val="00E973BF"/>
    <w:pPr>
      <w:tabs>
        <w:tab w:val="left" w:pos="-720"/>
      </w:tabs>
      <w:suppressAutoHyphens/>
    </w:pPr>
    <w:rPr>
      <w:b/>
    </w:rPr>
  </w:style>
  <w:style w:type="paragraph" w:styleId="BodyTextIndent2">
    <w:name w:val="Body Text Indent 2"/>
    <w:basedOn w:val="Normal"/>
    <w:rsid w:val="00E973BF"/>
    <w:pPr>
      <w:widowControl/>
      <w:spacing w:line="360" w:lineRule="auto"/>
      <w:ind w:firstLine="720"/>
    </w:pPr>
    <w:rPr>
      <w:rFonts w:ascii="Georgia" w:hAnsi="Georgia"/>
      <w:color w:val="000000"/>
    </w:rPr>
  </w:style>
  <w:style w:type="paragraph" w:styleId="BodyTextIndent">
    <w:name w:val="Body Text Indent"/>
    <w:basedOn w:val="Normal"/>
    <w:rsid w:val="00E973BF"/>
    <w:pPr>
      <w:widowControl/>
      <w:tabs>
        <w:tab w:val="left" w:pos="-720"/>
      </w:tabs>
      <w:suppressAutoHyphens/>
      <w:overflowPunct/>
      <w:autoSpaceDE/>
      <w:autoSpaceDN/>
      <w:adjustRightInd/>
      <w:ind w:left="720"/>
      <w:textAlignment w:val="auto"/>
    </w:pPr>
  </w:style>
  <w:style w:type="paragraph" w:styleId="BalloonText">
    <w:name w:val="Balloon Text"/>
    <w:basedOn w:val="Normal"/>
    <w:semiHidden/>
    <w:rsid w:val="00C00128"/>
    <w:rPr>
      <w:rFonts w:ascii="Tahoma" w:hAnsi="Tahoma" w:cs="Tahoma"/>
      <w:sz w:val="16"/>
      <w:szCs w:val="16"/>
    </w:rPr>
  </w:style>
  <w:style w:type="paragraph" w:styleId="HTMLPreformatted">
    <w:name w:val="HTML Preformatted"/>
    <w:basedOn w:val="Normal"/>
    <w:rsid w:val="00DA58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sz w:val="20"/>
    </w:rPr>
  </w:style>
  <w:style w:type="character" w:styleId="Strong">
    <w:name w:val="Strong"/>
    <w:basedOn w:val="DefaultParagraphFont"/>
    <w:qFormat/>
    <w:rsid w:val="008A1A85"/>
    <w:rPr>
      <w:b/>
      <w:bCs/>
    </w:rPr>
  </w:style>
  <w:style w:type="table" w:styleId="TableProfessional">
    <w:name w:val="Table Professional"/>
    <w:basedOn w:val="TableNormal"/>
    <w:rsid w:val="007E4256"/>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eader">
    <w:name w:val="header"/>
    <w:basedOn w:val="Normal"/>
    <w:rsid w:val="00650EBF"/>
    <w:pPr>
      <w:tabs>
        <w:tab w:val="center" w:pos="4320"/>
        <w:tab w:val="right" w:pos="8640"/>
      </w:tabs>
    </w:pPr>
  </w:style>
  <w:style w:type="character" w:styleId="CommentReference">
    <w:name w:val="annotation reference"/>
    <w:basedOn w:val="DefaultParagraphFont"/>
    <w:uiPriority w:val="99"/>
    <w:semiHidden/>
    <w:rsid w:val="00831EA7"/>
    <w:rPr>
      <w:sz w:val="16"/>
      <w:szCs w:val="16"/>
    </w:rPr>
  </w:style>
  <w:style w:type="paragraph" w:styleId="CommentText">
    <w:name w:val="annotation text"/>
    <w:basedOn w:val="Normal"/>
    <w:link w:val="CommentTextChar"/>
    <w:uiPriority w:val="99"/>
    <w:rsid w:val="00831EA7"/>
    <w:rPr>
      <w:sz w:val="20"/>
    </w:rPr>
  </w:style>
  <w:style w:type="paragraph" w:styleId="CommentSubject">
    <w:name w:val="annotation subject"/>
    <w:basedOn w:val="CommentText"/>
    <w:next w:val="CommentText"/>
    <w:semiHidden/>
    <w:rsid w:val="00831EA7"/>
    <w:rPr>
      <w:b/>
      <w:bCs/>
    </w:rPr>
  </w:style>
  <w:style w:type="character" w:styleId="Hyperlink">
    <w:name w:val="Hyperlink"/>
    <w:basedOn w:val="DefaultParagraphFont"/>
    <w:uiPriority w:val="99"/>
    <w:rsid w:val="0043383F"/>
    <w:rPr>
      <w:color w:val="0000FF"/>
      <w:u w:val="single"/>
    </w:rPr>
  </w:style>
  <w:style w:type="character" w:styleId="FollowedHyperlink">
    <w:name w:val="FollowedHyperlink"/>
    <w:basedOn w:val="DefaultParagraphFont"/>
    <w:rsid w:val="000D724C"/>
    <w:rPr>
      <w:color w:val="800080"/>
      <w:u w:val="single"/>
    </w:rPr>
  </w:style>
  <w:style w:type="table" w:styleId="TableGrid">
    <w:name w:val="Table Grid"/>
    <w:basedOn w:val="TableNormal"/>
    <w:rsid w:val="00B450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9D2F27"/>
    <w:rPr>
      <w:rFonts w:ascii="Courier" w:hAnsi="Courier"/>
      <w:sz w:val="24"/>
    </w:rPr>
  </w:style>
  <w:style w:type="paragraph" w:styleId="ListParagraph">
    <w:name w:val="List Paragraph"/>
    <w:basedOn w:val="Normal"/>
    <w:uiPriority w:val="1"/>
    <w:qFormat/>
    <w:rsid w:val="003333DF"/>
    <w:pPr>
      <w:tabs>
        <w:tab w:val="left" w:pos="-720"/>
      </w:tabs>
      <w:suppressAutoHyphens/>
      <w:overflowPunct/>
      <w:autoSpaceDE/>
      <w:autoSpaceDN/>
      <w:adjustRightInd/>
      <w:spacing w:line="480" w:lineRule="auto"/>
      <w:ind w:left="720"/>
      <w:contextualSpacing/>
      <w:textAlignment w:val="auto"/>
    </w:pPr>
    <w:rPr>
      <w:spacing w:val="-3"/>
    </w:rPr>
  </w:style>
  <w:style w:type="character" w:customStyle="1" w:styleId="FooterChar">
    <w:name w:val="Footer Char"/>
    <w:basedOn w:val="DefaultParagraphFont"/>
    <w:link w:val="Footer"/>
    <w:uiPriority w:val="99"/>
    <w:rsid w:val="002568E6"/>
    <w:rPr>
      <w:rFonts w:ascii="Courier" w:hAnsi="Courier"/>
      <w:sz w:val="24"/>
    </w:rPr>
  </w:style>
  <w:style w:type="paragraph" w:customStyle="1" w:styleId="TableParagraph">
    <w:name w:val="Table Paragraph"/>
    <w:basedOn w:val="Normal"/>
    <w:uiPriority w:val="1"/>
    <w:qFormat/>
    <w:rsid w:val="00A625DE"/>
    <w:pPr>
      <w:overflowPunct/>
      <w:adjustRightInd/>
      <w:ind w:left="826" w:hanging="360"/>
      <w:textAlignment w:val="auto"/>
    </w:pPr>
    <w:rPr>
      <w:rFonts w:ascii="Calibri" w:eastAsia="Calibri" w:hAnsi="Calibri" w:cs="Calibri"/>
      <w:sz w:val="22"/>
      <w:szCs w:val="22"/>
    </w:rPr>
  </w:style>
  <w:style w:type="character" w:customStyle="1" w:styleId="Heading4Char">
    <w:name w:val="Heading 4 Char"/>
    <w:basedOn w:val="DefaultParagraphFont"/>
    <w:link w:val="Heading4"/>
    <w:semiHidden/>
    <w:rsid w:val="00DA643C"/>
    <w:rPr>
      <w:rFonts w:asciiTheme="majorHAnsi" w:eastAsiaTheme="majorEastAsia" w:hAnsiTheme="majorHAnsi" w:cstheme="majorBidi"/>
      <w:i/>
      <w:iCs/>
      <w:color w:val="365F91" w:themeColor="accent1" w:themeShade="BF"/>
      <w:sz w:val="24"/>
    </w:rPr>
  </w:style>
  <w:style w:type="paragraph" w:customStyle="1" w:styleId="paragraph">
    <w:name w:val="paragraph"/>
    <w:basedOn w:val="Normal"/>
    <w:rsid w:val="0021654A"/>
    <w:pPr>
      <w:widowControl/>
      <w:overflowPunct/>
      <w:autoSpaceDE/>
      <w:autoSpaceDN/>
      <w:adjustRightInd/>
      <w:spacing w:before="100" w:beforeAutospacing="1" w:after="100" w:afterAutospacing="1"/>
      <w:textAlignment w:val="auto"/>
    </w:pPr>
    <w:rPr>
      <w:szCs w:val="24"/>
    </w:rPr>
  </w:style>
  <w:style w:type="character" w:customStyle="1" w:styleId="normaltextrun">
    <w:name w:val="normaltextrun"/>
    <w:basedOn w:val="DefaultParagraphFont"/>
    <w:rsid w:val="0021654A"/>
  </w:style>
  <w:style w:type="character" w:customStyle="1" w:styleId="eop">
    <w:name w:val="eop"/>
    <w:basedOn w:val="DefaultParagraphFont"/>
    <w:rsid w:val="0021654A"/>
  </w:style>
  <w:style w:type="character" w:customStyle="1" w:styleId="tabchar">
    <w:name w:val="tabchar"/>
    <w:basedOn w:val="DefaultParagraphFont"/>
    <w:rsid w:val="00CB1A9C"/>
  </w:style>
  <w:style w:type="character" w:styleId="UnresolvedMention">
    <w:name w:val="Unresolved Mention"/>
    <w:basedOn w:val="DefaultParagraphFont"/>
    <w:uiPriority w:val="99"/>
    <w:semiHidden/>
    <w:unhideWhenUsed/>
    <w:rsid w:val="00DB15E2"/>
    <w:rPr>
      <w:color w:val="605E5C"/>
      <w:shd w:val="clear" w:color="auto" w:fill="E1DFDD"/>
    </w:rPr>
  </w:style>
  <w:style w:type="character" w:customStyle="1" w:styleId="CommentTextChar">
    <w:name w:val="Comment Text Char"/>
    <w:link w:val="CommentText"/>
    <w:uiPriority w:val="99"/>
    <w:rsid w:val="00D72641"/>
  </w:style>
  <w:style w:type="character" w:styleId="Mention">
    <w:name w:val="Mention"/>
    <w:basedOn w:val="DefaultParagraphFont"/>
    <w:uiPriority w:val="99"/>
    <w:unhideWhenUsed/>
    <w:rsid w:val="00D7707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usdagcc.sharepoint.com/sites/FNCSPW-PartnerWeb" TargetMode="External" /><Relationship Id="rId11" Type="http://schemas.openxmlformats.org/officeDocument/2006/relationships/hyperlink" Target="mailto:phil@triangleassociatesinc.com" TargetMode="External" /><Relationship Id="rId12" Type="http://schemas.openxmlformats.org/officeDocument/2006/relationships/hyperlink" Target="mailto:yescenia@farmersmarketcoalition.org" TargetMode="External" /><Relationship Id="rId13" Type="http://schemas.openxmlformats.org/officeDocument/2006/relationships/hyperlink" Target="mailto:darlene@farmersmarketcoalition.org" TargetMode="External" /><Relationship Id="rId14" Type="http://schemas.openxmlformats.org/officeDocument/2006/relationships/hyperlink" Target="mailto:gmachell@nwica.org" TargetMode="External" /><Relationship Id="rId15" Type="http://schemas.openxmlformats.org/officeDocument/2006/relationships/hyperlink" Target="https://www.bls.gov/oes/current/oessrci.htm" TargetMode="External" /><Relationship Id="rId16" Type="http://schemas.openxmlformats.org/officeDocument/2006/relationships/hyperlink" Target="https://data.bls.gov/oes/" TargetMode="External" /><Relationship Id="rId17" Type="http://schemas.openxmlformats.org/officeDocument/2006/relationships/hyperlink" Target="https://www.dol.gov/whd/minimumwage.htm" TargetMode="External" /><Relationship Id="rId18" Type="http://schemas.openxmlformats.org/officeDocument/2006/relationships/hyperlink" Target="https://www.opm.gov/policy-data-oversight/pay-leave/salaries-wages/salary-tables/26Tables/html/GS_h.aspx" TargetMode="External" /><Relationship Id="rId19" Type="http://schemas.openxmlformats.org/officeDocument/2006/relationships/hyperlink" Target="http://www.fns.usda.gov" TargetMode="External" /><Relationship Id="rId2" Type="http://schemas.openxmlformats.org/officeDocument/2006/relationships/endnotes" Target="endnotes.xml" /><Relationship Id="rId20" Type="http://schemas.openxmlformats.org/officeDocument/2006/relationships/footer" Target="footer1.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TaxCatchAll xmlns="73fb875a-8af9-4255-b008-0995492d31cd" xsi:nil="true"/>
    <lcf76f155ced4ddcb4097134ff3c332f xmlns="1772b1dd-36d6-4fb7-b7de-e44952ab14bb">
      <Terms xmlns="http://schemas.microsoft.com/office/infopath/2007/PartnerControls"/>
    </lcf76f155ced4ddcb4097134ff3c332f>
    <Program_x0028_s_x0029_ xmlns="1772b1dd-36d6-4fb7-b7de-e44952ab14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6B1C2C8A44644CAB3955E295114B19" ma:contentTypeVersion="11" ma:contentTypeDescription="Create a new document." ma:contentTypeScope="" ma:versionID="cb9321806eb542ee9d46c53aaacd13c0">
  <xsd:schema xmlns:xsd="http://www.w3.org/2001/XMLSchema" xmlns:xs="http://www.w3.org/2001/XMLSchema" xmlns:p="http://schemas.microsoft.com/office/2006/metadata/properties" xmlns:ns2="1772b1dd-36d6-4fb7-b7de-e44952ab14bb" xmlns:ns3="73fb875a-8af9-4255-b008-0995492d31cd" targetNamespace="http://schemas.microsoft.com/office/2006/metadata/properties" ma:root="true" ma:fieldsID="081e167b8b8f40cf92e9ccfd0f2ccfc7" ns2:_="" ns3:_="">
    <xsd:import namespace="1772b1dd-36d6-4fb7-b7de-e44952ab14bb"/>
    <xsd:import namespace="73fb875a-8af9-4255-b008-0995492d31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Program_x0028_s_x0029_"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2b1dd-36d6-4fb7-b7de-e44952ab14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Program_x0028_s_x0029_" ma:index="11" nillable="true" ma:displayName="Program(s)" ma:description="Which program(s) does this file relate to?" ma:format="Dropdown" ma:internalName="Program_x0028_s_x0029_">
      <xsd:complexType>
        <xsd:complexContent>
          <xsd:extension base="dms:MultiChoice">
            <xsd:sequence>
              <xsd:element name="Value" maxOccurs="unbounded" minOccurs="0" nillable="true">
                <xsd:simpleType>
                  <xsd:restriction base="dms:Choice">
                    <xsd:enumeration value="FMNP"/>
                    <xsd:enumeration value="SFMNP"/>
                    <xsd:enumeration value="WIC"/>
                  </xsd:restriction>
                </xsd:simpleType>
              </xsd:element>
            </xsd:sequence>
          </xsd:extension>
        </xsd:complexContent>
      </xsd:complex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39d2472-4343-4717-b837-7d293b89b168}" ma:internalName="TaxCatchAll" ma:showField="CatchAllData" ma:web="3323e635-b63f-4e4b-b8b4-98b05fe663e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52DBF7-C3EB-421E-A8D2-CB2A01620DA0}">
  <ds:schemaRefs>
    <ds:schemaRef ds:uri="http://schemas.openxmlformats.org/officeDocument/2006/bibliography"/>
  </ds:schemaRefs>
</ds:datastoreItem>
</file>

<file path=customXml/itemProps2.xml><?xml version="1.0" encoding="utf-8"?>
<ds:datastoreItem xmlns:ds="http://schemas.openxmlformats.org/officeDocument/2006/customXml" ds:itemID="{C5DD7420-095D-468C-BC80-9E7A41869B57}">
  <ds:schemaRefs>
    <ds:schemaRef ds:uri="http://schemas.microsoft.com/office/2006/metadata/properties"/>
    <ds:schemaRef ds:uri="73fb875a-8af9-4255-b008-0995492d31cd"/>
    <ds:schemaRef ds:uri="1772b1dd-36d6-4fb7-b7de-e44952ab14bb"/>
    <ds:schemaRef ds:uri="http://schemas.microsoft.com/office/infopath/2007/PartnerControls"/>
  </ds:schemaRefs>
</ds:datastoreItem>
</file>

<file path=customXml/itemProps3.xml><?xml version="1.0" encoding="utf-8"?>
<ds:datastoreItem xmlns:ds="http://schemas.openxmlformats.org/officeDocument/2006/customXml" ds:itemID="{47864258-766D-470B-863C-45C697DCC8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2b1dd-36d6-4fb7-b7de-e44952ab14bb"/>
    <ds:schemaRef ds:uri="73fb875a-8af9-4255-b008-0995492d31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403C59E-8F3A-431A-BF85-36005A4BD2AB}">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388</TotalTime>
  <Pages>23</Pages>
  <Words>5844</Words>
  <Characters>34601</Characters>
  <Application>Microsoft Office Word</Application>
  <DocSecurity>0</DocSecurity>
  <Lines>692</Lines>
  <Paragraphs>278</Paragraphs>
  <ScaleCrop>false</ScaleCrop>
  <Company>USDA/FNS</Company>
  <LinksUpToDate>false</LinksUpToDate>
  <CharactersWithSpaces>40167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OMB No</dc:title>
  <dc:creator>USDA</dc:creator>
  <cp:lastModifiedBy>Clark, Lauren - FNS</cp:lastModifiedBy>
  <cp:revision>55</cp:revision>
  <cp:lastPrinted>2013-08-08T20:23:00Z</cp:lastPrinted>
  <dcterms:created xsi:type="dcterms:W3CDTF">2026-04-15T17:08:00Z</dcterms:created>
  <dcterms:modified xsi:type="dcterms:W3CDTF">2026-06-02T20:54:00Z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ared">
    <vt:bool>true</vt:bool>
  </property>
  <property fmtid="{D5CDD505-2E9C-101B-9397-08002B2CF9AE}" pid="3" name="ContentTypeId">
    <vt:lpwstr>0x010100276B1C2C8A44644CAB3955E295114B19</vt:lpwstr>
  </property>
  <property fmtid="{D5CDD505-2E9C-101B-9397-08002B2CF9AE}" pid="4" name="docLang">
    <vt:lpwstr>en</vt:lpwstr>
  </property>
  <property fmtid="{D5CDD505-2E9C-101B-9397-08002B2CF9AE}" pid="5" name="EmailDraft">
    <vt:bool>true</vt:bool>
  </property>
  <property fmtid="{D5CDD505-2E9C-101B-9397-08002B2CF9AE}" pid="6" name="MediaServiceImageTags">
    <vt:lpwstr/>
  </property>
  <property fmtid="{D5CDD505-2E9C-101B-9397-08002B2CF9AE}" pid="7" name="Order">
    <vt:r8>500</vt:r8>
  </property>
  <property fmtid="{D5CDD505-2E9C-101B-9397-08002B2CF9AE}" pid="8" name="TemplateUrl">
    <vt:lpwstr/>
  </property>
  <property fmtid="{D5CDD505-2E9C-101B-9397-08002B2CF9AE}" pid="9" name="xd_ProgID">
    <vt:lpwstr/>
  </property>
  <property fmtid="{D5CDD505-2E9C-101B-9397-08002B2CF9AE}" pid="10" name="_dlc_DocId">
    <vt:lpwstr>PAT56XDWNNC6-1500440792-5</vt:lpwstr>
  </property>
  <property fmtid="{D5CDD505-2E9C-101B-9397-08002B2CF9AE}" pid="11" name="_dlc_DocIdItemGuid">
    <vt:lpwstr>f9460f86-ccb2-45e2-9293-8cbabf720072</vt:lpwstr>
  </property>
  <property fmtid="{D5CDD505-2E9C-101B-9397-08002B2CF9AE}" pid="12" name="_dlc_DocIdUrl">
    <vt:lpwstr>https://fncspro.usda.net/offices/ops/prao/_layouts/15/DocIdRedir.aspx?ID=PAT56XDWNNC6-1500440792-5, PAT56XDWNNC6-1500440792-5</vt:lpwstr>
  </property>
</Properties>
</file>