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C64379" w14:paraId="7AC63951" w14:textId="77777777">
      <w:pPr>
        <w:widowControl w:val="0"/>
        <w:jc w:val="center"/>
        <w:rPr>
          <w:rFonts w:ascii="Arial" w:eastAsia="Arial" w:hAnsi="Arial" w:cs="Arial"/>
          <w:b/>
          <w:bCs/>
        </w:rPr>
      </w:pPr>
      <w:r>
        <w:rPr>
          <w:rFonts w:ascii="Arial" w:eastAsia="Arial" w:hAnsi="Arial" w:cs="Arial"/>
          <w:b/>
          <w:bCs/>
        </w:rPr>
        <w:t>Federal Acquisition Regulation (FAR)</w:t>
      </w:r>
    </w:p>
    <w:p w:rsidR="00C64379" w14:paraId="2191C573" w14:textId="77777777">
      <w:pPr>
        <w:jc w:val="center"/>
        <w:rPr>
          <w:rFonts w:ascii="Arial" w:eastAsia="Arial" w:hAnsi="Arial" w:cs="Arial"/>
          <w:b/>
          <w:bCs/>
        </w:rPr>
      </w:pPr>
      <w:r>
        <w:rPr>
          <w:rFonts w:ascii="Arial" w:eastAsia="Arial" w:hAnsi="Arial" w:cs="Arial"/>
          <w:b/>
          <w:bCs/>
        </w:rPr>
        <w:t>Federal Acquisition Regulation Part 27 Requirements</w:t>
      </w:r>
    </w:p>
    <w:p w:rsidR="00C64379" w14:paraId="70508B57" w14:textId="77777777">
      <w:pPr>
        <w:jc w:val="center"/>
        <w:rPr>
          <w:rFonts w:ascii="Arial" w:eastAsia="Arial" w:hAnsi="Arial" w:cs="Arial"/>
          <w:b/>
          <w:bCs/>
          <w:u w:val="single"/>
        </w:rPr>
      </w:pPr>
      <w:r>
        <w:rPr>
          <w:rFonts w:ascii="Arial" w:eastAsia="Arial" w:hAnsi="Arial" w:cs="Arial"/>
          <w:b/>
          <w:bCs/>
        </w:rPr>
        <w:t>OMB Control No. 9000-0095</w:t>
      </w:r>
    </w:p>
    <w:p w:rsidR="00C64379" w14:paraId="5CFE7C25" w14:textId="77777777">
      <w:pPr>
        <w:jc w:val="center"/>
        <w:rPr>
          <w:rFonts w:ascii="Arial" w:eastAsia="Arial" w:hAnsi="Arial" w:cs="Arial"/>
        </w:rPr>
      </w:pPr>
      <w:r>
        <w:rPr>
          <w:rFonts w:ascii="Arial" w:eastAsia="Arial" w:hAnsi="Arial" w:cs="Arial"/>
          <w:b/>
          <w:bCs/>
        </w:rPr>
        <w:t>Justification – Part A Supporting Statement</w:t>
      </w:r>
    </w:p>
    <w:p w:rsidR="00C64379" w14:paraId="29ED74E1" w14:textId="77777777">
      <w:pPr>
        <w:rPr>
          <w:rFonts w:ascii="Arial" w:eastAsia="Arial" w:hAnsi="Arial" w:cs="Arial"/>
        </w:rPr>
      </w:pPr>
    </w:p>
    <w:p w:rsidR="00C64379" w14:paraId="15A9A2A0" w14:textId="77777777">
      <w:pPr>
        <w:rPr>
          <w:rFonts w:ascii="Arial" w:eastAsia="Arial" w:hAnsi="Arial" w:cs="Arial"/>
        </w:rPr>
      </w:pPr>
      <w:r>
        <w:rPr>
          <w:rFonts w:ascii="Arial" w:eastAsia="Arial" w:hAnsi="Arial" w:cs="Arial"/>
          <w:b/>
          <w:bCs/>
        </w:rPr>
        <w:t xml:space="preserve">FAR sections affected: </w:t>
      </w:r>
      <w:r w:rsidRPr="00F4771F">
        <w:rPr>
          <w:rFonts w:ascii="Arial" w:eastAsia="Arial" w:hAnsi="Arial" w:cs="Arial"/>
        </w:rPr>
        <w:t>27.303(b)(2), 52.227-2, 52.227-6, 52.227-9, 52.227-11, 52.227-13, 52.227-14, 52.227-15, 52.227-16, 52.227-17, 52.227-18, 52.227-19, 52.227-20, 52.227-21, and 52.227-23</w:t>
      </w:r>
    </w:p>
    <w:p w:rsidR="00C64379" w14:paraId="27D08129" w14:textId="77777777">
      <w:pPr>
        <w:widowControl w:val="0"/>
        <w:rPr>
          <w:rFonts w:ascii="Arial" w:eastAsia="Arial" w:hAnsi="Arial" w:cs="Arial"/>
          <w:highlight w:val="yellow"/>
        </w:rPr>
      </w:pPr>
    </w:p>
    <w:p w:rsidR="00C64379" w14:paraId="04F7BBBE" w14:textId="77777777">
      <w:pPr>
        <w:widowControl w:val="0"/>
        <w:rPr>
          <w:rFonts w:ascii="Arial" w:eastAsia="Arial" w:hAnsi="Arial" w:cs="Arial"/>
        </w:rPr>
      </w:pPr>
      <w:r>
        <w:rPr>
          <w:rFonts w:ascii="Arial" w:eastAsia="Arial" w:hAnsi="Arial" w:cs="Arial"/>
          <w:u w:val="single"/>
        </w:rPr>
        <w:t>Overview of Information Collection:</w:t>
      </w:r>
    </w:p>
    <w:p w:rsidR="00C64379" w14:paraId="2EEA2431" w14:textId="77777777">
      <w:pPr>
        <w:widowControl w:val="0"/>
        <w:tabs>
          <w:tab w:val="left" w:pos="820"/>
          <w:tab w:val="left" w:pos="821"/>
        </w:tabs>
        <w:ind w:left="360" w:right="195"/>
        <w:rPr>
          <w:rFonts w:ascii="Arial" w:eastAsia="Arial" w:hAnsi="Arial" w:cs="Arial"/>
        </w:rPr>
      </w:pPr>
      <w:r>
        <w:rPr>
          <w:rFonts w:ascii="Arial" w:eastAsia="Arial" w:hAnsi="Arial" w:cs="Arial"/>
        </w:rPr>
        <w:t>This justification supports clearance of an extension of the collection.</w:t>
      </w:r>
    </w:p>
    <w:p w:rsidR="00C64379" w14:paraId="677B402B" w14:textId="77777777">
      <w:pPr>
        <w:widowControl w:val="0"/>
        <w:tabs>
          <w:tab w:val="left" w:pos="820"/>
          <w:tab w:val="left" w:pos="821"/>
        </w:tabs>
        <w:ind w:left="360" w:right="195"/>
        <w:rPr>
          <w:rFonts w:ascii="Arial" w:eastAsia="Arial" w:hAnsi="Arial" w:cs="Arial"/>
        </w:rPr>
      </w:pPr>
    </w:p>
    <w:p w:rsidR="00C64379" w14:paraId="7E599FB0" w14:textId="77777777">
      <w:pPr>
        <w:widowControl w:val="0"/>
        <w:tabs>
          <w:tab w:val="left" w:pos="820"/>
          <w:tab w:val="left" w:pos="821"/>
        </w:tabs>
        <w:ind w:left="360" w:right="195"/>
        <w:rPr>
          <w:rFonts w:ascii="Arial" w:eastAsia="Arial" w:hAnsi="Arial" w:cs="Arial"/>
        </w:rPr>
      </w:pPr>
      <w:r>
        <w:rPr>
          <w:rFonts w:ascii="Arial" w:eastAsia="Arial" w:hAnsi="Arial" w:cs="Arial"/>
        </w:rPr>
        <w:t>There are no program changes. The FAR requirements remain the same. This extension includes adjustments to the burden estimates based on current data from the Federal Procurement Data System (FPDS), and use of the calendar year 2025 Office of Personnel Management (OPM) General Schedule (GS) Salary Table for the rest of the United States as explained in Item 15.</w:t>
      </w:r>
    </w:p>
    <w:p w:rsidR="00C64379" w14:paraId="4F501C9F" w14:textId="77777777">
      <w:pPr>
        <w:widowControl w:val="0"/>
        <w:rPr>
          <w:rFonts w:ascii="Arial" w:eastAsia="Arial" w:hAnsi="Arial" w:cs="Arial"/>
        </w:rPr>
      </w:pPr>
    </w:p>
    <w:p w:rsidR="00C64379" w14:paraId="4F66D900" w14:textId="77777777">
      <w:pPr>
        <w:widowControl w:val="0"/>
        <w:numPr>
          <w:ilvl w:val="0"/>
          <w:numId w:val="18"/>
        </w:numPr>
        <w:pBdr>
          <w:top w:val="nil"/>
          <w:left w:val="nil"/>
          <w:bottom w:val="nil"/>
          <w:right w:val="nil"/>
          <w:between w:val="nil"/>
        </w:pBdr>
        <w:tabs>
          <w:tab w:val="left" w:pos="360"/>
          <w:tab w:val="left" w:pos="630"/>
          <w:tab w:val="left" w:pos="720"/>
          <w:tab w:val="left" w:pos="1080"/>
        </w:tabs>
        <w:ind w:left="0"/>
        <w:rPr>
          <w:rFonts w:ascii="Arial" w:eastAsia="Arial" w:hAnsi="Arial" w:cs="Arial"/>
          <w:color w:val="000000"/>
        </w:rPr>
      </w:pPr>
      <w:r>
        <w:rPr>
          <w:rFonts w:ascii="Arial" w:eastAsia="Arial" w:hAnsi="Arial" w:cs="Arial"/>
          <w:color w:val="000000"/>
          <w:u w:val="single"/>
        </w:rPr>
        <w:t>Need &amp; Method for the Information Collection.</w:t>
      </w:r>
      <w:r>
        <w:rPr>
          <w:rFonts w:ascii="Arial" w:eastAsia="Arial" w:hAnsi="Arial" w:cs="Arial"/>
          <w:color w:val="000000"/>
        </w:rPr>
        <w:t xml:space="preserve"> </w:t>
      </w:r>
      <w:r>
        <w:rPr>
          <w:rFonts w:ascii="Arial" w:eastAsia="Arial" w:hAnsi="Arial" w:cs="Arial"/>
        </w:rPr>
        <w:t>This clearance covers the information that offerors and contractors must submit to comply with the following FAR requirements:</w:t>
      </w:r>
    </w:p>
    <w:p w:rsidR="00C64379" w14:paraId="379FBBA7"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p>
    <w:p w:rsidR="00C64379" w14:paraId="05EEC9AB" w14:textId="77777777">
      <w:pPr>
        <w:widowControl w:val="0"/>
        <w:numPr>
          <w:ilvl w:val="0"/>
          <w:numId w:val="24"/>
        </w:numPr>
        <w:pBdr>
          <w:top w:val="nil"/>
          <w:left w:val="nil"/>
          <w:bottom w:val="nil"/>
          <w:right w:val="nil"/>
          <w:between w:val="nil"/>
        </w:pBdr>
        <w:tabs>
          <w:tab w:val="left" w:pos="360"/>
          <w:tab w:val="left" w:pos="630"/>
          <w:tab w:val="left" w:pos="720"/>
          <w:tab w:val="left" w:pos="1080"/>
        </w:tabs>
        <w:rPr>
          <w:rFonts w:ascii="Arial" w:eastAsia="Arial" w:hAnsi="Arial" w:cs="Arial"/>
        </w:rPr>
      </w:pPr>
      <w:r>
        <w:rPr>
          <w:rFonts w:ascii="Arial" w:eastAsia="Arial" w:hAnsi="Arial" w:cs="Arial"/>
        </w:rPr>
        <w:t>FAR 27.303(b)(2). This section allows the contracting officer to modify or supplement the FAR clause at 52.227-11(e) to require the contractor to provide certain information. The collection requirements are described under FAR clause 52.227-11 in this document. The rationale to list the section separately is to recognize that the information collection requirement resides at FAR 27.303(b)(2).</w:t>
      </w:r>
    </w:p>
    <w:p w:rsidR="00C64379" w14:paraId="34BB49FD" w14:textId="77777777">
      <w:pPr>
        <w:widowControl w:val="0"/>
        <w:pBdr>
          <w:top w:val="nil"/>
          <w:left w:val="nil"/>
          <w:bottom w:val="nil"/>
          <w:right w:val="nil"/>
          <w:between w:val="nil"/>
        </w:pBdr>
        <w:tabs>
          <w:tab w:val="left" w:pos="360"/>
          <w:tab w:val="left" w:pos="630"/>
          <w:tab w:val="left" w:pos="720"/>
          <w:tab w:val="left" w:pos="1080"/>
        </w:tabs>
        <w:rPr>
          <w:rFonts w:ascii="Arial" w:eastAsia="Arial" w:hAnsi="Arial" w:cs="Arial"/>
        </w:rPr>
      </w:pPr>
    </w:p>
    <w:p w:rsidR="00C64379" w14:paraId="1012307A" w14:textId="77777777">
      <w:pPr>
        <w:widowControl w:val="0"/>
        <w:numPr>
          <w:ilvl w:val="0"/>
          <w:numId w:val="24"/>
        </w:numPr>
        <w:pBdr>
          <w:top w:val="nil"/>
          <w:left w:val="nil"/>
          <w:bottom w:val="nil"/>
          <w:right w:val="nil"/>
          <w:between w:val="nil"/>
        </w:pBdr>
        <w:tabs>
          <w:tab w:val="left" w:pos="360"/>
          <w:tab w:val="left" w:pos="630"/>
          <w:tab w:val="left" w:pos="720"/>
          <w:tab w:val="left" w:pos="1080"/>
        </w:tabs>
        <w:rPr>
          <w:rFonts w:ascii="Arial" w:eastAsia="Arial" w:hAnsi="Arial" w:cs="Arial"/>
        </w:rPr>
      </w:pPr>
      <w:r>
        <w:rPr>
          <w:rFonts w:ascii="Arial" w:eastAsia="Arial" w:hAnsi="Arial" w:cs="Arial"/>
        </w:rPr>
        <w:t>FAR 52.227-2, Notice and Assistance Regarding Patent and Copyright Infringement. This clause requires contractors to notify the Government of any allegations of patent or copyright infringement arising during the performance of the contract. The clause requires contractors to furnish, when requested by the contracting officer, all evidence and information in the contractor’s possession regarding such a claim or suit. This clause flows down to subcontracts that are expected to exceed the simplified acquisition threshold (SAT - currently $350,000).</w:t>
      </w:r>
    </w:p>
    <w:p w:rsidR="00C64379" w14:paraId="24DA6953"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p>
    <w:p w:rsidR="00C64379" w14:paraId="6A07670C" w14:textId="2661A5A2">
      <w:pPr>
        <w:widowControl w:val="0"/>
        <w:numPr>
          <w:ilvl w:val="0"/>
          <w:numId w:val="4"/>
        </w:numPr>
        <w:pBdr>
          <w:top w:val="nil"/>
          <w:left w:val="nil"/>
          <w:bottom w:val="nil"/>
          <w:right w:val="nil"/>
          <w:between w:val="nil"/>
        </w:pBdr>
        <w:tabs>
          <w:tab w:val="left" w:pos="360"/>
          <w:tab w:val="left" w:pos="630"/>
          <w:tab w:val="left" w:pos="720"/>
          <w:tab w:val="left" w:pos="1080"/>
        </w:tabs>
        <w:rPr>
          <w:rFonts w:ascii="Arial" w:eastAsia="Arial" w:hAnsi="Arial" w:cs="Arial"/>
        </w:rPr>
      </w:pPr>
      <w:r>
        <w:rPr>
          <w:rFonts w:ascii="Arial" w:eastAsia="Arial" w:hAnsi="Arial" w:cs="Arial"/>
        </w:rPr>
        <w:t xml:space="preserve">FAR 52.227-6, Royalty Information. This provision requires offerors to report all royalties anticipated or paid </w:t>
      </w:r>
      <w:r w:rsidR="002D670F">
        <w:rPr>
          <w:rFonts w:ascii="Arial" w:eastAsia="Arial" w:hAnsi="Arial" w:cs="Arial"/>
        </w:rPr>
        <w:t>more than</w:t>
      </w:r>
      <w:r>
        <w:rPr>
          <w:rFonts w:ascii="Arial" w:eastAsia="Arial" w:hAnsi="Arial" w:cs="Arial"/>
        </w:rPr>
        <w:t xml:space="preserve"> $250 for the use of patented inventions by furnishing:</w:t>
      </w:r>
    </w:p>
    <w:p w:rsidR="00C64379" w14:paraId="390925A8"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r>
        <w:rPr>
          <w:rFonts w:ascii="Arial" w:eastAsia="Arial" w:hAnsi="Arial" w:cs="Arial"/>
        </w:rPr>
        <w:t>(1) Name and address of licensor.</w:t>
      </w:r>
    </w:p>
    <w:p w:rsidR="00C64379" w14:paraId="2EF65FE5"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r>
        <w:rPr>
          <w:rFonts w:ascii="Arial" w:eastAsia="Arial" w:hAnsi="Arial" w:cs="Arial"/>
        </w:rPr>
        <w:t>(2) Date of license agreement.</w:t>
      </w:r>
    </w:p>
    <w:p w:rsidR="00C64379" w14:paraId="3CC9A111"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r>
        <w:rPr>
          <w:rFonts w:ascii="Arial" w:eastAsia="Arial" w:hAnsi="Arial" w:cs="Arial"/>
        </w:rPr>
        <w:t>(3) Patent numbers, patent application serial numbers, or other basis on which the royalty is payable.</w:t>
      </w:r>
    </w:p>
    <w:p w:rsidR="00C64379" w14:paraId="1E34F0F4"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r>
        <w:rPr>
          <w:rFonts w:ascii="Arial" w:eastAsia="Arial" w:hAnsi="Arial" w:cs="Arial"/>
        </w:rPr>
        <w:t xml:space="preserve">(4) Brief description, including any part or model numbers of each contract item or </w:t>
      </w:r>
      <w:r>
        <w:rPr>
          <w:rFonts w:ascii="Arial" w:eastAsia="Arial" w:hAnsi="Arial" w:cs="Arial"/>
        </w:rPr>
        <w:t>component on which the royalty is payable.</w:t>
      </w:r>
    </w:p>
    <w:p w:rsidR="00C64379" w14:paraId="700C8A11"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r>
        <w:rPr>
          <w:rFonts w:ascii="Arial" w:eastAsia="Arial" w:hAnsi="Arial" w:cs="Arial"/>
        </w:rPr>
        <w:t>(5) Percentage or dollar rate of royalty per unit.</w:t>
      </w:r>
    </w:p>
    <w:p w:rsidR="00C64379" w14:paraId="2C19AEAE"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r>
        <w:rPr>
          <w:rFonts w:ascii="Arial" w:eastAsia="Arial" w:hAnsi="Arial" w:cs="Arial"/>
        </w:rPr>
        <w:t>(6) Unit price of contract item.</w:t>
      </w:r>
    </w:p>
    <w:p w:rsidR="00C64379" w14:paraId="704F1077"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r>
        <w:rPr>
          <w:rFonts w:ascii="Arial" w:eastAsia="Arial" w:hAnsi="Arial" w:cs="Arial"/>
        </w:rPr>
        <w:t>(7) Number of units.</w:t>
      </w:r>
    </w:p>
    <w:p w:rsidR="00C64379" w14:paraId="24379B78"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r>
        <w:rPr>
          <w:rFonts w:ascii="Arial" w:eastAsia="Arial" w:hAnsi="Arial" w:cs="Arial"/>
        </w:rPr>
        <w:t>(8) Total dollar amount of royalties.</w:t>
      </w:r>
    </w:p>
    <w:p w:rsidR="00C64379" w14:paraId="0454165A"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r>
        <w:rPr>
          <w:rFonts w:ascii="Arial" w:eastAsia="Arial" w:hAnsi="Arial" w:cs="Arial"/>
        </w:rPr>
        <w:t>Also, the contracting officer may ask the offeror to provide a copy of the current license agreement identifying claims to specific patents.</w:t>
      </w:r>
    </w:p>
    <w:p w:rsidR="00C64379" w14:paraId="28EA2050"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p>
    <w:p w:rsidR="00C64379" w14:paraId="38E65795" w14:textId="77777777">
      <w:pPr>
        <w:widowControl w:val="0"/>
        <w:numPr>
          <w:ilvl w:val="0"/>
          <w:numId w:val="6"/>
        </w:numPr>
        <w:pBdr>
          <w:top w:val="nil"/>
          <w:left w:val="nil"/>
          <w:bottom w:val="nil"/>
          <w:right w:val="nil"/>
          <w:between w:val="nil"/>
        </w:pBdr>
        <w:tabs>
          <w:tab w:val="left" w:pos="360"/>
          <w:tab w:val="left" w:pos="630"/>
          <w:tab w:val="left" w:pos="720"/>
          <w:tab w:val="left" w:pos="1080"/>
        </w:tabs>
        <w:rPr>
          <w:rFonts w:ascii="Arial" w:eastAsia="Arial" w:hAnsi="Arial" w:cs="Arial"/>
        </w:rPr>
      </w:pPr>
      <w:r>
        <w:rPr>
          <w:rFonts w:ascii="Arial" w:eastAsia="Arial" w:hAnsi="Arial" w:cs="Arial"/>
        </w:rPr>
        <w:t>FAR 52.227-9, Refund of Royalties. This clause requires contractors to furnish to the contracting officer, before final payment under a contract, a statement of royalties paid or required to be paid in connection with performing the contract. The clause requires contractors to notify the contracting officer if the contractor is relieved, within three years after final payment under the contract, from payment of royalties included in the final contract price. This clause flows down to subcontracts in which the amount of royalties reported during negotiation of the subcontract exceeds $250.</w:t>
      </w:r>
    </w:p>
    <w:p w:rsidR="00C64379" w14:paraId="77BAC3A5"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p>
    <w:p w:rsidR="00C64379" w14:paraId="52F08CF2" w14:textId="4C67216D">
      <w:pPr>
        <w:widowControl w:val="0"/>
        <w:numPr>
          <w:ilvl w:val="0"/>
          <w:numId w:val="16"/>
        </w:numPr>
        <w:pBdr>
          <w:top w:val="nil"/>
          <w:left w:val="nil"/>
          <w:bottom w:val="nil"/>
          <w:right w:val="nil"/>
          <w:between w:val="nil"/>
        </w:pBdr>
        <w:tabs>
          <w:tab w:val="left" w:pos="360"/>
          <w:tab w:val="left" w:pos="630"/>
          <w:tab w:val="left" w:pos="720"/>
          <w:tab w:val="left" w:pos="1080"/>
        </w:tabs>
        <w:rPr>
          <w:rFonts w:ascii="Arial" w:eastAsia="Arial" w:hAnsi="Arial" w:cs="Arial"/>
        </w:rPr>
      </w:pPr>
      <w:r>
        <w:rPr>
          <w:rFonts w:ascii="Arial" w:eastAsia="Arial" w:hAnsi="Arial" w:cs="Arial"/>
        </w:rPr>
        <w:t xml:space="preserve">FAR 52.227-11, Patent Rights - Ownership by the Contractor, or 52.227-13, Patent Rights - Ownership by the Government - Commerce Patent Regulations. These FAR clauses require a Government contractor to report all inventions made in the performance of work under a Government contract or subcontract for experimental, developmental, or research work to the contracting officer, submit a disclosure of the invention, and identify any publication, sale, or public use of the invention (52.227–11(c), 52.227–13(e)(1)). The contracting officer may modify 52.227–11(e) or otherwise supplement the clause to require contractors to submit periodic or interim and final reports listing subject inventions (27.303(b)(2)(i) and (ii)). The contracting officer may also require a contractor, under FAR 52.227-11, to: provide the filing date, serial number, title, patent number and issue date for any patent application filed on any subject invention in any country or, upon request, copies of any patent application so identified; and furnish the Government an irrevocable power to inspect and make copies of the patent application file when a Government employee is a co-inventor. (27.303(b)(2)(iii) and (iv). </w:t>
      </w:r>
      <w:r w:rsidR="002D670F">
        <w:rPr>
          <w:rFonts w:ascii="Arial" w:eastAsia="Arial" w:hAnsi="Arial" w:cs="Arial"/>
        </w:rPr>
        <w:t>To</w:t>
      </w:r>
      <w:r>
        <w:rPr>
          <w:rFonts w:ascii="Arial" w:eastAsia="Arial" w:hAnsi="Arial" w:cs="Arial"/>
        </w:rPr>
        <w:t xml:space="preserve"> ensure that subject inventions are reported, the contractor is required to establish and maintain effective procedures for identifying and disclosing subject inventions (52.227–11, Alternate IV; 52.227–13(e)(1)). In addition, the contractor must require its employees, by written agreements, to disclose subject inventions (52.227–11(e)(2); 52.227–13(e)(4)). The contractor also has an obligation to utilize the subject invention, and agree to report, upon request, the utilization or efforts to utilize the subject invention (27.302(e); 52.227–11(f)).</w:t>
      </w:r>
    </w:p>
    <w:p w:rsidR="00C64379" w14:paraId="715C116E"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p>
    <w:p w:rsidR="00C64379" w14:paraId="741589EA" w14:textId="6ED6143D">
      <w:pPr>
        <w:widowControl w:val="0"/>
        <w:numPr>
          <w:ilvl w:val="0"/>
          <w:numId w:val="17"/>
        </w:numPr>
        <w:pBdr>
          <w:top w:val="nil"/>
          <w:left w:val="nil"/>
          <w:bottom w:val="nil"/>
          <w:right w:val="nil"/>
          <w:between w:val="nil"/>
        </w:pBdr>
        <w:tabs>
          <w:tab w:val="left" w:pos="360"/>
          <w:tab w:val="left" w:pos="630"/>
          <w:tab w:val="left" w:pos="720"/>
          <w:tab w:val="left" w:pos="1080"/>
        </w:tabs>
        <w:rPr>
          <w:rFonts w:ascii="Arial" w:eastAsia="Arial" w:hAnsi="Arial" w:cs="Arial"/>
        </w:rPr>
      </w:pPr>
      <w:r>
        <w:rPr>
          <w:rFonts w:ascii="Arial" w:eastAsia="Arial" w:hAnsi="Arial" w:cs="Arial"/>
        </w:rPr>
        <w:t xml:space="preserve">FAR 52.227-14, Rights in Data–General. This clause enables the contractor to protect qualifying limited rights data and restricted computer software by withholding the data from the Government and instead delivering form, fit, and function data. For unauthorized marking of data, the contractor may provide written justification to substantiate the propriety of the markings for the </w:t>
      </w:r>
      <w:r>
        <w:rPr>
          <w:rFonts w:ascii="Arial" w:eastAsia="Arial" w:hAnsi="Arial" w:cs="Arial"/>
        </w:rPr>
        <w:t xml:space="preserve">contracting officer to consider </w:t>
      </w:r>
      <w:r w:rsidR="002D670F">
        <w:rPr>
          <w:rFonts w:ascii="Arial" w:eastAsia="Arial" w:hAnsi="Arial" w:cs="Arial"/>
        </w:rPr>
        <w:t>whether</w:t>
      </w:r>
      <w:r>
        <w:rPr>
          <w:rFonts w:ascii="Arial" w:eastAsia="Arial" w:hAnsi="Arial" w:cs="Arial"/>
        </w:rPr>
        <w:t xml:space="preserve"> the markings are to be canceled or ignored. For omitted or incorrect markings of data that </w:t>
      </w:r>
      <w:r w:rsidR="002D670F">
        <w:rPr>
          <w:rFonts w:ascii="Arial" w:eastAsia="Arial" w:hAnsi="Arial" w:cs="Arial"/>
        </w:rPr>
        <w:t>have</w:t>
      </w:r>
      <w:r>
        <w:rPr>
          <w:rFonts w:ascii="Arial" w:eastAsia="Arial" w:hAnsi="Arial" w:cs="Arial"/>
        </w:rPr>
        <w:t xml:space="preserve"> not been disclosed without restriction outside the Government, the contractor may request, within 6 months (or a longer time approved by the contracting officer) after delivery of the data, permission to have authorized notices placed on the data at the contractor's expense. Contractors shall obtain from their subcontractors all data and rights necessary to fulfill the contractor's obligations to the Government under the contract. If a subcontractor refuses to accept terms affording the Government those rights, the contractor shall notify the contracting officer of the refusal.</w:t>
      </w:r>
    </w:p>
    <w:p w:rsidR="00C64379" w14:paraId="7958D801"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p>
    <w:p w:rsidR="00C64379" w14:paraId="6063A442" w14:textId="4029E715">
      <w:pPr>
        <w:widowControl w:val="0"/>
        <w:numPr>
          <w:ilvl w:val="0"/>
          <w:numId w:val="10"/>
        </w:numPr>
        <w:pBdr>
          <w:top w:val="nil"/>
          <w:left w:val="nil"/>
          <w:bottom w:val="nil"/>
          <w:right w:val="nil"/>
          <w:between w:val="nil"/>
        </w:pBdr>
        <w:tabs>
          <w:tab w:val="left" w:pos="360"/>
          <w:tab w:val="left" w:pos="630"/>
          <w:tab w:val="left" w:pos="720"/>
          <w:tab w:val="left" w:pos="1080"/>
        </w:tabs>
        <w:rPr>
          <w:rFonts w:ascii="Arial" w:eastAsia="Arial" w:hAnsi="Arial" w:cs="Arial"/>
        </w:rPr>
      </w:pPr>
      <w:r>
        <w:rPr>
          <w:rFonts w:ascii="Arial" w:eastAsia="Arial" w:hAnsi="Arial" w:cs="Arial"/>
        </w:rPr>
        <w:t xml:space="preserve">FAR 52.227-15, Representation of Limited Rights Data and Restricted Computer Software. This provision requires an offeror to represent that it has reviewed the requirements for the delivery of technical data or computer software and state, in response to a solicitation, whether data proposed for fulfilling the data delivery requirements qualifies as limited rights data or restricted computer software. If the Government does not receive unlimited rights, the offeror must provide a list of the data that </w:t>
      </w:r>
      <w:r w:rsidR="002D670F">
        <w:rPr>
          <w:rFonts w:ascii="Arial" w:eastAsia="Arial" w:hAnsi="Arial" w:cs="Arial"/>
        </w:rPr>
        <w:t>qualifies</w:t>
      </w:r>
      <w:r>
        <w:rPr>
          <w:rFonts w:ascii="Arial" w:eastAsia="Arial" w:hAnsi="Arial" w:cs="Arial"/>
        </w:rPr>
        <w:t xml:space="preserve"> as limited rights data or restricted computer software. The offeror would identify any proprietary data it would use during contract performance, in order that the contracting officer might ascertain if such proprietary data should be delivered.</w:t>
      </w:r>
    </w:p>
    <w:p w:rsidR="00C64379" w14:paraId="69A16897"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p>
    <w:p w:rsidR="00C64379" w14:paraId="70366948" w14:textId="77777777">
      <w:pPr>
        <w:widowControl w:val="0"/>
        <w:numPr>
          <w:ilvl w:val="0"/>
          <w:numId w:val="19"/>
        </w:numPr>
        <w:pBdr>
          <w:top w:val="nil"/>
          <w:left w:val="nil"/>
          <w:bottom w:val="nil"/>
          <w:right w:val="nil"/>
          <w:between w:val="nil"/>
        </w:pBdr>
        <w:tabs>
          <w:tab w:val="left" w:pos="360"/>
          <w:tab w:val="left" w:pos="630"/>
          <w:tab w:val="left" w:pos="720"/>
          <w:tab w:val="left" w:pos="1080"/>
        </w:tabs>
        <w:rPr>
          <w:rFonts w:ascii="Arial" w:eastAsia="Arial" w:hAnsi="Arial" w:cs="Arial"/>
        </w:rPr>
      </w:pPr>
      <w:r>
        <w:rPr>
          <w:rFonts w:ascii="Arial" w:eastAsia="Arial" w:hAnsi="Arial" w:cs="Arial"/>
        </w:rPr>
        <w:t>FAR 52.227-16, Additional Data Requirements. This clause requires contractors to keep, for possible delivery to the Government, any data, in addition to data already required to be delivered under the contract, first produced or specifically used in performance of the contract for a period of three years from the final acceptance of all items delivered under the contract. The data delivered under this clause may be in the form of computations, preliminary data, records of experiments, etc. For any data to be delivered under this clause, the Government will pay the contractor for converting the data into a specific form, and for reproducing and delivering the data. The purpose of such recordkeeping requirements is to ensure that, if all data requirements are not known prior to contract award, the Government can fully evaluate the research in order to ascertain future activities and to ensure that the research was completed and fully reported, as well as to give the public an opportunity to assess the research results and secure any additional information.</w:t>
      </w:r>
    </w:p>
    <w:p w:rsidR="00C64379" w14:paraId="7271D5BB" w14:textId="77777777">
      <w:pPr>
        <w:widowControl w:val="0"/>
        <w:pBdr>
          <w:top w:val="nil"/>
          <w:left w:val="nil"/>
          <w:bottom w:val="nil"/>
          <w:right w:val="nil"/>
          <w:between w:val="nil"/>
        </w:pBdr>
        <w:tabs>
          <w:tab w:val="left" w:pos="360"/>
          <w:tab w:val="left" w:pos="630"/>
          <w:tab w:val="left" w:pos="720"/>
          <w:tab w:val="left" w:pos="1080"/>
        </w:tabs>
        <w:rPr>
          <w:rFonts w:ascii="Arial" w:eastAsia="Arial" w:hAnsi="Arial" w:cs="Arial"/>
        </w:rPr>
      </w:pPr>
    </w:p>
    <w:p w:rsidR="00C64379" w14:paraId="14215A67" w14:textId="7B2DF8C2">
      <w:pPr>
        <w:widowControl w:val="0"/>
        <w:numPr>
          <w:ilvl w:val="0"/>
          <w:numId w:val="1"/>
        </w:numPr>
        <w:pBdr>
          <w:top w:val="nil"/>
          <w:left w:val="nil"/>
          <w:bottom w:val="nil"/>
          <w:right w:val="nil"/>
          <w:between w:val="nil"/>
        </w:pBdr>
        <w:tabs>
          <w:tab w:val="left" w:pos="360"/>
          <w:tab w:val="left" w:pos="630"/>
          <w:tab w:val="left" w:pos="720"/>
          <w:tab w:val="left" w:pos="1080"/>
        </w:tabs>
        <w:rPr>
          <w:rFonts w:ascii="Arial" w:eastAsia="Arial" w:hAnsi="Arial" w:cs="Arial"/>
        </w:rPr>
      </w:pPr>
      <w:r>
        <w:rPr>
          <w:rFonts w:ascii="Arial" w:eastAsia="Arial" w:hAnsi="Arial" w:cs="Arial"/>
        </w:rPr>
        <w:t xml:space="preserve">FAR 52.227-17, Rights in Data-Special Works. This clause is included in solicitations and contracts primarily for production or compilation of data. It is used in rare and exceptional circumstances to permit the Government to limit the contractor’s rights in data by preventing the release, distribution, and publication of any data first produced in the performance of the contract. This clause may also be limited to particular items and not the entire contract. This clause requires contractors to assign (with or without registration), or obtain the assignment </w:t>
      </w:r>
      <w:r w:rsidR="002D670F">
        <w:rPr>
          <w:rFonts w:ascii="Arial" w:eastAsia="Arial" w:hAnsi="Arial" w:cs="Arial"/>
        </w:rPr>
        <w:t>of</w:t>
      </w:r>
      <w:r>
        <w:rPr>
          <w:rFonts w:ascii="Arial" w:eastAsia="Arial" w:hAnsi="Arial" w:cs="Arial"/>
        </w:rPr>
        <w:t xml:space="preserve"> copyright to the Government or its designated assignee.</w:t>
      </w:r>
    </w:p>
    <w:p w:rsidR="00C64379" w14:paraId="5E95D172"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p>
    <w:p w:rsidR="00C64379" w14:paraId="3490ECD0" w14:textId="6900134C">
      <w:pPr>
        <w:widowControl w:val="0"/>
        <w:numPr>
          <w:ilvl w:val="0"/>
          <w:numId w:val="22"/>
        </w:numPr>
        <w:pBdr>
          <w:top w:val="nil"/>
          <w:left w:val="nil"/>
          <w:bottom w:val="nil"/>
          <w:right w:val="nil"/>
          <w:between w:val="nil"/>
        </w:pBdr>
        <w:tabs>
          <w:tab w:val="left" w:pos="360"/>
          <w:tab w:val="left" w:pos="630"/>
          <w:tab w:val="left" w:pos="720"/>
          <w:tab w:val="left" w:pos="1080"/>
        </w:tabs>
        <w:rPr>
          <w:rFonts w:ascii="Arial" w:eastAsia="Arial" w:hAnsi="Arial" w:cs="Arial"/>
        </w:rPr>
      </w:pPr>
      <w:r>
        <w:rPr>
          <w:rFonts w:ascii="Arial" w:eastAsia="Arial" w:hAnsi="Arial" w:cs="Arial"/>
        </w:rPr>
        <w:t xml:space="preserve">FAR 52.227-18, Rights in Data-Existing Works. This clause is used when the </w:t>
      </w:r>
      <w:r>
        <w:rPr>
          <w:rFonts w:ascii="Arial" w:eastAsia="Arial" w:hAnsi="Arial" w:cs="Arial"/>
        </w:rPr>
        <w:t xml:space="preserve">Government </w:t>
      </w:r>
      <w:r w:rsidR="002D670F">
        <w:rPr>
          <w:rFonts w:ascii="Arial" w:eastAsia="Arial" w:hAnsi="Arial" w:cs="Arial"/>
        </w:rPr>
        <w:t>acquires</w:t>
      </w:r>
      <w:r>
        <w:rPr>
          <w:rFonts w:ascii="Arial" w:eastAsia="Arial" w:hAnsi="Arial" w:cs="Arial"/>
        </w:rPr>
        <w:t xml:space="preserve"> existing audiovisual or similar works, such as books, without modification. This clause requires contractors to obtain a license for the Government to reproduce, prepare derivative works, and perform and display publicly the materials.</w:t>
      </w:r>
    </w:p>
    <w:p w:rsidR="00C64379" w14:paraId="36D9BEB4"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p>
    <w:p w:rsidR="00C64379" w14:paraId="5A75E2BF" w14:textId="3CE709B6">
      <w:pPr>
        <w:widowControl w:val="0"/>
        <w:numPr>
          <w:ilvl w:val="0"/>
          <w:numId w:val="28"/>
        </w:numPr>
        <w:pBdr>
          <w:top w:val="nil"/>
          <w:left w:val="nil"/>
          <w:bottom w:val="nil"/>
          <w:right w:val="nil"/>
          <w:between w:val="nil"/>
        </w:pBdr>
        <w:tabs>
          <w:tab w:val="left" w:pos="360"/>
          <w:tab w:val="left" w:pos="630"/>
          <w:tab w:val="left" w:pos="720"/>
          <w:tab w:val="left" w:pos="1080"/>
        </w:tabs>
        <w:rPr>
          <w:rFonts w:ascii="Arial" w:eastAsia="Arial" w:hAnsi="Arial" w:cs="Arial"/>
        </w:rPr>
      </w:pPr>
      <w:r>
        <w:rPr>
          <w:rFonts w:ascii="Arial" w:eastAsia="Arial" w:hAnsi="Arial" w:cs="Arial"/>
        </w:rPr>
        <w:t xml:space="preserve">FAR 52.227-19, Commercial Computer Software License. This clause requires contractors to affix </w:t>
      </w:r>
      <w:r w:rsidR="002D670F">
        <w:rPr>
          <w:rFonts w:ascii="Arial" w:eastAsia="Arial" w:hAnsi="Arial" w:cs="Arial"/>
        </w:rPr>
        <w:t>notice</w:t>
      </w:r>
      <w:r>
        <w:rPr>
          <w:rFonts w:ascii="Arial" w:eastAsia="Arial" w:hAnsi="Arial" w:cs="Arial"/>
        </w:rPr>
        <w:t xml:space="preserve"> on any commercial software delivered under the contract that provides notice that the Government’s rights regarding the data are set forth in the contract.</w:t>
      </w:r>
    </w:p>
    <w:p w:rsidR="00C64379" w14:paraId="77888DAE"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p>
    <w:p w:rsidR="00C64379" w14:paraId="4CB03350" w14:textId="0587EDA0">
      <w:pPr>
        <w:widowControl w:val="0"/>
        <w:numPr>
          <w:ilvl w:val="0"/>
          <w:numId w:val="27"/>
        </w:numPr>
        <w:pBdr>
          <w:top w:val="nil"/>
          <w:left w:val="nil"/>
          <w:bottom w:val="nil"/>
          <w:right w:val="nil"/>
          <w:between w:val="nil"/>
        </w:pBdr>
        <w:tabs>
          <w:tab w:val="left" w:pos="360"/>
          <w:tab w:val="left" w:pos="630"/>
          <w:tab w:val="left" w:pos="720"/>
          <w:tab w:val="left" w:pos="1080"/>
        </w:tabs>
        <w:rPr>
          <w:rFonts w:ascii="Arial" w:eastAsia="Arial" w:hAnsi="Arial" w:cs="Arial"/>
        </w:rPr>
      </w:pPr>
      <w:r>
        <w:rPr>
          <w:rFonts w:ascii="Arial" w:eastAsia="Arial" w:hAnsi="Arial" w:cs="Arial"/>
        </w:rPr>
        <w:t xml:space="preserve">FAR 52.227-20, Rights in Data–SBIR Program. This clause authorizes contractors under Small Business Innovation Research (SBIR) contracts to affix a notice to SBIR data delivered under the contract to limit the Government’s rights to disclose data first produced under the contract. For omitted or incorrect markings of data that </w:t>
      </w:r>
      <w:r w:rsidR="002D670F">
        <w:rPr>
          <w:rFonts w:ascii="Arial" w:eastAsia="Arial" w:hAnsi="Arial" w:cs="Arial"/>
        </w:rPr>
        <w:t>have</w:t>
      </w:r>
      <w:r>
        <w:rPr>
          <w:rFonts w:ascii="Arial" w:eastAsia="Arial" w:hAnsi="Arial" w:cs="Arial"/>
        </w:rPr>
        <w:t xml:space="preserve"> not been disclosed without restriction outside the Government, the contractor may request, within 6 months (or a longer time approved by the contracting officer) after delivery of the data, permission to have authorized notices placed on the data at the contractor's expense. Contractors shall obtain from their subcontractors all data and rights necessary to fulfill the contractor's obligations to the Government under the contract. If a subcontractor refuses to accept terms affording the Government those rights, the contractor shall notify the contracting officer of the refusal.</w:t>
      </w:r>
    </w:p>
    <w:p w:rsidR="00C64379" w14:paraId="1EAD5B82"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p>
    <w:p w:rsidR="00C64379" w14:paraId="7B9C3CBA" w14:textId="77777777">
      <w:pPr>
        <w:widowControl w:val="0"/>
        <w:numPr>
          <w:ilvl w:val="0"/>
          <w:numId w:val="21"/>
        </w:numPr>
        <w:pBdr>
          <w:top w:val="nil"/>
          <w:left w:val="nil"/>
          <w:bottom w:val="nil"/>
          <w:right w:val="nil"/>
          <w:between w:val="nil"/>
        </w:pBdr>
        <w:tabs>
          <w:tab w:val="left" w:pos="360"/>
          <w:tab w:val="left" w:pos="630"/>
          <w:tab w:val="left" w:pos="720"/>
          <w:tab w:val="left" w:pos="1080"/>
        </w:tabs>
        <w:rPr>
          <w:rFonts w:ascii="Arial" w:eastAsia="Arial" w:hAnsi="Arial" w:cs="Arial"/>
        </w:rPr>
      </w:pPr>
      <w:r>
        <w:rPr>
          <w:rFonts w:ascii="Arial" w:eastAsia="Arial" w:hAnsi="Arial" w:cs="Arial"/>
        </w:rPr>
        <w:t>FAR 52.227-21, Technical Data Declaration, Revision, and Withholding of Payment–Major Systems. This clause requires major systems contractors to certify that the data delivered under the contract is complete, accurate, and compliant with the requirements of the contract.</w:t>
      </w:r>
    </w:p>
    <w:p w:rsidR="00C64379" w14:paraId="33D295BF" w14:textId="77777777">
      <w:pPr>
        <w:widowControl w:val="0"/>
        <w:pBdr>
          <w:top w:val="nil"/>
          <w:left w:val="nil"/>
          <w:bottom w:val="nil"/>
          <w:right w:val="nil"/>
          <w:between w:val="nil"/>
        </w:pBdr>
        <w:tabs>
          <w:tab w:val="left" w:pos="360"/>
          <w:tab w:val="left" w:pos="630"/>
          <w:tab w:val="left" w:pos="720"/>
          <w:tab w:val="left" w:pos="1080"/>
        </w:tabs>
        <w:ind w:left="360"/>
        <w:rPr>
          <w:rFonts w:ascii="Arial" w:eastAsia="Arial" w:hAnsi="Arial" w:cs="Arial"/>
        </w:rPr>
      </w:pPr>
    </w:p>
    <w:p w:rsidR="00C64379" w14:paraId="30C782B3" w14:textId="77777777">
      <w:pPr>
        <w:widowControl w:val="0"/>
        <w:numPr>
          <w:ilvl w:val="0"/>
          <w:numId w:val="26"/>
        </w:numPr>
        <w:pBdr>
          <w:top w:val="nil"/>
          <w:left w:val="nil"/>
          <w:bottom w:val="nil"/>
          <w:right w:val="nil"/>
          <w:between w:val="nil"/>
        </w:pBdr>
        <w:tabs>
          <w:tab w:val="left" w:pos="360"/>
          <w:tab w:val="left" w:pos="630"/>
          <w:tab w:val="left" w:pos="720"/>
          <w:tab w:val="left" w:pos="1080"/>
        </w:tabs>
        <w:rPr>
          <w:rFonts w:ascii="Arial" w:eastAsia="Arial" w:hAnsi="Arial" w:cs="Arial"/>
        </w:rPr>
      </w:pPr>
      <w:r>
        <w:rPr>
          <w:rFonts w:ascii="Arial" w:eastAsia="Arial" w:hAnsi="Arial" w:cs="Arial"/>
        </w:rPr>
        <w:t>FAR 52.227-23, Rights to Proposal Data (Technical). This clause allows the Government to identify pages of a proposal that would not be subject to unlimited rights in the technical data.</w:t>
      </w:r>
    </w:p>
    <w:p w:rsidR="00C64379" w14:paraId="70EDDD59" w14:textId="77777777">
      <w:pPr>
        <w:rPr>
          <w:rFonts w:ascii="Arial" w:eastAsia="Arial" w:hAnsi="Arial" w:cs="Arial"/>
          <w:u w:val="single"/>
        </w:rPr>
      </w:pPr>
    </w:p>
    <w:p w:rsidR="00C64379" w14:paraId="705194BE" w14:textId="77777777">
      <w:pPr>
        <w:widowControl w:val="0"/>
        <w:numPr>
          <w:ilvl w:val="0"/>
          <w:numId w:val="18"/>
        </w:numPr>
        <w:pBdr>
          <w:top w:val="nil"/>
          <w:left w:val="nil"/>
          <w:bottom w:val="nil"/>
          <w:right w:val="nil"/>
          <w:between w:val="nil"/>
        </w:pBdr>
        <w:tabs>
          <w:tab w:val="left" w:pos="360"/>
          <w:tab w:val="left" w:pos="630"/>
          <w:tab w:val="left" w:pos="720"/>
          <w:tab w:val="left" w:pos="1080"/>
        </w:tabs>
        <w:ind w:left="0"/>
        <w:rPr>
          <w:rFonts w:ascii="Arial" w:eastAsia="Arial" w:hAnsi="Arial" w:cs="Arial"/>
          <w:color w:val="000000"/>
        </w:rPr>
      </w:pPr>
      <w:r>
        <w:rPr>
          <w:rFonts w:ascii="Arial" w:eastAsia="Arial" w:hAnsi="Arial" w:cs="Arial"/>
          <w:color w:val="000000"/>
          <w:u w:val="single"/>
        </w:rPr>
        <w:t>Use of the Information.</w:t>
      </w:r>
      <w:r>
        <w:rPr>
          <w:rFonts w:ascii="Arial" w:eastAsia="Arial" w:hAnsi="Arial" w:cs="Arial"/>
          <w:color w:val="000000"/>
        </w:rPr>
        <w:t xml:space="preserve"> </w:t>
      </w:r>
      <w:r>
        <w:rPr>
          <w:rFonts w:ascii="Arial" w:eastAsia="Arial" w:hAnsi="Arial" w:cs="Arial"/>
        </w:rPr>
        <w:t>The information collected is used to protect the Government’s rights and interests.</w:t>
      </w:r>
    </w:p>
    <w:p w:rsidR="00C64379" w14:paraId="04C42F25" w14:textId="77777777">
      <w:pPr>
        <w:rPr>
          <w:rFonts w:ascii="Arial" w:eastAsia="Arial" w:hAnsi="Arial" w:cs="Arial"/>
          <w:u w:val="single"/>
        </w:rPr>
      </w:pPr>
    </w:p>
    <w:p w:rsidR="00C64379" w14:paraId="75514421" w14:textId="77777777">
      <w:pPr>
        <w:widowControl w:val="0"/>
        <w:numPr>
          <w:ilvl w:val="0"/>
          <w:numId w:val="18"/>
        </w:numPr>
        <w:pBdr>
          <w:top w:val="nil"/>
          <w:left w:val="nil"/>
          <w:bottom w:val="nil"/>
          <w:right w:val="nil"/>
          <w:between w:val="nil"/>
        </w:pBdr>
        <w:tabs>
          <w:tab w:val="left" w:pos="360"/>
          <w:tab w:val="left" w:pos="720"/>
          <w:tab w:val="left" w:pos="1080"/>
        </w:tabs>
        <w:ind w:left="0"/>
        <w:rPr>
          <w:rFonts w:ascii="Arial" w:eastAsia="Arial" w:hAnsi="Arial" w:cs="Arial"/>
          <w:color w:val="000000"/>
        </w:rPr>
      </w:pPr>
      <w:r>
        <w:rPr>
          <w:rFonts w:ascii="Arial" w:eastAsia="Arial" w:hAnsi="Arial" w:cs="Arial"/>
          <w:color w:val="000000"/>
          <w:u w:val="single"/>
        </w:rPr>
        <w:t>Use of Information Technology.</w:t>
      </w:r>
      <w:r>
        <w:rPr>
          <w:rFonts w:ascii="Arial" w:eastAsia="Arial" w:hAnsi="Arial" w:cs="Arial"/>
          <w:color w:val="000000"/>
        </w:rPr>
        <w:t xml:space="preserve"> Federal agencies use information technology to the maximum extent practicable. Where both the Government agency and contractors are capable of electronic interchange, t</w:t>
      </w:r>
      <w:r>
        <w:rPr>
          <w:rFonts w:ascii="Arial" w:eastAsia="Arial" w:hAnsi="Arial" w:cs="Arial"/>
        </w:rPr>
        <w:t>he offerors and contractors m</w:t>
      </w:r>
      <w:r>
        <w:rPr>
          <w:rFonts w:ascii="Arial" w:eastAsia="Arial" w:hAnsi="Arial" w:cs="Arial"/>
          <w:color w:val="000000"/>
        </w:rPr>
        <w:t>ay submit this information collection requirement electronically.</w:t>
      </w:r>
    </w:p>
    <w:p w:rsidR="00C64379" w14:paraId="49AF8DD7" w14:textId="77777777">
      <w:pPr>
        <w:widowControl w:val="0"/>
        <w:tabs>
          <w:tab w:val="left" w:pos="360"/>
          <w:tab w:val="left" w:pos="720"/>
          <w:tab w:val="left" w:pos="1080"/>
        </w:tabs>
        <w:rPr>
          <w:rFonts w:ascii="Arial" w:eastAsia="Arial" w:hAnsi="Arial" w:cs="Arial"/>
        </w:rPr>
      </w:pPr>
    </w:p>
    <w:p w:rsidR="00C64379" w14:paraId="6EE141A7" w14:textId="77777777">
      <w:pPr>
        <w:widowControl w:val="0"/>
        <w:numPr>
          <w:ilvl w:val="0"/>
          <w:numId w:val="18"/>
        </w:numPr>
        <w:pBdr>
          <w:top w:val="nil"/>
          <w:left w:val="nil"/>
          <w:bottom w:val="nil"/>
          <w:right w:val="nil"/>
          <w:between w:val="nil"/>
        </w:pBdr>
        <w:tabs>
          <w:tab w:val="left" w:pos="360"/>
          <w:tab w:val="left" w:pos="720"/>
          <w:tab w:val="left" w:pos="1080"/>
          <w:tab w:val="left" w:pos="1440"/>
        </w:tabs>
        <w:ind w:left="0"/>
        <w:rPr>
          <w:rFonts w:ascii="Arial" w:eastAsia="Arial" w:hAnsi="Arial" w:cs="Arial"/>
        </w:rPr>
      </w:pPr>
      <w:r>
        <w:rPr>
          <w:rFonts w:ascii="Arial" w:eastAsia="Arial" w:hAnsi="Arial" w:cs="Arial"/>
          <w:color w:val="000000"/>
          <w:u w:val="single"/>
        </w:rPr>
        <w:t>Non-duplication.</w:t>
      </w:r>
      <w:r>
        <w:rPr>
          <w:rFonts w:ascii="Arial" w:eastAsia="Arial" w:hAnsi="Arial" w:cs="Arial"/>
          <w:color w:val="000000"/>
        </w:rPr>
        <w:t xml:space="preserve"> </w:t>
      </w:r>
      <w:r>
        <w:rPr>
          <w:rFonts w:ascii="Arial" w:eastAsia="Arial" w:hAnsi="Arial" w:cs="Arial"/>
        </w:rPr>
        <w:t>These requirements are issued under the FAR, which has been developed to standardize Federal procurement practices and eliminate unnecessary duplication.</w:t>
      </w:r>
    </w:p>
    <w:p w:rsidR="00C64379" w14:paraId="52A0879F" w14:textId="77777777">
      <w:pPr>
        <w:widowControl w:val="0"/>
        <w:pBdr>
          <w:top w:val="nil"/>
          <w:left w:val="nil"/>
          <w:bottom w:val="nil"/>
          <w:right w:val="nil"/>
          <w:between w:val="nil"/>
        </w:pBdr>
        <w:tabs>
          <w:tab w:val="left" w:pos="360"/>
          <w:tab w:val="left" w:pos="720"/>
          <w:tab w:val="left" w:pos="1080"/>
          <w:tab w:val="left" w:pos="1440"/>
        </w:tabs>
        <w:rPr>
          <w:rFonts w:ascii="Arial" w:eastAsia="Arial" w:hAnsi="Arial" w:cs="Arial"/>
          <w:color w:val="000000"/>
        </w:rPr>
      </w:pPr>
    </w:p>
    <w:p w:rsidR="00C64379" w14:paraId="737FC496" w14:textId="77777777">
      <w:pPr>
        <w:widowControl w:val="0"/>
        <w:numPr>
          <w:ilvl w:val="0"/>
          <w:numId w:val="18"/>
        </w:numPr>
        <w:pBdr>
          <w:top w:val="nil"/>
          <w:left w:val="nil"/>
          <w:bottom w:val="nil"/>
          <w:right w:val="nil"/>
          <w:between w:val="nil"/>
        </w:pBdr>
        <w:tabs>
          <w:tab w:val="left" w:pos="360"/>
          <w:tab w:val="left" w:pos="720"/>
          <w:tab w:val="left" w:pos="1080"/>
          <w:tab w:val="left" w:pos="1440"/>
        </w:tabs>
        <w:ind w:left="0"/>
        <w:rPr>
          <w:rFonts w:ascii="Arial" w:eastAsia="Arial" w:hAnsi="Arial" w:cs="Arial"/>
        </w:rPr>
      </w:pPr>
      <w:r>
        <w:rPr>
          <w:rFonts w:ascii="Arial" w:eastAsia="Arial" w:hAnsi="Arial" w:cs="Arial"/>
          <w:color w:val="000000"/>
          <w:u w:val="single"/>
        </w:rPr>
        <w:t>Burden on Small Business.</w:t>
      </w:r>
      <w:r>
        <w:rPr>
          <w:rFonts w:ascii="Arial" w:eastAsia="Arial" w:hAnsi="Arial" w:cs="Arial"/>
          <w:color w:val="000000"/>
        </w:rPr>
        <w:t xml:space="preserve"> </w:t>
      </w:r>
      <w:r>
        <w:rPr>
          <w:rFonts w:ascii="Arial" w:eastAsia="Arial" w:hAnsi="Arial" w:cs="Arial"/>
        </w:rPr>
        <w:t xml:space="preserve">The burden applied to small businesses is the minimum consistent with applicable laws, Executive orders, regulations, and prudent business </w:t>
      </w:r>
      <w:r>
        <w:rPr>
          <w:rFonts w:ascii="Arial" w:eastAsia="Arial" w:hAnsi="Arial" w:cs="Arial"/>
        </w:rPr>
        <w:t>practices.</w:t>
      </w:r>
    </w:p>
    <w:p w:rsidR="00C64379" w14:paraId="07A5A8EE" w14:textId="77777777">
      <w:pPr>
        <w:widowControl w:val="0"/>
        <w:pBdr>
          <w:top w:val="nil"/>
          <w:left w:val="nil"/>
          <w:bottom w:val="nil"/>
          <w:right w:val="nil"/>
          <w:between w:val="nil"/>
        </w:pBdr>
        <w:tabs>
          <w:tab w:val="left" w:pos="360"/>
          <w:tab w:val="left" w:pos="720"/>
          <w:tab w:val="left" w:pos="1080"/>
          <w:tab w:val="left" w:pos="1440"/>
        </w:tabs>
        <w:rPr>
          <w:rFonts w:ascii="Arial" w:eastAsia="Arial" w:hAnsi="Arial" w:cs="Arial"/>
        </w:rPr>
      </w:pPr>
    </w:p>
    <w:p w:rsidR="00C64379" w14:paraId="794E5E71" w14:textId="77777777">
      <w:pPr>
        <w:widowControl w:val="0"/>
        <w:numPr>
          <w:ilvl w:val="0"/>
          <w:numId w:val="18"/>
        </w:numPr>
        <w:pBdr>
          <w:top w:val="nil"/>
          <w:left w:val="nil"/>
          <w:bottom w:val="nil"/>
          <w:right w:val="nil"/>
          <w:between w:val="nil"/>
        </w:pBdr>
        <w:tabs>
          <w:tab w:val="left" w:pos="360"/>
          <w:tab w:val="left" w:pos="720"/>
          <w:tab w:val="left" w:pos="1080"/>
        </w:tabs>
        <w:ind w:left="0"/>
        <w:rPr>
          <w:rFonts w:ascii="Arial" w:eastAsia="Arial" w:hAnsi="Arial" w:cs="Arial"/>
        </w:rPr>
      </w:pPr>
      <w:r>
        <w:rPr>
          <w:rFonts w:ascii="Arial" w:eastAsia="Arial" w:hAnsi="Arial" w:cs="Arial"/>
          <w:u w:val="single"/>
        </w:rPr>
        <w:t>Less Frequent Collection.</w:t>
      </w:r>
      <w:r>
        <w:rPr>
          <w:rFonts w:ascii="Arial" w:eastAsia="Arial" w:hAnsi="Arial" w:cs="Arial"/>
        </w:rPr>
        <w:t xml:space="preserve"> Collection of information on a basis other than solicitation-by-solicitation or contract-by-contract is not practical.</w:t>
      </w:r>
    </w:p>
    <w:p w:rsidR="00C64379" w14:paraId="4E8A06CB" w14:textId="77777777">
      <w:pPr>
        <w:rPr>
          <w:rFonts w:ascii="Arial" w:eastAsia="Arial" w:hAnsi="Arial" w:cs="Arial"/>
        </w:rPr>
      </w:pPr>
    </w:p>
    <w:p w:rsidR="00C64379" w14:paraId="20336966" w14:textId="77777777">
      <w:pPr>
        <w:widowControl w:val="0"/>
        <w:numPr>
          <w:ilvl w:val="0"/>
          <w:numId w:val="18"/>
        </w:numPr>
        <w:pBdr>
          <w:top w:val="nil"/>
          <w:left w:val="nil"/>
          <w:bottom w:val="nil"/>
          <w:right w:val="nil"/>
          <w:between w:val="nil"/>
        </w:pBdr>
        <w:tabs>
          <w:tab w:val="left" w:pos="360"/>
          <w:tab w:val="left" w:pos="720"/>
          <w:tab w:val="left" w:pos="1080"/>
          <w:tab w:val="left" w:pos="1440"/>
        </w:tabs>
        <w:ind w:left="0"/>
        <w:rPr>
          <w:rFonts w:ascii="Arial" w:eastAsia="Arial" w:hAnsi="Arial" w:cs="Arial"/>
        </w:rPr>
      </w:pPr>
      <w:r>
        <w:rPr>
          <w:rFonts w:ascii="Arial" w:eastAsia="Arial" w:hAnsi="Arial" w:cs="Arial"/>
          <w:color w:val="000000"/>
          <w:u w:val="single"/>
        </w:rPr>
        <w:t>Paperwork Reduction Act Guidelines.</w:t>
      </w:r>
      <w:r>
        <w:rPr>
          <w:rFonts w:ascii="Arial" w:eastAsia="Arial" w:hAnsi="Arial" w:cs="Arial"/>
          <w:color w:val="000000"/>
        </w:rPr>
        <w:t xml:space="preserve"> </w:t>
      </w:r>
      <w:r>
        <w:rPr>
          <w:rFonts w:ascii="Arial" w:eastAsia="Arial" w:hAnsi="Arial" w:cs="Arial"/>
        </w:rPr>
        <w:t>Collection is consistent with guidelines in 5 CFR 1320.5(d)(2).</w:t>
      </w:r>
    </w:p>
    <w:p w:rsidR="00C64379" w14:paraId="6F5F24C0" w14:textId="77777777">
      <w:pPr>
        <w:widowControl w:val="0"/>
        <w:pBdr>
          <w:top w:val="nil"/>
          <w:left w:val="nil"/>
          <w:bottom w:val="nil"/>
          <w:right w:val="nil"/>
          <w:between w:val="nil"/>
        </w:pBdr>
        <w:tabs>
          <w:tab w:val="left" w:pos="360"/>
          <w:tab w:val="left" w:pos="720"/>
          <w:tab w:val="left" w:pos="1080"/>
          <w:tab w:val="left" w:pos="1440"/>
        </w:tabs>
        <w:rPr>
          <w:rFonts w:ascii="Arial" w:eastAsia="Arial" w:hAnsi="Arial" w:cs="Arial"/>
        </w:rPr>
      </w:pPr>
    </w:p>
    <w:p w:rsidR="00C64379" w14:paraId="3011CA85" w14:textId="77777777">
      <w:pPr>
        <w:widowControl w:val="0"/>
        <w:numPr>
          <w:ilvl w:val="0"/>
          <w:numId w:val="18"/>
        </w:numPr>
        <w:pBdr>
          <w:top w:val="nil"/>
          <w:left w:val="nil"/>
          <w:bottom w:val="nil"/>
          <w:right w:val="nil"/>
          <w:between w:val="nil"/>
        </w:pBdr>
        <w:tabs>
          <w:tab w:val="left" w:pos="360"/>
          <w:tab w:val="left" w:pos="720"/>
          <w:tab w:val="left" w:pos="1080"/>
          <w:tab w:val="left" w:pos="1440"/>
        </w:tabs>
        <w:ind w:left="0"/>
        <w:rPr>
          <w:rFonts w:ascii="Arial" w:eastAsia="Arial" w:hAnsi="Arial" w:cs="Arial"/>
        </w:rPr>
      </w:pPr>
      <w:r>
        <w:rPr>
          <w:rFonts w:ascii="Arial" w:eastAsia="Arial" w:hAnsi="Arial" w:cs="Arial"/>
          <w:color w:val="000000"/>
          <w:u w:val="single"/>
        </w:rPr>
        <w:t>Consultation and Public Comments.</w:t>
      </w:r>
      <w:r>
        <w:rPr>
          <w:rFonts w:ascii="Arial" w:eastAsia="Arial" w:hAnsi="Arial" w:cs="Arial"/>
          <w:color w:val="000000"/>
        </w:rPr>
        <w:t xml:space="preserve"> </w:t>
      </w:r>
    </w:p>
    <w:p w:rsidR="000238F4" w:rsidRPr="000238F4" w:rsidP="000238F4" w14:paraId="6A2FC5D7" w14:textId="63C86248">
      <w:pPr>
        <w:widowControl w:val="0"/>
        <w:numPr>
          <w:ilvl w:val="0"/>
          <w:numId w:val="25"/>
        </w:numPr>
        <w:pBdr>
          <w:top w:val="nil"/>
          <w:left w:val="nil"/>
          <w:bottom w:val="nil"/>
          <w:right w:val="nil"/>
          <w:between w:val="nil"/>
        </w:pBdr>
        <w:tabs>
          <w:tab w:val="left" w:pos="360"/>
          <w:tab w:val="left" w:pos="720"/>
          <w:tab w:val="left" w:pos="1080"/>
          <w:tab w:val="left" w:pos="1440"/>
        </w:tabs>
        <w:ind w:right="183"/>
        <w:rPr>
          <w:rFonts w:ascii="Arial" w:eastAsia="Arial" w:hAnsi="Arial" w:cs="Arial"/>
          <w:bCs/>
          <w:lang w:val="en-US"/>
        </w:rPr>
      </w:pPr>
      <w:r w:rsidRPr="00CB0BF4">
        <w:rPr>
          <w:rFonts w:ascii="Arial" w:eastAsia="Arial" w:hAnsi="Arial" w:cs="Arial"/>
        </w:rPr>
        <w:t xml:space="preserve">A 60-day notice was published in the Federal </w:t>
      </w:r>
      <w:r w:rsidRPr="000238F4">
        <w:rPr>
          <w:rFonts w:ascii="Arial" w:eastAsia="Arial" w:hAnsi="Arial" w:cs="Arial"/>
        </w:rPr>
        <w:t xml:space="preserve">Register at </w:t>
      </w:r>
      <w:r w:rsidRPr="000238F4" w:rsidR="00CB0BF4">
        <w:rPr>
          <w:rFonts w:ascii="Arial" w:eastAsia="Arial" w:hAnsi="Arial" w:cs="Arial"/>
          <w:bCs/>
          <w:lang w:val="en-US"/>
        </w:rPr>
        <w:t xml:space="preserve">90 FR </w:t>
      </w:r>
      <w:r w:rsidRPr="000238F4">
        <w:rPr>
          <w:rFonts w:ascii="Arial" w:eastAsia="Arial" w:hAnsi="Arial" w:cs="Arial"/>
          <w:bCs/>
          <w:lang w:val="en-US"/>
        </w:rPr>
        <w:t>57761</w:t>
      </w:r>
      <w:r w:rsidRPr="000238F4" w:rsidR="00CB0BF4">
        <w:rPr>
          <w:rFonts w:ascii="Arial" w:eastAsia="Arial" w:hAnsi="Arial" w:cs="Arial"/>
          <w:bCs/>
          <w:lang w:val="en-US"/>
        </w:rPr>
        <w:t xml:space="preserve">, on December 12, 2025. </w:t>
      </w:r>
      <w:r w:rsidRPr="000238F4">
        <w:rPr>
          <w:rFonts w:ascii="Arial" w:eastAsia="Arial" w:hAnsi="Arial" w:cs="Arial"/>
          <w:bCs/>
          <w:lang w:val="en-US"/>
        </w:rPr>
        <w:t>Comments were received from two respondents; however, they did not change the estimate of the burden.</w:t>
      </w:r>
    </w:p>
    <w:p w:rsidR="000238F4" w:rsidRPr="000238F4" w:rsidP="000238F4" w14:paraId="5EA9AEC7" w14:textId="77777777">
      <w:pPr>
        <w:widowControl w:val="0"/>
        <w:pBdr>
          <w:top w:val="nil"/>
          <w:left w:val="nil"/>
          <w:bottom w:val="nil"/>
          <w:right w:val="nil"/>
          <w:between w:val="nil"/>
        </w:pBdr>
        <w:tabs>
          <w:tab w:val="left" w:pos="360"/>
          <w:tab w:val="left" w:pos="720"/>
          <w:tab w:val="left" w:pos="1080"/>
          <w:tab w:val="left" w:pos="1440"/>
        </w:tabs>
        <w:ind w:left="720" w:right="183"/>
        <w:rPr>
          <w:rFonts w:ascii="Arial" w:eastAsia="Arial" w:hAnsi="Arial" w:cs="Arial"/>
          <w:bCs/>
          <w:u w:val="single"/>
          <w:lang w:val="en-US"/>
        </w:rPr>
      </w:pPr>
    </w:p>
    <w:p w:rsidR="000238F4" w:rsidRPr="000238F4" w:rsidP="000238F4" w14:paraId="45C5AEB5" w14:textId="7058C00D">
      <w:pPr>
        <w:widowControl w:val="0"/>
        <w:pBdr>
          <w:top w:val="nil"/>
          <w:left w:val="nil"/>
          <w:bottom w:val="nil"/>
          <w:right w:val="nil"/>
          <w:between w:val="nil"/>
        </w:pBdr>
        <w:tabs>
          <w:tab w:val="left" w:pos="360"/>
          <w:tab w:val="left" w:pos="720"/>
          <w:tab w:val="left" w:pos="1080"/>
          <w:tab w:val="left" w:pos="1440"/>
        </w:tabs>
        <w:ind w:left="720" w:right="183"/>
        <w:rPr>
          <w:rFonts w:ascii="Arial" w:eastAsia="Arial" w:hAnsi="Arial" w:cs="Arial"/>
          <w:bCs/>
          <w:lang w:val="en-US"/>
        </w:rPr>
      </w:pPr>
      <w:r w:rsidRPr="000238F4">
        <w:rPr>
          <w:rFonts w:ascii="Arial" w:eastAsia="Arial" w:hAnsi="Arial" w:cs="Arial"/>
          <w:bCs/>
          <w:u w:val="single"/>
          <w:lang w:val="en-US"/>
        </w:rPr>
        <w:t>Summary of comments</w:t>
      </w:r>
      <w:r w:rsidRPr="000238F4">
        <w:rPr>
          <w:rFonts w:ascii="Arial" w:eastAsia="Arial" w:hAnsi="Arial" w:cs="Arial"/>
          <w:bCs/>
          <w:lang w:val="en-US"/>
        </w:rPr>
        <w:t>: A respondent submitted unintelligible comments. Another respondent expressed support for the information collection extension, agreeing it protects government rights. The respondent expressed that the burden is underestimated and it disproportionately impacts small businesses, citing the time and complexity required for preparing data rights assertions, legal review, responding to marking challenges, and maintaining invention systems. The respondent also referred to redundant reporting requirements in the FAR and the DoD FAR Supplement (DFARS). The respondent recommended burden estimate recalibration, harmonization with DFARS, and adopting electronic tools to minimize unnecessary cost and complexity.</w:t>
      </w:r>
    </w:p>
    <w:p w:rsidR="000238F4" w:rsidRPr="000238F4" w:rsidP="000238F4" w14:paraId="3B8D4FB8" w14:textId="77777777">
      <w:pPr>
        <w:widowControl w:val="0"/>
        <w:pBdr>
          <w:top w:val="nil"/>
          <w:left w:val="nil"/>
          <w:bottom w:val="nil"/>
          <w:right w:val="nil"/>
          <w:between w:val="nil"/>
        </w:pBdr>
        <w:tabs>
          <w:tab w:val="left" w:pos="360"/>
          <w:tab w:val="left" w:pos="720"/>
          <w:tab w:val="left" w:pos="1080"/>
          <w:tab w:val="left" w:pos="1440"/>
        </w:tabs>
        <w:ind w:left="720" w:right="183"/>
        <w:rPr>
          <w:rFonts w:ascii="Arial" w:eastAsia="Arial" w:hAnsi="Arial" w:cs="Arial"/>
          <w:bCs/>
          <w:lang w:val="en-US"/>
        </w:rPr>
      </w:pPr>
    </w:p>
    <w:p w:rsidR="00CB0BF4" w:rsidRPr="000238F4" w:rsidP="00CB0BF4" w14:paraId="17AEA297" w14:textId="4153246A">
      <w:pPr>
        <w:widowControl w:val="0"/>
        <w:pBdr>
          <w:top w:val="nil"/>
          <w:left w:val="nil"/>
          <w:bottom w:val="nil"/>
          <w:right w:val="nil"/>
          <w:between w:val="nil"/>
        </w:pBdr>
        <w:tabs>
          <w:tab w:val="left" w:pos="360"/>
          <w:tab w:val="left" w:pos="720"/>
          <w:tab w:val="left" w:pos="1080"/>
          <w:tab w:val="left" w:pos="1440"/>
        </w:tabs>
        <w:ind w:left="720" w:right="183"/>
        <w:rPr>
          <w:rFonts w:ascii="Arial" w:eastAsia="Arial" w:hAnsi="Arial" w:cs="Arial"/>
          <w:bCs/>
          <w:lang w:val="en-US"/>
        </w:rPr>
      </w:pPr>
      <w:r w:rsidRPr="000238F4">
        <w:rPr>
          <w:rFonts w:ascii="Arial" w:eastAsia="Arial" w:hAnsi="Arial" w:cs="Arial"/>
          <w:bCs/>
          <w:u w:val="single"/>
          <w:lang w:val="en-US"/>
        </w:rPr>
        <w:t>Response</w:t>
      </w:r>
      <w:r w:rsidRPr="000238F4">
        <w:rPr>
          <w:rFonts w:ascii="Arial" w:eastAsia="Arial" w:hAnsi="Arial" w:cs="Arial"/>
          <w:bCs/>
          <w:lang w:val="en-US"/>
        </w:rPr>
        <w:t>: The FAR Council acknowledges the comments received. The respondents did not identify the alleged redundant reporting requirements in the FAR and DFARS. While the Government lacks a system to determine the actual number of instances when each information collection is submitted or used, the PRA impact, including the effect on small businesses, is thoroughly addressed during rulemaking processes when collections are established or revised.</w:t>
      </w:r>
      <w:r w:rsidRPr="00A54E11" w:rsidR="00A54E11">
        <w:t xml:space="preserve"> </w:t>
      </w:r>
      <w:r w:rsidRPr="00A54E11" w:rsidR="00A54E11">
        <w:rPr>
          <w:rFonts w:ascii="Arial" w:eastAsia="Arial" w:hAnsi="Arial" w:cs="Arial"/>
          <w:bCs/>
          <w:lang w:val="en-US"/>
        </w:rPr>
        <w:t>Any redundancy should be resolved in the subordinate regulation, the DFARS.</w:t>
      </w:r>
    </w:p>
    <w:p w:rsidR="00C64379" w14:paraId="66277BD8" w14:textId="77777777">
      <w:pPr>
        <w:widowControl w:val="0"/>
        <w:pBdr>
          <w:top w:val="nil"/>
          <w:left w:val="nil"/>
          <w:bottom w:val="nil"/>
          <w:right w:val="nil"/>
          <w:between w:val="nil"/>
        </w:pBdr>
        <w:tabs>
          <w:tab w:val="left" w:pos="360"/>
          <w:tab w:val="left" w:pos="720"/>
          <w:tab w:val="left" w:pos="1080"/>
          <w:tab w:val="left" w:pos="1440"/>
        </w:tabs>
        <w:ind w:left="720" w:right="183"/>
        <w:rPr>
          <w:rFonts w:ascii="Arial" w:eastAsia="Arial" w:hAnsi="Arial" w:cs="Arial"/>
        </w:rPr>
      </w:pPr>
    </w:p>
    <w:p w:rsidR="00C64379" w:rsidRPr="00684D17" w:rsidP="00684D17" w14:paraId="13C6FD7D" w14:textId="7F210B3C">
      <w:pPr>
        <w:widowControl w:val="0"/>
        <w:numPr>
          <w:ilvl w:val="0"/>
          <w:numId w:val="25"/>
        </w:numPr>
        <w:pBdr>
          <w:top w:val="nil"/>
          <w:left w:val="nil"/>
          <w:bottom w:val="nil"/>
          <w:right w:val="nil"/>
          <w:between w:val="nil"/>
        </w:pBdr>
        <w:tabs>
          <w:tab w:val="left" w:pos="360"/>
          <w:tab w:val="left" w:pos="720"/>
          <w:tab w:val="left" w:pos="1080"/>
          <w:tab w:val="left" w:pos="1440"/>
        </w:tabs>
        <w:ind w:right="183"/>
        <w:rPr>
          <w:rFonts w:ascii="Arial" w:eastAsia="Arial" w:hAnsi="Arial" w:cs="Arial"/>
        </w:rPr>
      </w:pPr>
      <w:r>
        <w:rPr>
          <w:rFonts w:ascii="Arial" w:eastAsia="Arial" w:hAnsi="Arial" w:cs="Arial"/>
        </w:rPr>
        <w:t xml:space="preserve">A 30-day notice was published in the Federal Register at </w:t>
      </w:r>
      <w:r w:rsidR="00684D17">
        <w:rPr>
          <w:rFonts w:ascii="Arial" w:eastAsia="Arial" w:hAnsi="Arial" w:cs="Arial"/>
        </w:rPr>
        <w:t>91</w:t>
      </w:r>
      <w:r>
        <w:rPr>
          <w:rFonts w:ascii="Arial" w:eastAsia="Arial" w:hAnsi="Arial" w:cs="Arial"/>
        </w:rPr>
        <w:t xml:space="preserve"> FR </w:t>
      </w:r>
      <w:r w:rsidR="00684D17">
        <w:rPr>
          <w:rFonts w:ascii="Arial" w:eastAsia="Arial" w:hAnsi="Arial" w:cs="Arial"/>
        </w:rPr>
        <w:t>8481</w:t>
      </w:r>
      <w:r>
        <w:rPr>
          <w:rFonts w:ascii="Arial" w:eastAsia="Arial" w:hAnsi="Arial" w:cs="Arial"/>
        </w:rPr>
        <w:t xml:space="preserve">, on </w:t>
      </w:r>
      <w:r w:rsidR="00684D17">
        <w:rPr>
          <w:rFonts w:ascii="Arial" w:eastAsia="Arial" w:hAnsi="Arial" w:cs="Arial"/>
        </w:rPr>
        <w:t>February 23, 2026</w:t>
      </w:r>
      <w:r w:rsidRPr="00684D17">
        <w:rPr>
          <w:rFonts w:ascii="Arial" w:eastAsia="Arial" w:hAnsi="Arial" w:cs="Arial"/>
        </w:rPr>
        <w:t>.</w:t>
      </w:r>
    </w:p>
    <w:p w:rsidR="00C64379" w14:paraId="53F76D17" w14:textId="77777777">
      <w:pPr>
        <w:widowControl w:val="0"/>
        <w:pBdr>
          <w:top w:val="nil"/>
          <w:left w:val="nil"/>
          <w:bottom w:val="nil"/>
          <w:right w:val="nil"/>
          <w:between w:val="nil"/>
        </w:pBdr>
        <w:tabs>
          <w:tab w:val="left" w:pos="360"/>
          <w:tab w:val="left" w:pos="720"/>
          <w:tab w:val="left" w:pos="1080"/>
          <w:tab w:val="left" w:pos="1440"/>
        </w:tabs>
        <w:rPr>
          <w:rFonts w:ascii="Arial" w:eastAsia="Arial" w:hAnsi="Arial" w:cs="Arial"/>
        </w:rPr>
      </w:pPr>
    </w:p>
    <w:p w:rsidR="00C64379" w14:paraId="5620EC89" w14:textId="77777777">
      <w:pPr>
        <w:widowControl w:val="0"/>
        <w:numPr>
          <w:ilvl w:val="0"/>
          <w:numId w:val="18"/>
        </w:numPr>
        <w:pBdr>
          <w:top w:val="nil"/>
          <w:left w:val="nil"/>
          <w:bottom w:val="nil"/>
          <w:right w:val="nil"/>
          <w:between w:val="nil"/>
        </w:pBdr>
        <w:tabs>
          <w:tab w:val="left" w:pos="360"/>
          <w:tab w:val="left" w:pos="720"/>
          <w:tab w:val="left" w:pos="1080"/>
          <w:tab w:val="left" w:pos="1440"/>
        </w:tabs>
        <w:ind w:left="0"/>
        <w:rPr>
          <w:rFonts w:ascii="Arial" w:eastAsia="Arial" w:hAnsi="Arial" w:cs="Arial"/>
        </w:rPr>
      </w:pPr>
      <w:r>
        <w:rPr>
          <w:rFonts w:ascii="Arial" w:eastAsia="Arial" w:hAnsi="Arial" w:cs="Arial"/>
          <w:color w:val="000000"/>
          <w:u w:val="single"/>
        </w:rPr>
        <w:t>Gifts or Payment.</w:t>
      </w:r>
      <w:r>
        <w:rPr>
          <w:rFonts w:ascii="Arial" w:eastAsia="Arial" w:hAnsi="Arial" w:cs="Arial"/>
          <w:color w:val="000000"/>
        </w:rPr>
        <w:t xml:space="preserve"> This collection does not provide any payment or gift to respondents, other than remuneration of contractors.</w:t>
      </w:r>
    </w:p>
    <w:p w:rsidR="00C64379" w14:paraId="481F3429" w14:textId="77777777">
      <w:pPr>
        <w:widowControl w:val="0"/>
        <w:pBdr>
          <w:top w:val="nil"/>
          <w:left w:val="nil"/>
          <w:bottom w:val="nil"/>
          <w:right w:val="nil"/>
          <w:between w:val="nil"/>
        </w:pBdr>
        <w:tabs>
          <w:tab w:val="left" w:pos="360"/>
          <w:tab w:val="left" w:pos="720"/>
          <w:tab w:val="left" w:pos="820"/>
          <w:tab w:val="left" w:pos="821"/>
          <w:tab w:val="left" w:pos="1080"/>
          <w:tab w:val="left" w:pos="1440"/>
        </w:tabs>
        <w:ind w:right="183"/>
        <w:rPr>
          <w:rFonts w:ascii="Arial" w:eastAsia="Arial" w:hAnsi="Arial" w:cs="Arial"/>
          <w:color w:val="0000FF"/>
        </w:rPr>
      </w:pPr>
    </w:p>
    <w:p w:rsidR="00C64379" w14:paraId="7020F46A" w14:textId="77777777">
      <w:pPr>
        <w:widowControl w:val="0"/>
        <w:numPr>
          <w:ilvl w:val="0"/>
          <w:numId w:val="18"/>
        </w:numPr>
        <w:pBdr>
          <w:top w:val="nil"/>
          <w:left w:val="nil"/>
          <w:bottom w:val="nil"/>
          <w:right w:val="nil"/>
          <w:between w:val="nil"/>
        </w:pBdr>
        <w:tabs>
          <w:tab w:val="left" w:pos="360"/>
          <w:tab w:val="left" w:pos="720"/>
          <w:tab w:val="left" w:pos="1080"/>
          <w:tab w:val="left" w:pos="1440"/>
        </w:tabs>
        <w:ind w:left="0"/>
        <w:rPr>
          <w:rFonts w:ascii="Arial" w:eastAsia="Arial" w:hAnsi="Arial" w:cs="Arial"/>
        </w:rPr>
      </w:pPr>
      <w:r>
        <w:rPr>
          <w:rFonts w:ascii="Arial" w:eastAsia="Arial" w:hAnsi="Arial" w:cs="Arial"/>
          <w:color w:val="000000"/>
          <w:u w:val="single"/>
        </w:rPr>
        <w:t>Privacy &amp; Confidentiality.</w:t>
      </w:r>
      <w:r>
        <w:rPr>
          <w:rFonts w:ascii="Arial" w:eastAsia="Arial" w:hAnsi="Arial" w:cs="Arial"/>
          <w:color w:val="000000"/>
        </w:rPr>
        <w:t xml:space="preserve"> </w:t>
      </w:r>
      <w:r>
        <w:rPr>
          <w:rFonts w:ascii="Arial" w:eastAsia="Arial" w:hAnsi="Arial" w:cs="Arial"/>
        </w:rPr>
        <w:t>This information is disclosed only to the extent consistent with prudent business practices, current regulations, and statutory requirements.</w:t>
      </w:r>
    </w:p>
    <w:p w:rsidR="00C64379" w14:paraId="3B4D7973" w14:textId="77777777">
      <w:pPr>
        <w:widowControl w:val="0"/>
        <w:pBdr>
          <w:top w:val="nil"/>
          <w:left w:val="nil"/>
          <w:bottom w:val="nil"/>
          <w:right w:val="nil"/>
          <w:between w:val="nil"/>
        </w:pBdr>
        <w:tabs>
          <w:tab w:val="left" w:pos="360"/>
          <w:tab w:val="left" w:pos="720"/>
          <w:tab w:val="left" w:pos="1080"/>
          <w:tab w:val="left" w:pos="1440"/>
        </w:tabs>
        <w:ind w:left="360"/>
        <w:rPr>
          <w:rFonts w:ascii="Arial" w:eastAsia="Arial" w:hAnsi="Arial" w:cs="Arial"/>
        </w:rPr>
      </w:pPr>
    </w:p>
    <w:p w:rsidR="00C64379" w14:paraId="2638FCD5" w14:textId="77777777">
      <w:pPr>
        <w:widowControl w:val="0"/>
        <w:numPr>
          <w:ilvl w:val="0"/>
          <w:numId w:val="18"/>
        </w:numPr>
        <w:pBdr>
          <w:top w:val="nil"/>
          <w:left w:val="nil"/>
          <w:bottom w:val="nil"/>
          <w:right w:val="nil"/>
          <w:between w:val="nil"/>
        </w:pBdr>
        <w:tabs>
          <w:tab w:val="left" w:pos="360"/>
          <w:tab w:val="left" w:pos="720"/>
          <w:tab w:val="left" w:pos="1080"/>
          <w:tab w:val="left" w:pos="1440"/>
        </w:tabs>
        <w:ind w:left="0"/>
        <w:rPr>
          <w:rFonts w:ascii="Arial" w:eastAsia="Arial" w:hAnsi="Arial" w:cs="Arial"/>
        </w:rPr>
      </w:pPr>
      <w:r>
        <w:rPr>
          <w:rFonts w:ascii="Arial" w:eastAsia="Arial" w:hAnsi="Arial" w:cs="Arial"/>
          <w:color w:val="000000"/>
          <w:u w:val="single"/>
        </w:rPr>
        <w:t>Sensitive Questions.</w:t>
      </w:r>
      <w:r>
        <w:rPr>
          <w:rFonts w:ascii="Arial" w:eastAsia="Arial" w:hAnsi="Arial" w:cs="Arial"/>
          <w:color w:val="000000"/>
        </w:rPr>
        <w:t xml:space="preserve"> </w:t>
      </w:r>
      <w:r>
        <w:rPr>
          <w:rFonts w:ascii="Arial" w:eastAsia="Arial" w:hAnsi="Arial" w:cs="Arial"/>
        </w:rPr>
        <w:t>No sensitive questions are involved.</w:t>
      </w:r>
    </w:p>
    <w:p w:rsidR="00C64379" w14:paraId="734838DD" w14:textId="77777777">
      <w:pPr>
        <w:rPr>
          <w:rFonts w:ascii="Arial" w:eastAsia="Arial" w:hAnsi="Arial" w:cs="Arial"/>
        </w:rPr>
      </w:pPr>
    </w:p>
    <w:p w:rsidR="00C64379" w14:paraId="34BA6D0C" w14:textId="77777777">
      <w:pPr>
        <w:widowControl w:val="0"/>
        <w:numPr>
          <w:ilvl w:val="0"/>
          <w:numId w:val="18"/>
        </w:numPr>
        <w:pBdr>
          <w:top w:val="nil"/>
          <w:left w:val="nil"/>
          <w:bottom w:val="nil"/>
          <w:right w:val="nil"/>
          <w:between w:val="nil"/>
        </w:pBdr>
        <w:tabs>
          <w:tab w:val="left" w:pos="360"/>
          <w:tab w:val="left" w:pos="720"/>
          <w:tab w:val="left" w:pos="1080"/>
          <w:tab w:val="left" w:pos="1440"/>
        </w:tabs>
        <w:ind w:left="0"/>
        <w:rPr>
          <w:rFonts w:ascii="Arial" w:eastAsia="Arial" w:hAnsi="Arial" w:cs="Arial"/>
          <w:color w:val="000000"/>
        </w:rPr>
      </w:pPr>
      <w:r>
        <w:rPr>
          <w:rFonts w:ascii="Arial" w:eastAsia="Arial" w:hAnsi="Arial" w:cs="Arial"/>
          <w:color w:val="000000"/>
          <w:u w:val="single"/>
        </w:rPr>
        <w:t>Burden Estimate.</w:t>
      </w:r>
    </w:p>
    <w:p w:rsidR="00C64379" w14:paraId="6EF63B73" w14:textId="77777777">
      <w:pPr>
        <w:ind w:right="-40"/>
        <w:jc w:val="center"/>
        <w:rPr>
          <w:rFonts w:ascii="Arial" w:eastAsia="Arial" w:hAnsi="Arial" w:cs="Arial"/>
        </w:rPr>
      </w:pPr>
      <w:r>
        <w:rPr>
          <w:rFonts w:ascii="Arial" w:eastAsia="Arial" w:hAnsi="Arial" w:cs="Arial"/>
          <w:b/>
          <w:bCs/>
        </w:rPr>
        <w:t>Estimated total annual public hour and cost burden</w:t>
      </w:r>
      <w:r>
        <w:rPr>
          <w:rFonts w:ascii="Arial" w:eastAsia="Arial" w:hAnsi="Arial" w:cs="Arial"/>
        </w:rPr>
        <w:t>.</w:t>
      </w:r>
    </w:p>
    <w:p w:rsidR="00C64379" w14:paraId="5E212462" w14:textId="77777777">
      <w:pPr>
        <w:ind w:firstLine="720"/>
        <w:rPr>
          <w:rFonts w:ascii="Arial" w:eastAsia="Arial" w:hAnsi="Arial" w:cs="Arial"/>
        </w:rPr>
      </w:pPr>
      <w:r>
        <w:rPr>
          <w:rFonts w:ascii="Arial" w:eastAsia="Arial" w:hAnsi="Arial" w:cs="Arial"/>
        </w:rPr>
        <w:t>There is no centralized database in the Federal Government that maintains information regarding the topics covered by this collection.</w:t>
      </w:r>
    </w:p>
    <w:p w:rsidR="00C64379" w14:paraId="387DA589" w14:textId="77777777">
      <w:pPr>
        <w:ind w:firstLine="720"/>
        <w:rPr>
          <w:rFonts w:ascii="Arial" w:eastAsia="Arial" w:hAnsi="Arial" w:cs="Arial"/>
        </w:rPr>
      </w:pPr>
      <w:r>
        <w:rPr>
          <w:rFonts w:ascii="Arial" w:eastAsia="Arial" w:hAnsi="Arial" w:cs="Arial"/>
        </w:rPr>
        <w:t>The following estimates are based on averages of historical award data available in FPDS for FYs 2022 through 2024, unless otherwise specified. To assist in validating this data, subject matter experts were consulted. The estimates exclude contracts for the acquisition of commercial products and commercial services.</w:t>
      </w:r>
    </w:p>
    <w:p w:rsidR="00C64379" w14:paraId="47443BC1" w14:textId="77777777">
      <w:pPr>
        <w:rPr>
          <w:rFonts w:ascii="Arial" w:eastAsia="Arial" w:hAnsi="Arial" w:cs="Arial"/>
        </w:rPr>
      </w:pPr>
    </w:p>
    <w:p w:rsidR="00C64379" w14:paraId="1FB543CA" w14:textId="77777777">
      <w:pPr>
        <w:rPr>
          <w:rFonts w:ascii="Arial" w:eastAsia="Arial" w:hAnsi="Arial" w:cs="Arial"/>
        </w:rPr>
      </w:pPr>
      <w:r>
        <w:rPr>
          <w:rFonts w:ascii="Arial" w:eastAsia="Arial" w:hAnsi="Arial" w:cs="Arial"/>
          <w:b/>
          <w:bCs/>
        </w:rPr>
        <w:t>Reporting Burden</w:t>
      </w:r>
    </w:p>
    <w:tbl>
      <w:tblPr>
        <w:tblStyle w:val="a0"/>
        <w:tblpPr w:leftFromText="180" w:rightFromText="180" w:vertAnchor="text" w:horzAnchor="margin" w:tblpY="62"/>
        <w:tblW w:w="9360" w:type="dxa"/>
        <w:tblInd w:w="0" w:type="dxa"/>
        <w:tblBorders>
          <w:top w:val="nil"/>
          <w:left w:val="nil"/>
          <w:bottom w:val="nil"/>
          <w:right w:val="nil"/>
          <w:insideH w:val="nil"/>
          <w:insideV w:val="nil"/>
        </w:tblBorders>
        <w:tblLayout w:type="fixed"/>
        <w:tblLook w:val="0600"/>
      </w:tblPr>
      <w:tblGrid>
        <w:gridCol w:w="2181"/>
        <w:gridCol w:w="1038"/>
        <w:gridCol w:w="1037"/>
        <w:gridCol w:w="1037"/>
        <w:gridCol w:w="902"/>
        <w:gridCol w:w="1037"/>
        <w:gridCol w:w="778"/>
        <w:gridCol w:w="1350"/>
      </w:tblGrid>
      <w:tr w14:paraId="11377DC6" w14:textId="77777777" w:rsidTr="002839C8">
        <w:tblPrEx>
          <w:tblW w:w="9360" w:type="dxa"/>
          <w:tblInd w:w="0" w:type="dxa"/>
          <w:tblBorders>
            <w:top w:val="nil"/>
            <w:left w:val="nil"/>
            <w:bottom w:val="nil"/>
            <w:right w:val="nil"/>
            <w:insideH w:val="nil"/>
            <w:insideV w:val="nil"/>
          </w:tblBorders>
          <w:tblLayout w:type="fixed"/>
          <w:tblLook w:val="0600"/>
        </w:tblPrEx>
        <w:trPr>
          <w:trHeight w:val="540"/>
        </w:trPr>
        <w:tc>
          <w:tcPr>
            <w:tcW w:w="2181" w:type="dxa"/>
            <w:tcBorders>
              <w:top w:val="single" w:sz="12" w:space="0" w:color="000000"/>
              <w:left w:val="single" w:sz="12" w:space="0" w:color="000000"/>
              <w:bottom w:val="single" w:sz="12" w:space="0" w:color="000000"/>
              <w:right w:val="single" w:sz="12" w:space="0" w:color="000000"/>
            </w:tcBorders>
            <w:tcMar>
              <w:top w:w="40" w:type="dxa"/>
              <w:left w:w="40" w:type="dxa"/>
              <w:bottom w:w="40" w:type="dxa"/>
              <w:right w:w="40" w:type="dxa"/>
            </w:tcMar>
            <w:vAlign w:val="center"/>
          </w:tcPr>
          <w:p w:rsidR="002839C8" w:rsidP="002839C8" w14:paraId="6D2C258A"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Annual Cost to the Public</w:t>
            </w:r>
          </w:p>
        </w:tc>
        <w:tc>
          <w:tcPr>
            <w:tcW w:w="1038" w:type="dxa"/>
            <w:tcBorders>
              <w:top w:val="single" w:sz="12"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51A923E8" w14:textId="77777777">
            <w:pPr>
              <w:widowControl w:val="0"/>
              <w:spacing w:line="276" w:lineRule="auto"/>
              <w:rPr>
                <w:rFonts w:ascii="Arial" w:eastAsia="Arial" w:hAnsi="Arial" w:cs="Arial"/>
                <w:sz w:val="20"/>
                <w:szCs w:val="20"/>
              </w:rPr>
            </w:pPr>
            <w:r>
              <w:rPr>
                <w:rFonts w:ascii="Arial" w:eastAsia="Arial" w:hAnsi="Arial" w:cs="Arial"/>
                <w:sz w:val="20"/>
                <w:szCs w:val="20"/>
              </w:rPr>
              <w:t>Estimated respondents/yr</w:t>
            </w:r>
          </w:p>
        </w:tc>
        <w:tc>
          <w:tcPr>
            <w:tcW w:w="1037" w:type="dxa"/>
            <w:tcBorders>
              <w:top w:val="single" w:sz="12"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0D35006" w14:textId="77777777">
            <w:pPr>
              <w:widowControl w:val="0"/>
              <w:spacing w:line="276" w:lineRule="auto"/>
              <w:rPr>
                <w:rFonts w:ascii="Arial" w:eastAsia="Arial" w:hAnsi="Arial" w:cs="Arial"/>
                <w:sz w:val="20"/>
                <w:szCs w:val="20"/>
              </w:rPr>
            </w:pPr>
            <w:r>
              <w:rPr>
                <w:rFonts w:ascii="Arial" w:eastAsia="Arial" w:hAnsi="Arial" w:cs="Arial"/>
                <w:sz w:val="20"/>
                <w:szCs w:val="20"/>
              </w:rPr>
              <w:t>Responses/respondent</w:t>
            </w:r>
          </w:p>
        </w:tc>
        <w:tc>
          <w:tcPr>
            <w:tcW w:w="1037" w:type="dxa"/>
            <w:tcBorders>
              <w:top w:val="single" w:sz="12"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5B1E0BB" w14:textId="77777777">
            <w:pPr>
              <w:widowControl w:val="0"/>
              <w:spacing w:line="276" w:lineRule="auto"/>
              <w:rPr>
                <w:rFonts w:ascii="Arial" w:eastAsia="Arial" w:hAnsi="Arial" w:cs="Arial"/>
                <w:sz w:val="20"/>
                <w:szCs w:val="20"/>
              </w:rPr>
            </w:pPr>
            <w:r>
              <w:rPr>
                <w:rFonts w:ascii="Arial" w:eastAsia="Arial" w:hAnsi="Arial" w:cs="Arial"/>
                <w:sz w:val="20"/>
                <w:szCs w:val="20"/>
              </w:rPr>
              <w:t>Total annual responses</w:t>
            </w:r>
          </w:p>
        </w:tc>
        <w:tc>
          <w:tcPr>
            <w:tcW w:w="902" w:type="dxa"/>
            <w:tcBorders>
              <w:top w:val="single" w:sz="12"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340724A6" w14:textId="77777777">
            <w:pPr>
              <w:widowControl w:val="0"/>
              <w:spacing w:line="276" w:lineRule="auto"/>
              <w:rPr>
                <w:rFonts w:ascii="Arial" w:eastAsia="Arial" w:hAnsi="Arial" w:cs="Arial"/>
                <w:sz w:val="20"/>
                <w:szCs w:val="20"/>
              </w:rPr>
            </w:pPr>
            <w:r>
              <w:rPr>
                <w:rFonts w:ascii="Arial" w:eastAsia="Arial" w:hAnsi="Arial" w:cs="Arial"/>
                <w:sz w:val="20"/>
                <w:szCs w:val="20"/>
              </w:rPr>
              <w:t>Estimated hrs/response</w:t>
            </w:r>
          </w:p>
        </w:tc>
        <w:tc>
          <w:tcPr>
            <w:tcW w:w="1037" w:type="dxa"/>
            <w:tcBorders>
              <w:top w:val="single" w:sz="12"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1115CF6C" w14:textId="77777777">
            <w:pPr>
              <w:widowControl w:val="0"/>
              <w:spacing w:line="276" w:lineRule="auto"/>
              <w:rPr>
                <w:rFonts w:ascii="Arial" w:eastAsia="Arial" w:hAnsi="Arial" w:cs="Arial"/>
                <w:sz w:val="20"/>
                <w:szCs w:val="20"/>
              </w:rPr>
            </w:pPr>
            <w:r>
              <w:rPr>
                <w:rFonts w:ascii="Arial" w:eastAsia="Arial" w:hAnsi="Arial" w:cs="Arial"/>
                <w:sz w:val="20"/>
                <w:szCs w:val="20"/>
              </w:rPr>
              <w:t>Estimated total burden hrs</w:t>
            </w:r>
          </w:p>
        </w:tc>
        <w:tc>
          <w:tcPr>
            <w:tcW w:w="778" w:type="dxa"/>
            <w:tcBorders>
              <w:top w:val="single" w:sz="12"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0CC310EB" w14:textId="77777777">
            <w:pPr>
              <w:widowControl w:val="0"/>
              <w:spacing w:line="276" w:lineRule="auto"/>
              <w:rPr>
                <w:rFonts w:ascii="Arial" w:eastAsia="Arial" w:hAnsi="Arial" w:cs="Arial"/>
                <w:sz w:val="20"/>
                <w:szCs w:val="20"/>
              </w:rPr>
            </w:pPr>
            <w:r>
              <w:rPr>
                <w:rFonts w:ascii="Arial" w:eastAsia="Arial" w:hAnsi="Arial" w:cs="Arial"/>
                <w:sz w:val="20"/>
                <w:szCs w:val="20"/>
              </w:rPr>
              <w:t>Hourly rate</w:t>
            </w:r>
          </w:p>
        </w:tc>
        <w:tc>
          <w:tcPr>
            <w:tcW w:w="1350" w:type="dxa"/>
            <w:tcBorders>
              <w:top w:val="single" w:sz="12"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326CC111" w14:textId="77777777">
            <w:pPr>
              <w:widowControl w:val="0"/>
              <w:spacing w:line="276" w:lineRule="auto"/>
              <w:rPr>
                <w:rFonts w:ascii="Arial" w:eastAsia="Arial" w:hAnsi="Arial" w:cs="Arial"/>
                <w:sz w:val="20"/>
                <w:szCs w:val="20"/>
              </w:rPr>
            </w:pPr>
            <w:r>
              <w:rPr>
                <w:rFonts w:ascii="Arial" w:eastAsia="Arial" w:hAnsi="Arial" w:cs="Arial"/>
                <w:sz w:val="20"/>
                <w:szCs w:val="20"/>
              </w:rPr>
              <w:t>Estimated annual cost to the public</w:t>
            </w:r>
          </w:p>
        </w:tc>
      </w:tr>
      <w:tr w14:paraId="7C445AD5" w14:textId="77777777" w:rsidTr="002839C8">
        <w:tblPrEx>
          <w:tblW w:w="9360" w:type="dxa"/>
          <w:tblInd w:w="0" w:type="dxa"/>
          <w:tblLayout w:type="fixed"/>
          <w:tblLook w:val="0600"/>
        </w:tblPrEx>
        <w:trPr>
          <w:trHeight w:val="315"/>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18E0CB2E" w14:textId="77777777">
            <w:pPr>
              <w:widowControl w:val="0"/>
              <w:spacing w:line="276" w:lineRule="auto"/>
              <w:rPr>
                <w:rFonts w:ascii="Arial" w:eastAsia="Arial" w:hAnsi="Arial" w:cs="Arial"/>
                <w:sz w:val="20"/>
                <w:szCs w:val="20"/>
              </w:rPr>
            </w:pPr>
            <w:r>
              <w:rPr>
                <w:rFonts w:ascii="Arial" w:eastAsia="Arial" w:hAnsi="Arial" w:cs="Arial"/>
                <w:b/>
                <w:bCs/>
                <w:sz w:val="20"/>
                <w:szCs w:val="20"/>
              </w:rPr>
              <w:t>Reporting Burden</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02DF6AAC" w14:textId="77777777">
            <w:pPr>
              <w:widowControl w:val="0"/>
              <w:spacing w:line="276" w:lineRule="auto"/>
              <w:rPr>
                <w:rFonts w:ascii="Arial" w:eastAsia="Arial" w:hAnsi="Arial" w:cs="Arial"/>
                <w:sz w:val="20"/>
                <w:szCs w:val="20"/>
              </w:rPr>
            </w:pP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500BFC7C" w14:textId="77777777">
            <w:pPr>
              <w:widowControl w:val="0"/>
              <w:spacing w:line="276" w:lineRule="auto"/>
              <w:rPr>
                <w:rFonts w:ascii="Arial" w:eastAsia="Arial" w:hAnsi="Arial" w:cs="Arial"/>
                <w:sz w:val="20"/>
                <w:szCs w:val="20"/>
              </w:rPr>
            </w:pP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6E1FD22" w14:textId="77777777">
            <w:pPr>
              <w:widowControl w:val="0"/>
              <w:spacing w:line="276" w:lineRule="auto"/>
              <w:rPr>
                <w:rFonts w:ascii="Arial" w:eastAsia="Arial" w:hAnsi="Arial" w:cs="Arial"/>
                <w:sz w:val="20"/>
                <w:szCs w:val="20"/>
              </w:rPr>
            </w:pP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56B8FB42" w14:textId="77777777">
            <w:pPr>
              <w:widowControl w:val="0"/>
              <w:spacing w:line="276" w:lineRule="auto"/>
              <w:rPr>
                <w:rFonts w:ascii="Arial" w:eastAsia="Arial" w:hAnsi="Arial" w:cs="Arial"/>
                <w:sz w:val="20"/>
                <w:szCs w:val="20"/>
              </w:rPr>
            </w:pP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118C0133" w14:textId="77777777">
            <w:pPr>
              <w:widowControl w:val="0"/>
              <w:spacing w:line="276" w:lineRule="auto"/>
              <w:rPr>
                <w:rFonts w:ascii="Arial" w:eastAsia="Arial" w:hAnsi="Arial" w:cs="Arial"/>
                <w:sz w:val="20"/>
                <w:szCs w:val="20"/>
              </w:rPr>
            </w:pP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316BC6C" w14:textId="77777777">
            <w:pPr>
              <w:widowControl w:val="0"/>
              <w:spacing w:line="276" w:lineRule="auto"/>
              <w:rPr>
                <w:rFonts w:ascii="Arial" w:eastAsia="Arial" w:hAnsi="Arial" w:cs="Arial"/>
                <w:sz w:val="20"/>
                <w:szCs w:val="20"/>
              </w:rPr>
            </w:pP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5A474C3B" w14:textId="77777777">
            <w:pPr>
              <w:widowControl w:val="0"/>
              <w:spacing w:line="276" w:lineRule="auto"/>
              <w:rPr>
                <w:rFonts w:ascii="Arial" w:eastAsia="Arial" w:hAnsi="Arial" w:cs="Arial"/>
                <w:sz w:val="20"/>
                <w:szCs w:val="20"/>
              </w:rPr>
            </w:pPr>
          </w:p>
        </w:tc>
      </w:tr>
      <w:tr w14:paraId="71F3B632" w14:textId="77777777" w:rsidTr="002839C8">
        <w:tblPrEx>
          <w:tblW w:w="9360" w:type="dxa"/>
          <w:tblInd w:w="0" w:type="dxa"/>
          <w:tblLayout w:type="fixed"/>
          <w:tblLook w:val="0600"/>
        </w:tblPrEx>
        <w:trPr>
          <w:trHeight w:val="315"/>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655D90B1"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52.227-2</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5184C51E"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36</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D8B0289"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08ED3E87"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36</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10848528"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6F50747"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72</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1250E07"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597F736"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$5,112</w:t>
            </w:r>
          </w:p>
        </w:tc>
      </w:tr>
      <w:tr w14:paraId="722A41A5" w14:textId="77777777" w:rsidTr="002839C8">
        <w:tblPrEx>
          <w:tblW w:w="9360" w:type="dxa"/>
          <w:tblInd w:w="0" w:type="dxa"/>
          <w:tblLayout w:type="fixed"/>
          <w:tblLook w:val="0600"/>
        </w:tblPrEx>
        <w:trPr>
          <w:trHeight w:val="315"/>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2DA1855D"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52.227-6</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8861B86"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6</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3BDABC3F"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51748B30"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6</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F0C8328"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1E1083C1"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6</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A9B3E14"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30A98399"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$426</w:t>
            </w:r>
          </w:p>
        </w:tc>
      </w:tr>
      <w:tr w14:paraId="4CEF32B3" w14:textId="77777777" w:rsidTr="002839C8">
        <w:tblPrEx>
          <w:tblW w:w="9360" w:type="dxa"/>
          <w:tblInd w:w="0" w:type="dxa"/>
          <w:tblLayout w:type="fixed"/>
          <w:tblLook w:val="0600"/>
        </w:tblPrEx>
        <w:trPr>
          <w:trHeight w:val="315"/>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5A255891"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52.227-9</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5C395CE"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20</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1B56E597"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FB29EF4"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20</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3288F353"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AEB7438"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20</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5D6639B"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CB8144A"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$1,420</w:t>
            </w:r>
          </w:p>
        </w:tc>
      </w:tr>
      <w:tr w14:paraId="5A4A2DF4" w14:textId="77777777" w:rsidTr="002839C8">
        <w:tblPrEx>
          <w:tblW w:w="9360" w:type="dxa"/>
          <w:tblInd w:w="0" w:type="dxa"/>
          <w:tblLayout w:type="fixed"/>
          <w:tblLook w:val="0600"/>
        </w:tblPrEx>
        <w:trPr>
          <w:trHeight w:val="315"/>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0F78D260"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52.227-11 or -13</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92B5C15"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377</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F7855BC"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36</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67E11C5"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13,572</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D7C91CC"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4</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5EF23A24"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54,288</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0DAD5AD0"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E8187F9"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$3,854,448</w:t>
            </w:r>
          </w:p>
        </w:tc>
      </w:tr>
      <w:tr w14:paraId="4436D438" w14:textId="77777777" w:rsidTr="002839C8">
        <w:tblPrEx>
          <w:tblW w:w="9360" w:type="dxa"/>
          <w:tblInd w:w="0" w:type="dxa"/>
          <w:tblLayout w:type="fixed"/>
          <w:tblLook w:val="0600"/>
        </w:tblPrEx>
        <w:trPr>
          <w:trHeight w:val="315"/>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6AD1C2F4"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52.227-14</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0C30F844"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50</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DB0F24A"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4</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184BD375"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200</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FFBE96D"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E36BDBB"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200</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519A58C"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03F0B405"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$14,200</w:t>
            </w:r>
          </w:p>
        </w:tc>
      </w:tr>
      <w:tr w14:paraId="4740EB8B" w14:textId="77777777" w:rsidTr="002839C8">
        <w:tblPrEx>
          <w:tblW w:w="9360" w:type="dxa"/>
          <w:tblInd w:w="0" w:type="dxa"/>
          <w:tblLayout w:type="fixed"/>
          <w:tblLook w:val="0600"/>
        </w:tblPrEx>
        <w:trPr>
          <w:trHeight w:val="315"/>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06784F39"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52.227-15</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5084003E"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5</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30A2FC0"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4</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8D6C1CC"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20</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11D5A26D"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BC4F7FA"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20</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5E6A1D7E"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7FA454A"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$1,420</w:t>
            </w:r>
          </w:p>
        </w:tc>
      </w:tr>
      <w:tr w14:paraId="2C987E88" w14:textId="77777777" w:rsidTr="002839C8">
        <w:tblPrEx>
          <w:tblW w:w="9360" w:type="dxa"/>
          <w:tblInd w:w="0" w:type="dxa"/>
          <w:tblLayout w:type="fixed"/>
          <w:tblLook w:val="0600"/>
        </w:tblPrEx>
        <w:trPr>
          <w:trHeight w:val="315"/>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20990E29"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52.227-17</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AC10C7E"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B091032"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35BF2083"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004F0CF9"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3B15597"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52D7757"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C484C00"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r>
      <w:tr w14:paraId="44BA61D7" w14:textId="77777777" w:rsidTr="002839C8">
        <w:tblPrEx>
          <w:tblW w:w="9360" w:type="dxa"/>
          <w:tblInd w:w="0" w:type="dxa"/>
          <w:tblLayout w:type="fixed"/>
          <w:tblLook w:val="0600"/>
        </w:tblPrEx>
        <w:trPr>
          <w:trHeight w:val="315"/>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713AFBD9"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52.227-18</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EDCA8DE"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247425C"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32C9AB0D"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DB3CD4A"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5D7793B"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652B542"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0E008351"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$213</w:t>
            </w:r>
          </w:p>
        </w:tc>
      </w:tr>
      <w:tr w14:paraId="79A4DE21" w14:textId="77777777" w:rsidTr="002839C8">
        <w:tblPrEx>
          <w:tblW w:w="9360" w:type="dxa"/>
          <w:tblInd w:w="0" w:type="dxa"/>
          <w:tblLayout w:type="fixed"/>
          <w:tblLook w:val="0600"/>
        </w:tblPrEx>
        <w:trPr>
          <w:trHeight w:val="315"/>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3D483D69"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52.227-19</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1768C9DA"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A146878"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BF886E1"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9</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385B43ED"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0499B04"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9</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2CC999B"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3E2DAF24"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$639</w:t>
            </w:r>
          </w:p>
        </w:tc>
      </w:tr>
      <w:tr w14:paraId="46DEA4BA" w14:textId="77777777" w:rsidTr="002839C8">
        <w:tblPrEx>
          <w:tblW w:w="9360" w:type="dxa"/>
          <w:tblInd w:w="0" w:type="dxa"/>
          <w:tblLayout w:type="fixed"/>
          <w:tblLook w:val="0600"/>
        </w:tblPrEx>
        <w:trPr>
          <w:trHeight w:val="315"/>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44EA80F6"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52.227-20</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36249A3"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1CAFDE1D"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1E8C798"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4</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A3DC983"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F68A8BE"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4</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5D1E4821"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DC20249"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$284</w:t>
            </w:r>
          </w:p>
        </w:tc>
      </w:tr>
      <w:tr w14:paraId="739868A4" w14:textId="77777777" w:rsidTr="002839C8">
        <w:tblPrEx>
          <w:tblW w:w="9360" w:type="dxa"/>
          <w:tblInd w:w="0" w:type="dxa"/>
          <w:tblLayout w:type="fixed"/>
          <w:tblLook w:val="0600"/>
        </w:tblPrEx>
        <w:trPr>
          <w:trHeight w:val="315"/>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6662574C"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52.227-21</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5BBF5BE"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8</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6CF72E1"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5</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0F77216B"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40</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849CD20"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24F3ADC"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40</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491FBE3"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F7917F1"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$2,840</w:t>
            </w:r>
          </w:p>
        </w:tc>
      </w:tr>
      <w:tr w14:paraId="0EC5D5A1" w14:textId="77777777" w:rsidTr="002839C8">
        <w:tblPrEx>
          <w:tblW w:w="9360" w:type="dxa"/>
          <w:tblInd w:w="0" w:type="dxa"/>
          <w:tblLayout w:type="fixed"/>
          <w:tblLook w:val="0600"/>
        </w:tblPrEx>
        <w:trPr>
          <w:trHeight w:val="315"/>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38F35197"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52.227-23</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98DEAFD"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10</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047CE3A6"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63614D2"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10</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3C99B00"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084C1942"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10</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A71ACAD"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5FA4F6D"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$710</w:t>
            </w:r>
          </w:p>
        </w:tc>
      </w:tr>
      <w:tr w14:paraId="36951E7A" w14:textId="77777777" w:rsidTr="002839C8">
        <w:tblPrEx>
          <w:tblW w:w="9360" w:type="dxa"/>
          <w:tblInd w:w="0" w:type="dxa"/>
          <w:tblLayout w:type="fixed"/>
          <w:tblLook w:val="0600"/>
        </w:tblPrEx>
        <w:trPr>
          <w:trHeight w:val="315"/>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56A12A79" w14:textId="77777777">
            <w:pPr>
              <w:widowControl w:val="0"/>
              <w:spacing w:line="276" w:lineRule="auto"/>
              <w:jc w:val="right"/>
              <w:rPr>
                <w:rFonts w:ascii="Arial" w:eastAsia="Arial" w:hAnsi="Arial" w:cs="Arial"/>
                <w:sz w:val="20"/>
                <w:szCs w:val="20"/>
              </w:rPr>
            </w:pPr>
            <w:r>
              <w:rPr>
                <w:rFonts w:ascii="Arial" w:eastAsia="Arial" w:hAnsi="Arial" w:cs="Arial"/>
                <w:b/>
                <w:bCs/>
                <w:sz w:val="20"/>
                <w:szCs w:val="20"/>
              </w:rPr>
              <w:t>Reporting Burden Total</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FE74B81" w14:textId="77777777">
            <w:pPr>
              <w:widowControl w:val="0"/>
              <w:spacing w:line="276" w:lineRule="auto"/>
              <w:jc w:val="center"/>
              <w:rPr>
                <w:rFonts w:ascii="Arial" w:eastAsia="Arial" w:hAnsi="Arial" w:cs="Arial"/>
                <w:sz w:val="20"/>
                <w:szCs w:val="20"/>
              </w:rPr>
            </w:pPr>
            <w:r>
              <w:rPr>
                <w:rFonts w:ascii="Arial" w:eastAsia="Arial" w:hAnsi="Arial" w:cs="Arial"/>
                <w:b/>
                <w:bCs/>
                <w:sz w:val="20"/>
                <w:szCs w:val="20"/>
              </w:rPr>
              <w:t>521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748951D" w14:textId="77777777">
            <w:pPr>
              <w:widowControl w:val="0"/>
              <w:spacing w:line="276" w:lineRule="auto"/>
              <w:rPr>
                <w:rFonts w:ascii="Arial" w:eastAsia="Arial" w:hAnsi="Arial" w:cs="Arial"/>
                <w:sz w:val="20"/>
                <w:szCs w:val="20"/>
              </w:rPr>
            </w:pP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68D601C" w14:textId="77777777">
            <w:pPr>
              <w:widowControl w:val="0"/>
              <w:spacing w:line="276" w:lineRule="auto"/>
              <w:jc w:val="center"/>
              <w:rPr>
                <w:rFonts w:ascii="Arial" w:eastAsia="Arial" w:hAnsi="Arial" w:cs="Arial"/>
                <w:sz w:val="20"/>
                <w:szCs w:val="20"/>
              </w:rPr>
            </w:pPr>
            <w:r>
              <w:rPr>
                <w:rFonts w:ascii="Arial" w:eastAsia="Arial" w:hAnsi="Arial" w:cs="Arial"/>
                <w:b/>
                <w:bCs/>
                <w:sz w:val="20"/>
                <w:szCs w:val="20"/>
              </w:rPr>
              <w:t>13,921</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58AD058F" w14:textId="77777777">
            <w:pPr>
              <w:widowControl w:val="0"/>
              <w:spacing w:line="276" w:lineRule="auto"/>
              <w:rPr>
                <w:rFonts w:ascii="Arial" w:eastAsia="Arial" w:hAnsi="Arial" w:cs="Arial"/>
                <w:sz w:val="20"/>
                <w:szCs w:val="20"/>
              </w:rPr>
            </w:pP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00BB34AA" w14:textId="77777777">
            <w:pPr>
              <w:widowControl w:val="0"/>
              <w:spacing w:line="276" w:lineRule="auto"/>
              <w:jc w:val="center"/>
              <w:rPr>
                <w:rFonts w:ascii="Arial" w:eastAsia="Arial" w:hAnsi="Arial" w:cs="Arial"/>
                <w:sz w:val="20"/>
                <w:szCs w:val="20"/>
              </w:rPr>
            </w:pPr>
            <w:r>
              <w:rPr>
                <w:rFonts w:ascii="Arial" w:eastAsia="Arial" w:hAnsi="Arial" w:cs="Arial"/>
                <w:b/>
                <w:bCs/>
                <w:sz w:val="20"/>
                <w:szCs w:val="20"/>
              </w:rPr>
              <w:t>54,673</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8E01EF2" w14:textId="77777777">
            <w:pPr>
              <w:widowControl w:val="0"/>
              <w:spacing w:line="276" w:lineRule="auto"/>
              <w:rPr>
                <w:rFonts w:ascii="Arial" w:eastAsia="Arial" w:hAnsi="Arial" w:cs="Arial"/>
                <w:sz w:val="20"/>
                <w:szCs w:val="20"/>
              </w:rPr>
            </w:pP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391004CE" w14:textId="77777777">
            <w:pPr>
              <w:widowControl w:val="0"/>
              <w:spacing w:line="276" w:lineRule="auto"/>
              <w:jc w:val="center"/>
              <w:rPr>
                <w:rFonts w:ascii="Arial" w:eastAsia="Arial" w:hAnsi="Arial" w:cs="Arial"/>
                <w:sz w:val="20"/>
                <w:szCs w:val="20"/>
              </w:rPr>
            </w:pPr>
            <w:r>
              <w:rPr>
                <w:rFonts w:ascii="Arial" w:eastAsia="Arial" w:hAnsi="Arial" w:cs="Arial"/>
                <w:b/>
                <w:bCs/>
                <w:sz w:val="20"/>
                <w:szCs w:val="20"/>
              </w:rPr>
              <w:t>$3,881,783</w:t>
            </w:r>
          </w:p>
        </w:tc>
      </w:tr>
      <w:tr w14:paraId="08E96588" w14:textId="77777777" w:rsidTr="002839C8">
        <w:tblPrEx>
          <w:tblW w:w="9360" w:type="dxa"/>
          <w:tblInd w:w="0" w:type="dxa"/>
          <w:tblLayout w:type="fixed"/>
          <w:tblLook w:val="0600"/>
        </w:tblPrEx>
        <w:trPr>
          <w:trHeight w:val="990"/>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11BF02FE" w14:textId="77777777">
            <w:pPr>
              <w:widowControl w:val="0"/>
              <w:spacing w:line="276" w:lineRule="auto"/>
              <w:rPr>
                <w:rFonts w:ascii="Arial" w:eastAsia="Arial" w:hAnsi="Arial" w:cs="Arial"/>
                <w:sz w:val="20"/>
                <w:szCs w:val="20"/>
              </w:rPr>
            </w:pPr>
            <w:r>
              <w:rPr>
                <w:rFonts w:ascii="Arial" w:eastAsia="Arial" w:hAnsi="Arial" w:cs="Arial"/>
                <w:b/>
                <w:bCs/>
                <w:sz w:val="20"/>
                <w:szCs w:val="20"/>
              </w:rPr>
              <w:t>Recordkeeping Burden</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7E2877D"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Recordkeepers/yr</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874AF9B"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Records per recordkeeper</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F81CE69"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Total annual records</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1D86AC9"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Review hours/response</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0685764B" w14:textId="77777777">
            <w:pPr>
              <w:widowControl w:val="0"/>
              <w:spacing w:line="276" w:lineRule="auto"/>
              <w:rPr>
                <w:rFonts w:ascii="Arial" w:eastAsia="Arial" w:hAnsi="Arial" w:cs="Arial"/>
                <w:sz w:val="20"/>
                <w:szCs w:val="20"/>
              </w:rPr>
            </w:pPr>
            <w:r>
              <w:rPr>
                <w:rFonts w:ascii="Arial" w:eastAsia="Arial" w:hAnsi="Arial" w:cs="Arial"/>
                <w:sz w:val="20"/>
                <w:szCs w:val="20"/>
              </w:rPr>
              <w:t>Annual recordkeeping burden hours</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917C37B" w14:textId="77777777">
            <w:pPr>
              <w:widowControl w:val="0"/>
              <w:spacing w:line="276" w:lineRule="auto"/>
              <w:rPr>
                <w:rFonts w:ascii="Arial" w:eastAsia="Arial" w:hAnsi="Arial" w:cs="Arial"/>
                <w:sz w:val="20"/>
                <w:szCs w:val="20"/>
              </w:rPr>
            </w:pPr>
            <w:r>
              <w:rPr>
                <w:rFonts w:ascii="Arial" w:eastAsia="Arial" w:hAnsi="Arial" w:cs="Arial"/>
                <w:sz w:val="20"/>
                <w:szCs w:val="20"/>
              </w:rPr>
              <w:t>Hourly rate</w:t>
            </w: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FB33447" w14:textId="77777777">
            <w:pPr>
              <w:widowControl w:val="0"/>
              <w:spacing w:line="276" w:lineRule="auto"/>
              <w:rPr>
                <w:rFonts w:ascii="Arial" w:eastAsia="Arial" w:hAnsi="Arial" w:cs="Arial"/>
                <w:sz w:val="20"/>
                <w:szCs w:val="20"/>
              </w:rPr>
            </w:pPr>
            <w:r>
              <w:rPr>
                <w:rFonts w:ascii="Arial" w:eastAsia="Arial" w:hAnsi="Arial" w:cs="Arial"/>
                <w:sz w:val="20"/>
                <w:szCs w:val="20"/>
              </w:rPr>
              <w:t>Annual recordkeeping burden cost to the public</w:t>
            </w:r>
          </w:p>
        </w:tc>
      </w:tr>
      <w:tr w14:paraId="5B3E5986" w14:textId="77777777" w:rsidTr="002839C8">
        <w:tblPrEx>
          <w:tblW w:w="9360" w:type="dxa"/>
          <w:tblInd w:w="0" w:type="dxa"/>
          <w:tblLayout w:type="fixed"/>
          <w:tblLook w:val="0600"/>
        </w:tblPrEx>
        <w:trPr>
          <w:trHeight w:val="315"/>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7CE8CECC"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52.227-16</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0A525163"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309</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1308FE63"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5B13D103"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927</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2465102"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E9E894C"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927</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3062511"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3DC8CBC7"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$65,817</w:t>
            </w:r>
          </w:p>
        </w:tc>
      </w:tr>
      <w:tr w14:paraId="39085CD5" w14:textId="77777777" w:rsidTr="002839C8">
        <w:tblPrEx>
          <w:tblW w:w="9360" w:type="dxa"/>
          <w:tblInd w:w="0" w:type="dxa"/>
          <w:tblLayout w:type="fixed"/>
          <w:tblLook w:val="0600"/>
        </w:tblPrEx>
        <w:trPr>
          <w:trHeight w:val="315"/>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01FD476B" w14:textId="77777777">
            <w:pPr>
              <w:widowControl w:val="0"/>
              <w:spacing w:line="276" w:lineRule="auto"/>
              <w:jc w:val="right"/>
              <w:rPr>
                <w:rFonts w:ascii="Arial" w:eastAsia="Arial" w:hAnsi="Arial" w:cs="Arial"/>
                <w:sz w:val="20"/>
                <w:szCs w:val="20"/>
              </w:rPr>
            </w:pPr>
            <w:r>
              <w:rPr>
                <w:rFonts w:ascii="Arial" w:eastAsia="Arial" w:hAnsi="Arial" w:cs="Arial"/>
                <w:b/>
                <w:bCs/>
                <w:sz w:val="20"/>
                <w:szCs w:val="20"/>
              </w:rPr>
              <w:t>Recordkeeping Burden Total</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CA99043" w14:textId="77777777">
            <w:pPr>
              <w:widowControl w:val="0"/>
              <w:spacing w:line="276" w:lineRule="auto"/>
              <w:jc w:val="center"/>
              <w:rPr>
                <w:rFonts w:ascii="Arial" w:eastAsia="Arial" w:hAnsi="Arial" w:cs="Arial"/>
                <w:sz w:val="20"/>
                <w:szCs w:val="20"/>
              </w:rPr>
            </w:pPr>
            <w:r>
              <w:rPr>
                <w:rFonts w:ascii="Arial" w:eastAsia="Arial" w:hAnsi="Arial" w:cs="Arial"/>
                <w:b/>
                <w:bCs/>
                <w:sz w:val="20"/>
                <w:szCs w:val="20"/>
              </w:rPr>
              <w:t>309</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010439E" w14:textId="77777777">
            <w:pPr>
              <w:widowControl w:val="0"/>
              <w:spacing w:line="276" w:lineRule="auto"/>
              <w:rPr>
                <w:rFonts w:ascii="Arial" w:eastAsia="Arial" w:hAnsi="Arial" w:cs="Arial"/>
                <w:sz w:val="20"/>
                <w:szCs w:val="20"/>
              </w:rPr>
            </w:pP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AFED6BF" w14:textId="77777777">
            <w:pPr>
              <w:widowControl w:val="0"/>
              <w:spacing w:line="276" w:lineRule="auto"/>
              <w:jc w:val="center"/>
              <w:rPr>
                <w:rFonts w:ascii="Arial" w:eastAsia="Arial" w:hAnsi="Arial" w:cs="Arial"/>
                <w:sz w:val="20"/>
                <w:szCs w:val="20"/>
              </w:rPr>
            </w:pPr>
            <w:r>
              <w:rPr>
                <w:rFonts w:ascii="Arial" w:eastAsia="Arial" w:hAnsi="Arial" w:cs="Arial"/>
                <w:b/>
                <w:bCs/>
                <w:sz w:val="20"/>
                <w:szCs w:val="20"/>
              </w:rPr>
              <w:t>927</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D8128C4" w14:textId="77777777">
            <w:pPr>
              <w:widowControl w:val="0"/>
              <w:spacing w:line="276" w:lineRule="auto"/>
              <w:rPr>
                <w:rFonts w:ascii="Arial" w:eastAsia="Arial" w:hAnsi="Arial" w:cs="Arial"/>
                <w:sz w:val="20"/>
                <w:szCs w:val="20"/>
              </w:rPr>
            </w:pP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4F05B6B4" w14:textId="77777777">
            <w:pPr>
              <w:widowControl w:val="0"/>
              <w:spacing w:line="276" w:lineRule="auto"/>
              <w:jc w:val="center"/>
              <w:rPr>
                <w:rFonts w:ascii="Arial" w:eastAsia="Arial" w:hAnsi="Arial" w:cs="Arial"/>
                <w:sz w:val="20"/>
                <w:szCs w:val="20"/>
              </w:rPr>
            </w:pPr>
            <w:r>
              <w:rPr>
                <w:rFonts w:ascii="Arial" w:eastAsia="Arial" w:hAnsi="Arial" w:cs="Arial"/>
                <w:b/>
                <w:bCs/>
                <w:sz w:val="20"/>
                <w:szCs w:val="20"/>
              </w:rPr>
              <w:t>927</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93EE684" w14:textId="77777777">
            <w:pPr>
              <w:widowControl w:val="0"/>
              <w:spacing w:line="276" w:lineRule="auto"/>
              <w:rPr>
                <w:rFonts w:ascii="Arial" w:eastAsia="Arial" w:hAnsi="Arial" w:cs="Arial"/>
                <w:sz w:val="20"/>
                <w:szCs w:val="20"/>
              </w:rPr>
            </w:pP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6D1E2899" w14:textId="77777777">
            <w:pPr>
              <w:widowControl w:val="0"/>
              <w:spacing w:line="276" w:lineRule="auto"/>
              <w:jc w:val="center"/>
              <w:rPr>
                <w:rFonts w:ascii="Arial" w:eastAsia="Arial" w:hAnsi="Arial" w:cs="Arial"/>
                <w:sz w:val="20"/>
                <w:szCs w:val="20"/>
              </w:rPr>
            </w:pPr>
            <w:r>
              <w:rPr>
                <w:rFonts w:ascii="Arial" w:eastAsia="Arial" w:hAnsi="Arial" w:cs="Arial"/>
                <w:b/>
                <w:bCs/>
                <w:sz w:val="20"/>
                <w:szCs w:val="20"/>
              </w:rPr>
              <w:t>$65,817</w:t>
            </w:r>
          </w:p>
        </w:tc>
      </w:tr>
      <w:tr w14:paraId="43B5110C" w14:textId="77777777" w:rsidTr="002839C8">
        <w:tblPrEx>
          <w:tblW w:w="9360" w:type="dxa"/>
          <w:tblInd w:w="0" w:type="dxa"/>
          <w:tblLayout w:type="fixed"/>
          <w:tblLook w:val="0600"/>
        </w:tblPrEx>
        <w:trPr>
          <w:trHeight w:val="630"/>
        </w:trPr>
        <w:tc>
          <w:tcPr>
            <w:tcW w:w="2181"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2839C8" w:rsidP="002839C8" w14:paraId="10DE3CE9" w14:textId="77777777">
            <w:pPr>
              <w:widowControl w:val="0"/>
              <w:spacing w:line="276" w:lineRule="auto"/>
              <w:rPr>
                <w:rFonts w:ascii="Arial" w:eastAsia="Arial" w:hAnsi="Arial" w:cs="Arial"/>
                <w:sz w:val="20"/>
                <w:szCs w:val="20"/>
              </w:rPr>
            </w:pPr>
            <w:r>
              <w:rPr>
                <w:rFonts w:ascii="Arial" w:eastAsia="Arial" w:hAnsi="Arial" w:cs="Arial"/>
                <w:b/>
                <w:bCs/>
              </w:rPr>
              <w:t>Total annual cost to the public</w:t>
            </w:r>
          </w:p>
        </w:tc>
        <w:tc>
          <w:tcPr>
            <w:tcW w:w="10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38D36ED7" w14:textId="77777777">
            <w:pPr>
              <w:widowControl w:val="0"/>
              <w:spacing w:line="276" w:lineRule="auto"/>
              <w:jc w:val="right"/>
              <w:rPr>
                <w:rFonts w:ascii="Arial" w:eastAsia="Arial" w:hAnsi="Arial" w:cs="Arial"/>
                <w:sz w:val="20"/>
                <w:szCs w:val="20"/>
              </w:rPr>
            </w:pPr>
            <w:r>
              <w:rPr>
                <w:rFonts w:ascii="Arial" w:eastAsia="Arial" w:hAnsi="Arial" w:cs="Arial"/>
                <w:b/>
                <w:bCs/>
              </w:rPr>
              <w:t>830</w:t>
            </w: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225010CA" w14:textId="77777777">
            <w:pPr>
              <w:widowControl w:val="0"/>
              <w:spacing w:line="276" w:lineRule="auto"/>
              <w:rPr>
                <w:rFonts w:ascii="Arial" w:eastAsia="Arial" w:hAnsi="Arial" w:cs="Arial"/>
                <w:sz w:val="20"/>
                <w:szCs w:val="20"/>
              </w:rPr>
            </w:pP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4A0D153" w14:textId="77777777">
            <w:pPr>
              <w:widowControl w:val="0"/>
              <w:spacing w:line="276" w:lineRule="auto"/>
              <w:jc w:val="right"/>
              <w:rPr>
                <w:rFonts w:ascii="Arial" w:eastAsia="Arial" w:hAnsi="Arial" w:cs="Arial"/>
                <w:sz w:val="20"/>
                <w:szCs w:val="20"/>
              </w:rPr>
            </w:pPr>
            <w:r>
              <w:rPr>
                <w:rFonts w:ascii="Arial" w:eastAsia="Arial" w:hAnsi="Arial" w:cs="Arial"/>
                <w:b/>
                <w:bCs/>
              </w:rPr>
              <w:t>14,848</w:t>
            </w:r>
          </w:p>
        </w:tc>
        <w:tc>
          <w:tcPr>
            <w:tcW w:w="902"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588B42FB" w14:textId="77777777">
            <w:pPr>
              <w:widowControl w:val="0"/>
              <w:spacing w:line="276" w:lineRule="auto"/>
              <w:rPr>
                <w:rFonts w:ascii="Arial" w:eastAsia="Arial" w:hAnsi="Arial" w:cs="Arial"/>
                <w:sz w:val="20"/>
                <w:szCs w:val="20"/>
              </w:rPr>
            </w:pPr>
          </w:p>
        </w:tc>
        <w:tc>
          <w:tcPr>
            <w:tcW w:w="10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71956B53" w14:textId="77777777">
            <w:pPr>
              <w:widowControl w:val="0"/>
              <w:spacing w:line="276" w:lineRule="auto"/>
              <w:jc w:val="right"/>
              <w:rPr>
                <w:rFonts w:ascii="Arial" w:eastAsia="Arial" w:hAnsi="Arial" w:cs="Arial"/>
                <w:sz w:val="20"/>
                <w:szCs w:val="20"/>
              </w:rPr>
            </w:pPr>
            <w:r>
              <w:rPr>
                <w:rFonts w:ascii="Arial" w:eastAsia="Arial" w:hAnsi="Arial" w:cs="Arial"/>
                <w:b/>
                <w:bCs/>
              </w:rPr>
              <w:t>55,600</w:t>
            </w:r>
          </w:p>
        </w:tc>
        <w:tc>
          <w:tcPr>
            <w:tcW w:w="77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0C434EAF" w14:textId="77777777">
            <w:pPr>
              <w:widowControl w:val="0"/>
              <w:spacing w:line="276" w:lineRule="auto"/>
              <w:rPr>
                <w:rFonts w:ascii="Arial" w:eastAsia="Arial" w:hAnsi="Arial" w:cs="Arial"/>
                <w:sz w:val="20"/>
                <w:szCs w:val="20"/>
              </w:rPr>
            </w:pPr>
          </w:p>
        </w:tc>
        <w:tc>
          <w:tcPr>
            <w:tcW w:w="135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2839C8" w:rsidP="002839C8" w14:paraId="0D2E490C" w14:textId="77777777">
            <w:pPr>
              <w:widowControl w:val="0"/>
              <w:spacing w:line="276" w:lineRule="auto"/>
              <w:jc w:val="right"/>
              <w:rPr>
                <w:rFonts w:ascii="Arial" w:eastAsia="Arial" w:hAnsi="Arial" w:cs="Arial"/>
                <w:sz w:val="20"/>
                <w:szCs w:val="20"/>
              </w:rPr>
            </w:pPr>
            <w:r>
              <w:rPr>
                <w:rFonts w:ascii="Arial" w:eastAsia="Arial" w:hAnsi="Arial" w:cs="Arial"/>
                <w:b/>
                <w:bCs/>
              </w:rPr>
              <w:t>$3,947,600</w:t>
            </w:r>
          </w:p>
        </w:tc>
      </w:tr>
    </w:tbl>
    <w:p w:rsidR="00C64379" w14:paraId="13B52ACE" w14:textId="77777777">
      <w:pPr>
        <w:numPr>
          <w:ilvl w:val="0"/>
          <w:numId w:val="11"/>
        </w:numPr>
        <w:rPr>
          <w:rFonts w:ascii="Arial" w:eastAsia="Arial" w:hAnsi="Arial" w:cs="Arial"/>
          <w:b/>
          <w:bCs/>
        </w:rPr>
      </w:pPr>
      <w:r>
        <w:rPr>
          <w:rFonts w:ascii="Arial" w:eastAsia="Arial" w:hAnsi="Arial" w:cs="Arial"/>
          <w:b/>
          <w:bCs/>
        </w:rPr>
        <w:t>FAR 52.227-2, Notice and Assistance Regarding Patent and Copyright Infringement.</w:t>
      </w:r>
    </w:p>
    <w:p w:rsidR="00C64379" w14:paraId="2837EC84" w14:textId="77777777">
      <w:pPr>
        <w:rPr>
          <w:rFonts w:ascii="Arial" w:eastAsia="Arial" w:hAnsi="Arial" w:cs="Arial"/>
        </w:rPr>
      </w:pPr>
    </w:p>
    <w:p w:rsidR="00C64379" w14:paraId="047948F7" w14:textId="77777777">
      <w:pPr>
        <w:ind w:firstLine="720"/>
        <w:rPr>
          <w:rFonts w:ascii="Arial" w:eastAsia="Arial" w:hAnsi="Arial" w:cs="Arial"/>
        </w:rPr>
      </w:pPr>
      <w:r>
        <w:rPr>
          <w:rFonts w:ascii="Arial" w:eastAsia="Arial" w:hAnsi="Arial" w:cs="Arial"/>
        </w:rPr>
        <w:t xml:space="preserve">FPDS accounts for 5,688 unique contractors that received awards in FY 22 valued over the SAT, which could have included this clause. Contractors, however, only notify the Government when there is a claim of patent or copyright infringement. </w:t>
      </w:r>
    </w:p>
    <w:p w:rsidR="00C64379" w14:paraId="3BF0EA5F" w14:textId="6EAB8A0B">
      <w:pPr>
        <w:ind w:firstLine="720"/>
        <w:rPr>
          <w:rFonts w:ascii="Arial" w:eastAsia="Arial" w:hAnsi="Arial" w:cs="Arial"/>
        </w:rPr>
      </w:pPr>
      <w:r>
        <w:rPr>
          <w:rFonts w:ascii="Arial" w:eastAsia="Arial" w:hAnsi="Arial" w:cs="Arial"/>
        </w:rPr>
        <w:t xml:space="preserve">Based on prior estimates from subject matter experts, the number of notices or claims of patent or copyright infringement was estimated to be received from 0.15% of the total number of unique contractors receiving contracts with this clause, </w:t>
      </w:r>
      <w:r w:rsidR="002D670F">
        <w:rPr>
          <w:rFonts w:ascii="Arial" w:eastAsia="Arial" w:hAnsi="Arial" w:cs="Arial"/>
        </w:rPr>
        <w:t>or</w:t>
      </w:r>
      <w:r>
        <w:rPr>
          <w:rFonts w:ascii="Arial" w:eastAsia="Arial" w:hAnsi="Arial" w:cs="Arial"/>
        </w:rPr>
        <w:t xml:space="preserve"> rounded to the nearest whole number, 9 (5,688 x .0015).</w:t>
      </w:r>
    </w:p>
    <w:p w:rsidR="00C64379" w14:paraId="245C12A9" w14:textId="77777777">
      <w:pPr>
        <w:ind w:firstLine="720"/>
        <w:rPr>
          <w:rFonts w:ascii="Arial" w:eastAsia="Arial" w:hAnsi="Arial" w:cs="Arial"/>
        </w:rPr>
      </w:pPr>
      <w:r>
        <w:rPr>
          <w:rFonts w:ascii="Arial" w:eastAsia="Arial" w:hAnsi="Arial" w:cs="Arial"/>
        </w:rPr>
        <w:t>It is also estimated that each contractor will have three subcontractors for a total of 27 unique subcontractors.</w:t>
      </w:r>
    </w:p>
    <w:p w:rsidR="00C64379" w14:paraId="7B449031" w14:textId="77777777">
      <w:pPr>
        <w:ind w:firstLine="720"/>
        <w:rPr>
          <w:rFonts w:ascii="Arial" w:eastAsia="Arial" w:hAnsi="Arial" w:cs="Arial"/>
        </w:rPr>
      </w:pPr>
      <w:r>
        <w:rPr>
          <w:rFonts w:ascii="Arial" w:eastAsia="Arial" w:hAnsi="Arial" w:cs="Arial"/>
        </w:rPr>
        <w:t>It is estimated that 36 unique contractors would be required to submit a statement of royalties paid (9 prime contractors + 27 subcontractors).</w:t>
      </w:r>
    </w:p>
    <w:p w:rsidR="00C64379" w14:paraId="105CADDA" w14:textId="1BD59BB1">
      <w:pPr>
        <w:ind w:firstLine="720"/>
        <w:rPr>
          <w:rFonts w:ascii="Arial" w:eastAsia="Arial" w:hAnsi="Arial" w:cs="Arial"/>
        </w:rPr>
      </w:pPr>
      <w:r>
        <w:rPr>
          <w:rFonts w:ascii="Arial" w:eastAsia="Arial" w:hAnsi="Arial" w:cs="Arial"/>
        </w:rPr>
        <w:t xml:space="preserve">Two burden hours are estimated per response to monitor claims of patent or copyright infringement and to prepare, review, and submit the required notification. It is estimated that this work </w:t>
      </w:r>
      <w:r w:rsidR="002D670F">
        <w:rPr>
          <w:rFonts w:ascii="Arial" w:eastAsia="Arial" w:hAnsi="Arial" w:cs="Arial"/>
        </w:rPr>
        <w:t>will</w:t>
      </w:r>
      <w:r>
        <w:rPr>
          <w:rFonts w:ascii="Arial" w:eastAsia="Arial" w:hAnsi="Arial" w:cs="Arial"/>
        </w:rPr>
        <w:t xml:space="preserve"> be completed by a mid-level program manager and an attorney.</w:t>
      </w:r>
    </w:p>
    <w:p w:rsidR="00C64379" w14:paraId="4E863606" w14:textId="77777777">
      <w:pPr>
        <w:rPr>
          <w:rFonts w:ascii="Arial" w:eastAsia="Arial" w:hAnsi="Arial" w:cs="Arial"/>
        </w:rPr>
      </w:pPr>
    </w:p>
    <w:p w:rsidR="00C64379" w14:paraId="0DD35601" w14:textId="77777777">
      <w:pPr>
        <w:rPr>
          <w:rFonts w:ascii="Arial" w:eastAsia="Arial" w:hAnsi="Arial" w:cs="Arial"/>
        </w:rPr>
      </w:pPr>
      <w:r>
        <w:rPr>
          <w:rFonts w:ascii="Arial" w:eastAsia="Arial" w:hAnsi="Arial" w:cs="Arial"/>
        </w:rPr>
        <w:t>Estimated number of respondents/yr................................</w:t>
      </w:r>
      <w:r>
        <w:rPr>
          <w:rFonts w:ascii="Arial" w:eastAsia="Arial" w:hAnsi="Arial" w:cs="Arial"/>
        </w:rPr>
        <w:tab/>
        <w:t xml:space="preserve">  36</w:t>
      </w:r>
    </w:p>
    <w:p w:rsidR="00C64379" w14:paraId="7F972553" w14:textId="77777777">
      <w:pPr>
        <w:rPr>
          <w:rFonts w:ascii="Arial" w:eastAsia="Arial" w:hAnsi="Arial" w:cs="Arial"/>
        </w:rPr>
      </w:pPr>
      <w:r>
        <w:rPr>
          <w:rFonts w:ascii="Arial" w:eastAsia="Arial" w:hAnsi="Arial" w:cs="Arial"/>
        </w:rPr>
        <w:t>Responses per respondent...............................................x       1</w:t>
      </w:r>
    </w:p>
    <w:p w:rsidR="00C64379" w14:paraId="647FCD7F" w14:textId="77777777">
      <w:pPr>
        <w:rPr>
          <w:rFonts w:ascii="Arial" w:eastAsia="Arial" w:hAnsi="Arial" w:cs="Arial"/>
        </w:rPr>
      </w:pPr>
      <w:r>
        <w:rPr>
          <w:rFonts w:ascii="Arial" w:eastAsia="Arial" w:hAnsi="Arial" w:cs="Arial"/>
        </w:rPr>
        <w:t>Total annual responses.......................................................</w:t>
      </w:r>
      <w:r>
        <w:rPr>
          <w:rFonts w:ascii="Arial" w:eastAsia="Arial" w:hAnsi="Arial" w:cs="Arial"/>
        </w:rPr>
        <w:tab/>
        <w:t xml:space="preserve"> 36</w:t>
      </w:r>
    </w:p>
    <w:p w:rsidR="00C64379" w14:paraId="15FB7428" w14:textId="77777777">
      <w:pPr>
        <w:rPr>
          <w:rFonts w:ascii="Arial" w:eastAsia="Arial" w:hAnsi="Arial" w:cs="Arial"/>
        </w:rPr>
      </w:pPr>
      <w:r>
        <w:rPr>
          <w:rFonts w:ascii="Arial" w:eastAsia="Arial" w:hAnsi="Arial" w:cs="Arial"/>
        </w:rPr>
        <w:t>Estimated hrs/response.....................................................x     2</w:t>
      </w:r>
    </w:p>
    <w:p w:rsidR="00C64379" w14:paraId="6AA3CF09" w14:textId="77777777">
      <w:pPr>
        <w:rPr>
          <w:rFonts w:ascii="Arial" w:eastAsia="Arial" w:hAnsi="Arial" w:cs="Arial"/>
        </w:rPr>
      </w:pPr>
      <w:r>
        <w:rPr>
          <w:rFonts w:ascii="Arial" w:eastAsia="Arial" w:hAnsi="Arial" w:cs="Arial"/>
        </w:rPr>
        <w:t>Estimated annual burden hours.........................................</w:t>
      </w:r>
      <w:r>
        <w:rPr>
          <w:rFonts w:ascii="Arial" w:eastAsia="Arial" w:hAnsi="Arial" w:cs="Arial"/>
        </w:rPr>
        <w:tab/>
        <w:t>72</w:t>
      </w:r>
    </w:p>
    <w:p w:rsidR="00C64379" w14:paraId="294A886D" w14:textId="77777777">
      <w:pPr>
        <w:rPr>
          <w:rFonts w:ascii="Arial" w:eastAsia="Arial" w:hAnsi="Arial" w:cs="Arial"/>
        </w:rPr>
      </w:pPr>
      <w:r>
        <w:rPr>
          <w:rFonts w:ascii="Arial" w:eastAsia="Arial" w:hAnsi="Arial" w:cs="Arial"/>
        </w:rPr>
        <w:t>Hourly rate</w:t>
      </w:r>
      <w:r>
        <w:rPr>
          <w:rFonts w:ascii="Arial" w:eastAsia="Arial" w:hAnsi="Arial" w:cs="Arial"/>
          <w:b/>
          <w:bCs/>
        </w:rPr>
        <w:t>*</w:t>
      </w:r>
      <w:r>
        <w:rPr>
          <w:rFonts w:ascii="Arial" w:eastAsia="Arial" w:hAnsi="Arial" w:cs="Arial"/>
        </w:rPr>
        <w:t>........................................................................x  $71</w:t>
      </w:r>
    </w:p>
    <w:p w:rsidR="00C64379" w14:paraId="2B60969D" w14:textId="77777777">
      <w:pPr>
        <w:rPr>
          <w:rFonts w:ascii="Arial" w:eastAsia="Arial" w:hAnsi="Arial" w:cs="Arial"/>
        </w:rPr>
      </w:pPr>
      <w:r>
        <w:rPr>
          <w:rFonts w:ascii="Arial" w:eastAsia="Arial" w:hAnsi="Arial" w:cs="Arial"/>
        </w:rPr>
        <w:t>Estimated annual cost to the public................................ $ 5,112</w:t>
      </w:r>
    </w:p>
    <w:p w:rsidR="00C64379" w14:paraId="337ED6C8" w14:textId="77777777">
      <w:pPr>
        <w:rPr>
          <w:rFonts w:ascii="Arial" w:eastAsia="Arial" w:hAnsi="Arial" w:cs="Arial"/>
        </w:rPr>
      </w:pPr>
    </w:p>
    <w:p w:rsidR="00C64379" w14:paraId="24029704" w14:textId="77777777">
      <w:pPr>
        <w:numPr>
          <w:ilvl w:val="0"/>
          <w:numId w:val="23"/>
        </w:numPr>
        <w:rPr>
          <w:rFonts w:ascii="Arial" w:eastAsia="Arial" w:hAnsi="Arial" w:cs="Arial"/>
          <w:b/>
          <w:bCs/>
        </w:rPr>
      </w:pPr>
      <w:r>
        <w:rPr>
          <w:rFonts w:ascii="Arial" w:eastAsia="Arial" w:hAnsi="Arial" w:cs="Arial"/>
          <w:b/>
          <w:bCs/>
        </w:rPr>
        <w:t>FAR 52.227-6, Royalty Information.</w:t>
      </w:r>
    </w:p>
    <w:p w:rsidR="00C64379" w14:paraId="12683E8F" w14:textId="77777777">
      <w:pPr>
        <w:rPr>
          <w:rFonts w:ascii="Arial" w:eastAsia="Arial" w:hAnsi="Arial" w:cs="Arial"/>
        </w:rPr>
      </w:pPr>
    </w:p>
    <w:p w:rsidR="00C64379" w14:paraId="4434C014" w14:textId="77777777">
      <w:pPr>
        <w:ind w:firstLine="720"/>
        <w:rPr>
          <w:rFonts w:ascii="Arial" w:eastAsia="Arial" w:hAnsi="Arial" w:cs="Arial"/>
        </w:rPr>
      </w:pPr>
      <w:r>
        <w:rPr>
          <w:rFonts w:ascii="Arial" w:eastAsia="Arial" w:hAnsi="Arial" w:cs="Arial"/>
        </w:rPr>
        <w:t>On average per year, FPDS accounts for 1,504 contracts awarded to 597 unique contractors Governmentwide where certified cost or pricing data was obtained. Offerors are only required to provide royalty payment information in proposals when the royalty payment exceeds $250. Subject matter experts have previously estimated that approximately 1 percent of such unique contractors proposed costs or charges for royalties totaling more than $250 on an annual basis, or, rounded to the nearest whole number, 6 (597 * .01).</w:t>
      </w:r>
    </w:p>
    <w:p w:rsidR="00C64379" w14:paraId="36B987B9" w14:textId="77777777">
      <w:pPr>
        <w:ind w:firstLine="720"/>
        <w:rPr>
          <w:rFonts w:ascii="Arial" w:eastAsia="Arial" w:hAnsi="Arial" w:cs="Arial"/>
        </w:rPr>
      </w:pPr>
      <w:r>
        <w:rPr>
          <w:rFonts w:ascii="Arial" w:eastAsia="Arial" w:hAnsi="Arial" w:cs="Arial"/>
        </w:rPr>
        <w:t>One burden hour is estimated per response to disclose the requested information in the proposal. This estimate includes the time needed to provide a copy of the current license agreement and redact any proprietary data, and to submit to the Government. It is estimated that this work would be completed by a mid-level program manager.</w:t>
      </w:r>
    </w:p>
    <w:p w:rsidR="00C64379" w14:paraId="0698907D" w14:textId="77777777">
      <w:pPr>
        <w:rPr>
          <w:rFonts w:ascii="Arial" w:eastAsia="Arial" w:hAnsi="Arial" w:cs="Arial"/>
        </w:rPr>
      </w:pPr>
    </w:p>
    <w:p w:rsidR="00C64379" w14:paraId="25EBBB71" w14:textId="77777777">
      <w:pPr>
        <w:rPr>
          <w:rFonts w:ascii="Arial" w:eastAsia="Arial" w:hAnsi="Arial" w:cs="Arial"/>
        </w:rPr>
      </w:pPr>
      <w:r>
        <w:rPr>
          <w:rFonts w:ascii="Arial" w:eastAsia="Arial" w:hAnsi="Arial" w:cs="Arial"/>
        </w:rPr>
        <w:t>Estimated number of respondents/yr................................</w:t>
      </w:r>
      <w:r>
        <w:rPr>
          <w:rFonts w:ascii="Arial" w:eastAsia="Arial" w:hAnsi="Arial" w:cs="Arial"/>
        </w:rPr>
        <w:tab/>
        <w:t xml:space="preserve">   6</w:t>
      </w:r>
    </w:p>
    <w:p w:rsidR="00C64379" w14:paraId="5F82A216" w14:textId="77777777">
      <w:pPr>
        <w:rPr>
          <w:rFonts w:ascii="Arial" w:eastAsia="Arial" w:hAnsi="Arial" w:cs="Arial"/>
        </w:rPr>
      </w:pPr>
      <w:r>
        <w:rPr>
          <w:rFonts w:ascii="Arial" w:eastAsia="Arial" w:hAnsi="Arial" w:cs="Arial"/>
        </w:rPr>
        <w:t>Responses per respondent...............................................x       1</w:t>
      </w:r>
    </w:p>
    <w:p w:rsidR="00C64379" w14:paraId="3190FD23" w14:textId="77777777">
      <w:pPr>
        <w:rPr>
          <w:rFonts w:ascii="Arial" w:eastAsia="Arial" w:hAnsi="Arial" w:cs="Arial"/>
        </w:rPr>
      </w:pPr>
      <w:r>
        <w:rPr>
          <w:rFonts w:ascii="Arial" w:eastAsia="Arial" w:hAnsi="Arial" w:cs="Arial"/>
        </w:rPr>
        <w:t>Total annual responses.......................................................</w:t>
      </w:r>
      <w:r>
        <w:rPr>
          <w:rFonts w:ascii="Arial" w:eastAsia="Arial" w:hAnsi="Arial" w:cs="Arial"/>
        </w:rPr>
        <w:tab/>
        <w:t xml:space="preserve">  6</w:t>
      </w:r>
    </w:p>
    <w:p w:rsidR="00C64379" w14:paraId="224BE4B5" w14:textId="77777777">
      <w:pPr>
        <w:rPr>
          <w:rFonts w:ascii="Arial" w:eastAsia="Arial" w:hAnsi="Arial" w:cs="Arial"/>
        </w:rPr>
      </w:pPr>
      <w:r>
        <w:rPr>
          <w:rFonts w:ascii="Arial" w:eastAsia="Arial" w:hAnsi="Arial" w:cs="Arial"/>
        </w:rPr>
        <w:t>Estimated hrs/response.....................................................x      1</w:t>
      </w:r>
    </w:p>
    <w:p w:rsidR="00C64379" w14:paraId="5491C80C" w14:textId="77777777">
      <w:pPr>
        <w:rPr>
          <w:rFonts w:ascii="Arial" w:eastAsia="Arial" w:hAnsi="Arial" w:cs="Arial"/>
        </w:rPr>
      </w:pPr>
      <w:r>
        <w:rPr>
          <w:rFonts w:ascii="Arial" w:eastAsia="Arial" w:hAnsi="Arial" w:cs="Arial"/>
        </w:rPr>
        <w:t>Estimated annual burden hours.........................................</w:t>
      </w:r>
      <w:r>
        <w:rPr>
          <w:rFonts w:ascii="Arial" w:eastAsia="Arial" w:hAnsi="Arial" w:cs="Arial"/>
        </w:rPr>
        <w:tab/>
        <w:t xml:space="preserve">  6</w:t>
      </w:r>
    </w:p>
    <w:p w:rsidR="00C64379" w14:paraId="77B45B75" w14:textId="77777777">
      <w:pPr>
        <w:rPr>
          <w:rFonts w:ascii="Arial" w:eastAsia="Arial" w:hAnsi="Arial" w:cs="Arial"/>
        </w:rPr>
      </w:pPr>
      <w:r>
        <w:rPr>
          <w:rFonts w:ascii="Arial" w:eastAsia="Arial" w:hAnsi="Arial" w:cs="Arial"/>
        </w:rPr>
        <w:t>Hourly rate</w:t>
      </w:r>
      <w:r>
        <w:rPr>
          <w:rFonts w:ascii="Arial" w:eastAsia="Arial" w:hAnsi="Arial" w:cs="Arial"/>
          <w:b/>
          <w:bCs/>
        </w:rPr>
        <w:t>*</w:t>
      </w:r>
      <w:r>
        <w:rPr>
          <w:rFonts w:ascii="Arial" w:eastAsia="Arial" w:hAnsi="Arial" w:cs="Arial"/>
        </w:rPr>
        <w:t>........................................................................x  $71</w:t>
      </w:r>
    </w:p>
    <w:p w:rsidR="00C64379" w14:paraId="5D25954F" w14:textId="77777777">
      <w:pPr>
        <w:rPr>
          <w:rFonts w:ascii="Arial" w:eastAsia="Arial" w:hAnsi="Arial" w:cs="Arial"/>
        </w:rPr>
      </w:pPr>
      <w:r>
        <w:rPr>
          <w:rFonts w:ascii="Arial" w:eastAsia="Arial" w:hAnsi="Arial" w:cs="Arial"/>
        </w:rPr>
        <w:t>Estimated annual cost to the public................................    $ 426</w:t>
      </w:r>
    </w:p>
    <w:p w:rsidR="00C64379" w14:paraId="05DDD0A5" w14:textId="77777777">
      <w:pPr>
        <w:rPr>
          <w:rFonts w:ascii="Arial" w:eastAsia="Arial" w:hAnsi="Arial" w:cs="Arial"/>
        </w:rPr>
      </w:pPr>
    </w:p>
    <w:p w:rsidR="00C64379" w14:paraId="2999EE5C" w14:textId="77777777">
      <w:pPr>
        <w:numPr>
          <w:ilvl w:val="0"/>
          <w:numId w:val="12"/>
        </w:numPr>
        <w:rPr>
          <w:rFonts w:ascii="Arial" w:eastAsia="Arial" w:hAnsi="Arial" w:cs="Arial"/>
          <w:b/>
          <w:bCs/>
        </w:rPr>
      </w:pPr>
      <w:r>
        <w:rPr>
          <w:rFonts w:ascii="Arial" w:eastAsia="Arial" w:hAnsi="Arial" w:cs="Arial"/>
          <w:b/>
          <w:bCs/>
        </w:rPr>
        <w:t>FAR 52.227-9, Refund of Royalties.</w:t>
      </w:r>
    </w:p>
    <w:p w:rsidR="00C64379" w14:paraId="1159FD8A" w14:textId="77777777">
      <w:pPr>
        <w:ind w:firstLine="720"/>
        <w:rPr>
          <w:rFonts w:ascii="Arial" w:eastAsia="Arial" w:hAnsi="Arial" w:cs="Arial"/>
        </w:rPr>
      </w:pPr>
    </w:p>
    <w:p w:rsidR="00C64379" w14:paraId="446060DD" w14:textId="7E25AA8A">
      <w:pPr>
        <w:ind w:firstLine="720"/>
        <w:rPr>
          <w:rFonts w:ascii="Arial" w:eastAsia="Arial" w:hAnsi="Arial" w:cs="Arial"/>
        </w:rPr>
      </w:pPr>
      <w:r>
        <w:rPr>
          <w:rFonts w:ascii="Arial" w:eastAsia="Arial" w:hAnsi="Arial" w:cs="Arial"/>
        </w:rPr>
        <w:t xml:space="preserve">FPDS accounts for 1,631 unique contractors that received awards in FY 22 valued over the SAT, which could have included this clause. Subject matter experts estimate that approximately 0.25 percent of those such unique contractors would be required to submit a statement of royalties paid, </w:t>
      </w:r>
      <w:r w:rsidR="002D670F">
        <w:rPr>
          <w:rFonts w:ascii="Arial" w:eastAsia="Arial" w:hAnsi="Arial" w:cs="Arial"/>
        </w:rPr>
        <w:t>or</w:t>
      </w:r>
      <w:r>
        <w:rPr>
          <w:rFonts w:ascii="Arial" w:eastAsia="Arial" w:hAnsi="Arial" w:cs="Arial"/>
        </w:rPr>
        <w:t xml:space="preserve"> rounded to the nearest whole number, 5 (1,631 * .0025).</w:t>
      </w:r>
    </w:p>
    <w:p w:rsidR="00C64379" w14:paraId="4070CDEF" w14:textId="77777777">
      <w:pPr>
        <w:ind w:firstLine="720"/>
        <w:rPr>
          <w:rFonts w:ascii="Arial" w:eastAsia="Arial" w:hAnsi="Arial" w:cs="Arial"/>
        </w:rPr>
      </w:pPr>
      <w:r>
        <w:rPr>
          <w:rFonts w:ascii="Arial" w:eastAsia="Arial" w:hAnsi="Arial" w:cs="Arial"/>
        </w:rPr>
        <w:t>It is also estimated that each contractor will have three subcontractors for a total of 15 unique subcontractors.</w:t>
      </w:r>
    </w:p>
    <w:p w:rsidR="00C64379" w14:paraId="429926E3" w14:textId="77777777">
      <w:pPr>
        <w:ind w:firstLine="720"/>
        <w:rPr>
          <w:rFonts w:ascii="Arial" w:eastAsia="Arial" w:hAnsi="Arial" w:cs="Arial"/>
        </w:rPr>
      </w:pPr>
      <w:r>
        <w:rPr>
          <w:rFonts w:ascii="Arial" w:eastAsia="Arial" w:hAnsi="Arial" w:cs="Arial"/>
        </w:rPr>
        <w:t>It is estimated that 20 unique contractors would be required to submit a statement of royalties paid (5 prime contractors + 15 subcontractors).</w:t>
      </w:r>
    </w:p>
    <w:p w:rsidR="00C64379" w14:paraId="08759CDF" w14:textId="77777777">
      <w:pPr>
        <w:ind w:firstLine="720"/>
        <w:rPr>
          <w:rFonts w:ascii="Arial" w:eastAsia="Arial" w:hAnsi="Arial" w:cs="Arial"/>
        </w:rPr>
      </w:pPr>
      <w:r>
        <w:rPr>
          <w:rFonts w:ascii="Arial" w:eastAsia="Arial" w:hAnsi="Arial" w:cs="Arial"/>
        </w:rPr>
        <w:t>One burden hour is estimated per response to submit a statement of royalties paid or required to be paid by the contract.</w:t>
      </w:r>
    </w:p>
    <w:p w:rsidR="00C64379" w14:paraId="230FD8A7" w14:textId="77777777">
      <w:pPr>
        <w:rPr>
          <w:rFonts w:ascii="Arial" w:eastAsia="Arial" w:hAnsi="Arial" w:cs="Arial"/>
        </w:rPr>
      </w:pPr>
    </w:p>
    <w:p w:rsidR="00C64379" w14:paraId="31F736A4" w14:textId="77777777">
      <w:pPr>
        <w:rPr>
          <w:rFonts w:ascii="Arial" w:eastAsia="Arial" w:hAnsi="Arial" w:cs="Arial"/>
        </w:rPr>
      </w:pPr>
      <w:r>
        <w:rPr>
          <w:rFonts w:ascii="Arial" w:eastAsia="Arial" w:hAnsi="Arial" w:cs="Arial"/>
        </w:rPr>
        <w:t>Estimated number of respondents/yr................................</w:t>
      </w:r>
      <w:r>
        <w:rPr>
          <w:rFonts w:ascii="Arial" w:eastAsia="Arial" w:hAnsi="Arial" w:cs="Arial"/>
        </w:rPr>
        <w:tab/>
        <w:t xml:space="preserve">  20</w:t>
      </w:r>
    </w:p>
    <w:p w:rsidR="00C64379" w14:paraId="73F7FF5A" w14:textId="77777777">
      <w:pPr>
        <w:rPr>
          <w:rFonts w:ascii="Arial" w:eastAsia="Arial" w:hAnsi="Arial" w:cs="Arial"/>
        </w:rPr>
      </w:pPr>
      <w:r>
        <w:rPr>
          <w:rFonts w:ascii="Arial" w:eastAsia="Arial" w:hAnsi="Arial" w:cs="Arial"/>
        </w:rPr>
        <w:t>Responses per respondent...............................................x       1</w:t>
      </w:r>
    </w:p>
    <w:p w:rsidR="00C64379" w14:paraId="0C0C0E5E" w14:textId="77777777">
      <w:pPr>
        <w:rPr>
          <w:rFonts w:ascii="Arial" w:eastAsia="Arial" w:hAnsi="Arial" w:cs="Arial"/>
        </w:rPr>
      </w:pPr>
      <w:r>
        <w:rPr>
          <w:rFonts w:ascii="Arial" w:eastAsia="Arial" w:hAnsi="Arial" w:cs="Arial"/>
        </w:rPr>
        <w:t>Total annual responses.......................................................</w:t>
      </w:r>
      <w:r>
        <w:rPr>
          <w:rFonts w:ascii="Arial" w:eastAsia="Arial" w:hAnsi="Arial" w:cs="Arial"/>
        </w:rPr>
        <w:tab/>
        <w:t xml:space="preserve"> 20</w:t>
      </w:r>
    </w:p>
    <w:p w:rsidR="00C64379" w14:paraId="458FEA90" w14:textId="77777777">
      <w:pPr>
        <w:rPr>
          <w:rFonts w:ascii="Arial" w:eastAsia="Arial" w:hAnsi="Arial" w:cs="Arial"/>
        </w:rPr>
      </w:pPr>
      <w:r>
        <w:rPr>
          <w:rFonts w:ascii="Arial" w:eastAsia="Arial" w:hAnsi="Arial" w:cs="Arial"/>
        </w:rPr>
        <w:t>Estimated hrs/response.....................................................x     1</w:t>
      </w:r>
    </w:p>
    <w:p w:rsidR="00C64379" w14:paraId="3D267BEA" w14:textId="77777777">
      <w:pPr>
        <w:rPr>
          <w:rFonts w:ascii="Arial" w:eastAsia="Arial" w:hAnsi="Arial" w:cs="Arial"/>
        </w:rPr>
      </w:pPr>
      <w:r>
        <w:rPr>
          <w:rFonts w:ascii="Arial" w:eastAsia="Arial" w:hAnsi="Arial" w:cs="Arial"/>
        </w:rPr>
        <w:t>Estimated annual burden hours.........................................</w:t>
      </w:r>
      <w:r>
        <w:rPr>
          <w:rFonts w:ascii="Arial" w:eastAsia="Arial" w:hAnsi="Arial" w:cs="Arial"/>
        </w:rPr>
        <w:tab/>
        <w:t xml:space="preserve"> 20</w:t>
      </w:r>
    </w:p>
    <w:p w:rsidR="00C64379" w14:paraId="086CA58A" w14:textId="77777777">
      <w:pPr>
        <w:rPr>
          <w:rFonts w:ascii="Arial" w:eastAsia="Arial" w:hAnsi="Arial" w:cs="Arial"/>
        </w:rPr>
      </w:pPr>
      <w:r>
        <w:rPr>
          <w:rFonts w:ascii="Arial" w:eastAsia="Arial" w:hAnsi="Arial" w:cs="Arial"/>
        </w:rPr>
        <w:t>Hourly rate</w:t>
      </w:r>
      <w:r>
        <w:rPr>
          <w:rFonts w:ascii="Arial" w:eastAsia="Arial" w:hAnsi="Arial" w:cs="Arial"/>
          <w:b/>
          <w:bCs/>
        </w:rPr>
        <w:t>*</w:t>
      </w:r>
      <w:r>
        <w:rPr>
          <w:rFonts w:ascii="Arial" w:eastAsia="Arial" w:hAnsi="Arial" w:cs="Arial"/>
        </w:rPr>
        <w:t>........................................................................x  $71</w:t>
      </w:r>
    </w:p>
    <w:p w:rsidR="00C64379" w14:paraId="4B175754" w14:textId="77777777">
      <w:pPr>
        <w:rPr>
          <w:rFonts w:ascii="Arial" w:eastAsia="Arial" w:hAnsi="Arial" w:cs="Arial"/>
        </w:rPr>
      </w:pPr>
      <w:r>
        <w:rPr>
          <w:rFonts w:ascii="Arial" w:eastAsia="Arial" w:hAnsi="Arial" w:cs="Arial"/>
        </w:rPr>
        <w:t>Estimated annual cost to the public................................ $ 1,420</w:t>
      </w:r>
    </w:p>
    <w:p w:rsidR="00C64379" w14:paraId="597E1432" w14:textId="77777777">
      <w:pPr>
        <w:rPr>
          <w:rFonts w:ascii="Arial" w:eastAsia="Arial" w:hAnsi="Arial" w:cs="Arial"/>
          <w:b/>
          <w:bCs/>
        </w:rPr>
      </w:pPr>
    </w:p>
    <w:p w:rsidR="00C64379" w14:paraId="54D9A478" w14:textId="77777777">
      <w:pPr>
        <w:numPr>
          <w:ilvl w:val="0"/>
          <w:numId w:val="5"/>
        </w:numPr>
        <w:rPr>
          <w:rFonts w:ascii="Arial" w:eastAsia="Arial" w:hAnsi="Arial" w:cs="Arial"/>
          <w:b/>
          <w:bCs/>
        </w:rPr>
      </w:pPr>
      <w:r>
        <w:rPr>
          <w:rFonts w:ascii="Arial" w:eastAsia="Arial" w:hAnsi="Arial" w:cs="Arial"/>
          <w:b/>
          <w:bCs/>
        </w:rPr>
        <w:t>FAR 52.227-11, Patent Rights - Ownership by the Contractor, or 52.227-13, Patent Rights - Ownership by the Government.</w:t>
      </w:r>
    </w:p>
    <w:p w:rsidR="00C64379" w14:paraId="3C87756C" w14:textId="77777777">
      <w:pPr>
        <w:rPr>
          <w:rFonts w:ascii="Arial" w:eastAsia="Arial" w:hAnsi="Arial" w:cs="Arial"/>
        </w:rPr>
      </w:pPr>
    </w:p>
    <w:p w:rsidR="00C64379" w14:paraId="33B0844E" w14:textId="77777777">
      <w:pPr>
        <w:ind w:firstLine="720"/>
        <w:rPr>
          <w:rFonts w:ascii="Arial" w:eastAsia="Arial" w:hAnsi="Arial" w:cs="Arial"/>
        </w:rPr>
      </w:pPr>
      <w:r>
        <w:rPr>
          <w:rFonts w:ascii="Arial" w:eastAsia="Arial" w:hAnsi="Arial" w:cs="Arial"/>
        </w:rPr>
        <w:t>On average per year, FPDS accounts for 1,219 contracts for research and development at or above the SAT awarded to 377 unique contractors.</w:t>
      </w:r>
    </w:p>
    <w:p w:rsidR="00C64379" w14:paraId="15D07689" w14:textId="77777777">
      <w:pPr>
        <w:ind w:firstLine="720"/>
        <w:rPr>
          <w:rFonts w:ascii="Arial" w:eastAsia="Arial" w:hAnsi="Arial" w:cs="Arial"/>
        </w:rPr>
      </w:pPr>
      <w:r>
        <w:rPr>
          <w:rFonts w:ascii="Arial" w:eastAsia="Arial" w:hAnsi="Arial" w:cs="Arial"/>
        </w:rPr>
        <w:t>This number does NOT distinguish whether there are subcontractors supporting the relevant activities of the prime – the number covers all prime contractors and includes any/all subcontractors that they use for any individual contract(s).</w:t>
      </w:r>
    </w:p>
    <w:p w:rsidR="00C64379" w14:paraId="79602335" w14:textId="77777777">
      <w:pPr>
        <w:ind w:firstLine="720"/>
        <w:rPr>
          <w:rFonts w:ascii="Arial" w:eastAsia="Arial" w:hAnsi="Arial" w:cs="Arial"/>
        </w:rPr>
      </w:pPr>
      <w:r>
        <w:rPr>
          <w:rFonts w:ascii="Arial" w:eastAsia="Arial" w:hAnsi="Arial" w:cs="Arial"/>
        </w:rPr>
        <w:t>A response is considered to cover the combined total of all the individual activities that a respondent engages in to support its requirements and responsibilities under the relevant clause(s) with respect to any single subject invention.</w:t>
      </w:r>
    </w:p>
    <w:p w:rsidR="00C64379" w14:paraId="7833A65B" w14:textId="77777777">
      <w:pPr>
        <w:ind w:firstLine="720"/>
        <w:rPr>
          <w:rFonts w:ascii="Arial" w:eastAsia="Arial" w:hAnsi="Arial" w:cs="Arial"/>
        </w:rPr>
      </w:pPr>
      <w:r>
        <w:rPr>
          <w:rFonts w:ascii="Arial" w:eastAsia="Arial" w:hAnsi="Arial" w:cs="Arial"/>
        </w:rPr>
        <w:t>According to the most recent survey by the Association of University Technology Managers (AUTM) we had access to, the universities reported 24,998 inventions for 2017. According to data from the National Science Foundation, the U.S. Government (USG) funds 44% of basic research carried out in the United States. Using this percentage, the number of USG-funded inventions would be 10,999. Using the historical trend that 60% of such inventions were under grants, the number of contract inventions at universities would be 4,400 (10,999 x 40%). For this analysis, we also presumed that for-profit contractors typically make 2x the number of university inventions, resulting in an additional 8,800 inventions for a total of 13,200 contractor inventions.</w:t>
      </w:r>
    </w:p>
    <w:p w:rsidR="00C64379" w14:paraId="7081E5DF" w14:textId="77777777">
      <w:pPr>
        <w:ind w:firstLine="720"/>
        <w:rPr>
          <w:rFonts w:ascii="Arial" w:eastAsia="Arial" w:hAnsi="Arial" w:cs="Arial"/>
        </w:rPr>
      </w:pPr>
      <w:r>
        <w:rPr>
          <w:rFonts w:ascii="Arial" w:eastAsia="Arial" w:hAnsi="Arial" w:cs="Arial"/>
        </w:rPr>
        <w:t>The responses per respondent are a mathematical calculation from dividing the estimated total annual responses by the number of respondents rounded up to the next whole number, 36 (13,200/377 = 35.01).</w:t>
      </w:r>
    </w:p>
    <w:p w:rsidR="00C64379" w14:paraId="425C7CBF" w14:textId="2524B1AA">
      <w:pPr>
        <w:ind w:firstLine="720"/>
        <w:rPr>
          <w:rFonts w:ascii="Arial" w:eastAsia="Arial" w:hAnsi="Arial" w:cs="Arial"/>
        </w:rPr>
      </w:pPr>
      <w:r>
        <w:rPr>
          <w:rFonts w:ascii="Arial" w:eastAsia="Arial" w:hAnsi="Arial" w:cs="Arial"/>
        </w:rPr>
        <w:t xml:space="preserve">The hours per response </w:t>
      </w:r>
      <w:r w:rsidR="002D670F">
        <w:rPr>
          <w:rFonts w:ascii="Arial" w:eastAsia="Arial" w:hAnsi="Arial" w:cs="Arial"/>
        </w:rPr>
        <w:t>include</w:t>
      </w:r>
      <w:r>
        <w:rPr>
          <w:rFonts w:ascii="Arial" w:eastAsia="Arial" w:hAnsi="Arial" w:cs="Arial"/>
        </w:rPr>
        <w:t xml:space="preserve"> all activities that the respondent engages in to support each response required by the clauses at FAR 52.227-11 or 52.227-13. However, it covers only the portion of those activities that the respondent would not otherwise do in the absence of the clause requirements. It does not include activities that are required by other clauses or legal requirements, or that are common business practices that the respondent would engage in regardless of whether the activity was covered by FAR 52.227-11 or 52.227-13. Details:</w:t>
      </w:r>
    </w:p>
    <w:p w:rsidR="00C64379" w14:paraId="712A720B" w14:textId="77777777">
      <w:pPr>
        <w:rPr>
          <w:rFonts w:ascii="Arial" w:eastAsia="Arial" w:hAnsi="Arial" w:cs="Arial"/>
        </w:rPr>
      </w:pPr>
    </w:p>
    <w:tbl>
      <w:tblPr>
        <w:tblStyle w:val="a"/>
        <w:tblW w:w="8040" w:type="dxa"/>
        <w:tblInd w:w="0" w:type="dxa"/>
        <w:tblBorders>
          <w:top w:val="nil"/>
          <w:left w:val="nil"/>
          <w:bottom w:val="nil"/>
          <w:right w:val="nil"/>
          <w:insideH w:val="nil"/>
          <w:insideV w:val="nil"/>
        </w:tblBorders>
        <w:tblLayout w:type="fixed"/>
        <w:tblLook w:val="0600"/>
      </w:tblPr>
      <w:tblGrid>
        <w:gridCol w:w="6495"/>
        <w:gridCol w:w="1545"/>
      </w:tblGrid>
      <w:tr w14:paraId="7E9AB190" w14:textId="77777777">
        <w:tblPrEx>
          <w:tblW w:w="8040" w:type="dxa"/>
          <w:tblInd w:w="0" w:type="dxa"/>
          <w:tblBorders>
            <w:top w:val="nil"/>
            <w:left w:val="nil"/>
            <w:bottom w:val="nil"/>
            <w:right w:val="nil"/>
            <w:insideH w:val="nil"/>
            <w:insideV w:val="nil"/>
          </w:tblBorders>
          <w:tblLayout w:type="fixed"/>
          <w:tblLook w:val="0600"/>
        </w:tblPrEx>
        <w:trPr>
          <w:trHeight w:val="2015"/>
        </w:trPr>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4379" w14:paraId="0465F4DB" w14:textId="77777777">
            <w:pPr>
              <w:spacing w:before="240" w:after="240"/>
              <w:ind w:left="820"/>
              <w:rPr>
                <w:rFonts w:ascii="Courier New" w:eastAsia="Courier New" w:hAnsi="Courier New" w:cs="Courier New"/>
              </w:rPr>
            </w:pPr>
            <w:r>
              <w:rPr>
                <w:rFonts w:ascii="Courier New" w:eastAsia="Courier New" w:hAnsi="Courier New" w:cs="Courier New"/>
              </w:rPr>
              <w:t>(i) Invention Disclosures — these are prepared by the contractor in the normal course of business, and the only burden is preparing a copy for the Government and sending it to the Government, which is estimated to be 1.0 hour (note that most universities report their inventions through the iEdison reporting system, which would take no more than 0.5 hours);</w:t>
            </w:r>
          </w:p>
        </w:tc>
        <w:tc>
          <w:tcPr>
            <w:tcW w:w="15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64379" w14:paraId="566F158D" w14:textId="77777777">
            <w:pPr>
              <w:spacing w:before="240" w:after="240"/>
              <w:ind w:left="820"/>
              <w:rPr>
                <w:rFonts w:ascii="Courier New" w:eastAsia="Courier New" w:hAnsi="Courier New" w:cs="Courier New"/>
              </w:rPr>
            </w:pPr>
            <w:r>
              <w:rPr>
                <w:rFonts w:ascii="Courier New" w:eastAsia="Courier New" w:hAnsi="Courier New" w:cs="Courier New"/>
              </w:rPr>
              <w:t>1.0</w:t>
            </w:r>
          </w:p>
        </w:tc>
      </w:tr>
      <w:tr w14:paraId="2CDF91FB" w14:textId="77777777">
        <w:tblPrEx>
          <w:tblW w:w="8040" w:type="dxa"/>
          <w:tblInd w:w="0" w:type="dxa"/>
          <w:tblLayout w:type="fixed"/>
          <w:tblLook w:val="0600"/>
        </w:tblPrEx>
        <w:trPr>
          <w:trHeight w:val="1565"/>
        </w:trPr>
        <w:tc>
          <w:tcPr>
            <w:tcW w:w="64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4379" w14:paraId="0F9ADE5F" w14:textId="77777777">
            <w:pPr>
              <w:spacing w:before="240" w:after="240"/>
              <w:ind w:left="820"/>
              <w:rPr>
                <w:rFonts w:ascii="Courier New" w:eastAsia="Courier New" w:hAnsi="Courier New" w:cs="Courier New"/>
              </w:rPr>
            </w:pPr>
            <w:r>
              <w:rPr>
                <w:rFonts w:ascii="Courier New" w:eastAsia="Courier New" w:hAnsi="Courier New" w:cs="Courier New"/>
              </w:rPr>
              <w:t>(ii) Electing rights – although the contractor may take weeks to elect rights, the additional considerations related to the allocation of rights under the patent rights (PR) clauses, and the communication to the Government should take no more than 0.5 hours.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C64379" w14:paraId="43519C22" w14:textId="77777777">
            <w:pPr>
              <w:spacing w:before="240" w:after="240"/>
              <w:ind w:left="820"/>
              <w:rPr>
                <w:rFonts w:ascii="Courier New" w:eastAsia="Courier New" w:hAnsi="Courier New" w:cs="Courier New"/>
              </w:rPr>
            </w:pPr>
            <w:r>
              <w:rPr>
                <w:rFonts w:ascii="Courier New" w:eastAsia="Courier New" w:hAnsi="Courier New" w:cs="Courier New"/>
              </w:rPr>
              <w:t>0.5</w:t>
            </w:r>
          </w:p>
        </w:tc>
      </w:tr>
      <w:tr w14:paraId="7EED8981" w14:textId="77777777">
        <w:tblPrEx>
          <w:tblW w:w="8040" w:type="dxa"/>
          <w:tblInd w:w="0" w:type="dxa"/>
          <w:tblLayout w:type="fixed"/>
          <w:tblLook w:val="0600"/>
        </w:tblPrEx>
        <w:trPr>
          <w:trHeight w:val="1790"/>
        </w:trPr>
        <w:tc>
          <w:tcPr>
            <w:tcW w:w="64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4379" w14:paraId="17F0048E" w14:textId="77777777">
            <w:pPr>
              <w:spacing w:before="240" w:after="240"/>
              <w:ind w:left="820"/>
              <w:rPr>
                <w:rFonts w:ascii="Courier New" w:eastAsia="Courier New" w:hAnsi="Courier New" w:cs="Courier New"/>
              </w:rPr>
            </w:pPr>
            <w:r>
              <w:rPr>
                <w:rFonts w:ascii="Courier New" w:eastAsia="Courier New" w:hAnsi="Courier New" w:cs="Courier New"/>
              </w:rPr>
              <w:t>(iii) Filing a patent application – although this may take a week to prepare, it is prepared in response to USPTO requirements (based on statutory and regulatory requirements) that are independent to the FAR PR clauses, sending a copy of the application to the Government should take no more than 0.5 hours especially if iEdison is used;</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C64379" w14:paraId="6DEB822A" w14:textId="77777777">
            <w:pPr>
              <w:spacing w:before="240" w:after="240"/>
              <w:ind w:left="820"/>
              <w:rPr>
                <w:rFonts w:ascii="Courier New" w:eastAsia="Courier New" w:hAnsi="Courier New" w:cs="Courier New"/>
              </w:rPr>
            </w:pPr>
            <w:r>
              <w:rPr>
                <w:rFonts w:ascii="Courier New" w:eastAsia="Courier New" w:hAnsi="Courier New" w:cs="Courier New"/>
              </w:rPr>
              <w:t>0.5</w:t>
            </w:r>
          </w:p>
        </w:tc>
      </w:tr>
      <w:tr w14:paraId="09B93BB2" w14:textId="77777777">
        <w:tblPrEx>
          <w:tblW w:w="8040" w:type="dxa"/>
          <w:tblInd w:w="0" w:type="dxa"/>
          <w:tblLayout w:type="fixed"/>
          <w:tblLook w:val="0600"/>
        </w:tblPrEx>
        <w:trPr>
          <w:trHeight w:val="890"/>
        </w:trPr>
        <w:tc>
          <w:tcPr>
            <w:tcW w:w="64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4379" w14:paraId="79C10AA1" w14:textId="77777777">
            <w:pPr>
              <w:spacing w:before="240" w:after="240"/>
              <w:ind w:left="820"/>
              <w:rPr>
                <w:rFonts w:ascii="Courier New" w:eastAsia="Courier New" w:hAnsi="Courier New" w:cs="Courier New"/>
              </w:rPr>
            </w:pPr>
            <w:r>
              <w:rPr>
                <w:rFonts w:ascii="Courier New" w:eastAsia="Courier New" w:hAnsi="Courier New" w:cs="Courier New"/>
              </w:rPr>
              <w:t>(iv) Confirmatory license – this should take no more than 0.5 hours to prepare and send to the Government especially if iEdison is used;</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C64379" w14:paraId="7DC1AA8F" w14:textId="77777777">
            <w:pPr>
              <w:spacing w:before="240" w:after="240"/>
              <w:ind w:left="820"/>
              <w:rPr>
                <w:rFonts w:ascii="Courier New" w:eastAsia="Courier New" w:hAnsi="Courier New" w:cs="Courier New"/>
              </w:rPr>
            </w:pPr>
            <w:r>
              <w:rPr>
                <w:rFonts w:ascii="Courier New" w:eastAsia="Courier New" w:hAnsi="Courier New" w:cs="Courier New"/>
              </w:rPr>
              <w:t>0.5</w:t>
            </w:r>
          </w:p>
        </w:tc>
      </w:tr>
      <w:tr w14:paraId="22BD4D7B" w14:textId="77777777">
        <w:tblPrEx>
          <w:tblW w:w="8040" w:type="dxa"/>
          <w:tblInd w:w="0" w:type="dxa"/>
          <w:tblLayout w:type="fixed"/>
          <w:tblLook w:val="0600"/>
        </w:tblPrEx>
        <w:trPr>
          <w:trHeight w:val="1565"/>
        </w:trPr>
        <w:tc>
          <w:tcPr>
            <w:tcW w:w="64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4379" w14:paraId="2233C600" w14:textId="77777777">
            <w:pPr>
              <w:spacing w:before="240" w:after="240"/>
              <w:ind w:left="820"/>
              <w:rPr>
                <w:rFonts w:ascii="Courier New" w:eastAsia="Courier New" w:hAnsi="Courier New" w:cs="Courier New"/>
              </w:rPr>
            </w:pPr>
            <w:r>
              <w:rPr>
                <w:rFonts w:ascii="Courier New" w:eastAsia="Courier New" w:hAnsi="Courier New" w:cs="Courier New"/>
              </w:rPr>
              <w:t>(v) Commercialization reports – agencies generally do not request them and so there is typically no actual reporting burden, however, 0.25 hours is allocated to cover the supporting administrative processes to track and be prepared to report upon USG request;</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C64379" w14:paraId="373FB987" w14:textId="77777777">
            <w:pPr>
              <w:spacing w:before="240" w:after="240"/>
              <w:ind w:left="820"/>
              <w:rPr>
                <w:rFonts w:ascii="Courier New" w:eastAsia="Courier New" w:hAnsi="Courier New" w:cs="Courier New"/>
              </w:rPr>
            </w:pPr>
            <w:r>
              <w:rPr>
                <w:rFonts w:ascii="Courier New" w:eastAsia="Courier New" w:hAnsi="Courier New" w:cs="Courier New"/>
              </w:rPr>
              <w:t>0.25</w:t>
            </w:r>
          </w:p>
        </w:tc>
      </w:tr>
      <w:tr w14:paraId="012D46C0" w14:textId="77777777">
        <w:tblPrEx>
          <w:tblW w:w="8040" w:type="dxa"/>
          <w:tblInd w:w="0" w:type="dxa"/>
          <w:tblLayout w:type="fixed"/>
          <w:tblLook w:val="0600"/>
        </w:tblPrEx>
        <w:trPr>
          <w:trHeight w:val="3140"/>
        </w:trPr>
        <w:tc>
          <w:tcPr>
            <w:tcW w:w="64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4379" w14:paraId="53522E91" w14:textId="77777777">
            <w:pPr>
              <w:spacing w:before="240" w:after="240"/>
              <w:ind w:left="820"/>
              <w:rPr>
                <w:rFonts w:ascii="Courier New" w:eastAsia="Courier New" w:hAnsi="Courier New" w:cs="Courier New"/>
              </w:rPr>
            </w:pPr>
            <w:r>
              <w:rPr>
                <w:rFonts w:ascii="Courier New" w:eastAsia="Courier New" w:hAnsi="Courier New" w:cs="Courier New"/>
              </w:rPr>
              <w:t>(vi) Contracts with employees – since most contractors have agreements with their inventors regarding identification, disclosure, and assignment of rights, regardless of whether the anticipated inventive activity may occur under a federal contract having a PR clause, there is likely no meaningful additional burden imposed by the Government (many universities have invention practices to which all scientific employees agree when they are hired),  however, 0.25 hours is allocated to cover the supporting administrative processes to track and be prepared to report upon USG request; and</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C64379" w14:paraId="12D14413" w14:textId="77777777">
            <w:pPr>
              <w:spacing w:before="240" w:after="240"/>
              <w:ind w:left="820"/>
              <w:rPr>
                <w:rFonts w:ascii="Courier New" w:eastAsia="Courier New" w:hAnsi="Courier New" w:cs="Courier New"/>
              </w:rPr>
            </w:pPr>
            <w:r>
              <w:rPr>
                <w:rFonts w:ascii="Courier New" w:eastAsia="Courier New" w:hAnsi="Courier New" w:cs="Courier New"/>
              </w:rPr>
              <w:t>0.25</w:t>
            </w:r>
          </w:p>
        </w:tc>
      </w:tr>
      <w:tr w14:paraId="6AA4F231" w14:textId="77777777">
        <w:tblPrEx>
          <w:tblW w:w="8040" w:type="dxa"/>
          <w:tblInd w:w="0" w:type="dxa"/>
          <w:tblLayout w:type="fixed"/>
          <w:tblLook w:val="0600"/>
        </w:tblPrEx>
        <w:trPr>
          <w:trHeight w:val="890"/>
        </w:trPr>
        <w:tc>
          <w:tcPr>
            <w:tcW w:w="64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4379" w14:paraId="40FFEFEB" w14:textId="77777777">
            <w:pPr>
              <w:spacing w:before="240" w:after="240"/>
              <w:ind w:left="820"/>
              <w:rPr>
                <w:rFonts w:ascii="Courier New" w:eastAsia="Courier New" w:hAnsi="Courier New" w:cs="Courier New"/>
              </w:rPr>
            </w:pPr>
            <w:r>
              <w:rPr>
                <w:rFonts w:ascii="Courier New" w:eastAsia="Courier New" w:hAnsi="Courier New" w:cs="Courier New"/>
              </w:rPr>
              <w:t>(vii) Although not every contract will result in inventions, contractors may still be required to provide interim or final reports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C64379" w14:paraId="35A3DEBE" w14:textId="77777777">
            <w:pPr>
              <w:spacing w:before="240" w:after="240"/>
              <w:ind w:left="820"/>
              <w:rPr>
                <w:rFonts w:ascii="Courier New" w:eastAsia="Courier New" w:hAnsi="Courier New" w:cs="Courier New"/>
              </w:rPr>
            </w:pPr>
            <w:r>
              <w:rPr>
                <w:rFonts w:ascii="Courier New" w:eastAsia="Courier New" w:hAnsi="Courier New" w:cs="Courier New"/>
              </w:rPr>
              <w:t>1.0</w:t>
            </w:r>
          </w:p>
        </w:tc>
      </w:tr>
      <w:tr w14:paraId="2271DDDF" w14:textId="77777777">
        <w:tblPrEx>
          <w:tblW w:w="8040" w:type="dxa"/>
          <w:tblInd w:w="0" w:type="dxa"/>
          <w:tblLayout w:type="fixed"/>
          <w:tblLook w:val="0600"/>
        </w:tblPrEx>
        <w:trPr>
          <w:trHeight w:val="440"/>
        </w:trPr>
        <w:tc>
          <w:tcPr>
            <w:tcW w:w="64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64379" w14:paraId="54EC3377" w14:textId="77777777">
            <w:pPr>
              <w:spacing w:before="240" w:after="240"/>
              <w:ind w:left="820"/>
              <w:rPr>
                <w:rFonts w:ascii="Courier New" w:eastAsia="Courier New" w:hAnsi="Courier New" w:cs="Courier New"/>
              </w:rPr>
            </w:pPr>
            <w:r>
              <w:rPr>
                <w:rFonts w:ascii="Courier New" w:eastAsia="Courier New" w:hAnsi="Courier New" w:cs="Courier New"/>
              </w:rPr>
              <w:t>TOTAL ESTIMATED HOURS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C64379" w14:paraId="047F4B21" w14:textId="77777777">
            <w:pPr>
              <w:spacing w:before="240" w:after="240"/>
              <w:ind w:left="820"/>
              <w:rPr>
                <w:rFonts w:ascii="Courier New" w:eastAsia="Courier New" w:hAnsi="Courier New" w:cs="Courier New"/>
              </w:rPr>
            </w:pPr>
            <w:r>
              <w:rPr>
                <w:rFonts w:ascii="Courier New" w:eastAsia="Courier New" w:hAnsi="Courier New" w:cs="Courier New"/>
              </w:rPr>
              <w:t>4.0</w:t>
            </w:r>
          </w:p>
        </w:tc>
      </w:tr>
    </w:tbl>
    <w:p w:rsidR="00C64379" w14:paraId="05598649" w14:textId="77777777">
      <w:pPr>
        <w:rPr>
          <w:rFonts w:ascii="Arial" w:eastAsia="Arial" w:hAnsi="Arial" w:cs="Arial"/>
          <w:b/>
          <w:bCs/>
        </w:rPr>
      </w:pPr>
    </w:p>
    <w:p w:rsidR="00C64379" w14:paraId="568162EE" w14:textId="77777777">
      <w:pPr>
        <w:rPr>
          <w:rFonts w:ascii="Arial" w:eastAsia="Arial" w:hAnsi="Arial" w:cs="Arial"/>
        </w:rPr>
      </w:pPr>
      <w:r>
        <w:rPr>
          <w:rFonts w:ascii="Arial" w:eastAsia="Arial" w:hAnsi="Arial" w:cs="Arial"/>
        </w:rPr>
        <w:t>Estimated number of respondents/yr................................</w:t>
      </w:r>
      <w:r>
        <w:rPr>
          <w:rFonts w:ascii="Arial" w:eastAsia="Arial" w:hAnsi="Arial" w:cs="Arial"/>
        </w:rPr>
        <w:tab/>
        <w:t xml:space="preserve">  377</w:t>
      </w:r>
    </w:p>
    <w:p w:rsidR="00C64379" w14:paraId="3CBD1815" w14:textId="77777777">
      <w:pPr>
        <w:rPr>
          <w:rFonts w:ascii="Arial" w:eastAsia="Arial" w:hAnsi="Arial" w:cs="Arial"/>
        </w:rPr>
      </w:pPr>
      <w:r>
        <w:rPr>
          <w:rFonts w:ascii="Arial" w:eastAsia="Arial" w:hAnsi="Arial" w:cs="Arial"/>
        </w:rPr>
        <w:t>Responses per respondent...............................................x  36</w:t>
      </w:r>
    </w:p>
    <w:p w:rsidR="00C64379" w14:paraId="3D51AC61" w14:textId="77777777">
      <w:pPr>
        <w:rPr>
          <w:rFonts w:ascii="Arial" w:eastAsia="Arial" w:hAnsi="Arial" w:cs="Arial"/>
        </w:rPr>
      </w:pPr>
      <w:r>
        <w:rPr>
          <w:rFonts w:ascii="Arial" w:eastAsia="Arial" w:hAnsi="Arial" w:cs="Arial"/>
        </w:rPr>
        <w:t>Total annual responses....................................................... 13,572</w:t>
      </w:r>
    </w:p>
    <w:p w:rsidR="00C64379" w14:paraId="014EDB69" w14:textId="77777777">
      <w:pPr>
        <w:rPr>
          <w:rFonts w:ascii="Arial" w:eastAsia="Arial" w:hAnsi="Arial" w:cs="Arial"/>
        </w:rPr>
      </w:pPr>
      <w:r>
        <w:rPr>
          <w:rFonts w:ascii="Arial" w:eastAsia="Arial" w:hAnsi="Arial" w:cs="Arial"/>
        </w:rPr>
        <w:t>Estimated hrs/response.....................................................x</w:t>
      </w:r>
      <w:r>
        <w:rPr>
          <w:rFonts w:ascii="Arial" w:eastAsia="Arial" w:hAnsi="Arial" w:cs="Arial"/>
        </w:rPr>
        <w:tab/>
        <w:t xml:space="preserve">       4</w:t>
      </w:r>
    </w:p>
    <w:p w:rsidR="00C64379" w14:paraId="4943FA46" w14:textId="77777777">
      <w:pPr>
        <w:rPr>
          <w:rFonts w:ascii="Arial" w:eastAsia="Arial" w:hAnsi="Arial" w:cs="Arial"/>
        </w:rPr>
      </w:pPr>
      <w:r>
        <w:rPr>
          <w:rFonts w:ascii="Arial" w:eastAsia="Arial" w:hAnsi="Arial" w:cs="Arial"/>
        </w:rPr>
        <w:t>Estimated annual burden hours.........................................  54,288</w:t>
      </w:r>
    </w:p>
    <w:p w:rsidR="00C64379" w14:paraId="4FE532EF" w14:textId="77777777">
      <w:pPr>
        <w:rPr>
          <w:rFonts w:ascii="Arial" w:eastAsia="Arial" w:hAnsi="Arial" w:cs="Arial"/>
        </w:rPr>
      </w:pPr>
      <w:r>
        <w:rPr>
          <w:rFonts w:ascii="Arial" w:eastAsia="Arial" w:hAnsi="Arial" w:cs="Arial"/>
        </w:rPr>
        <w:t>Hourly rate</w:t>
      </w:r>
      <w:r>
        <w:rPr>
          <w:rFonts w:ascii="Arial" w:eastAsia="Arial" w:hAnsi="Arial" w:cs="Arial"/>
          <w:b/>
          <w:bCs/>
        </w:rPr>
        <w:t>*</w:t>
      </w:r>
      <w:r>
        <w:rPr>
          <w:rFonts w:ascii="Arial" w:eastAsia="Arial" w:hAnsi="Arial" w:cs="Arial"/>
        </w:rPr>
        <w:t>........................................................................x</w:t>
      </w:r>
      <w:r>
        <w:rPr>
          <w:rFonts w:ascii="Arial" w:eastAsia="Arial" w:hAnsi="Arial" w:cs="Arial"/>
        </w:rPr>
        <w:tab/>
        <w:t xml:space="preserve">   $71</w:t>
      </w:r>
    </w:p>
    <w:p w:rsidR="00C64379" w14:paraId="26DFE885" w14:textId="77777777">
      <w:pPr>
        <w:rPr>
          <w:rFonts w:ascii="Arial" w:eastAsia="Arial" w:hAnsi="Arial" w:cs="Arial"/>
        </w:rPr>
      </w:pPr>
      <w:r>
        <w:rPr>
          <w:rFonts w:ascii="Arial" w:eastAsia="Arial" w:hAnsi="Arial" w:cs="Arial"/>
        </w:rPr>
        <w:t>Estimated annual cost to the public.............................$ 3,854,448</w:t>
      </w:r>
    </w:p>
    <w:p w:rsidR="00C64379" w14:paraId="76E80D28" w14:textId="77777777">
      <w:pPr>
        <w:rPr>
          <w:rFonts w:ascii="Arial" w:eastAsia="Arial" w:hAnsi="Arial" w:cs="Arial"/>
          <w:b/>
          <w:bCs/>
        </w:rPr>
      </w:pPr>
    </w:p>
    <w:p w:rsidR="00C64379" w14:paraId="3F4DA560" w14:textId="77777777">
      <w:pPr>
        <w:numPr>
          <w:ilvl w:val="0"/>
          <w:numId w:val="3"/>
        </w:numPr>
        <w:rPr>
          <w:rFonts w:ascii="Arial" w:eastAsia="Arial" w:hAnsi="Arial" w:cs="Arial"/>
          <w:b/>
          <w:bCs/>
        </w:rPr>
      </w:pPr>
      <w:r>
        <w:rPr>
          <w:rFonts w:ascii="Arial" w:eastAsia="Arial" w:hAnsi="Arial" w:cs="Arial"/>
          <w:b/>
          <w:bCs/>
        </w:rPr>
        <w:t>FAR 52.227-14, Rights in Data–General.</w:t>
      </w:r>
    </w:p>
    <w:p w:rsidR="00C64379" w14:paraId="20CE38CE" w14:textId="77777777">
      <w:pPr>
        <w:rPr>
          <w:rFonts w:ascii="Arial" w:eastAsia="Arial" w:hAnsi="Arial" w:cs="Arial"/>
          <w:b/>
          <w:bCs/>
        </w:rPr>
      </w:pPr>
    </w:p>
    <w:p w:rsidR="00C64379" w14:paraId="22660404" w14:textId="77777777">
      <w:pPr>
        <w:ind w:firstLine="720"/>
        <w:rPr>
          <w:rFonts w:ascii="Arial" w:eastAsia="Arial" w:hAnsi="Arial" w:cs="Arial"/>
        </w:rPr>
      </w:pPr>
      <w:r>
        <w:rPr>
          <w:rFonts w:ascii="Arial" w:eastAsia="Arial" w:hAnsi="Arial" w:cs="Arial"/>
        </w:rPr>
        <w:t>FY 22 FPDS data accounts for 92 contracts, which could have included this clause, were awarded to 50 unique contractors. This estimate excludes: contracts performed outside the United States, contracts for architect-engineer services or construction work, and contracts for the following NAICS Codes: 323111, 323117, 334614, 423430, 511110, 511120, 511130, 511210, 512199, 513120, and 513210. It is estimated that each contractor will provide four responses annually. One burden hour is estimated per response.</w:t>
      </w:r>
    </w:p>
    <w:p w:rsidR="00C64379" w14:paraId="3EB4C460" w14:textId="77777777">
      <w:pPr>
        <w:rPr>
          <w:rFonts w:ascii="Arial" w:eastAsia="Arial" w:hAnsi="Arial" w:cs="Arial"/>
        </w:rPr>
      </w:pPr>
    </w:p>
    <w:p w:rsidR="00C64379" w14:paraId="37DE762F" w14:textId="77777777">
      <w:pPr>
        <w:rPr>
          <w:rFonts w:ascii="Arial" w:eastAsia="Arial" w:hAnsi="Arial" w:cs="Arial"/>
        </w:rPr>
      </w:pPr>
      <w:r>
        <w:rPr>
          <w:rFonts w:ascii="Arial" w:eastAsia="Arial" w:hAnsi="Arial" w:cs="Arial"/>
        </w:rPr>
        <w:t>Estimated number of respondents/yr................................</w:t>
      </w:r>
      <w:r>
        <w:rPr>
          <w:rFonts w:ascii="Arial" w:eastAsia="Arial" w:hAnsi="Arial" w:cs="Arial"/>
        </w:rPr>
        <w:tab/>
        <w:t>50</w:t>
      </w:r>
    </w:p>
    <w:p w:rsidR="00C64379" w14:paraId="6C68C4B6" w14:textId="77777777">
      <w:pPr>
        <w:rPr>
          <w:rFonts w:ascii="Arial" w:eastAsia="Arial" w:hAnsi="Arial" w:cs="Arial"/>
        </w:rPr>
      </w:pPr>
      <w:r>
        <w:rPr>
          <w:rFonts w:ascii="Arial" w:eastAsia="Arial" w:hAnsi="Arial" w:cs="Arial"/>
        </w:rPr>
        <w:t xml:space="preserve">Responses per respondent...............................................x </w:t>
      </w:r>
      <w:r>
        <w:rPr>
          <w:rFonts w:ascii="Arial" w:eastAsia="Arial" w:hAnsi="Arial" w:cs="Arial"/>
        </w:rPr>
        <w:tab/>
        <w:t xml:space="preserve">  4</w:t>
      </w:r>
    </w:p>
    <w:p w:rsidR="00C64379" w14:paraId="0A4F5994" w14:textId="77777777">
      <w:pPr>
        <w:rPr>
          <w:rFonts w:ascii="Arial" w:eastAsia="Arial" w:hAnsi="Arial" w:cs="Arial"/>
        </w:rPr>
      </w:pPr>
      <w:r>
        <w:rPr>
          <w:rFonts w:ascii="Arial" w:eastAsia="Arial" w:hAnsi="Arial" w:cs="Arial"/>
        </w:rPr>
        <w:t>Total annual responses....................................................... 200</w:t>
      </w:r>
    </w:p>
    <w:p w:rsidR="00C64379" w14:paraId="212C4621" w14:textId="77777777">
      <w:pPr>
        <w:rPr>
          <w:rFonts w:ascii="Arial" w:eastAsia="Arial" w:hAnsi="Arial" w:cs="Arial"/>
        </w:rPr>
      </w:pPr>
      <w:r>
        <w:rPr>
          <w:rFonts w:ascii="Arial" w:eastAsia="Arial" w:hAnsi="Arial" w:cs="Arial"/>
        </w:rPr>
        <w:t>Estimated hrs/response.....................................................x</w:t>
      </w:r>
      <w:r>
        <w:rPr>
          <w:rFonts w:ascii="Arial" w:eastAsia="Arial" w:hAnsi="Arial" w:cs="Arial"/>
        </w:rPr>
        <w:tab/>
        <w:t xml:space="preserve">  1</w:t>
      </w:r>
    </w:p>
    <w:p w:rsidR="00C64379" w14:paraId="3A8B1EC7" w14:textId="77777777">
      <w:pPr>
        <w:rPr>
          <w:rFonts w:ascii="Arial" w:eastAsia="Arial" w:hAnsi="Arial" w:cs="Arial"/>
        </w:rPr>
      </w:pPr>
      <w:r>
        <w:rPr>
          <w:rFonts w:ascii="Arial" w:eastAsia="Arial" w:hAnsi="Arial" w:cs="Arial"/>
        </w:rPr>
        <w:t>Estimated annual burden hours.........................................  200</w:t>
      </w:r>
    </w:p>
    <w:p w:rsidR="00C64379" w14:paraId="06289A61" w14:textId="77777777">
      <w:pPr>
        <w:rPr>
          <w:rFonts w:ascii="Arial" w:eastAsia="Arial" w:hAnsi="Arial" w:cs="Arial"/>
        </w:rPr>
      </w:pPr>
      <w:r>
        <w:rPr>
          <w:rFonts w:ascii="Arial" w:eastAsia="Arial" w:hAnsi="Arial" w:cs="Arial"/>
        </w:rPr>
        <w:t>Hourly rate</w:t>
      </w:r>
      <w:r>
        <w:rPr>
          <w:rFonts w:ascii="Arial" w:eastAsia="Arial" w:hAnsi="Arial" w:cs="Arial"/>
          <w:b/>
          <w:bCs/>
        </w:rPr>
        <w:t>*</w:t>
      </w:r>
      <w:r>
        <w:rPr>
          <w:rFonts w:ascii="Arial" w:eastAsia="Arial" w:hAnsi="Arial" w:cs="Arial"/>
        </w:rPr>
        <w:t>........................................................................x $71</w:t>
      </w:r>
    </w:p>
    <w:p w:rsidR="00C64379" w14:paraId="5EB725CC" w14:textId="77777777">
      <w:pPr>
        <w:rPr>
          <w:rFonts w:ascii="Arial" w:eastAsia="Arial" w:hAnsi="Arial" w:cs="Arial"/>
        </w:rPr>
      </w:pPr>
      <w:r>
        <w:rPr>
          <w:rFonts w:ascii="Arial" w:eastAsia="Arial" w:hAnsi="Arial" w:cs="Arial"/>
        </w:rPr>
        <w:t>Estimated annual cost to the public..............................  $ 14,200</w:t>
      </w:r>
    </w:p>
    <w:p w:rsidR="00C64379" w14:paraId="3331E38B" w14:textId="77777777">
      <w:pPr>
        <w:rPr>
          <w:rFonts w:ascii="Arial" w:eastAsia="Arial" w:hAnsi="Arial" w:cs="Arial"/>
          <w:b/>
          <w:bCs/>
        </w:rPr>
      </w:pPr>
    </w:p>
    <w:p w:rsidR="00C64379" w14:paraId="1BF31C92" w14:textId="77777777">
      <w:pPr>
        <w:numPr>
          <w:ilvl w:val="0"/>
          <w:numId w:val="7"/>
        </w:numPr>
        <w:rPr>
          <w:rFonts w:ascii="Arial" w:eastAsia="Arial" w:hAnsi="Arial" w:cs="Arial"/>
        </w:rPr>
      </w:pPr>
      <w:r>
        <w:rPr>
          <w:rFonts w:ascii="Arial" w:eastAsia="Arial" w:hAnsi="Arial" w:cs="Arial"/>
          <w:b/>
          <w:bCs/>
        </w:rPr>
        <w:t>FAR 52.227-15, Representation of Limited Rights Data and Restricted Computer Software.</w:t>
      </w:r>
    </w:p>
    <w:p w:rsidR="00C64379" w14:paraId="589BD50B" w14:textId="77777777">
      <w:pPr>
        <w:ind w:firstLine="720"/>
        <w:rPr>
          <w:rFonts w:ascii="Arial" w:eastAsia="Arial" w:hAnsi="Arial" w:cs="Arial"/>
        </w:rPr>
      </w:pPr>
    </w:p>
    <w:p w:rsidR="00C64379" w14:paraId="6D48F630" w14:textId="77777777">
      <w:pPr>
        <w:ind w:firstLine="720"/>
        <w:rPr>
          <w:rFonts w:ascii="Arial" w:eastAsia="Arial" w:hAnsi="Arial" w:cs="Arial"/>
        </w:rPr>
      </w:pPr>
      <w:r>
        <w:rPr>
          <w:rFonts w:ascii="Arial" w:eastAsia="Arial" w:hAnsi="Arial" w:cs="Arial"/>
        </w:rPr>
        <w:t xml:space="preserve">On average per year, FPDS accounts for 5 unique contractors that were awarded sole source contracts based on the existence of limited rights in data, patent rights, copyrights or secret processes using NAICS codes 511210 (now 513210) – Software Publishers, 423430 – Computer and Computer Peripheral Equipment and Software Merchant Wholesalers and 334614 (now 334610) – Software Reproducing. It is estimated that each contractor will provide four responses annually. One burden hour is estimated per response.  </w:t>
      </w:r>
    </w:p>
    <w:p w:rsidR="00C64379" w14:paraId="23197E8F" w14:textId="77777777">
      <w:pPr>
        <w:rPr>
          <w:rFonts w:ascii="Arial" w:eastAsia="Arial" w:hAnsi="Arial" w:cs="Arial"/>
          <w:b/>
          <w:bCs/>
        </w:rPr>
      </w:pPr>
    </w:p>
    <w:p w:rsidR="00C64379" w14:paraId="2418F5D0" w14:textId="77777777">
      <w:pPr>
        <w:rPr>
          <w:rFonts w:ascii="Arial" w:eastAsia="Arial" w:hAnsi="Arial" w:cs="Arial"/>
          <w:highlight w:val="yellow"/>
        </w:rPr>
      </w:pPr>
      <w:r>
        <w:rPr>
          <w:rFonts w:ascii="Arial" w:eastAsia="Arial" w:hAnsi="Arial" w:cs="Arial"/>
        </w:rPr>
        <w:t>Estimated number of respondents/yr................................</w:t>
      </w:r>
      <w:r>
        <w:rPr>
          <w:rFonts w:ascii="Arial" w:eastAsia="Arial" w:hAnsi="Arial" w:cs="Arial"/>
        </w:rPr>
        <w:tab/>
        <w:t xml:space="preserve"> 5 </w:t>
      </w:r>
    </w:p>
    <w:p w:rsidR="00C64379" w14:paraId="6C9AF970" w14:textId="77777777">
      <w:pPr>
        <w:rPr>
          <w:rFonts w:ascii="Arial" w:eastAsia="Arial" w:hAnsi="Arial" w:cs="Arial"/>
        </w:rPr>
      </w:pPr>
      <w:r>
        <w:rPr>
          <w:rFonts w:ascii="Arial" w:eastAsia="Arial" w:hAnsi="Arial" w:cs="Arial"/>
        </w:rPr>
        <w:t xml:space="preserve">Responses per respondent...............................................x </w:t>
      </w:r>
      <w:r>
        <w:rPr>
          <w:rFonts w:ascii="Arial" w:eastAsia="Arial" w:hAnsi="Arial" w:cs="Arial"/>
        </w:rPr>
        <w:tab/>
        <w:t xml:space="preserve">  4</w:t>
      </w:r>
    </w:p>
    <w:p w:rsidR="00C64379" w14:paraId="10602577" w14:textId="77777777">
      <w:pPr>
        <w:rPr>
          <w:rFonts w:ascii="Arial" w:eastAsia="Arial" w:hAnsi="Arial" w:cs="Arial"/>
        </w:rPr>
      </w:pPr>
      <w:r>
        <w:rPr>
          <w:rFonts w:ascii="Arial" w:eastAsia="Arial" w:hAnsi="Arial" w:cs="Arial"/>
        </w:rPr>
        <w:t>Total annual responses.......................................................   20</w:t>
      </w:r>
    </w:p>
    <w:p w:rsidR="00C64379" w14:paraId="538A0FBC" w14:textId="77777777">
      <w:pPr>
        <w:rPr>
          <w:rFonts w:ascii="Arial" w:eastAsia="Arial" w:hAnsi="Arial" w:cs="Arial"/>
        </w:rPr>
      </w:pPr>
      <w:r>
        <w:rPr>
          <w:rFonts w:ascii="Arial" w:eastAsia="Arial" w:hAnsi="Arial" w:cs="Arial"/>
        </w:rPr>
        <w:t>Estimated hrs/response.....................................................x</w:t>
      </w:r>
      <w:r>
        <w:rPr>
          <w:rFonts w:ascii="Arial" w:eastAsia="Arial" w:hAnsi="Arial" w:cs="Arial"/>
        </w:rPr>
        <w:tab/>
        <w:t xml:space="preserve">  1</w:t>
      </w:r>
    </w:p>
    <w:p w:rsidR="00C64379" w14:paraId="728A8067" w14:textId="77777777">
      <w:pPr>
        <w:rPr>
          <w:rFonts w:ascii="Arial" w:eastAsia="Arial" w:hAnsi="Arial" w:cs="Arial"/>
        </w:rPr>
      </w:pPr>
      <w:r>
        <w:rPr>
          <w:rFonts w:ascii="Arial" w:eastAsia="Arial" w:hAnsi="Arial" w:cs="Arial"/>
        </w:rPr>
        <w:t>Estimated annual burden hours.........................................    20</w:t>
      </w:r>
    </w:p>
    <w:p w:rsidR="00C64379" w14:paraId="466CD8D8" w14:textId="77777777">
      <w:pPr>
        <w:rPr>
          <w:rFonts w:ascii="Arial" w:eastAsia="Arial" w:hAnsi="Arial" w:cs="Arial"/>
        </w:rPr>
      </w:pPr>
      <w:r>
        <w:rPr>
          <w:rFonts w:ascii="Arial" w:eastAsia="Arial" w:hAnsi="Arial" w:cs="Arial"/>
        </w:rPr>
        <w:t>Hourly rate</w:t>
      </w:r>
      <w:r>
        <w:rPr>
          <w:rFonts w:ascii="Arial" w:eastAsia="Arial" w:hAnsi="Arial" w:cs="Arial"/>
          <w:b/>
          <w:bCs/>
        </w:rPr>
        <w:t>*</w:t>
      </w:r>
      <w:r>
        <w:rPr>
          <w:rFonts w:ascii="Arial" w:eastAsia="Arial" w:hAnsi="Arial" w:cs="Arial"/>
        </w:rPr>
        <w:t>........................................................................x $71</w:t>
      </w:r>
    </w:p>
    <w:p w:rsidR="00C64379" w14:paraId="58C79FD3" w14:textId="77777777">
      <w:pPr>
        <w:rPr>
          <w:rFonts w:ascii="Arial" w:eastAsia="Arial" w:hAnsi="Arial" w:cs="Arial"/>
        </w:rPr>
      </w:pPr>
      <w:r>
        <w:rPr>
          <w:rFonts w:ascii="Arial" w:eastAsia="Arial" w:hAnsi="Arial" w:cs="Arial"/>
        </w:rPr>
        <w:t>Estimated annual cost to the public................................ $1,420</w:t>
      </w:r>
    </w:p>
    <w:p w:rsidR="00C64379" w14:paraId="7D4B34D2" w14:textId="77777777">
      <w:pPr>
        <w:rPr>
          <w:rFonts w:ascii="Arial" w:eastAsia="Arial" w:hAnsi="Arial" w:cs="Arial"/>
          <w:b/>
          <w:bCs/>
        </w:rPr>
      </w:pPr>
    </w:p>
    <w:p w:rsidR="00C64379" w14:paraId="49364DF4" w14:textId="77777777">
      <w:pPr>
        <w:numPr>
          <w:ilvl w:val="0"/>
          <w:numId w:val="15"/>
        </w:numPr>
        <w:rPr>
          <w:rFonts w:ascii="Arial" w:eastAsia="Arial" w:hAnsi="Arial" w:cs="Arial"/>
        </w:rPr>
      </w:pPr>
      <w:r>
        <w:rPr>
          <w:rFonts w:ascii="Arial" w:eastAsia="Arial" w:hAnsi="Arial" w:cs="Arial"/>
          <w:b/>
          <w:bCs/>
        </w:rPr>
        <w:t>FAR 52.227-17, Rights in Data-Special Works.</w:t>
      </w:r>
    </w:p>
    <w:p w:rsidR="00C64379" w14:paraId="4359789C" w14:textId="77777777">
      <w:pPr>
        <w:ind w:firstLine="720"/>
        <w:rPr>
          <w:rFonts w:ascii="Arial" w:eastAsia="Arial" w:hAnsi="Arial" w:cs="Arial"/>
        </w:rPr>
      </w:pPr>
    </w:p>
    <w:p w:rsidR="00C64379" w14:paraId="5A74D2E2" w14:textId="77777777">
      <w:pPr>
        <w:ind w:firstLine="720"/>
        <w:rPr>
          <w:rFonts w:ascii="Arial" w:eastAsia="Arial" w:hAnsi="Arial" w:cs="Arial"/>
        </w:rPr>
      </w:pPr>
      <w:r>
        <w:rPr>
          <w:rFonts w:ascii="Arial" w:eastAsia="Arial" w:hAnsi="Arial" w:cs="Arial"/>
        </w:rPr>
        <w:t xml:space="preserve">This clause is only used in rare circumstances. On average per year, FPDS accounts for 44 sole source contracts based on the existence of limited rights in data, patent rights, copyrights or secret processes, which could have included this clause, were awarded to 20 unique contractors. It is estimated that one percent of all contracts or 1 (44 x .01) will be subject to the requirements of this clause. The number of responses per respondent is estimated at one. One burden hour is estimated per response.  </w:t>
      </w:r>
    </w:p>
    <w:p w:rsidR="00C64379" w14:paraId="4ECB1C9D" w14:textId="77777777">
      <w:pPr>
        <w:rPr>
          <w:rFonts w:ascii="Arial" w:eastAsia="Arial" w:hAnsi="Arial" w:cs="Arial"/>
          <w:b/>
          <w:bCs/>
        </w:rPr>
      </w:pPr>
    </w:p>
    <w:p w:rsidR="00C64379" w14:paraId="61159E2E" w14:textId="77777777">
      <w:pPr>
        <w:rPr>
          <w:rFonts w:ascii="Arial" w:eastAsia="Arial" w:hAnsi="Arial" w:cs="Arial"/>
        </w:rPr>
      </w:pPr>
      <w:r>
        <w:rPr>
          <w:rFonts w:ascii="Arial" w:eastAsia="Arial" w:hAnsi="Arial" w:cs="Arial"/>
        </w:rPr>
        <w:t>Estimated number of respondents/yr................................</w:t>
      </w:r>
      <w:r>
        <w:rPr>
          <w:rFonts w:ascii="Arial" w:eastAsia="Arial" w:hAnsi="Arial" w:cs="Arial"/>
        </w:rPr>
        <w:tab/>
        <w:t xml:space="preserve"> 1</w:t>
      </w:r>
    </w:p>
    <w:p w:rsidR="00C64379" w14:paraId="1562412D" w14:textId="77777777">
      <w:pPr>
        <w:rPr>
          <w:rFonts w:ascii="Arial" w:eastAsia="Arial" w:hAnsi="Arial" w:cs="Arial"/>
        </w:rPr>
      </w:pPr>
      <w:r>
        <w:rPr>
          <w:rFonts w:ascii="Arial" w:eastAsia="Arial" w:hAnsi="Arial" w:cs="Arial"/>
        </w:rPr>
        <w:t>Responses per respondent...............................................x     1</w:t>
      </w:r>
    </w:p>
    <w:p w:rsidR="00C64379" w14:paraId="756B157D" w14:textId="77777777">
      <w:pPr>
        <w:rPr>
          <w:rFonts w:ascii="Arial" w:eastAsia="Arial" w:hAnsi="Arial" w:cs="Arial"/>
        </w:rPr>
      </w:pPr>
      <w:r>
        <w:rPr>
          <w:rFonts w:ascii="Arial" w:eastAsia="Arial" w:hAnsi="Arial" w:cs="Arial"/>
        </w:rPr>
        <w:t>Total annual responses.......................................................    1</w:t>
      </w:r>
    </w:p>
    <w:p w:rsidR="00C64379" w14:paraId="28245AD1" w14:textId="77777777">
      <w:pPr>
        <w:rPr>
          <w:rFonts w:ascii="Arial" w:eastAsia="Arial" w:hAnsi="Arial" w:cs="Arial"/>
        </w:rPr>
      </w:pPr>
      <w:r>
        <w:rPr>
          <w:rFonts w:ascii="Arial" w:eastAsia="Arial" w:hAnsi="Arial" w:cs="Arial"/>
        </w:rPr>
        <w:t>Estimated hrs/response.....................................................x</w:t>
      </w:r>
      <w:r>
        <w:rPr>
          <w:rFonts w:ascii="Arial" w:eastAsia="Arial" w:hAnsi="Arial" w:cs="Arial"/>
        </w:rPr>
        <w:tab/>
        <w:t xml:space="preserve">  1</w:t>
      </w:r>
    </w:p>
    <w:p w:rsidR="00C64379" w14:paraId="15BCC7E3" w14:textId="77777777">
      <w:pPr>
        <w:rPr>
          <w:rFonts w:ascii="Arial" w:eastAsia="Arial" w:hAnsi="Arial" w:cs="Arial"/>
        </w:rPr>
      </w:pPr>
      <w:r>
        <w:rPr>
          <w:rFonts w:ascii="Arial" w:eastAsia="Arial" w:hAnsi="Arial" w:cs="Arial"/>
        </w:rPr>
        <w:t>Estimated annual burden hours.........................................     1</w:t>
      </w:r>
    </w:p>
    <w:p w:rsidR="00C64379" w14:paraId="064D1FA4" w14:textId="77777777">
      <w:pPr>
        <w:rPr>
          <w:rFonts w:ascii="Arial" w:eastAsia="Arial" w:hAnsi="Arial" w:cs="Arial"/>
        </w:rPr>
      </w:pPr>
      <w:r>
        <w:rPr>
          <w:rFonts w:ascii="Arial" w:eastAsia="Arial" w:hAnsi="Arial" w:cs="Arial"/>
        </w:rPr>
        <w:t>Hourly rate</w:t>
      </w:r>
      <w:r>
        <w:rPr>
          <w:rFonts w:ascii="Arial" w:eastAsia="Arial" w:hAnsi="Arial" w:cs="Arial"/>
          <w:b/>
          <w:bCs/>
        </w:rPr>
        <w:t>*</w:t>
      </w:r>
      <w:r>
        <w:rPr>
          <w:rFonts w:ascii="Arial" w:eastAsia="Arial" w:hAnsi="Arial" w:cs="Arial"/>
        </w:rPr>
        <w:t>.......................................................................x $71</w:t>
      </w:r>
    </w:p>
    <w:p w:rsidR="00C64379" w14:paraId="57C397B1" w14:textId="77777777">
      <w:pPr>
        <w:rPr>
          <w:rFonts w:ascii="Arial" w:eastAsia="Arial" w:hAnsi="Arial" w:cs="Arial"/>
        </w:rPr>
      </w:pPr>
      <w:r>
        <w:rPr>
          <w:rFonts w:ascii="Arial" w:eastAsia="Arial" w:hAnsi="Arial" w:cs="Arial"/>
        </w:rPr>
        <w:t>Estimated annual cost to the public................................  $ 71</w:t>
      </w:r>
    </w:p>
    <w:p w:rsidR="00C64379" w14:paraId="059F3539" w14:textId="77777777">
      <w:pPr>
        <w:rPr>
          <w:rFonts w:ascii="Arial" w:eastAsia="Arial" w:hAnsi="Arial" w:cs="Arial"/>
          <w:b/>
          <w:bCs/>
        </w:rPr>
      </w:pPr>
    </w:p>
    <w:p w:rsidR="00C64379" w14:paraId="47C98FF7" w14:textId="77777777">
      <w:pPr>
        <w:numPr>
          <w:ilvl w:val="0"/>
          <w:numId w:val="13"/>
        </w:numPr>
        <w:rPr>
          <w:rFonts w:ascii="Arial" w:eastAsia="Arial" w:hAnsi="Arial" w:cs="Arial"/>
        </w:rPr>
      </w:pPr>
      <w:r>
        <w:rPr>
          <w:rFonts w:ascii="Arial" w:eastAsia="Arial" w:hAnsi="Arial" w:cs="Arial"/>
          <w:b/>
          <w:bCs/>
        </w:rPr>
        <w:t>FAR 52.227-18, Rights in Data-Existing Works.</w:t>
      </w:r>
    </w:p>
    <w:p w:rsidR="00C64379" w14:paraId="1AA4E2C8" w14:textId="77777777">
      <w:pPr>
        <w:rPr>
          <w:rFonts w:ascii="Arial" w:eastAsia="Arial" w:hAnsi="Arial" w:cs="Arial"/>
        </w:rPr>
      </w:pPr>
    </w:p>
    <w:p w:rsidR="00C64379" w14:paraId="429CC349" w14:textId="77777777">
      <w:pPr>
        <w:ind w:firstLine="720"/>
        <w:rPr>
          <w:rFonts w:ascii="Arial" w:eastAsia="Arial" w:hAnsi="Arial" w:cs="Arial"/>
          <w:b/>
          <w:bCs/>
        </w:rPr>
      </w:pPr>
      <w:r>
        <w:rPr>
          <w:rFonts w:ascii="Arial" w:eastAsia="Arial" w:hAnsi="Arial" w:cs="Arial"/>
        </w:rPr>
        <w:t>On average per year, FPDS did not account for any contracts meeting the criteria previously used. A decision was made to keep the estimate of 3 unique contractors awarded sole source contracts based on the existence of limited rights in data, patent rights, copyrights or secret processes using NAICS codes 512199 - Other Motion Picture and Video Industries, 323111 - Commercial Printing, 323117 - Books Printing, 511110 (now 513110) - Newspaper Publishers, 511120 (now 513120) - Periodical Publishers, 511130 (now 513130) - Book Publishers. It is further estimated that each contractor will provide one response annually. One burden hour is estimated per response.</w:t>
      </w:r>
    </w:p>
    <w:p w:rsidR="00C64379" w14:paraId="12FC9CF1" w14:textId="77777777">
      <w:pPr>
        <w:rPr>
          <w:rFonts w:ascii="Arial" w:eastAsia="Arial" w:hAnsi="Arial" w:cs="Arial"/>
          <w:b/>
          <w:bCs/>
        </w:rPr>
      </w:pPr>
    </w:p>
    <w:p w:rsidR="00C64379" w14:paraId="001D7FBA" w14:textId="77777777">
      <w:pPr>
        <w:rPr>
          <w:rFonts w:ascii="Arial" w:eastAsia="Arial" w:hAnsi="Arial" w:cs="Arial"/>
        </w:rPr>
      </w:pPr>
      <w:r>
        <w:rPr>
          <w:rFonts w:ascii="Arial" w:eastAsia="Arial" w:hAnsi="Arial" w:cs="Arial"/>
        </w:rPr>
        <w:t>Estimated number of respondents/yr................................</w:t>
      </w:r>
      <w:r>
        <w:rPr>
          <w:rFonts w:ascii="Arial" w:eastAsia="Arial" w:hAnsi="Arial" w:cs="Arial"/>
        </w:rPr>
        <w:tab/>
        <w:t xml:space="preserve"> 3</w:t>
      </w:r>
    </w:p>
    <w:p w:rsidR="00C64379" w14:paraId="06B9C290" w14:textId="77777777">
      <w:pPr>
        <w:rPr>
          <w:rFonts w:ascii="Arial" w:eastAsia="Arial" w:hAnsi="Arial" w:cs="Arial"/>
        </w:rPr>
      </w:pPr>
      <w:r>
        <w:rPr>
          <w:rFonts w:ascii="Arial" w:eastAsia="Arial" w:hAnsi="Arial" w:cs="Arial"/>
        </w:rPr>
        <w:t>Responses per respondent...............................................x     1</w:t>
      </w:r>
    </w:p>
    <w:p w:rsidR="00C64379" w14:paraId="1F69C670" w14:textId="77777777">
      <w:pPr>
        <w:rPr>
          <w:rFonts w:ascii="Arial" w:eastAsia="Arial" w:hAnsi="Arial" w:cs="Arial"/>
        </w:rPr>
      </w:pPr>
      <w:r>
        <w:rPr>
          <w:rFonts w:ascii="Arial" w:eastAsia="Arial" w:hAnsi="Arial" w:cs="Arial"/>
        </w:rPr>
        <w:t>Total annual responses.......................................................    3</w:t>
      </w:r>
    </w:p>
    <w:p w:rsidR="00C64379" w14:paraId="37EE7A6A" w14:textId="77777777">
      <w:pPr>
        <w:rPr>
          <w:rFonts w:ascii="Arial" w:eastAsia="Arial" w:hAnsi="Arial" w:cs="Arial"/>
        </w:rPr>
      </w:pPr>
      <w:r>
        <w:rPr>
          <w:rFonts w:ascii="Arial" w:eastAsia="Arial" w:hAnsi="Arial" w:cs="Arial"/>
        </w:rPr>
        <w:t>Estimated hrs/response.....................................................x</w:t>
      </w:r>
      <w:r>
        <w:rPr>
          <w:rFonts w:ascii="Arial" w:eastAsia="Arial" w:hAnsi="Arial" w:cs="Arial"/>
        </w:rPr>
        <w:tab/>
        <w:t xml:space="preserve">  1</w:t>
      </w:r>
    </w:p>
    <w:p w:rsidR="00C64379" w14:paraId="52DB06E4" w14:textId="77777777">
      <w:pPr>
        <w:rPr>
          <w:rFonts w:ascii="Arial" w:eastAsia="Arial" w:hAnsi="Arial" w:cs="Arial"/>
        </w:rPr>
      </w:pPr>
      <w:r>
        <w:rPr>
          <w:rFonts w:ascii="Arial" w:eastAsia="Arial" w:hAnsi="Arial" w:cs="Arial"/>
        </w:rPr>
        <w:t>Estimated annual burden hours.........................................     3</w:t>
      </w:r>
    </w:p>
    <w:p w:rsidR="00C64379" w14:paraId="37A43AD6" w14:textId="77777777">
      <w:pPr>
        <w:rPr>
          <w:rFonts w:ascii="Arial" w:eastAsia="Arial" w:hAnsi="Arial" w:cs="Arial"/>
        </w:rPr>
      </w:pPr>
      <w:r>
        <w:rPr>
          <w:rFonts w:ascii="Arial" w:eastAsia="Arial" w:hAnsi="Arial" w:cs="Arial"/>
        </w:rPr>
        <w:t>Hourly rate</w:t>
      </w:r>
      <w:r>
        <w:rPr>
          <w:rFonts w:ascii="Arial" w:eastAsia="Arial" w:hAnsi="Arial" w:cs="Arial"/>
          <w:b/>
          <w:bCs/>
        </w:rPr>
        <w:t>*</w:t>
      </w:r>
      <w:r>
        <w:rPr>
          <w:rFonts w:ascii="Arial" w:eastAsia="Arial" w:hAnsi="Arial" w:cs="Arial"/>
        </w:rPr>
        <w:t>.......................................................................x $71</w:t>
      </w:r>
    </w:p>
    <w:p w:rsidR="00C64379" w14:paraId="3271EDB3" w14:textId="77777777">
      <w:pPr>
        <w:rPr>
          <w:rFonts w:ascii="Arial" w:eastAsia="Arial" w:hAnsi="Arial" w:cs="Arial"/>
        </w:rPr>
      </w:pPr>
      <w:r>
        <w:rPr>
          <w:rFonts w:ascii="Arial" w:eastAsia="Arial" w:hAnsi="Arial" w:cs="Arial"/>
        </w:rPr>
        <w:t>Estimated annual cost to the public................................  $ 213</w:t>
      </w:r>
    </w:p>
    <w:p w:rsidR="00C64379" w14:paraId="57B8AA37" w14:textId="77777777">
      <w:pPr>
        <w:rPr>
          <w:rFonts w:ascii="Arial" w:eastAsia="Arial" w:hAnsi="Arial" w:cs="Arial"/>
          <w:b/>
          <w:bCs/>
        </w:rPr>
      </w:pPr>
    </w:p>
    <w:p w:rsidR="00C64379" w14:paraId="6266F70A" w14:textId="77777777">
      <w:pPr>
        <w:numPr>
          <w:ilvl w:val="0"/>
          <w:numId w:val="8"/>
        </w:numPr>
        <w:rPr>
          <w:rFonts w:ascii="Arial" w:eastAsia="Arial" w:hAnsi="Arial" w:cs="Arial"/>
        </w:rPr>
      </w:pPr>
      <w:r>
        <w:rPr>
          <w:rFonts w:ascii="Arial" w:eastAsia="Arial" w:hAnsi="Arial" w:cs="Arial"/>
          <w:b/>
          <w:bCs/>
        </w:rPr>
        <w:t>FAR 52.227-19, Commercial Computer Software License.</w:t>
      </w:r>
    </w:p>
    <w:p w:rsidR="00C64379" w14:paraId="23202C87" w14:textId="77777777">
      <w:pPr>
        <w:rPr>
          <w:rFonts w:ascii="Arial" w:eastAsia="Arial" w:hAnsi="Arial" w:cs="Arial"/>
          <w:b/>
          <w:bCs/>
        </w:rPr>
      </w:pPr>
    </w:p>
    <w:p w:rsidR="00C64379" w14:paraId="2458EE1E" w14:textId="77777777">
      <w:pPr>
        <w:ind w:firstLine="720"/>
        <w:rPr>
          <w:rFonts w:ascii="Arial" w:eastAsia="Arial" w:hAnsi="Arial" w:cs="Arial"/>
        </w:rPr>
      </w:pPr>
      <w:r>
        <w:rPr>
          <w:rFonts w:ascii="Arial" w:eastAsia="Arial" w:hAnsi="Arial" w:cs="Arial"/>
        </w:rPr>
        <w:t xml:space="preserve">On average per year, FPDS accounts for 71 unique contractors awarded sole source contracts using NAICS codes 511210 (now 513210) – Software Publishers, 423430-Computer and Computer Peripheral Equipment and Software Merchant Wholesalers and 334614 (now 334610) - Software and Other Prerecorded Compact Disc, Tape, and Record Reproducing. It is estimated that 4% or 3 (71 x .04) of these contractors will provide the notice required by 52.227-19. It is estimated that each contractor will provide three responses annually. This estimate was based on the fact </w:t>
      </w:r>
      <w:r>
        <w:rPr>
          <w:rFonts w:ascii="Arial" w:eastAsia="Arial" w:hAnsi="Arial" w:cs="Arial"/>
        </w:rPr>
        <w:t>that a contractor’s commercial license would most commonly outline the license terms, as opposed to the commercial computer software license clause, to which contractors often take exception to because this clause takes precedence over the contractor’s commercial license. One burden hour is estimated per response.</w:t>
      </w:r>
    </w:p>
    <w:p w:rsidR="00C64379" w14:paraId="02B3BBC9" w14:textId="77777777">
      <w:pPr>
        <w:rPr>
          <w:rFonts w:ascii="Arial" w:eastAsia="Arial" w:hAnsi="Arial" w:cs="Arial"/>
        </w:rPr>
      </w:pPr>
    </w:p>
    <w:p w:rsidR="00C64379" w14:paraId="4437BB0D" w14:textId="77777777">
      <w:pPr>
        <w:rPr>
          <w:rFonts w:ascii="Arial" w:eastAsia="Arial" w:hAnsi="Arial" w:cs="Arial"/>
        </w:rPr>
      </w:pPr>
      <w:r>
        <w:rPr>
          <w:rFonts w:ascii="Arial" w:eastAsia="Arial" w:hAnsi="Arial" w:cs="Arial"/>
        </w:rPr>
        <w:t>Estimated number of respondents/yr................................</w:t>
      </w:r>
      <w:r>
        <w:rPr>
          <w:rFonts w:ascii="Arial" w:eastAsia="Arial" w:hAnsi="Arial" w:cs="Arial"/>
        </w:rPr>
        <w:tab/>
        <w:t xml:space="preserve">    3</w:t>
      </w:r>
    </w:p>
    <w:p w:rsidR="00C64379" w14:paraId="290FC1EF" w14:textId="77777777">
      <w:pPr>
        <w:rPr>
          <w:rFonts w:ascii="Arial" w:eastAsia="Arial" w:hAnsi="Arial" w:cs="Arial"/>
        </w:rPr>
      </w:pPr>
      <w:r>
        <w:rPr>
          <w:rFonts w:ascii="Arial" w:eastAsia="Arial" w:hAnsi="Arial" w:cs="Arial"/>
        </w:rPr>
        <w:t>Responses per respondent...............................................x        3</w:t>
      </w:r>
    </w:p>
    <w:p w:rsidR="00C64379" w14:paraId="5C8FC0FE" w14:textId="77777777">
      <w:pPr>
        <w:rPr>
          <w:rFonts w:ascii="Arial" w:eastAsia="Arial" w:hAnsi="Arial" w:cs="Arial"/>
        </w:rPr>
      </w:pPr>
      <w:r>
        <w:rPr>
          <w:rFonts w:ascii="Arial" w:eastAsia="Arial" w:hAnsi="Arial" w:cs="Arial"/>
        </w:rPr>
        <w:t>Total annual responses.......................................................      9</w:t>
      </w:r>
    </w:p>
    <w:p w:rsidR="00C64379" w14:paraId="11EBC1F1" w14:textId="77777777">
      <w:pPr>
        <w:rPr>
          <w:rFonts w:ascii="Arial" w:eastAsia="Arial" w:hAnsi="Arial" w:cs="Arial"/>
        </w:rPr>
      </w:pPr>
      <w:r>
        <w:rPr>
          <w:rFonts w:ascii="Arial" w:eastAsia="Arial" w:hAnsi="Arial" w:cs="Arial"/>
        </w:rPr>
        <w:t>Estimated hrs/response.....................................................x</w:t>
      </w:r>
      <w:r>
        <w:rPr>
          <w:rFonts w:ascii="Arial" w:eastAsia="Arial" w:hAnsi="Arial" w:cs="Arial"/>
        </w:rPr>
        <w:tab/>
        <w:t xml:space="preserve">     1</w:t>
      </w:r>
    </w:p>
    <w:p w:rsidR="00C64379" w14:paraId="1C7C0315" w14:textId="77777777">
      <w:pPr>
        <w:rPr>
          <w:rFonts w:ascii="Arial" w:eastAsia="Arial" w:hAnsi="Arial" w:cs="Arial"/>
        </w:rPr>
      </w:pPr>
      <w:r>
        <w:rPr>
          <w:rFonts w:ascii="Arial" w:eastAsia="Arial" w:hAnsi="Arial" w:cs="Arial"/>
        </w:rPr>
        <w:t>Estimated annual burden hours.........................................      9</w:t>
      </w:r>
    </w:p>
    <w:p w:rsidR="00C64379" w14:paraId="5C8F0FDF" w14:textId="77777777">
      <w:pPr>
        <w:rPr>
          <w:rFonts w:ascii="Arial" w:eastAsia="Arial" w:hAnsi="Arial" w:cs="Arial"/>
        </w:rPr>
      </w:pPr>
      <w:r>
        <w:rPr>
          <w:rFonts w:ascii="Arial" w:eastAsia="Arial" w:hAnsi="Arial" w:cs="Arial"/>
        </w:rPr>
        <w:t>Hourly rate</w:t>
      </w:r>
      <w:r>
        <w:rPr>
          <w:rFonts w:ascii="Arial" w:eastAsia="Arial" w:hAnsi="Arial" w:cs="Arial"/>
          <w:b/>
          <w:bCs/>
        </w:rPr>
        <w:t>*</w:t>
      </w:r>
      <w:r>
        <w:rPr>
          <w:rFonts w:ascii="Arial" w:eastAsia="Arial" w:hAnsi="Arial" w:cs="Arial"/>
        </w:rPr>
        <w:t>........................................................................x</w:t>
      </w:r>
      <w:r>
        <w:rPr>
          <w:rFonts w:ascii="Arial" w:eastAsia="Arial" w:hAnsi="Arial" w:cs="Arial"/>
        </w:rPr>
        <w:tab/>
        <w:t xml:space="preserve"> $71</w:t>
      </w:r>
    </w:p>
    <w:p w:rsidR="00C64379" w14:paraId="7760D6A5" w14:textId="77777777">
      <w:pPr>
        <w:rPr>
          <w:rFonts w:ascii="Arial" w:eastAsia="Arial" w:hAnsi="Arial" w:cs="Arial"/>
        </w:rPr>
      </w:pPr>
      <w:r>
        <w:rPr>
          <w:rFonts w:ascii="Arial" w:eastAsia="Arial" w:hAnsi="Arial" w:cs="Arial"/>
        </w:rPr>
        <w:t>Estimated annual cost to the public................................     $ 639</w:t>
      </w:r>
    </w:p>
    <w:p w:rsidR="00C64379" w14:paraId="591762B7" w14:textId="77777777">
      <w:pPr>
        <w:rPr>
          <w:rFonts w:ascii="Arial" w:eastAsia="Arial" w:hAnsi="Arial" w:cs="Arial"/>
          <w:b/>
          <w:bCs/>
        </w:rPr>
      </w:pPr>
    </w:p>
    <w:p w:rsidR="00C64379" w14:paraId="7132DA2C" w14:textId="77777777">
      <w:pPr>
        <w:numPr>
          <w:ilvl w:val="0"/>
          <w:numId w:val="20"/>
        </w:numPr>
        <w:rPr>
          <w:rFonts w:ascii="Arial" w:eastAsia="Arial" w:hAnsi="Arial" w:cs="Arial"/>
        </w:rPr>
      </w:pPr>
      <w:r>
        <w:rPr>
          <w:rFonts w:ascii="Arial" w:eastAsia="Arial" w:hAnsi="Arial" w:cs="Arial"/>
          <w:b/>
          <w:bCs/>
        </w:rPr>
        <w:t>FAR 52.227-20, Rights in Data–SBIR Program.</w:t>
      </w:r>
    </w:p>
    <w:p w:rsidR="00C64379" w14:paraId="46E8C611" w14:textId="77777777">
      <w:pPr>
        <w:rPr>
          <w:rFonts w:ascii="Arial" w:eastAsia="Arial" w:hAnsi="Arial" w:cs="Arial"/>
        </w:rPr>
      </w:pPr>
    </w:p>
    <w:p w:rsidR="00C64379" w14:paraId="6B034C38" w14:textId="071070B4">
      <w:pPr>
        <w:ind w:firstLine="720"/>
        <w:rPr>
          <w:rFonts w:ascii="Arial" w:eastAsia="Arial" w:hAnsi="Arial" w:cs="Arial"/>
          <w:b/>
          <w:bCs/>
        </w:rPr>
      </w:pPr>
      <w:r>
        <w:rPr>
          <w:rFonts w:ascii="Arial" w:eastAsia="Arial" w:hAnsi="Arial" w:cs="Arial"/>
        </w:rPr>
        <w:t xml:space="preserve">On average per year, FPDS accounts for 2 unique </w:t>
      </w:r>
      <w:r w:rsidR="002D670F">
        <w:rPr>
          <w:rFonts w:ascii="Arial" w:eastAsia="Arial" w:hAnsi="Arial" w:cs="Arial"/>
        </w:rPr>
        <w:t>contractors</w:t>
      </w:r>
      <w:r>
        <w:rPr>
          <w:rFonts w:ascii="Arial" w:eastAsia="Arial" w:hAnsi="Arial" w:cs="Arial"/>
        </w:rPr>
        <w:t xml:space="preserve"> awarded a SBIR contract and it is estimated that each contractor will provide approximately two responses annually. One burden hour is estimated per response.  </w:t>
      </w:r>
      <w:r>
        <w:rPr>
          <w:rFonts w:ascii="Arial" w:eastAsia="Arial" w:hAnsi="Arial" w:cs="Arial"/>
          <w:b/>
          <w:bCs/>
        </w:rPr>
        <w:t xml:space="preserve">             </w:t>
      </w:r>
    </w:p>
    <w:p w:rsidR="00C64379" w14:paraId="788FFC92" w14:textId="77777777">
      <w:pPr>
        <w:rPr>
          <w:rFonts w:ascii="Arial" w:eastAsia="Arial" w:hAnsi="Arial" w:cs="Arial"/>
          <w:b/>
          <w:bCs/>
        </w:rPr>
      </w:pPr>
    </w:p>
    <w:p w:rsidR="00C64379" w14:paraId="46D97389" w14:textId="77777777">
      <w:pPr>
        <w:rPr>
          <w:rFonts w:ascii="Arial" w:eastAsia="Arial" w:hAnsi="Arial" w:cs="Arial"/>
        </w:rPr>
      </w:pPr>
      <w:r>
        <w:rPr>
          <w:rFonts w:ascii="Arial" w:eastAsia="Arial" w:hAnsi="Arial" w:cs="Arial"/>
        </w:rPr>
        <w:t>Estimated number of respondents/yr................................</w:t>
      </w:r>
      <w:r>
        <w:rPr>
          <w:rFonts w:ascii="Arial" w:eastAsia="Arial" w:hAnsi="Arial" w:cs="Arial"/>
        </w:rPr>
        <w:tab/>
        <w:t>2</w:t>
      </w:r>
    </w:p>
    <w:p w:rsidR="00C64379" w14:paraId="1F322A69" w14:textId="77777777">
      <w:pPr>
        <w:rPr>
          <w:rFonts w:ascii="Arial" w:eastAsia="Arial" w:hAnsi="Arial" w:cs="Arial"/>
        </w:rPr>
      </w:pPr>
      <w:r>
        <w:rPr>
          <w:rFonts w:ascii="Arial" w:eastAsia="Arial" w:hAnsi="Arial" w:cs="Arial"/>
        </w:rPr>
        <w:t>Responses per respondent...............................................x   2</w:t>
      </w:r>
    </w:p>
    <w:p w:rsidR="00C64379" w14:paraId="6291B73D" w14:textId="77777777">
      <w:pPr>
        <w:rPr>
          <w:rFonts w:ascii="Arial" w:eastAsia="Arial" w:hAnsi="Arial" w:cs="Arial"/>
        </w:rPr>
      </w:pPr>
      <w:r>
        <w:rPr>
          <w:rFonts w:ascii="Arial" w:eastAsia="Arial" w:hAnsi="Arial" w:cs="Arial"/>
        </w:rPr>
        <w:t>Total annual responses.......................................................   4</w:t>
      </w:r>
    </w:p>
    <w:p w:rsidR="00C64379" w14:paraId="0B2F88BD" w14:textId="77777777">
      <w:pPr>
        <w:rPr>
          <w:rFonts w:ascii="Arial" w:eastAsia="Arial" w:hAnsi="Arial" w:cs="Arial"/>
        </w:rPr>
      </w:pPr>
      <w:r>
        <w:rPr>
          <w:rFonts w:ascii="Arial" w:eastAsia="Arial" w:hAnsi="Arial" w:cs="Arial"/>
        </w:rPr>
        <w:t>Estimated hrs/response.....................................................x  1</w:t>
      </w:r>
    </w:p>
    <w:p w:rsidR="00C64379" w14:paraId="399D6B84" w14:textId="77777777">
      <w:pPr>
        <w:rPr>
          <w:rFonts w:ascii="Arial" w:eastAsia="Arial" w:hAnsi="Arial" w:cs="Arial"/>
        </w:rPr>
      </w:pPr>
      <w:r>
        <w:rPr>
          <w:rFonts w:ascii="Arial" w:eastAsia="Arial" w:hAnsi="Arial" w:cs="Arial"/>
        </w:rPr>
        <w:t>Estimated annual burden hours.........................................    4</w:t>
      </w:r>
    </w:p>
    <w:p w:rsidR="00C64379" w14:paraId="67326AE9" w14:textId="77777777">
      <w:pPr>
        <w:rPr>
          <w:rFonts w:ascii="Arial" w:eastAsia="Arial" w:hAnsi="Arial" w:cs="Arial"/>
        </w:rPr>
      </w:pPr>
      <w:r>
        <w:rPr>
          <w:rFonts w:ascii="Arial" w:eastAsia="Arial" w:hAnsi="Arial" w:cs="Arial"/>
        </w:rPr>
        <w:t>Hourly rate</w:t>
      </w:r>
      <w:r>
        <w:rPr>
          <w:rFonts w:ascii="Arial" w:eastAsia="Arial" w:hAnsi="Arial" w:cs="Arial"/>
          <w:b/>
          <w:bCs/>
        </w:rPr>
        <w:t>*</w:t>
      </w:r>
      <w:r>
        <w:rPr>
          <w:rFonts w:ascii="Arial" w:eastAsia="Arial" w:hAnsi="Arial" w:cs="Arial"/>
        </w:rPr>
        <w:t>.......................................................................x$71</w:t>
      </w:r>
    </w:p>
    <w:p w:rsidR="00C64379" w14:paraId="143C632F" w14:textId="77777777">
      <w:pPr>
        <w:rPr>
          <w:rFonts w:ascii="Arial" w:eastAsia="Arial" w:hAnsi="Arial" w:cs="Arial"/>
        </w:rPr>
      </w:pPr>
      <w:r>
        <w:rPr>
          <w:rFonts w:ascii="Arial" w:eastAsia="Arial" w:hAnsi="Arial" w:cs="Arial"/>
        </w:rPr>
        <w:t>Estimated annual cost to the public................................ $ 284</w:t>
      </w:r>
    </w:p>
    <w:p w:rsidR="00C64379" w14:paraId="6BB5C32F" w14:textId="77777777">
      <w:pPr>
        <w:rPr>
          <w:rFonts w:ascii="Arial" w:eastAsia="Arial" w:hAnsi="Arial" w:cs="Arial"/>
          <w:b/>
          <w:bCs/>
        </w:rPr>
      </w:pPr>
    </w:p>
    <w:p w:rsidR="00C64379" w14:paraId="370DDC5C" w14:textId="77777777">
      <w:pPr>
        <w:numPr>
          <w:ilvl w:val="0"/>
          <w:numId w:val="9"/>
        </w:numPr>
        <w:rPr>
          <w:rFonts w:ascii="Arial" w:eastAsia="Arial" w:hAnsi="Arial" w:cs="Arial"/>
        </w:rPr>
      </w:pPr>
      <w:r>
        <w:rPr>
          <w:rFonts w:ascii="Arial" w:eastAsia="Arial" w:hAnsi="Arial" w:cs="Arial"/>
          <w:b/>
          <w:bCs/>
        </w:rPr>
        <w:t>FAR 52.227-21, Technical Data Declaration, Revision, and Withholding of Payment–Major Systems.</w:t>
      </w:r>
    </w:p>
    <w:p w:rsidR="00C64379" w14:paraId="29CB79AF" w14:textId="77777777">
      <w:pPr>
        <w:rPr>
          <w:rFonts w:ascii="Arial" w:eastAsia="Arial" w:hAnsi="Arial" w:cs="Arial"/>
          <w:b/>
          <w:bCs/>
        </w:rPr>
      </w:pPr>
    </w:p>
    <w:p w:rsidR="00C64379" w14:paraId="7E07F441" w14:textId="77777777">
      <w:pPr>
        <w:ind w:firstLine="720"/>
        <w:rPr>
          <w:rFonts w:ascii="Arial" w:eastAsia="Arial" w:hAnsi="Arial" w:cs="Arial"/>
        </w:rPr>
      </w:pPr>
      <w:r>
        <w:rPr>
          <w:rFonts w:ascii="Arial" w:eastAsia="Arial" w:hAnsi="Arial" w:cs="Arial"/>
        </w:rPr>
        <w:t xml:space="preserve">An average of FY 23-24, FPDS accounts for 8 unique contractors awarded a sole source major systems contract based on the existence of limited rights in data, patent rights, copyrights or secret processes using NAICS codes 336411 – Aircraft Manufacturing, 336412 - Aircraft Engine and Engine Parts Manufacturing, 336413- Other Aircraft Parts and Auxiliary Equipment Manufacturing and 336414 - Guided Missile and Space Vehicle Manufacturing. The estimated number of respondents per year is 8. It is estimated that each contractor will provide approximately five responses annually. One burden hour is estimated per response.              </w:t>
      </w:r>
    </w:p>
    <w:p w:rsidR="00C64379" w14:paraId="12325EF9" w14:textId="77777777">
      <w:pPr>
        <w:rPr>
          <w:rFonts w:ascii="Arial" w:eastAsia="Arial" w:hAnsi="Arial" w:cs="Arial"/>
          <w:b/>
          <w:bCs/>
        </w:rPr>
      </w:pPr>
    </w:p>
    <w:p w:rsidR="00C64379" w14:paraId="31722597" w14:textId="77777777">
      <w:pPr>
        <w:rPr>
          <w:rFonts w:ascii="Arial" w:eastAsia="Arial" w:hAnsi="Arial" w:cs="Arial"/>
        </w:rPr>
      </w:pPr>
      <w:r>
        <w:rPr>
          <w:rFonts w:ascii="Arial" w:eastAsia="Arial" w:hAnsi="Arial" w:cs="Arial"/>
        </w:rPr>
        <w:t>Estimated number of respondents/yr................................</w:t>
      </w:r>
      <w:r>
        <w:rPr>
          <w:rFonts w:ascii="Arial" w:eastAsia="Arial" w:hAnsi="Arial" w:cs="Arial"/>
        </w:rPr>
        <w:tab/>
        <w:t>8</w:t>
      </w:r>
    </w:p>
    <w:p w:rsidR="00C64379" w14:paraId="0318CF00" w14:textId="77777777">
      <w:pPr>
        <w:rPr>
          <w:rFonts w:ascii="Arial" w:eastAsia="Arial" w:hAnsi="Arial" w:cs="Arial"/>
        </w:rPr>
      </w:pPr>
      <w:r>
        <w:rPr>
          <w:rFonts w:ascii="Arial" w:eastAsia="Arial" w:hAnsi="Arial" w:cs="Arial"/>
        </w:rPr>
        <w:t>Responses per respondent...............................................x     5</w:t>
      </w:r>
    </w:p>
    <w:p w:rsidR="00C64379" w14:paraId="69C9EEDE" w14:textId="77777777">
      <w:pPr>
        <w:rPr>
          <w:rFonts w:ascii="Arial" w:eastAsia="Arial" w:hAnsi="Arial" w:cs="Arial"/>
        </w:rPr>
      </w:pPr>
      <w:r>
        <w:rPr>
          <w:rFonts w:ascii="Arial" w:eastAsia="Arial" w:hAnsi="Arial" w:cs="Arial"/>
        </w:rPr>
        <w:t>Total annual responses.......................................................  40</w:t>
      </w:r>
    </w:p>
    <w:p w:rsidR="00C64379" w14:paraId="02DD9984" w14:textId="77777777">
      <w:pPr>
        <w:rPr>
          <w:rFonts w:ascii="Arial" w:eastAsia="Arial" w:hAnsi="Arial" w:cs="Arial"/>
        </w:rPr>
      </w:pPr>
      <w:r>
        <w:rPr>
          <w:rFonts w:ascii="Arial" w:eastAsia="Arial" w:hAnsi="Arial" w:cs="Arial"/>
        </w:rPr>
        <w:t>Estimated hrs/response.....................................................x</w:t>
      </w:r>
      <w:r>
        <w:rPr>
          <w:rFonts w:ascii="Arial" w:eastAsia="Arial" w:hAnsi="Arial" w:cs="Arial"/>
        </w:rPr>
        <w:tab/>
        <w:t xml:space="preserve">  1</w:t>
      </w:r>
    </w:p>
    <w:p w:rsidR="00C64379" w14:paraId="0A56FF6C" w14:textId="77777777">
      <w:pPr>
        <w:rPr>
          <w:rFonts w:ascii="Arial" w:eastAsia="Arial" w:hAnsi="Arial" w:cs="Arial"/>
        </w:rPr>
      </w:pPr>
      <w:r>
        <w:rPr>
          <w:rFonts w:ascii="Arial" w:eastAsia="Arial" w:hAnsi="Arial" w:cs="Arial"/>
        </w:rPr>
        <w:t>Estimated annual burden hours.........................................  40</w:t>
      </w:r>
    </w:p>
    <w:p w:rsidR="00C64379" w14:paraId="46919AFE" w14:textId="77777777">
      <w:pPr>
        <w:rPr>
          <w:rFonts w:ascii="Arial" w:eastAsia="Arial" w:hAnsi="Arial" w:cs="Arial"/>
        </w:rPr>
      </w:pPr>
      <w:r>
        <w:rPr>
          <w:rFonts w:ascii="Arial" w:eastAsia="Arial" w:hAnsi="Arial" w:cs="Arial"/>
        </w:rPr>
        <w:t>Hourly rate</w:t>
      </w:r>
      <w:r>
        <w:rPr>
          <w:rFonts w:ascii="Arial" w:eastAsia="Arial" w:hAnsi="Arial" w:cs="Arial"/>
          <w:b/>
          <w:bCs/>
        </w:rPr>
        <w:t>*</w:t>
      </w:r>
      <w:r>
        <w:rPr>
          <w:rFonts w:ascii="Arial" w:eastAsia="Arial" w:hAnsi="Arial" w:cs="Arial"/>
        </w:rPr>
        <w:t>.......................................................................x $71</w:t>
      </w:r>
    </w:p>
    <w:p w:rsidR="00C64379" w14:paraId="5AF3DB0E" w14:textId="77777777">
      <w:pPr>
        <w:rPr>
          <w:rFonts w:ascii="Arial" w:eastAsia="Arial" w:hAnsi="Arial" w:cs="Arial"/>
        </w:rPr>
      </w:pPr>
      <w:r>
        <w:rPr>
          <w:rFonts w:ascii="Arial" w:eastAsia="Arial" w:hAnsi="Arial" w:cs="Arial"/>
        </w:rPr>
        <w:t>Estimated annual cost to the public................................$2,840</w:t>
      </w:r>
    </w:p>
    <w:p w:rsidR="00C64379" w14:paraId="58277C01" w14:textId="77777777">
      <w:pPr>
        <w:rPr>
          <w:rFonts w:ascii="Arial" w:eastAsia="Arial" w:hAnsi="Arial" w:cs="Arial"/>
          <w:b/>
          <w:bCs/>
        </w:rPr>
      </w:pPr>
    </w:p>
    <w:p w:rsidR="00C64379" w14:paraId="7DCD1CFC" w14:textId="77777777">
      <w:pPr>
        <w:numPr>
          <w:ilvl w:val="0"/>
          <w:numId w:val="2"/>
        </w:numPr>
        <w:rPr>
          <w:rFonts w:ascii="Arial" w:eastAsia="Arial" w:hAnsi="Arial" w:cs="Arial"/>
        </w:rPr>
      </w:pPr>
      <w:r>
        <w:rPr>
          <w:rFonts w:ascii="Arial" w:eastAsia="Arial" w:hAnsi="Arial" w:cs="Arial"/>
          <w:b/>
          <w:bCs/>
        </w:rPr>
        <w:t>FAR 52.227-23, Rights to Proposal Data (Technical).</w:t>
      </w:r>
    </w:p>
    <w:p w:rsidR="00C64379" w14:paraId="40DDDB98" w14:textId="77777777">
      <w:pPr>
        <w:rPr>
          <w:rFonts w:ascii="Arial" w:eastAsia="Arial" w:hAnsi="Arial" w:cs="Arial"/>
          <w:b/>
          <w:bCs/>
        </w:rPr>
      </w:pPr>
    </w:p>
    <w:p w:rsidR="00C64379" w14:paraId="1A3E2D5D" w14:textId="77777777">
      <w:pPr>
        <w:ind w:firstLine="720"/>
        <w:rPr>
          <w:rFonts w:ascii="Arial" w:eastAsia="Arial" w:hAnsi="Arial" w:cs="Arial"/>
          <w:b/>
          <w:bCs/>
        </w:rPr>
      </w:pPr>
      <w:r>
        <w:rPr>
          <w:rFonts w:ascii="Arial" w:eastAsia="Arial" w:hAnsi="Arial" w:cs="Arial"/>
        </w:rPr>
        <w:t xml:space="preserve">FPDS FY 22 data accounts for 19 unique contractors awarded a contract based on the existence of limited rights in data, patent rights, copyrights or secret processes. An estimate was applied that approximately one half of the contractors would have this clause in their contract. Therefore, the number of respondents is estimated to be approximately 10. It is further estimated that each contractor will provide approximately 1 response annually. This estimate is based on the fact that this clause is rarely invoked by the Government. One burden hour is estimated per response.      </w:t>
      </w:r>
      <w:r>
        <w:rPr>
          <w:rFonts w:ascii="Arial" w:eastAsia="Arial" w:hAnsi="Arial" w:cs="Arial"/>
          <w:b/>
          <w:bCs/>
        </w:rPr>
        <w:t xml:space="preserve">        </w:t>
      </w:r>
    </w:p>
    <w:p w:rsidR="00C64379" w14:paraId="5E5F05C6" w14:textId="77777777">
      <w:pPr>
        <w:rPr>
          <w:rFonts w:ascii="Arial" w:eastAsia="Arial" w:hAnsi="Arial" w:cs="Arial"/>
          <w:b/>
          <w:bCs/>
        </w:rPr>
      </w:pPr>
    </w:p>
    <w:p w:rsidR="00C64379" w14:paraId="7E6D7795" w14:textId="77777777">
      <w:pPr>
        <w:rPr>
          <w:rFonts w:ascii="Arial" w:eastAsia="Arial" w:hAnsi="Arial" w:cs="Arial"/>
        </w:rPr>
      </w:pPr>
      <w:r>
        <w:rPr>
          <w:rFonts w:ascii="Arial" w:eastAsia="Arial" w:hAnsi="Arial" w:cs="Arial"/>
        </w:rPr>
        <w:t>Estimated number of respondents/yr................................</w:t>
      </w:r>
      <w:r>
        <w:rPr>
          <w:rFonts w:ascii="Arial" w:eastAsia="Arial" w:hAnsi="Arial" w:cs="Arial"/>
        </w:rPr>
        <w:tab/>
        <w:t xml:space="preserve"> 10</w:t>
      </w:r>
    </w:p>
    <w:p w:rsidR="00C64379" w14:paraId="48919C98" w14:textId="77777777">
      <w:pPr>
        <w:rPr>
          <w:rFonts w:ascii="Arial" w:eastAsia="Arial" w:hAnsi="Arial" w:cs="Arial"/>
        </w:rPr>
      </w:pPr>
      <w:r>
        <w:rPr>
          <w:rFonts w:ascii="Arial" w:eastAsia="Arial" w:hAnsi="Arial" w:cs="Arial"/>
        </w:rPr>
        <w:t>Responses per respondent...............................................x       1</w:t>
      </w:r>
    </w:p>
    <w:p w:rsidR="00C64379" w14:paraId="15314AAA" w14:textId="77777777">
      <w:pPr>
        <w:rPr>
          <w:rFonts w:ascii="Arial" w:eastAsia="Arial" w:hAnsi="Arial" w:cs="Arial"/>
        </w:rPr>
      </w:pPr>
      <w:r>
        <w:rPr>
          <w:rFonts w:ascii="Arial" w:eastAsia="Arial" w:hAnsi="Arial" w:cs="Arial"/>
        </w:rPr>
        <w:t>Total annual responses.......................................................    10</w:t>
      </w:r>
    </w:p>
    <w:p w:rsidR="00C64379" w14:paraId="1F0A0E43" w14:textId="77777777">
      <w:pPr>
        <w:rPr>
          <w:rFonts w:ascii="Arial" w:eastAsia="Arial" w:hAnsi="Arial" w:cs="Arial"/>
        </w:rPr>
      </w:pPr>
      <w:r>
        <w:rPr>
          <w:rFonts w:ascii="Arial" w:eastAsia="Arial" w:hAnsi="Arial" w:cs="Arial"/>
        </w:rPr>
        <w:t>Estimated hrs/response.....................................................x</w:t>
      </w:r>
      <w:r>
        <w:rPr>
          <w:rFonts w:ascii="Arial" w:eastAsia="Arial" w:hAnsi="Arial" w:cs="Arial"/>
        </w:rPr>
        <w:tab/>
        <w:t xml:space="preserve">    1</w:t>
      </w:r>
    </w:p>
    <w:p w:rsidR="00C64379" w14:paraId="5FD1E426" w14:textId="77777777">
      <w:pPr>
        <w:rPr>
          <w:rFonts w:ascii="Arial" w:eastAsia="Arial" w:hAnsi="Arial" w:cs="Arial"/>
        </w:rPr>
      </w:pPr>
      <w:r>
        <w:rPr>
          <w:rFonts w:ascii="Arial" w:eastAsia="Arial" w:hAnsi="Arial" w:cs="Arial"/>
        </w:rPr>
        <w:t>Estimated annual burden hours.........................................     10</w:t>
      </w:r>
    </w:p>
    <w:p w:rsidR="00C64379" w14:paraId="122A6E68" w14:textId="77777777">
      <w:pPr>
        <w:rPr>
          <w:rFonts w:ascii="Arial" w:eastAsia="Arial" w:hAnsi="Arial" w:cs="Arial"/>
        </w:rPr>
      </w:pPr>
      <w:r>
        <w:rPr>
          <w:rFonts w:ascii="Arial" w:eastAsia="Arial" w:hAnsi="Arial" w:cs="Arial"/>
        </w:rPr>
        <w:t>Hourly rate</w:t>
      </w:r>
      <w:r>
        <w:rPr>
          <w:rFonts w:ascii="Arial" w:eastAsia="Arial" w:hAnsi="Arial" w:cs="Arial"/>
          <w:b/>
          <w:bCs/>
        </w:rPr>
        <w:t>*</w:t>
      </w:r>
      <w:r>
        <w:rPr>
          <w:rFonts w:ascii="Arial" w:eastAsia="Arial" w:hAnsi="Arial" w:cs="Arial"/>
        </w:rPr>
        <w:t>.......................................................................x   $71</w:t>
      </w:r>
    </w:p>
    <w:p w:rsidR="00C64379" w14:paraId="00DA5524" w14:textId="77777777">
      <w:pPr>
        <w:rPr>
          <w:rFonts w:ascii="Arial" w:eastAsia="Arial" w:hAnsi="Arial" w:cs="Arial"/>
        </w:rPr>
      </w:pPr>
      <w:r>
        <w:rPr>
          <w:rFonts w:ascii="Arial" w:eastAsia="Arial" w:hAnsi="Arial" w:cs="Arial"/>
        </w:rPr>
        <w:t>Estimated annual cost to the public................................  $710</w:t>
      </w:r>
    </w:p>
    <w:p w:rsidR="00C64379" w14:paraId="5300F2E2" w14:textId="77777777">
      <w:pPr>
        <w:rPr>
          <w:rFonts w:ascii="Arial" w:eastAsia="Arial" w:hAnsi="Arial" w:cs="Arial"/>
          <w:b/>
          <w:bCs/>
        </w:rPr>
      </w:pPr>
    </w:p>
    <w:p w:rsidR="00C64379" w14:paraId="6672B9C4" w14:textId="77777777">
      <w:pPr>
        <w:rPr>
          <w:rFonts w:ascii="Arial" w:eastAsia="Arial" w:hAnsi="Arial" w:cs="Arial"/>
          <w:b/>
          <w:bCs/>
        </w:rPr>
      </w:pPr>
      <w:r>
        <w:rPr>
          <w:rFonts w:ascii="Arial" w:eastAsia="Arial" w:hAnsi="Arial" w:cs="Arial"/>
          <w:b/>
          <w:bCs/>
        </w:rPr>
        <w:t>Recordkeeping Burden</w:t>
      </w:r>
    </w:p>
    <w:p w:rsidR="00C64379" w14:paraId="5A4D8E8F" w14:textId="77777777">
      <w:pPr>
        <w:rPr>
          <w:rFonts w:ascii="Arial" w:eastAsia="Arial" w:hAnsi="Arial" w:cs="Arial"/>
          <w:b/>
          <w:bCs/>
        </w:rPr>
      </w:pPr>
    </w:p>
    <w:p w:rsidR="00C64379" w14:paraId="6C62F58A" w14:textId="77777777">
      <w:pPr>
        <w:numPr>
          <w:ilvl w:val="0"/>
          <w:numId w:val="14"/>
        </w:numPr>
        <w:rPr>
          <w:rFonts w:ascii="Arial" w:eastAsia="Arial" w:hAnsi="Arial" w:cs="Arial"/>
        </w:rPr>
      </w:pPr>
      <w:r>
        <w:rPr>
          <w:rFonts w:ascii="Arial" w:eastAsia="Arial" w:hAnsi="Arial" w:cs="Arial"/>
          <w:b/>
          <w:bCs/>
        </w:rPr>
        <w:t>FAR 52.227-16, Additional Data Requirements.</w:t>
      </w:r>
    </w:p>
    <w:p w:rsidR="00C64379" w14:paraId="2B72970F" w14:textId="77777777">
      <w:pPr>
        <w:rPr>
          <w:rFonts w:ascii="Arial" w:eastAsia="Arial" w:hAnsi="Arial" w:cs="Arial"/>
        </w:rPr>
      </w:pPr>
    </w:p>
    <w:p w:rsidR="00C64379" w14:paraId="6619F1E3" w14:textId="77777777">
      <w:pPr>
        <w:ind w:firstLine="720"/>
        <w:rPr>
          <w:rFonts w:ascii="Arial" w:eastAsia="Arial" w:hAnsi="Arial" w:cs="Arial"/>
          <w:b/>
          <w:bCs/>
        </w:rPr>
      </w:pPr>
      <w:r>
        <w:rPr>
          <w:rFonts w:ascii="Arial" w:eastAsia="Arial" w:hAnsi="Arial" w:cs="Arial"/>
        </w:rPr>
        <w:t xml:space="preserve">FPDS FY22 data accounts for 309 unique contractors identified as educational institutions. It is further estimated that each contractor will provide three responses annually. One burden hour is estimated per response.   </w:t>
      </w:r>
      <w:r>
        <w:rPr>
          <w:rFonts w:ascii="Arial" w:eastAsia="Arial" w:hAnsi="Arial" w:cs="Arial"/>
          <w:b/>
          <w:bCs/>
        </w:rPr>
        <w:t xml:space="preserve">       </w:t>
      </w:r>
    </w:p>
    <w:p w:rsidR="00C64379" w14:paraId="0C6190B2" w14:textId="77777777">
      <w:pPr>
        <w:rPr>
          <w:rFonts w:ascii="Arial" w:eastAsia="Arial" w:hAnsi="Arial" w:cs="Arial"/>
          <w:b/>
          <w:bCs/>
        </w:rPr>
      </w:pPr>
    </w:p>
    <w:p w:rsidR="00C64379" w14:paraId="15F8C07A" w14:textId="77777777">
      <w:pPr>
        <w:rPr>
          <w:rFonts w:ascii="Arial" w:eastAsia="Arial" w:hAnsi="Arial" w:cs="Arial"/>
        </w:rPr>
      </w:pPr>
      <w:r>
        <w:rPr>
          <w:rFonts w:ascii="Arial" w:eastAsia="Arial" w:hAnsi="Arial" w:cs="Arial"/>
        </w:rPr>
        <w:t>Recordkeepers/yr.......................................................</w:t>
      </w:r>
      <w:r>
        <w:rPr>
          <w:rFonts w:ascii="Arial" w:eastAsia="Arial" w:hAnsi="Arial" w:cs="Arial"/>
        </w:rPr>
        <w:tab/>
        <w:t xml:space="preserve">  309</w:t>
      </w:r>
    </w:p>
    <w:p w:rsidR="00C64379" w14:paraId="02FCCA90" w14:textId="77777777">
      <w:pPr>
        <w:rPr>
          <w:rFonts w:ascii="Arial" w:eastAsia="Arial" w:hAnsi="Arial" w:cs="Arial"/>
        </w:rPr>
      </w:pPr>
      <w:r>
        <w:rPr>
          <w:rFonts w:ascii="Arial" w:eastAsia="Arial" w:hAnsi="Arial" w:cs="Arial"/>
        </w:rPr>
        <w:t>Records per recordkeeper..........................................</w:t>
      </w:r>
      <w:r>
        <w:rPr>
          <w:rFonts w:ascii="Arial" w:eastAsia="Arial" w:hAnsi="Arial" w:cs="Arial"/>
        </w:rPr>
        <w:tab/>
      </w:r>
      <w:r>
        <w:rPr>
          <w:rFonts w:ascii="Arial" w:eastAsia="Arial" w:hAnsi="Arial" w:cs="Arial"/>
          <w:u w:val="single"/>
        </w:rPr>
        <w:t>x    3</w:t>
      </w:r>
    </w:p>
    <w:p w:rsidR="00C64379" w14:paraId="36F3994E" w14:textId="77777777">
      <w:pPr>
        <w:rPr>
          <w:rFonts w:ascii="Arial" w:eastAsia="Arial" w:hAnsi="Arial" w:cs="Arial"/>
        </w:rPr>
      </w:pPr>
      <w:r>
        <w:rPr>
          <w:rFonts w:ascii="Arial" w:eastAsia="Arial" w:hAnsi="Arial" w:cs="Arial"/>
        </w:rPr>
        <w:t>Total annual records  ................................................ </w:t>
      </w:r>
      <w:r>
        <w:rPr>
          <w:rFonts w:ascii="Arial" w:eastAsia="Arial" w:hAnsi="Arial" w:cs="Arial"/>
        </w:rPr>
        <w:tab/>
        <w:t>927</w:t>
      </w:r>
    </w:p>
    <w:p w:rsidR="00C64379" w14:paraId="3A4D1882" w14:textId="77777777">
      <w:pPr>
        <w:rPr>
          <w:rFonts w:ascii="Arial" w:eastAsia="Arial" w:hAnsi="Arial" w:cs="Arial"/>
        </w:rPr>
      </w:pPr>
      <w:r>
        <w:rPr>
          <w:rFonts w:ascii="Arial" w:eastAsia="Arial" w:hAnsi="Arial" w:cs="Arial"/>
        </w:rPr>
        <w:t>Review hours/response..............................................</w:t>
      </w:r>
      <w:r>
        <w:rPr>
          <w:rFonts w:ascii="Arial" w:eastAsia="Arial" w:hAnsi="Arial" w:cs="Arial"/>
        </w:rPr>
        <w:tab/>
      </w:r>
      <w:r>
        <w:rPr>
          <w:rFonts w:ascii="Arial" w:eastAsia="Arial" w:hAnsi="Arial" w:cs="Arial"/>
          <w:u w:val="single"/>
        </w:rPr>
        <w:t>x    1</w:t>
      </w:r>
    </w:p>
    <w:p w:rsidR="00C64379" w14:paraId="3AB21588" w14:textId="77777777">
      <w:pPr>
        <w:rPr>
          <w:rFonts w:ascii="Arial" w:eastAsia="Arial" w:hAnsi="Arial" w:cs="Arial"/>
        </w:rPr>
      </w:pPr>
      <w:r>
        <w:rPr>
          <w:rFonts w:ascii="Arial" w:eastAsia="Arial" w:hAnsi="Arial" w:cs="Arial"/>
        </w:rPr>
        <w:t>Annual recordkeeping burden hours..........................  927</w:t>
      </w:r>
    </w:p>
    <w:p w:rsidR="00C64379" w14:paraId="5CF0E83B" w14:textId="77777777">
      <w:pPr>
        <w:rPr>
          <w:rFonts w:ascii="Arial" w:eastAsia="Arial" w:hAnsi="Arial" w:cs="Arial"/>
        </w:rPr>
      </w:pPr>
      <w:r>
        <w:rPr>
          <w:rFonts w:ascii="Arial" w:eastAsia="Arial" w:hAnsi="Arial" w:cs="Arial"/>
        </w:rPr>
        <w:t>Hourly rate</w:t>
      </w:r>
      <w:r>
        <w:rPr>
          <w:rFonts w:ascii="Arial" w:eastAsia="Arial" w:hAnsi="Arial" w:cs="Arial"/>
          <w:b/>
          <w:bCs/>
        </w:rPr>
        <w:t>*</w:t>
      </w:r>
      <w:r>
        <w:rPr>
          <w:rFonts w:ascii="Arial" w:eastAsia="Arial" w:hAnsi="Arial" w:cs="Arial"/>
        </w:rPr>
        <w:t xml:space="preserve">................................................................ </w:t>
      </w:r>
      <w:r>
        <w:rPr>
          <w:rFonts w:ascii="Arial" w:eastAsia="Arial" w:hAnsi="Arial" w:cs="Arial"/>
          <w:u w:val="single"/>
        </w:rPr>
        <w:t>x  $71</w:t>
      </w:r>
    </w:p>
    <w:p w:rsidR="00C64379" w14:paraId="210A19DE" w14:textId="77777777">
      <w:pPr>
        <w:rPr>
          <w:rFonts w:ascii="Arial" w:eastAsia="Arial" w:hAnsi="Arial" w:cs="Arial"/>
        </w:rPr>
      </w:pPr>
      <w:r>
        <w:rPr>
          <w:rFonts w:ascii="Arial" w:eastAsia="Arial" w:hAnsi="Arial" w:cs="Arial"/>
        </w:rPr>
        <w:t>Annual recordkeeping burden cost to the public..</w:t>
      </w:r>
      <w:r>
        <w:rPr>
          <w:rFonts w:ascii="Arial" w:eastAsia="Arial" w:hAnsi="Arial" w:cs="Arial"/>
        </w:rPr>
        <w:tab/>
        <w:t xml:space="preserve">  $ 65,817</w:t>
      </w:r>
    </w:p>
    <w:p w:rsidR="00C64379" w14:paraId="1B8F2BD9" w14:textId="77777777">
      <w:pPr>
        <w:rPr>
          <w:rFonts w:ascii="Arial" w:eastAsia="Arial" w:hAnsi="Arial" w:cs="Arial"/>
          <w:b/>
          <w:bCs/>
        </w:rPr>
      </w:pPr>
    </w:p>
    <w:p w:rsidR="00C64379" w14:paraId="5E91E146" w14:textId="77777777">
      <w:pPr>
        <w:rPr>
          <w:rFonts w:ascii="Arial" w:eastAsia="Arial" w:hAnsi="Arial" w:cs="Arial"/>
        </w:rPr>
      </w:pPr>
      <w:r>
        <w:rPr>
          <w:rFonts w:ascii="Arial" w:eastAsia="Arial" w:hAnsi="Arial" w:cs="Arial"/>
        </w:rPr>
        <w:t xml:space="preserve">Note: The hourly rate is calculated by applying a 36.25 percent fringe factor and a 12 percent overhead factor to a base hourly rate and then rounding to the nearest whole dollar. The base hourly rate is derived from the OPM 2025 GS Locality Pay Table for the rest of the U.S. (“Salary Table 2025-RUS”). The fringe factor is derived from OMB memorandum M-08-13. The overhead factor is derived from the OMB Circular No. A-76 Revised Supplemental Handbook. </w:t>
      </w:r>
    </w:p>
    <w:p w:rsidR="00C64379" w14:paraId="1D7C122C" w14:textId="77777777">
      <w:pPr>
        <w:rPr>
          <w:rFonts w:ascii="Arial" w:eastAsia="Arial" w:hAnsi="Arial" w:cs="Arial"/>
        </w:rPr>
      </w:pPr>
      <w:r>
        <w:rPr>
          <w:rFonts w:ascii="Arial" w:eastAsia="Arial" w:hAnsi="Arial" w:cs="Arial"/>
        </w:rPr>
        <w:t>* For a GS-12/step 5, the base hourly rate is $48.13 and loaded rounding to the nearest whole dollar is $71.</w:t>
      </w:r>
    </w:p>
    <w:p w:rsidR="00C64379" w14:paraId="3BD1F05C" w14:textId="77777777">
      <w:pPr>
        <w:rPr>
          <w:rFonts w:ascii="Arial" w:eastAsia="Arial" w:hAnsi="Arial" w:cs="Arial"/>
        </w:rPr>
      </w:pPr>
    </w:p>
    <w:p w:rsidR="00C64379" w14:paraId="2956A486" w14:textId="77777777">
      <w:pPr>
        <w:widowControl w:val="0"/>
        <w:pBdr>
          <w:top w:val="nil"/>
          <w:left w:val="nil"/>
          <w:bottom w:val="nil"/>
          <w:right w:val="nil"/>
          <w:between w:val="nil"/>
        </w:pBdr>
        <w:tabs>
          <w:tab w:val="left" w:pos="360"/>
          <w:tab w:val="left" w:pos="720"/>
          <w:tab w:val="left" w:pos="1080"/>
          <w:tab w:val="left" w:pos="1440"/>
        </w:tabs>
        <w:rPr>
          <w:rFonts w:ascii="Arial" w:eastAsia="Arial" w:hAnsi="Arial" w:cs="Arial"/>
          <w:color w:val="000000"/>
          <w:u w:val="single"/>
        </w:rPr>
      </w:pPr>
    </w:p>
    <w:p w:rsidR="00C64379" w14:paraId="7BF26B10" w14:textId="77777777">
      <w:pPr>
        <w:widowControl w:val="0"/>
        <w:numPr>
          <w:ilvl w:val="0"/>
          <w:numId w:val="18"/>
        </w:numPr>
        <w:pBdr>
          <w:top w:val="nil"/>
          <w:left w:val="nil"/>
          <w:bottom w:val="nil"/>
          <w:right w:val="nil"/>
          <w:between w:val="nil"/>
        </w:pBdr>
        <w:tabs>
          <w:tab w:val="left" w:pos="360"/>
          <w:tab w:val="left" w:pos="720"/>
          <w:tab w:val="left" w:pos="1080"/>
        </w:tabs>
        <w:ind w:left="0"/>
        <w:rPr>
          <w:rFonts w:ascii="Arial" w:eastAsia="Arial" w:hAnsi="Arial" w:cs="Arial"/>
          <w:color w:val="000000"/>
        </w:rPr>
      </w:pPr>
      <w:r>
        <w:rPr>
          <w:rFonts w:ascii="Arial" w:eastAsia="Arial" w:hAnsi="Arial" w:cs="Arial"/>
          <w:color w:val="000000"/>
          <w:u w:val="single"/>
        </w:rPr>
        <w:t>Estimated nonrecurring costs</w:t>
      </w:r>
      <w:r>
        <w:rPr>
          <w:rFonts w:ascii="Arial" w:eastAsia="Arial" w:hAnsi="Arial" w:cs="Arial"/>
          <w:color w:val="000000"/>
        </w:rPr>
        <w:t>. Not applicable.</w:t>
      </w:r>
    </w:p>
    <w:p w:rsidR="00C64379" w14:paraId="57BCC099" w14:textId="77777777">
      <w:pPr>
        <w:widowControl w:val="0"/>
        <w:numPr>
          <w:ilvl w:val="0"/>
          <w:numId w:val="18"/>
        </w:numPr>
        <w:pBdr>
          <w:top w:val="nil"/>
          <w:left w:val="nil"/>
          <w:bottom w:val="nil"/>
          <w:right w:val="nil"/>
          <w:between w:val="nil"/>
        </w:pBdr>
        <w:tabs>
          <w:tab w:val="left" w:pos="360"/>
          <w:tab w:val="left" w:pos="720"/>
          <w:tab w:val="left" w:pos="1080"/>
        </w:tabs>
        <w:ind w:left="0"/>
        <w:rPr>
          <w:rFonts w:ascii="Arial" w:eastAsia="Arial" w:hAnsi="Arial" w:cs="Arial"/>
          <w:color w:val="000000"/>
        </w:rPr>
      </w:pPr>
      <w:r>
        <w:rPr>
          <w:rFonts w:ascii="Arial" w:eastAsia="Arial" w:hAnsi="Arial" w:cs="Arial"/>
          <w:color w:val="000000"/>
          <w:u w:val="single"/>
        </w:rPr>
        <w:t>Estimated cost to the Government</w:t>
      </w:r>
      <w:r>
        <w:rPr>
          <w:rFonts w:ascii="Arial" w:eastAsia="Arial" w:hAnsi="Arial" w:cs="Arial"/>
          <w:color w:val="000000"/>
        </w:rPr>
        <w:t>.</w:t>
      </w:r>
    </w:p>
    <w:p w:rsidR="00C64379" w14:paraId="7F358099" w14:textId="77777777">
      <w:pPr>
        <w:rPr>
          <w:rFonts w:ascii="Arial" w:eastAsia="Arial" w:hAnsi="Arial" w:cs="Arial"/>
        </w:rPr>
      </w:pPr>
    </w:p>
    <w:tbl>
      <w:tblPr>
        <w:tblStyle w:val="a1"/>
        <w:tblW w:w="9360" w:type="dxa"/>
        <w:tblInd w:w="0" w:type="dxa"/>
        <w:tblBorders>
          <w:top w:val="nil"/>
          <w:left w:val="nil"/>
          <w:bottom w:val="nil"/>
          <w:right w:val="nil"/>
          <w:insideH w:val="nil"/>
          <w:insideV w:val="nil"/>
        </w:tblBorders>
        <w:tblLayout w:type="fixed"/>
        <w:tblLook w:val="0600"/>
      </w:tblPr>
      <w:tblGrid>
        <w:gridCol w:w="2692"/>
        <w:gridCol w:w="1126"/>
        <w:gridCol w:w="1401"/>
        <w:gridCol w:w="1338"/>
        <w:gridCol w:w="951"/>
        <w:gridCol w:w="1852"/>
      </w:tblGrid>
      <w:tr w14:paraId="69F2682B" w14:textId="77777777">
        <w:tblPrEx>
          <w:tblW w:w="9360" w:type="dxa"/>
          <w:tblInd w:w="0" w:type="dxa"/>
          <w:tblBorders>
            <w:top w:val="nil"/>
            <w:left w:val="nil"/>
            <w:bottom w:val="nil"/>
            <w:right w:val="nil"/>
            <w:insideH w:val="nil"/>
            <w:insideV w:val="nil"/>
          </w:tblBorders>
          <w:tblLayout w:type="fixed"/>
          <w:tblLook w:val="0600"/>
        </w:tblPrEx>
        <w:trPr>
          <w:trHeight w:val="540"/>
        </w:trPr>
        <w:tc>
          <w:tcPr>
            <w:tcW w:w="2690" w:type="dxa"/>
            <w:tcBorders>
              <w:top w:val="single" w:sz="12" w:space="0" w:color="000000"/>
              <w:left w:val="single" w:sz="12" w:space="0" w:color="000000"/>
              <w:bottom w:val="single" w:sz="12" w:space="0" w:color="000000"/>
              <w:right w:val="single" w:sz="12" w:space="0" w:color="000000"/>
            </w:tcBorders>
            <w:tcMar>
              <w:top w:w="40" w:type="dxa"/>
              <w:left w:w="40" w:type="dxa"/>
              <w:bottom w:w="40" w:type="dxa"/>
              <w:right w:w="40" w:type="dxa"/>
            </w:tcMar>
            <w:vAlign w:val="center"/>
          </w:tcPr>
          <w:p w:rsidR="00C64379" w14:paraId="429377AD"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Annual Cost to the Gov</w:t>
            </w:r>
          </w:p>
        </w:tc>
        <w:tc>
          <w:tcPr>
            <w:tcW w:w="1126" w:type="dxa"/>
            <w:tcBorders>
              <w:top w:val="single" w:sz="12"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2E62F8B2" w14:textId="77777777">
            <w:pPr>
              <w:widowControl w:val="0"/>
              <w:spacing w:line="276" w:lineRule="auto"/>
              <w:rPr>
                <w:rFonts w:ascii="Arial" w:eastAsia="Arial" w:hAnsi="Arial" w:cs="Arial"/>
                <w:sz w:val="20"/>
                <w:szCs w:val="20"/>
              </w:rPr>
            </w:pPr>
            <w:r>
              <w:rPr>
                <w:rFonts w:ascii="Arial" w:eastAsia="Arial" w:hAnsi="Arial" w:cs="Arial"/>
                <w:sz w:val="20"/>
                <w:szCs w:val="20"/>
              </w:rPr>
              <w:t>Total annual responses</w:t>
            </w:r>
          </w:p>
        </w:tc>
        <w:tc>
          <w:tcPr>
            <w:tcW w:w="1401" w:type="dxa"/>
            <w:tcBorders>
              <w:top w:val="single" w:sz="12"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25EB9E21" w14:textId="77777777">
            <w:pPr>
              <w:widowControl w:val="0"/>
              <w:spacing w:line="276" w:lineRule="auto"/>
              <w:rPr>
                <w:rFonts w:ascii="Arial" w:eastAsia="Arial" w:hAnsi="Arial" w:cs="Arial"/>
                <w:sz w:val="20"/>
                <w:szCs w:val="20"/>
              </w:rPr>
            </w:pPr>
            <w:r>
              <w:rPr>
                <w:rFonts w:ascii="Arial" w:eastAsia="Arial" w:hAnsi="Arial" w:cs="Arial"/>
                <w:sz w:val="20"/>
                <w:szCs w:val="20"/>
              </w:rPr>
              <w:t>Review time per response (hours)</w:t>
            </w:r>
          </w:p>
        </w:tc>
        <w:tc>
          <w:tcPr>
            <w:tcW w:w="1338" w:type="dxa"/>
            <w:tcBorders>
              <w:top w:val="single" w:sz="12"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5B1E2D2E" w14:textId="77777777">
            <w:pPr>
              <w:widowControl w:val="0"/>
              <w:spacing w:line="276" w:lineRule="auto"/>
              <w:rPr>
                <w:rFonts w:ascii="Arial" w:eastAsia="Arial" w:hAnsi="Arial" w:cs="Arial"/>
                <w:sz w:val="20"/>
                <w:szCs w:val="20"/>
              </w:rPr>
            </w:pPr>
            <w:r>
              <w:rPr>
                <w:rFonts w:ascii="Arial" w:eastAsia="Arial" w:hAnsi="Arial" w:cs="Arial"/>
                <w:sz w:val="20"/>
                <w:szCs w:val="20"/>
              </w:rPr>
              <w:t>Review time per year (hours)</w:t>
            </w:r>
          </w:p>
        </w:tc>
        <w:tc>
          <w:tcPr>
            <w:tcW w:w="951" w:type="dxa"/>
            <w:tcBorders>
              <w:top w:val="single" w:sz="12"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2FB82BB5" w14:textId="77777777">
            <w:pPr>
              <w:widowControl w:val="0"/>
              <w:spacing w:line="276" w:lineRule="auto"/>
              <w:rPr>
                <w:rFonts w:ascii="Arial" w:eastAsia="Arial" w:hAnsi="Arial" w:cs="Arial"/>
                <w:sz w:val="20"/>
                <w:szCs w:val="20"/>
              </w:rPr>
            </w:pPr>
            <w:r>
              <w:rPr>
                <w:rFonts w:ascii="Arial" w:eastAsia="Arial" w:hAnsi="Arial" w:cs="Arial"/>
                <w:sz w:val="20"/>
                <w:szCs w:val="20"/>
              </w:rPr>
              <w:t>Hourly rate</w:t>
            </w:r>
          </w:p>
        </w:tc>
        <w:tc>
          <w:tcPr>
            <w:tcW w:w="1851" w:type="dxa"/>
            <w:tcBorders>
              <w:top w:val="single" w:sz="12"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47718B1B" w14:textId="77777777">
            <w:pPr>
              <w:widowControl w:val="0"/>
              <w:spacing w:line="276" w:lineRule="auto"/>
              <w:rPr>
                <w:rFonts w:ascii="Arial" w:eastAsia="Arial" w:hAnsi="Arial" w:cs="Arial"/>
                <w:sz w:val="20"/>
                <w:szCs w:val="20"/>
              </w:rPr>
            </w:pPr>
            <w:r>
              <w:rPr>
                <w:rFonts w:ascii="Arial" w:eastAsia="Arial" w:hAnsi="Arial" w:cs="Arial"/>
                <w:sz w:val="20"/>
                <w:szCs w:val="20"/>
              </w:rPr>
              <w:t>Estimated Government Cost</w:t>
            </w:r>
          </w:p>
        </w:tc>
      </w:tr>
      <w:tr w14:paraId="08C2686A" w14:textId="77777777">
        <w:tblPrEx>
          <w:tblW w:w="9360" w:type="dxa"/>
          <w:tblInd w:w="0" w:type="dxa"/>
          <w:tblLayout w:type="fixed"/>
          <w:tblLook w:val="0600"/>
        </w:tblPrEx>
        <w:trPr>
          <w:trHeight w:val="315"/>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13931FE7" w14:textId="77777777">
            <w:pPr>
              <w:widowControl w:val="0"/>
              <w:spacing w:line="276" w:lineRule="auto"/>
              <w:rPr>
                <w:rFonts w:ascii="Arial" w:eastAsia="Arial" w:hAnsi="Arial" w:cs="Arial"/>
                <w:sz w:val="20"/>
                <w:szCs w:val="20"/>
              </w:rPr>
            </w:pPr>
            <w:r>
              <w:rPr>
                <w:rFonts w:ascii="Arial" w:eastAsia="Arial" w:hAnsi="Arial" w:cs="Arial"/>
                <w:b/>
                <w:bCs/>
                <w:sz w:val="20"/>
                <w:szCs w:val="20"/>
              </w:rPr>
              <w:t>Reporting Burden</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E3B9213" w14:textId="77777777">
            <w:pPr>
              <w:widowControl w:val="0"/>
              <w:spacing w:line="276" w:lineRule="auto"/>
              <w:rPr>
                <w:rFonts w:ascii="Arial" w:eastAsia="Arial" w:hAnsi="Arial" w:cs="Arial"/>
                <w:sz w:val="20"/>
                <w:szCs w:val="20"/>
              </w:rPr>
            </w:pP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1E5F9C60" w14:textId="77777777">
            <w:pPr>
              <w:widowControl w:val="0"/>
              <w:spacing w:line="276" w:lineRule="auto"/>
              <w:rPr>
                <w:rFonts w:ascii="Arial" w:eastAsia="Arial" w:hAnsi="Arial" w:cs="Arial"/>
                <w:sz w:val="20"/>
                <w:szCs w:val="20"/>
              </w:rPr>
            </w:pP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54FECE90" w14:textId="77777777">
            <w:pPr>
              <w:widowControl w:val="0"/>
              <w:spacing w:line="276" w:lineRule="auto"/>
              <w:rPr>
                <w:rFonts w:ascii="Arial" w:eastAsia="Arial" w:hAnsi="Arial" w:cs="Arial"/>
                <w:sz w:val="20"/>
                <w:szCs w:val="20"/>
              </w:rPr>
            </w:pP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4E475349" w14:textId="77777777">
            <w:pPr>
              <w:widowControl w:val="0"/>
              <w:spacing w:line="276" w:lineRule="auto"/>
              <w:rPr>
                <w:rFonts w:ascii="Arial" w:eastAsia="Arial" w:hAnsi="Arial" w:cs="Arial"/>
                <w:sz w:val="20"/>
                <w:szCs w:val="20"/>
              </w:rPr>
            </w:pP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215303B8" w14:textId="77777777">
            <w:pPr>
              <w:widowControl w:val="0"/>
              <w:spacing w:line="276" w:lineRule="auto"/>
              <w:rPr>
                <w:rFonts w:ascii="Arial" w:eastAsia="Arial" w:hAnsi="Arial" w:cs="Arial"/>
                <w:sz w:val="20"/>
                <w:szCs w:val="20"/>
              </w:rPr>
            </w:pPr>
          </w:p>
        </w:tc>
      </w:tr>
      <w:tr w14:paraId="3CBE1BC1" w14:textId="77777777">
        <w:tblPrEx>
          <w:tblW w:w="9360" w:type="dxa"/>
          <w:tblInd w:w="0" w:type="dxa"/>
          <w:tblLayout w:type="fixed"/>
          <w:tblLook w:val="0600"/>
        </w:tblPrEx>
        <w:trPr>
          <w:trHeight w:val="315"/>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252C5153"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52.227-2</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30389413"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36</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5957C37"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1.00</w:t>
            </w: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52CAFF41"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36</w:t>
            </w: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50AF4012"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6E39DC1C"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$2,556.00</w:t>
            </w:r>
          </w:p>
        </w:tc>
      </w:tr>
      <w:tr w14:paraId="4DC3A6F9" w14:textId="77777777">
        <w:tblPrEx>
          <w:tblW w:w="9360" w:type="dxa"/>
          <w:tblInd w:w="0" w:type="dxa"/>
          <w:tblLayout w:type="fixed"/>
          <w:tblLook w:val="0600"/>
        </w:tblPrEx>
        <w:trPr>
          <w:trHeight w:val="315"/>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643B7F12"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52.227-6</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5986CC13"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6</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234FDC61"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1.00</w:t>
            </w: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49C64928"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6</w:t>
            </w: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56F16E27"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71BBA38"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$426.00</w:t>
            </w:r>
          </w:p>
        </w:tc>
      </w:tr>
      <w:tr w14:paraId="03113E8F" w14:textId="77777777">
        <w:tblPrEx>
          <w:tblW w:w="9360" w:type="dxa"/>
          <w:tblInd w:w="0" w:type="dxa"/>
          <w:tblLayout w:type="fixed"/>
          <w:tblLook w:val="0600"/>
        </w:tblPrEx>
        <w:trPr>
          <w:trHeight w:val="315"/>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65E973E0"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52.227-9</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480F34E9"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20</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A6DB500"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1.00</w:t>
            </w: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2DC5791F"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20</w:t>
            </w: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BC475FA"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AEEB7E3"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$1,420.00</w:t>
            </w:r>
          </w:p>
        </w:tc>
      </w:tr>
      <w:tr w14:paraId="668A6AF2" w14:textId="77777777">
        <w:tblPrEx>
          <w:tblW w:w="9360" w:type="dxa"/>
          <w:tblInd w:w="0" w:type="dxa"/>
          <w:tblLayout w:type="fixed"/>
          <w:tblLook w:val="0600"/>
        </w:tblPrEx>
        <w:trPr>
          <w:trHeight w:val="315"/>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4799A52D"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52.227-11 or -13</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6C629626"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13,572</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1D2728BE"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2.00</w:t>
            </w: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252BB19"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27144</w:t>
            </w: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3AE058CB"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4BBB2BC1"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$1,927,224.00</w:t>
            </w:r>
          </w:p>
        </w:tc>
      </w:tr>
      <w:tr w14:paraId="7B57CB44" w14:textId="77777777">
        <w:tblPrEx>
          <w:tblW w:w="9360" w:type="dxa"/>
          <w:tblInd w:w="0" w:type="dxa"/>
          <w:tblLayout w:type="fixed"/>
          <w:tblLook w:val="0600"/>
        </w:tblPrEx>
        <w:trPr>
          <w:trHeight w:val="315"/>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6735ABF7"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52.227-14</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11130BB5"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200</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22B4E497"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0.50</w:t>
            </w: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10B2336C"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100</w:t>
            </w: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1F6B836A"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7A9D306D"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$7,100.00</w:t>
            </w:r>
          </w:p>
        </w:tc>
      </w:tr>
      <w:tr w14:paraId="3E9E1051" w14:textId="77777777">
        <w:tblPrEx>
          <w:tblW w:w="9360" w:type="dxa"/>
          <w:tblInd w:w="0" w:type="dxa"/>
          <w:tblLayout w:type="fixed"/>
          <w:tblLook w:val="0600"/>
        </w:tblPrEx>
        <w:trPr>
          <w:trHeight w:val="315"/>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721DF1B3"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52.227-15</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1CE65EE"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20</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6628FF59"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0.50</w:t>
            </w: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4DD8F9C3"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10</w:t>
            </w: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17F2850F"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4DE75469"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$710.00</w:t>
            </w:r>
          </w:p>
        </w:tc>
      </w:tr>
      <w:tr w14:paraId="51534033" w14:textId="77777777">
        <w:tblPrEx>
          <w:tblW w:w="9360" w:type="dxa"/>
          <w:tblInd w:w="0" w:type="dxa"/>
          <w:tblLayout w:type="fixed"/>
          <w:tblLook w:val="0600"/>
        </w:tblPrEx>
        <w:trPr>
          <w:trHeight w:val="315"/>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50E4DAE7"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52.227-17</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76AEA3D6"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24D0335E"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0.50</w:t>
            </w: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624F62E8"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0.5</w:t>
            </w: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1A923C3E"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771DE7D1"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$35.50</w:t>
            </w:r>
          </w:p>
        </w:tc>
      </w:tr>
      <w:tr w14:paraId="09284037" w14:textId="77777777">
        <w:tblPrEx>
          <w:tblW w:w="9360" w:type="dxa"/>
          <w:tblInd w:w="0" w:type="dxa"/>
          <w:tblLayout w:type="fixed"/>
          <w:tblLook w:val="0600"/>
        </w:tblPrEx>
        <w:trPr>
          <w:trHeight w:val="315"/>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01D2C75D"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52.227-18</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E36DE4E"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69FB0D8F"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0.50</w:t>
            </w: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5F4412C5"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1.5</w:t>
            </w: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5190F804"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4187933C"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$106.50</w:t>
            </w:r>
          </w:p>
        </w:tc>
      </w:tr>
      <w:tr w14:paraId="1A5ACD2A" w14:textId="77777777">
        <w:tblPrEx>
          <w:tblW w:w="9360" w:type="dxa"/>
          <w:tblInd w:w="0" w:type="dxa"/>
          <w:tblLayout w:type="fixed"/>
          <w:tblLook w:val="0600"/>
        </w:tblPrEx>
        <w:trPr>
          <w:trHeight w:val="315"/>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6834222B"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52.227-19</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330FC18F"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9</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7E81610A"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0.50</w:t>
            </w: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4474B185"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4.5</w:t>
            </w: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4BCB22F1"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4B085968"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$319.50</w:t>
            </w:r>
          </w:p>
        </w:tc>
      </w:tr>
      <w:tr w14:paraId="40230117" w14:textId="77777777">
        <w:tblPrEx>
          <w:tblW w:w="9360" w:type="dxa"/>
          <w:tblInd w:w="0" w:type="dxa"/>
          <w:tblLayout w:type="fixed"/>
          <w:tblLook w:val="0600"/>
        </w:tblPrEx>
        <w:trPr>
          <w:trHeight w:val="315"/>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287D8AB1"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52.227-20</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733E783F"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4</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3E9801D2"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0.50</w:t>
            </w: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688AB5B8"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w:t>
            </w: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2C6A4B48"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4D6D12B"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$142.00</w:t>
            </w:r>
          </w:p>
        </w:tc>
      </w:tr>
      <w:tr w14:paraId="6E000B0F" w14:textId="77777777">
        <w:tblPrEx>
          <w:tblW w:w="9360" w:type="dxa"/>
          <w:tblInd w:w="0" w:type="dxa"/>
          <w:tblLayout w:type="fixed"/>
          <w:tblLook w:val="0600"/>
        </w:tblPrEx>
        <w:trPr>
          <w:trHeight w:val="315"/>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19ED981D"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52.227-21</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4AF15252"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40</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26F00010"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0.50</w:t>
            </w: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603F2B58"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20</w:t>
            </w: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726EBE62"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1D8AB9A1"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$1,420.00</w:t>
            </w:r>
          </w:p>
        </w:tc>
      </w:tr>
      <w:tr w14:paraId="33B89267" w14:textId="77777777">
        <w:tblPrEx>
          <w:tblW w:w="9360" w:type="dxa"/>
          <w:tblInd w:w="0" w:type="dxa"/>
          <w:tblLayout w:type="fixed"/>
          <w:tblLook w:val="0600"/>
        </w:tblPrEx>
        <w:trPr>
          <w:trHeight w:val="315"/>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12B539C9"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52.227-23</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4D7686E5"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10</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5721E5D8"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0.50</w:t>
            </w: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4A7B6377"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5</w:t>
            </w: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7AA39775"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70F64B6D"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$355.00</w:t>
            </w:r>
          </w:p>
        </w:tc>
      </w:tr>
      <w:tr w14:paraId="65EB181D" w14:textId="77777777">
        <w:tblPrEx>
          <w:tblW w:w="9360" w:type="dxa"/>
          <w:tblInd w:w="0" w:type="dxa"/>
          <w:tblLayout w:type="fixed"/>
          <w:tblLook w:val="0600"/>
        </w:tblPrEx>
        <w:trPr>
          <w:trHeight w:val="315"/>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4AD5525C" w14:textId="77777777">
            <w:pPr>
              <w:widowControl w:val="0"/>
              <w:spacing w:line="276" w:lineRule="auto"/>
              <w:jc w:val="right"/>
              <w:rPr>
                <w:rFonts w:ascii="Arial" w:eastAsia="Arial" w:hAnsi="Arial" w:cs="Arial"/>
                <w:sz w:val="20"/>
                <w:szCs w:val="20"/>
              </w:rPr>
            </w:pPr>
            <w:r>
              <w:rPr>
                <w:rFonts w:ascii="Arial" w:eastAsia="Arial" w:hAnsi="Arial" w:cs="Arial"/>
                <w:b/>
                <w:bCs/>
                <w:sz w:val="20"/>
                <w:szCs w:val="20"/>
              </w:rPr>
              <w:t>Reporting Burden Total</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74C55E33" w14:textId="77777777">
            <w:pPr>
              <w:widowControl w:val="0"/>
              <w:spacing w:line="276" w:lineRule="auto"/>
              <w:jc w:val="center"/>
              <w:rPr>
                <w:rFonts w:ascii="Arial" w:eastAsia="Arial" w:hAnsi="Arial" w:cs="Arial"/>
                <w:sz w:val="20"/>
                <w:szCs w:val="20"/>
              </w:rPr>
            </w:pPr>
            <w:r>
              <w:rPr>
                <w:rFonts w:ascii="Arial" w:eastAsia="Arial" w:hAnsi="Arial" w:cs="Arial"/>
                <w:b/>
                <w:bCs/>
                <w:sz w:val="20"/>
                <w:szCs w:val="20"/>
              </w:rPr>
              <w:t>13,921</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52BBAF01" w14:textId="77777777">
            <w:pPr>
              <w:widowControl w:val="0"/>
              <w:spacing w:line="276" w:lineRule="auto"/>
              <w:rPr>
                <w:rFonts w:ascii="Arial" w:eastAsia="Arial" w:hAnsi="Arial" w:cs="Arial"/>
                <w:sz w:val="20"/>
                <w:szCs w:val="20"/>
              </w:rPr>
            </w:pP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535A989" w14:textId="77777777">
            <w:pPr>
              <w:widowControl w:val="0"/>
              <w:spacing w:line="276" w:lineRule="auto"/>
              <w:jc w:val="center"/>
              <w:rPr>
                <w:rFonts w:ascii="Arial" w:eastAsia="Arial" w:hAnsi="Arial" w:cs="Arial"/>
                <w:sz w:val="20"/>
                <w:szCs w:val="20"/>
              </w:rPr>
            </w:pPr>
            <w:r>
              <w:rPr>
                <w:rFonts w:ascii="Arial" w:eastAsia="Arial" w:hAnsi="Arial" w:cs="Arial"/>
                <w:b/>
                <w:bCs/>
                <w:sz w:val="20"/>
                <w:szCs w:val="20"/>
              </w:rPr>
              <w:t>27349.5</w:t>
            </w: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76B59D05" w14:textId="77777777">
            <w:pPr>
              <w:widowControl w:val="0"/>
              <w:spacing w:line="276" w:lineRule="auto"/>
              <w:rPr>
                <w:rFonts w:ascii="Arial" w:eastAsia="Arial" w:hAnsi="Arial" w:cs="Arial"/>
                <w:sz w:val="20"/>
                <w:szCs w:val="20"/>
              </w:rPr>
            </w:pP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3055C81F" w14:textId="77777777">
            <w:pPr>
              <w:widowControl w:val="0"/>
              <w:spacing w:line="276" w:lineRule="auto"/>
              <w:jc w:val="center"/>
              <w:rPr>
                <w:rFonts w:ascii="Arial" w:eastAsia="Arial" w:hAnsi="Arial" w:cs="Arial"/>
                <w:sz w:val="20"/>
                <w:szCs w:val="20"/>
              </w:rPr>
            </w:pPr>
            <w:r>
              <w:rPr>
                <w:rFonts w:ascii="Arial" w:eastAsia="Arial" w:hAnsi="Arial" w:cs="Arial"/>
                <w:b/>
                <w:bCs/>
                <w:sz w:val="20"/>
                <w:szCs w:val="20"/>
              </w:rPr>
              <w:t>$1,941,814.50</w:t>
            </w:r>
          </w:p>
        </w:tc>
      </w:tr>
      <w:tr w14:paraId="5A0C4FEB" w14:textId="77777777">
        <w:tblPrEx>
          <w:tblW w:w="9360" w:type="dxa"/>
          <w:tblInd w:w="0" w:type="dxa"/>
          <w:tblLayout w:type="fixed"/>
          <w:tblLook w:val="0600"/>
        </w:tblPrEx>
        <w:trPr>
          <w:trHeight w:val="540"/>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0708FBFC" w14:textId="77777777">
            <w:pPr>
              <w:widowControl w:val="0"/>
              <w:spacing w:line="276" w:lineRule="auto"/>
              <w:rPr>
                <w:rFonts w:ascii="Arial" w:eastAsia="Arial" w:hAnsi="Arial" w:cs="Arial"/>
                <w:sz w:val="20"/>
                <w:szCs w:val="20"/>
              </w:rPr>
            </w:pPr>
            <w:r>
              <w:rPr>
                <w:rFonts w:ascii="Arial" w:eastAsia="Arial" w:hAnsi="Arial" w:cs="Arial"/>
                <w:b/>
                <w:bCs/>
                <w:sz w:val="20"/>
                <w:szCs w:val="20"/>
              </w:rPr>
              <w:t>Recordkeeping Burden</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7EB7B827"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Total annual records</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6920A68D" w14:textId="77777777">
            <w:pPr>
              <w:widowControl w:val="0"/>
              <w:spacing w:line="276" w:lineRule="auto"/>
              <w:rPr>
                <w:rFonts w:ascii="Arial" w:eastAsia="Arial" w:hAnsi="Arial" w:cs="Arial"/>
                <w:sz w:val="20"/>
                <w:szCs w:val="20"/>
              </w:rPr>
            </w:pP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24A26F21" w14:textId="77777777">
            <w:pPr>
              <w:widowControl w:val="0"/>
              <w:spacing w:line="276" w:lineRule="auto"/>
              <w:rPr>
                <w:rFonts w:ascii="Arial" w:eastAsia="Arial" w:hAnsi="Arial" w:cs="Arial"/>
                <w:sz w:val="20"/>
                <w:szCs w:val="20"/>
              </w:rPr>
            </w:pP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68DFACA" w14:textId="77777777">
            <w:pPr>
              <w:widowControl w:val="0"/>
              <w:spacing w:line="276" w:lineRule="auto"/>
              <w:rPr>
                <w:rFonts w:ascii="Arial" w:eastAsia="Arial" w:hAnsi="Arial" w:cs="Arial"/>
                <w:sz w:val="20"/>
                <w:szCs w:val="20"/>
              </w:rPr>
            </w:pP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FDADAE5" w14:textId="77777777">
            <w:pPr>
              <w:widowControl w:val="0"/>
              <w:spacing w:line="276" w:lineRule="auto"/>
              <w:rPr>
                <w:rFonts w:ascii="Arial" w:eastAsia="Arial" w:hAnsi="Arial" w:cs="Arial"/>
                <w:sz w:val="20"/>
                <w:szCs w:val="20"/>
              </w:rPr>
            </w:pPr>
          </w:p>
        </w:tc>
      </w:tr>
      <w:tr w14:paraId="09F4F165" w14:textId="77777777">
        <w:tblPrEx>
          <w:tblW w:w="9360" w:type="dxa"/>
          <w:tblInd w:w="0" w:type="dxa"/>
          <w:tblLayout w:type="fixed"/>
          <w:tblLook w:val="0600"/>
        </w:tblPrEx>
        <w:trPr>
          <w:trHeight w:val="315"/>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2562C436" w14:textId="77777777">
            <w:pPr>
              <w:widowControl w:val="0"/>
              <w:spacing w:line="276" w:lineRule="auto"/>
              <w:jc w:val="center"/>
              <w:rPr>
                <w:rFonts w:ascii="Arial" w:eastAsia="Arial" w:hAnsi="Arial" w:cs="Arial"/>
                <w:sz w:val="20"/>
                <w:szCs w:val="20"/>
              </w:rPr>
            </w:pPr>
            <w:r>
              <w:rPr>
                <w:rFonts w:ascii="Arial" w:eastAsia="Arial" w:hAnsi="Arial" w:cs="Arial"/>
                <w:sz w:val="20"/>
                <w:szCs w:val="20"/>
              </w:rPr>
              <w:t>FAR 52.227-16</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590E1D4A"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927</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D867947"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0.50</w:t>
            </w: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7AE740A7"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463.50</w:t>
            </w: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14A838C9"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$71</w:t>
            </w: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14974313" w14:textId="77777777">
            <w:pPr>
              <w:widowControl w:val="0"/>
              <w:spacing w:line="276" w:lineRule="auto"/>
              <w:jc w:val="right"/>
              <w:rPr>
                <w:rFonts w:ascii="Arial" w:eastAsia="Arial" w:hAnsi="Arial" w:cs="Arial"/>
                <w:sz w:val="20"/>
                <w:szCs w:val="20"/>
              </w:rPr>
            </w:pPr>
            <w:r>
              <w:rPr>
                <w:rFonts w:ascii="Arial" w:eastAsia="Arial" w:hAnsi="Arial" w:cs="Arial"/>
                <w:sz w:val="20"/>
                <w:szCs w:val="20"/>
              </w:rPr>
              <w:t>$32,908.50</w:t>
            </w:r>
          </w:p>
        </w:tc>
      </w:tr>
      <w:tr w14:paraId="4B2513FC" w14:textId="77777777">
        <w:tblPrEx>
          <w:tblW w:w="9360" w:type="dxa"/>
          <w:tblInd w:w="0" w:type="dxa"/>
          <w:tblLayout w:type="fixed"/>
          <w:tblLook w:val="0600"/>
        </w:tblPrEx>
        <w:trPr>
          <w:trHeight w:val="315"/>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14DD59BB" w14:textId="77777777">
            <w:pPr>
              <w:widowControl w:val="0"/>
              <w:spacing w:line="276" w:lineRule="auto"/>
              <w:jc w:val="right"/>
              <w:rPr>
                <w:rFonts w:ascii="Arial" w:eastAsia="Arial" w:hAnsi="Arial" w:cs="Arial"/>
                <w:sz w:val="20"/>
                <w:szCs w:val="20"/>
              </w:rPr>
            </w:pPr>
            <w:r>
              <w:rPr>
                <w:rFonts w:ascii="Arial" w:eastAsia="Arial" w:hAnsi="Arial" w:cs="Arial"/>
                <w:b/>
                <w:bCs/>
                <w:sz w:val="20"/>
                <w:szCs w:val="20"/>
              </w:rPr>
              <w:t>Recordkeeping Burden Total</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AC80A97" w14:textId="77777777">
            <w:pPr>
              <w:widowControl w:val="0"/>
              <w:spacing w:line="276" w:lineRule="auto"/>
              <w:jc w:val="center"/>
              <w:rPr>
                <w:rFonts w:ascii="Arial" w:eastAsia="Arial" w:hAnsi="Arial" w:cs="Arial"/>
                <w:sz w:val="20"/>
                <w:szCs w:val="20"/>
              </w:rPr>
            </w:pPr>
            <w:r>
              <w:rPr>
                <w:rFonts w:ascii="Arial" w:eastAsia="Arial" w:hAnsi="Arial" w:cs="Arial"/>
                <w:b/>
                <w:bCs/>
                <w:sz w:val="20"/>
                <w:szCs w:val="20"/>
              </w:rPr>
              <w:t>927</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374B0A6A" w14:textId="77777777">
            <w:pPr>
              <w:widowControl w:val="0"/>
              <w:spacing w:line="276" w:lineRule="auto"/>
              <w:rPr>
                <w:rFonts w:ascii="Arial" w:eastAsia="Arial" w:hAnsi="Arial" w:cs="Arial"/>
                <w:sz w:val="20"/>
                <w:szCs w:val="20"/>
              </w:rPr>
            </w:pP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54DB49E4" w14:textId="77777777">
            <w:pPr>
              <w:widowControl w:val="0"/>
              <w:spacing w:line="276" w:lineRule="auto"/>
              <w:jc w:val="center"/>
              <w:rPr>
                <w:rFonts w:ascii="Arial" w:eastAsia="Arial" w:hAnsi="Arial" w:cs="Arial"/>
                <w:sz w:val="20"/>
                <w:szCs w:val="20"/>
              </w:rPr>
            </w:pPr>
            <w:r>
              <w:rPr>
                <w:rFonts w:ascii="Arial" w:eastAsia="Arial" w:hAnsi="Arial" w:cs="Arial"/>
                <w:b/>
                <w:bCs/>
                <w:sz w:val="20"/>
                <w:szCs w:val="20"/>
              </w:rPr>
              <w:t>463.50</w:t>
            </w: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7BAE914E" w14:textId="77777777">
            <w:pPr>
              <w:widowControl w:val="0"/>
              <w:spacing w:line="276" w:lineRule="auto"/>
              <w:rPr>
                <w:rFonts w:ascii="Arial" w:eastAsia="Arial" w:hAnsi="Arial" w:cs="Arial"/>
                <w:sz w:val="20"/>
                <w:szCs w:val="20"/>
              </w:rPr>
            </w:pP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73096999" w14:textId="77777777">
            <w:pPr>
              <w:widowControl w:val="0"/>
              <w:spacing w:line="276" w:lineRule="auto"/>
              <w:jc w:val="center"/>
              <w:rPr>
                <w:rFonts w:ascii="Arial" w:eastAsia="Arial" w:hAnsi="Arial" w:cs="Arial"/>
                <w:sz w:val="20"/>
                <w:szCs w:val="20"/>
              </w:rPr>
            </w:pPr>
            <w:r>
              <w:rPr>
                <w:rFonts w:ascii="Arial" w:eastAsia="Arial" w:hAnsi="Arial" w:cs="Arial"/>
                <w:b/>
                <w:bCs/>
                <w:sz w:val="20"/>
                <w:szCs w:val="20"/>
              </w:rPr>
              <w:t>$32,908.50</w:t>
            </w:r>
          </w:p>
        </w:tc>
      </w:tr>
      <w:tr w14:paraId="36564DD2" w14:textId="77777777">
        <w:tblPrEx>
          <w:tblW w:w="9360" w:type="dxa"/>
          <w:tblInd w:w="0" w:type="dxa"/>
          <w:tblLayout w:type="fixed"/>
          <w:tblLook w:val="0600"/>
        </w:tblPrEx>
        <w:trPr>
          <w:trHeight w:val="1350"/>
        </w:trPr>
        <w:tc>
          <w:tcPr>
            <w:tcW w:w="269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rsidR="00C64379" w14:paraId="687C78B2" w14:textId="77777777">
            <w:pPr>
              <w:widowControl w:val="0"/>
              <w:spacing w:line="276" w:lineRule="auto"/>
              <w:rPr>
                <w:rFonts w:ascii="Arial" w:eastAsia="Arial" w:hAnsi="Arial" w:cs="Arial"/>
                <w:sz w:val="14"/>
                <w:szCs w:val="14"/>
              </w:rPr>
            </w:pPr>
            <w:r>
              <w:rPr>
                <w:rFonts w:ascii="Arial" w:eastAsia="Arial" w:hAnsi="Arial" w:cs="Arial"/>
                <w:b/>
                <w:bCs/>
                <w:sz w:val="30"/>
                <w:szCs w:val="30"/>
              </w:rPr>
              <w:t>Total annual cost to the Government</w:t>
            </w:r>
          </w:p>
        </w:tc>
        <w:tc>
          <w:tcPr>
            <w:tcW w:w="1126"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A2F2FD1" w14:textId="77777777">
            <w:pPr>
              <w:widowControl w:val="0"/>
              <w:spacing w:line="276" w:lineRule="auto"/>
              <w:jc w:val="right"/>
              <w:rPr>
                <w:rFonts w:ascii="Arial" w:eastAsia="Arial" w:hAnsi="Arial" w:cs="Arial"/>
                <w:sz w:val="14"/>
                <w:szCs w:val="14"/>
              </w:rPr>
            </w:pPr>
            <w:r>
              <w:rPr>
                <w:rFonts w:ascii="Arial" w:eastAsia="Arial" w:hAnsi="Arial" w:cs="Arial"/>
                <w:b/>
                <w:bCs/>
                <w:sz w:val="22"/>
                <w:szCs w:val="22"/>
              </w:rPr>
              <w:t>14,848</w:t>
            </w:r>
          </w:p>
        </w:tc>
        <w:tc>
          <w:tcPr>
            <w:tcW w:w="140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4F4A0EA9" w14:textId="77777777">
            <w:pPr>
              <w:widowControl w:val="0"/>
              <w:spacing w:line="276" w:lineRule="auto"/>
              <w:rPr>
                <w:rFonts w:ascii="Arial" w:eastAsia="Arial" w:hAnsi="Arial" w:cs="Arial"/>
                <w:sz w:val="14"/>
                <w:szCs w:val="14"/>
              </w:rPr>
            </w:pPr>
          </w:p>
        </w:tc>
        <w:tc>
          <w:tcPr>
            <w:tcW w:w="1338"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672149E6" w14:textId="77777777">
            <w:pPr>
              <w:widowControl w:val="0"/>
              <w:spacing w:line="276" w:lineRule="auto"/>
              <w:jc w:val="right"/>
              <w:rPr>
                <w:rFonts w:ascii="Arial" w:eastAsia="Arial" w:hAnsi="Arial" w:cs="Arial"/>
                <w:sz w:val="14"/>
                <w:szCs w:val="14"/>
              </w:rPr>
            </w:pPr>
            <w:r>
              <w:rPr>
                <w:rFonts w:ascii="Arial" w:eastAsia="Arial" w:hAnsi="Arial" w:cs="Arial"/>
                <w:b/>
                <w:bCs/>
                <w:sz w:val="22"/>
                <w:szCs w:val="22"/>
              </w:rPr>
              <w:t>27,813.00</w:t>
            </w:r>
          </w:p>
        </w:tc>
        <w:tc>
          <w:tcPr>
            <w:tcW w:w="9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31CFAF6" w14:textId="77777777">
            <w:pPr>
              <w:widowControl w:val="0"/>
              <w:spacing w:line="276" w:lineRule="auto"/>
              <w:rPr>
                <w:rFonts w:ascii="Arial" w:eastAsia="Arial" w:hAnsi="Arial" w:cs="Arial"/>
                <w:sz w:val="14"/>
                <w:szCs w:val="14"/>
              </w:rPr>
            </w:pPr>
          </w:p>
        </w:tc>
        <w:tc>
          <w:tcPr>
            <w:tcW w:w="185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C64379" w14:paraId="09D47341" w14:textId="77777777">
            <w:pPr>
              <w:widowControl w:val="0"/>
              <w:spacing w:line="276" w:lineRule="auto"/>
              <w:jc w:val="right"/>
              <w:rPr>
                <w:rFonts w:ascii="Arial" w:eastAsia="Arial" w:hAnsi="Arial" w:cs="Arial"/>
                <w:sz w:val="14"/>
                <w:szCs w:val="14"/>
              </w:rPr>
            </w:pPr>
            <w:r>
              <w:rPr>
                <w:rFonts w:ascii="Arial" w:eastAsia="Arial" w:hAnsi="Arial" w:cs="Arial"/>
                <w:b/>
                <w:bCs/>
                <w:sz w:val="22"/>
                <w:szCs w:val="22"/>
              </w:rPr>
              <w:t>$1,974,723.00</w:t>
            </w:r>
          </w:p>
        </w:tc>
      </w:tr>
    </w:tbl>
    <w:p w:rsidR="00C64379" w14:paraId="27F44D85" w14:textId="77777777">
      <w:pPr>
        <w:rPr>
          <w:rFonts w:ascii="Arial" w:eastAsia="Arial" w:hAnsi="Arial" w:cs="Arial"/>
        </w:rPr>
      </w:pPr>
    </w:p>
    <w:p w:rsidR="00C64379" w14:paraId="624EA282" w14:textId="77777777">
      <w:pPr>
        <w:rPr>
          <w:rFonts w:ascii="Arial" w:eastAsia="Arial" w:hAnsi="Arial" w:cs="Arial"/>
        </w:rPr>
      </w:pPr>
    </w:p>
    <w:p w:rsidR="00C64379" w14:paraId="7DBD4218" w14:textId="77777777">
      <w:pPr>
        <w:widowControl w:val="0"/>
        <w:numPr>
          <w:ilvl w:val="0"/>
          <w:numId w:val="18"/>
        </w:numPr>
        <w:pBdr>
          <w:top w:val="nil"/>
          <w:left w:val="nil"/>
          <w:bottom w:val="nil"/>
          <w:right w:val="nil"/>
          <w:between w:val="nil"/>
        </w:pBdr>
        <w:tabs>
          <w:tab w:val="left" w:pos="360"/>
          <w:tab w:val="left" w:pos="720"/>
          <w:tab w:val="left" w:pos="1080"/>
        </w:tabs>
        <w:ind w:left="0"/>
        <w:rPr>
          <w:rFonts w:ascii="Arial" w:eastAsia="Arial" w:hAnsi="Arial" w:cs="Arial"/>
          <w:color w:val="000000"/>
        </w:rPr>
      </w:pPr>
      <w:r>
        <w:rPr>
          <w:rFonts w:ascii="Arial" w:eastAsia="Arial" w:hAnsi="Arial" w:cs="Arial"/>
          <w:color w:val="000000"/>
          <w:u w:val="single"/>
        </w:rPr>
        <w:t>Reasons for changes</w:t>
      </w:r>
      <w:r>
        <w:rPr>
          <w:rFonts w:ascii="Arial" w:eastAsia="Arial" w:hAnsi="Arial" w:cs="Arial"/>
          <w:color w:val="000000"/>
        </w:rPr>
        <w:t xml:space="preserve">. </w:t>
      </w:r>
      <w:r>
        <w:rPr>
          <w:rFonts w:ascii="Arial" w:eastAsia="Arial" w:hAnsi="Arial" w:cs="Arial"/>
          <w:color w:val="222222"/>
          <w:highlight w:val="white"/>
        </w:rPr>
        <w:t>There are no program changes. The FAR requirements remain the same. This extension includes updates to the burden as follows:</w:t>
      </w:r>
    </w:p>
    <w:p w:rsidR="00C64379" w14:paraId="609D8FFF" w14:textId="77777777">
      <w:pPr>
        <w:ind w:right="-40"/>
        <w:rPr>
          <w:rFonts w:ascii="Arial" w:eastAsia="Arial" w:hAnsi="Arial" w:cs="Arial"/>
          <w:color w:val="222222"/>
          <w:highlight w:val="white"/>
        </w:rPr>
      </w:pPr>
      <w:r>
        <w:rPr>
          <w:rFonts w:ascii="Arial" w:eastAsia="Arial" w:hAnsi="Arial" w:cs="Arial"/>
          <w:color w:val="222222"/>
          <w:highlight w:val="white"/>
        </w:rPr>
        <w:t>● The estimated burden is based on an average of FPDS award data for years 2022 through 2024 unless otherwise specified.</w:t>
      </w:r>
    </w:p>
    <w:p w:rsidR="00C64379" w14:paraId="17AA1E74" w14:textId="77777777">
      <w:pPr>
        <w:ind w:right="-40"/>
        <w:rPr>
          <w:rFonts w:ascii="Arial" w:eastAsia="Arial" w:hAnsi="Arial" w:cs="Arial"/>
          <w:color w:val="222222"/>
          <w:highlight w:val="white"/>
        </w:rPr>
      </w:pPr>
      <w:r>
        <w:rPr>
          <w:rFonts w:ascii="Arial" w:eastAsia="Arial" w:hAnsi="Arial" w:cs="Arial"/>
          <w:color w:val="222222"/>
          <w:highlight w:val="white"/>
        </w:rPr>
        <w:t>● The estimated cost per hour is based on use of the calendar year 2025 OPM GS wage rate for the rest of the U.S.</w:t>
      </w:r>
    </w:p>
    <w:p w:rsidR="00C64379" w14:paraId="745F026F" w14:textId="77777777">
      <w:pPr>
        <w:ind w:right="-40"/>
        <w:rPr>
          <w:rFonts w:ascii="Arial" w:eastAsia="Arial" w:hAnsi="Arial" w:cs="Arial"/>
          <w:color w:val="222222"/>
          <w:highlight w:val="white"/>
        </w:rPr>
      </w:pPr>
    </w:p>
    <w:tbl>
      <w:tblPr>
        <w:tblStyle w:val="a2"/>
        <w:tblW w:w="6000" w:type="dxa"/>
        <w:tblInd w:w="0" w:type="dxa"/>
        <w:tblBorders>
          <w:top w:val="nil"/>
          <w:left w:val="nil"/>
          <w:bottom w:val="nil"/>
          <w:right w:val="nil"/>
          <w:insideH w:val="nil"/>
          <w:insideV w:val="nil"/>
        </w:tblBorders>
        <w:tblLayout w:type="fixed"/>
        <w:tblLook w:val="0600"/>
      </w:tblPr>
      <w:tblGrid>
        <w:gridCol w:w="1500"/>
        <w:gridCol w:w="1500"/>
        <w:gridCol w:w="1500"/>
        <w:gridCol w:w="1500"/>
      </w:tblGrid>
      <w:tr w14:paraId="2B6370DC" w14:textId="77777777">
        <w:tblPrEx>
          <w:tblW w:w="6000" w:type="dxa"/>
          <w:tblInd w:w="0" w:type="dxa"/>
          <w:tblBorders>
            <w:top w:val="nil"/>
            <w:left w:val="nil"/>
            <w:bottom w:val="nil"/>
            <w:right w:val="nil"/>
            <w:insideH w:val="nil"/>
            <w:insideV w:val="nil"/>
          </w:tblBorders>
          <w:tblLayout w:type="fixed"/>
          <w:tblLook w:val="0600"/>
        </w:tblPrEx>
        <w:trPr>
          <w:trHeight w:val="615"/>
        </w:trPr>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C64379" w14:paraId="7BED424C" w14:textId="77777777">
            <w:pPr>
              <w:widowControl w:val="0"/>
              <w:spacing w:line="276" w:lineRule="auto"/>
              <w:rPr>
                <w:rFonts w:ascii="Arial" w:eastAsia="Arial" w:hAnsi="Arial" w:cs="Arial"/>
                <w:sz w:val="20"/>
                <w:szCs w:val="20"/>
              </w:rPr>
            </w:pP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64379" w14:paraId="5815660D" w14:textId="77777777">
            <w:pPr>
              <w:widowControl w:val="0"/>
              <w:spacing w:line="276" w:lineRule="auto"/>
              <w:jc w:val="right"/>
              <w:rPr>
                <w:rFonts w:ascii="Arial" w:eastAsia="Arial" w:hAnsi="Arial" w:cs="Arial"/>
                <w:sz w:val="20"/>
                <w:szCs w:val="20"/>
              </w:rPr>
            </w:pPr>
            <w:r>
              <w:rPr>
                <w:color w:val="222222"/>
              </w:rPr>
              <w:t>2023 Estimate</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64379" w14:paraId="47F8F815" w14:textId="77777777">
            <w:pPr>
              <w:widowControl w:val="0"/>
              <w:spacing w:line="276" w:lineRule="auto"/>
              <w:jc w:val="right"/>
              <w:rPr>
                <w:rFonts w:ascii="Arial" w:eastAsia="Arial" w:hAnsi="Arial" w:cs="Arial"/>
                <w:sz w:val="20"/>
                <w:szCs w:val="20"/>
              </w:rPr>
            </w:pPr>
            <w:r>
              <w:rPr>
                <w:color w:val="222222"/>
              </w:rPr>
              <w:t>2025 Estimate</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64379" w14:paraId="35522508" w14:textId="77777777">
            <w:pPr>
              <w:widowControl w:val="0"/>
              <w:spacing w:line="276" w:lineRule="auto"/>
              <w:jc w:val="right"/>
              <w:rPr>
                <w:rFonts w:ascii="Arial" w:eastAsia="Arial" w:hAnsi="Arial" w:cs="Arial"/>
                <w:sz w:val="20"/>
                <w:szCs w:val="20"/>
              </w:rPr>
            </w:pPr>
            <w:r>
              <w:rPr>
                <w:color w:val="222222"/>
              </w:rPr>
              <w:t>Change in Burden</w:t>
            </w:r>
          </w:p>
        </w:tc>
      </w:tr>
      <w:tr w14:paraId="6AECAEEB" w14:textId="77777777">
        <w:tblPrEx>
          <w:tblW w:w="6000" w:type="dxa"/>
          <w:tblInd w:w="0" w:type="dxa"/>
          <w:tblLayout w:type="fixed"/>
          <w:tblLook w:val="0600"/>
        </w:tblPrEx>
        <w:trPr>
          <w:trHeight w:val="885"/>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C64379" w14:paraId="20ED704E" w14:textId="77777777">
            <w:pPr>
              <w:widowControl w:val="0"/>
              <w:spacing w:line="276" w:lineRule="auto"/>
              <w:rPr>
                <w:rFonts w:ascii="Arial" w:eastAsia="Arial" w:hAnsi="Arial" w:cs="Arial"/>
                <w:sz w:val="20"/>
                <w:szCs w:val="20"/>
              </w:rPr>
            </w:pPr>
            <w:r>
              <w:rPr>
                <w:color w:val="222222"/>
              </w:rPr>
              <w:t>Number of respondents &amp; recordkeepers</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C64379" w14:paraId="4FFA25A5" w14:textId="77777777">
            <w:pPr>
              <w:widowControl w:val="0"/>
              <w:spacing w:line="276" w:lineRule="auto"/>
              <w:jc w:val="right"/>
              <w:rPr>
                <w:rFonts w:ascii="Arial" w:eastAsia="Arial" w:hAnsi="Arial" w:cs="Arial"/>
                <w:sz w:val="20"/>
                <w:szCs w:val="20"/>
              </w:rPr>
            </w:pPr>
            <w:r>
              <w:rPr>
                <w:color w:val="222222"/>
              </w:rPr>
              <w:t>1,121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C64379" w14:paraId="4A830574" w14:textId="77777777">
            <w:pPr>
              <w:widowControl w:val="0"/>
              <w:spacing w:line="276" w:lineRule="auto"/>
              <w:jc w:val="right"/>
              <w:rPr>
                <w:rFonts w:ascii="Arial" w:eastAsia="Arial" w:hAnsi="Arial" w:cs="Arial"/>
                <w:sz w:val="20"/>
                <w:szCs w:val="20"/>
              </w:rPr>
            </w:pPr>
            <w:r>
              <w:rPr>
                <w:color w:val="222222"/>
              </w:rPr>
              <w:t>830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C64379" w14:paraId="1F751D2B" w14:textId="77777777">
            <w:pPr>
              <w:widowControl w:val="0"/>
              <w:spacing w:line="276" w:lineRule="auto"/>
              <w:jc w:val="right"/>
              <w:rPr>
                <w:rFonts w:ascii="Arial" w:eastAsia="Arial" w:hAnsi="Arial" w:cs="Arial"/>
                <w:sz w:val="20"/>
                <w:szCs w:val="20"/>
              </w:rPr>
            </w:pPr>
            <w:r>
              <w:rPr>
                <w:color w:val="222222"/>
              </w:rPr>
              <w:t>-291</w:t>
            </w:r>
          </w:p>
        </w:tc>
      </w:tr>
      <w:tr w14:paraId="7802AE52" w14:textId="77777777">
        <w:tblPrEx>
          <w:tblW w:w="6000" w:type="dxa"/>
          <w:tblInd w:w="0" w:type="dxa"/>
          <w:tblLayout w:type="fixed"/>
          <w:tblLook w:val="0600"/>
        </w:tblPrEx>
        <w:trPr>
          <w:trHeight w:val="615"/>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C64379" w14:paraId="14FF6556" w14:textId="77777777">
            <w:pPr>
              <w:widowControl w:val="0"/>
              <w:spacing w:line="276" w:lineRule="auto"/>
              <w:rPr>
                <w:rFonts w:ascii="Arial" w:eastAsia="Arial" w:hAnsi="Arial" w:cs="Arial"/>
                <w:sz w:val="20"/>
                <w:szCs w:val="20"/>
              </w:rPr>
            </w:pPr>
            <w:r>
              <w:rPr>
                <w:color w:val="222222"/>
              </w:rPr>
              <w:t>Total annual responses</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C64379" w14:paraId="24DF4060" w14:textId="77777777">
            <w:pPr>
              <w:widowControl w:val="0"/>
              <w:spacing w:line="276" w:lineRule="auto"/>
              <w:jc w:val="right"/>
              <w:rPr>
                <w:rFonts w:ascii="Arial" w:eastAsia="Arial" w:hAnsi="Arial" w:cs="Arial"/>
                <w:sz w:val="20"/>
                <w:szCs w:val="20"/>
              </w:rPr>
            </w:pPr>
            <w:r>
              <w:rPr>
                <w:color w:val="222222"/>
              </w:rPr>
              <w:t>14,962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C64379" w14:paraId="23B57C31" w14:textId="77777777">
            <w:pPr>
              <w:widowControl w:val="0"/>
              <w:spacing w:line="276" w:lineRule="auto"/>
              <w:jc w:val="right"/>
              <w:rPr>
                <w:rFonts w:ascii="Arial" w:eastAsia="Arial" w:hAnsi="Arial" w:cs="Arial"/>
                <w:sz w:val="20"/>
                <w:szCs w:val="20"/>
              </w:rPr>
            </w:pPr>
            <w:r>
              <w:rPr>
                <w:color w:val="222222"/>
              </w:rPr>
              <w:t>14,848</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C64379" w14:paraId="046A2B10" w14:textId="77777777">
            <w:pPr>
              <w:widowControl w:val="0"/>
              <w:spacing w:line="276" w:lineRule="auto"/>
              <w:jc w:val="right"/>
              <w:rPr>
                <w:rFonts w:ascii="Arial" w:eastAsia="Arial" w:hAnsi="Arial" w:cs="Arial"/>
                <w:sz w:val="20"/>
                <w:szCs w:val="20"/>
              </w:rPr>
            </w:pPr>
            <w:r>
              <w:rPr>
                <w:color w:val="222222"/>
              </w:rPr>
              <w:t>-114</w:t>
            </w:r>
          </w:p>
        </w:tc>
      </w:tr>
      <w:tr w14:paraId="69AE773B" w14:textId="77777777">
        <w:tblPrEx>
          <w:tblW w:w="6000" w:type="dxa"/>
          <w:tblInd w:w="0" w:type="dxa"/>
          <w:tblLayout w:type="fixed"/>
          <w:tblLook w:val="0600"/>
        </w:tblPrEx>
        <w:trPr>
          <w:trHeight w:val="615"/>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C64379" w14:paraId="19E671C2" w14:textId="77777777">
            <w:pPr>
              <w:widowControl w:val="0"/>
              <w:spacing w:line="276" w:lineRule="auto"/>
              <w:rPr>
                <w:rFonts w:ascii="Arial" w:eastAsia="Arial" w:hAnsi="Arial" w:cs="Arial"/>
                <w:sz w:val="20"/>
                <w:szCs w:val="20"/>
              </w:rPr>
            </w:pPr>
            <w:r>
              <w:rPr>
                <w:color w:val="222222"/>
              </w:rPr>
              <w:t>Total burden hours</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C64379" w14:paraId="38A6DD98" w14:textId="77777777">
            <w:pPr>
              <w:widowControl w:val="0"/>
              <w:spacing w:line="276" w:lineRule="auto"/>
              <w:jc w:val="right"/>
              <w:rPr>
                <w:rFonts w:ascii="Arial" w:eastAsia="Arial" w:hAnsi="Arial" w:cs="Arial"/>
                <w:sz w:val="20"/>
                <w:szCs w:val="20"/>
              </w:rPr>
            </w:pPr>
            <w:r>
              <w:rPr>
                <w:color w:val="222222"/>
              </w:rPr>
              <w:t>54,621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C64379" w14:paraId="748FD9F2" w14:textId="77777777">
            <w:pPr>
              <w:widowControl w:val="0"/>
              <w:spacing w:line="276" w:lineRule="auto"/>
              <w:jc w:val="right"/>
              <w:rPr>
                <w:rFonts w:ascii="Arial" w:eastAsia="Arial" w:hAnsi="Arial" w:cs="Arial"/>
                <w:sz w:val="20"/>
                <w:szCs w:val="20"/>
              </w:rPr>
            </w:pPr>
            <w:r>
              <w:rPr>
                <w:color w:val="222222"/>
              </w:rPr>
              <w:t>55,600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C64379" w14:paraId="4DA90EED" w14:textId="77777777">
            <w:pPr>
              <w:widowControl w:val="0"/>
              <w:spacing w:line="276" w:lineRule="auto"/>
              <w:jc w:val="right"/>
              <w:rPr>
                <w:rFonts w:ascii="Arial" w:eastAsia="Arial" w:hAnsi="Arial" w:cs="Arial"/>
                <w:sz w:val="20"/>
                <w:szCs w:val="20"/>
              </w:rPr>
            </w:pPr>
            <w:r>
              <w:rPr>
                <w:color w:val="222222"/>
              </w:rPr>
              <w:t>+979</w:t>
            </w:r>
          </w:p>
        </w:tc>
      </w:tr>
      <w:tr w14:paraId="7FB50A12" w14:textId="77777777">
        <w:tblPrEx>
          <w:tblW w:w="6000" w:type="dxa"/>
          <w:tblInd w:w="0" w:type="dxa"/>
          <w:tblLayout w:type="fixed"/>
          <w:tblLook w:val="0600"/>
        </w:tblPrEx>
        <w:trPr>
          <w:trHeight w:val="615"/>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C64379" w14:paraId="65210A2B" w14:textId="77777777">
            <w:pPr>
              <w:widowControl w:val="0"/>
              <w:spacing w:line="276" w:lineRule="auto"/>
              <w:rPr>
                <w:rFonts w:ascii="Arial" w:eastAsia="Arial" w:hAnsi="Arial" w:cs="Arial"/>
                <w:sz w:val="20"/>
                <w:szCs w:val="20"/>
              </w:rPr>
            </w:pPr>
            <w:r>
              <w:rPr>
                <w:color w:val="222222"/>
              </w:rPr>
              <w:t>Total annual cost to public</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C64379" w14:paraId="3F8FF780" w14:textId="77777777">
            <w:pPr>
              <w:widowControl w:val="0"/>
              <w:spacing w:line="276" w:lineRule="auto"/>
              <w:jc w:val="right"/>
              <w:rPr>
                <w:rFonts w:ascii="Arial" w:eastAsia="Arial" w:hAnsi="Arial" w:cs="Arial"/>
                <w:sz w:val="20"/>
                <w:szCs w:val="20"/>
              </w:rPr>
            </w:pPr>
            <w:r>
              <w:rPr>
                <w:color w:val="222222"/>
              </w:rPr>
              <w:t>$3,824,394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C64379" w14:paraId="1116C836" w14:textId="77777777">
            <w:pPr>
              <w:widowControl w:val="0"/>
              <w:spacing w:line="276" w:lineRule="auto"/>
              <w:jc w:val="right"/>
              <w:rPr>
                <w:rFonts w:ascii="Arial" w:eastAsia="Arial" w:hAnsi="Arial" w:cs="Arial"/>
                <w:sz w:val="20"/>
                <w:szCs w:val="20"/>
              </w:rPr>
            </w:pPr>
            <w:r>
              <w:rPr>
                <w:color w:val="222222"/>
              </w:rPr>
              <w:t>$3,947,600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C64379" w14:paraId="320B89DF" w14:textId="77777777">
            <w:pPr>
              <w:widowControl w:val="0"/>
              <w:spacing w:line="276" w:lineRule="auto"/>
              <w:jc w:val="right"/>
              <w:rPr>
                <w:rFonts w:ascii="Arial" w:eastAsia="Arial" w:hAnsi="Arial" w:cs="Arial"/>
                <w:sz w:val="20"/>
                <w:szCs w:val="20"/>
              </w:rPr>
            </w:pPr>
            <w:r>
              <w:rPr>
                <w:color w:val="222222"/>
              </w:rPr>
              <w:t>+$123,206</w:t>
            </w:r>
          </w:p>
        </w:tc>
      </w:tr>
    </w:tbl>
    <w:p w:rsidR="00C64379" w14:paraId="5F50617A" w14:textId="77777777">
      <w:pPr>
        <w:widowControl w:val="0"/>
        <w:pBdr>
          <w:top w:val="nil"/>
          <w:left w:val="nil"/>
          <w:bottom w:val="nil"/>
          <w:right w:val="nil"/>
          <w:between w:val="nil"/>
        </w:pBdr>
        <w:tabs>
          <w:tab w:val="left" w:pos="360"/>
          <w:tab w:val="left" w:pos="720"/>
          <w:tab w:val="left" w:pos="1080"/>
        </w:tabs>
        <w:rPr>
          <w:rFonts w:ascii="Arial" w:eastAsia="Arial" w:hAnsi="Arial" w:cs="Arial"/>
        </w:rPr>
      </w:pPr>
    </w:p>
    <w:p w:rsidR="00C64379" w14:paraId="29B878C9" w14:textId="77777777">
      <w:pPr>
        <w:widowControl w:val="0"/>
        <w:numPr>
          <w:ilvl w:val="0"/>
          <w:numId w:val="18"/>
        </w:numPr>
        <w:pBdr>
          <w:top w:val="nil"/>
          <w:left w:val="nil"/>
          <w:bottom w:val="nil"/>
          <w:right w:val="nil"/>
          <w:between w:val="nil"/>
        </w:pBdr>
        <w:tabs>
          <w:tab w:val="left" w:pos="360"/>
          <w:tab w:val="left" w:pos="720"/>
          <w:tab w:val="left" w:pos="1080"/>
        </w:tabs>
        <w:ind w:left="0"/>
        <w:rPr>
          <w:rFonts w:ascii="Arial" w:eastAsia="Arial" w:hAnsi="Arial" w:cs="Arial"/>
          <w:color w:val="000000"/>
        </w:rPr>
      </w:pPr>
      <w:r>
        <w:rPr>
          <w:rFonts w:ascii="Arial" w:eastAsia="Arial" w:hAnsi="Arial" w:cs="Arial"/>
          <w:color w:val="000000"/>
          <w:u w:val="single"/>
        </w:rPr>
        <w:t>Publicizing Results.</w:t>
      </w:r>
      <w:r>
        <w:rPr>
          <w:rFonts w:ascii="Arial" w:eastAsia="Arial" w:hAnsi="Arial" w:cs="Arial"/>
          <w:color w:val="000000"/>
        </w:rPr>
        <w:t xml:space="preserve"> </w:t>
      </w:r>
      <w:r>
        <w:rPr>
          <w:rFonts w:ascii="Arial" w:eastAsia="Arial" w:hAnsi="Arial" w:cs="Arial"/>
        </w:rPr>
        <w:t>Results will not be tabulated or published.</w:t>
      </w:r>
    </w:p>
    <w:p w:rsidR="00C64379" w14:paraId="24FE8D57" w14:textId="77777777">
      <w:pPr>
        <w:widowControl w:val="0"/>
        <w:tabs>
          <w:tab w:val="left" w:pos="360"/>
          <w:tab w:val="left" w:pos="720"/>
          <w:tab w:val="left" w:pos="1080"/>
        </w:tabs>
        <w:rPr>
          <w:rFonts w:ascii="Arial" w:eastAsia="Arial" w:hAnsi="Arial" w:cs="Arial"/>
        </w:rPr>
      </w:pPr>
    </w:p>
    <w:p w:rsidR="00C64379" w14:paraId="5480FFAC" w14:textId="77777777">
      <w:pPr>
        <w:widowControl w:val="0"/>
        <w:numPr>
          <w:ilvl w:val="0"/>
          <w:numId w:val="18"/>
        </w:numPr>
        <w:pBdr>
          <w:top w:val="nil"/>
          <w:left w:val="nil"/>
          <w:bottom w:val="nil"/>
          <w:right w:val="nil"/>
          <w:between w:val="nil"/>
        </w:pBdr>
        <w:tabs>
          <w:tab w:val="left" w:pos="360"/>
          <w:tab w:val="left" w:pos="720"/>
          <w:tab w:val="left" w:pos="1080"/>
        </w:tabs>
        <w:ind w:left="0"/>
        <w:rPr>
          <w:rFonts w:ascii="Arial" w:eastAsia="Arial" w:hAnsi="Arial" w:cs="Arial"/>
          <w:color w:val="000000"/>
        </w:rPr>
      </w:pPr>
      <w:r>
        <w:rPr>
          <w:rFonts w:ascii="Arial" w:eastAsia="Arial" w:hAnsi="Arial" w:cs="Arial"/>
          <w:color w:val="000000"/>
          <w:u w:val="single"/>
        </w:rPr>
        <w:t>OMB Not to Display Approval.</w:t>
      </w:r>
      <w:r>
        <w:rPr>
          <w:rFonts w:ascii="Arial" w:eastAsia="Arial" w:hAnsi="Arial" w:cs="Arial"/>
          <w:color w:val="000000"/>
        </w:rPr>
        <w:t xml:space="preserve"> </w:t>
      </w:r>
      <w:r>
        <w:rPr>
          <w:rFonts w:ascii="Arial" w:eastAsia="Arial" w:hAnsi="Arial" w:cs="Arial"/>
        </w:rPr>
        <w:t>A</w:t>
      </w:r>
      <w:r>
        <w:rPr>
          <w:rFonts w:ascii="Arial" w:eastAsia="Arial" w:hAnsi="Arial" w:cs="Arial"/>
          <w:color w:val="000000"/>
        </w:rPr>
        <w:t xml:space="preserve">pproval to </w:t>
      </w:r>
      <w:r>
        <w:rPr>
          <w:rFonts w:ascii="Arial" w:eastAsia="Arial" w:hAnsi="Arial" w:cs="Arial"/>
          <w:i/>
          <w:iCs/>
          <w:color w:val="000000"/>
        </w:rPr>
        <w:t>not</w:t>
      </w:r>
      <w:r>
        <w:rPr>
          <w:rFonts w:ascii="Arial" w:eastAsia="Arial" w:hAnsi="Arial" w:cs="Arial"/>
          <w:color w:val="000000"/>
        </w:rPr>
        <w:t xml:space="preserve"> display the expiration date for OMB approval of the information collection is no</w:t>
      </w:r>
      <w:r>
        <w:rPr>
          <w:rFonts w:ascii="Arial" w:eastAsia="Arial" w:hAnsi="Arial" w:cs="Arial"/>
        </w:rPr>
        <w:t>t sought.</w:t>
      </w:r>
    </w:p>
    <w:p w:rsidR="00C64379" w14:paraId="73DD44BF" w14:textId="77777777">
      <w:pPr>
        <w:widowControl w:val="0"/>
        <w:pBdr>
          <w:top w:val="nil"/>
          <w:left w:val="nil"/>
          <w:bottom w:val="nil"/>
          <w:right w:val="nil"/>
          <w:between w:val="nil"/>
        </w:pBdr>
        <w:tabs>
          <w:tab w:val="left" w:pos="360"/>
          <w:tab w:val="left" w:pos="720"/>
          <w:tab w:val="left" w:pos="1080"/>
        </w:tabs>
        <w:rPr>
          <w:rFonts w:ascii="Arial" w:eastAsia="Arial" w:hAnsi="Arial" w:cs="Arial"/>
          <w:color w:val="000000"/>
        </w:rPr>
      </w:pPr>
    </w:p>
    <w:p w:rsidR="00C64379" w14:paraId="0AA3365F" w14:textId="77777777">
      <w:pPr>
        <w:widowControl w:val="0"/>
        <w:numPr>
          <w:ilvl w:val="0"/>
          <w:numId w:val="18"/>
        </w:numPr>
        <w:pBdr>
          <w:top w:val="nil"/>
          <w:left w:val="nil"/>
          <w:bottom w:val="nil"/>
          <w:right w:val="nil"/>
          <w:between w:val="nil"/>
        </w:pBdr>
        <w:tabs>
          <w:tab w:val="left" w:pos="360"/>
          <w:tab w:val="left" w:pos="720"/>
          <w:tab w:val="left" w:pos="1080"/>
        </w:tabs>
        <w:ind w:left="0"/>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u w:val="single"/>
        </w:rPr>
        <w:t>Exceptions to "Certification for Paperwork Reduction Submissions."</w:t>
      </w:r>
      <w:r>
        <w:rPr>
          <w:rFonts w:ascii="Arial" w:eastAsia="Arial" w:hAnsi="Arial" w:cs="Arial"/>
          <w:color w:val="000000"/>
        </w:rPr>
        <w:t xml:space="preserve"> There is no exception to the certification st</w:t>
      </w:r>
      <w:r>
        <w:rPr>
          <w:rFonts w:ascii="Arial" w:eastAsia="Arial" w:hAnsi="Arial" w:cs="Arial"/>
        </w:rPr>
        <w:t>atement.</w:t>
      </w:r>
    </w:p>
    <w:p w:rsidR="00C64379" w14:paraId="32698C0A" w14:textId="77777777">
      <w:pPr>
        <w:widowControl w:val="0"/>
        <w:tabs>
          <w:tab w:val="left" w:pos="360"/>
          <w:tab w:val="left" w:pos="720"/>
          <w:tab w:val="left" w:pos="1080"/>
        </w:tabs>
        <w:rPr>
          <w:rFonts w:ascii="Arial" w:eastAsia="Arial" w:hAnsi="Arial" w:cs="Arial"/>
        </w:rPr>
      </w:pPr>
    </w:p>
    <w:p w:rsidR="00C64379" w14:paraId="162E37F3" w14:textId="77777777">
      <w:pPr>
        <w:widowControl w:val="0"/>
        <w:numPr>
          <w:ilvl w:val="0"/>
          <w:numId w:val="18"/>
        </w:numPr>
        <w:pBdr>
          <w:top w:val="nil"/>
          <w:left w:val="nil"/>
          <w:bottom w:val="nil"/>
          <w:right w:val="nil"/>
          <w:between w:val="nil"/>
        </w:pBdr>
        <w:tabs>
          <w:tab w:val="left" w:pos="360"/>
          <w:tab w:val="left" w:pos="720"/>
          <w:tab w:val="left" w:pos="1080"/>
        </w:tabs>
        <w:ind w:left="0"/>
        <w:rPr>
          <w:rFonts w:ascii="Arial" w:eastAsia="Arial" w:hAnsi="Arial" w:cs="Arial"/>
          <w:color w:val="000000"/>
        </w:rPr>
      </w:pPr>
      <w:r>
        <w:rPr>
          <w:rFonts w:ascii="Arial" w:eastAsia="Arial" w:hAnsi="Arial" w:cs="Arial"/>
          <w:color w:val="000000"/>
          <w:u w:val="single"/>
        </w:rPr>
        <w:t>Surveys, Censuses, and Other Collections that Employ Statistical Methods.</w:t>
      </w:r>
      <w:r>
        <w:rPr>
          <w:rFonts w:ascii="Arial" w:eastAsia="Arial" w:hAnsi="Arial" w:cs="Arial"/>
          <w:color w:val="000000"/>
        </w:rPr>
        <w:t xml:space="preserve"> </w:t>
      </w:r>
      <w:r>
        <w:rPr>
          <w:rFonts w:ascii="Arial" w:eastAsia="Arial" w:hAnsi="Arial" w:cs="Arial"/>
        </w:rPr>
        <w:t>Statistical methods are not used in this information collection. A Part B supporting statement is not needed, or required, and therefore was not completed.</w:t>
      </w:r>
    </w:p>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EAF5FF1-CAC6-4382-9BD6-E5D694D0F28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92A3D29-4633-4E5E-8D70-232A62B72F4D}"/>
  </w:font>
  <w:font w:name="Cambria">
    <w:panose1 w:val="02040503050406030204"/>
    <w:charset w:val="00"/>
    <w:family w:val="roman"/>
    <w:pitch w:val="variable"/>
    <w:sig w:usb0="E00006FF" w:usb1="420024FF" w:usb2="02000000" w:usb3="00000000" w:csb0="0000019F" w:csb1="00000000"/>
    <w:embedRegular r:id="rId3" w:fontKey="{E93429AE-D99A-4D1C-9C33-84D446A228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835AFF"/>
    <w:multiLevelType w:val="multilevel"/>
    <w:tmpl w:val="7C0A1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AD2D1B"/>
    <w:multiLevelType w:val="multilevel"/>
    <w:tmpl w:val="3BD60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4F31C6B"/>
    <w:multiLevelType w:val="multilevel"/>
    <w:tmpl w:val="C2083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A31393C"/>
    <w:multiLevelType w:val="multilevel"/>
    <w:tmpl w:val="D6C6E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BCC37BE"/>
    <w:multiLevelType w:val="multilevel"/>
    <w:tmpl w:val="5D4EF1D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ECE3928"/>
    <w:multiLevelType w:val="multilevel"/>
    <w:tmpl w:val="F35EE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827465A"/>
    <w:multiLevelType w:val="multilevel"/>
    <w:tmpl w:val="39CE1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8C0304E"/>
    <w:multiLevelType w:val="multilevel"/>
    <w:tmpl w:val="95460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780087A"/>
    <w:multiLevelType w:val="multilevel"/>
    <w:tmpl w:val="C6261898"/>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35D02C9E"/>
    <w:multiLevelType w:val="multilevel"/>
    <w:tmpl w:val="BA82A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38170D7C"/>
    <w:multiLevelType w:val="multilevel"/>
    <w:tmpl w:val="2110B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131470C"/>
    <w:multiLevelType w:val="multilevel"/>
    <w:tmpl w:val="9B50B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8DD1997"/>
    <w:multiLevelType w:val="multilevel"/>
    <w:tmpl w:val="D62CF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CF04B61"/>
    <w:multiLevelType w:val="multilevel"/>
    <w:tmpl w:val="2990F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EE55F04"/>
    <w:multiLevelType w:val="multilevel"/>
    <w:tmpl w:val="D8608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0587A82"/>
    <w:multiLevelType w:val="multilevel"/>
    <w:tmpl w:val="28BE7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4271E65"/>
    <w:multiLevelType w:val="multilevel"/>
    <w:tmpl w:val="6F941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51E1E9A"/>
    <w:multiLevelType w:val="multilevel"/>
    <w:tmpl w:val="5664A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67A4648"/>
    <w:multiLevelType w:val="multilevel"/>
    <w:tmpl w:val="E24C1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91D7447"/>
    <w:multiLevelType w:val="multilevel"/>
    <w:tmpl w:val="3F26F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B743AD3"/>
    <w:multiLevelType w:val="multilevel"/>
    <w:tmpl w:val="E65E6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E9C46E4"/>
    <w:multiLevelType w:val="multilevel"/>
    <w:tmpl w:val="C1D49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611E022E"/>
    <w:multiLevelType w:val="multilevel"/>
    <w:tmpl w:val="9B2A3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1CD4623"/>
    <w:multiLevelType w:val="multilevel"/>
    <w:tmpl w:val="E3D60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69401AB"/>
    <w:multiLevelType w:val="multilevel"/>
    <w:tmpl w:val="4BF46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67B274A0"/>
    <w:multiLevelType w:val="multilevel"/>
    <w:tmpl w:val="C7188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6C6D612E"/>
    <w:multiLevelType w:val="multilevel"/>
    <w:tmpl w:val="E6F49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E241C7F"/>
    <w:multiLevelType w:val="multilevel"/>
    <w:tmpl w:val="E81E4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7124955"/>
    <w:multiLevelType w:val="multilevel"/>
    <w:tmpl w:val="542EE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8463012">
    <w:abstractNumId w:val="28"/>
  </w:num>
  <w:num w:numId="2" w16cid:durableId="1737698713">
    <w:abstractNumId w:val="6"/>
  </w:num>
  <w:num w:numId="3" w16cid:durableId="189530551">
    <w:abstractNumId w:val="16"/>
  </w:num>
  <w:num w:numId="4" w16cid:durableId="2068800746">
    <w:abstractNumId w:val="15"/>
  </w:num>
  <w:num w:numId="5" w16cid:durableId="1537546296">
    <w:abstractNumId w:val="13"/>
  </w:num>
  <w:num w:numId="6" w16cid:durableId="1473252249">
    <w:abstractNumId w:val="7"/>
  </w:num>
  <w:num w:numId="7" w16cid:durableId="614098441">
    <w:abstractNumId w:val="10"/>
  </w:num>
  <w:num w:numId="8" w16cid:durableId="421074449">
    <w:abstractNumId w:val="5"/>
  </w:num>
  <w:num w:numId="9" w16cid:durableId="148137494">
    <w:abstractNumId w:val="27"/>
  </w:num>
  <w:num w:numId="10" w16cid:durableId="1330209928">
    <w:abstractNumId w:val="25"/>
  </w:num>
  <w:num w:numId="11" w16cid:durableId="2111193268">
    <w:abstractNumId w:val="20"/>
  </w:num>
  <w:num w:numId="12" w16cid:durableId="585922608">
    <w:abstractNumId w:val="18"/>
  </w:num>
  <w:num w:numId="13" w16cid:durableId="721368343">
    <w:abstractNumId w:val="2"/>
  </w:num>
  <w:num w:numId="14" w16cid:durableId="58597469">
    <w:abstractNumId w:val="22"/>
  </w:num>
  <w:num w:numId="15" w16cid:durableId="595483798">
    <w:abstractNumId w:val="21"/>
  </w:num>
  <w:num w:numId="16" w16cid:durableId="1017653792">
    <w:abstractNumId w:val="12"/>
  </w:num>
  <w:num w:numId="17" w16cid:durableId="72706945">
    <w:abstractNumId w:val="17"/>
  </w:num>
  <w:num w:numId="18" w16cid:durableId="1978996163">
    <w:abstractNumId w:val="8"/>
  </w:num>
  <w:num w:numId="19" w16cid:durableId="923998019">
    <w:abstractNumId w:val="3"/>
  </w:num>
  <w:num w:numId="20" w16cid:durableId="1789281131">
    <w:abstractNumId w:val="24"/>
  </w:num>
  <w:num w:numId="21" w16cid:durableId="1956908226">
    <w:abstractNumId w:val="0"/>
  </w:num>
  <w:num w:numId="22" w16cid:durableId="1811971602">
    <w:abstractNumId w:val="1"/>
  </w:num>
  <w:num w:numId="23" w16cid:durableId="399134150">
    <w:abstractNumId w:val="23"/>
  </w:num>
  <w:num w:numId="24" w16cid:durableId="1969775965">
    <w:abstractNumId w:val="26"/>
  </w:num>
  <w:num w:numId="25" w16cid:durableId="35547413">
    <w:abstractNumId w:val="4"/>
  </w:num>
  <w:num w:numId="26" w16cid:durableId="1009910212">
    <w:abstractNumId w:val="14"/>
  </w:num>
  <w:num w:numId="27" w16cid:durableId="689338065">
    <w:abstractNumId w:val="11"/>
  </w:num>
  <w:num w:numId="28" w16cid:durableId="268591477">
    <w:abstractNumId w:val="19"/>
  </w:num>
  <w:num w:numId="29" w16cid:durableId="20809754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379"/>
    <w:rsid w:val="000238F4"/>
    <w:rsid w:val="000E1572"/>
    <w:rsid w:val="001349C1"/>
    <w:rsid w:val="00174712"/>
    <w:rsid w:val="001E50C6"/>
    <w:rsid w:val="002839C8"/>
    <w:rsid w:val="002C6DAC"/>
    <w:rsid w:val="002D670F"/>
    <w:rsid w:val="0068247D"/>
    <w:rsid w:val="00684D17"/>
    <w:rsid w:val="006E3F2D"/>
    <w:rsid w:val="00A54E11"/>
    <w:rsid w:val="00C64379"/>
    <w:rsid w:val="00CB0BF4"/>
    <w:rsid w:val="00ED583E"/>
    <w:rsid w:val="00F1153B"/>
    <w:rsid w:val="00F4771F"/>
    <w:rsid w:val="00FE2E7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1ED68A8"/>
  <w15:docId w15:val="{6646A997-F9C6-476C-8CC3-2CD8897E1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tblPr>
      <w:tblStyleRowBandSize w:val="1"/>
      <w:tblStyleColBandSize w:val="1"/>
    </w:tblPr>
  </w:style>
  <w:style w:type="table" w:customStyle="1" w:styleId="a0">
    <w:name w:val="a0"/>
    <w:basedOn w:val="TableNormal0"/>
    <w:tblPr>
      <w:tblStyleRowBandSize w:val="1"/>
      <w:tblStyleColBandSize w:val="1"/>
    </w:tblPr>
  </w:style>
  <w:style w:type="table" w:customStyle="1" w:styleId="a1">
    <w:name w:val="a1"/>
    <w:basedOn w:val="TableNormal0"/>
    <w:tblPr>
      <w:tblStyleRowBandSize w:val="1"/>
      <w:tblStyleColBandSize w:val="1"/>
    </w:tblPr>
  </w:style>
  <w:style w:type="table" w:customStyle="1" w:styleId="a2">
    <w:name w:val="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theme" Target="theme/theme1.xml" /><Relationship Id="rId5" Type="http://schemas.openxmlformats.org/officeDocument/2006/relationships/numbering" Target="numbering.xml" /><Relationship Id="rId6"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16</Pages>
  <Words>5615</Words>
  <Characters>32007</Characters>
  <Application>Microsoft Office Word</Application>
  <DocSecurity>0</DocSecurity>
  <Lines>266</Lines>
  <Paragraphs>75</Paragraphs>
  <ScaleCrop>false</ScaleCrop>
  <Company/>
  <LinksUpToDate>false</LinksUpToDate>
  <CharactersWithSpaces>37547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ZenaidaDelgado</dc:creator>
  <cp:lastModifiedBy>Nicole D. Bynum</cp:lastModifiedBy>
  <cp:revision>7</cp:revision>
  <dcterms:created xsi:type="dcterms:W3CDTF">2025-12-11T18:24:00Z</dcterms:created>
  <dcterms:modified xsi:type="dcterms:W3CDTF">2026-02-23T14:38:00Z</dcterms:modified>
</cp:coreProperties>
</file>