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F1FFC" w:rsidRPr="00BF6D43" w:rsidP="005F1FFC" w14:paraId="7E088B25" w14:textId="77777777"/>
    <w:p w:rsidR="003225D2" w:rsidP="001650D5" w14:paraId="00B8C0D6" w14:textId="52DE246B">
      <w:pPr>
        <w:jc w:val="center"/>
        <w:rPr>
          <w:b/>
          <w:caps/>
          <w:sz w:val="24"/>
          <w:szCs w:val="24"/>
        </w:rPr>
      </w:pPr>
      <w:r w:rsidRPr="00BF6D43">
        <w:rPr>
          <w:b/>
          <w:caps/>
          <w:sz w:val="24"/>
          <w:szCs w:val="24"/>
        </w:rPr>
        <w:t>Supporting</w:t>
      </w:r>
      <w:r w:rsidRPr="00BF6D43">
        <w:rPr>
          <w:b/>
          <w:sz w:val="24"/>
          <w:szCs w:val="24"/>
        </w:rPr>
        <w:t xml:space="preserve"> </w:t>
      </w:r>
      <w:r w:rsidRPr="00BF6D43">
        <w:rPr>
          <w:b/>
          <w:caps/>
          <w:sz w:val="24"/>
          <w:szCs w:val="24"/>
        </w:rPr>
        <w:t>Statement</w:t>
      </w:r>
      <w:r w:rsidRPr="00BF6D43" w:rsidR="00A4452C">
        <w:rPr>
          <w:b/>
          <w:caps/>
          <w:sz w:val="24"/>
          <w:szCs w:val="24"/>
        </w:rPr>
        <w:t xml:space="preserve"> For</w:t>
      </w:r>
    </w:p>
    <w:p w:rsidR="001650D5" w:rsidRPr="00BF6D43" w:rsidP="001650D5" w14:paraId="2F27FDD4" w14:textId="071A4889">
      <w:pPr>
        <w:jc w:val="center"/>
        <w:rPr>
          <w:b/>
          <w:caps/>
          <w:sz w:val="24"/>
          <w:szCs w:val="24"/>
        </w:rPr>
      </w:pPr>
      <w:r w:rsidRPr="00A133F2">
        <w:rPr>
          <w:b/>
          <w:caps/>
          <w:sz w:val="24"/>
          <w:szCs w:val="24"/>
        </w:rPr>
        <w:t>Regulation I: Disclosure Requirements for Depository Institutions Lacking Federal Deposit Insurance (12 CFR 1009)</w:t>
      </w:r>
    </w:p>
    <w:p w:rsidR="003225D2" w:rsidRPr="00BF6D43" w:rsidP="003225D2" w14:paraId="4ACA79D4" w14:textId="2642DA12">
      <w:pPr>
        <w:jc w:val="center"/>
        <w:rPr>
          <w:b/>
          <w:bCs/>
          <w:sz w:val="24"/>
          <w:szCs w:val="24"/>
        </w:rPr>
      </w:pPr>
      <w:r w:rsidRPr="00BF6D43">
        <w:rPr>
          <w:b/>
          <w:bCs/>
          <w:sz w:val="24"/>
          <w:szCs w:val="24"/>
        </w:rPr>
        <w:t>OMB CONTROL NO.</w:t>
      </w:r>
      <w:r w:rsidR="004D6F7D">
        <w:rPr>
          <w:b/>
          <w:bCs/>
          <w:sz w:val="24"/>
          <w:szCs w:val="24"/>
        </w:rPr>
        <w:t>:</w:t>
      </w:r>
      <w:r w:rsidRPr="00BF6D43">
        <w:rPr>
          <w:b/>
          <w:bCs/>
          <w:sz w:val="24"/>
          <w:szCs w:val="24"/>
        </w:rPr>
        <w:t xml:space="preserve"> </w:t>
      </w:r>
      <w:r w:rsidRPr="00BF6D43" w:rsidR="00E81562">
        <w:rPr>
          <w:b/>
          <w:bCs/>
          <w:sz w:val="24"/>
          <w:szCs w:val="24"/>
        </w:rPr>
        <w:t>3170-0</w:t>
      </w:r>
      <w:r w:rsidR="001650D5">
        <w:rPr>
          <w:b/>
          <w:bCs/>
          <w:sz w:val="24"/>
          <w:szCs w:val="24"/>
        </w:rPr>
        <w:t>0</w:t>
      </w:r>
      <w:r w:rsidR="00A133F2">
        <w:rPr>
          <w:b/>
          <w:bCs/>
          <w:sz w:val="24"/>
          <w:szCs w:val="24"/>
        </w:rPr>
        <w:t>62</w:t>
      </w:r>
    </w:p>
    <w:p w:rsidR="00A4452C" w:rsidRPr="00BF6D43" w:rsidP="000F0DD6" w14:paraId="7DC5C315" w14:textId="0B2A5A15">
      <w:pPr>
        <w:tabs>
          <w:tab w:val="left" w:pos="880"/>
        </w:tabs>
        <w:rPr>
          <w:b/>
          <w:caps/>
          <w:sz w:val="24"/>
        </w:rPr>
      </w:pPr>
      <w:r w:rsidRPr="00BF6D43">
        <w:rPr>
          <w:b/>
          <w:caps/>
          <w:sz w:val="24"/>
        </w:rPr>
        <w:tab/>
      </w:r>
    </w:p>
    <w:p w:rsidR="005F1FFC" w:rsidRPr="00BF6D43" w:rsidP="005F1FFC" w14:paraId="14A29F18" w14:textId="77777777">
      <w:pPr>
        <w:jc w:val="center"/>
        <w:rPr>
          <w:b/>
          <w:sz w:val="24"/>
        </w:rPr>
      </w:pPr>
    </w:p>
    <w:p w:rsidR="005F1FFC" w:rsidRPr="00BF6D43" w:rsidP="005F1FFC" w14:paraId="3DBE2AB2" w14:textId="77777777">
      <w:pPr>
        <w:rPr>
          <w:b/>
          <w:sz w:val="24"/>
        </w:rPr>
      </w:pPr>
      <w:r w:rsidRPr="00BF6D43">
        <w:rPr>
          <w:b/>
          <w:sz w:val="24"/>
        </w:rPr>
        <w:t xml:space="preserve">A.  </w:t>
      </w:r>
      <w:r w:rsidRPr="00BF6D43">
        <w:rPr>
          <w:b/>
          <w:caps/>
          <w:sz w:val="24"/>
        </w:rPr>
        <w:t>Justification</w:t>
      </w:r>
    </w:p>
    <w:p w:rsidR="005F1FFC" w:rsidRPr="00BF6D43" w:rsidP="005F1FFC" w14:paraId="4378B360" w14:textId="77777777">
      <w:pPr>
        <w:rPr>
          <w:b/>
          <w:sz w:val="24"/>
        </w:rPr>
      </w:pPr>
    </w:p>
    <w:p w:rsidR="00092D91" w:rsidRPr="00BF6D43" w:rsidP="00092D91" w14:paraId="08863302" w14:textId="77777777">
      <w:pPr>
        <w:rPr>
          <w:sz w:val="24"/>
        </w:rPr>
      </w:pPr>
      <w:r w:rsidRPr="00BF6D43">
        <w:rPr>
          <w:b/>
          <w:bCs/>
          <w:sz w:val="24"/>
        </w:rPr>
        <w:t xml:space="preserve">1.  Explain the circumstances that make the collection of </w:t>
      </w:r>
      <w:r w:rsidRPr="00BF6D43">
        <w:rPr>
          <w:b/>
          <w:bCs/>
          <w:sz w:val="24"/>
        </w:rPr>
        <w:t>information necessary.  Identify any legal or administrative requirements that necessitate the collection.  Attach a copy of the appropriate section of each statute and regulation mandating or authorizing the collection of information.</w:t>
      </w:r>
    </w:p>
    <w:p w:rsidR="005F1FFC" w:rsidP="005F1FFC" w14:paraId="1F5F91FF" w14:textId="6DB4BB27">
      <w:pPr>
        <w:rPr>
          <w:sz w:val="24"/>
        </w:rPr>
      </w:pPr>
    </w:p>
    <w:p w:rsidR="00A133F2" w:rsidRPr="00A133F2" w:rsidP="00A133F2" w14:paraId="389819DA" w14:textId="3715533B">
      <w:pPr>
        <w:rPr>
          <w:sz w:val="24"/>
        </w:rPr>
      </w:pPr>
      <w:r w:rsidRPr="00A133F2">
        <w:rPr>
          <w:sz w:val="24"/>
        </w:rPr>
        <w:t>Section 43(b)-(f) of the Federal Deposit Insurance Act (FDIA) of 1950 (</w:t>
      </w:r>
      <w:r w:rsidRPr="00A133F2">
        <w:rPr>
          <w:sz w:val="24"/>
        </w:rPr>
        <w:t>Pub.L</w:t>
      </w:r>
      <w:r w:rsidRPr="00A133F2">
        <w:rPr>
          <w:sz w:val="24"/>
        </w:rPr>
        <w:t xml:space="preserve">. 81–797), requires that depository institutions lacking Federal deposit insurance make certain insurance-related disclosures in periodic statements, account records, locations where deposits are normally received, and advertising.  The FDIA also requires such depository institutions to obtain a written acknowledgment from depositors regarding the institution’s lack of Federal deposit insurance.  Prior to July 21, 2011, the FDIA required that the Federal Trade Commission (Commission), by regulation or </w:t>
      </w:r>
      <w:r w:rsidRPr="00A133F2">
        <w:rPr>
          <w:sz w:val="24"/>
        </w:rPr>
        <w:t xml:space="preserve">order, prescribe the manner and content of these disclosures. </w:t>
      </w:r>
      <w:r w:rsidR="00963C48">
        <w:rPr>
          <w:sz w:val="24"/>
        </w:rPr>
        <w:t xml:space="preserve"> </w:t>
      </w:r>
      <w:r w:rsidRPr="00A133F2">
        <w:rPr>
          <w:sz w:val="24"/>
        </w:rPr>
        <w:t xml:space="preserve">The Dodd-Frank Wall Street Reform and Consumer Protection Act (Dodd-Frank Act), Public Law 111-203, amended </w:t>
      </w:r>
      <w:r w:rsidRPr="00A133F2">
        <w:rPr>
          <w:sz w:val="24"/>
        </w:rPr>
        <w:t>a number of</w:t>
      </w:r>
      <w:r w:rsidRPr="00A133F2">
        <w:rPr>
          <w:sz w:val="24"/>
        </w:rPr>
        <w:t xml:space="preserve"> consumer financial protection laws, including the FDIA.</w:t>
      </w:r>
      <w:r w:rsidR="003F478D">
        <w:rPr>
          <w:sz w:val="24"/>
        </w:rPr>
        <w:t xml:space="preserve"> </w:t>
      </w:r>
      <w:r w:rsidRPr="00A133F2">
        <w:rPr>
          <w:sz w:val="24"/>
        </w:rPr>
        <w:t xml:space="preserve"> In addition to various substantive amendments, the Dodd-Frank Act transferred rulemaking authority for implementing the disclosure requirements for depository institutions lacking Federal deposit insurance, as described above, to the </w:t>
      </w:r>
      <w:r w:rsidR="00EC3939">
        <w:rPr>
          <w:sz w:val="24"/>
        </w:rPr>
        <w:t>Consumer Financial Pr</w:t>
      </w:r>
      <w:r w:rsidR="00F71F03">
        <w:rPr>
          <w:sz w:val="24"/>
        </w:rPr>
        <w:t xml:space="preserve">otection </w:t>
      </w:r>
      <w:r w:rsidRPr="00A133F2">
        <w:rPr>
          <w:sz w:val="24"/>
        </w:rPr>
        <w:t>Bureau</w:t>
      </w:r>
      <w:r w:rsidR="00F71F03">
        <w:rPr>
          <w:sz w:val="24"/>
        </w:rPr>
        <w:t xml:space="preserve"> (Bureau)</w:t>
      </w:r>
      <w:r w:rsidRPr="00A133F2">
        <w:rPr>
          <w:sz w:val="24"/>
        </w:rPr>
        <w:t>, effective July 21, 2011.  These requirements are implemented by the Bureau’s Regulation I, codified at 12 CFR 1009.</w:t>
      </w:r>
    </w:p>
    <w:p w:rsidR="00A133F2" w:rsidRPr="00A133F2" w:rsidP="00A133F2" w14:paraId="3E249910" w14:textId="77777777">
      <w:pPr>
        <w:rPr>
          <w:sz w:val="24"/>
        </w:rPr>
      </w:pPr>
    </w:p>
    <w:p w:rsidR="00A133F2" w:rsidRPr="00A133F2" w:rsidP="00A133F2" w14:paraId="1D10BEA0" w14:textId="0450A553">
      <w:pPr>
        <w:rPr>
          <w:sz w:val="24"/>
        </w:rPr>
      </w:pPr>
      <w:r w:rsidRPr="00A133F2">
        <w:rPr>
          <w:sz w:val="24"/>
        </w:rPr>
        <w:t>Section 1009.3 requires any depository institution (defined as any bank or savings association, as defined by 12 U.S.C. section 1813, or any credit union organized and operated according to the laws of any state, the District of Columbia, the several territories and possessions of the United States, the Panama Canal Zone, or the Commonwealth of Puerto Rico, which laws provide for the organization of credit unions similar in principle and objectives to Federal credit unions) that lacks Federal deposit insura</w:t>
      </w:r>
      <w:r w:rsidRPr="00A133F2">
        <w:rPr>
          <w:sz w:val="24"/>
        </w:rPr>
        <w:t>nce to disclose that the institution is not Federally insured, and that if the institution fails, the Federal government does not guarantee that depositors will get back their money, in all periodic statements of account, on each signature card, and on each passbook, certificate of deposit, or share certificate.</w:t>
      </w:r>
    </w:p>
    <w:p w:rsidR="00A133F2" w:rsidRPr="00A133F2" w:rsidP="00A133F2" w14:paraId="266DC25D" w14:textId="2C3674B6">
      <w:pPr>
        <w:rPr>
          <w:sz w:val="24"/>
        </w:rPr>
      </w:pPr>
    </w:p>
    <w:p w:rsidR="00A133F2" w:rsidRPr="00A133F2" w:rsidP="00A133F2" w14:paraId="5BC63323" w14:textId="77777777">
      <w:pPr>
        <w:rPr>
          <w:sz w:val="24"/>
        </w:rPr>
      </w:pPr>
      <w:r w:rsidRPr="00A133F2">
        <w:rPr>
          <w:sz w:val="24"/>
        </w:rPr>
        <w:t>Section 1009.4 requires any depository institution that lacks Federal deposit insurance to disclose its lack of insurance to customers in the following locations:</w:t>
      </w:r>
    </w:p>
    <w:p w:rsidR="00A133F2" w:rsidP="00A133F2" w14:paraId="5DA4BF3F" w14:textId="77777777">
      <w:pPr>
        <w:rPr>
          <w:sz w:val="24"/>
        </w:rPr>
      </w:pPr>
      <w:r w:rsidRPr="00A133F2">
        <w:rPr>
          <w:sz w:val="24"/>
        </w:rPr>
        <w:t>(1) At each station or window where deposits are normally received, its principal place of business and all its branches where it accepts deposits or opens accounts (excluding automated teller machines or point of sale terminals), and on its main internet page; and</w:t>
      </w:r>
    </w:p>
    <w:p w:rsidR="00CA25AC" w:rsidRPr="00A133F2" w:rsidP="00A133F2" w14:paraId="0C857F1D" w14:textId="77777777">
      <w:pPr>
        <w:rPr>
          <w:sz w:val="24"/>
        </w:rPr>
      </w:pPr>
    </w:p>
    <w:p w:rsidR="00A133F2" w:rsidRPr="00A133F2" w:rsidP="00A133F2" w14:paraId="1449C58E" w14:textId="77777777">
      <w:pPr>
        <w:rPr>
          <w:sz w:val="24"/>
        </w:rPr>
      </w:pPr>
      <w:r w:rsidRPr="00A133F2">
        <w:rPr>
          <w:sz w:val="24"/>
        </w:rPr>
        <w:t>(2) In all advertisements.</w:t>
      </w:r>
    </w:p>
    <w:p w:rsidR="00CA25AC" w:rsidP="00A133F2" w14:paraId="1EE4BD62" w14:textId="77777777">
      <w:pPr>
        <w:rPr>
          <w:sz w:val="24"/>
        </w:rPr>
      </w:pPr>
    </w:p>
    <w:p w:rsidR="00A133F2" w:rsidP="00A133F2" w14:paraId="6D2CA11D" w14:textId="3B1939AB">
      <w:pPr>
        <w:rPr>
          <w:sz w:val="24"/>
        </w:rPr>
      </w:pPr>
      <w:r w:rsidRPr="00A133F2">
        <w:rPr>
          <w:sz w:val="24"/>
        </w:rPr>
        <w:t xml:space="preserve">In addition, </w:t>
      </w:r>
      <w:r w:rsidR="000F2625">
        <w:rPr>
          <w:sz w:val="24"/>
        </w:rPr>
        <w:t>s</w:t>
      </w:r>
      <w:r w:rsidRPr="00A133F2">
        <w:rPr>
          <w:sz w:val="24"/>
        </w:rPr>
        <w:t>ection 1009.5 requires the institution to obtain from all depositors (except as described below) a signed document acknowledging:</w:t>
      </w:r>
    </w:p>
    <w:p w:rsidR="00CA25AC" w:rsidRPr="00A133F2" w:rsidP="00A133F2" w14:paraId="414FA01A" w14:textId="77777777">
      <w:pPr>
        <w:rPr>
          <w:sz w:val="24"/>
        </w:rPr>
      </w:pPr>
    </w:p>
    <w:p w:rsidR="00A133F2" w:rsidP="00A133F2" w14:paraId="642DCF24" w14:textId="77777777">
      <w:pPr>
        <w:rPr>
          <w:sz w:val="24"/>
        </w:rPr>
      </w:pPr>
      <w:r w:rsidRPr="00A133F2">
        <w:rPr>
          <w:sz w:val="24"/>
        </w:rPr>
        <w:t>(1) The institution is not federally insured; and</w:t>
      </w:r>
    </w:p>
    <w:p w:rsidR="00B4366D" w:rsidRPr="00A133F2" w:rsidP="00A133F2" w14:paraId="5C11FAB3" w14:textId="77777777">
      <w:pPr>
        <w:rPr>
          <w:sz w:val="24"/>
        </w:rPr>
      </w:pPr>
    </w:p>
    <w:p w:rsidR="00A133F2" w:rsidRPr="00A133F2" w:rsidP="00A133F2" w14:paraId="4C7090CA" w14:textId="77777777">
      <w:pPr>
        <w:rPr>
          <w:sz w:val="24"/>
        </w:rPr>
      </w:pPr>
      <w:r w:rsidRPr="00A133F2">
        <w:rPr>
          <w:sz w:val="24"/>
        </w:rPr>
        <w:t>(2) If the institution fails, the Federal Government does not guarantee that the depositor will get back the depositor’s money.</w:t>
      </w:r>
    </w:p>
    <w:p w:rsidR="00B4366D" w:rsidP="00A133F2" w14:paraId="72C61132" w14:textId="77777777">
      <w:pPr>
        <w:rPr>
          <w:sz w:val="24"/>
        </w:rPr>
      </w:pPr>
    </w:p>
    <w:p w:rsidR="00A133F2" w:rsidP="00A133F2" w14:paraId="156F60C3" w14:textId="3B1E43E0">
      <w:pPr>
        <w:rPr>
          <w:sz w:val="24"/>
        </w:rPr>
      </w:pPr>
      <w:r w:rsidRPr="00A133F2">
        <w:rPr>
          <w:sz w:val="24"/>
        </w:rPr>
        <w:t xml:space="preserve">For new depositors obtained </w:t>
      </w:r>
      <w:r w:rsidRPr="00A133F2">
        <w:rPr>
          <w:sz w:val="24"/>
        </w:rPr>
        <w:t>as a result of</w:t>
      </w:r>
      <w:r w:rsidRPr="00A133F2">
        <w:rPr>
          <w:sz w:val="24"/>
        </w:rPr>
        <w:t xml:space="preserve"> a conversion or merger and for depositors who were depositors before October 13, 2006, </w:t>
      </w:r>
      <w:r w:rsidR="000F2625">
        <w:rPr>
          <w:sz w:val="24"/>
        </w:rPr>
        <w:t>s</w:t>
      </w:r>
      <w:r w:rsidRPr="00A133F2">
        <w:rPr>
          <w:sz w:val="24"/>
        </w:rPr>
        <w:t>ection 1009.5 provides that the institution may either:</w:t>
      </w:r>
    </w:p>
    <w:p w:rsidR="007E4CFE" w:rsidRPr="00A133F2" w:rsidP="00A133F2" w14:paraId="3652CD80" w14:textId="77777777">
      <w:pPr>
        <w:rPr>
          <w:sz w:val="24"/>
        </w:rPr>
      </w:pPr>
    </w:p>
    <w:p w:rsidR="00A133F2" w:rsidRPr="00A133F2" w:rsidP="00A133F2" w14:paraId="6CDFE856" w14:textId="77777777">
      <w:pPr>
        <w:rPr>
          <w:sz w:val="24"/>
        </w:rPr>
      </w:pPr>
      <w:r w:rsidRPr="00A133F2">
        <w:rPr>
          <w:sz w:val="24"/>
        </w:rPr>
        <w:t xml:space="preserve">(1) Obtain a signed document as described above; or </w:t>
      </w:r>
    </w:p>
    <w:p w:rsidR="007E4CFE" w:rsidP="00A133F2" w14:paraId="737F2A4F" w14:textId="77777777">
      <w:pPr>
        <w:rPr>
          <w:sz w:val="24"/>
        </w:rPr>
      </w:pPr>
    </w:p>
    <w:p w:rsidR="00A133F2" w:rsidRPr="00BF6D43" w:rsidP="00A133F2" w14:paraId="497CC679" w14:textId="21A2896F">
      <w:pPr>
        <w:rPr>
          <w:sz w:val="24"/>
        </w:rPr>
      </w:pPr>
      <w:r w:rsidRPr="00A133F2">
        <w:rPr>
          <w:sz w:val="24"/>
        </w:rPr>
        <w:t>(2) Send to the depositor a conspicuous card stating that the institution is not federally insured and if the institution fails the Federal Government does not guarantee that the depositor will get back the depositor’s money, including a line for the signature of the depositor, and including accompanying materials requesting that the depositor sign the card and return the signed card to the institution.</w:t>
      </w:r>
    </w:p>
    <w:p w:rsidR="00E939D3" w:rsidRPr="00BF6D43" w:rsidP="005F1FFC" w14:paraId="2A8A43BC" w14:textId="77777777">
      <w:pPr>
        <w:rPr>
          <w:sz w:val="24"/>
        </w:rPr>
      </w:pPr>
    </w:p>
    <w:p w:rsidR="00092D91" w:rsidRPr="00BF6D43" w:rsidP="00092D91" w14:paraId="15554E87" w14:textId="77777777">
      <w:pPr>
        <w:rPr>
          <w:sz w:val="24"/>
        </w:rPr>
      </w:pPr>
      <w:r w:rsidRPr="00BF6D43">
        <w:rPr>
          <w:b/>
          <w:bCs/>
          <w:sz w:val="24"/>
        </w:rPr>
        <w:t>2.  Indicate how, by whom, and for what purpose the information is to be used.  Except for a new collection, indicate the actual use the agency has made of the information received from the current collection.</w:t>
      </w:r>
    </w:p>
    <w:p w:rsidR="005F1FFC" w:rsidP="005F1FFC" w14:paraId="04B2529C" w14:textId="2BB17895">
      <w:pPr>
        <w:rPr>
          <w:sz w:val="24"/>
        </w:rPr>
      </w:pPr>
    </w:p>
    <w:p w:rsidR="00A133F2" w:rsidRPr="00BF6D43" w:rsidP="005F1FFC" w14:paraId="526BAD04" w14:textId="26A91270">
      <w:pPr>
        <w:rPr>
          <w:sz w:val="24"/>
        </w:rPr>
      </w:pPr>
      <w:r w:rsidRPr="00A133F2">
        <w:rPr>
          <w:sz w:val="24"/>
        </w:rPr>
        <w:t xml:space="preserve">The information required to be disclosed by this regulation is used by consumers to make informed decisions about where to deposit their money and the risks </w:t>
      </w:r>
      <w:r w:rsidRPr="00A133F2">
        <w:rPr>
          <w:sz w:val="24"/>
        </w:rPr>
        <w:t xml:space="preserve">they may incur by depositing money with institutions lacking Federal deposit insurance.  The signed acknowledgement requirement further serves to ensure that consumers are aware of the risks they may incur by depositing money with institutions lacking Federal deposit insurance and </w:t>
      </w:r>
      <w:r w:rsidRPr="00A133F2">
        <w:rPr>
          <w:sz w:val="24"/>
        </w:rPr>
        <w:t>are able to</w:t>
      </w:r>
      <w:r w:rsidRPr="00A133F2">
        <w:rPr>
          <w:sz w:val="24"/>
        </w:rPr>
        <w:t xml:space="preserve"> make informed decisions about where to deposit their money, and in addition allows institutions to show they have made the required disclosures to consumers and that consumers are on notice regarding the lack of Federa</w:t>
      </w:r>
      <w:r w:rsidRPr="00A133F2">
        <w:rPr>
          <w:sz w:val="24"/>
        </w:rPr>
        <w:t>l deposit insurance.</w:t>
      </w:r>
    </w:p>
    <w:p w:rsidR="00E939D3" w:rsidRPr="00BF6D43" w:rsidP="005F1FFC" w14:paraId="19B9EB12" w14:textId="77777777"/>
    <w:p w:rsidR="00092D91" w:rsidRPr="00BF6D43" w:rsidP="00092D91" w14:paraId="0C7BE16B" w14:textId="77777777">
      <w:pPr>
        <w:rPr>
          <w:b/>
          <w:bCs/>
          <w:sz w:val="24"/>
          <w:szCs w:val="24"/>
        </w:rPr>
      </w:pPr>
      <w:r w:rsidRPr="00BF6D43">
        <w:rPr>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w:t>
      </w:r>
      <w:r w:rsidRPr="00BF6D43">
        <w:rPr>
          <w:b/>
          <w:bCs/>
          <w:sz w:val="24"/>
          <w:szCs w:val="24"/>
        </w:rPr>
        <w:t>collection.  Also, describe any consideration of using information technology to reduce burden.</w:t>
      </w:r>
    </w:p>
    <w:p w:rsidR="005F1FFC" w:rsidRPr="00BF6D43" w:rsidP="005F1FFC" w14:paraId="07836B1D" w14:textId="77777777"/>
    <w:p w:rsidR="00E939D3" w:rsidRPr="00E33814" w:rsidP="00E81562" w14:paraId="7CEBA56C" w14:textId="215A2AAC">
      <w:pPr>
        <w:rPr>
          <w:b/>
          <w:sz w:val="24"/>
          <w:szCs w:val="24"/>
        </w:rPr>
      </w:pPr>
      <w:r w:rsidRPr="00E33814">
        <w:rPr>
          <w:bCs/>
          <w:sz w:val="24"/>
          <w:szCs w:val="24"/>
        </w:rPr>
        <w:t xml:space="preserve">The regulation requires that the covered institution make the required disclosures on its main internet page as well as in all advertising in whatever format. </w:t>
      </w:r>
      <w:r w:rsidR="00C52425">
        <w:rPr>
          <w:bCs/>
          <w:sz w:val="24"/>
          <w:szCs w:val="24"/>
        </w:rPr>
        <w:t xml:space="preserve"> </w:t>
      </w:r>
      <w:r w:rsidRPr="00E33814">
        <w:rPr>
          <w:bCs/>
          <w:sz w:val="24"/>
          <w:szCs w:val="24"/>
        </w:rPr>
        <w:t xml:space="preserve">Certain of </w:t>
      </w:r>
      <w:r w:rsidRPr="00E33814">
        <w:rPr>
          <w:sz w:val="24"/>
          <w:szCs w:val="24"/>
        </w:rPr>
        <w:t>the required disclosures may be provided in electronic form, subject to compliance with the consumer consent and other applicable provisions of the Electronic Signatures in Global and National Commerce Act (E-SIGN Act)</w:t>
      </w:r>
      <w:r>
        <w:rPr>
          <w:rStyle w:val="FootnoteReference"/>
          <w:sz w:val="24"/>
          <w:szCs w:val="24"/>
        </w:rPr>
        <w:footnoteReference w:id="3"/>
      </w:r>
      <w:r w:rsidRPr="00E33814">
        <w:rPr>
          <w:sz w:val="24"/>
          <w:szCs w:val="24"/>
        </w:rPr>
        <w:t>.</w:t>
      </w:r>
    </w:p>
    <w:p w:rsidR="00A133F2" w:rsidRPr="00BF6D43" w:rsidP="00E81562" w14:paraId="75EE893B" w14:textId="77777777">
      <w:pPr>
        <w:rPr>
          <w:b/>
          <w:sz w:val="24"/>
        </w:rPr>
      </w:pPr>
    </w:p>
    <w:p w:rsidR="00092D91" w:rsidRPr="00BF6D43" w:rsidP="00092D91" w14:paraId="77362514" w14:textId="77777777">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BF6D43">
        <w:rPr>
          <w:b/>
          <w:sz w:val="24"/>
          <w:szCs w:val="24"/>
        </w:rPr>
        <w:t xml:space="preserve">4.  </w:t>
      </w:r>
      <w:r w:rsidRPr="00BF6D43">
        <w:rPr>
          <w:b/>
          <w:bCs/>
          <w:sz w:val="24"/>
          <w:szCs w:val="24"/>
        </w:rPr>
        <w:t>Describe efforts to identify duplication.  Show specifically why any similar information already available cannot be used or modified for use for the purposes described in Item A.2 above.</w:t>
      </w:r>
    </w:p>
    <w:p w:rsidR="005F1FFC" w:rsidRPr="00BF6D43" w:rsidP="005F1FFC" w14:paraId="7339726A" w14:textId="77777777">
      <w:pPr>
        <w:rPr>
          <w:sz w:val="24"/>
        </w:rPr>
      </w:pPr>
    </w:p>
    <w:p w:rsidR="00BE61FE" w:rsidRPr="000611E5" w:rsidP="005F1FFC" w14:paraId="1111F676" w14:textId="7399A28F">
      <w:pPr>
        <w:rPr>
          <w:sz w:val="24"/>
          <w:szCs w:val="24"/>
        </w:rPr>
      </w:pPr>
      <w:r w:rsidRPr="000611E5">
        <w:rPr>
          <w:bCs/>
          <w:sz w:val="24"/>
          <w:szCs w:val="24"/>
        </w:rPr>
        <w:t xml:space="preserve">This requirement is unique to the requirements of Regulation I. </w:t>
      </w:r>
      <w:r w:rsidR="002E6EAD">
        <w:rPr>
          <w:bCs/>
          <w:sz w:val="24"/>
          <w:szCs w:val="24"/>
        </w:rPr>
        <w:t xml:space="preserve"> </w:t>
      </w:r>
      <w:r w:rsidRPr="000611E5">
        <w:rPr>
          <w:bCs/>
          <w:sz w:val="24"/>
          <w:szCs w:val="24"/>
        </w:rPr>
        <w:t>Therefore, the request does not duplicate an existing collection of information contained in any regulatory or statutory requirement administered by the Bureau.</w:t>
      </w:r>
    </w:p>
    <w:p w:rsidR="00A133F2" w:rsidRPr="000611E5" w:rsidP="005F1FFC" w14:paraId="48A72541" w14:textId="77777777">
      <w:pPr>
        <w:rPr>
          <w:sz w:val="24"/>
          <w:szCs w:val="24"/>
        </w:rPr>
      </w:pPr>
    </w:p>
    <w:p w:rsidR="00092D91" w:rsidRPr="00BF6D43" w:rsidP="00092D91" w14:paraId="78977288" w14:textId="77777777">
      <w:pPr>
        <w:pStyle w:val="BodyText"/>
        <w:rPr>
          <w:b/>
        </w:rPr>
      </w:pPr>
      <w:r w:rsidRPr="00BF6D43">
        <w:rPr>
          <w:b/>
        </w:rPr>
        <w:t xml:space="preserve">5.  </w:t>
      </w:r>
      <w:r w:rsidRPr="00BF6D43">
        <w:rPr>
          <w:b/>
          <w:bCs/>
        </w:rPr>
        <w:t xml:space="preserve">If the </w:t>
      </w:r>
      <w:r w:rsidRPr="00BF6D43">
        <w:rPr>
          <w:b/>
          <w:bCs/>
        </w:rPr>
        <w:t>collection of information impacts small businesses or other small entities, describe any methods used to minimize burden.</w:t>
      </w:r>
    </w:p>
    <w:p w:rsidR="005F1FFC" w:rsidP="00092D91" w14:paraId="6511B9A0" w14:textId="0841AF54">
      <w:pPr>
        <w:pStyle w:val="BodyText"/>
      </w:pPr>
    </w:p>
    <w:p w:rsidR="00A133F2" w:rsidRPr="00BF6D43" w:rsidP="00092D91" w14:paraId="5AEFEF7F" w14:textId="4E8775FD">
      <w:pPr>
        <w:pStyle w:val="BodyText"/>
      </w:pPr>
      <w:r>
        <w:rPr>
          <w:bCs/>
        </w:rPr>
        <w:t>This requirement imposes the minimum burden necessary to implement Regulation I, and the Bureau believes the requirements impose only a minor burden, if any, on all covered institutions, including small entities.</w:t>
      </w:r>
    </w:p>
    <w:p w:rsidR="00E939D3" w:rsidRPr="00BF6D43" w:rsidP="005F1FFC" w14:paraId="2EE74F06" w14:textId="77777777">
      <w:pPr>
        <w:pStyle w:val="BodyText"/>
      </w:pPr>
    </w:p>
    <w:p w:rsidR="00F660E8" w:rsidRPr="00BF6D43" w:rsidP="00F660E8" w14:paraId="7ACF7470" w14:textId="77777777">
      <w:pPr>
        <w:rPr>
          <w:b/>
          <w:sz w:val="24"/>
          <w:szCs w:val="24"/>
        </w:rPr>
      </w:pPr>
      <w:r w:rsidRPr="00BF6D43">
        <w:rPr>
          <w:b/>
          <w:sz w:val="24"/>
          <w:szCs w:val="24"/>
        </w:rPr>
        <w:t xml:space="preserve">6.  </w:t>
      </w:r>
      <w:r w:rsidRPr="00BF6D43">
        <w:rPr>
          <w:b/>
          <w:bCs/>
          <w:sz w:val="24"/>
          <w:szCs w:val="24"/>
        </w:rPr>
        <w:t xml:space="preserve">Describe the consequence to federal program or policy activities if the collection is not conducted or is conducted less frequently, as well as any technical or legal obstacles to reducing burden. </w:t>
      </w:r>
    </w:p>
    <w:p w:rsidR="005F1FFC" w:rsidP="005F1FFC" w14:paraId="039568CD" w14:textId="03D310FB">
      <w:pPr>
        <w:rPr>
          <w:sz w:val="24"/>
        </w:rPr>
      </w:pPr>
    </w:p>
    <w:p w:rsidR="00A133F2" w:rsidRPr="00BF6D43" w:rsidP="005F1FFC" w14:paraId="533F1F76" w14:textId="6A72E3A8">
      <w:pPr>
        <w:rPr>
          <w:sz w:val="24"/>
        </w:rPr>
      </w:pPr>
      <w:r>
        <w:rPr>
          <w:sz w:val="24"/>
          <w:szCs w:val="24"/>
        </w:rPr>
        <w:t>The Bureau does not collect any information from the covered entities, and to the extent the rule requires the covered entities to collect a signed acknowledgement from their customers, the rule requires the information be collected only once from each new or existing customer of the institution.</w:t>
      </w:r>
    </w:p>
    <w:p w:rsidR="00E939D3" w:rsidRPr="00BF6D43" w:rsidP="00BE61FE" w14:paraId="224E9EAF" w14:textId="77777777">
      <w:pPr>
        <w:rPr>
          <w:sz w:val="24"/>
        </w:rPr>
      </w:pPr>
    </w:p>
    <w:p w:rsidR="00F660E8" w:rsidRPr="00BF6D43" w:rsidP="00F660E8" w14:paraId="3D2A640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BF6D43">
        <w:rPr>
          <w:b/>
          <w:sz w:val="24"/>
          <w:szCs w:val="24"/>
        </w:rPr>
        <w:t xml:space="preserve">7.  </w:t>
      </w:r>
      <w:r w:rsidRPr="00BF6D43">
        <w:rPr>
          <w:b/>
          <w:bCs/>
          <w:sz w:val="24"/>
          <w:szCs w:val="24"/>
        </w:rPr>
        <w:t>Explain any special circumstances that would cause an information collection to be conducted in a manner:</w:t>
      </w:r>
    </w:p>
    <w:p w:rsidR="00F660E8" w:rsidRPr="00BF6D43" w:rsidP="00F660E8" w14:paraId="1E4D6E0A"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 xml:space="preserve">requiring respondents to report information to the agency more often than </w:t>
      </w:r>
      <w:r w:rsidRPr="00BF6D43">
        <w:rPr>
          <w:b/>
          <w:bCs/>
          <w:sz w:val="24"/>
          <w:szCs w:val="24"/>
        </w:rPr>
        <w:t>quarterly;</w:t>
      </w:r>
    </w:p>
    <w:p w:rsidR="00F660E8" w:rsidRPr="00BF6D43" w:rsidP="00F660E8" w14:paraId="1B834044"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 xml:space="preserve">requiring respondents to prepare a written response to a collection of information in fewer than 30 days after receipt of </w:t>
      </w:r>
      <w:r w:rsidRPr="00BF6D43">
        <w:rPr>
          <w:b/>
          <w:bCs/>
          <w:sz w:val="24"/>
          <w:szCs w:val="24"/>
        </w:rPr>
        <w:t>it;</w:t>
      </w:r>
    </w:p>
    <w:p w:rsidR="00F660E8" w:rsidRPr="00BF6D43" w:rsidP="00F660E8" w14:paraId="154520E3"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 xml:space="preserve">requiring respondents to submit more than an original and two copies of any </w:t>
      </w:r>
      <w:r w:rsidRPr="00BF6D43">
        <w:rPr>
          <w:b/>
          <w:bCs/>
          <w:sz w:val="24"/>
          <w:szCs w:val="24"/>
        </w:rPr>
        <w:t>document;</w:t>
      </w:r>
    </w:p>
    <w:p w:rsidR="00F660E8" w:rsidRPr="00BF6D43" w:rsidP="00F660E8" w14:paraId="180B5013"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 xml:space="preserve">requiring respondents to retain records, other than health, medical, government contract, grant-in-aid, or tax records for more than three </w:t>
      </w:r>
      <w:r w:rsidRPr="00BF6D43">
        <w:rPr>
          <w:b/>
          <w:bCs/>
          <w:sz w:val="24"/>
          <w:szCs w:val="24"/>
        </w:rPr>
        <w:t>years;</w:t>
      </w:r>
    </w:p>
    <w:p w:rsidR="00F660E8" w:rsidRPr="00BF6D43" w:rsidP="00F660E8" w14:paraId="050BB7CE" w14:textId="77777777">
      <w:pPr>
        <w:pStyle w:val="Level1"/>
        <w:widowControl/>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BF6D43">
        <w:rPr>
          <w:b/>
          <w:bCs/>
        </w:rPr>
        <w:t xml:space="preserve">in connection with a statistical survey, that is not designed to produce valid and reliable results that can be generalized to the universe of </w:t>
      </w:r>
      <w:r w:rsidRPr="00BF6D43">
        <w:rPr>
          <w:b/>
          <w:bCs/>
        </w:rPr>
        <w:t>study;</w:t>
      </w:r>
    </w:p>
    <w:p w:rsidR="00F660E8" w:rsidRPr="00BF6D43" w:rsidP="00F660E8" w14:paraId="2D971794" w14:textId="77777777">
      <w:pPr>
        <w:pStyle w:val="Level1"/>
        <w:widowControl/>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BF6D43">
        <w:rPr>
          <w:b/>
          <w:bCs/>
        </w:rPr>
        <w:t xml:space="preserve">requiring the use of statistical data classification that has not been reviewed and approved by </w:t>
      </w:r>
      <w:r w:rsidRPr="00BF6D43">
        <w:rPr>
          <w:b/>
          <w:bCs/>
        </w:rPr>
        <w:t>OMB;</w:t>
      </w:r>
    </w:p>
    <w:p w:rsidR="00F660E8" w:rsidRPr="00BF6D43" w:rsidP="00F660E8" w14:paraId="18705605" w14:textId="77777777">
      <w:pPr>
        <w:pStyle w:val="Level1"/>
        <w:widowControl/>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BF6D43">
        <w:rPr>
          <w:b/>
          <w:bCs/>
        </w:rPr>
        <w:t>that includes a pledge of confidentially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F660E8" w:rsidRPr="00BF6D43" w:rsidP="00F660E8" w14:paraId="28A0BBB5" w14:textId="77777777">
      <w:pPr>
        <w:pStyle w:val="Level1"/>
        <w:widowControl/>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F6D43">
        <w:rPr>
          <w:b/>
          <w:bCs/>
        </w:rPr>
        <w:t>requiring respondents to submit proprietary trade secret, or other confidential information unless the agency can demonstrate that it has instituted procedures to protect the information's confidentially to the extent permitted by law.</w:t>
      </w:r>
    </w:p>
    <w:p w:rsidR="005F1FFC" w:rsidRPr="00BF6D43" w:rsidP="005F1FFC" w14:paraId="394DE9F1" w14:textId="77777777">
      <w:pPr>
        <w:ind w:left="720"/>
        <w:rPr>
          <w:sz w:val="24"/>
        </w:rPr>
      </w:pPr>
    </w:p>
    <w:p w:rsidR="00E939D3" w:rsidP="00A133F2" w14:paraId="630F2A4B" w14:textId="02A571B4">
      <w:pPr>
        <w:rPr>
          <w:sz w:val="24"/>
          <w:szCs w:val="24"/>
        </w:rPr>
      </w:pPr>
      <w:r w:rsidRPr="00F555C7">
        <w:rPr>
          <w:sz w:val="24"/>
          <w:szCs w:val="24"/>
        </w:rPr>
        <w:t>There are no special circumstances.  The collection of information is conducted in a manner consistent with the guidelines in 5 CFR 1320.5(d)(2).</w:t>
      </w:r>
    </w:p>
    <w:p w:rsidR="00A133F2" w:rsidRPr="00BF6D43" w:rsidP="00A133F2" w14:paraId="2007C329" w14:textId="77777777">
      <w:pPr>
        <w:rPr>
          <w:sz w:val="24"/>
        </w:rPr>
      </w:pPr>
    </w:p>
    <w:p w:rsidR="00F660E8" w:rsidRPr="00BF6D43" w:rsidP="00F660E8" w14:paraId="57D65F4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r w:rsidRPr="00BF6D43">
        <w:rPr>
          <w:b/>
          <w:sz w:val="24"/>
          <w:szCs w:val="24"/>
        </w:rPr>
        <w:t xml:space="preserve">8.  </w:t>
      </w:r>
      <w:r w:rsidRPr="00BF6D43">
        <w:rPr>
          <w:b/>
          <w:bCs/>
          <w:sz w:val="24"/>
          <w:szCs w:val="24"/>
        </w:rPr>
        <w:t xml:space="preserve">If applicable, provide a copy and </w:t>
      </w:r>
      <w:r w:rsidRPr="00BF6D43">
        <w:rPr>
          <w:b/>
          <w:bCs/>
          <w:sz w:val="24"/>
          <w:szCs w:val="24"/>
        </w:rPr>
        <w:t xml:space="preserve">identify the date and page number of </w:t>
      </w:r>
      <w:r w:rsidRPr="00BF6D43">
        <w:rPr>
          <w:b/>
          <w:bCs/>
          <w:sz w:val="24"/>
          <w:szCs w:val="24"/>
        </w:rPr>
        <w:t>publication</w:t>
      </w:r>
      <w:r w:rsidRPr="00BF6D43">
        <w:rPr>
          <w:b/>
          <w:bCs/>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660E8" w:rsidRPr="00BF6D43" w:rsidP="00F660E8" w14:paraId="561307E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p>
    <w:p w:rsidR="00F660E8" w:rsidRPr="00BF6D43" w:rsidP="00F660E8" w14:paraId="33241213"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r w:rsidRPr="00BF6D43">
        <w:rPr>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F660E8" w:rsidRPr="00BF6D43" w:rsidP="00F660E8" w14:paraId="09D629DD"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p>
    <w:p w:rsidR="00F660E8" w:rsidRPr="00BF6D43" w:rsidP="00F660E8" w14:paraId="7810B748"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BF6D43">
        <w:rPr>
          <w:b/>
          <w:bCs/>
          <w:sz w:val="24"/>
          <w:szCs w:val="24"/>
        </w:rPr>
        <w:t>Consultation with representatives of those from whom information is to be obtained or those who must compile records should occur at least once every 3 years -- even if the collection-of-information activity is the same as in prior periods.  There may be circumstances that may preclude consultation in a specific situation.  These circumstances should be explained.</w:t>
      </w:r>
    </w:p>
    <w:p w:rsidR="005F1FFC" w:rsidRPr="00BF6D43" w:rsidP="005F1FFC" w14:paraId="3454479C" w14:textId="77777777">
      <w:pPr>
        <w:rPr>
          <w:sz w:val="24"/>
        </w:rPr>
      </w:pPr>
    </w:p>
    <w:p w:rsidR="00BC56A2" w:rsidRPr="00BF6D43" w:rsidP="00BC56A2" w14:paraId="4EF51BBA" w14:textId="2B28844E">
      <w:pPr>
        <w:rPr>
          <w:bCs/>
          <w:sz w:val="24"/>
        </w:rPr>
      </w:pPr>
      <w:r w:rsidRPr="00BC56A2">
        <w:rPr>
          <w:bCs/>
          <w:sz w:val="24"/>
        </w:rPr>
        <w:t>In accordance with 5 CFR §1320.8(d)(1), the Bureau has published a notice</w:t>
      </w:r>
      <w:r w:rsidRPr="00BF6D43">
        <w:rPr>
          <w:bCs/>
          <w:sz w:val="24"/>
        </w:rPr>
        <w:t xml:space="preserve"> in</w:t>
      </w:r>
      <w:r w:rsidRPr="00BC56A2">
        <w:rPr>
          <w:bCs/>
          <w:sz w:val="24"/>
        </w:rPr>
        <w:t xml:space="preserve"> </w:t>
      </w:r>
      <w:r w:rsidRPr="00BC56A2">
        <w:rPr>
          <w:bCs/>
          <w:iCs/>
          <w:sz w:val="24"/>
        </w:rPr>
        <w:t>Federal Register</w:t>
      </w:r>
      <w:r w:rsidRPr="00BC56A2">
        <w:rPr>
          <w:bCs/>
          <w:sz w:val="24"/>
        </w:rPr>
        <w:t xml:space="preserve"> </w:t>
      </w:r>
      <w:r w:rsidRPr="00BF6D43">
        <w:rPr>
          <w:bCs/>
          <w:sz w:val="24"/>
        </w:rPr>
        <w:t>that provides</w:t>
      </w:r>
      <w:r w:rsidRPr="00BC56A2">
        <w:rPr>
          <w:bCs/>
          <w:sz w:val="24"/>
        </w:rPr>
        <w:t xml:space="preserve"> the public 60 </w:t>
      </w:r>
      <w:r w:rsidRPr="00BF6D43">
        <w:rPr>
          <w:bCs/>
          <w:sz w:val="24"/>
        </w:rPr>
        <w:t xml:space="preserve">calendar </w:t>
      </w:r>
      <w:r w:rsidRPr="00BC56A2">
        <w:rPr>
          <w:bCs/>
          <w:sz w:val="24"/>
        </w:rPr>
        <w:t>days to comment on the extension of</w:t>
      </w:r>
      <w:r w:rsidRPr="00BF6D43">
        <w:rPr>
          <w:bCs/>
          <w:sz w:val="24"/>
        </w:rPr>
        <w:t xml:space="preserve"> reporting requirements contained within OMB Control No. 3170-00</w:t>
      </w:r>
      <w:r w:rsidR="00C3035E">
        <w:rPr>
          <w:bCs/>
          <w:sz w:val="24"/>
        </w:rPr>
        <w:t>62</w:t>
      </w:r>
      <w:r w:rsidRPr="00BF6D43">
        <w:rPr>
          <w:bCs/>
          <w:sz w:val="24"/>
        </w:rPr>
        <w:t>.</w:t>
      </w:r>
      <w:r>
        <w:rPr>
          <w:rStyle w:val="FootnoteReference"/>
          <w:bCs/>
          <w:sz w:val="24"/>
        </w:rPr>
        <w:footnoteReference w:id="4"/>
      </w:r>
      <w:r w:rsidR="002E13E5">
        <w:rPr>
          <w:bCs/>
          <w:sz w:val="24"/>
        </w:rPr>
        <w:t xml:space="preserve">  No comments were received.</w:t>
      </w:r>
    </w:p>
    <w:p w:rsidR="004E1F5B" w:rsidRPr="00BC56A2" w:rsidP="00BC56A2" w14:paraId="13830F01" w14:textId="77777777">
      <w:pPr>
        <w:rPr>
          <w:bCs/>
          <w:sz w:val="24"/>
        </w:rPr>
      </w:pPr>
    </w:p>
    <w:p w:rsidR="00BE61FE" w:rsidRPr="00BF6D43" w:rsidP="00BC56A2" w14:paraId="18A7A451" w14:textId="5B2C1386">
      <w:pPr>
        <w:rPr>
          <w:bCs/>
          <w:sz w:val="24"/>
        </w:rPr>
      </w:pPr>
      <w:r w:rsidRPr="00BF6D43">
        <w:rPr>
          <w:bCs/>
          <w:sz w:val="24"/>
        </w:rPr>
        <w:t xml:space="preserve">Also, </w:t>
      </w:r>
      <w:r w:rsidRPr="00BF6D43" w:rsidR="00BC56A2">
        <w:rPr>
          <w:bCs/>
          <w:sz w:val="24"/>
        </w:rPr>
        <w:t xml:space="preserve">in accordance with 5 CFR §1320.5(a)(1)(iv), the Bureau has also published a notice in the </w:t>
      </w:r>
      <w:r w:rsidRPr="00BF6D43" w:rsidR="00BC56A2">
        <w:rPr>
          <w:bCs/>
          <w:iCs/>
          <w:sz w:val="24"/>
        </w:rPr>
        <w:t>Federal Register</w:t>
      </w:r>
      <w:r w:rsidRPr="00BF6D43" w:rsidR="00BC56A2">
        <w:rPr>
          <w:bCs/>
          <w:sz w:val="24"/>
        </w:rPr>
        <w:t xml:space="preserve"> </w:t>
      </w:r>
      <w:r w:rsidRPr="00BF6D43">
        <w:rPr>
          <w:bCs/>
          <w:sz w:val="24"/>
        </w:rPr>
        <w:t>providing</w:t>
      </w:r>
      <w:r w:rsidRPr="00BF6D43" w:rsidR="00BC56A2">
        <w:rPr>
          <w:bCs/>
          <w:sz w:val="24"/>
        </w:rPr>
        <w:t xml:space="preserve"> the public 30 days to comment </w:t>
      </w:r>
      <w:r w:rsidRPr="00BF6D43">
        <w:rPr>
          <w:bCs/>
          <w:sz w:val="24"/>
        </w:rPr>
        <w:t xml:space="preserve">on reporting </w:t>
      </w:r>
      <w:r w:rsidRPr="00BF6D43">
        <w:rPr>
          <w:bCs/>
          <w:sz w:val="24"/>
        </w:rPr>
        <w:t>requirements contained within th</w:t>
      </w:r>
      <w:r w:rsidRPr="00BF6D43" w:rsidR="009D7886">
        <w:rPr>
          <w:bCs/>
          <w:sz w:val="24"/>
        </w:rPr>
        <w:t>is</w:t>
      </w:r>
      <w:r w:rsidRPr="00BF6D43">
        <w:rPr>
          <w:bCs/>
          <w:sz w:val="24"/>
        </w:rPr>
        <w:t xml:space="preserve"> information collection request.</w:t>
      </w:r>
      <w:r>
        <w:rPr>
          <w:rStyle w:val="FootnoteReference"/>
          <w:bCs/>
          <w:sz w:val="24"/>
        </w:rPr>
        <w:footnoteReference w:id="5"/>
      </w:r>
      <w:r w:rsidR="002C689E">
        <w:rPr>
          <w:bCs/>
          <w:sz w:val="24"/>
        </w:rPr>
        <w:t xml:space="preserve">  The Bureau received no comments.</w:t>
      </w:r>
    </w:p>
    <w:p w:rsidR="00E939D3" w:rsidRPr="00BF6D43" w:rsidP="005F1FFC" w14:paraId="6891C959" w14:textId="77777777">
      <w:pPr>
        <w:rPr>
          <w:sz w:val="24"/>
        </w:rPr>
      </w:pPr>
    </w:p>
    <w:p w:rsidR="00F660E8" w:rsidRPr="00BF6D43" w:rsidP="00F660E8" w14:paraId="3BE65949" w14:textId="77777777">
      <w:pPr>
        <w:autoSpaceDE w:val="0"/>
        <w:autoSpaceDN w:val="0"/>
        <w:adjustRightInd w:val="0"/>
        <w:rPr>
          <w:b/>
          <w:sz w:val="24"/>
          <w:szCs w:val="24"/>
        </w:rPr>
      </w:pPr>
      <w:r w:rsidRPr="00BF6D43">
        <w:rPr>
          <w:b/>
          <w:sz w:val="24"/>
          <w:szCs w:val="24"/>
        </w:rPr>
        <w:t xml:space="preserve">9.  </w:t>
      </w:r>
      <w:r w:rsidRPr="00BF6D43">
        <w:rPr>
          <w:b/>
          <w:bCs/>
          <w:sz w:val="24"/>
          <w:szCs w:val="24"/>
        </w:rPr>
        <w:t>Explain any decision to provide any payments or gifts to respondents, other than remuneration of contractors or grantees.</w:t>
      </w:r>
    </w:p>
    <w:p w:rsidR="00271151" w:rsidP="005F1FFC" w14:paraId="2A8F9593" w14:textId="77777777">
      <w:pPr>
        <w:rPr>
          <w:sz w:val="24"/>
        </w:rPr>
      </w:pPr>
    </w:p>
    <w:p w:rsidR="00A133F2" w:rsidRPr="00BF6D43" w:rsidP="005F1FFC" w14:paraId="5184AD21" w14:textId="63CF80DD">
      <w:pPr>
        <w:rPr>
          <w:sz w:val="24"/>
        </w:rPr>
      </w:pPr>
      <w:r w:rsidRPr="00173CBC">
        <w:rPr>
          <w:sz w:val="24"/>
          <w:szCs w:val="24"/>
        </w:rPr>
        <w:t>The information collection does not provide for making payments or gifts to respondents.</w:t>
      </w:r>
    </w:p>
    <w:p w:rsidR="00A93967" w:rsidRPr="00BF6D43" w:rsidP="009E1042" w14:paraId="7CFFEB9F" w14:textId="77777777">
      <w:pPr>
        <w:rPr>
          <w:sz w:val="24"/>
          <w:szCs w:val="24"/>
        </w:rPr>
      </w:pPr>
    </w:p>
    <w:p w:rsidR="00F660E8" w:rsidRPr="00BF6D43" w:rsidP="00F660E8" w14:paraId="00FF3777" w14:textId="77777777">
      <w:pPr>
        <w:rPr>
          <w:b/>
          <w:sz w:val="24"/>
          <w:szCs w:val="24"/>
        </w:rPr>
      </w:pPr>
      <w:r w:rsidRPr="00BF6D43">
        <w:rPr>
          <w:b/>
          <w:sz w:val="24"/>
          <w:szCs w:val="24"/>
        </w:rPr>
        <w:t xml:space="preserve">10.  </w:t>
      </w:r>
      <w:r w:rsidRPr="00BF6D43">
        <w:rPr>
          <w:b/>
          <w:bCs/>
          <w:sz w:val="24"/>
          <w:szCs w:val="24"/>
        </w:rPr>
        <w:t>Describe any assurance of confidentiality provided to respondents and the basis for the assurance in statute, regulation, or agency policy.</w:t>
      </w:r>
    </w:p>
    <w:p w:rsidR="005F1FFC" w:rsidP="00A133F2" w14:paraId="59FF77B7" w14:textId="7EC9B763">
      <w:pPr>
        <w:rPr>
          <w:sz w:val="24"/>
        </w:rPr>
      </w:pPr>
    </w:p>
    <w:p w:rsidR="00A133F2" w:rsidP="00A133F2" w14:paraId="7F15B14D" w14:textId="4CBFA6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Because this collection of information does not involve the collection of information from or about individuals, the Privacy Act of 1974, as amended, </w:t>
      </w:r>
      <w:r w:rsidRPr="00173CBC">
        <w:rPr>
          <w:sz w:val="24"/>
          <w:szCs w:val="24"/>
        </w:rPr>
        <w:t xml:space="preserve">5 U.S.C. </w:t>
      </w:r>
      <w:r>
        <w:rPr>
          <w:sz w:val="24"/>
          <w:szCs w:val="24"/>
        </w:rPr>
        <w:t>section</w:t>
      </w:r>
      <w:r w:rsidRPr="00173CBC">
        <w:rPr>
          <w:sz w:val="24"/>
          <w:szCs w:val="24"/>
        </w:rPr>
        <w:t xml:space="preserve"> 552a</w:t>
      </w:r>
      <w:r>
        <w:rPr>
          <w:sz w:val="24"/>
          <w:szCs w:val="24"/>
        </w:rPr>
        <w:t xml:space="preserve">, is not implicated. </w:t>
      </w:r>
      <w:r w:rsidR="002F60BF">
        <w:rPr>
          <w:sz w:val="24"/>
          <w:szCs w:val="24"/>
        </w:rPr>
        <w:t xml:space="preserve"> </w:t>
      </w:r>
      <w:r>
        <w:rPr>
          <w:sz w:val="24"/>
          <w:szCs w:val="24"/>
        </w:rPr>
        <w:t>Therefore, no privacy impact assessment has been conducted nor has the Bureau published a Systems of Records Notice relative to this collection of information.</w:t>
      </w:r>
    </w:p>
    <w:p w:rsidR="00A93967" w:rsidRPr="00BF6D43" w:rsidP="002B6525" w14:paraId="2A4F7C4C" w14:textId="77777777">
      <w:pPr>
        <w:rPr>
          <w:sz w:val="24"/>
        </w:rPr>
      </w:pPr>
    </w:p>
    <w:p w:rsidR="00F660E8" w:rsidRPr="00BF6D43" w:rsidP="00F660E8" w14:paraId="466038D0" w14:textId="77777777">
      <w:pPr>
        <w:rPr>
          <w:sz w:val="24"/>
        </w:rPr>
      </w:pPr>
      <w:r w:rsidRPr="00BF6D43">
        <w:rPr>
          <w:b/>
          <w:sz w:val="24"/>
          <w:szCs w:val="24"/>
        </w:rPr>
        <w:t xml:space="preserve">11.  </w:t>
      </w:r>
      <w:r w:rsidRPr="00BF6D43">
        <w:rPr>
          <w:b/>
          <w:bCs/>
          <w:sz w:val="24"/>
          <w:szCs w:val="24"/>
        </w:rPr>
        <w:t xml:space="preserve">Provide additional justification for any questions of a sensitive nature, such as sexual behavior and attitudes, religious beliefs, and other </w:t>
      </w:r>
      <w:r w:rsidRPr="00BF6D43">
        <w:rPr>
          <w:b/>
          <w:bCs/>
          <w:sz w:val="24"/>
          <w:szCs w:val="24"/>
        </w:rPr>
        <w:t>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F1FFC" w:rsidP="00A133F2" w14:paraId="74706F28" w14:textId="178666A0">
      <w:pPr>
        <w:rPr>
          <w:sz w:val="24"/>
        </w:rPr>
      </w:pPr>
    </w:p>
    <w:p w:rsidR="00A133F2" w:rsidRPr="00BF6D43" w:rsidP="00D273A5" w14:paraId="1A1BCD96" w14:textId="3A64DD6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r>
        <w:rPr>
          <w:sz w:val="24"/>
          <w:szCs w:val="24"/>
        </w:rPr>
        <w:t>The collection of information does not impact individuals and does not</w:t>
      </w:r>
      <w:r w:rsidR="00D273A5">
        <w:rPr>
          <w:sz w:val="24"/>
          <w:szCs w:val="24"/>
        </w:rPr>
        <w:t xml:space="preserve"> </w:t>
      </w:r>
      <w:r>
        <w:rPr>
          <w:sz w:val="24"/>
          <w:szCs w:val="24"/>
        </w:rPr>
        <w:t xml:space="preserve">collect information that would be considered private.  </w:t>
      </w:r>
    </w:p>
    <w:p w:rsidR="00A93967" w:rsidRPr="00BF6D43" w:rsidP="005F1FFC" w14:paraId="42E5A68A" w14:textId="77777777">
      <w:pPr>
        <w:pStyle w:val="BodyText"/>
      </w:pPr>
    </w:p>
    <w:p w:rsidR="00F660E8" w:rsidRPr="00BF6D43" w:rsidP="00F660E8" w14:paraId="7F32CD21" w14:textId="77777777">
      <w:pPr>
        <w:contextualSpacing/>
        <w:rPr>
          <w:b/>
          <w:sz w:val="24"/>
          <w:szCs w:val="24"/>
        </w:rPr>
      </w:pPr>
      <w:r w:rsidRPr="00BF6D43">
        <w:rPr>
          <w:b/>
          <w:sz w:val="24"/>
          <w:szCs w:val="24"/>
        </w:rPr>
        <w:t>12.  Provide estimates of the hour burden of the collection of information.  The statement should:</w:t>
      </w:r>
    </w:p>
    <w:p w:rsidR="00F660E8" w:rsidRPr="00BF6D43" w:rsidP="00F660E8" w14:paraId="5AF45DDA"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w:t>
      </w:r>
      <w:r w:rsidRPr="00BF6D43">
        <w:rPr>
          <w:b/>
          <w:bCs/>
          <w:sz w:val="24"/>
          <w:szCs w:val="24"/>
        </w:rPr>
        <w:t>xplain the reasons for the variance.  General, estimates should not include burden hours for customary and usual business practices.</w:t>
      </w:r>
    </w:p>
    <w:p w:rsidR="00F660E8" w:rsidRPr="00BF6D43" w:rsidP="00F660E8" w14:paraId="6BC15F91"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If this request for approval covers more than one form, provide separate hour burden estimates for each form.</w:t>
      </w:r>
    </w:p>
    <w:p w:rsidR="00F660E8" w:rsidRPr="00BF6D43" w:rsidP="00F660E8" w14:paraId="747C22AD"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 xml:space="preserve">Provide estimates of annualized cost to respondents for the hour burdens for collections of information, identifying and using appropriate wage rate categories.  The cost of contracting out or paying outside parties for </w:t>
      </w:r>
      <w:r w:rsidRPr="00BF6D43">
        <w:rPr>
          <w:b/>
          <w:bCs/>
          <w:sz w:val="24"/>
          <w:szCs w:val="24"/>
        </w:rPr>
        <w:t>information collection activities should not be included here.  Instead, this cost should be included in Item 14.</w:t>
      </w:r>
    </w:p>
    <w:p w:rsidR="00BC16BB" w:rsidP="005F1FFC" w14:paraId="18388E76" w14:textId="4361A40E">
      <w:pPr>
        <w:rPr>
          <w:bCs/>
          <w:sz w:val="24"/>
        </w:rPr>
      </w:pPr>
    </w:p>
    <w:p w:rsidR="00A133F2" w:rsidP="00A133F2" w14:paraId="7F84B812" w14:textId="43117B7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vast majority of depository institutions are insured by the Federal Deposit Insurance Corporation (FDIC</w:t>
      </w:r>
      <w:r>
        <w:rPr>
          <w:sz w:val="24"/>
          <w:szCs w:val="24"/>
        </w:rPr>
        <w:t>)</w:t>
      </w:r>
      <w:r>
        <w:rPr>
          <w:sz w:val="24"/>
          <w:szCs w:val="24"/>
        </w:rPr>
        <w:t xml:space="preserve"> or the National Credit Union Share Insurance Fund (NCUSIF).  We estimate that there are 167 depository institutions potentially subject to Regulation </w:t>
      </w:r>
      <w:r>
        <w:rPr>
          <w:sz w:val="24"/>
          <w:szCs w:val="24"/>
        </w:rPr>
        <w:t>I, and</w:t>
      </w:r>
      <w:r>
        <w:rPr>
          <w:sz w:val="24"/>
          <w:szCs w:val="24"/>
        </w:rPr>
        <w:t xml:space="preserve"> thus required to provide the above noted disclosures in their advertising and obtain written acknowledgement of the institution’s lack of federal insurance for their accounts.  The Bureau also estimates that approximately one depository institution will convert from federal insurance to non-federal insurance per year and will incur one-time costs to p</w:t>
      </w:r>
      <w:r>
        <w:rPr>
          <w:sz w:val="24"/>
          <w:szCs w:val="24"/>
        </w:rPr>
        <w:t xml:space="preserve">rovide disclosures on their premises, account statements, and other documents specified above.  This depository institution will also incur a one-time cost to attempt to receive written acknowledgement from its current accountholders.  </w:t>
      </w:r>
    </w:p>
    <w:p w:rsidR="00A133F2" w:rsidP="00A133F2" w14:paraId="2196852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A133F2" w:rsidP="00A133F2" w14:paraId="267DD66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Bureau generally shares burden with other federal regulators who have enforcement authority over the same entities.  Very few entities are required to comply with the disclosure requirements of Regulation I.  Thus, f</w:t>
      </w:r>
      <w:r w:rsidRPr="00FC21D2">
        <w:rPr>
          <w:sz w:val="24"/>
          <w:szCs w:val="24"/>
        </w:rPr>
        <w:t>or convenience, the Bureau allocates to itself all burden associated with Regulation I</w:t>
      </w:r>
      <w:r>
        <w:rPr>
          <w:sz w:val="24"/>
          <w:szCs w:val="24"/>
        </w:rPr>
        <w:t>.</w:t>
      </w:r>
      <w:r>
        <w:rPr>
          <w:rStyle w:val="FootnoteReference"/>
          <w:sz w:val="24"/>
          <w:szCs w:val="24"/>
        </w:rPr>
        <w:footnoteReference w:id="6"/>
      </w:r>
      <w:r>
        <w:rPr>
          <w:sz w:val="24"/>
          <w:szCs w:val="24"/>
        </w:rPr>
        <w:t xml:space="preserve">  This burden is as follows:</w:t>
      </w:r>
    </w:p>
    <w:p w:rsidR="00A133F2" w:rsidP="001D69A6" w14:paraId="65C0E21A" w14:textId="3DB3433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BD5E5B" w:rsidP="001D69A6" w14:paraId="21268719" w14:textId="5E19960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tbl>
      <w:tblPr>
        <w:tblW w:w="89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07"/>
        <w:gridCol w:w="1350"/>
        <w:gridCol w:w="1170"/>
        <w:gridCol w:w="1170"/>
        <w:gridCol w:w="1080"/>
        <w:gridCol w:w="900"/>
        <w:gridCol w:w="900"/>
        <w:gridCol w:w="900"/>
      </w:tblGrid>
      <w:tr w14:paraId="01A7A121" w14:textId="77777777" w:rsidTr="00BD5E5B">
        <w:tblPrEx>
          <w:tblW w:w="89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507" w:type="dxa"/>
            <w:tcBorders>
              <w:bottom w:val="single" w:sz="4" w:space="0" w:color="auto"/>
            </w:tcBorders>
            <w:shd w:val="clear" w:color="auto" w:fill="D9D9D9" w:themeFill="background1" w:themeFillShade="D9"/>
          </w:tcPr>
          <w:p w:rsidR="00BD5E5B" w:rsidRPr="001761B2" w:rsidP="009857A9" w14:paraId="7ED82832" w14:textId="559BCAB3">
            <w:pPr>
              <w:rPr>
                <w:b/>
                <w:bCs/>
              </w:rPr>
            </w:pPr>
            <w:r>
              <w:rPr>
                <w:b/>
                <w:bCs/>
              </w:rPr>
              <w:t>Collection of Information</w:t>
            </w:r>
          </w:p>
        </w:tc>
        <w:tc>
          <w:tcPr>
            <w:tcW w:w="1350" w:type="dxa"/>
            <w:tcBorders>
              <w:bottom w:val="single" w:sz="4" w:space="0" w:color="auto"/>
            </w:tcBorders>
            <w:shd w:val="clear" w:color="auto" w:fill="D9D9D9" w:themeFill="background1" w:themeFillShade="D9"/>
          </w:tcPr>
          <w:p w:rsidR="00BD5E5B" w:rsidRPr="001761B2" w:rsidP="009857A9" w14:paraId="458B1547" w14:textId="77777777">
            <w:pPr>
              <w:rPr>
                <w:b/>
                <w:bCs/>
              </w:rPr>
            </w:pPr>
            <w:r w:rsidRPr="001761B2">
              <w:rPr>
                <w:b/>
                <w:bCs/>
              </w:rPr>
              <w:t>Number of Respon</w:t>
            </w:r>
            <w:r>
              <w:rPr>
                <w:b/>
                <w:bCs/>
              </w:rPr>
              <w:t>dents</w:t>
            </w:r>
          </w:p>
        </w:tc>
        <w:tc>
          <w:tcPr>
            <w:tcW w:w="1170" w:type="dxa"/>
            <w:tcBorders>
              <w:bottom w:val="single" w:sz="4" w:space="0" w:color="auto"/>
            </w:tcBorders>
            <w:shd w:val="clear" w:color="auto" w:fill="D9D9D9" w:themeFill="background1" w:themeFillShade="D9"/>
          </w:tcPr>
          <w:p w:rsidR="00BD5E5B" w:rsidRPr="001761B2" w:rsidP="009857A9" w14:paraId="03BC1C3D" w14:textId="77777777">
            <w:pPr>
              <w:rPr>
                <w:b/>
                <w:bCs/>
              </w:rPr>
            </w:pPr>
            <w:r w:rsidRPr="001761B2">
              <w:rPr>
                <w:b/>
                <w:bCs/>
              </w:rPr>
              <w:t>Frequency</w:t>
            </w:r>
          </w:p>
        </w:tc>
        <w:tc>
          <w:tcPr>
            <w:tcW w:w="1170" w:type="dxa"/>
            <w:tcBorders>
              <w:bottom w:val="single" w:sz="4" w:space="0" w:color="auto"/>
            </w:tcBorders>
            <w:shd w:val="clear" w:color="auto" w:fill="D9D9D9" w:themeFill="background1" w:themeFillShade="D9"/>
          </w:tcPr>
          <w:p w:rsidR="00BD5E5B" w:rsidRPr="001761B2" w:rsidP="009857A9" w14:paraId="629402A9" w14:textId="77777777">
            <w:pPr>
              <w:rPr>
                <w:b/>
                <w:bCs/>
              </w:rPr>
            </w:pPr>
            <w:r w:rsidRPr="001761B2">
              <w:rPr>
                <w:b/>
                <w:bCs/>
                <w:lang w:val="x-none"/>
              </w:rPr>
              <w:t>Number of Respon</w:t>
            </w:r>
            <w:r w:rsidRPr="001761B2">
              <w:rPr>
                <w:b/>
                <w:bCs/>
              </w:rPr>
              <w:t>ses</w:t>
            </w:r>
          </w:p>
        </w:tc>
        <w:tc>
          <w:tcPr>
            <w:tcW w:w="1080" w:type="dxa"/>
            <w:tcBorders>
              <w:bottom w:val="single" w:sz="4" w:space="0" w:color="auto"/>
            </w:tcBorders>
            <w:shd w:val="clear" w:color="auto" w:fill="D9D9D9" w:themeFill="background1" w:themeFillShade="D9"/>
          </w:tcPr>
          <w:p w:rsidR="00BD5E5B" w:rsidRPr="001761B2" w:rsidP="009857A9" w14:paraId="6336F791" w14:textId="77777777">
            <w:pPr>
              <w:rPr>
                <w:b/>
                <w:bCs/>
              </w:rPr>
            </w:pPr>
            <w:r w:rsidRPr="001761B2">
              <w:rPr>
                <w:b/>
                <w:bCs/>
              </w:rPr>
              <w:t>Response Time (Hours)</w:t>
            </w:r>
          </w:p>
        </w:tc>
        <w:tc>
          <w:tcPr>
            <w:tcW w:w="900" w:type="dxa"/>
            <w:tcBorders>
              <w:bottom w:val="single" w:sz="4" w:space="0" w:color="auto"/>
            </w:tcBorders>
            <w:shd w:val="clear" w:color="auto" w:fill="D9D9D9" w:themeFill="background1" w:themeFillShade="D9"/>
          </w:tcPr>
          <w:p w:rsidR="00BD5E5B" w:rsidRPr="001761B2" w:rsidP="009857A9" w14:paraId="4EC45E46" w14:textId="77777777">
            <w:pPr>
              <w:rPr>
                <w:b/>
                <w:bCs/>
              </w:rPr>
            </w:pPr>
            <w:r>
              <w:rPr>
                <w:b/>
                <w:bCs/>
              </w:rPr>
              <w:t xml:space="preserve">Annual </w:t>
            </w:r>
            <w:r w:rsidRPr="001761B2">
              <w:rPr>
                <w:b/>
                <w:bCs/>
              </w:rPr>
              <w:t xml:space="preserve">Burden (Hours) </w:t>
            </w:r>
          </w:p>
        </w:tc>
        <w:tc>
          <w:tcPr>
            <w:tcW w:w="900" w:type="dxa"/>
            <w:tcBorders>
              <w:bottom w:val="single" w:sz="4" w:space="0" w:color="auto"/>
            </w:tcBorders>
            <w:shd w:val="clear" w:color="auto" w:fill="D9D9D9" w:themeFill="background1" w:themeFillShade="D9"/>
          </w:tcPr>
          <w:p w:rsidR="00BD5E5B" w:rsidP="009857A9" w14:paraId="4A381413" w14:textId="54566E28">
            <w:pPr>
              <w:rPr>
                <w:b/>
                <w:bCs/>
              </w:rPr>
            </w:pPr>
            <w:r>
              <w:rPr>
                <w:b/>
                <w:bCs/>
              </w:rPr>
              <w:t>Hourly Rate</w:t>
            </w:r>
            <w:r>
              <w:rPr>
                <w:rStyle w:val="FootnoteReference"/>
                <w:b/>
                <w:bCs/>
              </w:rPr>
              <w:footnoteReference w:id="7"/>
            </w:r>
          </w:p>
          <w:p w:rsidR="00BD5E5B" w:rsidRPr="001761B2" w:rsidP="009857A9" w14:paraId="5E619325" w14:textId="0BCFAE91">
            <w:pPr>
              <w:rPr>
                <w:b/>
                <w:bCs/>
              </w:rPr>
            </w:pPr>
            <w:r>
              <w:rPr>
                <w:b/>
                <w:bCs/>
              </w:rPr>
              <w:t>($)</w:t>
            </w:r>
          </w:p>
        </w:tc>
        <w:tc>
          <w:tcPr>
            <w:tcW w:w="900" w:type="dxa"/>
            <w:tcBorders>
              <w:bottom w:val="single" w:sz="4" w:space="0" w:color="auto"/>
            </w:tcBorders>
            <w:shd w:val="clear" w:color="auto" w:fill="D9D9D9" w:themeFill="background1" w:themeFillShade="D9"/>
          </w:tcPr>
          <w:p w:rsidR="00BD5E5B" w:rsidRPr="001761B2" w:rsidP="009857A9" w14:paraId="6056EBF9" w14:textId="4B84B933">
            <w:pPr>
              <w:rPr>
                <w:b/>
                <w:bCs/>
              </w:rPr>
            </w:pPr>
            <w:r>
              <w:rPr>
                <w:b/>
                <w:bCs/>
              </w:rPr>
              <w:t>Annual Labor Costs</w:t>
            </w:r>
            <w:r>
              <w:rPr>
                <w:rStyle w:val="FootnoteReference"/>
                <w:b/>
                <w:bCs/>
              </w:rPr>
              <w:footnoteReference w:id="8"/>
            </w:r>
            <w:r>
              <w:rPr>
                <w:b/>
                <w:bCs/>
              </w:rPr>
              <w:t xml:space="preserve"> ($)</w:t>
            </w:r>
          </w:p>
        </w:tc>
      </w:tr>
      <w:tr w14:paraId="3B8B922C" w14:textId="77777777" w:rsidTr="000F3905">
        <w:tblPrEx>
          <w:tblW w:w="8977" w:type="dxa"/>
          <w:tblInd w:w="108" w:type="dxa"/>
          <w:tblLayout w:type="fixed"/>
          <w:tblLook w:val="04A0"/>
        </w:tblPrEx>
        <w:tc>
          <w:tcPr>
            <w:tcW w:w="8977" w:type="dxa"/>
            <w:gridSpan w:val="8"/>
            <w:tcBorders>
              <w:bottom w:val="single" w:sz="4" w:space="0" w:color="auto"/>
            </w:tcBorders>
            <w:shd w:val="clear" w:color="auto" w:fill="auto"/>
            <w:vAlign w:val="center"/>
          </w:tcPr>
          <w:p w:rsidR="00BD5E5B" w:rsidP="00BD5E5B" w14:paraId="6A257F25" w14:textId="757E48FC">
            <w:pPr>
              <w:jc w:val="center"/>
            </w:pPr>
            <w:r>
              <w:t>Cost of Operating</w:t>
            </w:r>
          </w:p>
        </w:tc>
      </w:tr>
      <w:tr w14:paraId="20F21EA8" w14:textId="77777777" w:rsidTr="00BD5E5B">
        <w:tblPrEx>
          <w:tblW w:w="8977" w:type="dxa"/>
          <w:tblInd w:w="108" w:type="dxa"/>
          <w:tblLayout w:type="fixed"/>
          <w:tblLook w:val="04A0"/>
        </w:tblPrEx>
        <w:tc>
          <w:tcPr>
            <w:tcW w:w="1507" w:type="dxa"/>
            <w:tcBorders>
              <w:bottom w:val="single" w:sz="4" w:space="0" w:color="auto"/>
            </w:tcBorders>
            <w:shd w:val="clear" w:color="auto" w:fill="auto"/>
            <w:vAlign w:val="center"/>
          </w:tcPr>
          <w:p w:rsidR="00BD5E5B" w:rsidRPr="001761B2" w:rsidP="009857A9" w14:paraId="39E7FEC7" w14:textId="53853C51">
            <w:r>
              <w:t>Advertising Disclosures</w:t>
            </w:r>
          </w:p>
        </w:tc>
        <w:tc>
          <w:tcPr>
            <w:tcW w:w="1350" w:type="dxa"/>
            <w:tcBorders>
              <w:bottom w:val="single" w:sz="4" w:space="0" w:color="auto"/>
            </w:tcBorders>
            <w:shd w:val="clear" w:color="auto" w:fill="auto"/>
            <w:vAlign w:val="bottom"/>
          </w:tcPr>
          <w:p w:rsidR="00BD5E5B" w:rsidRPr="001761B2" w:rsidP="009857A9" w14:paraId="1425F612" w14:textId="2874D4C6">
            <w:pPr>
              <w:jc w:val="right"/>
            </w:pPr>
            <w:r>
              <w:t>167</w:t>
            </w:r>
            <w:r>
              <w:rPr>
                <w:rStyle w:val="FootnoteReference"/>
              </w:rPr>
              <w:footnoteReference w:id="9"/>
            </w:r>
          </w:p>
        </w:tc>
        <w:tc>
          <w:tcPr>
            <w:tcW w:w="1170" w:type="dxa"/>
            <w:tcBorders>
              <w:bottom w:val="single" w:sz="4" w:space="0" w:color="auto"/>
            </w:tcBorders>
            <w:shd w:val="clear" w:color="auto" w:fill="auto"/>
            <w:vAlign w:val="bottom"/>
          </w:tcPr>
          <w:p w:rsidR="00BD5E5B" w:rsidRPr="001761B2" w:rsidP="009857A9" w14:paraId="0F5DBD33" w14:textId="5D88258B">
            <w:pPr>
              <w:jc w:val="right"/>
            </w:pPr>
            <w:r>
              <w:t>0.3</w:t>
            </w:r>
            <w:r>
              <w:rPr>
                <w:rStyle w:val="FootnoteReference"/>
              </w:rPr>
              <w:footnoteReference w:id="10"/>
            </w:r>
          </w:p>
        </w:tc>
        <w:tc>
          <w:tcPr>
            <w:tcW w:w="1170" w:type="dxa"/>
            <w:tcBorders>
              <w:bottom w:val="single" w:sz="4" w:space="0" w:color="auto"/>
            </w:tcBorders>
            <w:shd w:val="clear" w:color="auto" w:fill="auto"/>
            <w:vAlign w:val="bottom"/>
          </w:tcPr>
          <w:p w:rsidR="00BD5E5B" w:rsidRPr="00E27966" w:rsidP="009857A9" w14:paraId="1A300AE5" w14:textId="79CB5DF3">
            <w:pPr>
              <w:jc w:val="right"/>
            </w:pPr>
            <w:r>
              <w:t>50</w:t>
            </w:r>
          </w:p>
        </w:tc>
        <w:tc>
          <w:tcPr>
            <w:tcW w:w="1080" w:type="dxa"/>
            <w:tcBorders>
              <w:bottom w:val="single" w:sz="4" w:space="0" w:color="auto"/>
            </w:tcBorders>
            <w:shd w:val="clear" w:color="auto" w:fill="auto"/>
            <w:vAlign w:val="bottom"/>
          </w:tcPr>
          <w:p w:rsidR="00BD5E5B" w:rsidRPr="001761B2" w:rsidP="009857A9" w14:paraId="401EC3F7" w14:textId="75863112">
            <w:pPr>
              <w:jc w:val="right"/>
            </w:pPr>
            <w:r>
              <w:t>1</w:t>
            </w:r>
          </w:p>
        </w:tc>
        <w:tc>
          <w:tcPr>
            <w:tcW w:w="900" w:type="dxa"/>
            <w:tcBorders>
              <w:bottom w:val="single" w:sz="4" w:space="0" w:color="auto"/>
            </w:tcBorders>
            <w:shd w:val="clear" w:color="auto" w:fill="auto"/>
            <w:vAlign w:val="bottom"/>
          </w:tcPr>
          <w:p w:rsidR="00BD5E5B" w:rsidRPr="001761B2" w:rsidP="009857A9" w14:paraId="7750AD39" w14:textId="46F23E80">
            <w:pPr>
              <w:jc w:val="right"/>
            </w:pPr>
            <w:r>
              <w:t>50</w:t>
            </w:r>
          </w:p>
        </w:tc>
        <w:tc>
          <w:tcPr>
            <w:tcW w:w="900" w:type="dxa"/>
            <w:tcBorders>
              <w:bottom w:val="single" w:sz="4" w:space="0" w:color="auto"/>
            </w:tcBorders>
            <w:vAlign w:val="bottom"/>
          </w:tcPr>
          <w:p w:rsidR="00BD5E5B" w:rsidP="009857A9" w14:paraId="6D126362" w14:textId="4442B92A">
            <w:pPr>
              <w:jc w:val="right"/>
            </w:pPr>
            <w:r>
              <w:t>38.55</w:t>
            </w:r>
          </w:p>
        </w:tc>
        <w:tc>
          <w:tcPr>
            <w:tcW w:w="900" w:type="dxa"/>
            <w:tcBorders>
              <w:bottom w:val="single" w:sz="4" w:space="0" w:color="auto"/>
            </w:tcBorders>
            <w:vAlign w:val="bottom"/>
          </w:tcPr>
          <w:p w:rsidR="00BD5E5B" w:rsidP="009857A9" w14:paraId="757B9438" w14:textId="109FD26D">
            <w:pPr>
              <w:jc w:val="right"/>
            </w:pPr>
            <w:r>
              <w:t>1,928</w:t>
            </w:r>
          </w:p>
        </w:tc>
      </w:tr>
      <w:tr w14:paraId="6A33406C" w14:textId="77777777" w:rsidTr="00BD5E5B">
        <w:tblPrEx>
          <w:tblW w:w="8977" w:type="dxa"/>
          <w:tblInd w:w="108" w:type="dxa"/>
          <w:tblLayout w:type="fixed"/>
          <w:tblLook w:val="04A0"/>
        </w:tblPrEx>
        <w:tc>
          <w:tcPr>
            <w:tcW w:w="1507" w:type="dxa"/>
            <w:vAlign w:val="center"/>
          </w:tcPr>
          <w:p w:rsidR="00BD5E5B" w:rsidRPr="001761B2" w:rsidP="009857A9" w14:paraId="1C0E051A" w14:textId="2AFF18A1">
            <w:pPr>
              <w:rPr>
                <w:bCs/>
              </w:rPr>
            </w:pPr>
            <w:r>
              <w:rPr>
                <w:bCs/>
              </w:rPr>
              <w:t>Obtaining and Maintaining a Signed Acknowledgement</w:t>
            </w:r>
          </w:p>
        </w:tc>
        <w:tc>
          <w:tcPr>
            <w:tcW w:w="1350" w:type="dxa"/>
            <w:vAlign w:val="bottom"/>
          </w:tcPr>
          <w:p w:rsidR="00BD5E5B" w:rsidRPr="001761B2" w:rsidP="009857A9" w14:paraId="60E67575" w14:textId="27670E5C">
            <w:pPr>
              <w:jc w:val="right"/>
              <w:rPr>
                <w:bCs/>
              </w:rPr>
            </w:pPr>
            <w:r>
              <w:rPr>
                <w:bCs/>
              </w:rPr>
              <w:t>167</w:t>
            </w:r>
          </w:p>
        </w:tc>
        <w:tc>
          <w:tcPr>
            <w:tcW w:w="1170" w:type="dxa"/>
            <w:vAlign w:val="bottom"/>
          </w:tcPr>
          <w:p w:rsidR="00BD5E5B" w:rsidRPr="001761B2" w:rsidP="009857A9" w14:paraId="0435007E" w14:textId="44E3F5C9">
            <w:pPr>
              <w:jc w:val="right"/>
              <w:rPr>
                <w:bCs/>
              </w:rPr>
            </w:pPr>
            <w:r>
              <w:rPr>
                <w:bCs/>
              </w:rPr>
              <w:t>300</w:t>
            </w:r>
            <w:r>
              <w:rPr>
                <w:rStyle w:val="FootnoteReference"/>
                <w:bCs/>
              </w:rPr>
              <w:footnoteReference w:id="11"/>
            </w:r>
          </w:p>
        </w:tc>
        <w:tc>
          <w:tcPr>
            <w:tcW w:w="1170" w:type="dxa"/>
            <w:vAlign w:val="bottom"/>
          </w:tcPr>
          <w:p w:rsidR="00BD5E5B" w:rsidRPr="001761B2" w:rsidP="00BD5E5B" w14:paraId="0060A656" w14:textId="6A6B7A76">
            <w:pPr>
              <w:jc w:val="center"/>
              <w:rPr>
                <w:bCs/>
              </w:rPr>
            </w:pPr>
            <w:r>
              <w:rPr>
                <w:bCs/>
              </w:rPr>
              <w:t>50,100</w:t>
            </w:r>
          </w:p>
        </w:tc>
        <w:tc>
          <w:tcPr>
            <w:tcW w:w="1080" w:type="dxa"/>
            <w:vAlign w:val="bottom"/>
          </w:tcPr>
          <w:p w:rsidR="00BD5E5B" w:rsidRPr="001761B2" w:rsidP="009857A9" w14:paraId="16D9EC70" w14:textId="74B89515">
            <w:pPr>
              <w:jc w:val="right"/>
              <w:rPr>
                <w:bCs/>
              </w:rPr>
            </w:pPr>
            <w:r>
              <w:rPr>
                <w:bCs/>
              </w:rPr>
              <w:t>0.04</w:t>
            </w:r>
          </w:p>
        </w:tc>
        <w:tc>
          <w:tcPr>
            <w:tcW w:w="900" w:type="dxa"/>
            <w:vAlign w:val="bottom"/>
          </w:tcPr>
          <w:p w:rsidR="00BD5E5B" w:rsidRPr="001761B2" w:rsidP="009857A9" w14:paraId="41504B32" w14:textId="18E6C657">
            <w:pPr>
              <w:jc w:val="right"/>
              <w:rPr>
                <w:bCs/>
              </w:rPr>
            </w:pPr>
            <w:r>
              <w:rPr>
                <w:bCs/>
              </w:rPr>
              <w:t>2,000</w:t>
            </w:r>
          </w:p>
        </w:tc>
        <w:tc>
          <w:tcPr>
            <w:tcW w:w="900" w:type="dxa"/>
            <w:vAlign w:val="bottom"/>
          </w:tcPr>
          <w:p w:rsidR="00BD5E5B" w:rsidP="009857A9" w14:paraId="4061A273" w14:textId="4EC658D3">
            <w:pPr>
              <w:jc w:val="right"/>
              <w:rPr>
                <w:bCs/>
              </w:rPr>
            </w:pPr>
            <w:r>
              <w:rPr>
                <w:bCs/>
              </w:rPr>
              <w:t>38.55</w:t>
            </w:r>
          </w:p>
        </w:tc>
        <w:tc>
          <w:tcPr>
            <w:tcW w:w="900" w:type="dxa"/>
            <w:vAlign w:val="bottom"/>
          </w:tcPr>
          <w:p w:rsidR="00BD5E5B" w:rsidP="009857A9" w14:paraId="7CA1E74C" w14:textId="54B23165">
            <w:pPr>
              <w:jc w:val="right"/>
              <w:rPr>
                <w:bCs/>
              </w:rPr>
            </w:pPr>
            <w:r>
              <w:rPr>
                <w:bCs/>
              </w:rPr>
              <w:t>77,100</w:t>
            </w:r>
          </w:p>
        </w:tc>
      </w:tr>
      <w:tr w14:paraId="5EEFB9D9" w14:textId="77777777" w:rsidTr="00BD5E5B">
        <w:tblPrEx>
          <w:tblW w:w="8977" w:type="dxa"/>
          <w:tblInd w:w="108" w:type="dxa"/>
          <w:tblLayout w:type="fixed"/>
          <w:tblLook w:val="04A0"/>
        </w:tblPrEx>
        <w:tc>
          <w:tcPr>
            <w:tcW w:w="1507" w:type="dxa"/>
            <w:vAlign w:val="center"/>
          </w:tcPr>
          <w:p w:rsidR="00BD5E5B" w:rsidRPr="001761B2" w:rsidP="009857A9" w14:paraId="41B0730D" w14:textId="084EA5FA">
            <w:pPr>
              <w:rPr>
                <w:bCs/>
              </w:rPr>
            </w:pPr>
            <w:r>
              <w:rPr>
                <w:bCs/>
              </w:rPr>
              <w:t>Consumer Reviewing and Signing Acknowledgement</w:t>
            </w:r>
          </w:p>
        </w:tc>
        <w:tc>
          <w:tcPr>
            <w:tcW w:w="1350" w:type="dxa"/>
            <w:vAlign w:val="bottom"/>
          </w:tcPr>
          <w:p w:rsidR="00BD5E5B" w:rsidRPr="001761B2" w:rsidP="009857A9" w14:paraId="293A88A0" w14:textId="68B471DF">
            <w:pPr>
              <w:jc w:val="right"/>
              <w:rPr>
                <w:bCs/>
              </w:rPr>
            </w:pPr>
            <w:r>
              <w:rPr>
                <w:bCs/>
              </w:rPr>
              <w:t>167</w:t>
            </w:r>
          </w:p>
        </w:tc>
        <w:tc>
          <w:tcPr>
            <w:tcW w:w="1170" w:type="dxa"/>
            <w:vAlign w:val="bottom"/>
          </w:tcPr>
          <w:p w:rsidR="00BD5E5B" w:rsidRPr="001761B2" w:rsidP="009857A9" w14:paraId="45981FDE" w14:textId="43F88D27">
            <w:pPr>
              <w:jc w:val="right"/>
              <w:rPr>
                <w:bCs/>
              </w:rPr>
            </w:pPr>
            <w:r>
              <w:rPr>
                <w:bCs/>
              </w:rPr>
              <w:t>300</w:t>
            </w:r>
          </w:p>
        </w:tc>
        <w:tc>
          <w:tcPr>
            <w:tcW w:w="1170" w:type="dxa"/>
            <w:vAlign w:val="bottom"/>
          </w:tcPr>
          <w:p w:rsidR="00BD5E5B" w:rsidRPr="001761B2" w:rsidP="009857A9" w14:paraId="780B54E5" w14:textId="0E3A8B1E">
            <w:pPr>
              <w:jc w:val="right"/>
              <w:rPr>
                <w:bCs/>
              </w:rPr>
            </w:pPr>
            <w:r>
              <w:rPr>
                <w:bCs/>
              </w:rPr>
              <w:t>50,100</w:t>
            </w:r>
          </w:p>
        </w:tc>
        <w:tc>
          <w:tcPr>
            <w:tcW w:w="1080" w:type="dxa"/>
            <w:vAlign w:val="bottom"/>
          </w:tcPr>
          <w:p w:rsidR="00BD5E5B" w:rsidRPr="001761B2" w:rsidP="009857A9" w14:paraId="65C4DFCF" w14:textId="451B9617">
            <w:pPr>
              <w:jc w:val="right"/>
              <w:rPr>
                <w:bCs/>
              </w:rPr>
            </w:pPr>
            <w:r>
              <w:rPr>
                <w:bCs/>
              </w:rPr>
              <w:t>0.04</w:t>
            </w:r>
          </w:p>
        </w:tc>
        <w:tc>
          <w:tcPr>
            <w:tcW w:w="900" w:type="dxa"/>
            <w:vAlign w:val="bottom"/>
          </w:tcPr>
          <w:p w:rsidR="00BD5E5B" w:rsidRPr="001761B2" w:rsidP="009857A9" w14:paraId="4CCAE389" w14:textId="6C8C9CFC">
            <w:pPr>
              <w:jc w:val="right"/>
              <w:rPr>
                <w:bCs/>
              </w:rPr>
            </w:pPr>
            <w:r>
              <w:rPr>
                <w:bCs/>
              </w:rPr>
              <w:t>2,000</w:t>
            </w:r>
          </w:p>
        </w:tc>
        <w:tc>
          <w:tcPr>
            <w:tcW w:w="900" w:type="dxa"/>
            <w:vAlign w:val="bottom"/>
          </w:tcPr>
          <w:p w:rsidR="00BD5E5B" w:rsidP="009857A9" w14:paraId="1E87E8B8" w14:textId="488DBE26">
            <w:pPr>
              <w:jc w:val="right"/>
              <w:rPr>
                <w:bCs/>
              </w:rPr>
            </w:pPr>
            <w:r>
              <w:rPr>
                <w:bCs/>
              </w:rPr>
              <w:t>N/A</w:t>
            </w:r>
          </w:p>
        </w:tc>
        <w:tc>
          <w:tcPr>
            <w:tcW w:w="900" w:type="dxa"/>
            <w:vAlign w:val="bottom"/>
          </w:tcPr>
          <w:p w:rsidR="00BD5E5B" w:rsidP="009857A9" w14:paraId="5EF7AE89" w14:textId="36439031">
            <w:pPr>
              <w:jc w:val="right"/>
              <w:rPr>
                <w:bCs/>
              </w:rPr>
            </w:pPr>
            <w:r>
              <w:rPr>
                <w:bCs/>
              </w:rPr>
              <w:t>N/A</w:t>
            </w:r>
          </w:p>
        </w:tc>
      </w:tr>
      <w:tr w14:paraId="344A196F" w14:textId="77777777" w:rsidTr="00AF4D92">
        <w:tblPrEx>
          <w:tblW w:w="8977" w:type="dxa"/>
          <w:tblInd w:w="108" w:type="dxa"/>
          <w:tblLayout w:type="fixed"/>
          <w:tblLook w:val="04A0"/>
        </w:tblPrEx>
        <w:tc>
          <w:tcPr>
            <w:tcW w:w="8977" w:type="dxa"/>
            <w:gridSpan w:val="8"/>
            <w:vAlign w:val="center"/>
          </w:tcPr>
          <w:p w:rsidR="00BD5E5B" w:rsidP="00BD5E5B" w14:paraId="7A9EAC6F" w14:textId="5F266022">
            <w:pPr>
              <w:jc w:val="center"/>
              <w:rPr>
                <w:bCs/>
              </w:rPr>
            </w:pPr>
            <w:r>
              <w:rPr>
                <w:bCs/>
              </w:rPr>
              <w:t>Cost of Federal to Non-Federal Conversion</w:t>
            </w:r>
          </w:p>
        </w:tc>
      </w:tr>
      <w:tr w14:paraId="0E258FD7" w14:textId="77777777" w:rsidTr="00BD5E5B">
        <w:tblPrEx>
          <w:tblW w:w="8977" w:type="dxa"/>
          <w:tblInd w:w="108" w:type="dxa"/>
          <w:tblLayout w:type="fixed"/>
          <w:tblLook w:val="04A0"/>
        </w:tblPrEx>
        <w:tc>
          <w:tcPr>
            <w:tcW w:w="1507" w:type="dxa"/>
            <w:vAlign w:val="center"/>
          </w:tcPr>
          <w:p w:rsidR="00BD5E5B" w:rsidP="009857A9" w14:paraId="0E76FA11" w14:textId="59A8B525">
            <w:pPr>
              <w:rPr>
                <w:bCs/>
              </w:rPr>
            </w:pPr>
            <w:r>
              <w:rPr>
                <w:bCs/>
              </w:rPr>
              <w:t>Posting of Disclosures on The Premises</w:t>
            </w:r>
          </w:p>
        </w:tc>
        <w:tc>
          <w:tcPr>
            <w:tcW w:w="1350" w:type="dxa"/>
            <w:vAlign w:val="bottom"/>
          </w:tcPr>
          <w:p w:rsidR="00BD5E5B" w:rsidP="009857A9" w14:paraId="05641D45" w14:textId="5CEF4CA2">
            <w:pPr>
              <w:jc w:val="right"/>
              <w:rPr>
                <w:bCs/>
              </w:rPr>
            </w:pPr>
            <w:r>
              <w:rPr>
                <w:bCs/>
              </w:rPr>
              <w:t>12</w:t>
            </w:r>
          </w:p>
        </w:tc>
        <w:tc>
          <w:tcPr>
            <w:tcW w:w="1170" w:type="dxa"/>
            <w:vAlign w:val="bottom"/>
          </w:tcPr>
          <w:p w:rsidR="00BD5E5B" w:rsidP="009857A9" w14:paraId="6CC3914B" w14:textId="56000ED2">
            <w:pPr>
              <w:jc w:val="right"/>
              <w:rPr>
                <w:bCs/>
              </w:rPr>
            </w:pPr>
            <w:r>
              <w:rPr>
                <w:bCs/>
              </w:rPr>
              <w:t>1</w:t>
            </w:r>
          </w:p>
        </w:tc>
        <w:tc>
          <w:tcPr>
            <w:tcW w:w="1170" w:type="dxa"/>
            <w:vAlign w:val="bottom"/>
          </w:tcPr>
          <w:p w:rsidR="00BD5E5B" w:rsidP="009857A9" w14:paraId="25A9D10D" w14:textId="51FE56DC">
            <w:pPr>
              <w:jc w:val="right"/>
              <w:rPr>
                <w:bCs/>
              </w:rPr>
            </w:pPr>
            <w:r>
              <w:rPr>
                <w:bCs/>
              </w:rPr>
              <w:t>12</w:t>
            </w:r>
          </w:p>
        </w:tc>
        <w:tc>
          <w:tcPr>
            <w:tcW w:w="1080" w:type="dxa"/>
            <w:vAlign w:val="bottom"/>
          </w:tcPr>
          <w:p w:rsidR="00BD5E5B" w:rsidP="009857A9" w14:paraId="7EC59B4A" w14:textId="175DC504">
            <w:pPr>
              <w:jc w:val="right"/>
              <w:rPr>
                <w:bCs/>
              </w:rPr>
            </w:pPr>
            <w:r>
              <w:rPr>
                <w:bCs/>
              </w:rPr>
              <w:t>8</w:t>
            </w:r>
          </w:p>
        </w:tc>
        <w:tc>
          <w:tcPr>
            <w:tcW w:w="900" w:type="dxa"/>
            <w:vAlign w:val="bottom"/>
          </w:tcPr>
          <w:p w:rsidR="00BD5E5B" w:rsidP="009857A9" w14:paraId="7DE34F3B" w14:textId="779FB6A5">
            <w:pPr>
              <w:jc w:val="right"/>
              <w:rPr>
                <w:bCs/>
              </w:rPr>
            </w:pPr>
            <w:r>
              <w:rPr>
                <w:bCs/>
              </w:rPr>
              <w:t>96</w:t>
            </w:r>
          </w:p>
        </w:tc>
        <w:tc>
          <w:tcPr>
            <w:tcW w:w="900" w:type="dxa"/>
            <w:vAlign w:val="bottom"/>
          </w:tcPr>
          <w:p w:rsidR="00BD5E5B" w:rsidP="009857A9" w14:paraId="14637343" w14:textId="76B26C55">
            <w:pPr>
              <w:jc w:val="right"/>
              <w:rPr>
                <w:bCs/>
              </w:rPr>
            </w:pPr>
            <w:r>
              <w:rPr>
                <w:bCs/>
              </w:rPr>
              <w:t>3</w:t>
            </w:r>
            <w:r w:rsidR="00EF7FBD">
              <w:rPr>
                <w:bCs/>
              </w:rPr>
              <w:t>8.55</w:t>
            </w:r>
          </w:p>
        </w:tc>
        <w:tc>
          <w:tcPr>
            <w:tcW w:w="900" w:type="dxa"/>
            <w:vAlign w:val="bottom"/>
          </w:tcPr>
          <w:p w:rsidR="00BD5E5B" w:rsidP="009857A9" w14:paraId="46498950" w14:textId="20811F26">
            <w:pPr>
              <w:jc w:val="right"/>
              <w:rPr>
                <w:bCs/>
              </w:rPr>
            </w:pPr>
            <w:r>
              <w:rPr>
                <w:bCs/>
              </w:rPr>
              <w:t>3,</w:t>
            </w:r>
            <w:r w:rsidR="008B22BE">
              <w:rPr>
                <w:bCs/>
              </w:rPr>
              <w:t>701</w:t>
            </w:r>
          </w:p>
        </w:tc>
      </w:tr>
      <w:tr w14:paraId="58B85726" w14:textId="77777777" w:rsidTr="00BD5E5B">
        <w:tblPrEx>
          <w:tblW w:w="8977" w:type="dxa"/>
          <w:tblInd w:w="108" w:type="dxa"/>
          <w:tblLayout w:type="fixed"/>
          <w:tblLook w:val="04A0"/>
        </w:tblPrEx>
        <w:tc>
          <w:tcPr>
            <w:tcW w:w="1507" w:type="dxa"/>
            <w:vAlign w:val="center"/>
          </w:tcPr>
          <w:p w:rsidR="00BD5E5B" w:rsidP="009857A9" w14:paraId="6CFE03ED" w14:textId="519DD193">
            <w:pPr>
              <w:rPr>
                <w:bCs/>
              </w:rPr>
            </w:pPr>
            <w:r>
              <w:rPr>
                <w:bCs/>
              </w:rPr>
              <w:t xml:space="preserve">Formatting Account Statement and other Document </w:t>
            </w:r>
            <w:r>
              <w:rPr>
                <w:bCs/>
              </w:rPr>
              <w:t>Disclosures</w:t>
            </w:r>
          </w:p>
        </w:tc>
        <w:tc>
          <w:tcPr>
            <w:tcW w:w="1350" w:type="dxa"/>
            <w:vAlign w:val="bottom"/>
          </w:tcPr>
          <w:p w:rsidR="00BD5E5B" w:rsidP="009857A9" w14:paraId="67E98797" w14:textId="2E660F47">
            <w:pPr>
              <w:jc w:val="right"/>
              <w:rPr>
                <w:bCs/>
              </w:rPr>
            </w:pPr>
            <w:r>
              <w:rPr>
                <w:bCs/>
              </w:rPr>
              <w:t>12</w:t>
            </w:r>
          </w:p>
        </w:tc>
        <w:tc>
          <w:tcPr>
            <w:tcW w:w="1170" w:type="dxa"/>
            <w:vAlign w:val="bottom"/>
          </w:tcPr>
          <w:p w:rsidR="00BD5E5B" w:rsidP="009857A9" w14:paraId="0503ACA9" w14:textId="1C64F009">
            <w:pPr>
              <w:jc w:val="right"/>
              <w:rPr>
                <w:bCs/>
              </w:rPr>
            </w:pPr>
            <w:r>
              <w:rPr>
                <w:bCs/>
              </w:rPr>
              <w:t>1</w:t>
            </w:r>
          </w:p>
        </w:tc>
        <w:tc>
          <w:tcPr>
            <w:tcW w:w="1170" w:type="dxa"/>
            <w:vAlign w:val="bottom"/>
          </w:tcPr>
          <w:p w:rsidR="00BD5E5B" w:rsidP="009857A9" w14:paraId="79038C15" w14:textId="6767C6F1">
            <w:pPr>
              <w:jc w:val="right"/>
              <w:rPr>
                <w:bCs/>
              </w:rPr>
            </w:pPr>
            <w:r>
              <w:rPr>
                <w:bCs/>
              </w:rPr>
              <w:t>12</w:t>
            </w:r>
          </w:p>
        </w:tc>
        <w:tc>
          <w:tcPr>
            <w:tcW w:w="1080" w:type="dxa"/>
            <w:vAlign w:val="bottom"/>
          </w:tcPr>
          <w:p w:rsidR="00BD5E5B" w:rsidP="009857A9" w14:paraId="182206C7" w14:textId="1347FD25">
            <w:pPr>
              <w:jc w:val="right"/>
              <w:rPr>
                <w:bCs/>
              </w:rPr>
            </w:pPr>
            <w:r>
              <w:rPr>
                <w:bCs/>
              </w:rPr>
              <w:t>8</w:t>
            </w:r>
          </w:p>
        </w:tc>
        <w:tc>
          <w:tcPr>
            <w:tcW w:w="900" w:type="dxa"/>
            <w:vAlign w:val="bottom"/>
          </w:tcPr>
          <w:p w:rsidR="00BD5E5B" w:rsidP="009857A9" w14:paraId="6C6AD196" w14:textId="346F9BBB">
            <w:pPr>
              <w:jc w:val="right"/>
              <w:rPr>
                <w:bCs/>
              </w:rPr>
            </w:pPr>
            <w:r>
              <w:rPr>
                <w:bCs/>
              </w:rPr>
              <w:t>96</w:t>
            </w:r>
          </w:p>
        </w:tc>
        <w:tc>
          <w:tcPr>
            <w:tcW w:w="900" w:type="dxa"/>
            <w:vAlign w:val="bottom"/>
          </w:tcPr>
          <w:p w:rsidR="00BD5E5B" w:rsidP="009857A9" w14:paraId="58F76AC4" w14:textId="2B368D05">
            <w:pPr>
              <w:jc w:val="right"/>
              <w:rPr>
                <w:bCs/>
              </w:rPr>
            </w:pPr>
            <w:r>
              <w:rPr>
                <w:bCs/>
              </w:rPr>
              <w:t>38.55</w:t>
            </w:r>
          </w:p>
        </w:tc>
        <w:tc>
          <w:tcPr>
            <w:tcW w:w="900" w:type="dxa"/>
            <w:vAlign w:val="bottom"/>
          </w:tcPr>
          <w:p w:rsidR="00BD5E5B" w:rsidP="009857A9" w14:paraId="26C7C409" w14:textId="0D3189F0">
            <w:pPr>
              <w:jc w:val="right"/>
              <w:rPr>
                <w:bCs/>
              </w:rPr>
            </w:pPr>
            <w:r>
              <w:rPr>
                <w:bCs/>
              </w:rPr>
              <w:t>3,</w:t>
            </w:r>
            <w:r w:rsidR="008B22BE">
              <w:rPr>
                <w:bCs/>
              </w:rPr>
              <w:t>701</w:t>
            </w:r>
          </w:p>
        </w:tc>
      </w:tr>
      <w:tr w14:paraId="12998715" w14:textId="77777777" w:rsidTr="00BD5E5B">
        <w:tblPrEx>
          <w:tblW w:w="8977" w:type="dxa"/>
          <w:tblInd w:w="108" w:type="dxa"/>
          <w:tblLayout w:type="fixed"/>
          <w:tblLook w:val="04A0"/>
        </w:tblPrEx>
        <w:tc>
          <w:tcPr>
            <w:tcW w:w="1507" w:type="dxa"/>
            <w:vAlign w:val="center"/>
          </w:tcPr>
          <w:p w:rsidR="00BD5E5B" w:rsidP="009857A9" w14:paraId="26B42C16" w14:textId="0BB0F754">
            <w:pPr>
              <w:rPr>
                <w:bCs/>
              </w:rPr>
            </w:pPr>
            <w:r>
              <w:rPr>
                <w:bCs/>
              </w:rPr>
              <w:t>Mailing Attempts</w:t>
            </w:r>
            <w:r w:rsidR="00FE5C11">
              <w:rPr>
                <w:bCs/>
              </w:rPr>
              <w:t xml:space="preserve"> to Obtain Member Acknowledgement</w:t>
            </w:r>
          </w:p>
        </w:tc>
        <w:tc>
          <w:tcPr>
            <w:tcW w:w="1350" w:type="dxa"/>
            <w:vAlign w:val="bottom"/>
          </w:tcPr>
          <w:p w:rsidR="00BD5E5B" w:rsidP="009857A9" w14:paraId="690C1B03" w14:textId="504EE3E9">
            <w:pPr>
              <w:jc w:val="right"/>
              <w:rPr>
                <w:bCs/>
              </w:rPr>
            </w:pPr>
            <w:r>
              <w:rPr>
                <w:bCs/>
              </w:rPr>
              <w:t>12</w:t>
            </w:r>
          </w:p>
        </w:tc>
        <w:tc>
          <w:tcPr>
            <w:tcW w:w="1170" w:type="dxa"/>
            <w:vAlign w:val="bottom"/>
          </w:tcPr>
          <w:p w:rsidR="00BD5E5B" w:rsidP="009857A9" w14:paraId="107525D3" w14:textId="7D8A521C">
            <w:pPr>
              <w:jc w:val="right"/>
              <w:rPr>
                <w:bCs/>
              </w:rPr>
            </w:pPr>
            <w:r>
              <w:rPr>
                <w:bCs/>
              </w:rPr>
              <w:t>1</w:t>
            </w:r>
          </w:p>
        </w:tc>
        <w:tc>
          <w:tcPr>
            <w:tcW w:w="1170" w:type="dxa"/>
            <w:vAlign w:val="bottom"/>
          </w:tcPr>
          <w:p w:rsidR="00BD5E5B" w:rsidP="009857A9" w14:paraId="7938BA0F" w14:textId="59DCB836">
            <w:pPr>
              <w:jc w:val="right"/>
              <w:rPr>
                <w:bCs/>
              </w:rPr>
            </w:pPr>
            <w:r>
              <w:rPr>
                <w:bCs/>
              </w:rPr>
              <w:t>12</w:t>
            </w:r>
          </w:p>
        </w:tc>
        <w:tc>
          <w:tcPr>
            <w:tcW w:w="1080" w:type="dxa"/>
            <w:vAlign w:val="bottom"/>
          </w:tcPr>
          <w:p w:rsidR="00BD5E5B" w:rsidP="009857A9" w14:paraId="1046CA50" w14:textId="0393E243">
            <w:pPr>
              <w:jc w:val="right"/>
              <w:rPr>
                <w:bCs/>
              </w:rPr>
            </w:pPr>
            <w:r>
              <w:rPr>
                <w:bCs/>
              </w:rPr>
              <w:t>8</w:t>
            </w:r>
          </w:p>
        </w:tc>
        <w:tc>
          <w:tcPr>
            <w:tcW w:w="900" w:type="dxa"/>
            <w:vAlign w:val="bottom"/>
          </w:tcPr>
          <w:p w:rsidR="00BD5E5B" w:rsidP="009857A9" w14:paraId="06CC1218" w14:textId="6CEF048B">
            <w:pPr>
              <w:jc w:val="right"/>
              <w:rPr>
                <w:bCs/>
              </w:rPr>
            </w:pPr>
            <w:r>
              <w:rPr>
                <w:bCs/>
              </w:rPr>
              <w:t>96</w:t>
            </w:r>
          </w:p>
        </w:tc>
        <w:tc>
          <w:tcPr>
            <w:tcW w:w="900" w:type="dxa"/>
            <w:vAlign w:val="bottom"/>
          </w:tcPr>
          <w:p w:rsidR="00BD5E5B" w:rsidP="009857A9" w14:paraId="5DDECA94" w14:textId="2E160355">
            <w:pPr>
              <w:jc w:val="right"/>
              <w:rPr>
                <w:bCs/>
              </w:rPr>
            </w:pPr>
            <w:r>
              <w:rPr>
                <w:bCs/>
              </w:rPr>
              <w:t>38.55</w:t>
            </w:r>
          </w:p>
        </w:tc>
        <w:tc>
          <w:tcPr>
            <w:tcW w:w="900" w:type="dxa"/>
            <w:vAlign w:val="bottom"/>
          </w:tcPr>
          <w:p w:rsidR="00BD5E5B" w:rsidP="009857A9" w14:paraId="470E81E2" w14:textId="2A9C6125">
            <w:pPr>
              <w:jc w:val="right"/>
              <w:rPr>
                <w:bCs/>
              </w:rPr>
            </w:pPr>
            <w:r>
              <w:rPr>
                <w:bCs/>
              </w:rPr>
              <w:t>3,701</w:t>
            </w:r>
          </w:p>
        </w:tc>
      </w:tr>
      <w:tr w14:paraId="3B2657AF" w14:textId="77777777" w:rsidTr="00BD5E5B">
        <w:tblPrEx>
          <w:tblW w:w="8977" w:type="dxa"/>
          <w:tblInd w:w="108" w:type="dxa"/>
          <w:tblLayout w:type="fixed"/>
          <w:tblLook w:val="04A0"/>
        </w:tblPrEx>
        <w:tc>
          <w:tcPr>
            <w:tcW w:w="1507" w:type="dxa"/>
            <w:vAlign w:val="center"/>
          </w:tcPr>
          <w:p w:rsidR="00BD5E5B" w:rsidP="009857A9" w14:paraId="0B14AF9B" w14:textId="4ACEF3C4">
            <w:pPr>
              <w:rPr>
                <w:bCs/>
              </w:rPr>
            </w:pPr>
            <w:r>
              <w:rPr>
                <w:bCs/>
              </w:rPr>
              <w:t>Consumer Reviewing and Signing Acknowledgement</w:t>
            </w:r>
          </w:p>
        </w:tc>
        <w:tc>
          <w:tcPr>
            <w:tcW w:w="1350" w:type="dxa"/>
            <w:vAlign w:val="bottom"/>
          </w:tcPr>
          <w:p w:rsidR="00BD5E5B" w:rsidP="009857A9" w14:paraId="33A191B8" w14:textId="006A8345">
            <w:pPr>
              <w:jc w:val="right"/>
              <w:rPr>
                <w:bCs/>
              </w:rPr>
            </w:pPr>
            <w:r>
              <w:rPr>
                <w:bCs/>
              </w:rPr>
              <w:t>1</w:t>
            </w:r>
          </w:p>
        </w:tc>
        <w:tc>
          <w:tcPr>
            <w:tcW w:w="1170" w:type="dxa"/>
            <w:vAlign w:val="bottom"/>
          </w:tcPr>
          <w:p w:rsidR="00BD5E5B" w:rsidP="009857A9" w14:paraId="58601376" w14:textId="09BC328E">
            <w:pPr>
              <w:jc w:val="right"/>
              <w:rPr>
                <w:bCs/>
              </w:rPr>
            </w:pPr>
            <w:r>
              <w:rPr>
                <w:bCs/>
              </w:rPr>
              <w:t>6,779</w:t>
            </w:r>
            <w:r>
              <w:rPr>
                <w:rStyle w:val="FootnoteReference"/>
                <w:bCs/>
              </w:rPr>
              <w:footnoteReference w:id="12"/>
            </w:r>
          </w:p>
        </w:tc>
        <w:tc>
          <w:tcPr>
            <w:tcW w:w="1170" w:type="dxa"/>
            <w:vAlign w:val="bottom"/>
          </w:tcPr>
          <w:p w:rsidR="00BD5E5B" w:rsidP="009857A9" w14:paraId="78D78AFA" w14:textId="64DBA65C">
            <w:pPr>
              <w:jc w:val="right"/>
              <w:rPr>
                <w:bCs/>
              </w:rPr>
            </w:pPr>
            <w:r>
              <w:rPr>
                <w:bCs/>
              </w:rPr>
              <w:t>6,779</w:t>
            </w:r>
          </w:p>
        </w:tc>
        <w:tc>
          <w:tcPr>
            <w:tcW w:w="1080" w:type="dxa"/>
            <w:vAlign w:val="bottom"/>
          </w:tcPr>
          <w:p w:rsidR="00BD5E5B" w:rsidP="009857A9" w14:paraId="7FFB9559" w14:textId="598A0CE8">
            <w:pPr>
              <w:jc w:val="right"/>
              <w:rPr>
                <w:bCs/>
              </w:rPr>
            </w:pPr>
            <w:r>
              <w:rPr>
                <w:bCs/>
              </w:rPr>
              <w:t>8</w:t>
            </w:r>
          </w:p>
        </w:tc>
        <w:tc>
          <w:tcPr>
            <w:tcW w:w="900" w:type="dxa"/>
            <w:vAlign w:val="bottom"/>
          </w:tcPr>
          <w:p w:rsidR="00BD5E5B" w:rsidP="009857A9" w14:paraId="719D7356" w14:textId="3DBD1322">
            <w:pPr>
              <w:jc w:val="right"/>
              <w:rPr>
                <w:bCs/>
              </w:rPr>
            </w:pPr>
            <w:r>
              <w:rPr>
                <w:bCs/>
              </w:rPr>
              <w:t>96</w:t>
            </w:r>
          </w:p>
        </w:tc>
        <w:tc>
          <w:tcPr>
            <w:tcW w:w="900" w:type="dxa"/>
            <w:vAlign w:val="bottom"/>
          </w:tcPr>
          <w:p w:rsidR="00BD5E5B" w:rsidP="009857A9" w14:paraId="405E9BC2" w14:textId="29BED09C">
            <w:pPr>
              <w:jc w:val="right"/>
              <w:rPr>
                <w:bCs/>
              </w:rPr>
            </w:pPr>
            <w:r>
              <w:rPr>
                <w:bCs/>
              </w:rPr>
              <w:t>3</w:t>
            </w:r>
            <w:r w:rsidR="00EF7FBD">
              <w:rPr>
                <w:bCs/>
              </w:rPr>
              <w:t>8.55</w:t>
            </w:r>
          </w:p>
        </w:tc>
        <w:tc>
          <w:tcPr>
            <w:tcW w:w="900" w:type="dxa"/>
            <w:vAlign w:val="bottom"/>
          </w:tcPr>
          <w:p w:rsidR="00BD5E5B" w:rsidP="009857A9" w14:paraId="088A4283" w14:textId="01C186B3">
            <w:pPr>
              <w:jc w:val="right"/>
              <w:rPr>
                <w:bCs/>
              </w:rPr>
            </w:pPr>
            <w:r>
              <w:rPr>
                <w:bCs/>
              </w:rPr>
              <w:t>3,701</w:t>
            </w:r>
          </w:p>
        </w:tc>
      </w:tr>
      <w:tr w14:paraId="3D1B71A1" w14:textId="77777777" w:rsidTr="00BD5E5B">
        <w:tblPrEx>
          <w:tblW w:w="8977" w:type="dxa"/>
          <w:tblInd w:w="108" w:type="dxa"/>
          <w:tblLayout w:type="fixed"/>
          <w:tblLook w:val="04A0"/>
        </w:tblPrEx>
        <w:tc>
          <w:tcPr>
            <w:tcW w:w="1507" w:type="dxa"/>
          </w:tcPr>
          <w:p w:rsidR="00BD5E5B" w:rsidP="009857A9" w14:paraId="47F7CA64" w14:textId="59455EFE">
            <w:pPr>
              <w:rPr>
                <w:bCs/>
              </w:rPr>
            </w:pPr>
            <w:r w:rsidRPr="001761B2">
              <w:rPr>
                <w:b/>
              </w:rPr>
              <w:t>TOTAL</w:t>
            </w:r>
          </w:p>
        </w:tc>
        <w:tc>
          <w:tcPr>
            <w:tcW w:w="1350" w:type="dxa"/>
            <w:vAlign w:val="bottom"/>
          </w:tcPr>
          <w:p w:rsidR="00BD5E5B" w:rsidP="009857A9" w14:paraId="081C3E51" w14:textId="1FEA7F74">
            <w:pPr>
              <w:jc w:val="right"/>
              <w:rPr>
                <w:bCs/>
              </w:rPr>
            </w:pPr>
            <w:r>
              <w:rPr>
                <w:bCs/>
              </w:rPr>
              <w:t>167</w:t>
            </w:r>
          </w:p>
        </w:tc>
        <w:tc>
          <w:tcPr>
            <w:tcW w:w="1170" w:type="dxa"/>
            <w:shd w:val="clear" w:color="auto" w:fill="D9D9D9" w:themeFill="background1" w:themeFillShade="D9"/>
            <w:vAlign w:val="bottom"/>
          </w:tcPr>
          <w:p w:rsidR="00BD5E5B" w:rsidP="009857A9" w14:paraId="3E8F50B0" w14:textId="6DE7289D">
            <w:pPr>
              <w:jc w:val="right"/>
              <w:rPr>
                <w:bCs/>
              </w:rPr>
            </w:pPr>
          </w:p>
        </w:tc>
        <w:tc>
          <w:tcPr>
            <w:tcW w:w="1170" w:type="dxa"/>
            <w:vAlign w:val="bottom"/>
          </w:tcPr>
          <w:p w:rsidR="00BD5E5B" w:rsidP="009857A9" w14:paraId="1B1750AC" w14:textId="68201EF4">
            <w:pPr>
              <w:jc w:val="right"/>
              <w:rPr>
                <w:bCs/>
              </w:rPr>
            </w:pPr>
            <w:r>
              <w:rPr>
                <w:bCs/>
              </w:rPr>
              <w:t>107,066</w:t>
            </w:r>
          </w:p>
        </w:tc>
        <w:tc>
          <w:tcPr>
            <w:tcW w:w="1080" w:type="dxa"/>
            <w:shd w:val="clear" w:color="auto" w:fill="D9D9D9" w:themeFill="background1" w:themeFillShade="D9"/>
            <w:vAlign w:val="bottom"/>
          </w:tcPr>
          <w:p w:rsidR="00BD5E5B" w:rsidP="009857A9" w14:paraId="687E9D11" w14:textId="7606ADE0">
            <w:pPr>
              <w:jc w:val="right"/>
              <w:rPr>
                <w:bCs/>
              </w:rPr>
            </w:pPr>
          </w:p>
        </w:tc>
        <w:tc>
          <w:tcPr>
            <w:tcW w:w="900" w:type="dxa"/>
            <w:vAlign w:val="bottom"/>
          </w:tcPr>
          <w:p w:rsidR="00BD5E5B" w:rsidP="009857A9" w14:paraId="5C5C730F" w14:textId="252D9C24">
            <w:pPr>
              <w:jc w:val="right"/>
              <w:rPr>
                <w:bCs/>
              </w:rPr>
            </w:pPr>
            <w:r>
              <w:rPr>
                <w:bCs/>
              </w:rPr>
              <w:t>4,609</w:t>
            </w:r>
          </w:p>
        </w:tc>
        <w:tc>
          <w:tcPr>
            <w:tcW w:w="900" w:type="dxa"/>
            <w:vAlign w:val="bottom"/>
          </w:tcPr>
          <w:p w:rsidR="00BD5E5B" w:rsidRPr="001B1B5D" w:rsidP="009857A9" w14:paraId="61B6F724" w14:textId="36792AF7">
            <w:pPr>
              <w:jc w:val="right"/>
              <w:rPr>
                <w:bCs/>
              </w:rPr>
            </w:pPr>
            <w:r w:rsidRPr="001B1B5D">
              <w:rPr>
                <w:bCs/>
              </w:rPr>
              <w:t>N/A</w:t>
            </w:r>
          </w:p>
        </w:tc>
        <w:tc>
          <w:tcPr>
            <w:tcW w:w="900" w:type="dxa"/>
            <w:vAlign w:val="bottom"/>
          </w:tcPr>
          <w:p w:rsidR="00BD5E5B" w:rsidRPr="001B1B5D" w:rsidP="009857A9" w14:paraId="4334011C" w14:textId="7FE10DEE">
            <w:pPr>
              <w:jc w:val="right"/>
              <w:rPr>
                <w:bCs/>
              </w:rPr>
            </w:pPr>
            <w:r w:rsidRPr="001B1B5D">
              <w:rPr>
                <w:bCs/>
              </w:rPr>
              <w:t>93,832</w:t>
            </w:r>
          </w:p>
        </w:tc>
      </w:tr>
    </w:tbl>
    <w:p w:rsidR="00BD5E5B" w:rsidP="001D69A6" w14:paraId="169E9E56" w14:textId="5E2CF76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F660E8" w:rsidRPr="00BF6D43" w:rsidP="00F660E8" w14:paraId="446A24E3" w14:textId="77777777">
      <w:pPr>
        <w:rPr>
          <w:b/>
          <w:sz w:val="24"/>
          <w:szCs w:val="24"/>
        </w:rPr>
      </w:pPr>
      <w:r w:rsidRPr="00BF6D43">
        <w:rPr>
          <w:b/>
          <w:sz w:val="24"/>
          <w:szCs w:val="24"/>
        </w:rPr>
        <w:t xml:space="preserve">13.  Provide an </w:t>
      </w:r>
      <w:r w:rsidRPr="00BF6D43">
        <w:rPr>
          <w:b/>
          <w:sz w:val="24"/>
          <w:szCs w:val="24"/>
        </w:rPr>
        <w:t>estimate of the total annual cost burden to respondents or record</w:t>
      </w:r>
      <w:r w:rsidRPr="00BF6D43" w:rsidR="007E7E37">
        <w:rPr>
          <w:b/>
          <w:sz w:val="24"/>
          <w:szCs w:val="24"/>
        </w:rPr>
        <w:t xml:space="preserve"> </w:t>
      </w:r>
      <w:r w:rsidRPr="00BF6D43">
        <w:rPr>
          <w:b/>
          <w:sz w:val="24"/>
          <w:szCs w:val="24"/>
        </w:rPr>
        <w:t>keepers resulting from the collection of information.  (Do not include the cost of any hour burden shown in Items 12 and 14).</w:t>
      </w:r>
    </w:p>
    <w:p w:rsidR="005F1FFC" w:rsidP="005F1FFC" w14:paraId="3715E245" w14:textId="6F139325">
      <w:pPr>
        <w:rPr>
          <w:b/>
          <w:sz w:val="24"/>
        </w:rPr>
      </w:pPr>
    </w:p>
    <w:p w:rsidR="00A133F2" w:rsidRPr="007B3EA2" w:rsidP="00A133F2" w14:paraId="3F04F1BD" w14:textId="308D736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75F26">
        <w:rPr>
          <w:sz w:val="24"/>
          <w:szCs w:val="24"/>
        </w:rPr>
        <w:t>There shou</w:t>
      </w:r>
      <w:r>
        <w:rPr>
          <w:sz w:val="24"/>
          <w:szCs w:val="24"/>
        </w:rPr>
        <w:t xml:space="preserve">ld be minimal annualized costs to keep the required acknowledgement forms on file and insert the necessary language into all advertisements. </w:t>
      </w:r>
      <w:r w:rsidR="00D16BB4">
        <w:rPr>
          <w:sz w:val="24"/>
          <w:szCs w:val="24"/>
        </w:rPr>
        <w:t xml:space="preserve"> </w:t>
      </w:r>
      <w:r>
        <w:rPr>
          <w:sz w:val="24"/>
          <w:szCs w:val="24"/>
        </w:rPr>
        <w:t>Covered entities will incur a small material cost to obtain the written disclosures.  Depository institutions who convert from federal insurance to non-federal insurance will incur costs to mail disclosures with return postage for acknowledgements.  It is the Bureau’s understanding that the only private insurer of depository institutions provides disclosure signage fo</w:t>
      </w:r>
      <w:r>
        <w:rPr>
          <w:sz w:val="24"/>
          <w:szCs w:val="24"/>
        </w:rPr>
        <w:t xml:space="preserve">r its customers. </w:t>
      </w:r>
      <w:r w:rsidR="00B45C2A">
        <w:rPr>
          <w:sz w:val="24"/>
          <w:szCs w:val="24"/>
        </w:rPr>
        <w:t xml:space="preserve"> </w:t>
      </w:r>
      <w:r>
        <w:rPr>
          <w:sz w:val="24"/>
          <w:szCs w:val="24"/>
        </w:rPr>
        <w:t>Therefore, there will be minimal costs to depository institutions who convert to private insurance to develop and display disclosures on their premises.  If an institution instead converts to another form of insurance, such as state insurance, that institution would incur minimal costs to display disclosures on its premises.  Accordingly, the Bureau estimates the burden as follows:</w:t>
      </w:r>
    </w:p>
    <w:p w:rsidR="00A133F2" w:rsidP="00A133F2" w14:paraId="3BBABBB6" w14:textId="25CF13C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FE5C11" w:rsidP="00A133F2" w14:paraId="1436570B" w14:textId="03B60FC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FE5C11" w:rsidP="00A133F2" w14:paraId="7A86E88D" w14:textId="2494651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FE5C11" w:rsidP="00A133F2" w14:paraId="6BF693D8" w14:textId="6D92AEA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FE5C11" w:rsidP="00A133F2" w14:paraId="2F43B0DC" w14:textId="52E4C09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bl>
      <w:tblPr>
        <w:tblW w:w="71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07"/>
        <w:gridCol w:w="1350"/>
        <w:gridCol w:w="1170"/>
        <w:gridCol w:w="1170"/>
        <w:gridCol w:w="1080"/>
        <w:gridCol w:w="900"/>
      </w:tblGrid>
      <w:tr w14:paraId="5A97E3BD" w14:textId="77777777" w:rsidTr="00623624">
        <w:tblPrEx>
          <w:tblW w:w="71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507" w:type="dxa"/>
            <w:tcBorders>
              <w:bottom w:val="single" w:sz="4" w:space="0" w:color="auto"/>
            </w:tcBorders>
            <w:shd w:val="clear" w:color="auto" w:fill="D9D9D9" w:themeFill="background1" w:themeFillShade="D9"/>
          </w:tcPr>
          <w:p w:rsidR="00623624" w:rsidRPr="001761B2" w:rsidP="009857A9" w14:paraId="4969A547" w14:textId="77777777">
            <w:pPr>
              <w:rPr>
                <w:b/>
                <w:bCs/>
              </w:rPr>
            </w:pPr>
            <w:r>
              <w:rPr>
                <w:b/>
                <w:bCs/>
              </w:rPr>
              <w:t>Collection of Information</w:t>
            </w:r>
          </w:p>
        </w:tc>
        <w:tc>
          <w:tcPr>
            <w:tcW w:w="1350" w:type="dxa"/>
            <w:tcBorders>
              <w:bottom w:val="single" w:sz="4" w:space="0" w:color="auto"/>
            </w:tcBorders>
            <w:shd w:val="clear" w:color="auto" w:fill="D9D9D9" w:themeFill="background1" w:themeFillShade="D9"/>
          </w:tcPr>
          <w:p w:rsidR="00623624" w:rsidRPr="001761B2" w:rsidP="009857A9" w14:paraId="74F6766C" w14:textId="77777777">
            <w:pPr>
              <w:rPr>
                <w:b/>
                <w:bCs/>
              </w:rPr>
            </w:pPr>
            <w:r w:rsidRPr="001761B2">
              <w:rPr>
                <w:b/>
                <w:bCs/>
              </w:rPr>
              <w:t>Number of Respon</w:t>
            </w:r>
            <w:r>
              <w:rPr>
                <w:b/>
                <w:bCs/>
              </w:rPr>
              <w:t>dents</w:t>
            </w:r>
          </w:p>
        </w:tc>
        <w:tc>
          <w:tcPr>
            <w:tcW w:w="1170" w:type="dxa"/>
            <w:tcBorders>
              <w:bottom w:val="single" w:sz="4" w:space="0" w:color="auto"/>
            </w:tcBorders>
            <w:shd w:val="clear" w:color="auto" w:fill="D9D9D9" w:themeFill="background1" w:themeFillShade="D9"/>
          </w:tcPr>
          <w:p w:rsidR="00623624" w:rsidRPr="001761B2" w:rsidP="009857A9" w14:paraId="2E2A0113" w14:textId="77777777">
            <w:pPr>
              <w:rPr>
                <w:b/>
                <w:bCs/>
              </w:rPr>
            </w:pPr>
            <w:r w:rsidRPr="001761B2">
              <w:rPr>
                <w:b/>
                <w:bCs/>
              </w:rPr>
              <w:t>Frequency</w:t>
            </w:r>
          </w:p>
        </w:tc>
        <w:tc>
          <w:tcPr>
            <w:tcW w:w="1170" w:type="dxa"/>
            <w:tcBorders>
              <w:bottom w:val="single" w:sz="4" w:space="0" w:color="auto"/>
            </w:tcBorders>
            <w:shd w:val="clear" w:color="auto" w:fill="D9D9D9" w:themeFill="background1" w:themeFillShade="D9"/>
          </w:tcPr>
          <w:p w:rsidR="00623624" w:rsidRPr="001761B2" w:rsidP="009857A9" w14:paraId="1C7808DA" w14:textId="77777777">
            <w:pPr>
              <w:rPr>
                <w:b/>
                <w:bCs/>
              </w:rPr>
            </w:pPr>
            <w:r w:rsidRPr="001761B2">
              <w:rPr>
                <w:b/>
                <w:bCs/>
                <w:lang w:val="x-none"/>
              </w:rPr>
              <w:t>Number of Respon</w:t>
            </w:r>
            <w:r w:rsidRPr="001761B2">
              <w:rPr>
                <w:b/>
                <w:bCs/>
              </w:rPr>
              <w:t>ses</w:t>
            </w:r>
          </w:p>
        </w:tc>
        <w:tc>
          <w:tcPr>
            <w:tcW w:w="1080" w:type="dxa"/>
            <w:tcBorders>
              <w:bottom w:val="single" w:sz="4" w:space="0" w:color="auto"/>
            </w:tcBorders>
            <w:shd w:val="clear" w:color="auto" w:fill="D9D9D9" w:themeFill="background1" w:themeFillShade="D9"/>
          </w:tcPr>
          <w:p w:rsidR="00623624" w:rsidRPr="001761B2" w:rsidP="009857A9" w14:paraId="43F84998" w14:textId="77777777">
            <w:pPr>
              <w:rPr>
                <w:b/>
                <w:bCs/>
              </w:rPr>
            </w:pPr>
            <w:r w:rsidRPr="001761B2">
              <w:rPr>
                <w:b/>
                <w:bCs/>
              </w:rPr>
              <w:t>Response Time (Hours)</w:t>
            </w:r>
          </w:p>
        </w:tc>
        <w:tc>
          <w:tcPr>
            <w:tcW w:w="900" w:type="dxa"/>
            <w:tcBorders>
              <w:bottom w:val="single" w:sz="4" w:space="0" w:color="auto"/>
            </w:tcBorders>
            <w:shd w:val="clear" w:color="auto" w:fill="D9D9D9" w:themeFill="background1" w:themeFillShade="D9"/>
          </w:tcPr>
          <w:p w:rsidR="00623624" w:rsidRPr="001761B2" w:rsidP="009857A9" w14:paraId="272C211D" w14:textId="77777777">
            <w:pPr>
              <w:rPr>
                <w:b/>
                <w:bCs/>
              </w:rPr>
            </w:pPr>
            <w:r>
              <w:rPr>
                <w:b/>
                <w:bCs/>
              </w:rPr>
              <w:t xml:space="preserve">Annual </w:t>
            </w:r>
            <w:r w:rsidRPr="001761B2">
              <w:rPr>
                <w:b/>
                <w:bCs/>
              </w:rPr>
              <w:t xml:space="preserve">Burden (Hours) </w:t>
            </w:r>
          </w:p>
        </w:tc>
      </w:tr>
      <w:tr w14:paraId="29B973AE" w14:textId="77777777" w:rsidTr="00280E0D">
        <w:tblPrEx>
          <w:tblW w:w="7177" w:type="dxa"/>
          <w:tblInd w:w="108" w:type="dxa"/>
          <w:tblLayout w:type="fixed"/>
          <w:tblLook w:val="04A0"/>
        </w:tblPrEx>
        <w:tc>
          <w:tcPr>
            <w:tcW w:w="7177" w:type="dxa"/>
            <w:gridSpan w:val="6"/>
            <w:tcBorders>
              <w:bottom w:val="single" w:sz="4" w:space="0" w:color="auto"/>
            </w:tcBorders>
            <w:shd w:val="clear" w:color="auto" w:fill="auto"/>
            <w:vAlign w:val="center"/>
          </w:tcPr>
          <w:p w:rsidR="00623624" w:rsidP="00623624" w14:paraId="7CA6E559" w14:textId="42896623">
            <w:pPr>
              <w:jc w:val="center"/>
            </w:pPr>
            <w:r>
              <w:t>Cost of Operating</w:t>
            </w:r>
          </w:p>
        </w:tc>
      </w:tr>
      <w:tr w14:paraId="55272730" w14:textId="77777777" w:rsidTr="00623624">
        <w:tblPrEx>
          <w:tblW w:w="7177" w:type="dxa"/>
          <w:tblInd w:w="108" w:type="dxa"/>
          <w:tblLayout w:type="fixed"/>
          <w:tblLook w:val="04A0"/>
        </w:tblPrEx>
        <w:tc>
          <w:tcPr>
            <w:tcW w:w="1507" w:type="dxa"/>
            <w:tcBorders>
              <w:bottom w:val="single" w:sz="4" w:space="0" w:color="auto"/>
            </w:tcBorders>
            <w:shd w:val="clear" w:color="auto" w:fill="auto"/>
            <w:vAlign w:val="center"/>
          </w:tcPr>
          <w:p w:rsidR="00623624" w:rsidRPr="001761B2" w:rsidP="009857A9" w14:paraId="4B5BF91E" w14:textId="7D8ABF6D">
            <w:r>
              <w:t>Material Cost of Written Disclosure</w:t>
            </w:r>
          </w:p>
        </w:tc>
        <w:tc>
          <w:tcPr>
            <w:tcW w:w="1350" w:type="dxa"/>
            <w:tcBorders>
              <w:bottom w:val="single" w:sz="4" w:space="0" w:color="auto"/>
            </w:tcBorders>
            <w:shd w:val="clear" w:color="auto" w:fill="auto"/>
            <w:vAlign w:val="bottom"/>
          </w:tcPr>
          <w:p w:rsidR="00623624" w:rsidRPr="001761B2" w:rsidP="009857A9" w14:paraId="2270CBF1" w14:textId="30339880">
            <w:pPr>
              <w:jc w:val="right"/>
            </w:pPr>
            <w:r>
              <w:t>167</w:t>
            </w:r>
          </w:p>
        </w:tc>
        <w:tc>
          <w:tcPr>
            <w:tcW w:w="1170" w:type="dxa"/>
            <w:tcBorders>
              <w:bottom w:val="single" w:sz="4" w:space="0" w:color="auto"/>
            </w:tcBorders>
            <w:shd w:val="clear" w:color="auto" w:fill="auto"/>
            <w:vAlign w:val="bottom"/>
          </w:tcPr>
          <w:p w:rsidR="00623624" w:rsidRPr="001761B2" w:rsidP="009857A9" w14:paraId="5C4CA06F" w14:textId="79A5A5E3">
            <w:pPr>
              <w:jc w:val="right"/>
            </w:pPr>
            <w:r>
              <w:t>300</w:t>
            </w:r>
          </w:p>
        </w:tc>
        <w:tc>
          <w:tcPr>
            <w:tcW w:w="1170" w:type="dxa"/>
            <w:tcBorders>
              <w:bottom w:val="single" w:sz="4" w:space="0" w:color="auto"/>
            </w:tcBorders>
            <w:shd w:val="clear" w:color="auto" w:fill="auto"/>
            <w:vAlign w:val="bottom"/>
          </w:tcPr>
          <w:p w:rsidR="00623624" w:rsidRPr="00E27966" w:rsidP="009857A9" w14:paraId="02B3B1E6" w14:textId="70BE1A08">
            <w:pPr>
              <w:jc w:val="right"/>
            </w:pPr>
            <w:r>
              <w:t>50,100</w:t>
            </w:r>
          </w:p>
        </w:tc>
        <w:tc>
          <w:tcPr>
            <w:tcW w:w="1080" w:type="dxa"/>
            <w:tcBorders>
              <w:bottom w:val="single" w:sz="4" w:space="0" w:color="auto"/>
            </w:tcBorders>
            <w:shd w:val="clear" w:color="auto" w:fill="auto"/>
            <w:vAlign w:val="bottom"/>
          </w:tcPr>
          <w:p w:rsidR="00623624" w:rsidRPr="001761B2" w:rsidP="009857A9" w14:paraId="42BC636D" w14:textId="32DB0AEE">
            <w:pPr>
              <w:jc w:val="right"/>
            </w:pPr>
            <w:r>
              <w:t>0.01</w:t>
            </w:r>
          </w:p>
        </w:tc>
        <w:tc>
          <w:tcPr>
            <w:tcW w:w="900" w:type="dxa"/>
            <w:tcBorders>
              <w:bottom w:val="single" w:sz="4" w:space="0" w:color="auto"/>
            </w:tcBorders>
            <w:shd w:val="clear" w:color="auto" w:fill="auto"/>
            <w:vAlign w:val="bottom"/>
          </w:tcPr>
          <w:p w:rsidR="00623624" w:rsidRPr="001761B2" w:rsidP="009857A9" w14:paraId="503F2025" w14:textId="49876A67">
            <w:pPr>
              <w:jc w:val="right"/>
            </w:pPr>
            <w:r>
              <w:t>501</w:t>
            </w:r>
          </w:p>
        </w:tc>
      </w:tr>
      <w:tr w14:paraId="70C5C04E" w14:textId="77777777" w:rsidTr="00C86225">
        <w:tblPrEx>
          <w:tblW w:w="7177" w:type="dxa"/>
          <w:tblInd w:w="108" w:type="dxa"/>
          <w:tblLayout w:type="fixed"/>
          <w:tblLook w:val="04A0"/>
        </w:tblPrEx>
        <w:tc>
          <w:tcPr>
            <w:tcW w:w="7177" w:type="dxa"/>
            <w:gridSpan w:val="6"/>
            <w:vAlign w:val="center"/>
          </w:tcPr>
          <w:p w:rsidR="00623624" w:rsidP="00623624" w14:paraId="493E295D" w14:textId="1C2E6D36">
            <w:pPr>
              <w:jc w:val="center"/>
              <w:rPr>
                <w:bCs/>
              </w:rPr>
            </w:pPr>
            <w:r>
              <w:rPr>
                <w:bCs/>
              </w:rPr>
              <w:t>Cost of Federal to Non-Federal Conversion</w:t>
            </w:r>
          </w:p>
        </w:tc>
      </w:tr>
      <w:tr w14:paraId="405EEC5C" w14:textId="77777777" w:rsidTr="00623624">
        <w:tblPrEx>
          <w:tblW w:w="7177" w:type="dxa"/>
          <w:tblInd w:w="108" w:type="dxa"/>
          <w:tblLayout w:type="fixed"/>
          <w:tblLook w:val="04A0"/>
        </w:tblPrEx>
        <w:tc>
          <w:tcPr>
            <w:tcW w:w="1507" w:type="dxa"/>
            <w:vAlign w:val="center"/>
          </w:tcPr>
          <w:p w:rsidR="00623624" w:rsidRPr="001761B2" w:rsidP="009857A9" w14:paraId="18A20773" w14:textId="77777777">
            <w:pPr>
              <w:rPr>
                <w:bCs/>
              </w:rPr>
            </w:pPr>
            <w:r>
              <w:rPr>
                <w:bCs/>
              </w:rPr>
              <w:t>Consumer Reviewing and Signing Acknowledgement</w:t>
            </w:r>
          </w:p>
        </w:tc>
        <w:tc>
          <w:tcPr>
            <w:tcW w:w="1350" w:type="dxa"/>
            <w:vAlign w:val="bottom"/>
          </w:tcPr>
          <w:p w:rsidR="00623624" w:rsidRPr="001761B2" w:rsidP="009857A9" w14:paraId="1B048B31" w14:textId="3FCF5A77">
            <w:pPr>
              <w:jc w:val="right"/>
              <w:rPr>
                <w:bCs/>
              </w:rPr>
            </w:pPr>
            <w:r>
              <w:rPr>
                <w:bCs/>
              </w:rPr>
              <w:t>12</w:t>
            </w:r>
          </w:p>
        </w:tc>
        <w:tc>
          <w:tcPr>
            <w:tcW w:w="1170" w:type="dxa"/>
            <w:vAlign w:val="bottom"/>
          </w:tcPr>
          <w:p w:rsidR="00623624" w:rsidRPr="001761B2" w:rsidP="009857A9" w14:paraId="185C840F" w14:textId="5999B3C3">
            <w:pPr>
              <w:jc w:val="right"/>
              <w:rPr>
                <w:bCs/>
              </w:rPr>
            </w:pPr>
            <w:r>
              <w:rPr>
                <w:bCs/>
              </w:rPr>
              <w:t>1</w:t>
            </w:r>
          </w:p>
        </w:tc>
        <w:tc>
          <w:tcPr>
            <w:tcW w:w="1170" w:type="dxa"/>
            <w:vAlign w:val="bottom"/>
          </w:tcPr>
          <w:p w:rsidR="00623624" w:rsidRPr="001761B2" w:rsidP="009857A9" w14:paraId="30430233" w14:textId="6E774AC4">
            <w:pPr>
              <w:jc w:val="right"/>
              <w:rPr>
                <w:bCs/>
              </w:rPr>
            </w:pPr>
            <w:r>
              <w:rPr>
                <w:bCs/>
              </w:rPr>
              <w:t>12</w:t>
            </w:r>
          </w:p>
        </w:tc>
        <w:tc>
          <w:tcPr>
            <w:tcW w:w="1080" w:type="dxa"/>
            <w:vAlign w:val="bottom"/>
          </w:tcPr>
          <w:p w:rsidR="00623624" w:rsidRPr="001761B2" w:rsidP="009857A9" w14:paraId="15B834B3" w14:textId="258758CD">
            <w:pPr>
              <w:jc w:val="right"/>
              <w:rPr>
                <w:bCs/>
              </w:rPr>
            </w:pPr>
            <w:r>
              <w:rPr>
                <w:bCs/>
              </w:rPr>
              <w:t>3,390</w:t>
            </w:r>
          </w:p>
        </w:tc>
        <w:tc>
          <w:tcPr>
            <w:tcW w:w="900" w:type="dxa"/>
            <w:vAlign w:val="bottom"/>
          </w:tcPr>
          <w:p w:rsidR="00623624" w:rsidRPr="001761B2" w:rsidP="009857A9" w14:paraId="56CA6628" w14:textId="4453B2B8">
            <w:pPr>
              <w:jc w:val="right"/>
              <w:rPr>
                <w:bCs/>
              </w:rPr>
            </w:pPr>
            <w:r>
              <w:rPr>
                <w:bCs/>
              </w:rPr>
              <w:t>40,680</w:t>
            </w:r>
          </w:p>
        </w:tc>
      </w:tr>
      <w:tr w14:paraId="38B77A92" w14:textId="77777777" w:rsidTr="00623624">
        <w:tblPrEx>
          <w:tblW w:w="7177" w:type="dxa"/>
          <w:tblInd w:w="108" w:type="dxa"/>
          <w:tblLayout w:type="fixed"/>
          <w:tblLook w:val="04A0"/>
        </w:tblPrEx>
        <w:tc>
          <w:tcPr>
            <w:tcW w:w="1507" w:type="dxa"/>
          </w:tcPr>
          <w:p w:rsidR="00623624" w:rsidP="009857A9" w14:paraId="57DEE665" w14:textId="77777777">
            <w:pPr>
              <w:rPr>
                <w:bCs/>
              </w:rPr>
            </w:pPr>
            <w:r w:rsidRPr="001761B2">
              <w:rPr>
                <w:b/>
              </w:rPr>
              <w:t>TOTAL</w:t>
            </w:r>
          </w:p>
        </w:tc>
        <w:tc>
          <w:tcPr>
            <w:tcW w:w="1350" w:type="dxa"/>
            <w:vAlign w:val="bottom"/>
          </w:tcPr>
          <w:p w:rsidR="00623624" w:rsidP="009857A9" w14:paraId="1D39A0F0" w14:textId="77777777">
            <w:pPr>
              <w:jc w:val="right"/>
              <w:rPr>
                <w:bCs/>
              </w:rPr>
            </w:pPr>
            <w:r>
              <w:rPr>
                <w:bCs/>
              </w:rPr>
              <w:t>167</w:t>
            </w:r>
          </w:p>
        </w:tc>
        <w:tc>
          <w:tcPr>
            <w:tcW w:w="1170" w:type="dxa"/>
            <w:shd w:val="clear" w:color="auto" w:fill="D9D9D9" w:themeFill="background1" w:themeFillShade="D9"/>
            <w:vAlign w:val="bottom"/>
          </w:tcPr>
          <w:p w:rsidR="00623624" w:rsidP="009857A9" w14:paraId="46DFCE69" w14:textId="77777777">
            <w:pPr>
              <w:jc w:val="right"/>
              <w:rPr>
                <w:bCs/>
              </w:rPr>
            </w:pPr>
          </w:p>
        </w:tc>
        <w:tc>
          <w:tcPr>
            <w:tcW w:w="1170" w:type="dxa"/>
            <w:vAlign w:val="bottom"/>
          </w:tcPr>
          <w:p w:rsidR="00623624" w:rsidP="009857A9" w14:paraId="12FE66F7" w14:textId="5DFA04A6">
            <w:pPr>
              <w:jc w:val="right"/>
              <w:rPr>
                <w:bCs/>
              </w:rPr>
            </w:pPr>
            <w:r>
              <w:rPr>
                <w:bCs/>
              </w:rPr>
              <w:t>50,112</w:t>
            </w:r>
          </w:p>
        </w:tc>
        <w:tc>
          <w:tcPr>
            <w:tcW w:w="1080" w:type="dxa"/>
            <w:shd w:val="clear" w:color="auto" w:fill="D9D9D9" w:themeFill="background1" w:themeFillShade="D9"/>
            <w:vAlign w:val="bottom"/>
          </w:tcPr>
          <w:p w:rsidR="00623624" w:rsidP="009857A9" w14:paraId="44C0DCE2" w14:textId="7A61310F">
            <w:pPr>
              <w:jc w:val="right"/>
              <w:rPr>
                <w:bCs/>
              </w:rPr>
            </w:pPr>
          </w:p>
        </w:tc>
        <w:tc>
          <w:tcPr>
            <w:tcW w:w="900" w:type="dxa"/>
            <w:vAlign w:val="bottom"/>
          </w:tcPr>
          <w:p w:rsidR="00623624" w:rsidP="009857A9" w14:paraId="35E6AB0F" w14:textId="7506F08E">
            <w:pPr>
              <w:jc w:val="right"/>
              <w:rPr>
                <w:bCs/>
              </w:rPr>
            </w:pPr>
            <w:r>
              <w:rPr>
                <w:bCs/>
              </w:rPr>
              <w:t>41,181</w:t>
            </w:r>
          </w:p>
        </w:tc>
      </w:tr>
    </w:tbl>
    <w:p w:rsidR="00A133F2" w:rsidRPr="008F5E08" w:rsidP="00A133F2" w14:paraId="3F6E624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F660E8" w:rsidRPr="00BF6D43" w:rsidP="00F660E8" w14:paraId="090470D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BF6D43">
        <w:rPr>
          <w:b/>
          <w:sz w:val="24"/>
          <w:szCs w:val="24"/>
        </w:rPr>
        <w:t xml:space="preserve">14.  </w:t>
      </w:r>
      <w:r w:rsidRPr="00BF6D43">
        <w:rPr>
          <w:b/>
          <w:bCs/>
          <w:sz w:val="24"/>
          <w:szCs w:val="24"/>
        </w:rPr>
        <w:t xml:space="preserve">Provide estimates of the annualized cost to the </w:t>
      </w:r>
      <w:r w:rsidRPr="00BF6D43">
        <w:rPr>
          <w:b/>
          <w:bCs/>
          <w:sz w:val="24"/>
          <w:szCs w:val="24"/>
        </w:rPr>
        <w:t>Federal Government.  Also, provide a description of the method used to estimate cost, which should include quantification of hours, operational expenses (such as equipment, overhead, printing, and support staff), any other expense that would not have been incurred</w:t>
      </w:r>
      <w:r w:rsidRPr="00BF6D43">
        <w:rPr>
          <w:sz w:val="24"/>
          <w:szCs w:val="24"/>
        </w:rPr>
        <w:t xml:space="preserve"> </w:t>
      </w:r>
      <w:r w:rsidRPr="00BF6D43">
        <w:rPr>
          <w:b/>
          <w:bCs/>
          <w:sz w:val="24"/>
          <w:szCs w:val="24"/>
        </w:rPr>
        <w:t>without this collection of information.  Agencies also may aggregate cost estimates from Items 12, 13, and 14 into a single table.</w:t>
      </w:r>
    </w:p>
    <w:p w:rsidR="005F1FFC" w:rsidRPr="00BF6D43" w:rsidP="005F1FFC" w14:paraId="0A689257" w14:textId="77777777">
      <w:pPr>
        <w:ind w:left="720"/>
        <w:rPr>
          <w:sz w:val="24"/>
        </w:rPr>
      </w:pPr>
    </w:p>
    <w:p w:rsidR="00A93967" w:rsidP="00A133F2" w14:paraId="28539FB8" w14:textId="2AE313B0">
      <w:pPr>
        <w:rPr>
          <w:sz w:val="24"/>
        </w:rPr>
      </w:pPr>
      <w:r>
        <w:rPr>
          <w:sz w:val="24"/>
          <w:szCs w:val="24"/>
        </w:rPr>
        <w:t xml:space="preserve">The Bureau does not incur any new or unique costs </w:t>
      </w:r>
      <w:r>
        <w:rPr>
          <w:sz w:val="24"/>
          <w:szCs w:val="24"/>
        </w:rPr>
        <w:t>as a result of</w:t>
      </w:r>
      <w:r>
        <w:rPr>
          <w:sz w:val="24"/>
          <w:szCs w:val="24"/>
        </w:rPr>
        <w:t xml:space="preserve"> this information collection. </w:t>
      </w:r>
      <w:r w:rsidRPr="00C75F26">
        <w:rPr>
          <w:sz w:val="24"/>
          <w:szCs w:val="24"/>
        </w:rPr>
        <w:t xml:space="preserve"> </w:t>
      </w:r>
    </w:p>
    <w:p w:rsidR="00A133F2" w:rsidRPr="00BF6D43" w:rsidP="00A133F2" w14:paraId="6645BCBE" w14:textId="77777777">
      <w:pPr>
        <w:rPr>
          <w:sz w:val="24"/>
        </w:rPr>
      </w:pPr>
    </w:p>
    <w:p w:rsidR="00F660E8" w:rsidRPr="00BF6D43" w:rsidP="00F660E8" w14:paraId="2B232019" w14:textId="77777777">
      <w:pPr>
        <w:rPr>
          <w:b/>
          <w:sz w:val="24"/>
          <w:szCs w:val="24"/>
        </w:rPr>
      </w:pPr>
      <w:r w:rsidRPr="00BF6D43">
        <w:rPr>
          <w:b/>
          <w:sz w:val="24"/>
          <w:szCs w:val="24"/>
        </w:rPr>
        <w:t xml:space="preserve">15.  </w:t>
      </w:r>
      <w:r w:rsidRPr="00BF6D43">
        <w:rPr>
          <w:b/>
          <w:bCs/>
          <w:sz w:val="24"/>
          <w:szCs w:val="24"/>
        </w:rPr>
        <w:t>Explain the reasons for any program changes or adjustments.</w:t>
      </w:r>
    </w:p>
    <w:p w:rsidR="005F1FFC" w:rsidRPr="00BF6D43" w:rsidP="005F1FFC" w14:paraId="7D933924" w14:textId="77777777">
      <w:pPr>
        <w:numPr>
          <w:ilvl w:val="12"/>
          <w:numId w:val="0"/>
        </w:numPr>
        <w:rPr>
          <w:sz w:val="24"/>
        </w:rPr>
      </w:pPr>
    </w:p>
    <w:p w:rsidR="00A93967" w:rsidP="00253FF0" w14:paraId="52F188B0" w14:textId="4C713162">
      <w:pPr>
        <w:rPr>
          <w:sz w:val="24"/>
        </w:rPr>
      </w:pPr>
      <w:r>
        <w:rPr>
          <w:sz w:val="24"/>
        </w:rPr>
        <w:t xml:space="preserve">The </w:t>
      </w:r>
      <w:r w:rsidR="00D73488">
        <w:rPr>
          <w:sz w:val="24"/>
        </w:rPr>
        <w:t>are no program or burden changes during this renewal cycle.</w:t>
      </w:r>
    </w:p>
    <w:p w:rsidR="00FE5C11" w:rsidRPr="00BF6D43" w:rsidP="00253FF0" w14:paraId="2D8047AE" w14:textId="77777777">
      <w:pPr>
        <w:rPr>
          <w:sz w:val="24"/>
        </w:rPr>
      </w:pPr>
    </w:p>
    <w:p w:rsidR="00F660E8" w:rsidRPr="00BF6D43" w:rsidP="00F660E8" w14:paraId="1715AB5F" w14:textId="77777777">
      <w:pPr>
        <w:rPr>
          <w:b/>
          <w:sz w:val="24"/>
          <w:szCs w:val="24"/>
        </w:rPr>
      </w:pPr>
      <w:r w:rsidRPr="00BF6D43">
        <w:rPr>
          <w:b/>
          <w:sz w:val="24"/>
          <w:szCs w:val="24"/>
        </w:rPr>
        <w:t>16.  F</w:t>
      </w:r>
      <w:r w:rsidRPr="00BF6D43">
        <w:rPr>
          <w:b/>
          <w:bCs/>
          <w:sz w:val="24"/>
          <w:szCs w:val="24"/>
        </w:rPr>
        <w:t>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BF6D43">
        <w:rPr>
          <w:sz w:val="24"/>
          <w:szCs w:val="24"/>
        </w:rPr>
        <w:t>.</w:t>
      </w:r>
    </w:p>
    <w:p w:rsidR="005F1FFC" w:rsidP="005F1FFC" w14:paraId="3C07C2B3" w14:textId="6C330DCB">
      <w:pPr>
        <w:rPr>
          <w:sz w:val="24"/>
        </w:rPr>
      </w:pPr>
      <w:r w:rsidRPr="00BF6D43">
        <w:rPr>
          <w:sz w:val="24"/>
        </w:rPr>
        <w:t xml:space="preserve">  </w:t>
      </w:r>
    </w:p>
    <w:p w:rsidR="000A3145" w:rsidRPr="00BF6D43" w:rsidP="005F1FFC" w14:paraId="7DA50ED7" w14:textId="3102B0F4">
      <w:pPr>
        <w:rPr>
          <w:sz w:val="24"/>
        </w:rPr>
      </w:pPr>
      <w:r w:rsidRPr="00C75F26">
        <w:rPr>
          <w:sz w:val="24"/>
          <w:szCs w:val="24"/>
        </w:rPr>
        <w:t>The information will not be published.</w:t>
      </w:r>
    </w:p>
    <w:p w:rsidR="005F1FFC" w:rsidRPr="00BF6D43" w:rsidP="005F1FFC" w14:paraId="77B89593" w14:textId="77777777">
      <w:pPr>
        <w:rPr>
          <w:sz w:val="24"/>
        </w:rPr>
      </w:pPr>
    </w:p>
    <w:p w:rsidR="00F660E8" w:rsidRPr="00BF6D43" w:rsidP="00F660E8" w14:paraId="7F4F1EB6" w14:textId="77777777">
      <w:pPr>
        <w:rPr>
          <w:b/>
          <w:sz w:val="24"/>
          <w:szCs w:val="24"/>
        </w:rPr>
      </w:pPr>
      <w:r w:rsidRPr="00BF6D43">
        <w:rPr>
          <w:b/>
          <w:sz w:val="24"/>
        </w:rPr>
        <w:t xml:space="preserve">17.  </w:t>
      </w:r>
      <w:r w:rsidRPr="00BF6D43">
        <w:rPr>
          <w:b/>
          <w:sz w:val="24"/>
          <w:szCs w:val="24"/>
        </w:rPr>
        <w:t>I</w:t>
      </w:r>
      <w:r w:rsidRPr="00BF6D43">
        <w:rPr>
          <w:b/>
          <w:bCs/>
          <w:sz w:val="24"/>
          <w:szCs w:val="24"/>
        </w:rPr>
        <w:t>f seeking approval to not display the expiration date for OMB approval of the information collection, explain the reasons that display would be inappropriate</w:t>
      </w:r>
      <w:r w:rsidRPr="00BF6D43">
        <w:rPr>
          <w:b/>
          <w:sz w:val="24"/>
          <w:szCs w:val="24"/>
        </w:rPr>
        <w:t>.</w:t>
      </w:r>
    </w:p>
    <w:p w:rsidR="005F1FFC" w:rsidRPr="00BF6D43" w:rsidP="005F1FFC" w14:paraId="195A2521" w14:textId="77777777">
      <w:pPr>
        <w:rPr>
          <w:sz w:val="24"/>
        </w:rPr>
      </w:pPr>
    </w:p>
    <w:p w:rsidR="00791AC9" w:rsidRPr="00BF6D43" w:rsidP="005F1FFC" w14:paraId="2449748D" w14:textId="6D479B82">
      <w:pPr>
        <w:rPr>
          <w:sz w:val="24"/>
        </w:rPr>
      </w:pPr>
      <w:r w:rsidRPr="00BF6D43">
        <w:rPr>
          <w:sz w:val="24"/>
        </w:rPr>
        <w:t xml:space="preserve">The information collection is not collected in a manner that allows the display of the current expiration date.  However, the expiration date can be found under the “Information Collections under Review” section of </w:t>
      </w:r>
      <w:hyperlink r:id="rId10" w:history="1">
        <w:r w:rsidRPr="00BF6D43">
          <w:rPr>
            <w:rStyle w:val="Hyperlink"/>
            <w:sz w:val="24"/>
          </w:rPr>
          <w:t>www.reginfo.gov</w:t>
        </w:r>
      </w:hyperlink>
      <w:r w:rsidRPr="00BF6D43">
        <w:rPr>
          <w:sz w:val="24"/>
        </w:rPr>
        <w:t xml:space="preserve"> (</w:t>
      </w:r>
      <w:hyperlink r:id="rId11" w:history="1">
        <w:r w:rsidRPr="00BF6D43">
          <w:rPr>
            <w:rStyle w:val="Hyperlink"/>
            <w:sz w:val="24"/>
          </w:rPr>
          <w:t>https://www.reginfo.gov/public/do/PRAMain</w:t>
        </w:r>
      </w:hyperlink>
      <w:r w:rsidRPr="00BF6D43">
        <w:rPr>
          <w:sz w:val="24"/>
        </w:rPr>
        <w:t>).</w:t>
      </w:r>
    </w:p>
    <w:p w:rsidR="00A93967" w:rsidRPr="00BF6D43" w:rsidP="003E083F" w14:paraId="58CE7FA0" w14:textId="77777777">
      <w:pPr>
        <w:rPr>
          <w:sz w:val="24"/>
        </w:rPr>
      </w:pPr>
    </w:p>
    <w:p w:rsidR="00F660E8" w:rsidRPr="00BF6D43" w:rsidP="00F660E8" w14:paraId="0503086D" w14:textId="77777777">
      <w:pPr>
        <w:rPr>
          <w:b/>
          <w:sz w:val="24"/>
        </w:rPr>
      </w:pPr>
      <w:r w:rsidRPr="00BF6D43">
        <w:rPr>
          <w:b/>
          <w:sz w:val="24"/>
        </w:rPr>
        <w:t>18.  Explain each exception to the certification statement.</w:t>
      </w:r>
    </w:p>
    <w:p w:rsidR="005F1FFC" w:rsidRPr="00BF6D43" w:rsidP="005F1FFC" w14:paraId="6066F545" w14:textId="77777777">
      <w:pPr>
        <w:pStyle w:val="BodyText"/>
      </w:pPr>
    </w:p>
    <w:p w:rsidR="00CA6DAB" w:rsidP="00A0364C" w14:paraId="235F0EA3" w14:textId="130F97E8">
      <w:pPr>
        <w:rPr>
          <w:sz w:val="24"/>
          <w:szCs w:val="24"/>
        </w:rPr>
      </w:pPr>
      <w:r w:rsidRPr="00C75F26">
        <w:rPr>
          <w:sz w:val="24"/>
          <w:szCs w:val="24"/>
        </w:rPr>
        <w:t>The Bureau certifies that this collection of information is consistent with the requirements of 5</w:t>
      </w:r>
      <w:r>
        <w:rPr>
          <w:sz w:val="24"/>
          <w:szCs w:val="24"/>
        </w:rPr>
        <w:t xml:space="preserve"> </w:t>
      </w:r>
      <w:r w:rsidRPr="00C75F26">
        <w:rPr>
          <w:sz w:val="24"/>
          <w:szCs w:val="24"/>
        </w:rPr>
        <w:t>CFR 1320.9, and the related provisions of 5 CFR 1320.8(b)(3) and is not seeking an exemption to these certification requirements.</w:t>
      </w:r>
    </w:p>
    <w:p w:rsidR="000A3145" w:rsidP="00A0364C" w14:paraId="5843626A" w14:textId="2C23731F">
      <w:pPr>
        <w:rPr>
          <w:sz w:val="24"/>
          <w:szCs w:val="24"/>
        </w:rPr>
      </w:pPr>
    </w:p>
    <w:p w:rsidR="000A3145" w:rsidRPr="00393610" w:rsidP="000A3145" w14:paraId="2758E3C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393610">
        <w:rPr>
          <w:b/>
          <w:sz w:val="24"/>
          <w:szCs w:val="24"/>
        </w:rPr>
        <w:t>PART B – COLLECTIONS OF INFORMATION USING STATISTICAL METHODS</w:t>
      </w:r>
    </w:p>
    <w:p w:rsidR="000A3145" w:rsidP="000A3145" w14:paraId="1826C13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A3145" w:rsidP="000A3145" w14:paraId="21CEAA0E" w14:textId="77777777">
      <w:pPr>
        <w:pStyle w:val="NoSpacing"/>
        <w:rPr>
          <w:sz w:val="24"/>
        </w:rPr>
      </w:pPr>
      <w:r>
        <w:rPr>
          <w:sz w:val="24"/>
        </w:rPr>
        <w:t xml:space="preserve">Not applicable. The information collections contained in 12 CFR 1009 do not involve the use of statistical </w:t>
      </w:r>
      <w:r>
        <w:rPr>
          <w:sz w:val="24"/>
        </w:rPr>
        <w:t>methods.</w:t>
      </w:r>
    </w:p>
    <w:p w:rsidR="000A3145" w:rsidRPr="00A637BE" w:rsidP="00A0364C" w14:paraId="67043457" w14:textId="77777777">
      <w:pPr>
        <w:rPr>
          <w:sz w:val="24"/>
        </w:rPr>
      </w:pPr>
    </w:p>
    <w:sectPr w:rsidSect="0079547E">
      <w:headerReference w:type="default" r:id="rId12"/>
      <w:footerReference w:type="default" r:id="rId13"/>
      <w:pgSz w:w="12240" w:h="15840"/>
      <w:pgMar w:top="1440" w:right="1800" w:bottom="1440" w:left="180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5205" w14:paraId="1CD8F4C2" w14:textId="77777777">
    <w:pPr>
      <w:pStyle w:val="Footer"/>
      <w:jc w:val="center"/>
    </w:pPr>
    <w:r>
      <w:fldChar w:fldCharType="begin"/>
    </w:r>
    <w:r>
      <w:instrText xml:space="preserve"> PAGE   \* MERGEFORMAT </w:instrText>
    </w:r>
    <w:r>
      <w:fldChar w:fldCharType="separate"/>
    </w:r>
    <w:r w:rsidR="001E418A">
      <w:rPr>
        <w:noProof/>
      </w:rPr>
      <w:t>8</w:t>
    </w:r>
    <w:r>
      <w:fldChar w:fldCharType="end"/>
    </w:r>
  </w:p>
  <w:p w:rsidR="00B35205" w14:paraId="4A3288D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F26B5" w:rsidP="0079547E" w14:paraId="31E36226" w14:textId="77777777">
      <w:r>
        <w:separator/>
      </w:r>
    </w:p>
  </w:footnote>
  <w:footnote w:type="continuationSeparator" w:id="1">
    <w:p w:rsidR="001F26B5" w:rsidP="0079547E" w14:paraId="560AAECA" w14:textId="77777777">
      <w:r>
        <w:continuationSeparator/>
      </w:r>
    </w:p>
  </w:footnote>
  <w:footnote w:type="continuationNotice" w:id="2">
    <w:p w:rsidR="001F26B5" w14:paraId="270F10E5" w14:textId="77777777"/>
  </w:footnote>
  <w:footnote w:id="3">
    <w:p w:rsidR="00FE5C11" w14:paraId="1B23C58E" w14:textId="034C6BC5">
      <w:pPr>
        <w:pStyle w:val="FootnoteText"/>
      </w:pPr>
      <w:r>
        <w:rPr>
          <w:rStyle w:val="FootnoteReference"/>
        </w:rPr>
        <w:footnoteRef/>
      </w:r>
      <w:r>
        <w:t xml:space="preserve"> </w:t>
      </w:r>
      <w:r w:rsidRPr="00E33814">
        <w:rPr>
          <w:sz w:val="24"/>
          <w:szCs w:val="24"/>
        </w:rPr>
        <w:t>Pub.L</w:t>
      </w:r>
      <w:r w:rsidRPr="00E33814">
        <w:rPr>
          <w:sz w:val="24"/>
          <w:szCs w:val="24"/>
        </w:rPr>
        <w:t xml:space="preserve">. </w:t>
      </w:r>
      <w:r w:rsidRPr="00E33814">
        <w:rPr>
          <w:sz w:val="24"/>
          <w:szCs w:val="24"/>
        </w:rPr>
        <w:t>106–229</w:t>
      </w:r>
      <w:r>
        <w:rPr>
          <w:sz w:val="24"/>
          <w:szCs w:val="24"/>
        </w:rPr>
        <w:t>.</w:t>
      </w:r>
    </w:p>
  </w:footnote>
  <w:footnote w:id="4">
    <w:p w:rsidR="00BC56A2" w:rsidRPr="00FE5C11" w14:paraId="1F586CAA" w14:textId="6591F9BF">
      <w:pPr>
        <w:pStyle w:val="FootnoteText"/>
      </w:pPr>
      <w:r w:rsidRPr="00FE5C11">
        <w:rPr>
          <w:rStyle w:val="FootnoteReference"/>
        </w:rPr>
        <w:footnoteRef/>
      </w:r>
      <w:r w:rsidRPr="00FE5C11">
        <w:t xml:space="preserve"> </w:t>
      </w:r>
      <w:r w:rsidR="00113E2C">
        <w:t>90</w:t>
      </w:r>
      <w:r w:rsidRPr="00FE5C11">
        <w:t xml:space="preserve"> FR </w:t>
      </w:r>
      <w:r w:rsidR="005B1271">
        <w:t>57033</w:t>
      </w:r>
      <w:r w:rsidRPr="00FE5C11">
        <w:t xml:space="preserve"> (published on </w:t>
      </w:r>
      <w:r w:rsidR="005B1271">
        <w:t>12/9/2025</w:t>
      </w:r>
      <w:r w:rsidRPr="00FE5C11">
        <w:t>)</w:t>
      </w:r>
      <w:r w:rsidRPr="00FE5C11" w:rsidR="009D7886">
        <w:t>.</w:t>
      </w:r>
    </w:p>
  </w:footnote>
  <w:footnote w:id="5">
    <w:p w:rsidR="009D7886" w:rsidRPr="00FE5C11" w14:paraId="1530F2D0" w14:textId="619E5F37">
      <w:pPr>
        <w:pStyle w:val="FootnoteText"/>
      </w:pPr>
      <w:r w:rsidRPr="00FE5C11">
        <w:rPr>
          <w:rStyle w:val="FootnoteReference"/>
        </w:rPr>
        <w:footnoteRef/>
      </w:r>
      <w:r w:rsidRPr="00FE5C11">
        <w:t xml:space="preserve"> </w:t>
      </w:r>
      <w:r w:rsidR="005B1271">
        <w:t>91</w:t>
      </w:r>
      <w:r w:rsidRPr="00FE5C11">
        <w:t xml:space="preserve"> FR </w:t>
      </w:r>
      <w:r w:rsidR="005B1271">
        <w:t>8843</w:t>
      </w:r>
      <w:r w:rsidRPr="00FE5C11" w:rsidR="001650D5">
        <w:t xml:space="preserve"> </w:t>
      </w:r>
      <w:r w:rsidRPr="00FE5C11">
        <w:t xml:space="preserve">(published on </w:t>
      </w:r>
      <w:r w:rsidR="00F035EE">
        <w:t>2/24/2026</w:t>
      </w:r>
      <w:r w:rsidRPr="00FE5C11">
        <w:t xml:space="preserve">; comment period ends on </w:t>
      </w:r>
      <w:r w:rsidR="00F035EE">
        <w:t>3/26/2026</w:t>
      </w:r>
      <w:r w:rsidRPr="00FE5C11">
        <w:t>).</w:t>
      </w:r>
    </w:p>
  </w:footnote>
  <w:footnote w:id="6">
    <w:p w:rsidR="00A133F2" w:rsidRPr="00FE5C11" w:rsidP="00A133F2" w14:paraId="5C4DE1DA" w14:textId="77777777">
      <w:pPr>
        <w:pStyle w:val="FootnoteText"/>
      </w:pPr>
      <w:r w:rsidRPr="00FE5C11">
        <w:rPr>
          <w:rStyle w:val="FootnoteReference"/>
        </w:rPr>
        <w:footnoteRef/>
      </w:r>
      <w:r w:rsidRPr="00FE5C11">
        <w:t xml:space="preserve"> </w:t>
      </w:r>
      <w:r w:rsidRPr="00FE5C11">
        <w:rPr>
          <w:i/>
        </w:rPr>
        <w:t>See</w:t>
      </w:r>
      <w:r w:rsidRPr="00FE5C11">
        <w:t xml:space="preserve"> 12 CFR 1009.7 (“Compliance with the requirements of this part shall be enforced under the Consumer Financial Protection Act of 2010, Public Law 111-203, title X, 124 Stat. 1955, by the Bureau of Consumer Financial Protection, subject to subtitle B of the Consumer Financial Protection Act of 2010, and under the Federal Trade Commission Act, 15 U.S.C. 41 et seq, by the Federal Trade Commission.”).  In a recent report on private deposit insurance, the GAO noted, “CFPB and the Federal Trade Commission (FTC</w:t>
      </w:r>
      <w:r w:rsidRPr="00FE5C11">
        <w:t>) are the federal entities responsible for enforcing these requirements” (</w:t>
      </w:r>
      <w:r w:rsidRPr="00FE5C11">
        <w:rPr>
          <w:i/>
        </w:rPr>
        <w:t>Private Deposit Insurance:  Credit Unions Largely Complied with Disclosure Rules, but Rules Should Be Clarified</w:t>
      </w:r>
      <w:r w:rsidRPr="00FE5C11">
        <w:t xml:space="preserve">, GAO-17-259, page 6, available at https://www.gao.gov/products/GAO-17-259).  </w:t>
      </w:r>
    </w:p>
  </w:footnote>
  <w:footnote w:id="7">
    <w:p w:rsidR="00FE5C11" w:rsidRPr="00FE5C11" w14:paraId="12CCCA1A" w14:textId="7ADA50C5">
      <w:pPr>
        <w:pStyle w:val="FootnoteText"/>
      </w:pPr>
      <w:r w:rsidRPr="00FE5C11">
        <w:rPr>
          <w:rStyle w:val="FootnoteReference"/>
        </w:rPr>
        <w:footnoteRef/>
      </w:r>
      <w:r w:rsidRPr="00FE5C11">
        <w:t xml:space="preserve"> Bureau of Labor Statistics May 202</w:t>
      </w:r>
      <w:r w:rsidR="00054FE5">
        <w:t>3</w:t>
      </w:r>
      <w:r w:rsidRPr="00FE5C11">
        <w:t xml:space="preserve"> Occupational Employment and Wage Estimates </w:t>
      </w:r>
      <w:hyperlink r:id="rId1" w:history="1">
        <w:r w:rsidRPr="00FE5C11">
          <w:rPr>
            <w:rStyle w:val="Hyperlink"/>
          </w:rPr>
          <w:t>https://www.bls.gov/oes/current/oes131041.htm</w:t>
        </w:r>
      </w:hyperlink>
      <w:r w:rsidRPr="00FE5C11">
        <w:t xml:space="preserve"> mean hourly wage for Compliance Officers.</w:t>
      </w:r>
    </w:p>
  </w:footnote>
  <w:footnote w:id="8">
    <w:p w:rsidR="00FE5C11" w:rsidRPr="00FE5C11" w14:paraId="3DC1B743" w14:textId="64C09007">
      <w:pPr>
        <w:pStyle w:val="FootnoteText"/>
      </w:pPr>
      <w:r w:rsidRPr="00FE5C11">
        <w:rPr>
          <w:rStyle w:val="FootnoteReference"/>
        </w:rPr>
        <w:footnoteRef/>
      </w:r>
      <w:r w:rsidRPr="00FE5C11">
        <w:t xml:space="preserve"> Labor costs are rounded to the nearest hundred dollars (if less than $10,000) and nearest thousand dollars (if greater than $10,000).</w:t>
      </w:r>
    </w:p>
  </w:footnote>
  <w:footnote w:id="9">
    <w:p w:rsidR="00FE5C11" w:rsidRPr="00FE5C11" w14:paraId="25136FD8" w14:textId="724BB5BE">
      <w:pPr>
        <w:pStyle w:val="FootnoteText"/>
      </w:pPr>
      <w:r w:rsidRPr="00FE5C11">
        <w:rPr>
          <w:rStyle w:val="FootnoteReference"/>
        </w:rPr>
        <w:footnoteRef/>
      </w:r>
      <w:r w:rsidRPr="00FE5C11">
        <w:t xml:space="preserve"> The number of respondents is calculated at end of year 2021 using bank and credit union call report data.</w:t>
      </w:r>
    </w:p>
  </w:footnote>
  <w:footnote w:id="10">
    <w:p w:rsidR="00FE5C11" w:rsidRPr="00FE5C11" w14:paraId="4B153883" w14:textId="0B98F044">
      <w:pPr>
        <w:pStyle w:val="FootnoteText"/>
      </w:pPr>
      <w:r w:rsidRPr="00FE5C11">
        <w:rPr>
          <w:rStyle w:val="FootnoteReference"/>
        </w:rPr>
        <w:footnoteRef/>
      </w:r>
      <w:r w:rsidRPr="00FE5C11">
        <w:t xml:space="preserve"> Represents the average annual number of advertising campaigns at non-federally insured depository institutions.</w:t>
      </w:r>
    </w:p>
  </w:footnote>
  <w:footnote w:id="11">
    <w:p w:rsidR="00FE5C11" w:rsidRPr="00FE5C11" w14:paraId="7858E8C6" w14:textId="75BA5E2F">
      <w:pPr>
        <w:pStyle w:val="FootnoteText"/>
      </w:pPr>
      <w:r w:rsidRPr="00FE5C11">
        <w:rPr>
          <w:rStyle w:val="FootnoteReference"/>
        </w:rPr>
        <w:footnoteRef/>
      </w:r>
      <w:r w:rsidRPr="00FE5C11">
        <w:t xml:space="preserve"> Represents the average annual member growth of non-federally insured depository institutions.</w:t>
      </w:r>
    </w:p>
  </w:footnote>
  <w:footnote w:id="12">
    <w:p w:rsidR="00FE5C11" w:rsidRPr="00FE5C11" w14:paraId="13EC2045" w14:textId="1B2ACF11">
      <w:pPr>
        <w:pStyle w:val="FootnoteText"/>
      </w:pPr>
      <w:r w:rsidRPr="00FE5C11">
        <w:rPr>
          <w:rStyle w:val="FootnoteReference"/>
        </w:rPr>
        <w:footnoteRef/>
      </w:r>
      <w:r w:rsidRPr="00FE5C11">
        <w:t xml:space="preserve"> Represents the average number of accountholders at depository institutions that have converted from federal to private insurance over the last three years.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5205" w14:paraId="3131924E" w14:textId="281DA0AB">
    <w:pPr>
      <w:pStyle w:val="Header"/>
    </w:pPr>
    <w:r w:rsidRPr="00A133F2">
      <w:t>Regulation I: Disclosure Requirements for Depository Institutions Lacking Federal Deposit Insurance (12 CFR 1009)</w:t>
    </w:r>
  </w:p>
  <w:p w:rsidR="00B35205" w14:paraId="55C694D9" w14:textId="5BF59C7A">
    <w:pPr>
      <w:pStyle w:val="Header"/>
    </w:pPr>
    <w:r>
      <w:t>OMB Control Number</w:t>
    </w:r>
    <w:r w:rsidR="004D6F7D">
      <w:t>:</w:t>
    </w:r>
    <w:r>
      <w:t xml:space="preserve"> </w:t>
    </w:r>
    <w:r w:rsidR="00E81562">
      <w:t>3170-</w:t>
    </w:r>
    <w:r w:rsidR="00A133F2">
      <w:t>0062</w:t>
    </w:r>
  </w:p>
  <w:p w:rsidR="00B35205" w14:paraId="3E4932DB" w14:textId="30C2FED4">
    <w:pPr>
      <w:pStyle w:val="Header"/>
    </w:pPr>
    <w:r>
      <w:t xml:space="preserve">OMB Expiration Date: </w:t>
    </w:r>
    <w:r w:rsidR="001C77F6">
      <w:t>2/2</w:t>
    </w:r>
    <w:r>
      <w:t>8</w:t>
    </w:r>
    <w:r w:rsidR="001C77F6">
      <w:t>/2026</w:t>
    </w:r>
  </w:p>
  <w:p w:rsidR="00B35205" w:rsidP="00F52D42" w14:paraId="1930D639" w14:textId="77777777">
    <w:pPr>
      <w:pStyle w:val="Header"/>
      <w:tabs>
        <w:tab w:val="clear" w:pos="4680"/>
        <w:tab w:val="left" w:pos="6526"/>
        <w:tab w:val="clear" w:pos="936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E20B63"/>
    <w:multiLevelType w:val="hybridMultilevel"/>
    <w:tmpl w:val="018A60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350A21"/>
    <w:multiLevelType w:val="hybridMultilevel"/>
    <w:tmpl w:val="C8E2F8C2"/>
    <w:lvl w:ilvl="0">
      <w:start w:val="1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74A2D69"/>
    <w:multiLevelType w:val="hybridMultilevel"/>
    <w:tmpl w:val="BE7650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E16564B"/>
    <w:multiLevelType w:val="hybridMultilevel"/>
    <w:tmpl w:val="86AA92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695B5C"/>
    <w:multiLevelType w:val="hybridMultilevel"/>
    <w:tmpl w:val="1FD8E3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6D16241"/>
    <w:multiLevelType w:val="hybridMultilevel"/>
    <w:tmpl w:val="630EAE5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2F075698"/>
    <w:multiLevelType w:val="hybridMultilevel"/>
    <w:tmpl w:val="816A664C"/>
    <w:lvl w:ilvl="0">
      <w:start w:val="1"/>
      <w:numFmt w:val="decimal"/>
      <w:lvlText w:val="%1."/>
      <w:lvlJc w:val="left"/>
      <w:pPr>
        <w:ind w:left="580" w:hanging="360"/>
      </w:pPr>
      <w:rPr>
        <w:rFonts w:ascii="Times New Roman" w:eastAsia="Times New Roman" w:hAnsi="Times New Roman" w:cs="Times New Roman" w:hint="default"/>
        <w:b/>
        <w:bCs/>
        <w:spacing w:val="-2"/>
        <w:w w:val="99"/>
        <w:sz w:val="24"/>
        <w:szCs w:val="24"/>
      </w:rPr>
    </w:lvl>
    <w:lvl w:ilvl="1">
      <w:start w:val="0"/>
      <w:numFmt w:val="bullet"/>
      <w:lvlText w:val=""/>
      <w:lvlJc w:val="left"/>
      <w:pPr>
        <w:ind w:left="940" w:hanging="360"/>
      </w:pPr>
      <w:rPr>
        <w:rFonts w:ascii="Symbol" w:eastAsia="Symbol" w:hAnsi="Symbol" w:cs="Symbol" w:hint="default"/>
        <w:w w:val="100"/>
        <w:sz w:val="24"/>
        <w:szCs w:val="24"/>
      </w:rPr>
    </w:lvl>
    <w:lvl w:ilvl="2">
      <w:start w:val="0"/>
      <w:numFmt w:val="bullet"/>
      <w:lvlText w:val="•"/>
      <w:lvlJc w:val="left"/>
      <w:pPr>
        <w:ind w:left="1924" w:hanging="360"/>
      </w:pPr>
      <w:rPr>
        <w:rFonts w:hint="default"/>
      </w:rPr>
    </w:lvl>
    <w:lvl w:ilvl="3">
      <w:start w:val="0"/>
      <w:numFmt w:val="bullet"/>
      <w:lvlText w:val="•"/>
      <w:lvlJc w:val="left"/>
      <w:pPr>
        <w:ind w:left="2908" w:hanging="360"/>
      </w:pPr>
      <w:rPr>
        <w:rFonts w:hint="default"/>
      </w:rPr>
    </w:lvl>
    <w:lvl w:ilvl="4">
      <w:start w:val="0"/>
      <w:numFmt w:val="bullet"/>
      <w:lvlText w:val="•"/>
      <w:lvlJc w:val="left"/>
      <w:pPr>
        <w:ind w:left="3893" w:hanging="360"/>
      </w:pPr>
      <w:rPr>
        <w:rFonts w:hint="default"/>
      </w:rPr>
    </w:lvl>
    <w:lvl w:ilvl="5">
      <w:start w:val="0"/>
      <w:numFmt w:val="bullet"/>
      <w:lvlText w:val="•"/>
      <w:lvlJc w:val="left"/>
      <w:pPr>
        <w:ind w:left="4877" w:hanging="360"/>
      </w:pPr>
      <w:rPr>
        <w:rFonts w:hint="default"/>
      </w:rPr>
    </w:lvl>
    <w:lvl w:ilvl="6">
      <w:start w:val="0"/>
      <w:numFmt w:val="bullet"/>
      <w:lvlText w:val="•"/>
      <w:lvlJc w:val="left"/>
      <w:pPr>
        <w:ind w:left="5862" w:hanging="360"/>
      </w:pPr>
      <w:rPr>
        <w:rFonts w:hint="default"/>
      </w:rPr>
    </w:lvl>
    <w:lvl w:ilvl="7">
      <w:start w:val="0"/>
      <w:numFmt w:val="bullet"/>
      <w:lvlText w:val="•"/>
      <w:lvlJc w:val="left"/>
      <w:pPr>
        <w:ind w:left="6846" w:hanging="360"/>
      </w:pPr>
      <w:rPr>
        <w:rFonts w:hint="default"/>
      </w:rPr>
    </w:lvl>
    <w:lvl w:ilvl="8">
      <w:start w:val="0"/>
      <w:numFmt w:val="bullet"/>
      <w:lvlText w:val="•"/>
      <w:lvlJc w:val="left"/>
      <w:pPr>
        <w:ind w:left="7831" w:hanging="360"/>
      </w:pPr>
      <w:rPr>
        <w:rFonts w:hint="default"/>
      </w:rPr>
    </w:lvl>
  </w:abstractNum>
  <w:abstractNum w:abstractNumId="7">
    <w:nsid w:val="424D3F58"/>
    <w:multiLevelType w:val="singleLevel"/>
    <w:tmpl w:val="835CFD8C"/>
    <w:lvl w:ilvl="0">
      <w:start w:val="9"/>
      <w:numFmt w:val="decimal"/>
      <w:lvlText w:val="%1. "/>
      <w:legacy w:legacy="1" w:legacySpace="0" w:legacyIndent="360"/>
      <w:lvlJc w:val="left"/>
      <w:pPr>
        <w:ind w:left="360" w:hanging="360"/>
      </w:pPr>
      <w:rPr>
        <w:rFonts w:ascii="Times New Roman" w:hAnsi="Times New Roman" w:hint="default"/>
        <w:b/>
        <w:i w:val="0"/>
        <w:sz w:val="24"/>
        <w:u w:val="none"/>
      </w:rPr>
    </w:lvl>
  </w:abstractNum>
  <w:abstractNum w:abstractNumId="8">
    <w:nsid w:val="483275B1"/>
    <w:multiLevelType w:val="singleLevel"/>
    <w:tmpl w:val="7A0C8E60"/>
    <w:lvl w:ilvl="0">
      <w:start w:val="1"/>
      <w:numFmt w:val="lowerLetter"/>
      <w:lvlText w:val="%1)"/>
      <w:legacy w:legacy="1" w:legacySpace="0" w:legacyIndent="360"/>
      <w:lvlJc w:val="left"/>
      <w:pPr>
        <w:ind w:left="1080" w:hanging="360"/>
      </w:pPr>
    </w:lvl>
  </w:abstractNum>
  <w:abstractNum w:abstractNumId="9">
    <w:nsid w:val="51771B42"/>
    <w:multiLevelType w:val="hybridMultilevel"/>
    <w:tmpl w:val="D9DC5F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24972FE"/>
    <w:multiLevelType w:val="singleLevel"/>
    <w:tmpl w:val="7A0C8E60"/>
    <w:lvl w:ilvl="0">
      <w:start w:val="1"/>
      <w:numFmt w:val="lowerLetter"/>
      <w:lvlText w:val="%1)"/>
      <w:legacy w:legacy="1" w:legacySpace="0" w:legacyIndent="360"/>
      <w:lvlJc w:val="left"/>
      <w:pPr>
        <w:ind w:left="1080" w:hanging="360"/>
      </w:pPr>
    </w:lvl>
  </w:abstractNum>
  <w:abstractNum w:abstractNumId="11">
    <w:nsid w:val="532E4C40"/>
    <w:multiLevelType w:val="hybridMultilevel"/>
    <w:tmpl w:val="F7C4A6B8"/>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55C35AF8"/>
    <w:multiLevelType w:val="singleLevel"/>
    <w:tmpl w:val="2C7ABA98"/>
    <w:lvl w:ilvl="0">
      <w:start w:val="5"/>
      <w:numFmt w:val="decimal"/>
      <w:lvlText w:val="%1."/>
      <w:lvlJc w:val="left"/>
      <w:pPr>
        <w:tabs>
          <w:tab w:val="num" w:pos="720"/>
        </w:tabs>
        <w:ind w:left="720" w:hanging="720"/>
      </w:pPr>
      <w:rPr>
        <w:rFonts w:hint="default"/>
        <w:b/>
      </w:rPr>
    </w:lvl>
  </w:abstractNum>
  <w:abstractNum w:abstractNumId="13">
    <w:nsid w:val="5ACE5F4A"/>
    <w:multiLevelType w:val="singleLevel"/>
    <w:tmpl w:val="7A0C8E60"/>
    <w:lvl w:ilvl="0">
      <w:start w:val="1"/>
      <w:numFmt w:val="lowerLetter"/>
      <w:lvlText w:val="%1)"/>
      <w:legacy w:legacy="1" w:legacySpace="0" w:legacyIndent="360"/>
      <w:lvlJc w:val="left"/>
      <w:pPr>
        <w:ind w:left="1080" w:hanging="360"/>
      </w:pPr>
    </w:lvl>
  </w:abstractNum>
  <w:abstractNum w:abstractNumId="14">
    <w:nsid w:val="5EFA5B7C"/>
    <w:multiLevelType w:val="hybridMultilevel"/>
    <w:tmpl w:val="CD8C321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619E336C"/>
    <w:multiLevelType w:val="hybridMultilevel"/>
    <w:tmpl w:val="560EE46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77C92974"/>
    <w:multiLevelType w:val="singleLevel"/>
    <w:tmpl w:val="7A0C8E60"/>
    <w:lvl w:ilvl="0">
      <w:start w:val="1"/>
      <w:numFmt w:val="lowerLetter"/>
      <w:lvlText w:val="%1)"/>
      <w:legacy w:legacy="1" w:legacySpace="0" w:legacyIndent="360"/>
      <w:lvlJc w:val="left"/>
      <w:pPr>
        <w:ind w:left="1080" w:hanging="360"/>
      </w:pPr>
    </w:lvl>
  </w:abstractNum>
  <w:abstractNum w:abstractNumId="17">
    <w:nsid w:val="78E118BC"/>
    <w:multiLevelType w:val="hybridMultilevel"/>
    <w:tmpl w:val="0DF275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953484984">
    <w:abstractNumId w:val="10"/>
  </w:num>
  <w:num w:numId="2" w16cid:durableId="773743624">
    <w:abstractNumId w:val="8"/>
  </w:num>
  <w:num w:numId="3" w16cid:durableId="2142917512">
    <w:abstractNumId w:val="16"/>
  </w:num>
  <w:num w:numId="4" w16cid:durableId="2002544257">
    <w:abstractNumId w:val="7"/>
  </w:num>
  <w:num w:numId="5" w16cid:durableId="1428497858">
    <w:abstractNumId w:val="13"/>
  </w:num>
  <w:num w:numId="6" w16cid:durableId="1788695837">
    <w:abstractNumId w:val="12"/>
  </w:num>
  <w:num w:numId="7" w16cid:durableId="950017446">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53568974">
    <w:abstractNumId w:val="15"/>
  </w:num>
  <w:num w:numId="9" w16cid:durableId="1594045358">
    <w:abstractNumId w:val="14"/>
  </w:num>
  <w:num w:numId="10" w16cid:durableId="520047647">
    <w:abstractNumId w:val="4"/>
  </w:num>
  <w:num w:numId="11" w16cid:durableId="3350368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304321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159601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87691434">
    <w:abstractNumId w:val="5"/>
  </w:num>
  <w:num w:numId="15" w16cid:durableId="1851720741">
    <w:abstractNumId w:val="1"/>
  </w:num>
  <w:num w:numId="16" w16cid:durableId="70785295">
    <w:abstractNumId w:val="17"/>
  </w:num>
  <w:num w:numId="17" w16cid:durableId="1457455260">
    <w:abstractNumId w:val="2"/>
  </w:num>
  <w:num w:numId="18" w16cid:durableId="559487789">
    <w:abstractNumId w:val="6"/>
  </w:num>
  <w:num w:numId="19" w16cid:durableId="1103692541">
    <w:abstractNumId w:val="3"/>
  </w:num>
  <w:num w:numId="20" w16cid:durableId="561795580">
    <w:abstractNumId w:val="9"/>
  </w:num>
  <w:num w:numId="21" w16cid:durableId="543102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FFC"/>
    <w:rsid w:val="0000044A"/>
    <w:rsid w:val="00000B69"/>
    <w:rsid w:val="0001380B"/>
    <w:rsid w:val="00014936"/>
    <w:rsid w:val="00022C2E"/>
    <w:rsid w:val="000267DB"/>
    <w:rsid w:val="00026DC6"/>
    <w:rsid w:val="00030DFF"/>
    <w:rsid w:val="00032848"/>
    <w:rsid w:val="00032C14"/>
    <w:rsid w:val="00034C49"/>
    <w:rsid w:val="00035E5E"/>
    <w:rsid w:val="0004229D"/>
    <w:rsid w:val="0005070D"/>
    <w:rsid w:val="000533A4"/>
    <w:rsid w:val="00054FE5"/>
    <w:rsid w:val="0005687E"/>
    <w:rsid w:val="00057B87"/>
    <w:rsid w:val="000611E5"/>
    <w:rsid w:val="0007006A"/>
    <w:rsid w:val="00071C66"/>
    <w:rsid w:val="000763B3"/>
    <w:rsid w:val="00077FE7"/>
    <w:rsid w:val="00080781"/>
    <w:rsid w:val="00081109"/>
    <w:rsid w:val="00091AE1"/>
    <w:rsid w:val="00092D91"/>
    <w:rsid w:val="0009401F"/>
    <w:rsid w:val="000A3145"/>
    <w:rsid w:val="000A44E3"/>
    <w:rsid w:val="000C1729"/>
    <w:rsid w:val="000C39BD"/>
    <w:rsid w:val="000D0B4D"/>
    <w:rsid w:val="000D3BF6"/>
    <w:rsid w:val="000D3E1A"/>
    <w:rsid w:val="000D74D0"/>
    <w:rsid w:val="000F0DD6"/>
    <w:rsid w:val="000F2625"/>
    <w:rsid w:val="000F5117"/>
    <w:rsid w:val="00100120"/>
    <w:rsid w:val="00110F8E"/>
    <w:rsid w:val="00113E2C"/>
    <w:rsid w:val="00114CFA"/>
    <w:rsid w:val="001345AE"/>
    <w:rsid w:val="001346E6"/>
    <w:rsid w:val="00135A84"/>
    <w:rsid w:val="00141E34"/>
    <w:rsid w:val="00143C38"/>
    <w:rsid w:val="00143D87"/>
    <w:rsid w:val="0014465E"/>
    <w:rsid w:val="00162371"/>
    <w:rsid w:val="001639C2"/>
    <w:rsid w:val="001650D5"/>
    <w:rsid w:val="00166D3B"/>
    <w:rsid w:val="00166FBE"/>
    <w:rsid w:val="00173CBC"/>
    <w:rsid w:val="001761B2"/>
    <w:rsid w:val="00177293"/>
    <w:rsid w:val="0017730C"/>
    <w:rsid w:val="00187617"/>
    <w:rsid w:val="001912C5"/>
    <w:rsid w:val="00194264"/>
    <w:rsid w:val="001A0ABC"/>
    <w:rsid w:val="001B12AF"/>
    <w:rsid w:val="001B1B5D"/>
    <w:rsid w:val="001B50EB"/>
    <w:rsid w:val="001C1DAC"/>
    <w:rsid w:val="001C4457"/>
    <w:rsid w:val="001C59A8"/>
    <w:rsid w:val="001C77F6"/>
    <w:rsid w:val="001D5558"/>
    <w:rsid w:val="001D69A6"/>
    <w:rsid w:val="001E418A"/>
    <w:rsid w:val="001F0989"/>
    <w:rsid w:val="001F26B5"/>
    <w:rsid w:val="002029FA"/>
    <w:rsid w:val="00204811"/>
    <w:rsid w:val="002063CD"/>
    <w:rsid w:val="00211F72"/>
    <w:rsid w:val="002153B7"/>
    <w:rsid w:val="002215EA"/>
    <w:rsid w:val="00226237"/>
    <w:rsid w:val="002341FB"/>
    <w:rsid w:val="00235BD3"/>
    <w:rsid w:val="0025091D"/>
    <w:rsid w:val="00253FF0"/>
    <w:rsid w:val="00255107"/>
    <w:rsid w:val="00255877"/>
    <w:rsid w:val="00256325"/>
    <w:rsid w:val="00260474"/>
    <w:rsid w:val="002678C2"/>
    <w:rsid w:val="00271151"/>
    <w:rsid w:val="00274CC0"/>
    <w:rsid w:val="00294DF4"/>
    <w:rsid w:val="0029506E"/>
    <w:rsid w:val="002B0AB2"/>
    <w:rsid w:val="002B341A"/>
    <w:rsid w:val="002B6525"/>
    <w:rsid w:val="002B7700"/>
    <w:rsid w:val="002C126F"/>
    <w:rsid w:val="002C5F25"/>
    <w:rsid w:val="002C689E"/>
    <w:rsid w:val="002C6BC6"/>
    <w:rsid w:val="002D1431"/>
    <w:rsid w:val="002D19AD"/>
    <w:rsid w:val="002D2C81"/>
    <w:rsid w:val="002D5173"/>
    <w:rsid w:val="002D789D"/>
    <w:rsid w:val="002E0E6B"/>
    <w:rsid w:val="002E13E5"/>
    <w:rsid w:val="002E65EF"/>
    <w:rsid w:val="002E6EAD"/>
    <w:rsid w:val="002E7B73"/>
    <w:rsid w:val="002F17DC"/>
    <w:rsid w:val="002F4F70"/>
    <w:rsid w:val="002F60BF"/>
    <w:rsid w:val="00302B1C"/>
    <w:rsid w:val="003105AC"/>
    <w:rsid w:val="00312C7C"/>
    <w:rsid w:val="003161D3"/>
    <w:rsid w:val="00316F7F"/>
    <w:rsid w:val="00316FE0"/>
    <w:rsid w:val="003225D2"/>
    <w:rsid w:val="003252C5"/>
    <w:rsid w:val="00327A0B"/>
    <w:rsid w:val="0033632B"/>
    <w:rsid w:val="003372E9"/>
    <w:rsid w:val="00340510"/>
    <w:rsid w:val="003427C8"/>
    <w:rsid w:val="00342883"/>
    <w:rsid w:val="00345720"/>
    <w:rsid w:val="003560DF"/>
    <w:rsid w:val="0036198E"/>
    <w:rsid w:val="00366EAF"/>
    <w:rsid w:val="0038607F"/>
    <w:rsid w:val="0038749E"/>
    <w:rsid w:val="00393610"/>
    <w:rsid w:val="003A1CBC"/>
    <w:rsid w:val="003A66A4"/>
    <w:rsid w:val="003B3236"/>
    <w:rsid w:val="003B4917"/>
    <w:rsid w:val="003C30A7"/>
    <w:rsid w:val="003C4F2E"/>
    <w:rsid w:val="003D1A46"/>
    <w:rsid w:val="003D3ED3"/>
    <w:rsid w:val="003D6C6B"/>
    <w:rsid w:val="003D6EA7"/>
    <w:rsid w:val="003E083F"/>
    <w:rsid w:val="003E34FA"/>
    <w:rsid w:val="003F478D"/>
    <w:rsid w:val="003F5F43"/>
    <w:rsid w:val="00404A9F"/>
    <w:rsid w:val="00426D4F"/>
    <w:rsid w:val="00427149"/>
    <w:rsid w:val="004318BF"/>
    <w:rsid w:val="00433D35"/>
    <w:rsid w:val="004342CA"/>
    <w:rsid w:val="004373CA"/>
    <w:rsid w:val="00441BED"/>
    <w:rsid w:val="004460F3"/>
    <w:rsid w:val="00473ADB"/>
    <w:rsid w:val="0047444F"/>
    <w:rsid w:val="00475305"/>
    <w:rsid w:val="00477376"/>
    <w:rsid w:val="00481A62"/>
    <w:rsid w:val="00483990"/>
    <w:rsid w:val="00486C34"/>
    <w:rsid w:val="00487A05"/>
    <w:rsid w:val="00490837"/>
    <w:rsid w:val="0049767C"/>
    <w:rsid w:val="004A0C5F"/>
    <w:rsid w:val="004A5D8F"/>
    <w:rsid w:val="004A7DC4"/>
    <w:rsid w:val="004B2B87"/>
    <w:rsid w:val="004B45A2"/>
    <w:rsid w:val="004B7532"/>
    <w:rsid w:val="004C0E57"/>
    <w:rsid w:val="004C77CB"/>
    <w:rsid w:val="004D665B"/>
    <w:rsid w:val="004D6F7D"/>
    <w:rsid w:val="004E1F5B"/>
    <w:rsid w:val="00511C92"/>
    <w:rsid w:val="00513ACA"/>
    <w:rsid w:val="005148FE"/>
    <w:rsid w:val="00515575"/>
    <w:rsid w:val="0051614E"/>
    <w:rsid w:val="005168DD"/>
    <w:rsid w:val="00516CC6"/>
    <w:rsid w:val="00521C43"/>
    <w:rsid w:val="005270DF"/>
    <w:rsid w:val="00532872"/>
    <w:rsid w:val="00533076"/>
    <w:rsid w:val="005339D5"/>
    <w:rsid w:val="0053649C"/>
    <w:rsid w:val="00536912"/>
    <w:rsid w:val="0054251A"/>
    <w:rsid w:val="00553771"/>
    <w:rsid w:val="0057278C"/>
    <w:rsid w:val="00573509"/>
    <w:rsid w:val="0057551F"/>
    <w:rsid w:val="00594C60"/>
    <w:rsid w:val="00595988"/>
    <w:rsid w:val="005A11EC"/>
    <w:rsid w:val="005A1AE0"/>
    <w:rsid w:val="005B1271"/>
    <w:rsid w:val="005B3933"/>
    <w:rsid w:val="005B6341"/>
    <w:rsid w:val="005D2B19"/>
    <w:rsid w:val="005D6DBE"/>
    <w:rsid w:val="005E5175"/>
    <w:rsid w:val="005F1FFC"/>
    <w:rsid w:val="005F249F"/>
    <w:rsid w:val="005F38E4"/>
    <w:rsid w:val="00600A9A"/>
    <w:rsid w:val="006213DD"/>
    <w:rsid w:val="00623624"/>
    <w:rsid w:val="00625395"/>
    <w:rsid w:val="00626F36"/>
    <w:rsid w:val="00627F12"/>
    <w:rsid w:val="00634112"/>
    <w:rsid w:val="00635204"/>
    <w:rsid w:val="00637913"/>
    <w:rsid w:val="00641707"/>
    <w:rsid w:val="00643848"/>
    <w:rsid w:val="00650767"/>
    <w:rsid w:val="0065680E"/>
    <w:rsid w:val="00664D05"/>
    <w:rsid w:val="00665C34"/>
    <w:rsid w:val="0068349A"/>
    <w:rsid w:val="00690B79"/>
    <w:rsid w:val="006A0E97"/>
    <w:rsid w:val="006A5577"/>
    <w:rsid w:val="006B7AD2"/>
    <w:rsid w:val="006C511F"/>
    <w:rsid w:val="006C7C21"/>
    <w:rsid w:val="006D1E8C"/>
    <w:rsid w:val="006D37FD"/>
    <w:rsid w:val="006D4E10"/>
    <w:rsid w:val="006E2197"/>
    <w:rsid w:val="006E6951"/>
    <w:rsid w:val="006F0A01"/>
    <w:rsid w:val="006F13DD"/>
    <w:rsid w:val="006F2252"/>
    <w:rsid w:val="007011FA"/>
    <w:rsid w:val="007059EE"/>
    <w:rsid w:val="00706218"/>
    <w:rsid w:val="00710CC5"/>
    <w:rsid w:val="00712E53"/>
    <w:rsid w:val="00715C7F"/>
    <w:rsid w:val="007319B7"/>
    <w:rsid w:val="00732F4F"/>
    <w:rsid w:val="00733C46"/>
    <w:rsid w:val="007355AA"/>
    <w:rsid w:val="00744ECB"/>
    <w:rsid w:val="0074629B"/>
    <w:rsid w:val="00751358"/>
    <w:rsid w:val="00763D5B"/>
    <w:rsid w:val="00765C7B"/>
    <w:rsid w:val="007675DE"/>
    <w:rsid w:val="00781087"/>
    <w:rsid w:val="00791AC9"/>
    <w:rsid w:val="0079339F"/>
    <w:rsid w:val="00793479"/>
    <w:rsid w:val="0079547E"/>
    <w:rsid w:val="007A30EB"/>
    <w:rsid w:val="007A6EE8"/>
    <w:rsid w:val="007B3EA2"/>
    <w:rsid w:val="007C0923"/>
    <w:rsid w:val="007C3C35"/>
    <w:rsid w:val="007C7E60"/>
    <w:rsid w:val="007D3D93"/>
    <w:rsid w:val="007E0A65"/>
    <w:rsid w:val="007E4CFE"/>
    <w:rsid w:val="007E7E37"/>
    <w:rsid w:val="007F3057"/>
    <w:rsid w:val="007F35B6"/>
    <w:rsid w:val="007F4556"/>
    <w:rsid w:val="00810FF4"/>
    <w:rsid w:val="0081330B"/>
    <w:rsid w:val="00814193"/>
    <w:rsid w:val="00816792"/>
    <w:rsid w:val="00816AA8"/>
    <w:rsid w:val="00823FDC"/>
    <w:rsid w:val="00855E15"/>
    <w:rsid w:val="008573A2"/>
    <w:rsid w:val="008576C7"/>
    <w:rsid w:val="008671F9"/>
    <w:rsid w:val="00875B65"/>
    <w:rsid w:val="0088222A"/>
    <w:rsid w:val="00882935"/>
    <w:rsid w:val="008964E9"/>
    <w:rsid w:val="008970DC"/>
    <w:rsid w:val="008A6525"/>
    <w:rsid w:val="008B001F"/>
    <w:rsid w:val="008B22BE"/>
    <w:rsid w:val="008B2CB9"/>
    <w:rsid w:val="008B40CD"/>
    <w:rsid w:val="008B54DF"/>
    <w:rsid w:val="008C44A7"/>
    <w:rsid w:val="008C7818"/>
    <w:rsid w:val="008D02A4"/>
    <w:rsid w:val="008D3161"/>
    <w:rsid w:val="008D38AE"/>
    <w:rsid w:val="008D3940"/>
    <w:rsid w:val="008E164F"/>
    <w:rsid w:val="008E3E92"/>
    <w:rsid w:val="008E5D30"/>
    <w:rsid w:val="008E777F"/>
    <w:rsid w:val="008F5E08"/>
    <w:rsid w:val="008F5FC1"/>
    <w:rsid w:val="0090025B"/>
    <w:rsid w:val="00904477"/>
    <w:rsid w:val="0092092B"/>
    <w:rsid w:val="00923029"/>
    <w:rsid w:val="009336CF"/>
    <w:rsid w:val="00953C18"/>
    <w:rsid w:val="00954684"/>
    <w:rsid w:val="00955CDF"/>
    <w:rsid w:val="00960426"/>
    <w:rsid w:val="00963C48"/>
    <w:rsid w:val="0096415E"/>
    <w:rsid w:val="009664D0"/>
    <w:rsid w:val="00967432"/>
    <w:rsid w:val="0097154F"/>
    <w:rsid w:val="00973293"/>
    <w:rsid w:val="00977470"/>
    <w:rsid w:val="009857A9"/>
    <w:rsid w:val="00990CFC"/>
    <w:rsid w:val="009936CA"/>
    <w:rsid w:val="00994943"/>
    <w:rsid w:val="00996A0D"/>
    <w:rsid w:val="009A13BD"/>
    <w:rsid w:val="009A51BC"/>
    <w:rsid w:val="009A641F"/>
    <w:rsid w:val="009B30FA"/>
    <w:rsid w:val="009B3CA2"/>
    <w:rsid w:val="009C10E1"/>
    <w:rsid w:val="009C5ABF"/>
    <w:rsid w:val="009C7539"/>
    <w:rsid w:val="009D195A"/>
    <w:rsid w:val="009D31BE"/>
    <w:rsid w:val="009D33D2"/>
    <w:rsid w:val="009D412E"/>
    <w:rsid w:val="009D7886"/>
    <w:rsid w:val="009E0EF0"/>
    <w:rsid w:val="009E1042"/>
    <w:rsid w:val="009E47CC"/>
    <w:rsid w:val="009E76E0"/>
    <w:rsid w:val="009F0BC4"/>
    <w:rsid w:val="009F3A08"/>
    <w:rsid w:val="009F4469"/>
    <w:rsid w:val="009F49A3"/>
    <w:rsid w:val="009F6E69"/>
    <w:rsid w:val="009F7E64"/>
    <w:rsid w:val="00A0364C"/>
    <w:rsid w:val="00A0474C"/>
    <w:rsid w:val="00A06C9A"/>
    <w:rsid w:val="00A133F2"/>
    <w:rsid w:val="00A13C84"/>
    <w:rsid w:val="00A30AA0"/>
    <w:rsid w:val="00A358CE"/>
    <w:rsid w:val="00A36144"/>
    <w:rsid w:val="00A4452C"/>
    <w:rsid w:val="00A47771"/>
    <w:rsid w:val="00A55878"/>
    <w:rsid w:val="00A622E9"/>
    <w:rsid w:val="00A637BE"/>
    <w:rsid w:val="00A67A6C"/>
    <w:rsid w:val="00A71151"/>
    <w:rsid w:val="00A74852"/>
    <w:rsid w:val="00A768BC"/>
    <w:rsid w:val="00A818AE"/>
    <w:rsid w:val="00A83ED2"/>
    <w:rsid w:val="00A84128"/>
    <w:rsid w:val="00A9021D"/>
    <w:rsid w:val="00A90DA3"/>
    <w:rsid w:val="00A92A19"/>
    <w:rsid w:val="00A93967"/>
    <w:rsid w:val="00AA633C"/>
    <w:rsid w:val="00AA66A0"/>
    <w:rsid w:val="00AA6EC1"/>
    <w:rsid w:val="00AC2DFF"/>
    <w:rsid w:val="00AD0BCB"/>
    <w:rsid w:val="00AD2890"/>
    <w:rsid w:val="00AD7C75"/>
    <w:rsid w:val="00AF1678"/>
    <w:rsid w:val="00AF51D0"/>
    <w:rsid w:val="00B0041E"/>
    <w:rsid w:val="00B02F1E"/>
    <w:rsid w:val="00B03988"/>
    <w:rsid w:val="00B07D28"/>
    <w:rsid w:val="00B10271"/>
    <w:rsid w:val="00B16815"/>
    <w:rsid w:val="00B258FB"/>
    <w:rsid w:val="00B30BA4"/>
    <w:rsid w:val="00B31A00"/>
    <w:rsid w:val="00B35205"/>
    <w:rsid w:val="00B40188"/>
    <w:rsid w:val="00B4366D"/>
    <w:rsid w:val="00B43E7B"/>
    <w:rsid w:val="00B45C2A"/>
    <w:rsid w:val="00B520AF"/>
    <w:rsid w:val="00B7194A"/>
    <w:rsid w:val="00B76BED"/>
    <w:rsid w:val="00B804F3"/>
    <w:rsid w:val="00B85F31"/>
    <w:rsid w:val="00B860C7"/>
    <w:rsid w:val="00B92BDE"/>
    <w:rsid w:val="00B94E87"/>
    <w:rsid w:val="00B96DD6"/>
    <w:rsid w:val="00B974E3"/>
    <w:rsid w:val="00BA1433"/>
    <w:rsid w:val="00BA4383"/>
    <w:rsid w:val="00BA4970"/>
    <w:rsid w:val="00BC10FD"/>
    <w:rsid w:val="00BC16BB"/>
    <w:rsid w:val="00BC3D31"/>
    <w:rsid w:val="00BC56A2"/>
    <w:rsid w:val="00BC5B56"/>
    <w:rsid w:val="00BD42E6"/>
    <w:rsid w:val="00BD440C"/>
    <w:rsid w:val="00BD596F"/>
    <w:rsid w:val="00BD5E5B"/>
    <w:rsid w:val="00BD634B"/>
    <w:rsid w:val="00BD789B"/>
    <w:rsid w:val="00BD7D0B"/>
    <w:rsid w:val="00BE4034"/>
    <w:rsid w:val="00BE414D"/>
    <w:rsid w:val="00BE61FE"/>
    <w:rsid w:val="00BF3B8E"/>
    <w:rsid w:val="00BF6D43"/>
    <w:rsid w:val="00C01BBE"/>
    <w:rsid w:val="00C05B3E"/>
    <w:rsid w:val="00C26D14"/>
    <w:rsid w:val="00C3035E"/>
    <w:rsid w:val="00C3225C"/>
    <w:rsid w:val="00C34282"/>
    <w:rsid w:val="00C34CD3"/>
    <w:rsid w:val="00C37D4E"/>
    <w:rsid w:val="00C40CD8"/>
    <w:rsid w:val="00C41186"/>
    <w:rsid w:val="00C4132E"/>
    <w:rsid w:val="00C41820"/>
    <w:rsid w:val="00C44DA9"/>
    <w:rsid w:val="00C51760"/>
    <w:rsid w:val="00C51ED4"/>
    <w:rsid w:val="00C52425"/>
    <w:rsid w:val="00C602F5"/>
    <w:rsid w:val="00C62364"/>
    <w:rsid w:val="00C6633F"/>
    <w:rsid w:val="00C701D2"/>
    <w:rsid w:val="00C70859"/>
    <w:rsid w:val="00C75F26"/>
    <w:rsid w:val="00C7631A"/>
    <w:rsid w:val="00C801D4"/>
    <w:rsid w:val="00C812E5"/>
    <w:rsid w:val="00C86DD8"/>
    <w:rsid w:val="00C8745F"/>
    <w:rsid w:val="00CA25AC"/>
    <w:rsid w:val="00CA6DAB"/>
    <w:rsid w:val="00CB33D0"/>
    <w:rsid w:val="00CB5026"/>
    <w:rsid w:val="00CB6B31"/>
    <w:rsid w:val="00CB6D80"/>
    <w:rsid w:val="00CC2D48"/>
    <w:rsid w:val="00CC384D"/>
    <w:rsid w:val="00CC45DE"/>
    <w:rsid w:val="00CC5231"/>
    <w:rsid w:val="00CC7299"/>
    <w:rsid w:val="00CC7831"/>
    <w:rsid w:val="00CD5F33"/>
    <w:rsid w:val="00CE13C5"/>
    <w:rsid w:val="00CE2CA6"/>
    <w:rsid w:val="00CE36FF"/>
    <w:rsid w:val="00CE65D6"/>
    <w:rsid w:val="00CE6EF6"/>
    <w:rsid w:val="00CE781E"/>
    <w:rsid w:val="00CF1807"/>
    <w:rsid w:val="00CF54AB"/>
    <w:rsid w:val="00CF6E73"/>
    <w:rsid w:val="00D13CC0"/>
    <w:rsid w:val="00D152D6"/>
    <w:rsid w:val="00D1640B"/>
    <w:rsid w:val="00D16BB4"/>
    <w:rsid w:val="00D1702D"/>
    <w:rsid w:val="00D21CAF"/>
    <w:rsid w:val="00D273A5"/>
    <w:rsid w:val="00D27747"/>
    <w:rsid w:val="00D27EE7"/>
    <w:rsid w:val="00D35E81"/>
    <w:rsid w:val="00D41323"/>
    <w:rsid w:val="00D51A8E"/>
    <w:rsid w:val="00D5266A"/>
    <w:rsid w:val="00D54E06"/>
    <w:rsid w:val="00D561AD"/>
    <w:rsid w:val="00D73488"/>
    <w:rsid w:val="00D74580"/>
    <w:rsid w:val="00D84541"/>
    <w:rsid w:val="00D86091"/>
    <w:rsid w:val="00DA0728"/>
    <w:rsid w:val="00DA0CF0"/>
    <w:rsid w:val="00DA62F9"/>
    <w:rsid w:val="00DB1A6E"/>
    <w:rsid w:val="00DD1FDE"/>
    <w:rsid w:val="00DD20FC"/>
    <w:rsid w:val="00DD3EB0"/>
    <w:rsid w:val="00DD40BE"/>
    <w:rsid w:val="00DD6F06"/>
    <w:rsid w:val="00DE2E05"/>
    <w:rsid w:val="00DE3025"/>
    <w:rsid w:val="00DE6849"/>
    <w:rsid w:val="00DE70D6"/>
    <w:rsid w:val="00DF2DAA"/>
    <w:rsid w:val="00E0047E"/>
    <w:rsid w:val="00E0306E"/>
    <w:rsid w:val="00E073B8"/>
    <w:rsid w:val="00E22A8C"/>
    <w:rsid w:val="00E2598F"/>
    <w:rsid w:val="00E27966"/>
    <w:rsid w:val="00E30F77"/>
    <w:rsid w:val="00E31770"/>
    <w:rsid w:val="00E33814"/>
    <w:rsid w:val="00E34C47"/>
    <w:rsid w:val="00E35C99"/>
    <w:rsid w:val="00E365FF"/>
    <w:rsid w:val="00E44531"/>
    <w:rsid w:val="00E509E8"/>
    <w:rsid w:val="00E577E0"/>
    <w:rsid w:val="00E6073A"/>
    <w:rsid w:val="00E621CC"/>
    <w:rsid w:val="00E63DE1"/>
    <w:rsid w:val="00E66CDA"/>
    <w:rsid w:val="00E71F49"/>
    <w:rsid w:val="00E81562"/>
    <w:rsid w:val="00E81DA1"/>
    <w:rsid w:val="00E85B4C"/>
    <w:rsid w:val="00E939D3"/>
    <w:rsid w:val="00EA1984"/>
    <w:rsid w:val="00EA669E"/>
    <w:rsid w:val="00EB0A8A"/>
    <w:rsid w:val="00EB4DF0"/>
    <w:rsid w:val="00EB554A"/>
    <w:rsid w:val="00EC2804"/>
    <w:rsid w:val="00EC3939"/>
    <w:rsid w:val="00EC3EAA"/>
    <w:rsid w:val="00ED26B5"/>
    <w:rsid w:val="00EE31E1"/>
    <w:rsid w:val="00EE4BC1"/>
    <w:rsid w:val="00EE6C88"/>
    <w:rsid w:val="00EF2DEA"/>
    <w:rsid w:val="00EF7FBD"/>
    <w:rsid w:val="00F035EE"/>
    <w:rsid w:val="00F04735"/>
    <w:rsid w:val="00F04E75"/>
    <w:rsid w:val="00F07733"/>
    <w:rsid w:val="00F07C26"/>
    <w:rsid w:val="00F10718"/>
    <w:rsid w:val="00F10F75"/>
    <w:rsid w:val="00F13A08"/>
    <w:rsid w:val="00F1588B"/>
    <w:rsid w:val="00F213B5"/>
    <w:rsid w:val="00F2419A"/>
    <w:rsid w:val="00F26141"/>
    <w:rsid w:val="00F307E5"/>
    <w:rsid w:val="00F32331"/>
    <w:rsid w:val="00F32901"/>
    <w:rsid w:val="00F348C5"/>
    <w:rsid w:val="00F43FAC"/>
    <w:rsid w:val="00F449B5"/>
    <w:rsid w:val="00F50D5F"/>
    <w:rsid w:val="00F52081"/>
    <w:rsid w:val="00F52D42"/>
    <w:rsid w:val="00F555C7"/>
    <w:rsid w:val="00F561CC"/>
    <w:rsid w:val="00F60B0E"/>
    <w:rsid w:val="00F62EE2"/>
    <w:rsid w:val="00F660E8"/>
    <w:rsid w:val="00F70BBC"/>
    <w:rsid w:val="00F71F03"/>
    <w:rsid w:val="00F7353F"/>
    <w:rsid w:val="00F804DD"/>
    <w:rsid w:val="00F85F5D"/>
    <w:rsid w:val="00F9485D"/>
    <w:rsid w:val="00F97A0C"/>
    <w:rsid w:val="00FB4384"/>
    <w:rsid w:val="00FB4B0E"/>
    <w:rsid w:val="00FB531D"/>
    <w:rsid w:val="00FC21D2"/>
    <w:rsid w:val="00FD39F0"/>
    <w:rsid w:val="00FD45EB"/>
    <w:rsid w:val="00FD666D"/>
    <w:rsid w:val="00FE5C11"/>
    <w:rsid w:val="00FF4B47"/>
    <w:rsid w:val="00FF6C5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5835986"/>
  <w15:docId w15:val="{C5A07F7B-7F04-49F9-A842-239130950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F1FFC"/>
  </w:style>
  <w:style w:type="paragraph" w:styleId="Heading1">
    <w:name w:val="heading 1"/>
    <w:basedOn w:val="Normal"/>
    <w:next w:val="Normal"/>
    <w:qFormat/>
    <w:rsid w:val="005F1FFC"/>
    <w:pPr>
      <w:keepNext/>
      <w:numPr>
        <w:ilvl w:val="12"/>
      </w:numPr>
      <w:ind w:left="2160"/>
      <w:outlineLvl w:val="0"/>
    </w:pPr>
    <w:rPr>
      <w:sz w:val="24"/>
    </w:rPr>
  </w:style>
  <w:style w:type="paragraph" w:styleId="Heading2">
    <w:name w:val="heading 2"/>
    <w:basedOn w:val="Normal"/>
    <w:next w:val="Normal"/>
    <w:qFormat/>
    <w:rsid w:val="005F1FFC"/>
    <w:pPr>
      <w:keepNext/>
      <w:ind w:firstLine="720"/>
      <w:outlineLvl w:val="1"/>
    </w:pPr>
    <w:rPr>
      <w:b/>
      <w:sz w:val="24"/>
      <w:u w:val="single"/>
    </w:rPr>
  </w:style>
  <w:style w:type="paragraph" w:styleId="Heading3">
    <w:name w:val="heading 3"/>
    <w:basedOn w:val="Normal"/>
    <w:next w:val="Normal"/>
    <w:qFormat/>
    <w:rsid w:val="005F1FFC"/>
    <w:pPr>
      <w:keepNext/>
      <w:outlineLvl w:val="2"/>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F1FFC"/>
    <w:rPr>
      <w:sz w:val="24"/>
    </w:rPr>
  </w:style>
  <w:style w:type="character" w:styleId="CommentReference">
    <w:name w:val="annotation reference"/>
    <w:semiHidden/>
    <w:rsid w:val="005F1FFC"/>
    <w:rPr>
      <w:sz w:val="16"/>
      <w:szCs w:val="16"/>
    </w:rPr>
  </w:style>
  <w:style w:type="paragraph" w:styleId="CommentText">
    <w:name w:val="annotation text"/>
    <w:basedOn w:val="Normal"/>
    <w:link w:val="CommentTextChar"/>
    <w:semiHidden/>
    <w:rsid w:val="005F1FFC"/>
  </w:style>
  <w:style w:type="paragraph" w:styleId="BalloonText">
    <w:name w:val="Balloon Text"/>
    <w:basedOn w:val="Normal"/>
    <w:semiHidden/>
    <w:rsid w:val="005F1FFC"/>
    <w:rPr>
      <w:rFonts w:ascii="Tahoma" w:hAnsi="Tahoma" w:cs="Tahoma"/>
      <w:sz w:val="16"/>
      <w:szCs w:val="16"/>
    </w:rPr>
  </w:style>
  <w:style w:type="paragraph" w:styleId="CommentSubject">
    <w:name w:val="annotation subject"/>
    <w:basedOn w:val="CommentText"/>
    <w:next w:val="CommentText"/>
    <w:semiHidden/>
    <w:rsid w:val="006E6951"/>
    <w:rPr>
      <w:b/>
      <w:bCs/>
    </w:rPr>
  </w:style>
  <w:style w:type="paragraph" w:styleId="ListParagraph">
    <w:name w:val="List Paragraph"/>
    <w:basedOn w:val="Normal"/>
    <w:uiPriority w:val="34"/>
    <w:qFormat/>
    <w:rsid w:val="00E365FF"/>
    <w:pPr>
      <w:ind w:left="720"/>
    </w:pPr>
    <w:rPr>
      <w:rFonts w:ascii="Calibri" w:eastAsia="Calibri" w:hAnsi="Calibri"/>
      <w:sz w:val="22"/>
      <w:szCs w:val="22"/>
    </w:rPr>
  </w:style>
  <w:style w:type="table" w:styleId="TableGrid">
    <w:name w:val="Table Grid"/>
    <w:basedOn w:val="TableNormal"/>
    <w:rsid w:val="003427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7376"/>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79547E"/>
    <w:pPr>
      <w:tabs>
        <w:tab w:val="center" w:pos="4680"/>
        <w:tab w:val="right" w:pos="9360"/>
      </w:tabs>
    </w:pPr>
  </w:style>
  <w:style w:type="character" w:customStyle="1" w:styleId="HeaderChar">
    <w:name w:val="Header Char"/>
    <w:basedOn w:val="DefaultParagraphFont"/>
    <w:link w:val="Header"/>
    <w:uiPriority w:val="99"/>
    <w:rsid w:val="0079547E"/>
  </w:style>
  <w:style w:type="paragraph" w:styleId="Footer">
    <w:name w:val="footer"/>
    <w:basedOn w:val="Normal"/>
    <w:link w:val="FooterChar"/>
    <w:uiPriority w:val="99"/>
    <w:rsid w:val="0079547E"/>
    <w:pPr>
      <w:tabs>
        <w:tab w:val="center" w:pos="4680"/>
        <w:tab w:val="right" w:pos="9360"/>
      </w:tabs>
    </w:pPr>
  </w:style>
  <w:style w:type="character" w:customStyle="1" w:styleId="FooterChar">
    <w:name w:val="Footer Char"/>
    <w:basedOn w:val="DefaultParagraphFont"/>
    <w:link w:val="Footer"/>
    <w:uiPriority w:val="99"/>
    <w:rsid w:val="0079547E"/>
  </w:style>
  <w:style w:type="paragraph" w:styleId="Revision">
    <w:name w:val="Revision"/>
    <w:hidden/>
    <w:uiPriority w:val="99"/>
    <w:semiHidden/>
    <w:rsid w:val="00F26141"/>
  </w:style>
  <w:style w:type="paragraph" w:styleId="FootnoteText">
    <w:name w:val="footnote text"/>
    <w:aliases w:val="ALTS FOOTNOTE,Car,Footnote Text Char Char,Footnote Text Char Char Char Char,Footnote Text Char Char Char Char Char Char Char Char Char Char Char Char Char Char Char Char Char,Footnote Text Char1,Footnote Text Char1 Char Char,Style 15,fn,ft"/>
    <w:basedOn w:val="Normal"/>
    <w:link w:val="FootnoteTextChar"/>
    <w:uiPriority w:val="99"/>
    <w:qFormat/>
    <w:rsid w:val="00F26141"/>
  </w:style>
  <w:style w:type="character" w:customStyle="1" w:styleId="FootnoteTextChar">
    <w:name w:val="Footnote Text Char"/>
    <w:aliases w:val="ALTS FOOTNOTE Char,Car Char,Footnote Text Char Char Char,Footnote Text Char Char Char Char Char,Footnote Text Char Char Char Char Char Char Char Char Char Char Char Char Char Char Char Char Char Char,Footnote Text Char1 Char,fn Char"/>
    <w:basedOn w:val="DefaultParagraphFont"/>
    <w:link w:val="FootnoteText"/>
    <w:uiPriority w:val="99"/>
    <w:rsid w:val="00F26141"/>
  </w:style>
  <w:style w:type="character" w:styleId="FootnoteReference">
    <w:name w:val="footnote reference"/>
    <w:aliases w:val="(Footnote Reference),12,BVI fnr,EN Footnote Reference,Exposant 3 Point,Footnote,Footnote Reference Superscript,Footnote reference number,Footnote symbol,SUPERS,Style 16,Style 19,Style 35,Times 10 Point,Voetnootverwijzing,fr,note TESI"/>
    <w:uiPriority w:val="99"/>
    <w:qFormat/>
    <w:rsid w:val="00F26141"/>
    <w:rPr>
      <w:vertAlign w:val="superscript"/>
    </w:rPr>
  </w:style>
  <w:style w:type="paragraph" w:styleId="NormalWeb">
    <w:name w:val="Normal (Web)"/>
    <w:basedOn w:val="Normal"/>
    <w:uiPriority w:val="99"/>
    <w:unhideWhenUsed/>
    <w:rsid w:val="00EA669E"/>
    <w:pPr>
      <w:spacing w:before="100" w:beforeAutospacing="1" w:after="100" w:afterAutospacing="1"/>
    </w:pPr>
    <w:rPr>
      <w:sz w:val="24"/>
      <w:szCs w:val="24"/>
    </w:rPr>
  </w:style>
  <w:style w:type="character" w:styleId="Hyperlink">
    <w:name w:val="Hyperlink"/>
    <w:uiPriority w:val="99"/>
    <w:unhideWhenUsed/>
    <w:rsid w:val="00B92BDE"/>
    <w:rPr>
      <w:color w:val="0563C1"/>
      <w:u w:val="single"/>
    </w:rPr>
  </w:style>
  <w:style w:type="character" w:customStyle="1" w:styleId="CommentTextChar">
    <w:name w:val="Comment Text Char"/>
    <w:link w:val="CommentText"/>
    <w:semiHidden/>
    <w:rsid w:val="00DD1FDE"/>
  </w:style>
  <w:style w:type="paragraph" w:styleId="HTMLPreformatted">
    <w:name w:val="HTML Preformatted"/>
    <w:basedOn w:val="Normal"/>
    <w:link w:val="HTMLPreformattedChar"/>
    <w:rsid w:val="0057278C"/>
    <w:rPr>
      <w:rFonts w:ascii="Courier New" w:hAnsi="Courier New" w:cs="Courier New"/>
    </w:rPr>
  </w:style>
  <w:style w:type="character" w:customStyle="1" w:styleId="HTMLPreformattedChar">
    <w:name w:val="HTML Preformatted Char"/>
    <w:link w:val="HTMLPreformatted"/>
    <w:rsid w:val="0057278C"/>
    <w:rPr>
      <w:rFonts w:ascii="Courier New" w:hAnsi="Courier New" w:cs="Courier New"/>
    </w:rPr>
  </w:style>
  <w:style w:type="paragraph" w:styleId="Title">
    <w:name w:val="Title"/>
    <w:basedOn w:val="Normal"/>
    <w:link w:val="TitleChar"/>
    <w:uiPriority w:val="99"/>
    <w:qFormat/>
    <w:rsid w:val="0079339F"/>
    <w:pPr>
      <w:keepNext/>
      <w:spacing w:before="480" w:after="240"/>
      <w:jc w:val="center"/>
    </w:pPr>
    <w:rPr>
      <w:rFonts w:ascii="Calibri Light" w:hAnsi="Calibri Light" w:eastAsiaTheme="minorHAnsi"/>
      <w:b/>
      <w:bCs/>
      <w:color w:val="2C6EAB"/>
      <w:sz w:val="36"/>
      <w:szCs w:val="36"/>
    </w:rPr>
  </w:style>
  <w:style w:type="character" w:customStyle="1" w:styleId="TitleChar">
    <w:name w:val="Title Char"/>
    <w:basedOn w:val="DefaultParagraphFont"/>
    <w:link w:val="Title"/>
    <w:uiPriority w:val="99"/>
    <w:rsid w:val="0079339F"/>
    <w:rPr>
      <w:rFonts w:ascii="Calibri Light" w:hAnsi="Calibri Light" w:eastAsiaTheme="minorHAnsi"/>
      <w:b/>
      <w:bCs/>
      <w:color w:val="2C6EAB"/>
      <w:sz w:val="36"/>
      <w:szCs w:val="36"/>
    </w:rPr>
  </w:style>
  <w:style w:type="paragraph" w:customStyle="1" w:styleId="ReportCover-Title">
    <w:name w:val="ReportCover-Title"/>
    <w:basedOn w:val="Normal"/>
    <w:uiPriority w:val="99"/>
    <w:rsid w:val="0079339F"/>
    <w:pPr>
      <w:spacing w:line="480" w:lineRule="exact"/>
    </w:pPr>
    <w:rPr>
      <w:rFonts w:ascii="Franklin Gothic Medium" w:hAnsi="Franklin Gothic Medium" w:eastAsiaTheme="minorHAnsi"/>
      <w:b/>
      <w:bCs/>
      <w:color w:val="003C79"/>
      <w:sz w:val="44"/>
      <w:szCs w:val="44"/>
    </w:rPr>
  </w:style>
  <w:style w:type="character" w:styleId="FollowedHyperlink">
    <w:name w:val="FollowedHyperlink"/>
    <w:basedOn w:val="DefaultParagraphFont"/>
    <w:semiHidden/>
    <w:unhideWhenUsed/>
    <w:rsid w:val="00071C66"/>
    <w:rPr>
      <w:color w:val="954F72" w:themeColor="followedHyperlink"/>
      <w:u w:val="single"/>
    </w:rPr>
  </w:style>
  <w:style w:type="paragraph" w:customStyle="1" w:styleId="FigureHeading">
    <w:name w:val="Figure Heading"/>
    <w:basedOn w:val="Normal"/>
    <w:rsid w:val="00071C66"/>
    <w:pPr>
      <w:spacing w:before="100" w:beforeAutospacing="1" w:after="100" w:afterAutospacing="1" w:line="480" w:lineRule="auto"/>
    </w:pPr>
    <w:rPr>
      <w:sz w:val="24"/>
      <w:szCs w:val="24"/>
    </w:rPr>
  </w:style>
  <w:style w:type="paragraph" w:customStyle="1" w:styleId="Level1">
    <w:name w:val="Level 1"/>
    <w:basedOn w:val="Normal"/>
    <w:rsid w:val="00F660E8"/>
    <w:pPr>
      <w:widowControl w:val="0"/>
      <w:autoSpaceDE w:val="0"/>
      <w:autoSpaceDN w:val="0"/>
      <w:adjustRightInd w:val="0"/>
      <w:ind w:left="360" w:hanging="360"/>
    </w:pPr>
    <w:rPr>
      <w:sz w:val="24"/>
      <w:szCs w:val="24"/>
    </w:rPr>
  </w:style>
  <w:style w:type="character" w:styleId="UnresolvedMention">
    <w:name w:val="Unresolved Mention"/>
    <w:basedOn w:val="DefaultParagraphFont"/>
    <w:uiPriority w:val="99"/>
    <w:semiHidden/>
    <w:unhideWhenUsed/>
    <w:rsid w:val="00E81562"/>
    <w:rPr>
      <w:color w:val="605E5C"/>
      <w:shd w:val="clear" w:color="auto" w:fill="E1DFDD"/>
    </w:rPr>
  </w:style>
  <w:style w:type="paragraph" w:customStyle="1" w:styleId="CM12">
    <w:name w:val="CM12"/>
    <w:basedOn w:val="Normal"/>
    <w:next w:val="Normal"/>
    <w:uiPriority w:val="99"/>
    <w:rsid w:val="00A133F2"/>
    <w:pPr>
      <w:widowControl w:val="0"/>
      <w:autoSpaceDE w:val="0"/>
      <w:autoSpaceDN w:val="0"/>
      <w:adjustRightInd w:val="0"/>
    </w:pPr>
    <w:rPr>
      <w:sz w:val="24"/>
      <w:szCs w:val="24"/>
    </w:rPr>
  </w:style>
  <w:style w:type="paragraph" w:styleId="NoSpacing">
    <w:name w:val="No Spacing"/>
    <w:uiPriority w:val="1"/>
    <w:qFormat/>
    <w:rsid w:val="000A3145"/>
    <w:rPr>
      <w:rFonts w:eastAsia="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reginfo.gov" TargetMode="External" /><Relationship Id="rId11" Type="http://schemas.openxmlformats.org/officeDocument/2006/relationships/hyperlink" Target="https://www.reginfo.gov/public/do/PRAMain"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131041.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8097749c-35e3-4292-9c41-d352b303d2cf" xsi:nil="true"/>
    <_dlc_DocId xmlns="8097749c-35e3-4292-9c41-d352b303d2cf">OPSOCDOPRA-2116056712-2137348</_dlc_DocId>
    <_dlc_DocIdUrl xmlns="8097749c-35e3-4292-9c41-d352b303d2cf">
      <Url>https://bcfp365.sharepoint.com/sites/ops-ocdo-pra/_layouts/15/DocIdRedir.aspx?ID=OPSOCDOPRA-2116056712-2137348</Url>
      <Description>OPSOCDOPRA-2116056712-2137348</Description>
    </_dlc_DocIdUrl>
    <md95245a80cd48af84779a6a8432aa88 xmlns="3c358492-2927-472d-85d8-14627d068203">
      <Terms xmlns="http://schemas.microsoft.com/office/infopath/2007/PartnerControls"/>
    </md95245a80cd48af84779a6a8432aa88>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85D45C2A73B2044AA928D1A4A0975BEA" ma:contentTypeVersion="11" ma:contentTypeDescription="Create a new document." ma:contentTypeScope="" ma:versionID="bcf0b502434c91beab762fbe7d1749f3">
  <xsd:schema xmlns:xsd="http://www.w3.org/2001/XMLSchema" xmlns:xs="http://www.w3.org/2001/XMLSchema" xmlns:p="http://schemas.microsoft.com/office/2006/metadata/properties" xmlns:ns1="http://schemas.microsoft.com/sharepoint/v3" xmlns:ns2="8097749c-35e3-4292-9c41-d352b303d2cf" xmlns:ns3="3c358492-2927-472d-85d8-14627d068203" targetNamespace="http://schemas.microsoft.com/office/2006/metadata/properties" ma:root="true" ma:fieldsID="4f9f3f65cff125e9cf89cea205f54916" ns1:_="" ns2:_="" ns3:_="">
    <xsd:import namespace="http://schemas.microsoft.com/sharepoint/v3"/>
    <xsd:import namespace="8097749c-35e3-4292-9c41-d352b303d2cf"/>
    <xsd:import namespace="3c358492-2927-472d-85d8-14627d068203"/>
    <xsd:element name="properties">
      <xsd:complexType>
        <xsd:sequence>
          <xsd:element name="documentManagement">
            <xsd:complexType>
              <xsd:all>
                <xsd:element ref="ns2:_dlc_DocId" minOccurs="0"/>
                <xsd:element ref="ns2:_dlc_DocIdUrl" minOccurs="0"/>
                <xsd:element ref="ns2:_dlc_DocIdPersistId" minOccurs="0"/>
                <xsd:element ref="ns3:md95245a80cd48af84779a6a8432aa88" minOccurs="0"/>
                <xsd:element ref="ns2:TaxCatchAll" minOccurs="0"/>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97749c-35e3-4292-9c41-d352b303d2c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F6996E50-6167-4F6A-816F-F280A416998A}" ma:internalName="TaxCatchAll" ma:showField="CatchAllData" ma:web="{5458c64a-d869-4846-b04a-e34ae52888f8}">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358492-2927-472d-85d8-14627d068203" elementFormDefault="qualified">
    <xsd:import namespace="http://schemas.microsoft.com/office/2006/documentManagement/types"/>
    <xsd:import namespace="http://schemas.microsoft.com/office/infopath/2007/PartnerControls"/>
    <xsd:element name="md95245a80cd48af84779a6a8432aa88" ma:index="12" nillable="true" ma:taxonomy="true" ma:internalName="md95245a80cd48af84779a6a8432aa88" ma:taxonomyFieldName="CUI" ma:displayName="CUI" ma:default="" ma:fieldId="{6d95245a-80cd-48af-8477-9a6a8432aa88}" ma:sspId="05f0ae79-fa7d-42cd-a738-9aebccb3fb89" ma:termSetId="056e803e-c464-4b76-87f0-4ddd4fab406a" ma:anchorId="00000000-0000-0000-0000-000000000000" ma:open="false" ma:isKeyword="false">
      <xsd:complexType>
        <xsd:sequence>
          <xsd:element ref="pc:Terms" minOccurs="0" maxOccurs="1"/>
        </xsd:sequence>
      </xsd:complex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777288-46B4-4990-A15A-6CDF99E236EA}">
  <ds:schemaRefs>
    <ds:schemaRef ds:uri="http://schemas.microsoft.com/sharepoint/events"/>
  </ds:schemaRefs>
</ds:datastoreItem>
</file>

<file path=customXml/itemProps2.xml><?xml version="1.0" encoding="utf-8"?>
<ds:datastoreItem xmlns:ds="http://schemas.openxmlformats.org/officeDocument/2006/customXml" ds:itemID="{6FB63515-9552-4602-80A9-3E25B9B29895}">
  <ds:schemaRefs>
    <ds:schemaRef ds:uri="http://schemas.microsoft.com/office/2006/metadata/properties"/>
    <ds:schemaRef ds:uri="http://schemas.microsoft.com/office/infopath/2007/PartnerControls"/>
    <ds:schemaRef ds:uri="http://schemas.microsoft.com/sharepoint/v3"/>
    <ds:schemaRef ds:uri="8097749c-35e3-4292-9c41-d352b303d2cf"/>
    <ds:schemaRef ds:uri="3c358492-2927-472d-85d8-14627d068203"/>
  </ds:schemaRefs>
</ds:datastoreItem>
</file>

<file path=customXml/itemProps3.xml><?xml version="1.0" encoding="utf-8"?>
<ds:datastoreItem xmlns:ds="http://schemas.openxmlformats.org/officeDocument/2006/customXml" ds:itemID="{C8D0DF7C-97A2-4A3B-A427-1AFB45DBC97A}">
  <ds:schemaRefs>
    <ds:schemaRef ds:uri="http://schemas.openxmlformats.org/officeDocument/2006/bibliography"/>
  </ds:schemaRefs>
</ds:datastoreItem>
</file>

<file path=customXml/itemProps4.xml><?xml version="1.0" encoding="utf-8"?>
<ds:datastoreItem xmlns:ds="http://schemas.openxmlformats.org/officeDocument/2006/customXml" ds:itemID="{42CED0D3-7229-43BB-8AFC-48D9FD45EDBF}">
  <ds:schemaRefs>
    <ds:schemaRef ds:uri="http://schemas.microsoft.com/sharepoint/v3/contenttype/forms"/>
  </ds:schemaRefs>
</ds:datastoreItem>
</file>

<file path=customXml/itemProps5.xml><?xml version="1.0" encoding="utf-8"?>
<ds:datastoreItem xmlns:ds="http://schemas.openxmlformats.org/officeDocument/2006/customXml" ds:itemID="{60599EA5-A43F-4DF3-8E37-557D2A145F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097749c-35e3-4292-9c41-d352b303d2cf"/>
    <ds:schemaRef ds:uri="3c358492-2927-472d-85d8-14627d0682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2681</Words>
  <Characters>15487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18132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 Anthony (CFPB)</dc:creator>
  <cp:lastModifiedBy>May, Anthony (CFPB)</cp:lastModifiedBy>
  <cp:revision>2</cp:revision>
  <cp:lastPrinted>2017-07-25T13:39:00Z</cp:lastPrinted>
  <dcterms:created xsi:type="dcterms:W3CDTF">2026-02-25T19:07:00Z</dcterms:created>
  <dcterms:modified xsi:type="dcterms:W3CDTF">2026-02-25T19:07:00Z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0x01010085D45C2A73B2044AA928D1A4A0975BEA</vt:lpwstr>
  </property>
  <property fmtid="{D5CDD505-2E9C-101B-9397-08002B2CF9AE}" pid="3" name="CUI">
    <vt:lpwstr/>
  </property>
  <property fmtid="{D5CDD505-2E9C-101B-9397-08002B2CF9AE}" pid="4" name="Order">
    <vt:r8>213654000</vt:r8>
  </property>
  <property fmtid="{D5CDD505-2E9C-101B-9397-08002B2CF9AE}" pid="5" name="TaxKeyword">
    <vt:lpwstr/>
  </property>
  <property fmtid="{D5CDD505-2E9C-101B-9397-08002B2CF9AE}" pid="6" name="_dlc_DocIdItemGuid">
    <vt:lpwstr>bb74cd2d-0f79-4fe8-a496-4030348e142f</vt:lpwstr>
  </property>
  <property fmtid="{D5CDD505-2E9C-101B-9397-08002B2CF9AE}" pid="7" name="_ExtendedDescription">
    <vt:lpwstr/>
  </property>
  <property fmtid="{D5CDD505-2E9C-101B-9397-08002B2CF9AE}" pid="8" name="_NewReviewCycle">
    <vt:lpwstr/>
  </property>
</Properties>
</file>