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1FFC" w:rsidRPr="00521834" w:rsidP="005F1FFC" w14:paraId="7E088B25" w14:textId="77777777">
      <w:pPr>
        <w:rPr>
          <w:sz w:val="24"/>
          <w:szCs w:val="24"/>
        </w:rPr>
      </w:pPr>
    </w:p>
    <w:p w:rsidR="003225D2" w:rsidRPr="00521834" w:rsidP="001650D5" w14:paraId="00B8C0D6" w14:textId="52DE246B">
      <w:pPr>
        <w:jc w:val="center"/>
        <w:rPr>
          <w:b/>
          <w:caps/>
          <w:sz w:val="24"/>
          <w:szCs w:val="24"/>
        </w:rPr>
      </w:pPr>
      <w:r w:rsidRPr="00521834">
        <w:rPr>
          <w:b/>
          <w:caps/>
          <w:sz w:val="24"/>
          <w:szCs w:val="24"/>
        </w:rPr>
        <w:t>Supporting</w:t>
      </w:r>
      <w:r w:rsidRPr="00521834">
        <w:rPr>
          <w:b/>
          <w:sz w:val="24"/>
          <w:szCs w:val="24"/>
        </w:rPr>
        <w:t xml:space="preserve"> </w:t>
      </w:r>
      <w:r w:rsidRPr="00521834">
        <w:rPr>
          <w:b/>
          <w:caps/>
          <w:sz w:val="24"/>
          <w:szCs w:val="24"/>
        </w:rPr>
        <w:t>Statement</w:t>
      </w:r>
      <w:r w:rsidRPr="00521834" w:rsidR="00A4452C">
        <w:rPr>
          <w:b/>
          <w:caps/>
          <w:sz w:val="24"/>
          <w:szCs w:val="24"/>
        </w:rPr>
        <w:t xml:space="preserve"> For</w:t>
      </w:r>
    </w:p>
    <w:p w:rsidR="00F957ED" w:rsidRPr="00521834" w:rsidP="003225D2" w14:paraId="15B28882" w14:textId="77777777">
      <w:pPr>
        <w:jc w:val="center"/>
        <w:rPr>
          <w:b/>
          <w:caps/>
          <w:sz w:val="24"/>
          <w:szCs w:val="24"/>
        </w:rPr>
      </w:pPr>
      <w:r w:rsidRPr="00521834">
        <w:rPr>
          <w:b/>
          <w:caps/>
          <w:sz w:val="24"/>
          <w:szCs w:val="24"/>
        </w:rPr>
        <w:t>Truth in Savings (Regulation DD)</w:t>
      </w:r>
    </w:p>
    <w:p w:rsidR="003225D2" w:rsidRPr="00521834" w:rsidP="003225D2" w14:paraId="4ACA79D4" w14:textId="73DE60FB">
      <w:pPr>
        <w:jc w:val="center"/>
        <w:rPr>
          <w:b/>
          <w:bCs/>
          <w:sz w:val="24"/>
          <w:szCs w:val="24"/>
        </w:rPr>
      </w:pPr>
      <w:r w:rsidRPr="00521834">
        <w:rPr>
          <w:b/>
          <w:bCs/>
          <w:sz w:val="24"/>
          <w:szCs w:val="24"/>
        </w:rPr>
        <w:t>OMB CONTROL NO.</w:t>
      </w:r>
      <w:r w:rsidRPr="00521834" w:rsidR="004D6F7D">
        <w:rPr>
          <w:b/>
          <w:bCs/>
          <w:sz w:val="24"/>
          <w:szCs w:val="24"/>
        </w:rPr>
        <w:t>:</w:t>
      </w:r>
      <w:r w:rsidRPr="00521834">
        <w:rPr>
          <w:b/>
          <w:bCs/>
          <w:sz w:val="24"/>
          <w:szCs w:val="24"/>
        </w:rPr>
        <w:t xml:space="preserve"> </w:t>
      </w:r>
      <w:r w:rsidRPr="00521834" w:rsidR="00E81562">
        <w:rPr>
          <w:b/>
          <w:bCs/>
          <w:sz w:val="24"/>
          <w:szCs w:val="24"/>
        </w:rPr>
        <w:t>3170-0</w:t>
      </w:r>
      <w:r w:rsidRPr="00521834" w:rsidR="001650D5">
        <w:rPr>
          <w:b/>
          <w:bCs/>
          <w:sz w:val="24"/>
          <w:szCs w:val="24"/>
        </w:rPr>
        <w:t>0</w:t>
      </w:r>
      <w:r w:rsidRPr="00521834" w:rsidR="00521834">
        <w:rPr>
          <w:b/>
          <w:bCs/>
          <w:sz w:val="24"/>
          <w:szCs w:val="24"/>
        </w:rPr>
        <w:t>04</w:t>
      </w:r>
    </w:p>
    <w:p w:rsidR="00A4452C" w:rsidRPr="00521834" w:rsidP="000F0DD6" w14:paraId="7DC5C315" w14:textId="0B2A5A15">
      <w:pPr>
        <w:tabs>
          <w:tab w:val="left" w:pos="880"/>
        </w:tabs>
        <w:rPr>
          <w:b/>
          <w:caps/>
          <w:sz w:val="24"/>
          <w:szCs w:val="24"/>
        </w:rPr>
      </w:pPr>
      <w:r w:rsidRPr="00521834">
        <w:rPr>
          <w:b/>
          <w:caps/>
          <w:sz w:val="24"/>
          <w:szCs w:val="24"/>
        </w:rPr>
        <w:tab/>
      </w:r>
    </w:p>
    <w:p w:rsidR="005F1FFC" w:rsidRPr="00521834" w:rsidP="005F1FFC" w14:paraId="14A29F18" w14:textId="77777777">
      <w:pPr>
        <w:jc w:val="center"/>
        <w:rPr>
          <w:b/>
          <w:sz w:val="24"/>
          <w:szCs w:val="24"/>
        </w:rPr>
      </w:pPr>
    </w:p>
    <w:p w:rsidR="005F1FFC" w:rsidRPr="00521834" w:rsidP="005F1FFC" w14:paraId="3DBE2AB2" w14:textId="77777777">
      <w:pPr>
        <w:rPr>
          <w:b/>
          <w:sz w:val="24"/>
          <w:szCs w:val="24"/>
        </w:rPr>
      </w:pPr>
      <w:r w:rsidRPr="00521834">
        <w:rPr>
          <w:b/>
          <w:sz w:val="24"/>
          <w:szCs w:val="24"/>
        </w:rPr>
        <w:t xml:space="preserve">A.  </w:t>
      </w:r>
      <w:r w:rsidRPr="00521834">
        <w:rPr>
          <w:b/>
          <w:caps/>
          <w:sz w:val="24"/>
          <w:szCs w:val="24"/>
        </w:rPr>
        <w:t>Justification</w:t>
      </w:r>
    </w:p>
    <w:p w:rsidR="005F1FFC" w:rsidRPr="00521834" w:rsidP="005F1FFC" w14:paraId="4378B360" w14:textId="77777777">
      <w:pPr>
        <w:rPr>
          <w:b/>
          <w:sz w:val="24"/>
          <w:szCs w:val="24"/>
        </w:rPr>
      </w:pPr>
    </w:p>
    <w:p w:rsidR="00092D91" w:rsidRPr="00521834" w:rsidP="00092D91" w14:paraId="08863302" w14:textId="77777777">
      <w:pPr>
        <w:rPr>
          <w:sz w:val="24"/>
          <w:szCs w:val="24"/>
        </w:rPr>
      </w:pPr>
      <w:r w:rsidRPr="00521834">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521834" w:rsidP="005F1FFC" w14:paraId="1F5F91FF" w14:textId="6DB4BB27">
      <w:pPr>
        <w:rPr>
          <w:sz w:val="24"/>
          <w:szCs w:val="24"/>
        </w:rPr>
      </w:pPr>
    </w:p>
    <w:p w:rsidR="00C92CBE" w:rsidRPr="00521834" w:rsidP="00C92CBE" w14:paraId="0448C7EA" w14:textId="19F811EA">
      <w:pPr>
        <w:rPr>
          <w:sz w:val="24"/>
          <w:szCs w:val="24"/>
        </w:rPr>
      </w:pPr>
      <w:r w:rsidRPr="00521834">
        <w:rPr>
          <w:sz w:val="24"/>
          <w:szCs w:val="24"/>
        </w:rPr>
        <w:t>The Truth in Savings Act (TISA</w:t>
      </w:r>
      <w:r w:rsidRPr="00521834" w:rsidR="00593D11">
        <w:rPr>
          <w:sz w:val="24"/>
          <w:szCs w:val="24"/>
        </w:rPr>
        <w:t>)</w:t>
      </w:r>
      <w:r>
        <w:rPr>
          <w:rStyle w:val="FootnoteReference"/>
          <w:sz w:val="24"/>
          <w:szCs w:val="24"/>
        </w:rPr>
        <w:footnoteReference w:id="3"/>
      </w:r>
      <w:r w:rsidRPr="00521834">
        <w:rPr>
          <w:sz w:val="24"/>
          <w:szCs w:val="24"/>
        </w:rPr>
        <w:t xml:space="preserve"> was enacted to enhance economic stability, </w:t>
      </w:r>
      <w:r w:rsidRPr="00521834" w:rsidR="00AE419F">
        <w:rPr>
          <w:sz w:val="24"/>
          <w:szCs w:val="24"/>
        </w:rPr>
        <w:t xml:space="preserve">to </w:t>
      </w:r>
      <w:r w:rsidRPr="00521834">
        <w:rPr>
          <w:sz w:val="24"/>
          <w:szCs w:val="24"/>
        </w:rPr>
        <w:t xml:space="preserve">improve competition between depository institutions, and </w:t>
      </w:r>
      <w:r w:rsidRPr="00521834" w:rsidR="00AE419F">
        <w:rPr>
          <w:sz w:val="24"/>
          <w:szCs w:val="24"/>
        </w:rPr>
        <w:t xml:space="preserve">to </w:t>
      </w:r>
      <w:r w:rsidRPr="00521834">
        <w:rPr>
          <w:sz w:val="24"/>
          <w:szCs w:val="24"/>
        </w:rPr>
        <w:t>strengthen consumers’ ability to make informed decisions regarding deposit accounts by requiring uniformity in the disclosure of interest rates and fees.  TISA assists consumers in comparing deposit accounts offered by depository institutions, principally through the disclosure of fees, the annual percentage yield, the interest rate, and other account terms.</w:t>
      </w:r>
    </w:p>
    <w:p w:rsidR="00C92CBE" w:rsidRPr="00521834" w:rsidP="00C92CBE" w14:paraId="772A2057" w14:textId="77777777">
      <w:pPr>
        <w:rPr>
          <w:sz w:val="24"/>
          <w:szCs w:val="24"/>
        </w:rPr>
      </w:pPr>
    </w:p>
    <w:p w:rsidR="00A133F2" w:rsidRPr="00521834" w:rsidP="00C92CBE" w14:paraId="497CC679" w14:textId="3DAFA1EF">
      <w:pPr>
        <w:rPr>
          <w:sz w:val="24"/>
          <w:szCs w:val="24"/>
        </w:rPr>
      </w:pPr>
      <w:r w:rsidRPr="00521834">
        <w:rPr>
          <w:sz w:val="24"/>
          <w:szCs w:val="24"/>
        </w:rPr>
        <w:t>The C</w:t>
      </w:r>
      <w:r w:rsidRPr="00521834" w:rsidR="001600A6">
        <w:rPr>
          <w:sz w:val="24"/>
          <w:szCs w:val="24"/>
        </w:rPr>
        <w:t>onsumer Financial Protection Bureau (CFPB or Bureau)</w:t>
      </w:r>
      <w:r w:rsidRPr="00521834">
        <w:rPr>
          <w:sz w:val="24"/>
          <w:szCs w:val="24"/>
        </w:rPr>
        <w:t xml:space="preserve"> received rulemaking and shared enforcement authority of TISA through the Dodd-Frank Act</w:t>
      </w:r>
      <w:r>
        <w:rPr>
          <w:rStyle w:val="FootnoteReference"/>
          <w:sz w:val="24"/>
          <w:szCs w:val="24"/>
        </w:rPr>
        <w:footnoteReference w:id="4"/>
      </w:r>
      <w:r w:rsidRPr="00521834" w:rsidR="001600A6">
        <w:rPr>
          <w:sz w:val="24"/>
          <w:szCs w:val="24"/>
        </w:rPr>
        <w:t>.  T</w:t>
      </w:r>
      <w:r w:rsidRPr="00521834">
        <w:rPr>
          <w:sz w:val="24"/>
          <w:szCs w:val="24"/>
        </w:rPr>
        <w:t xml:space="preserve">he </w:t>
      </w:r>
      <w:r w:rsidRPr="00521834" w:rsidR="001600A6">
        <w:rPr>
          <w:sz w:val="24"/>
          <w:szCs w:val="24"/>
        </w:rPr>
        <w:t>Bureau</w:t>
      </w:r>
      <w:r w:rsidRPr="00521834">
        <w:rPr>
          <w:sz w:val="24"/>
          <w:szCs w:val="24"/>
        </w:rPr>
        <w:t xml:space="preserve"> has promulgated Regulation DD to implement TISA as required by statute.  Regulation DD is located at 12 CFR 1030 and is available at </w:t>
      </w:r>
      <w:r w:rsidRPr="00521834" w:rsidR="005117EC">
        <w:rPr>
          <w:sz w:val="24"/>
          <w:szCs w:val="24"/>
        </w:rPr>
        <w:t>https://www.govinfo.gov/</w:t>
      </w:r>
      <w:r w:rsidRPr="00521834">
        <w:rPr>
          <w:sz w:val="24"/>
          <w:szCs w:val="24"/>
        </w:rPr>
        <w:t xml:space="preserve">.  </w:t>
      </w:r>
      <w:r w:rsidRPr="00521834" w:rsidR="00E34585">
        <w:rPr>
          <w:sz w:val="24"/>
          <w:szCs w:val="24"/>
        </w:rPr>
        <w:t>A list of</w:t>
      </w:r>
      <w:r w:rsidRPr="00521834">
        <w:rPr>
          <w:sz w:val="24"/>
          <w:szCs w:val="24"/>
        </w:rPr>
        <w:t xml:space="preserve"> other </w:t>
      </w:r>
      <w:r w:rsidRPr="00521834" w:rsidR="00E34585">
        <w:rPr>
          <w:sz w:val="24"/>
          <w:szCs w:val="24"/>
        </w:rPr>
        <w:t xml:space="preserve">federal </w:t>
      </w:r>
      <w:r w:rsidRPr="00521834">
        <w:rPr>
          <w:sz w:val="24"/>
          <w:szCs w:val="24"/>
        </w:rPr>
        <w:t>agencies with enforcement authority under this regulation and associated OMB control numbers follows</w:t>
      </w:r>
      <w:r w:rsidRPr="00521834" w:rsidR="00C563A0">
        <w:rPr>
          <w:sz w:val="24"/>
          <w:szCs w:val="24"/>
        </w:rPr>
        <w:t>:</w:t>
      </w:r>
    </w:p>
    <w:p w:rsidR="00C563A0" w:rsidRPr="00521834" w:rsidP="00C92CBE" w14:paraId="6A820555" w14:textId="191379A1">
      <w:pPr>
        <w:rPr>
          <w:sz w:val="24"/>
          <w:szCs w:val="24"/>
        </w:rPr>
      </w:pPr>
    </w:p>
    <w:tbl>
      <w:tblPr>
        <w:tblStyle w:val="TableGrid"/>
        <w:tblW w:w="0" w:type="auto"/>
        <w:tblLook w:val="04A0"/>
      </w:tblPr>
      <w:tblGrid>
        <w:gridCol w:w="2876"/>
        <w:gridCol w:w="2877"/>
        <w:gridCol w:w="2877"/>
      </w:tblGrid>
      <w:tr w14:paraId="6947A3EF" w14:textId="77777777" w:rsidTr="003C24C6">
        <w:tblPrEx>
          <w:tblW w:w="0" w:type="auto"/>
          <w:tblLook w:val="04A0"/>
        </w:tblPrEx>
        <w:tc>
          <w:tcPr>
            <w:tcW w:w="8630" w:type="dxa"/>
            <w:gridSpan w:val="3"/>
            <w:shd w:val="clear" w:color="auto" w:fill="D9D9D9" w:themeFill="background1" w:themeFillShade="D9"/>
          </w:tcPr>
          <w:p w:rsidR="00CB7325" w:rsidRPr="00521834" w:rsidP="00CB7325" w14:paraId="62621EE2" w14:textId="70BE85E5">
            <w:pPr>
              <w:jc w:val="center"/>
              <w:rPr>
                <w:b/>
                <w:bCs/>
                <w:sz w:val="24"/>
                <w:szCs w:val="24"/>
              </w:rPr>
            </w:pPr>
            <w:r w:rsidRPr="00521834">
              <w:rPr>
                <w:b/>
                <w:bCs/>
                <w:sz w:val="24"/>
                <w:szCs w:val="24"/>
              </w:rPr>
              <w:t>Other Federal Agencies with enforcement authority for Regulation DD</w:t>
            </w:r>
          </w:p>
        </w:tc>
      </w:tr>
      <w:tr w14:paraId="453E64D8" w14:textId="77777777" w:rsidTr="00CB7325">
        <w:tblPrEx>
          <w:tblW w:w="0" w:type="auto"/>
          <w:tblLook w:val="04A0"/>
        </w:tblPrEx>
        <w:tc>
          <w:tcPr>
            <w:tcW w:w="2876" w:type="dxa"/>
          </w:tcPr>
          <w:p w:rsidR="00CB7325" w:rsidRPr="00521834" w:rsidP="006135CA" w14:paraId="7C68EDE0" w14:textId="77777777">
            <w:pPr>
              <w:rPr>
                <w:sz w:val="24"/>
                <w:szCs w:val="24"/>
              </w:rPr>
            </w:pPr>
          </w:p>
        </w:tc>
        <w:tc>
          <w:tcPr>
            <w:tcW w:w="2877" w:type="dxa"/>
          </w:tcPr>
          <w:p w:rsidR="00CB7325" w:rsidRPr="00521834" w:rsidP="006135CA" w14:paraId="607A9359" w14:textId="6FC6B7DB">
            <w:pPr>
              <w:rPr>
                <w:b/>
                <w:bCs/>
                <w:sz w:val="24"/>
                <w:szCs w:val="24"/>
              </w:rPr>
            </w:pPr>
            <w:r w:rsidRPr="00521834">
              <w:rPr>
                <w:b/>
                <w:bCs/>
                <w:sz w:val="24"/>
                <w:szCs w:val="24"/>
              </w:rPr>
              <w:t>Associated Regulation</w:t>
            </w:r>
          </w:p>
        </w:tc>
        <w:tc>
          <w:tcPr>
            <w:tcW w:w="2877" w:type="dxa"/>
          </w:tcPr>
          <w:p w:rsidR="00CB7325" w:rsidRPr="00521834" w:rsidP="006135CA" w14:paraId="5973A99A" w14:textId="3E1CE7B4">
            <w:pPr>
              <w:rPr>
                <w:b/>
                <w:bCs/>
                <w:sz w:val="24"/>
                <w:szCs w:val="24"/>
              </w:rPr>
            </w:pPr>
            <w:r w:rsidRPr="00521834">
              <w:rPr>
                <w:b/>
                <w:bCs/>
                <w:sz w:val="24"/>
                <w:szCs w:val="24"/>
              </w:rPr>
              <w:t>OMB Control Number</w:t>
            </w:r>
          </w:p>
        </w:tc>
      </w:tr>
      <w:tr w14:paraId="0E8F83BA" w14:textId="77777777" w:rsidTr="00CB7325">
        <w:tblPrEx>
          <w:tblW w:w="0" w:type="auto"/>
          <w:tblLook w:val="04A0"/>
        </w:tblPrEx>
        <w:tc>
          <w:tcPr>
            <w:tcW w:w="2876" w:type="dxa"/>
          </w:tcPr>
          <w:p w:rsidR="00CB7325" w:rsidRPr="00521834" w:rsidP="006135CA" w14:paraId="05AF7B87" w14:textId="4B60954F">
            <w:pPr>
              <w:rPr>
                <w:sz w:val="24"/>
                <w:szCs w:val="24"/>
              </w:rPr>
            </w:pPr>
            <w:r w:rsidRPr="00521834">
              <w:rPr>
                <w:sz w:val="24"/>
                <w:szCs w:val="24"/>
              </w:rPr>
              <w:t>Federal Reserve Board</w:t>
            </w:r>
          </w:p>
        </w:tc>
        <w:tc>
          <w:tcPr>
            <w:tcW w:w="2877" w:type="dxa"/>
          </w:tcPr>
          <w:p w:rsidR="00CB7325" w:rsidRPr="00521834" w:rsidP="006135CA" w14:paraId="3822A157" w14:textId="4441535D">
            <w:pPr>
              <w:rPr>
                <w:sz w:val="24"/>
                <w:szCs w:val="24"/>
              </w:rPr>
            </w:pPr>
            <w:r w:rsidRPr="00521834">
              <w:rPr>
                <w:sz w:val="24"/>
                <w:szCs w:val="24"/>
              </w:rPr>
              <w:t>12 CFR 1030</w:t>
            </w:r>
          </w:p>
        </w:tc>
        <w:tc>
          <w:tcPr>
            <w:tcW w:w="2877" w:type="dxa"/>
          </w:tcPr>
          <w:p w:rsidR="00CB7325" w:rsidRPr="00521834" w:rsidP="006135CA" w14:paraId="23946265" w14:textId="1776C2A2">
            <w:pPr>
              <w:rPr>
                <w:sz w:val="24"/>
                <w:szCs w:val="24"/>
              </w:rPr>
            </w:pPr>
            <w:r w:rsidRPr="00521834">
              <w:rPr>
                <w:sz w:val="24"/>
                <w:szCs w:val="24"/>
              </w:rPr>
              <w:t>7100-0271</w:t>
            </w:r>
          </w:p>
        </w:tc>
      </w:tr>
      <w:tr w14:paraId="1E6BC21D" w14:textId="77777777" w:rsidTr="00CB7325">
        <w:tblPrEx>
          <w:tblW w:w="0" w:type="auto"/>
          <w:tblLook w:val="04A0"/>
        </w:tblPrEx>
        <w:tc>
          <w:tcPr>
            <w:tcW w:w="2876" w:type="dxa"/>
          </w:tcPr>
          <w:p w:rsidR="00CB7325" w:rsidRPr="00521834" w:rsidP="006135CA" w14:paraId="32BD318A" w14:textId="6195621A">
            <w:pPr>
              <w:rPr>
                <w:sz w:val="24"/>
                <w:szCs w:val="24"/>
              </w:rPr>
            </w:pPr>
            <w:r w:rsidRPr="00521834">
              <w:rPr>
                <w:sz w:val="24"/>
                <w:szCs w:val="24"/>
              </w:rPr>
              <w:t>Office of the Comptroller of Currency</w:t>
            </w:r>
          </w:p>
        </w:tc>
        <w:tc>
          <w:tcPr>
            <w:tcW w:w="2877" w:type="dxa"/>
          </w:tcPr>
          <w:p w:rsidR="00CB7325" w:rsidRPr="00521834" w:rsidP="006135CA" w14:paraId="1F22531A" w14:textId="78A1C622">
            <w:pPr>
              <w:rPr>
                <w:sz w:val="24"/>
                <w:szCs w:val="24"/>
              </w:rPr>
            </w:pPr>
            <w:r w:rsidRPr="00521834">
              <w:rPr>
                <w:sz w:val="24"/>
                <w:szCs w:val="24"/>
              </w:rPr>
              <w:t>12 CFR 1030</w:t>
            </w:r>
          </w:p>
        </w:tc>
        <w:tc>
          <w:tcPr>
            <w:tcW w:w="2877" w:type="dxa"/>
          </w:tcPr>
          <w:p w:rsidR="00CB7325" w:rsidRPr="00521834" w:rsidP="006135CA" w14:paraId="02DAC95E" w14:textId="7115B617">
            <w:pPr>
              <w:rPr>
                <w:sz w:val="24"/>
                <w:szCs w:val="24"/>
              </w:rPr>
            </w:pPr>
            <w:r w:rsidRPr="00521834">
              <w:rPr>
                <w:sz w:val="24"/>
                <w:szCs w:val="24"/>
              </w:rPr>
              <w:t>1557-0176</w:t>
            </w:r>
          </w:p>
        </w:tc>
      </w:tr>
      <w:tr w14:paraId="65FEDD22" w14:textId="77777777" w:rsidTr="00CB7325">
        <w:tblPrEx>
          <w:tblW w:w="0" w:type="auto"/>
          <w:tblLook w:val="04A0"/>
        </w:tblPrEx>
        <w:tc>
          <w:tcPr>
            <w:tcW w:w="2876" w:type="dxa"/>
          </w:tcPr>
          <w:p w:rsidR="00CB7325" w:rsidRPr="00521834" w:rsidP="006135CA" w14:paraId="27029766" w14:textId="280E7B42">
            <w:pPr>
              <w:rPr>
                <w:sz w:val="24"/>
                <w:szCs w:val="24"/>
              </w:rPr>
            </w:pPr>
            <w:r w:rsidRPr="00521834">
              <w:rPr>
                <w:sz w:val="24"/>
                <w:szCs w:val="24"/>
              </w:rPr>
              <w:t>Federal Deposit Insurance Corporation</w:t>
            </w:r>
          </w:p>
        </w:tc>
        <w:tc>
          <w:tcPr>
            <w:tcW w:w="2877" w:type="dxa"/>
          </w:tcPr>
          <w:p w:rsidR="00CB7325" w:rsidRPr="00521834" w:rsidP="006135CA" w14:paraId="2976EBC3" w14:textId="7B10DB69">
            <w:pPr>
              <w:rPr>
                <w:sz w:val="24"/>
                <w:szCs w:val="24"/>
              </w:rPr>
            </w:pPr>
            <w:r w:rsidRPr="00521834">
              <w:rPr>
                <w:sz w:val="24"/>
                <w:szCs w:val="24"/>
              </w:rPr>
              <w:t>12 CFR 230</w:t>
            </w:r>
          </w:p>
        </w:tc>
        <w:tc>
          <w:tcPr>
            <w:tcW w:w="2877" w:type="dxa"/>
          </w:tcPr>
          <w:p w:rsidR="00CB7325" w:rsidRPr="00521834" w:rsidP="006135CA" w14:paraId="523F6B29" w14:textId="02F03C42">
            <w:pPr>
              <w:rPr>
                <w:sz w:val="24"/>
                <w:szCs w:val="24"/>
              </w:rPr>
            </w:pPr>
            <w:r w:rsidRPr="00521834">
              <w:rPr>
                <w:sz w:val="24"/>
                <w:szCs w:val="24"/>
              </w:rPr>
              <w:t>3064-0084</w:t>
            </w:r>
          </w:p>
        </w:tc>
      </w:tr>
    </w:tbl>
    <w:p w:rsidR="00C563A0" w:rsidRPr="00521834" w:rsidP="006135CA" w14:paraId="1B2DD09C" w14:textId="4FD27F8C">
      <w:pPr>
        <w:rPr>
          <w:sz w:val="24"/>
          <w:szCs w:val="24"/>
        </w:rPr>
      </w:pPr>
    </w:p>
    <w:p w:rsidR="006E5BFF" w:rsidRPr="00521834" w:rsidP="006E5BFF" w14:paraId="282C75B0" w14:textId="77777777">
      <w:pPr>
        <w:rPr>
          <w:sz w:val="24"/>
          <w:szCs w:val="24"/>
        </w:rPr>
      </w:pPr>
      <w:r w:rsidRPr="00521834">
        <w:rPr>
          <w:sz w:val="24"/>
          <w:szCs w:val="24"/>
        </w:rPr>
        <w:t>TISA and Regulation DD require depository institutions to disclose yields, fees, and other terms concerning deposit accounts to consumers at account opening, upon request, and when changes in terms occur.  Depository institutions that provide periodic statements are required to include information about fees imposed, interest earned, and the annual percentage yield (APY) earned during those statement periods.  TISA and</w:t>
      </w:r>
    </w:p>
    <w:p w:rsidR="006E5BFF" w:rsidRPr="00521834" w:rsidP="006E5BFF" w14:paraId="4CABB262" w14:textId="77777777">
      <w:pPr>
        <w:rPr>
          <w:sz w:val="24"/>
          <w:szCs w:val="24"/>
        </w:rPr>
      </w:pPr>
      <w:r w:rsidRPr="00521834">
        <w:rPr>
          <w:sz w:val="24"/>
          <w:szCs w:val="24"/>
        </w:rPr>
        <w:t>Regulation DD mandate the methods by which institutions determine the account balance on which interest is calculated.  They also contain rules about advertising deposit accounts and overdraft services.</w:t>
      </w:r>
    </w:p>
    <w:p w:rsidR="006E5BFF" w:rsidRPr="00521834" w:rsidP="006E5BFF" w14:paraId="71E74472" w14:textId="77777777">
      <w:pPr>
        <w:rPr>
          <w:sz w:val="24"/>
          <w:szCs w:val="24"/>
        </w:rPr>
      </w:pPr>
    </w:p>
    <w:p w:rsidR="006E5BFF" w:rsidRPr="00521834" w:rsidP="006E5BFF" w14:paraId="5039CA5D" w14:textId="7C1D419A">
      <w:pPr>
        <w:rPr>
          <w:sz w:val="24"/>
          <w:szCs w:val="24"/>
        </w:rPr>
      </w:pPr>
      <w:r w:rsidRPr="00521834">
        <w:rPr>
          <w:sz w:val="24"/>
          <w:szCs w:val="24"/>
        </w:rPr>
        <w:t>Regulation DD applies to all depository institutions except credit unions.</w:t>
      </w:r>
      <w:r w:rsidRPr="00521834" w:rsidR="00C15064">
        <w:rPr>
          <w:sz w:val="24"/>
          <w:szCs w:val="24"/>
        </w:rPr>
        <w:t xml:space="preserve">  </w:t>
      </w:r>
      <w:r w:rsidRPr="00521834">
        <w:rPr>
          <w:sz w:val="24"/>
          <w:szCs w:val="24"/>
        </w:rPr>
        <w:t xml:space="preserve">The information collected pursuant to Regulation DD is triggered by specific events and disclosures and must be provided to consumers within the time periods established by TISA and the regulation.  There are no reporting forms associated with Regulation DD. </w:t>
      </w:r>
      <w:r w:rsidR="00307522">
        <w:rPr>
          <w:sz w:val="24"/>
          <w:szCs w:val="24"/>
        </w:rPr>
        <w:t xml:space="preserve"> </w:t>
      </w:r>
      <w:r w:rsidRPr="00521834">
        <w:rPr>
          <w:sz w:val="24"/>
          <w:szCs w:val="24"/>
        </w:rPr>
        <w:t xml:space="preserve">However, to ease the compliance cost (particularly for small entities), model disclosure clauses and sample account forms are </w:t>
      </w:r>
      <w:r w:rsidRPr="00521834" w:rsidR="006C122A">
        <w:rPr>
          <w:sz w:val="24"/>
          <w:szCs w:val="24"/>
        </w:rPr>
        <w:t xml:space="preserve">provided in Appendix B </w:t>
      </w:r>
      <w:r w:rsidRPr="00521834" w:rsidR="005260AF">
        <w:rPr>
          <w:sz w:val="24"/>
          <w:szCs w:val="24"/>
        </w:rPr>
        <w:t>to Part 1030.</w:t>
      </w:r>
    </w:p>
    <w:p w:rsidR="00E939D3" w:rsidRPr="00521834" w:rsidP="005F1FFC" w14:paraId="2A8A43BC" w14:textId="77777777">
      <w:pPr>
        <w:rPr>
          <w:sz w:val="24"/>
          <w:szCs w:val="24"/>
        </w:rPr>
      </w:pPr>
    </w:p>
    <w:p w:rsidR="00092D91" w:rsidRPr="00521834" w:rsidP="00092D91" w14:paraId="15554E87" w14:textId="77777777">
      <w:pPr>
        <w:rPr>
          <w:sz w:val="24"/>
          <w:szCs w:val="24"/>
        </w:rPr>
      </w:pPr>
      <w:r w:rsidRPr="00521834">
        <w:rPr>
          <w:b/>
          <w:bCs/>
          <w:sz w:val="24"/>
          <w:szCs w:val="24"/>
        </w:rPr>
        <w:t>2.  Indicate how, by whom, and for what purpose the information is to be used.  Except for a new collection, indicate the actual use the agency has made of the information received from the current collection.</w:t>
      </w:r>
    </w:p>
    <w:p w:rsidR="005F1FFC" w:rsidRPr="00521834" w:rsidP="005F1FFC" w14:paraId="04B2529C" w14:textId="2BB17895">
      <w:pPr>
        <w:rPr>
          <w:sz w:val="24"/>
          <w:szCs w:val="24"/>
        </w:rPr>
      </w:pPr>
    </w:p>
    <w:p w:rsidR="007C6A3D" w:rsidRPr="00521834" w:rsidP="007C6A3D" w14:paraId="39863F3B" w14:textId="1CBC98CC">
      <w:pPr>
        <w:rPr>
          <w:sz w:val="24"/>
          <w:szCs w:val="24"/>
        </w:rPr>
      </w:pPr>
      <w:r w:rsidRPr="00521834">
        <w:rPr>
          <w:sz w:val="24"/>
          <w:szCs w:val="24"/>
        </w:rPr>
        <w:t xml:space="preserve">Federal agencies and private </w:t>
      </w:r>
      <w:r w:rsidR="00A32446">
        <w:rPr>
          <w:sz w:val="24"/>
          <w:szCs w:val="24"/>
        </w:rPr>
        <w:t>parties</w:t>
      </w:r>
      <w:r w:rsidRPr="00521834">
        <w:rPr>
          <w:sz w:val="24"/>
          <w:szCs w:val="24"/>
        </w:rPr>
        <w:t xml:space="preserve"> use the records to ascertain whether accurate and complete disclosures of depository accounts have been provided to consumers.  This information also provides the primary evidence of law violations in TISA enforcement actions brought by the CFPB.</w:t>
      </w:r>
      <w:r w:rsidRPr="00521834" w:rsidR="00393C99">
        <w:rPr>
          <w:sz w:val="24"/>
          <w:szCs w:val="24"/>
        </w:rPr>
        <w:t xml:space="preserve">  The CFPB’s ability to enforce TISA would be significantly impaired w</w:t>
      </w:r>
      <w:r w:rsidRPr="00521834">
        <w:rPr>
          <w:sz w:val="24"/>
          <w:szCs w:val="24"/>
        </w:rPr>
        <w:t>ithout the Regulation DD recordkeeping requirement.</w:t>
      </w:r>
    </w:p>
    <w:p w:rsidR="007C6A3D" w:rsidRPr="00521834" w:rsidP="007C6A3D" w14:paraId="6E3480CA" w14:textId="77777777">
      <w:pPr>
        <w:rPr>
          <w:sz w:val="24"/>
          <w:szCs w:val="24"/>
        </w:rPr>
      </w:pPr>
    </w:p>
    <w:p w:rsidR="007C6A3D" w:rsidRPr="00521834" w:rsidP="007C6A3D" w14:paraId="6F3DB4B9" w14:textId="58D0B2F9">
      <w:pPr>
        <w:rPr>
          <w:sz w:val="24"/>
          <w:szCs w:val="24"/>
        </w:rPr>
      </w:pPr>
      <w:r w:rsidRPr="00521834">
        <w:rPr>
          <w:sz w:val="24"/>
          <w:szCs w:val="24"/>
        </w:rPr>
        <w:t xml:space="preserve">Consumers rely on the disclosures required by TISA and Regulation DD to facilitate informed decision-making regarding deposit accounts offered at depository institutions. </w:t>
      </w:r>
      <w:r w:rsidR="00397244">
        <w:rPr>
          <w:sz w:val="24"/>
          <w:szCs w:val="24"/>
        </w:rPr>
        <w:t xml:space="preserve"> </w:t>
      </w:r>
      <w:r w:rsidRPr="00521834">
        <w:rPr>
          <w:sz w:val="24"/>
          <w:szCs w:val="24"/>
        </w:rPr>
        <w:t>Without this information, consumers</w:t>
      </w:r>
      <w:r w:rsidRPr="00521834" w:rsidR="00334DC3">
        <w:rPr>
          <w:sz w:val="24"/>
          <w:szCs w:val="24"/>
        </w:rPr>
        <w:t>’</w:t>
      </w:r>
      <w:r w:rsidRPr="00521834">
        <w:rPr>
          <w:sz w:val="24"/>
          <w:szCs w:val="24"/>
        </w:rPr>
        <w:t xml:space="preserve"> ability to assess the true costs and terms of the deposit accounts offered</w:t>
      </w:r>
      <w:r w:rsidRPr="00521834" w:rsidR="00334DC3">
        <w:rPr>
          <w:sz w:val="24"/>
          <w:szCs w:val="24"/>
        </w:rPr>
        <w:t xml:space="preserve"> would be severely hindered</w:t>
      </w:r>
      <w:r w:rsidRPr="00521834">
        <w:rPr>
          <w:sz w:val="24"/>
          <w:szCs w:val="24"/>
        </w:rPr>
        <w:t>.  These disclosures and provisions are necessary for the CFPB and private litigants to enforce TISA and Regulation DD.</w:t>
      </w:r>
    </w:p>
    <w:p w:rsidR="007C6A3D" w:rsidRPr="00521834" w:rsidP="007C6A3D" w14:paraId="2D4B1A6A" w14:textId="77777777">
      <w:pPr>
        <w:rPr>
          <w:sz w:val="24"/>
          <w:szCs w:val="24"/>
        </w:rPr>
      </w:pPr>
    </w:p>
    <w:p w:rsidR="007C6A3D" w:rsidRPr="00521834" w:rsidP="007C6A3D" w14:paraId="35411C11" w14:textId="0D378117">
      <w:pPr>
        <w:rPr>
          <w:sz w:val="24"/>
          <w:szCs w:val="24"/>
        </w:rPr>
      </w:pPr>
      <w:r w:rsidRPr="00521834">
        <w:rPr>
          <w:sz w:val="24"/>
          <w:szCs w:val="24"/>
        </w:rPr>
        <w:t xml:space="preserve">CFPB notes that Section 1030.3 of Regulation DD </w:t>
      </w:r>
      <w:r w:rsidRPr="00521834" w:rsidR="00F92B15">
        <w:rPr>
          <w:sz w:val="24"/>
          <w:szCs w:val="24"/>
        </w:rPr>
        <w:t>(“</w:t>
      </w:r>
      <w:r w:rsidRPr="00521834">
        <w:rPr>
          <w:sz w:val="24"/>
          <w:szCs w:val="24"/>
        </w:rPr>
        <w:t>General disclosure requirements”</w:t>
      </w:r>
      <w:r w:rsidRPr="00521834" w:rsidR="00F92B15">
        <w:rPr>
          <w:sz w:val="24"/>
          <w:szCs w:val="24"/>
        </w:rPr>
        <w:t xml:space="preserve">) provides </w:t>
      </w:r>
      <w:r w:rsidRPr="00521834">
        <w:rPr>
          <w:sz w:val="24"/>
          <w:szCs w:val="24"/>
        </w:rPr>
        <w:t>the specific requirements</w:t>
      </w:r>
      <w:r w:rsidRPr="00521834" w:rsidR="00F92B15">
        <w:rPr>
          <w:sz w:val="24"/>
          <w:szCs w:val="24"/>
        </w:rPr>
        <w:t xml:space="preserve"> </w:t>
      </w:r>
      <w:r w:rsidRPr="00521834">
        <w:rPr>
          <w:sz w:val="24"/>
          <w:szCs w:val="24"/>
        </w:rPr>
        <w:t xml:space="preserve">which are delineated in subsequent sections of Regulation DD and summarized below. </w:t>
      </w:r>
      <w:r w:rsidR="00D33190">
        <w:rPr>
          <w:sz w:val="24"/>
          <w:szCs w:val="24"/>
        </w:rPr>
        <w:t xml:space="preserve"> </w:t>
      </w:r>
      <w:r w:rsidRPr="00521834">
        <w:rPr>
          <w:sz w:val="24"/>
          <w:szCs w:val="24"/>
        </w:rPr>
        <w:t xml:space="preserve">Additionally, CFPB notes that </w:t>
      </w:r>
      <w:r w:rsidRPr="00521834" w:rsidR="00CE414B">
        <w:rPr>
          <w:sz w:val="24"/>
          <w:szCs w:val="24"/>
        </w:rPr>
        <w:t>(r</w:t>
      </w:r>
      <w:r w:rsidRPr="00521834">
        <w:rPr>
          <w:sz w:val="24"/>
          <w:szCs w:val="24"/>
        </w:rPr>
        <w:t>egard</w:t>
      </w:r>
      <w:r w:rsidRPr="00521834" w:rsidR="00CE414B">
        <w:rPr>
          <w:sz w:val="24"/>
          <w:szCs w:val="24"/>
        </w:rPr>
        <w:t>ing</w:t>
      </w:r>
      <w:r w:rsidRPr="00521834">
        <w:rPr>
          <w:sz w:val="24"/>
          <w:szCs w:val="24"/>
        </w:rPr>
        <w:t xml:space="preserve"> the general disclosure requirements of Regulation DD</w:t>
      </w:r>
      <w:r w:rsidRPr="00521834" w:rsidR="00CE414B">
        <w:rPr>
          <w:sz w:val="24"/>
          <w:szCs w:val="24"/>
        </w:rPr>
        <w:t>)</w:t>
      </w:r>
      <w:r w:rsidRPr="00521834">
        <w:rPr>
          <w:sz w:val="24"/>
          <w:szCs w:val="24"/>
        </w:rPr>
        <w:t xml:space="preserve"> compliance with Regulation E</w:t>
      </w:r>
      <w:r>
        <w:rPr>
          <w:rStyle w:val="FootnoteReference"/>
          <w:sz w:val="24"/>
          <w:szCs w:val="24"/>
        </w:rPr>
        <w:footnoteReference w:id="5"/>
      </w:r>
      <w:r w:rsidRPr="00521834">
        <w:rPr>
          <w:sz w:val="24"/>
          <w:szCs w:val="24"/>
        </w:rPr>
        <w:t xml:space="preserve"> satisf</w:t>
      </w:r>
      <w:r w:rsidRPr="00521834" w:rsidR="00050980">
        <w:rPr>
          <w:sz w:val="24"/>
          <w:szCs w:val="24"/>
        </w:rPr>
        <w:t>ies</w:t>
      </w:r>
      <w:r w:rsidRPr="00521834">
        <w:rPr>
          <w:sz w:val="24"/>
          <w:szCs w:val="24"/>
        </w:rPr>
        <w:t xml:space="preserve"> the disclosure requirements of Regulation DD when certain conditions prevail. </w:t>
      </w:r>
      <w:r w:rsidRPr="00521834" w:rsidR="00050980">
        <w:rPr>
          <w:sz w:val="24"/>
          <w:szCs w:val="24"/>
        </w:rPr>
        <w:t>For more information on this aspect of the information collection, please s</w:t>
      </w:r>
      <w:r w:rsidRPr="00521834">
        <w:rPr>
          <w:sz w:val="24"/>
          <w:szCs w:val="24"/>
        </w:rPr>
        <w:t xml:space="preserve">ee </w:t>
      </w:r>
      <w:r w:rsidRPr="00521834" w:rsidR="0008600F">
        <w:rPr>
          <w:sz w:val="24"/>
          <w:szCs w:val="24"/>
        </w:rPr>
        <w:t>“</w:t>
      </w:r>
      <w:r w:rsidRPr="00521834">
        <w:rPr>
          <w:sz w:val="24"/>
          <w:szCs w:val="24"/>
        </w:rPr>
        <w:t>Appendix D</w:t>
      </w:r>
      <w:r w:rsidRPr="00521834" w:rsidR="00050980">
        <w:rPr>
          <w:sz w:val="24"/>
          <w:szCs w:val="24"/>
        </w:rPr>
        <w:t xml:space="preserve"> </w:t>
      </w:r>
      <w:r w:rsidRPr="00521834" w:rsidR="0008600F">
        <w:rPr>
          <w:sz w:val="24"/>
          <w:szCs w:val="24"/>
        </w:rPr>
        <w:t>to Part 1030 – Issuance of O</w:t>
      </w:r>
      <w:r w:rsidRPr="00521834">
        <w:rPr>
          <w:sz w:val="24"/>
          <w:szCs w:val="24"/>
        </w:rPr>
        <w:t>fficial Interpretations</w:t>
      </w:r>
      <w:r w:rsidRPr="00521834" w:rsidR="00050980">
        <w:rPr>
          <w:sz w:val="24"/>
          <w:szCs w:val="24"/>
        </w:rPr>
        <w:t>)</w:t>
      </w:r>
      <w:r w:rsidRPr="00521834" w:rsidR="0008600F">
        <w:rPr>
          <w:sz w:val="24"/>
          <w:szCs w:val="24"/>
        </w:rPr>
        <w:t xml:space="preserve">, </w:t>
      </w:r>
      <w:r w:rsidRPr="00521834">
        <w:rPr>
          <w:sz w:val="24"/>
          <w:szCs w:val="24"/>
        </w:rPr>
        <w:t>Supplemental I</w:t>
      </w:r>
      <w:r w:rsidRPr="00521834" w:rsidR="0008600F">
        <w:rPr>
          <w:sz w:val="24"/>
          <w:szCs w:val="24"/>
        </w:rPr>
        <w:t xml:space="preserve"> to Part 1030 (Official Interpretations)</w:t>
      </w:r>
      <w:r w:rsidRPr="00521834" w:rsidR="00160B5E">
        <w:rPr>
          <w:sz w:val="24"/>
          <w:szCs w:val="24"/>
        </w:rPr>
        <w:t>:</w:t>
      </w:r>
    </w:p>
    <w:p w:rsidR="007C6A3D" w:rsidRPr="00521834" w:rsidP="007C6A3D" w14:paraId="1DDE7D90" w14:textId="77777777">
      <w:pPr>
        <w:rPr>
          <w:sz w:val="24"/>
          <w:szCs w:val="24"/>
        </w:rPr>
      </w:pPr>
    </w:p>
    <w:p w:rsidR="00B02624" w:rsidRPr="00521834" w:rsidP="007C6A3D" w14:paraId="7808269E" w14:textId="77777777">
      <w:pPr>
        <w:pStyle w:val="ListParagraph"/>
        <w:numPr>
          <w:ilvl w:val="0"/>
          <w:numId w:val="23"/>
        </w:numPr>
        <w:rPr>
          <w:rFonts w:ascii="Times New Roman" w:hAnsi="Times New Roman"/>
          <w:sz w:val="24"/>
          <w:szCs w:val="24"/>
        </w:rPr>
      </w:pPr>
      <w:r w:rsidRPr="00521834">
        <w:rPr>
          <w:rFonts w:ascii="Times New Roman" w:hAnsi="Times New Roman"/>
          <w:sz w:val="24"/>
          <w:szCs w:val="24"/>
        </w:rPr>
        <w:t>Account Disclosures (</w:t>
      </w:r>
      <w:r w:rsidRPr="00521834" w:rsidR="00160B5E">
        <w:rPr>
          <w:rFonts w:ascii="Times New Roman" w:hAnsi="Times New Roman"/>
          <w:sz w:val="24"/>
          <w:szCs w:val="24"/>
        </w:rPr>
        <w:t xml:space="preserve">Section </w:t>
      </w:r>
      <w:r w:rsidRPr="00521834">
        <w:rPr>
          <w:rFonts w:ascii="Times New Roman" w:hAnsi="Times New Roman"/>
          <w:sz w:val="24"/>
          <w:szCs w:val="24"/>
        </w:rPr>
        <w:t>1030.4</w:t>
      </w:r>
      <w:r w:rsidRPr="00521834" w:rsidR="00160B5E">
        <w:rPr>
          <w:rFonts w:ascii="Times New Roman" w:hAnsi="Times New Roman"/>
          <w:sz w:val="24"/>
          <w:szCs w:val="24"/>
        </w:rPr>
        <w:t>)</w:t>
      </w:r>
      <w:r w:rsidRPr="00521834">
        <w:rPr>
          <w:rFonts w:ascii="Times New Roman" w:hAnsi="Times New Roman"/>
          <w:sz w:val="24"/>
          <w:szCs w:val="24"/>
        </w:rPr>
        <w:t>:</w:t>
      </w:r>
    </w:p>
    <w:p w:rsidR="007C6A3D" w:rsidRPr="00521834" w:rsidP="00B02624" w14:paraId="5283AE52" w14:textId="16159335">
      <w:pPr>
        <w:pStyle w:val="ListParagraph"/>
        <w:numPr>
          <w:ilvl w:val="1"/>
          <w:numId w:val="23"/>
        </w:numPr>
        <w:rPr>
          <w:rFonts w:ascii="Times New Roman" w:hAnsi="Times New Roman"/>
          <w:sz w:val="24"/>
          <w:szCs w:val="24"/>
        </w:rPr>
      </w:pPr>
      <w:r w:rsidRPr="00521834">
        <w:rPr>
          <w:rFonts w:ascii="Times New Roman" w:hAnsi="Times New Roman"/>
          <w:sz w:val="24"/>
          <w:szCs w:val="24"/>
        </w:rPr>
        <w:t xml:space="preserve">Depository institutions are required to provide account disclosures containing rate and fee information to a consumer upon request.  Account disclosures must also be provided prior to opening an account or before services are provided, whichever is earlier.  The purpose of the disclosure requirement is to provide account holders and prospective account holders with the type and amount of any fees that may be imposed, (including ATM withdrawals or other electronic fund transfers); the interest rate and the APY that will be paid on an account; and other key terms.  Institutions are required to specify the categories of transactions for which an </w:t>
      </w:r>
      <w:r w:rsidRPr="00521834">
        <w:rPr>
          <w:rFonts w:ascii="Times New Roman" w:hAnsi="Times New Roman"/>
          <w:sz w:val="24"/>
          <w:szCs w:val="24"/>
        </w:rPr>
        <w:t>overdraft fee may be imposed in the account-opening disclosures provided under TISA.</w:t>
      </w:r>
    </w:p>
    <w:p w:rsidR="009820CA" w:rsidRPr="00521834" w:rsidP="007C6A3D" w14:paraId="481B0D2D" w14:textId="5AD7747C">
      <w:pPr>
        <w:pStyle w:val="ListParagraph"/>
        <w:numPr>
          <w:ilvl w:val="0"/>
          <w:numId w:val="23"/>
        </w:numPr>
        <w:rPr>
          <w:rFonts w:ascii="Times New Roman" w:hAnsi="Times New Roman"/>
          <w:sz w:val="24"/>
          <w:szCs w:val="24"/>
        </w:rPr>
      </w:pPr>
      <w:r w:rsidRPr="00521834">
        <w:rPr>
          <w:rFonts w:ascii="Times New Roman" w:hAnsi="Times New Roman"/>
          <w:sz w:val="24"/>
          <w:szCs w:val="24"/>
        </w:rPr>
        <w:t xml:space="preserve">Subsequent </w:t>
      </w:r>
      <w:r w:rsidRPr="00521834" w:rsidR="00851794">
        <w:rPr>
          <w:rFonts w:ascii="Times New Roman" w:hAnsi="Times New Roman"/>
          <w:sz w:val="24"/>
          <w:szCs w:val="24"/>
        </w:rPr>
        <w:t>n</w:t>
      </w:r>
      <w:r w:rsidRPr="00521834">
        <w:rPr>
          <w:rFonts w:ascii="Times New Roman" w:hAnsi="Times New Roman"/>
          <w:sz w:val="24"/>
          <w:szCs w:val="24"/>
        </w:rPr>
        <w:t>otices (</w:t>
      </w:r>
      <w:r w:rsidRPr="00521834" w:rsidR="006B53C4">
        <w:rPr>
          <w:rFonts w:ascii="Times New Roman" w:hAnsi="Times New Roman"/>
          <w:sz w:val="24"/>
          <w:szCs w:val="24"/>
        </w:rPr>
        <w:t xml:space="preserve">Section </w:t>
      </w:r>
      <w:r w:rsidRPr="00521834">
        <w:rPr>
          <w:rFonts w:ascii="Times New Roman" w:hAnsi="Times New Roman"/>
          <w:sz w:val="24"/>
          <w:szCs w:val="24"/>
        </w:rPr>
        <w:t>1030.5):</w:t>
      </w:r>
    </w:p>
    <w:p w:rsidR="007C6A3D" w:rsidRPr="00521834" w:rsidP="009820CA" w14:paraId="1689FBBB" w14:textId="5FAFB758">
      <w:pPr>
        <w:pStyle w:val="ListParagraph"/>
        <w:numPr>
          <w:ilvl w:val="1"/>
          <w:numId w:val="23"/>
        </w:numPr>
        <w:rPr>
          <w:rFonts w:ascii="Times New Roman" w:hAnsi="Times New Roman"/>
          <w:sz w:val="24"/>
          <w:szCs w:val="24"/>
        </w:rPr>
      </w:pPr>
      <w:r w:rsidRPr="00521834">
        <w:rPr>
          <w:rFonts w:ascii="Times New Roman" w:hAnsi="Times New Roman"/>
          <w:sz w:val="24"/>
          <w:szCs w:val="24"/>
        </w:rPr>
        <w:t>Change-in-terms notice (Section 1030.5(a)).  Depository institutions are required to provide 30 days’ notice of any change that may reduce the APY or adversely affect consumers, such as a change in fees.  Certain types of events such as changes in the interest rate and APY for variable rate accounts are exempt from this requirement.</w:t>
      </w:r>
    </w:p>
    <w:p w:rsidR="006B53C4" w:rsidRPr="00521834" w:rsidP="0030678D" w14:paraId="2C1F845B" w14:textId="31E20F7E">
      <w:pPr>
        <w:pStyle w:val="ListParagraph"/>
        <w:numPr>
          <w:ilvl w:val="0"/>
          <w:numId w:val="23"/>
        </w:numPr>
        <w:rPr>
          <w:rFonts w:ascii="Times New Roman" w:hAnsi="Times New Roman"/>
          <w:sz w:val="24"/>
          <w:szCs w:val="24"/>
        </w:rPr>
      </w:pPr>
      <w:r w:rsidRPr="00521834">
        <w:rPr>
          <w:rFonts w:ascii="Times New Roman" w:hAnsi="Times New Roman"/>
          <w:sz w:val="24"/>
          <w:szCs w:val="24"/>
        </w:rPr>
        <w:t>Notice before maturity for time accounts longer than one month that renew</w:t>
      </w:r>
      <w:r w:rsidRPr="00521834" w:rsidR="00040618">
        <w:rPr>
          <w:rFonts w:ascii="Times New Roman" w:hAnsi="Times New Roman"/>
          <w:sz w:val="24"/>
          <w:szCs w:val="24"/>
        </w:rPr>
        <w:t xml:space="preserve"> automatically and </w:t>
      </w:r>
      <w:r w:rsidRPr="00521834" w:rsidR="0030678D">
        <w:rPr>
          <w:rFonts w:ascii="Times New Roman" w:hAnsi="Times New Roman"/>
          <w:sz w:val="24"/>
          <w:szCs w:val="24"/>
        </w:rPr>
        <w:t xml:space="preserve">Notice before maturity for time accounts longer than one year that do not renew automatically </w:t>
      </w:r>
      <w:r w:rsidRPr="00521834" w:rsidR="007C6A3D">
        <w:rPr>
          <w:rFonts w:ascii="Times New Roman" w:hAnsi="Times New Roman"/>
          <w:sz w:val="24"/>
          <w:szCs w:val="24"/>
        </w:rPr>
        <w:t>(Sections 1030.5(b)</w:t>
      </w:r>
      <w:r w:rsidRPr="00521834" w:rsidR="0030678D">
        <w:rPr>
          <w:rFonts w:ascii="Times New Roman" w:hAnsi="Times New Roman"/>
          <w:sz w:val="24"/>
          <w:szCs w:val="24"/>
        </w:rPr>
        <w:t xml:space="preserve"> and </w:t>
      </w:r>
      <w:r w:rsidRPr="00521834" w:rsidR="007C6A3D">
        <w:rPr>
          <w:rFonts w:ascii="Times New Roman" w:hAnsi="Times New Roman"/>
          <w:sz w:val="24"/>
          <w:szCs w:val="24"/>
        </w:rPr>
        <w:t>(c))</w:t>
      </w:r>
      <w:r w:rsidRPr="00521834">
        <w:rPr>
          <w:rFonts w:ascii="Times New Roman" w:hAnsi="Times New Roman"/>
          <w:sz w:val="24"/>
          <w:szCs w:val="24"/>
        </w:rPr>
        <w:t>:</w:t>
      </w:r>
    </w:p>
    <w:p w:rsidR="00DE258F" w:rsidRPr="00521834" w:rsidP="007C6A3D" w14:paraId="61E68AA0" w14:textId="77777777">
      <w:pPr>
        <w:pStyle w:val="ListParagraph"/>
        <w:numPr>
          <w:ilvl w:val="1"/>
          <w:numId w:val="23"/>
        </w:numPr>
        <w:rPr>
          <w:rFonts w:ascii="Times New Roman" w:hAnsi="Times New Roman"/>
          <w:sz w:val="24"/>
          <w:szCs w:val="24"/>
        </w:rPr>
      </w:pPr>
      <w:r w:rsidRPr="00521834">
        <w:rPr>
          <w:rFonts w:ascii="Times New Roman" w:hAnsi="Times New Roman"/>
          <w:sz w:val="24"/>
          <w:szCs w:val="24"/>
        </w:rPr>
        <w:t>Depository institutions are required to provide notices prior to maturity for certain time accounts.  The timing and content requirement of the notice varies depending on the term of a time deposit and whether it renews automatically:</w:t>
      </w:r>
    </w:p>
    <w:p w:rsidR="00DE258F" w:rsidRPr="00521834" w:rsidP="007C6A3D" w14:paraId="7715BE32" w14:textId="77777777">
      <w:pPr>
        <w:pStyle w:val="ListParagraph"/>
        <w:numPr>
          <w:ilvl w:val="2"/>
          <w:numId w:val="23"/>
        </w:numPr>
        <w:rPr>
          <w:rFonts w:ascii="Times New Roman" w:hAnsi="Times New Roman"/>
          <w:sz w:val="24"/>
          <w:szCs w:val="24"/>
        </w:rPr>
      </w:pPr>
      <w:r w:rsidRPr="00521834">
        <w:rPr>
          <w:rFonts w:ascii="Times New Roman" w:hAnsi="Times New Roman"/>
          <w:sz w:val="24"/>
          <w:szCs w:val="24"/>
        </w:rPr>
        <w:t>For automatically renewable time accounts with a term less than or equal to one month, no advance notice is required;</w:t>
      </w:r>
    </w:p>
    <w:p w:rsidR="00DE258F" w:rsidRPr="00521834" w:rsidP="007C6A3D" w14:paraId="1EBF7125" w14:textId="77777777">
      <w:pPr>
        <w:pStyle w:val="ListParagraph"/>
        <w:numPr>
          <w:ilvl w:val="2"/>
          <w:numId w:val="23"/>
        </w:numPr>
        <w:rPr>
          <w:rFonts w:ascii="Times New Roman" w:hAnsi="Times New Roman"/>
          <w:sz w:val="24"/>
          <w:szCs w:val="24"/>
        </w:rPr>
      </w:pPr>
      <w:r w:rsidRPr="00521834">
        <w:rPr>
          <w:rFonts w:ascii="Times New Roman" w:hAnsi="Times New Roman"/>
          <w:sz w:val="24"/>
          <w:szCs w:val="24"/>
        </w:rPr>
        <w:t>Advance notices for automatically renewable time accounts with a maturity longer than one month but less than or equal to one year may be sent either 30 days before maturity or, as an alternative, 20 calendar days before the end of a grace period, so long as the grace period is at least 5 days.  The alternative timing rule was adopted to allow flexibility for institutions to maintain any existing practice to send notices 10 to 15 days prior to maturity.  The notice may contain the disclosures required when the account is opened or, as an alternative, information on the interest rate and APY for the new account, the maturity date for the existing and new accounts, and any changes in terms;</w:t>
      </w:r>
    </w:p>
    <w:p w:rsidR="00DE258F" w:rsidRPr="00521834" w:rsidP="007C6A3D" w14:paraId="3AE28A21" w14:textId="77777777">
      <w:pPr>
        <w:pStyle w:val="ListParagraph"/>
        <w:numPr>
          <w:ilvl w:val="2"/>
          <w:numId w:val="23"/>
        </w:numPr>
        <w:rPr>
          <w:rFonts w:ascii="Times New Roman" w:hAnsi="Times New Roman"/>
          <w:sz w:val="24"/>
          <w:szCs w:val="24"/>
        </w:rPr>
      </w:pPr>
      <w:r w:rsidRPr="00521834">
        <w:rPr>
          <w:rFonts w:ascii="Times New Roman" w:hAnsi="Times New Roman"/>
          <w:sz w:val="24"/>
          <w:szCs w:val="24"/>
        </w:rPr>
        <w:t>For automatically renewable time accounts with terms longer than one year, institutions must provide disclosures required at account opening.  The timing rules for these accounts longer than one year are the same as for accounts with maturities longer than one month but less than or equal to one year;</w:t>
      </w:r>
    </w:p>
    <w:p w:rsidR="007C6A3D" w:rsidRPr="00521834" w:rsidP="007C6A3D" w14:paraId="50303D10" w14:textId="70BA568E">
      <w:pPr>
        <w:pStyle w:val="ListParagraph"/>
        <w:numPr>
          <w:ilvl w:val="2"/>
          <w:numId w:val="23"/>
        </w:numPr>
        <w:rPr>
          <w:rFonts w:ascii="Times New Roman" w:hAnsi="Times New Roman"/>
          <w:sz w:val="24"/>
          <w:szCs w:val="24"/>
        </w:rPr>
      </w:pPr>
      <w:r w:rsidRPr="00521834">
        <w:rPr>
          <w:rFonts w:ascii="Times New Roman" w:hAnsi="Times New Roman"/>
          <w:sz w:val="24"/>
          <w:szCs w:val="24"/>
        </w:rPr>
        <w:t xml:space="preserve">For nonrenewable time accounts with a maturity of less than or equal to one year, no notice is required.  If the maturity is longer than one year, the notice must provide information on the maturity date, and </w:t>
      </w:r>
      <w:r w:rsidRPr="00521834" w:rsidR="00851794">
        <w:rPr>
          <w:rFonts w:ascii="Times New Roman" w:hAnsi="Times New Roman"/>
          <w:sz w:val="24"/>
          <w:szCs w:val="24"/>
        </w:rPr>
        <w:t>if</w:t>
      </w:r>
      <w:r w:rsidRPr="00521834">
        <w:rPr>
          <w:rFonts w:ascii="Times New Roman" w:hAnsi="Times New Roman"/>
          <w:sz w:val="24"/>
          <w:szCs w:val="24"/>
        </w:rPr>
        <w:t xml:space="preserve"> interest will be paid after maturity.</w:t>
      </w:r>
      <w:r w:rsidR="00516FCE">
        <w:rPr>
          <w:rFonts w:ascii="Times New Roman" w:hAnsi="Times New Roman"/>
          <w:sz w:val="24"/>
          <w:szCs w:val="24"/>
        </w:rPr>
        <w:t xml:space="preserve"> </w:t>
      </w:r>
      <w:r w:rsidRPr="00521834">
        <w:rPr>
          <w:rFonts w:ascii="Times New Roman" w:hAnsi="Times New Roman"/>
          <w:sz w:val="24"/>
          <w:szCs w:val="24"/>
        </w:rPr>
        <w:t xml:space="preserve"> The disclosures shall be mailed or delivered at least 10 calendar days before maturity of the existing account.</w:t>
      </w:r>
    </w:p>
    <w:p w:rsidR="00DE258F" w:rsidRPr="00521834" w:rsidP="007C6A3D" w14:paraId="0D5D303D" w14:textId="4DBAA52C">
      <w:pPr>
        <w:pStyle w:val="ListParagraph"/>
        <w:numPr>
          <w:ilvl w:val="0"/>
          <w:numId w:val="23"/>
        </w:numPr>
        <w:rPr>
          <w:rFonts w:ascii="Times New Roman" w:hAnsi="Times New Roman"/>
          <w:sz w:val="24"/>
          <w:szCs w:val="24"/>
        </w:rPr>
      </w:pPr>
      <w:r w:rsidRPr="00521834">
        <w:rPr>
          <w:rFonts w:ascii="Times New Roman" w:hAnsi="Times New Roman"/>
          <w:sz w:val="24"/>
          <w:szCs w:val="24"/>
        </w:rPr>
        <w:t xml:space="preserve">Periodic </w:t>
      </w:r>
      <w:r w:rsidRPr="00521834" w:rsidR="00A801B2">
        <w:rPr>
          <w:rFonts w:ascii="Times New Roman" w:hAnsi="Times New Roman"/>
          <w:sz w:val="24"/>
          <w:szCs w:val="24"/>
        </w:rPr>
        <w:t>s</w:t>
      </w:r>
      <w:r w:rsidRPr="00521834">
        <w:rPr>
          <w:rFonts w:ascii="Times New Roman" w:hAnsi="Times New Roman"/>
          <w:sz w:val="24"/>
          <w:szCs w:val="24"/>
        </w:rPr>
        <w:t xml:space="preserve">tatement </w:t>
      </w:r>
      <w:r w:rsidRPr="00521834" w:rsidR="00A801B2">
        <w:rPr>
          <w:rFonts w:ascii="Times New Roman" w:hAnsi="Times New Roman"/>
          <w:sz w:val="24"/>
          <w:szCs w:val="24"/>
        </w:rPr>
        <w:t>d</w:t>
      </w:r>
      <w:r w:rsidRPr="00521834">
        <w:rPr>
          <w:rFonts w:ascii="Times New Roman" w:hAnsi="Times New Roman"/>
          <w:sz w:val="24"/>
          <w:szCs w:val="24"/>
        </w:rPr>
        <w:t>isclosure (Section 1030.6):</w:t>
      </w:r>
    </w:p>
    <w:p w:rsidR="007C6A3D" w:rsidRPr="00521834" w:rsidP="00DE258F" w14:paraId="7376B520" w14:textId="5B7FF286">
      <w:pPr>
        <w:pStyle w:val="ListParagraph"/>
        <w:numPr>
          <w:ilvl w:val="1"/>
          <w:numId w:val="23"/>
        </w:numPr>
        <w:rPr>
          <w:rFonts w:ascii="Times New Roman" w:hAnsi="Times New Roman"/>
          <w:sz w:val="24"/>
          <w:szCs w:val="24"/>
        </w:rPr>
      </w:pPr>
      <w:r w:rsidRPr="00521834">
        <w:rPr>
          <w:rFonts w:ascii="Times New Roman" w:hAnsi="Times New Roman"/>
          <w:sz w:val="24"/>
          <w:szCs w:val="24"/>
        </w:rPr>
        <w:t xml:space="preserve">Neither TISA nor the regulation mandates that depository institutions provide periodic statements.  However, if an institution chooses to provide periodic statements, the statements must contain specific information: the total number of days in, or the beginning and ending dates of, the statement period; the dollar amount of interest earned and APY earned; fees imposed on the account, itemized by type and dollar amount; and if </w:t>
      </w:r>
      <w:r w:rsidRPr="00521834">
        <w:rPr>
          <w:rFonts w:ascii="Times New Roman" w:hAnsi="Times New Roman"/>
          <w:sz w:val="24"/>
          <w:szCs w:val="24"/>
        </w:rPr>
        <w:t>applicable, the total overdraft and returned item fees for the statement period and for the calendar year to date.</w:t>
      </w:r>
    </w:p>
    <w:p w:rsidR="004C32C1" w:rsidRPr="00521834" w:rsidP="007C6A3D" w14:paraId="1B0B8DB5" w14:textId="77777777">
      <w:pPr>
        <w:pStyle w:val="ListParagraph"/>
        <w:numPr>
          <w:ilvl w:val="0"/>
          <w:numId w:val="23"/>
        </w:numPr>
        <w:rPr>
          <w:rFonts w:ascii="Times New Roman" w:hAnsi="Times New Roman"/>
          <w:sz w:val="24"/>
          <w:szCs w:val="24"/>
        </w:rPr>
      </w:pPr>
      <w:r w:rsidRPr="00521834">
        <w:rPr>
          <w:rFonts w:ascii="Times New Roman" w:hAnsi="Times New Roman"/>
          <w:sz w:val="24"/>
          <w:szCs w:val="24"/>
        </w:rPr>
        <w:t>Advertising (Section 1030.8):</w:t>
      </w:r>
    </w:p>
    <w:p w:rsidR="00FF5E15" w:rsidRPr="00521834" w:rsidP="007C6A3D" w14:paraId="5FAAC873" w14:textId="10498D31">
      <w:pPr>
        <w:pStyle w:val="ListParagraph"/>
        <w:numPr>
          <w:ilvl w:val="1"/>
          <w:numId w:val="23"/>
        </w:numPr>
        <w:rPr>
          <w:rFonts w:ascii="Times New Roman" w:hAnsi="Times New Roman"/>
          <w:sz w:val="24"/>
          <w:szCs w:val="24"/>
        </w:rPr>
      </w:pPr>
      <w:r w:rsidRPr="00521834">
        <w:rPr>
          <w:rFonts w:ascii="Times New Roman" w:hAnsi="Times New Roman"/>
          <w:sz w:val="24"/>
          <w:szCs w:val="24"/>
        </w:rPr>
        <w:t>The advertising rules apply to both depository institutions and deposit brokers.</w:t>
      </w:r>
      <w:r w:rsidR="004D6369">
        <w:rPr>
          <w:rFonts w:ascii="Times New Roman" w:hAnsi="Times New Roman"/>
          <w:sz w:val="24"/>
          <w:szCs w:val="24"/>
        </w:rPr>
        <w:t xml:space="preserve"> </w:t>
      </w:r>
      <w:r w:rsidRPr="00521834">
        <w:rPr>
          <w:rFonts w:ascii="Times New Roman" w:hAnsi="Times New Roman"/>
          <w:sz w:val="24"/>
          <w:szCs w:val="24"/>
        </w:rPr>
        <w:t xml:space="preserve"> The purpose of the advertising rules is to provide potential shoppers with uniform and accurate information that they can use in deciding among various deposit accounts. </w:t>
      </w:r>
      <w:r w:rsidR="00516FCE">
        <w:rPr>
          <w:rFonts w:ascii="Times New Roman" w:hAnsi="Times New Roman"/>
          <w:sz w:val="24"/>
          <w:szCs w:val="24"/>
        </w:rPr>
        <w:t xml:space="preserve"> </w:t>
      </w:r>
      <w:r w:rsidRPr="00521834">
        <w:rPr>
          <w:rFonts w:ascii="Times New Roman" w:hAnsi="Times New Roman"/>
          <w:sz w:val="24"/>
          <w:szCs w:val="24"/>
        </w:rPr>
        <w:t xml:space="preserve">This section specifies that additional disclosures are required if advertisements discuss an annual percentage yield, bonuses, or overdraft features (discussed in </w:t>
      </w:r>
      <w:r w:rsidRPr="00521834" w:rsidR="004C32C1">
        <w:rPr>
          <w:rFonts w:ascii="Times New Roman" w:hAnsi="Times New Roman"/>
          <w:sz w:val="24"/>
          <w:szCs w:val="24"/>
        </w:rPr>
        <w:t xml:space="preserve">Section </w:t>
      </w:r>
      <w:r w:rsidRPr="00521834">
        <w:rPr>
          <w:rFonts w:ascii="Times New Roman" w:hAnsi="Times New Roman"/>
          <w:sz w:val="24"/>
          <w:szCs w:val="24"/>
        </w:rPr>
        <w:t>1030.11).</w:t>
      </w:r>
    </w:p>
    <w:p w:rsidR="00FF5E15" w:rsidRPr="00521834" w:rsidP="007C6A3D" w14:paraId="26063601" w14:textId="5D9A582A">
      <w:pPr>
        <w:pStyle w:val="ListParagraph"/>
        <w:numPr>
          <w:ilvl w:val="0"/>
          <w:numId w:val="23"/>
        </w:numPr>
        <w:rPr>
          <w:rFonts w:ascii="Times New Roman" w:hAnsi="Times New Roman"/>
          <w:sz w:val="24"/>
          <w:szCs w:val="24"/>
        </w:rPr>
      </w:pPr>
      <w:r w:rsidRPr="00521834">
        <w:rPr>
          <w:rFonts w:ascii="Times New Roman" w:hAnsi="Times New Roman"/>
          <w:sz w:val="24"/>
          <w:szCs w:val="24"/>
        </w:rPr>
        <w:t>Additional disclosure requirements for overdraft services (Section 1030.11):</w:t>
      </w:r>
    </w:p>
    <w:p w:rsidR="00FF5E15" w:rsidRPr="00521834" w:rsidP="00FF5E15" w14:paraId="328F43C0" w14:textId="77777777">
      <w:pPr>
        <w:pStyle w:val="ListParagraph"/>
        <w:numPr>
          <w:ilvl w:val="1"/>
          <w:numId w:val="23"/>
        </w:numPr>
        <w:rPr>
          <w:rFonts w:ascii="Times New Roman" w:hAnsi="Times New Roman"/>
          <w:sz w:val="24"/>
          <w:szCs w:val="24"/>
        </w:rPr>
      </w:pPr>
      <w:r w:rsidRPr="00521834">
        <w:rPr>
          <w:rFonts w:ascii="Times New Roman" w:hAnsi="Times New Roman"/>
          <w:sz w:val="24"/>
          <w:szCs w:val="24"/>
        </w:rPr>
        <w:t>Institutions providing periodic statements must separately disclose on such statements the total amount of fees or charges imposed on the deposit account for paying overdrafts and the total amount of fees charged for returning items unpaid.  These disclosures must be provided for the statement period and for the calendar year to date;</w:t>
      </w:r>
    </w:p>
    <w:p w:rsidR="006C4087" w:rsidRPr="00521834" w:rsidP="007C6A3D" w14:paraId="61CAB09A" w14:textId="7F8CF4DA">
      <w:pPr>
        <w:pStyle w:val="ListParagraph"/>
        <w:numPr>
          <w:ilvl w:val="1"/>
          <w:numId w:val="23"/>
        </w:numPr>
        <w:rPr>
          <w:rFonts w:ascii="Times New Roman" w:hAnsi="Times New Roman"/>
          <w:sz w:val="24"/>
          <w:szCs w:val="24"/>
        </w:rPr>
      </w:pPr>
      <w:r w:rsidRPr="00521834">
        <w:rPr>
          <w:rFonts w:ascii="Times New Roman" w:hAnsi="Times New Roman"/>
          <w:sz w:val="24"/>
          <w:szCs w:val="24"/>
        </w:rPr>
        <w:t>A</w:t>
      </w:r>
      <w:r w:rsidRPr="00521834" w:rsidR="007C6A3D">
        <w:rPr>
          <w:rFonts w:ascii="Times New Roman" w:hAnsi="Times New Roman"/>
          <w:sz w:val="24"/>
          <w:szCs w:val="24"/>
        </w:rPr>
        <w:t>dvertisements generally promoting the payment of overdrafts must disclose the fees for the payment of each overdraft, the categories of transactions for which a fee for paying an overdraft may be imposed, the time</w:t>
      </w:r>
      <w:r w:rsidRPr="00521834" w:rsidR="006F7E71">
        <w:rPr>
          <w:rFonts w:ascii="Times New Roman" w:hAnsi="Times New Roman"/>
          <w:sz w:val="24"/>
          <w:szCs w:val="24"/>
        </w:rPr>
        <w:t>frame</w:t>
      </w:r>
      <w:r w:rsidRPr="00521834" w:rsidR="007C6A3D">
        <w:rPr>
          <w:rFonts w:ascii="Times New Roman" w:hAnsi="Times New Roman"/>
          <w:sz w:val="24"/>
          <w:szCs w:val="24"/>
        </w:rPr>
        <w:t xml:space="preserve"> by which a consumer must repay or cover any overdraft, and the circumstances under which the institution will not pay an overdraft.  Moreover, any account balance disclosed to a consumer through an automated system (including, but not limited to, an ATM, Internet Web site, or telephone response system) must exclude additional amounts that the institution may provide or that may be transferred from another account of the consumer to cover an item where there are insufficient or unavailable funds in the consumer’s account.  An institution may</w:t>
      </w:r>
      <w:r w:rsidRPr="00521834" w:rsidR="006F7E71">
        <w:rPr>
          <w:rFonts w:ascii="Times New Roman" w:hAnsi="Times New Roman"/>
          <w:sz w:val="24"/>
          <w:szCs w:val="24"/>
        </w:rPr>
        <w:t xml:space="preserve"> </w:t>
      </w:r>
      <w:r w:rsidRPr="00521834" w:rsidR="007C6A3D">
        <w:rPr>
          <w:rFonts w:ascii="Times New Roman" w:hAnsi="Times New Roman"/>
          <w:sz w:val="24"/>
          <w:szCs w:val="24"/>
        </w:rPr>
        <w:t>disclose an additional account balance that includes such additional amounts provided the institution states that any such balance includes such additional amounts, and if applicable, that additional amounts are not available for all transactions.</w:t>
      </w:r>
    </w:p>
    <w:p w:rsidR="006C4087" w:rsidRPr="00521834" w:rsidP="007C6A3D" w14:paraId="6B5E10E1" w14:textId="7F7EF380">
      <w:pPr>
        <w:pStyle w:val="ListParagraph"/>
        <w:numPr>
          <w:ilvl w:val="0"/>
          <w:numId w:val="23"/>
        </w:numPr>
        <w:rPr>
          <w:rFonts w:ascii="Times New Roman" w:hAnsi="Times New Roman"/>
          <w:sz w:val="24"/>
          <w:szCs w:val="24"/>
        </w:rPr>
      </w:pPr>
      <w:r w:rsidRPr="00521834">
        <w:rPr>
          <w:rFonts w:ascii="Times New Roman" w:hAnsi="Times New Roman"/>
          <w:sz w:val="24"/>
          <w:szCs w:val="24"/>
        </w:rPr>
        <w:t>Enforcement and record retention</w:t>
      </w:r>
      <w:r w:rsidRPr="00521834" w:rsidR="007C6A3D">
        <w:rPr>
          <w:rFonts w:ascii="Times New Roman" w:hAnsi="Times New Roman"/>
          <w:sz w:val="24"/>
          <w:szCs w:val="24"/>
        </w:rPr>
        <w:t xml:space="preserve"> (</w:t>
      </w:r>
      <w:r w:rsidRPr="00521834">
        <w:rPr>
          <w:rFonts w:ascii="Times New Roman" w:hAnsi="Times New Roman"/>
          <w:sz w:val="24"/>
          <w:szCs w:val="24"/>
        </w:rPr>
        <w:t xml:space="preserve">Section </w:t>
      </w:r>
      <w:r w:rsidRPr="00521834" w:rsidR="007C6A3D">
        <w:rPr>
          <w:rFonts w:ascii="Times New Roman" w:hAnsi="Times New Roman"/>
          <w:sz w:val="24"/>
          <w:szCs w:val="24"/>
        </w:rPr>
        <w:t>1030.9(c))</w:t>
      </w:r>
      <w:r w:rsidRPr="00521834">
        <w:rPr>
          <w:rFonts w:ascii="Times New Roman" w:hAnsi="Times New Roman"/>
          <w:sz w:val="24"/>
          <w:szCs w:val="24"/>
        </w:rPr>
        <w:t>:</w:t>
      </w:r>
    </w:p>
    <w:p w:rsidR="00E939D3" w:rsidP="006C4087" w14:paraId="19B9EB12" w14:textId="0D29815E">
      <w:pPr>
        <w:pStyle w:val="ListParagraph"/>
        <w:numPr>
          <w:ilvl w:val="1"/>
          <w:numId w:val="23"/>
        </w:numPr>
        <w:rPr>
          <w:rFonts w:ascii="Times New Roman" w:hAnsi="Times New Roman"/>
          <w:sz w:val="24"/>
          <w:szCs w:val="24"/>
        </w:rPr>
      </w:pPr>
      <w:r w:rsidRPr="00521834">
        <w:rPr>
          <w:rFonts w:ascii="Times New Roman" w:hAnsi="Times New Roman"/>
          <w:sz w:val="24"/>
          <w:szCs w:val="24"/>
        </w:rPr>
        <w:t xml:space="preserve">Section 1030.9(c) of Regulation DD requires depository institutions subject to TISA to retain evidence of compliance with the regulation for two years after the date disclosures are required to be made or action is required.  Regulation DD also </w:t>
      </w:r>
      <w:r w:rsidRPr="00521834" w:rsidR="006F7E71">
        <w:rPr>
          <w:rFonts w:ascii="Times New Roman" w:hAnsi="Times New Roman"/>
          <w:sz w:val="24"/>
          <w:szCs w:val="24"/>
        </w:rPr>
        <w:t>provides</w:t>
      </w:r>
      <w:r w:rsidRPr="00521834">
        <w:rPr>
          <w:rFonts w:ascii="Times New Roman" w:hAnsi="Times New Roman"/>
          <w:sz w:val="24"/>
          <w:szCs w:val="24"/>
        </w:rPr>
        <w:t xml:space="preserve"> that administrative agencies responsible for enforcing the regulation may require depository institutions under their jurisdiction to retain records for a longer period if necessary to carry out their enforcement responsibilities under TISA.  The recordkeeping requirement </w:t>
      </w:r>
      <w:r w:rsidRPr="00521834" w:rsidR="006F7E71">
        <w:rPr>
          <w:rFonts w:ascii="Times New Roman" w:hAnsi="Times New Roman"/>
          <w:sz w:val="24"/>
          <w:szCs w:val="24"/>
        </w:rPr>
        <w:t>e</w:t>
      </w:r>
      <w:r w:rsidRPr="00521834">
        <w:rPr>
          <w:rFonts w:ascii="Times New Roman" w:hAnsi="Times New Roman"/>
          <w:sz w:val="24"/>
          <w:szCs w:val="24"/>
        </w:rPr>
        <w:t>nsures that records that might contain evidence of violations of TISA remain available to Federal agencies.</w:t>
      </w:r>
    </w:p>
    <w:p w:rsidR="00BC2027" w:rsidRPr="00BC2027" w:rsidP="00BC2027" w14:paraId="66B3472F" w14:textId="77777777">
      <w:pPr>
        <w:rPr>
          <w:sz w:val="24"/>
          <w:szCs w:val="24"/>
        </w:rPr>
      </w:pPr>
    </w:p>
    <w:p w:rsidR="00092D91" w:rsidRPr="00521834" w:rsidP="00092D91" w14:paraId="0C7BE16B" w14:textId="77777777">
      <w:pPr>
        <w:rPr>
          <w:b/>
          <w:bCs/>
          <w:sz w:val="24"/>
          <w:szCs w:val="24"/>
        </w:rPr>
      </w:pPr>
      <w:r w:rsidRPr="00521834">
        <w:rPr>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521834">
        <w:rPr>
          <w:b/>
          <w:bCs/>
          <w:sz w:val="24"/>
          <w:szCs w:val="24"/>
        </w:rPr>
        <w:t>collection.  Also, describe any consideration of using information technology to reduce burden.</w:t>
      </w:r>
    </w:p>
    <w:p w:rsidR="005F1FFC" w:rsidRPr="00521834" w:rsidP="005F1FFC" w14:paraId="07836B1D" w14:textId="77777777">
      <w:pPr>
        <w:rPr>
          <w:sz w:val="24"/>
          <w:szCs w:val="24"/>
        </w:rPr>
      </w:pPr>
    </w:p>
    <w:p w:rsidR="008A69CB" w:rsidRPr="00521834" w:rsidP="008A69CB" w14:paraId="76B88401" w14:textId="4EE8F60C">
      <w:pPr>
        <w:rPr>
          <w:bCs/>
          <w:sz w:val="24"/>
          <w:szCs w:val="24"/>
        </w:rPr>
      </w:pPr>
      <w:r w:rsidRPr="00521834">
        <w:rPr>
          <w:bCs/>
          <w:sz w:val="24"/>
          <w:szCs w:val="24"/>
        </w:rPr>
        <w:t>Regulation DD contains rules to establish uniform standards for using electronic communication to deliver disclosures required under Regulation DD, within the context of the Electronic Signatures in Global and National Commerce Act (ESIGN)</w:t>
      </w:r>
      <w:r>
        <w:rPr>
          <w:rStyle w:val="FootnoteReference"/>
          <w:bCs/>
          <w:sz w:val="24"/>
          <w:szCs w:val="24"/>
        </w:rPr>
        <w:footnoteReference w:id="6"/>
      </w:r>
      <w:r w:rsidRPr="00521834">
        <w:rPr>
          <w:bCs/>
          <w:sz w:val="24"/>
          <w:szCs w:val="24"/>
        </w:rPr>
        <w:t xml:space="preserve">.  These rules enable businesses to utilize electronic disclosures and compliance, consistent with the requirements of ESIGN.  </w:t>
      </w:r>
      <w:r w:rsidRPr="00521834" w:rsidR="00EE7322">
        <w:rPr>
          <w:bCs/>
          <w:sz w:val="24"/>
          <w:szCs w:val="24"/>
        </w:rPr>
        <w:t xml:space="preserve">These sorts of usages of </w:t>
      </w:r>
      <w:r w:rsidRPr="00521834">
        <w:rPr>
          <w:bCs/>
          <w:sz w:val="24"/>
          <w:szCs w:val="24"/>
        </w:rPr>
        <w:t xml:space="preserve">electronic communications </w:t>
      </w:r>
      <w:r w:rsidRPr="00521834" w:rsidR="000A45ED">
        <w:rPr>
          <w:bCs/>
          <w:sz w:val="24"/>
          <w:szCs w:val="24"/>
        </w:rPr>
        <w:t>are</w:t>
      </w:r>
      <w:r w:rsidRPr="00521834">
        <w:rPr>
          <w:bCs/>
          <w:sz w:val="24"/>
          <w:szCs w:val="24"/>
        </w:rPr>
        <w:t xml:space="preserve"> also consistent with the Government Paperwork Elimination Act (GPEA)</w:t>
      </w:r>
      <w:r>
        <w:rPr>
          <w:rStyle w:val="FootnoteReference"/>
          <w:bCs/>
          <w:sz w:val="24"/>
          <w:szCs w:val="24"/>
        </w:rPr>
        <w:footnoteReference w:id="7"/>
      </w:r>
      <w:r w:rsidRPr="00521834">
        <w:rPr>
          <w:bCs/>
          <w:sz w:val="24"/>
          <w:szCs w:val="24"/>
        </w:rPr>
        <w:t xml:space="preserve">. </w:t>
      </w:r>
      <w:r w:rsidR="000A45ED">
        <w:rPr>
          <w:bCs/>
          <w:sz w:val="24"/>
          <w:szCs w:val="24"/>
        </w:rPr>
        <w:t xml:space="preserve"> </w:t>
      </w:r>
      <w:r w:rsidRPr="00521834">
        <w:rPr>
          <w:bCs/>
          <w:sz w:val="24"/>
          <w:szCs w:val="24"/>
        </w:rPr>
        <w:t xml:space="preserve">ESIGN and GPEA serve to reduce businesses’ compliance burden related to federal requirements </w:t>
      </w:r>
      <w:r w:rsidRPr="00521834" w:rsidR="004A4450">
        <w:rPr>
          <w:bCs/>
          <w:sz w:val="24"/>
          <w:szCs w:val="24"/>
        </w:rPr>
        <w:t>(</w:t>
      </w:r>
      <w:r w:rsidRPr="00521834">
        <w:rPr>
          <w:bCs/>
          <w:sz w:val="24"/>
          <w:szCs w:val="24"/>
        </w:rPr>
        <w:t>including Regulation DD</w:t>
      </w:r>
      <w:r w:rsidRPr="00521834" w:rsidR="004A4450">
        <w:rPr>
          <w:bCs/>
          <w:sz w:val="24"/>
          <w:szCs w:val="24"/>
        </w:rPr>
        <w:t>)</w:t>
      </w:r>
      <w:r w:rsidRPr="00521834">
        <w:rPr>
          <w:bCs/>
          <w:sz w:val="24"/>
          <w:szCs w:val="24"/>
        </w:rPr>
        <w:t xml:space="preserve"> by enabling businesses to use more efficient electronic media for disclosures and compliance.</w:t>
      </w:r>
    </w:p>
    <w:p w:rsidR="008A69CB" w:rsidRPr="00521834" w:rsidP="008A69CB" w14:paraId="1FAD1C5E" w14:textId="77777777">
      <w:pPr>
        <w:rPr>
          <w:bCs/>
          <w:sz w:val="24"/>
          <w:szCs w:val="24"/>
        </w:rPr>
      </w:pPr>
    </w:p>
    <w:p w:rsidR="00E939D3" w:rsidRPr="00521834" w:rsidP="008A69CB" w14:paraId="7CEBA56C" w14:textId="6541A593">
      <w:pPr>
        <w:rPr>
          <w:b/>
          <w:sz w:val="24"/>
          <w:szCs w:val="24"/>
        </w:rPr>
      </w:pPr>
      <w:r w:rsidRPr="00521834">
        <w:rPr>
          <w:bCs/>
          <w:sz w:val="24"/>
          <w:szCs w:val="24"/>
        </w:rPr>
        <w:t>Regulation DD also permits depository institutions to retain records on microfilm or microfiche or any other method that reproduces records accurately</w:t>
      </w:r>
      <w:r w:rsidRPr="00521834" w:rsidR="00814A95">
        <w:rPr>
          <w:bCs/>
          <w:sz w:val="24"/>
          <w:szCs w:val="24"/>
        </w:rPr>
        <w:t>.</w:t>
      </w:r>
      <w:r w:rsidRPr="00521834">
        <w:rPr>
          <w:bCs/>
          <w:sz w:val="24"/>
          <w:szCs w:val="24"/>
        </w:rPr>
        <w:t xml:space="preserve">  Depository institutions need only retain enough information to reconstruct the required disclosure or other records.</w:t>
      </w:r>
    </w:p>
    <w:p w:rsidR="00A133F2" w:rsidRPr="00521834" w:rsidP="00E81562" w14:paraId="75EE893B" w14:textId="77777777">
      <w:pPr>
        <w:rPr>
          <w:b/>
          <w:sz w:val="24"/>
          <w:szCs w:val="24"/>
        </w:rPr>
      </w:pPr>
    </w:p>
    <w:p w:rsidR="00092D91" w:rsidRPr="00521834"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21834">
        <w:rPr>
          <w:b/>
          <w:sz w:val="24"/>
          <w:szCs w:val="24"/>
        </w:rPr>
        <w:t xml:space="preserve">4.  </w:t>
      </w:r>
      <w:r w:rsidRPr="00521834">
        <w:rPr>
          <w:b/>
          <w:bCs/>
          <w:sz w:val="24"/>
          <w:szCs w:val="24"/>
        </w:rPr>
        <w:t>Describe efforts to identify duplication.  Show specifically why any similar information already available cannot be used or modified for use for the purposes described in Item A.2 above.</w:t>
      </w:r>
    </w:p>
    <w:p w:rsidR="005F1FFC" w:rsidRPr="00521834" w:rsidP="005F1FFC" w14:paraId="7339726A" w14:textId="77777777">
      <w:pPr>
        <w:rPr>
          <w:sz w:val="24"/>
          <w:szCs w:val="24"/>
        </w:rPr>
      </w:pPr>
    </w:p>
    <w:p w:rsidR="009A7E80" w:rsidRPr="00521834" w:rsidP="009A7E80" w14:paraId="726C7F9B" w14:textId="027484C6">
      <w:pPr>
        <w:rPr>
          <w:bCs/>
          <w:sz w:val="24"/>
          <w:szCs w:val="24"/>
        </w:rPr>
      </w:pPr>
      <w:r w:rsidRPr="00521834">
        <w:rPr>
          <w:bCs/>
          <w:sz w:val="24"/>
          <w:szCs w:val="24"/>
        </w:rPr>
        <w:t>The recordkeeping requirement of Regulation DD preserves the information an affected entity uses in making disclosures and other required actions regarding deposit accounts.  The entity is the only source of this information.  No other federal law mandates its retention.  State laws do not duplicate these requirements.  However, some states may have other rules applicable to deposit accounts.</w:t>
      </w:r>
    </w:p>
    <w:p w:rsidR="009A7E80" w:rsidRPr="00521834" w:rsidP="009A7E80" w14:paraId="4768587E" w14:textId="77777777">
      <w:pPr>
        <w:rPr>
          <w:bCs/>
          <w:sz w:val="24"/>
          <w:szCs w:val="24"/>
        </w:rPr>
      </w:pPr>
    </w:p>
    <w:p w:rsidR="009A7E80" w:rsidRPr="00521834" w:rsidP="009A7E80" w14:paraId="0917A4EE" w14:textId="573D5924">
      <w:pPr>
        <w:rPr>
          <w:bCs/>
          <w:sz w:val="24"/>
          <w:szCs w:val="24"/>
        </w:rPr>
      </w:pPr>
      <w:r w:rsidRPr="00521834">
        <w:rPr>
          <w:bCs/>
          <w:sz w:val="24"/>
          <w:szCs w:val="24"/>
        </w:rPr>
        <w:t>Similarly, covered entities are the only source of the information contained in the disclosures required by the TISA and Regulation DD.  No other federal law mandates these disclosures.  State laws do not duplicate these requirements</w:t>
      </w:r>
      <w:r w:rsidRPr="00521834" w:rsidR="000E71CA">
        <w:rPr>
          <w:bCs/>
          <w:sz w:val="24"/>
          <w:szCs w:val="24"/>
        </w:rPr>
        <w:t xml:space="preserve">.  However, </w:t>
      </w:r>
      <w:r w:rsidRPr="00521834">
        <w:rPr>
          <w:bCs/>
          <w:sz w:val="24"/>
          <w:szCs w:val="24"/>
        </w:rPr>
        <w:t>some states may have other rules applicable to deposit accounts.</w:t>
      </w:r>
    </w:p>
    <w:p w:rsidR="009A7E80" w:rsidRPr="00521834" w:rsidP="009A7E80" w14:paraId="6B1EF90D" w14:textId="77777777">
      <w:pPr>
        <w:rPr>
          <w:bCs/>
          <w:sz w:val="24"/>
          <w:szCs w:val="24"/>
        </w:rPr>
      </w:pPr>
    </w:p>
    <w:p w:rsidR="00A133F2" w:rsidRPr="00521834" w:rsidP="009A7E80" w14:paraId="48A72541" w14:textId="68C62E8A">
      <w:pPr>
        <w:rPr>
          <w:bCs/>
          <w:sz w:val="24"/>
          <w:szCs w:val="24"/>
        </w:rPr>
      </w:pPr>
      <w:r w:rsidRPr="00521834">
        <w:rPr>
          <w:bCs/>
          <w:sz w:val="24"/>
          <w:szCs w:val="24"/>
        </w:rPr>
        <w:t>Additionally,</w:t>
      </w:r>
      <w:r w:rsidRPr="00521834" w:rsidR="00B73469">
        <w:rPr>
          <w:bCs/>
          <w:sz w:val="24"/>
          <w:szCs w:val="24"/>
        </w:rPr>
        <w:t xml:space="preserve"> </w:t>
      </w:r>
      <w:r w:rsidRPr="00521834">
        <w:rPr>
          <w:bCs/>
          <w:sz w:val="24"/>
          <w:szCs w:val="24"/>
        </w:rPr>
        <w:t>compliance with Regulation E (12 CFR Part 1005) satisf</w:t>
      </w:r>
      <w:r w:rsidRPr="00521834" w:rsidR="00B73469">
        <w:rPr>
          <w:bCs/>
          <w:sz w:val="24"/>
          <w:szCs w:val="24"/>
        </w:rPr>
        <w:t>ies</w:t>
      </w:r>
      <w:r w:rsidRPr="00521834">
        <w:rPr>
          <w:bCs/>
          <w:sz w:val="24"/>
          <w:szCs w:val="24"/>
        </w:rPr>
        <w:t xml:space="preserve"> the disclosure requirements of Regulation DD when certain conditions prevail</w:t>
      </w:r>
      <w:r w:rsidRPr="00521834" w:rsidR="00B73469">
        <w:rPr>
          <w:bCs/>
          <w:sz w:val="24"/>
          <w:szCs w:val="24"/>
        </w:rPr>
        <w:t xml:space="preserve"> in regard to the general disclosure requirement</w:t>
      </w:r>
      <w:r w:rsidRPr="00521834">
        <w:rPr>
          <w:bCs/>
          <w:sz w:val="24"/>
          <w:szCs w:val="24"/>
        </w:rPr>
        <w:t>.</w:t>
      </w:r>
      <w:r w:rsidR="0039571C">
        <w:rPr>
          <w:bCs/>
          <w:sz w:val="24"/>
          <w:szCs w:val="24"/>
        </w:rPr>
        <w:t xml:space="preserve"> </w:t>
      </w:r>
      <w:r w:rsidRPr="00521834">
        <w:rPr>
          <w:bCs/>
          <w:sz w:val="24"/>
          <w:szCs w:val="24"/>
        </w:rPr>
        <w:t xml:space="preserve"> See Appendix D</w:t>
      </w:r>
      <w:r w:rsidRPr="00521834" w:rsidR="00F024F1">
        <w:rPr>
          <w:bCs/>
          <w:sz w:val="24"/>
          <w:szCs w:val="24"/>
        </w:rPr>
        <w:t xml:space="preserve"> to Part 1030 – Issuance of Official Interpretations</w:t>
      </w:r>
      <w:r w:rsidRPr="00521834">
        <w:rPr>
          <w:bCs/>
          <w:sz w:val="24"/>
          <w:szCs w:val="24"/>
        </w:rPr>
        <w:t>, Supplemental I</w:t>
      </w:r>
      <w:r w:rsidRPr="00521834" w:rsidR="00840744">
        <w:rPr>
          <w:bCs/>
          <w:sz w:val="24"/>
          <w:szCs w:val="24"/>
        </w:rPr>
        <w:t xml:space="preserve"> to Part 1030 – Official Interpretations</w:t>
      </w:r>
      <w:r w:rsidRPr="00521834">
        <w:rPr>
          <w:bCs/>
          <w:sz w:val="24"/>
          <w:szCs w:val="24"/>
        </w:rPr>
        <w:t>.</w:t>
      </w:r>
      <w:r w:rsidRPr="00521834" w:rsidR="00840744">
        <w:rPr>
          <w:bCs/>
          <w:sz w:val="24"/>
          <w:szCs w:val="24"/>
        </w:rPr>
        <w:t xml:space="preserve"> </w:t>
      </w:r>
      <w:r w:rsidRPr="00521834">
        <w:rPr>
          <w:bCs/>
          <w:sz w:val="24"/>
          <w:szCs w:val="24"/>
        </w:rPr>
        <w:t xml:space="preserve"> Furthermore, CFPB’s Official Interpretations for Section 1030.6, Periodic Statement Disclosures, may combine periodic statements without triggering the disclosure requirements of that part so long as certain conditions prevail. </w:t>
      </w:r>
      <w:r w:rsidR="0039571C">
        <w:rPr>
          <w:bCs/>
          <w:sz w:val="24"/>
          <w:szCs w:val="24"/>
        </w:rPr>
        <w:t xml:space="preserve"> </w:t>
      </w:r>
      <w:r w:rsidRPr="00521834">
        <w:rPr>
          <w:bCs/>
          <w:sz w:val="24"/>
          <w:szCs w:val="24"/>
        </w:rPr>
        <w:t>See Appendix D, Official Interpretations to Part 1030, Supplemental I, Section 1030.6.</w:t>
      </w:r>
    </w:p>
    <w:p w:rsidR="009A7E80" w:rsidRPr="00521834" w:rsidP="009A7E80" w14:paraId="7CF0186B" w14:textId="77777777">
      <w:pPr>
        <w:rPr>
          <w:sz w:val="24"/>
          <w:szCs w:val="24"/>
        </w:rPr>
      </w:pPr>
    </w:p>
    <w:p w:rsidR="00092D91" w:rsidRPr="00521834" w:rsidP="00092D91" w14:paraId="78977288" w14:textId="77777777">
      <w:pPr>
        <w:pStyle w:val="BodyText"/>
        <w:rPr>
          <w:b/>
          <w:szCs w:val="24"/>
        </w:rPr>
      </w:pPr>
      <w:r w:rsidRPr="00521834">
        <w:rPr>
          <w:b/>
          <w:szCs w:val="24"/>
        </w:rPr>
        <w:t xml:space="preserve">5.  </w:t>
      </w:r>
      <w:r w:rsidRPr="00521834">
        <w:rPr>
          <w:b/>
          <w:bCs/>
          <w:szCs w:val="24"/>
        </w:rPr>
        <w:t>If the collection of information impacts small businesses or other small entities, describe any methods used to minimize burden.</w:t>
      </w:r>
    </w:p>
    <w:p w:rsidR="005F1FFC" w:rsidRPr="00521834" w:rsidP="00092D91" w14:paraId="6511B9A0" w14:textId="0841AF54">
      <w:pPr>
        <w:pStyle w:val="BodyText"/>
        <w:rPr>
          <w:szCs w:val="24"/>
        </w:rPr>
      </w:pPr>
    </w:p>
    <w:p w:rsidR="00A133F2" w:rsidRPr="00521834" w:rsidP="00092D91" w14:paraId="5AEFEF7F" w14:textId="67A7E9D3">
      <w:pPr>
        <w:pStyle w:val="BodyText"/>
        <w:rPr>
          <w:szCs w:val="24"/>
        </w:rPr>
      </w:pPr>
      <w:r w:rsidRPr="00521834">
        <w:rPr>
          <w:bCs/>
          <w:szCs w:val="24"/>
        </w:rPr>
        <w:t>Most depository institutions today use some degree of computerization in their business</w:t>
      </w:r>
      <w:r w:rsidRPr="00521834" w:rsidR="00AC507C">
        <w:rPr>
          <w:bCs/>
          <w:szCs w:val="24"/>
        </w:rPr>
        <w:t xml:space="preserve">.  </w:t>
      </w:r>
      <w:r w:rsidRPr="00521834">
        <w:rPr>
          <w:bCs/>
          <w:szCs w:val="24"/>
        </w:rPr>
        <w:t>Regulation DD permits businesses to rely on computer support</w:t>
      </w:r>
      <w:r w:rsidRPr="00521834" w:rsidR="00AC507C">
        <w:rPr>
          <w:bCs/>
          <w:szCs w:val="24"/>
        </w:rPr>
        <w:t xml:space="preserve"> (</w:t>
      </w:r>
      <w:r w:rsidRPr="00521834">
        <w:rPr>
          <w:bCs/>
          <w:szCs w:val="24"/>
        </w:rPr>
        <w:t>among other alternatives</w:t>
      </w:r>
      <w:r w:rsidRPr="00521834" w:rsidR="00AC507C">
        <w:rPr>
          <w:bCs/>
          <w:szCs w:val="24"/>
        </w:rPr>
        <w:t>)</w:t>
      </w:r>
      <w:r w:rsidRPr="00521834">
        <w:rPr>
          <w:bCs/>
          <w:szCs w:val="24"/>
        </w:rPr>
        <w:t xml:space="preserve"> to meet their recordkeeping and disclosure requirements.  This flexibility yields reduced recordkeeping and disclosure costs</w:t>
      </w:r>
      <w:r w:rsidRPr="00521834" w:rsidR="00D569F6">
        <w:rPr>
          <w:bCs/>
          <w:szCs w:val="24"/>
        </w:rPr>
        <w:t xml:space="preserve">.  </w:t>
      </w:r>
      <w:r w:rsidRPr="00521834">
        <w:rPr>
          <w:bCs/>
          <w:szCs w:val="24"/>
        </w:rPr>
        <w:t>Moreover, as noted previously, Regulation DD provides model forms and clauses that may be used in compliance with its requirements.  Correct use of these forms and clauses insulates a depository institution from liability as to proper format.</w:t>
      </w:r>
    </w:p>
    <w:p w:rsidR="00E939D3" w:rsidRPr="00521834" w:rsidP="005F1FFC" w14:paraId="2EE74F06" w14:textId="77777777">
      <w:pPr>
        <w:pStyle w:val="BodyText"/>
        <w:rPr>
          <w:szCs w:val="24"/>
        </w:rPr>
      </w:pPr>
    </w:p>
    <w:p w:rsidR="00F660E8" w:rsidRPr="00521834" w:rsidP="00F660E8" w14:paraId="7ACF7470" w14:textId="77777777">
      <w:pPr>
        <w:rPr>
          <w:b/>
          <w:sz w:val="24"/>
          <w:szCs w:val="24"/>
        </w:rPr>
      </w:pPr>
      <w:r w:rsidRPr="00521834">
        <w:rPr>
          <w:b/>
          <w:sz w:val="24"/>
          <w:szCs w:val="24"/>
        </w:rPr>
        <w:t xml:space="preserve">6.  </w:t>
      </w:r>
      <w:r w:rsidRPr="00521834">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521834" w:rsidP="005F1FFC" w14:paraId="039568CD" w14:textId="03D310FB">
      <w:pPr>
        <w:rPr>
          <w:sz w:val="24"/>
          <w:szCs w:val="24"/>
        </w:rPr>
      </w:pPr>
    </w:p>
    <w:p w:rsidR="00453666" w:rsidRPr="00521834" w:rsidP="00453666" w14:paraId="7C293EE6" w14:textId="75566970">
      <w:pPr>
        <w:rPr>
          <w:sz w:val="24"/>
          <w:szCs w:val="24"/>
        </w:rPr>
      </w:pPr>
      <w:r w:rsidRPr="00521834">
        <w:rPr>
          <w:sz w:val="24"/>
          <w:szCs w:val="24"/>
        </w:rPr>
        <w:t xml:space="preserve">The current record retention period of two years supports the one-year statute of limitations for </w:t>
      </w:r>
      <w:r w:rsidRPr="00521834" w:rsidR="008B6A3C">
        <w:rPr>
          <w:sz w:val="24"/>
          <w:szCs w:val="24"/>
        </w:rPr>
        <w:t>e</w:t>
      </w:r>
      <w:r w:rsidRPr="00521834">
        <w:rPr>
          <w:sz w:val="24"/>
          <w:szCs w:val="24"/>
        </w:rPr>
        <w:t xml:space="preserve">nforcement agencies’ need for sufficient time to bring enforcement actions regarding deposit accounts.  If the retention period were shortened, </w:t>
      </w:r>
      <w:r w:rsidRPr="00521834" w:rsidR="00701A74">
        <w:rPr>
          <w:sz w:val="24"/>
          <w:szCs w:val="24"/>
        </w:rPr>
        <w:t>the administrative agencies</w:t>
      </w:r>
      <w:r w:rsidRPr="00521834">
        <w:rPr>
          <w:sz w:val="24"/>
          <w:szCs w:val="24"/>
        </w:rPr>
        <w:t xml:space="preserve"> might find that depository institution records needed to prove violations of TISA no longer exist.</w:t>
      </w:r>
    </w:p>
    <w:p w:rsidR="00453666" w:rsidRPr="00521834" w:rsidP="00453666" w14:paraId="555F027A" w14:textId="77777777">
      <w:pPr>
        <w:rPr>
          <w:sz w:val="24"/>
          <w:szCs w:val="24"/>
        </w:rPr>
      </w:pPr>
    </w:p>
    <w:p w:rsidR="00A133F2" w:rsidRPr="00521834" w:rsidP="00453666" w14:paraId="533F1F76" w14:textId="2A5D82DA">
      <w:pPr>
        <w:rPr>
          <w:sz w:val="24"/>
          <w:szCs w:val="24"/>
        </w:rPr>
      </w:pPr>
      <w:r w:rsidRPr="00521834">
        <w:rPr>
          <w:sz w:val="24"/>
          <w:szCs w:val="24"/>
        </w:rPr>
        <w:t>As noted, the disclosure requirements are needed to facilitate comparison cost shopping and to spur informed decision-making regarding deposit accounts.  Without these requirements, consumers would not have access to this critical information, and enforcement agencies could not fulfill their mandate to enforce TISA.</w:t>
      </w:r>
    </w:p>
    <w:p w:rsidR="00E939D3" w:rsidRPr="00521834" w:rsidP="00BE61FE" w14:paraId="224E9EAF" w14:textId="77777777">
      <w:pPr>
        <w:rPr>
          <w:sz w:val="24"/>
          <w:szCs w:val="24"/>
        </w:rPr>
      </w:pPr>
    </w:p>
    <w:p w:rsidR="00F660E8" w:rsidRPr="00521834"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21834">
        <w:rPr>
          <w:b/>
          <w:sz w:val="24"/>
          <w:szCs w:val="24"/>
        </w:rPr>
        <w:t xml:space="preserve">7.  </w:t>
      </w:r>
      <w:r w:rsidRPr="00521834">
        <w:rPr>
          <w:b/>
          <w:bCs/>
          <w:sz w:val="24"/>
          <w:szCs w:val="24"/>
        </w:rPr>
        <w:t>Explain any special circumstances that would cause an information collection to be conducted in a manner:</w:t>
      </w:r>
    </w:p>
    <w:p w:rsidR="00F660E8" w:rsidRPr="00521834"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requiring respondents to report information to the agency more often than quarterly;</w:t>
      </w:r>
    </w:p>
    <w:p w:rsidR="00F660E8" w:rsidRPr="00521834"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requiring respondents to prepare a written response to a collection of information in fewer than 30 days after receipt of it;</w:t>
      </w:r>
    </w:p>
    <w:p w:rsidR="00F660E8" w:rsidRPr="00521834"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requiring respondents to submit more than an original and two copies of any document;</w:t>
      </w:r>
    </w:p>
    <w:p w:rsidR="00F660E8" w:rsidRPr="00521834"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requiring respondents to retain records, other than health, medical, government contract, grant-in-aid, or tax records for more than three years;</w:t>
      </w:r>
    </w:p>
    <w:p w:rsidR="00F660E8" w:rsidRPr="00521834"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1834">
        <w:rPr>
          <w:b/>
          <w:bCs/>
        </w:rPr>
        <w:t>in connection with a statistical survey, that is not designed to produce valid and reliable results that can be generalized to the universe of study;</w:t>
      </w:r>
    </w:p>
    <w:p w:rsidR="00F660E8" w:rsidRPr="00521834"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1834">
        <w:rPr>
          <w:b/>
          <w:bCs/>
        </w:rPr>
        <w:t>requiring the use of statistical data classification that has not been reviewed and approved by OMB;</w:t>
      </w:r>
    </w:p>
    <w:p w:rsidR="00F660E8" w:rsidRPr="00521834"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1834">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521834"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21834">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521834" w:rsidP="005F1FFC" w14:paraId="394DE9F1" w14:textId="77777777">
      <w:pPr>
        <w:ind w:left="720"/>
        <w:rPr>
          <w:sz w:val="24"/>
          <w:szCs w:val="24"/>
        </w:rPr>
      </w:pPr>
    </w:p>
    <w:p w:rsidR="00E939D3" w:rsidRPr="00521834" w:rsidP="00A133F2" w14:paraId="630F2A4B" w14:textId="02A571B4">
      <w:pPr>
        <w:rPr>
          <w:sz w:val="24"/>
          <w:szCs w:val="24"/>
        </w:rPr>
      </w:pPr>
      <w:r w:rsidRPr="00521834">
        <w:rPr>
          <w:sz w:val="24"/>
          <w:szCs w:val="24"/>
        </w:rPr>
        <w:t>There are no special circumstances.  The collection of information is conducted in a manner consistent with the guidelines in 5 CFR 1320.5(d)(2).</w:t>
      </w:r>
    </w:p>
    <w:p w:rsidR="00A133F2" w:rsidRPr="00521834" w:rsidP="00A133F2" w14:paraId="2007C329" w14:textId="77777777">
      <w:pPr>
        <w:rPr>
          <w:sz w:val="24"/>
          <w:szCs w:val="24"/>
        </w:rPr>
      </w:pPr>
    </w:p>
    <w:p w:rsidR="00F660E8" w:rsidRPr="00521834"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21834">
        <w:rPr>
          <w:b/>
          <w:sz w:val="24"/>
          <w:szCs w:val="24"/>
        </w:rPr>
        <w:t xml:space="preserve">8.  </w:t>
      </w:r>
      <w:r w:rsidRPr="0052183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521834"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521834"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21834">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521834"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521834"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21834">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521834" w:rsidP="005F1FFC" w14:paraId="3454479C" w14:textId="77777777">
      <w:pPr>
        <w:rPr>
          <w:sz w:val="24"/>
          <w:szCs w:val="24"/>
        </w:rPr>
      </w:pPr>
    </w:p>
    <w:p w:rsidR="00BC56A2" w:rsidP="00BC56A2" w14:paraId="4EF51BBA" w14:textId="110B5FE2">
      <w:pPr>
        <w:rPr>
          <w:bCs/>
          <w:sz w:val="24"/>
          <w:szCs w:val="24"/>
        </w:rPr>
      </w:pPr>
      <w:r w:rsidRPr="00521834">
        <w:rPr>
          <w:bCs/>
          <w:sz w:val="24"/>
          <w:szCs w:val="24"/>
        </w:rPr>
        <w:t xml:space="preserve">In accordance with 5 CFR §1320.8(d)(1), the Bureau has published a notice in </w:t>
      </w:r>
      <w:r w:rsidRPr="00521834">
        <w:rPr>
          <w:bCs/>
          <w:iCs/>
          <w:sz w:val="24"/>
          <w:szCs w:val="24"/>
        </w:rPr>
        <w:t>Federal Register</w:t>
      </w:r>
      <w:r w:rsidRPr="00521834">
        <w:rPr>
          <w:bCs/>
          <w:sz w:val="24"/>
          <w:szCs w:val="24"/>
        </w:rPr>
        <w:t xml:space="preserve"> that provides the public 60 calendar days to comment on the </w:t>
      </w:r>
      <w:r w:rsidRPr="00521834" w:rsidR="00307D46">
        <w:rPr>
          <w:bCs/>
          <w:sz w:val="24"/>
          <w:szCs w:val="24"/>
        </w:rPr>
        <w:t>revision</w:t>
      </w:r>
      <w:r w:rsidRPr="00521834">
        <w:rPr>
          <w:bCs/>
          <w:sz w:val="24"/>
          <w:szCs w:val="24"/>
        </w:rPr>
        <w:t xml:space="preserve"> of reporting requirements contained within OMB Control No. 3170-00</w:t>
      </w:r>
      <w:r w:rsidRPr="00521834" w:rsidR="00307D46">
        <w:rPr>
          <w:bCs/>
          <w:sz w:val="24"/>
          <w:szCs w:val="24"/>
        </w:rPr>
        <w:t>04</w:t>
      </w:r>
      <w:r w:rsidRPr="00521834">
        <w:rPr>
          <w:bCs/>
          <w:sz w:val="24"/>
          <w:szCs w:val="24"/>
        </w:rPr>
        <w:t>.</w:t>
      </w:r>
      <w:r>
        <w:rPr>
          <w:rStyle w:val="FootnoteReference"/>
          <w:bCs/>
          <w:sz w:val="24"/>
          <w:szCs w:val="24"/>
        </w:rPr>
        <w:footnoteReference w:id="8"/>
      </w:r>
    </w:p>
    <w:p w:rsidR="002D6B75" w:rsidP="002D6B75" w14:paraId="2DDFCD86" w14:textId="77777777">
      <w:pPr>
        <w:rPr>
          <w:bCs/>
          <w:sz w:val="24"/>
          <w:szCs w:val="24"/>
        </w:rPr>
      </w:pPr>
    </w:p>
    <w:p w:rsidR="002D6B75" w:rsidRPr="00521834" w:rsidP="002D6B75" w14:paraId="7DDC47D2" w14:textId="0670DF14">
      <w:pPr>
        <w:rPr>
          <w:bCs/>
          <w:sz w:val="24"/>
          <w:szCs w:val="24"/>
        </w:rPr>
      </w:pPr>
      <w:r w:rsidRPr="00A156DB">
        <w:rPr>
          <w:bCs/>
          <w:sz w:val="24"/>
          <w:szCs w:val="24"/>
        </w:rPr>
        <w:t>In response to its notice, the Bureau received two public comments.</w:t>
      </w:r>
      <w:r w:rsidR="007C326E">
        <w:rPr>
          <w:bCs/>
          <w:sz w:val="24"/>
          <w:szCs w:val="24"/>
        </w:rPr>
        <w:t xml:space="preserve"> </w:t>
      </w:r>
      <w:r w:rsidRPr="00A156DB">
        <w:rPr>
          <w:bCs/>
          <w:sz w:val="24"/>
          <w:szCs w:val="24"/>
        </w:rPr>
        <w:t xml:space="preserve"> Neither of the</w:t>
      </w:r>
      <w:r>
        <w:rPr>
          <w:bCs/>
          <w:sz w:val="24"/>
          <w:szCs w:val="24"/>
        </w:rPr>
        <w:t xml:space="preserve">m </w:t>
      </w:r>
      <w:r w:rsidRPr="00A156DB">
        <w:rPr>
          <w:bCs/>
          <w:sz w:val="24"/>
          <w:szCs w:val="24"/>
        </w:rPr>
        <w:t xml:space="preserve">addressed the Bureau’s estimates of the hourly or cost burden of the information collection. </w:t>
      </w:r>
      <w:r w:rsidR="007C326E">
        <w:rPr>
          <w:bCs/>
          <w:sz w:val="24"/>
          <w:szCs w:val="24"/>
        </w:rPr>
        <w:t xml:space="preserve"> </w:t>
      </w:r>
      <w:r w:rsidRPr="00A156DB">
        <w:rPr>
          <w:bCs/>
          <w:sz w:val="24"/>
          <w:szCs w:val="24"/>
        </w:rPr>
        <w:t>Instead, the comments offered suggestions for how the Bureau might reduce the burden of providing Truth in Savings Act disclosures (</w:t>
      </w:r>
      <w:r w:rsidRPr="0062528B">
        <w:rPr>
          <w:bCs/>
          <w:i/>
          <w:iCs/>
          <w:sz w:val="24"/>
          <w:szCs w:val="24"/>
        </w:rPr>
        <w:t>i.e.</w:t>
      </w:r>
      <w:r w:rsidRPr="00A156DB">
        <w:rPr>
          <w:bCs/>
          <w:sz w:val="24"/>
          <w:szCs w:val="24"/>
        </w:rPr>
        <w:t xml:space="preserve">, account-opening, periodic-statement, and advertising disclosures), such as by streamlining the disclosures’ content, addressing digital delivery methods, providing safe harbors, adopting updated model forms, and revising record keeping requirements. </w:t>
      </w:r>
      <w:r w:rsidR="007C326E">
        <w:rPr>
          <w:bCs/>
          <w:sz w:val="24"/>
          <w:szCs w:val="24"/>
        </w:rPr>
        <w:t xml:space="preserve"> </w:t>
      </w:r>
      <w:r w:rsidRPr="00A156DB">
        <w:rPr>
          <w:bCs/>
          <w:sz w:val="24"/>
          <w:szCs w:val="24"/>
        </w:rPr>
        <w:t xml:space="preserve">The Bureau will continue to consider these types of </w:t>
      </w:r>
      <w:r>
        <w:rPr>
          <w:bCs/>
          <w:sz w:val="24"/>
          <w:szCs w:val="24"/>
        </w:rPr>
        <w:t>actions</w:t>
      </w:r>
      <w:r w:rsidRPr="00A156DB">
        <w:rPr>
          <w:bCs/>
          <w:sz w:val="24"/>
          <w:szCs w:val="24"/>
        </w:rPr>
        <w:t>, consistent with its rulemaking and other priorities and with statutory requirements and objectives.</w:t>
      </w:r>
      <w:r w:rsidRPr="00521834">
        <w:rPr>
          <w:bCs/>
          <w:sz w:val="24"/>
          <w:szCs w:val="24"/>
        </w:rPr>
        <w:t xml:space="preserve"> </w:t>
      </w:r>
    </w:p>
    <w:p w:rsidR="002D6B75" w:rsidRPr="00521834" w:rsidP="00BC56A2" w14:paraId="780D6610" w14:textId="77777777">
      <w:pPr>
        <w:rPr>
          <w:bCs/>
          <w:sz w:val="24"/>
          <w:szCs w:val="24"/>
        </w:rPr>
      </w:pPr>
    </w:p>
    <w:p w:rsidR="00BE61FE" w:rsidRPr="00521834" w:rsidP="00BC56A2" w14:paraId="18A7A451" w14:textId="7D7BE861">
      <w:pPr>
        <w:rPr>
          <w:bCs/>
          <w:sz w:val="24"/>
          <w:szCs w:val="24"/>
        </w:rPr>
      </w:pPr>
      <w:r w:rsidRPr="00521834">
        <w:rPr>
          <w:bCs/>
          <w:sz w:val="24"/>
          <w:szCs w:val="24"/>
        </w:rPr>
        <w:t xml:space="preserve">Also, </w:t>
      </w:r>
      <w:r w:rsidRPr="00521834" w:rsidR="00BC56A2">
        <w:rPr>
          <w:bCs/>
          <w:sz w:val="24"/>
          <w:szCs w:val="24"/>
        </w:rPr>
        <w:t xml:space="preserve">in accordance with 5 CFR §1320.5(a)(1)(iv), the Bureau has also published a notice in the </w:t>
      </w:r>
      <w:r w:rsidRPr="00521834" w:rsidR="00BC56A2">
        <w:rPr>
          <w:bCs/>
          <w:iCs/>
          <w:sz w:val="24"/>
          <w:szCs w:val="24"/>
        </w:rPr>
        <w:t>Federal Register</w:t>
      </w:r>
      <w:r w:rsidRPr="00521834" w:rsidR="00BC56A2">
        <w:rPr>
          <w:bCs/>
          <w:sz w:val="24"/>
          <w:szCs w:val="24"/>
        </w:rPr>
        <w:t xml:space="preserve"> </w:t>
      </w:r>
      <w:r w:rsidRPr="00521834">
        <w:rPr>
          <w:bCs/>
          <w:sz w:val="24"/>
          <w:szCs w:val="24"/>
        </w:rPr>
        <w:t>providing</w:t>
      </w:r>
      <w:r w:rsidRPr="00521834" w:rsidR="00BC56A2">
        <w:rPr>
          <w:bCs/>
          <w:sz w:val="24"/>
          <w:szCs w:val="24"/>
        </w:rPr>
        <w:t xml:space="preserve"> the public 30 days to comment </w:t>
      </w:r>
      <w:r w:rsidRPr="00521834">
        <w:rPr>
          <w:bCs/>
          <w:sz w:val="24"/>
          <w:szCs w:val="24"/>
        </w:rPr>
        <w:t>on reporting requirements contained within th</w:t>
      </w:r>
      <w:r w:rsidRPr="00521834" w:rsidR="009D7886">
        <w:rPr>
          <w:bCs/>
          <w:sz w:val="24"/>
          <w:szCs w:val="24"/>
        </w:rPr>
        <w:t>is</w:t>
      </w:r>
      <w:r w:rsidRPr="00521834">
        <w:rPr>
          <w:bCs/>
          <w:sz w:val="24"/>
          <w:szCs w:val="24"/>
        </w:rPr>
        <w:t xml:space="preserve"> information collection request.</w:t>
      </w:r>
      <w:r>
        <w:rPr>
          <w:rStyle w:val="FootnoteReference"/>
          <w:bCs/>
          <w:sz w:val="24"/>
          <w:szCs w:val="24"/>
        </w:rPr>
        <w:footnoteReference w:id="9"/>
      </w:r>
      <w:r w:rsidRPr="00521834" w:rsidR="002C689E">
        <w:rPr>
          <w:bCs/>
          <w:sz w:val="24"/>
          <w:szCs w:val="24"/>
        </w:rPr>
        <w:t xml:space="preserve">  </w:t>
      </w:r>
    </w:p>
    <w:p w:rsidR="00E939D3" w:rsidRPr="00521834" w:rsidP="005F1FFC" w14:paraId="6891C959" w14:textId="77777777">
      <w:pPr>
        <w:rPr>
          <w:sz w:val="24"/>
          <w:szCs w:val="24"/>
        </w:rPr>
      </w:pPr>
    </w:p>
    <w:p w:rsidR="00F660E8" w:rsidRPr="00521834" w:rsidP="00F660E8" w14:paraId="3BE65949" w14:textId="77777777">
      <w:pPr>
        <w:autoSpaceDE w:val="0"/>
        <w:autoSpaceDN w:val="0"/>
        <w:adjustRightInd w:val="0"/>
        <w:rPr>
          <w:b/>
          <w:sz w:val="24"/>
          <w:szCs w:val="24"/>
        </w:rPr>
      </w:pPr>
      <w:r w:rsidRPr="00521834">
        <w:rPr>
          <w:b/>
          <w:sz w:val="24"/>
          <w:szCs w:val="24"/>
        </w:rPr>
        <w:t xml:space="preserve">9.  </w:t>
      </w:r>
      <w:r w:rsidRPr="00521834">
        <w:rPr>
          <w:b/>
          <w:bCs/>
          <w:sz w:val="24"/>
          <w:szCs w:val="24"/>
        </w:rPr>
        <w:t>Explain any decision to provide any payments or gifts to respondents, other than remuneration of contractors or grantees.</w:t>
      </w:r>
    </w:p>
    <w:p w:rsidR="00271151" w:rsidRPr="00521834" w:rsidP="005F1FFC" w14:paraId="2A8F9593" w14:textId="77777777">
      <w:pPr>
        <w:rPr>
          <w:sz w:val="24"/>
          <w:szCs w:val="24"/>
        </w:rPr>
      </w:pPr>
    </w:p>
    <w:p w:rsidR="00A133F2" w:rsidRPr="00521834" w:rsidP="005F1FFC" w14:paraId="5184AD21" w14:textId="63CF80DD">
      <w:pPr>
        <w:rPr>
          <w:sz w:val="24"/>
          <w:szCs w:val="24"/>
        </w:rPr>
      </w:pPr>
      <w:r w:rsidRPr="00521834">
        <w:rPr>
          <w:sz w:val="24"/>
          <w:szCs w:val="24"/>
        </w:rPr>
        <w:t>The information collection does not provide for making payments or gifts to respondents.</w:t>
      </w:r>
    </w:p>
    <w:p w:rsidR="00A93967" w:rsidRPr="00521834" w:rsidP="009E1042" w14:paraId="7CFFEB9F" w14:textId="77777777">
      <w:pPr>
        <w:rPr>
          <w:sz w:val="24"/>
          <w:szCs w:val="24"/>
        </w:rPr>
      </w:pPr>
    </w:p>
    <w:p w:rsidR="00F660E8" w:rsidRPr="00521834" w:rsidP="00F660E8" w14:paraId="00FF3777" w14:textId="77777777">
      <w:pPr>
        <w:rPr>
          <w:b/>
          <w:sz w:val="24"/>
          <w:szCs w:val="24"/>
        </w:rPr>
      </w:pPr>
      <w:r w:rsidRPr="00521834">
        <w:rPr>
          <w:b/>
          <w:sz w:val="24"/>
          <w:szCs w:val="24"/>
        </w:rPr>
        <w:t xml:space="preserve">10.  </w:t>
      </w:r>
      <w:r w:rsidRPr="00521834">
        <w:rPr>
          <w:b/>
          <w:bCs/>
          <w:sz w:val="24"/>
          <w:szCs w:val="24"/>
        </w:rPr>
        <w:t>Describe any assurance of confidentiality provided to respondents and the basis for the assurance in statute, regulation, or agency policy.</w:t>
      </w:r>
    </w:p>
    <w:p w:rsidR="005F1FFC" w:rsidRPr="00521834" w:rsidP="00A133F2" w14:paraId="59FF77B7" w14:textId="7EC9B763">
      <w:pPr>
        <w:rPr>
          <w:sz w:val="24"/>
          <w:szCs w:val="24"/>
        </w:rPr>
      </w:pPr>
    </w:p>
    <w:p w:rsidR="00A133F2" w:rsidRPr="00521834" w:rsidP="00A133F2" w14:paraId="7F15B14D" w14:textId="332AB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834">
        <w:rPr>
          <w:sz w:val="24"/>
          <w:szCs w:val="24"/>
        </w:rPr>
        <w:t>There is no part of the rule that mandates information collection by the CFPB.</w:t>
      </w:r>
      <w:r w:rsidR="007C326E">
        <w:rPr>
          <w:sz w:val="24"/>
          <w:szCs w:val="24"/>
        </w:rPr>
        <w:t xml:space="preserve"> </w:t>
      </w:r>
      <w:r w:rsidRPr="00521834">
        <w:rPr>
          <w:sz w:val="24"/>
          <w:szCs w:val="24"/>
        </w:rPr>
        <w:t xml:space="preserve"> To the extent that information covered by a recordkeeping requirement is collected by the CFPB for law enforcement purposes, the confidentiality provisions of CFPB’s rules on Disclosure of Records and Information, 12 CFR Part 1070, would apply.</w:t>
      </w:r>
    </w:p>
    <w:p w:rsidR="00A93967" w:rsidRPr="00521834" w:rsidP="005F1FFC" w14:paraId="2A4F7C4C" w14:textId="77777777">
      <w:pPr>
        <w:ind w:left="720"/>
        <w:rPr>
          <w:sz w:val="24"/>
          <w:szCs w:val="24"/>
        </w:rPr>
      </w:pPr>
    </w:p>
    <w:p w:rsidR="00F660E8" w:rsidRPr="00521834" w:rsidP="00F660E8" w14:paraId="466038D0" w14:textId="77777777">
      <w:pPr>
        <w:rPr>
          <w:sz w:val="24"/>
          <w:szCs w:val="24"/>
        </w:rPr>
      </w:pPr>
      <w:r w:rsidRPr="00521834">
        <w:rPr>
          <w:b/>
          <w:sz w:val="24"/>
          <w:szCs w:val="24"/>
        </w:rPr>
        <w:t xml:space="preserve">11.  </w:t>
      </w:r>
      <w:r w:rsidRPr="0052183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521834" w:rsidP="00A133F2" w14:paraId="74706F28" w14:textId="178666A0">
      <w:pPr>
        <w:rPr>
          <w:sz w:val="24"/>
          <w:szCs w:val="24"/>
        </w:rPr>
      </w:pPr>
    </w:p>
    <w:p w:rsidR="00A133F2" w:rsidRPr="00521834" w:rsidP="00A133F2" w14:paraId="1A1BCD96" w14:textId="18B88232">
      <w:pPr>
        <w:rPr>
          <w:sz w:val="24"/>
          <w:szCs w:val="24"/>
        </w:rPr>
      </w:pPr>
      <w:r w:rsidRPr="00521834">
        <w:rPr>
          <w:sz w:val="24"/>
          <w:szCs w:val="24"/>
        </w:rPr>
        <w:t>The CFPB collects no information under Regulation DD which requires institutions to provide disclosures to consumers and keep records of those disclosures.  No questions of a sensitive nature are asked of respondents.</w:t>
      </w:r>
    </w:p>
    <w:p w:rsidR="00A93967" w:rsidRPr="00521834" w:rsidP="005F1FFC" w14:paraId="42E5A68A" w14:textId="77777777">
      <w:pPr>
        <w:pStyle w:val="BodyText"/>
        <w:rPr>
          <w:szCs w:val="24"/>
        </w:rPr>
      </w:pPr>
    </w:p>
    <w:p w:rsidR="00F660E8" w:rsidRPr="00521834" w:rsidP="00F660E8" w14:paraId="7F32CD21" w14:textId="77777777">
      <w:pPr>
        <w:contextualSpacing/>
        <w:rPr>
          <w:b/>
          <w:sz w:val="24"/>
          <w:szCs w:val="24"/>
        </w:rPr>
      </w:pPr>
      <w:r w:rsidRPr="00521834">
        <w:rPr>
          <w:b/>
          <w:sz w:val="24"/>
          <w:szCs w:val="24"/>
        </w:rPr>
        <w:t>12.  Provide estimates of the hour burden of the collection of information.  The statement should:</w:t>
      </w:r>
    </w:p>
    <w:p w:rsidR="00F660E8" w:rsidRPr="00521834"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521834"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If this request for approval covers more than one form, provide separate hour burden estimates for each form.</w:t>
      </w:r>
    </w:p>
    <w:p w:rsidR="00F660E8" w:rsidRPr="00521834"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21834">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521834" w:rsidP="005F1FFC" w14:paraId="18388E76" w14:textId="4361A40E">
      <w:pPr>
        <w:rPr>
          <w:bCs/>
          <w:sz w:val="24"/>
          <w:szCs w:val="24"/>
        </w:rPr>
      </w:pPr>
    </w:p>
    <w:p w:rsidR="0022733F" w14:paraId="21968520" w14:textId="51DD5028">
      <w:pPr>
        <w:rPr>
          <w:sz w:val="24"/>
          <w:szCs w:val="24"/>
        </w:rPr>
      </w:pPr>
      <w:r>
        <w:rPr>
          <w:sz w:val="24"/>
          <w:szCs w:val="24"/>
        </w:rPr>
        <w:br w:type="page"/>
      </w:r>
    </w:p>
    <w:p w:rsidR="00A133F2" w:rsidRPr="00521834" w:rsidP="00A133F2" w14:paraId="3258F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33F2" w:rsidRPr="00521834" w:rsidP="00A133F2" w14:paraId="267DD666" w14:textId="25507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834">
        <w:rPr>
          <w:sz w:val="24"/>
          <w:szCs w:val="24"/>
        </w:rPr>
        <w:t>This burden is as follows:</w:t>
      </w:r>
    </w:p>
    <w:p w:rsidR="00BD5E5B" w:rsidRPr="00521834" w:rsidP="001D69A6" w14:paraId="21268719" w14:textId="5E199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103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350"/>
        <w:gridCol w:w="1260"/>
        <w:gridCol w:w="1080"/>
        <w:gridCol w:w="810"/>
        <w:gridCol w:w="1350"/>
      </w:tblGrid>
      <w:tr w14:paraId="01A7A121" w14:textId="77777777" w:rsidTr="0055372B">
        <w:tblPrEx>
          <w:tblW w:w="103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Borders>
              <w:bottom w:val="single" w:sz="4" w:space="0" w:color="auto"/>
            </w:tcBorders>
            <w:shd w:val="clear" w:color="auto" w:fill="D9D9D9" w:themeFill="background1" w:themeFillShade="D9"/>
          </w:tcPr>
          <w:p w:rsidR="00BD5E5B" w:rsidRPr="0055372B" w:rsidP="009857A9" w14:paraId="7ED82832" w14:textId="559BCAB3">
            <w:pPr>
              <w:rPr>
                <w:b/>
                <w:bCs/>
              </w:rPr>
            </w:pPr>
            <w:r w:rsidRPr="0055372B">
              <w:rPr>
                <w:b/>
                <w:bCs/>
              </w:rPr>
              <w:t>Collection of Information</w:t>
            </w:r>
          </w:p>
        </w:tc>
        <w:tc>
          <w:tcPr>
            <w:tcW w:w="1530" w:type="dxa"/>
            <w:tcBorders>
              <w:bottom w:val="single" w:sz="4" w:space="0" w:color="auto"/>
            </w:tcBorders>
            <w:shd w:val="clear" w:color="auto" w:fill="D9D9D9" w:themeFill="background1" w:themeFillShade="D9"/>
          </w:tcPr>
          <w:p w:rsidR="00BD5E5B" w:rsidRPr="0055372B" w:rsidP="009857A9" w14:paraId="458B1547" w14:textId="77777777">
            <w:pPr>
              <w:rPr>
                <w:b/>
                <w:bCs/>
              </w:rPr>
            </w:pPr>
            <w:r w:rsidRPr="0055372B">
              <w:rPr>
                <w:b/>
                <w:bCs/>
              </w:rPr>
              <w:t>Number of Respondents</w:t>
            </w:r>
          </w:p>
        </w:tc>
        <w:tc>
          <w:tcPr>
            <w:tcW w:w="1350" w:type="dxa"/>
            <w:tcBorders>
              <w:bottom w:val="single" w:sz="4" w:space="0" w:color="auto"/>
            </w:tcBorders>
            <w:shd w:val="clear" w:color="auto" w:fill="D9D9D9" w:themeFill="background1" w:themeFillShade="D9"/>
          </w:tcPr>
          <w:p w:rsidR="00BD5E5B" w:rsidRPr="0055372B" w:rsidP="009857A9" w14:paraId="03BC1C3D" w14:textId="77777777">
            <w:pPr>
              <w:rPr>
                <w:b/>
                <w:bCs/>
              </w:rPr>
            </w:pPr>
            <w:r w:rsidRPr="0055372B">
              <w:rPr>
                <w:b/>
                <w:bCs/>
              </w:rPr>
              <w:t>Frequency</w:t>
            </w:r>
          </w:p>
        </w:tc>
        <w:tc>
          <w:tcPr>
            <w:tcW w:w="1350" w:type="dxa"/>
            <w:tcBorders>
              <w:bottom w:val="single" w:sz="4" w:space="0" w:color="auto"/>
            </w:tcBorders>
            <w:shd w:val="clear" w:color="auto" w:fill="D9D9D9" w:themeFill="background1" w:themeFillShade="D9"/>
          </w:tcPr>
          <w:p w:rsidR="00BD5E5B" w:rsidRPr="0055372B" w:rsidP="009857A9" w14:paraId="629402A9" w14:textId="77777777">
            <w:pPr>
              <w:rPr>
                <w:b/>
                <w:bCs/>
              </w:rPr>
            </w:pPr>
            <w:r w:rsidRPr="0055372B">
              <w:rPr>
                <w:b/>
                <w:bCs/>
                <w:lang w:val="x-none"/>
              </w:rPr>
              <w:t>Number of Respon</w:t>
            </w:r>
            <w:r w:rsidRPr="0055372B">
              <w:rPr>
                <w:b/>
                <w:bCs/>
              </w:rPr>
              <w:t>ses</w:t>
            </w:r>
          </w:p>
        </w:tc>
        <w:tc>
          <w:tcPr>
            <w:tcW w:w="1260" w:type="dxa"/>
            <w:tcBorders>
              <w:bottom w:val="single" w:sz="4" w:space="0" w:color="auto"/>
            </w:tcBorders>
            <w:shd w:val="clear" w:color="auto" w:fill="D9D9D9" w:themeFill="background1" w:themeFillShade="D9"/>
          </w:tcPr>
          <w:p w:rsidR="00BD5E5B" w:rsidRPr="0055372B" w:rsidP="009857A9" w14:paraId="6336F791" w14:textId="77777777">
            <w:pPr>
              <w:rPr>
                <w:b/>
                <w:bCs/>
              </w:rPr>
            </w:pPr>
            <w:r w:rsidRPr="0055372B">
              <w:rPr>
                <w:b/>
                <w:bCs/>
              </w:rPr>
              <w:t>Response Time (Hours)</w:t>
            </w:r>
          </w:p>
        </w:tc>
        <w:tc>
          <w:tcPr>
            <w:tcW w:w="1080" w:type="dxa"/>
            <w:tcBorders>
              <w:bottom w:val="single" w:sz="4" w:space="0" w:color="auto"/>
            </w:tcBorders>
            <w:shd w:val="clear" w:color="auto" w:fill="D9D9D9" w:themeFill="background1" w:themeFillShade="D9"/>
          </w:tcPr>
          <w:p w:rsidR="00BD5E5B" w:rsidRPr="0055372B" w:rsidP="009857A9" w14:paraId="4EC45E46" w14:textId="77777777">
            <w:pPr>
              <w:rPr>
                <w:b/>
                <w:bCs/>
              </w:rPr>
            </w:pPr>
            <w:r w:rsidRPr="0055372B">
              <w:rPr>
                <w:b/>
                <w:bCs/>
              </w:rPr>
              <w:t xml:space="preserve">Annual Burden (Hours) </w:t>
            </w:r>
          </w:p>
        </w:tc>
        <w:tc>
          <w:tcPr>
            <w:tcW w:w="810" w:type="dxa"/>
            <w:tcBorders>
              <w:bottom w:val="single" w:sz="4" w:space="0" w:color="auto"/>
            </w:tcBorders>
            <w:shd w:val="clear" w:color="auto" w:fill="D9D9D9" w:themeFill="background1" w:themeFillShade="D9"/>
          </w:tcPr>
          <w:p w:rsidR="00BD5E5B" w:rsidRPr="0055372B" w:rsidP="009857A9" w14:paraId="4A381413" w14:textId="54566E28">
            <w:pPr>
              <w:rPr>
                <w:b/>
                <w:bCs/>
              </w:rPr>
            </w:pPr>
            <w:r w:rsidRPr="0055372B">
              <w:rPr>
                <w:b/>
                <w:bCs/>
              </w:rPr>
              <w:t>Hourly Rate</w:t>
            </w:r>
            <w:r>
              <w:rPr>
                <w:rStyle w:val="FootnoteReference"/>
                <w:b/>
                <w:bCs/>
              </w:rPr>
              <w:footnoteReference w:id="10"/>
            </w:r>
          </w:p>
          <w:p w:rsidR="00BD5E5B" w:rsidRPr="0055372B" w:rsidP="009857A9" w14:paraId="5E619325" w14:textId="0BCFAE91">
            <w:pPr>
              <w:rPr>
                <w:b/>
                <w:bCs/>
              </w:rPr>
            </w:pPr>
            <w:r w:rsidRPr="0055372B">
              <w:rPr>
                <w:b/>
                <w:bCs/>
              </w:rPr>
              <w:t>($)</w:t>
            </w:r>
          </w:p>
        </w:tc>
        <w:tc>
          <w:tcPr>
            <w:tcW w:w="1350" w:type="dxa"/>
            <w:tcBorders>
              <w:bottom w:val="single" w:sz="4" w:space="0" w:color="auto"/>
            </w:tcBorders>
            <w:shd w:val="clear" w:color="auto" w:fill="D9D9D9" w:themeFill="background1" w:themeFillShade="D9"/>
          </w:tcPr>
          <w:p w:rsidR="00BD5E5B" w:rsidRPr="0055372B" w:rsidP="009857A9" w14:paraId="6056EBF9" w14:textId="4B84B933">
            <w:pPr>
              <w:rPr>
                <w:b/>
                <w:bCs/>
              </w:rPr>
            </w:pPr>
            <w:r w:rsidRPr="0055372B">
              <w:rPr>
                <w:b/>
                <w:bCs/>
              </w:rPr>
              <w:t>Annual Labor Costs</w:t>
            </w:r>
            <w:r>
              <w:rPr>
                <w:rStyle w:val="FootnoteReference"/>
                <w:b/>
                <w:bCs/>
              </w:rPr>
              <w:footnoteReference w:id="11"/>
            </w:r>
            <w:r w:rsidRPr="0055372B">
              <w:rPr>
                <w:b/>
                <w:bCs/>
              </w:rPr>
              <w:t xml:space="preserve"> ($)</w:t>
            </w:r>
          </w:p>
        </w:tc>
      </w:tr>
      <w:tr w14:paraId="20F21EA8" w14:textId="77777777" w:rsidTr="0055372B">
        <w:tblPrEx>
          <w:tblW w:w="10350" w:type="dxa"/>
          <w:tblInd w:w="-635" w:type="dxa"/>
          <w:tblLayout w:type="fixed"/>
          <w:tblLook w:val="04A0"/>
        </w:tblPrEx>
        <w:tc>
          <w:tcPr>
            <w:tcW w:w="1620" w:type="dxa"/>
            <w:tcBorders>
              <w:bottom w:val="single" w:sz="4" w:space="0" w:color="auto"/>
            </w:tcBorders>
            <w:vAlign w:val="center"/>
          </w:tcPr>
          <w:p w:rsidR="00BD5E5B" w:rsidRPr="0055372B" w:rsidP="009857A9" w14:paraId="39E7FEC7" w14:textId="789E9323">
            <w:r w:rsidRPr="0055372B">
              <w:t>Delivery of account opening disclosures</w:t>
            </w:r>
            <w:r w:rsidRPr="0055372B" w:rsidR="00A63D35">
              <w:t xml:space="preserve"> (Section 1030.4(a))</w:t>
            </w:r>
          </w:p>
        </w:tc>
        <w:tc>
          <w:tcPr>
            <w:tcW w:w="1530" w:type="dxa"/>
            <w:tcBorders>
              <w:bottom w:val="single" w:sz="4" w:space="0" w:color="auto"/>
            </w:tcBorders>
            <w:vAlign w:val="bottom"/>
          </w:tcPr>
          <w:p w:rsidR="00BD5E5B" w:rsidRPr="0055372B" w:rsidP="009857A9" w14:paraId="1425F612" w14:textId="6AB7A4D5">
            <w:pPr>
              <w:jc w:val="right"/>
            </w:pPr>
            <w:r w:rsidRPr="0055372B">
              <w:t>171</w:t>
            </w:r>
          </w:p>
        </w:tc>
        <w:tc>
          <w:tcPr>
            <w:tcW w:w="1350" w:type="dxa"/>
            <w:tcBorders>
              <w:bottom w:val="single" w:sz="4" w:space="0" w:color="auto"/>
            </w:tcBorders>
            <w:vAlign w:val="bottom"/>
          </w:tcPr>
          <w:p w:rsidR="00BD5E5B" w:rsidRPr="0055372B" w:rsidP="009857A9" w14:paraId="0F5DBD33" w14:textId="49F96ACC">
            <w:pPr>
              <w:jc w:val="right"/>
            </w:pPr>
            <w:r w:rsidRPr="0055372B">
              <w:t>196,670</w:t>
            </w:r>
          </w:p>
        </w:tc>
        <w:tc>
          <w:tcPr>
            <w:tcW w:w="1350" w:type="dxa"/>
            <w:tcBorders>
              <w:bottom w:val="single" w:sz="4" w:space="0" w:color="auto"/>
            </w:tcBorders>
            <w:vAlign w:val="bottom"/>
          </w:tcPr>
          <w:p w:rsidR="00BD5E5B" w:rsidRPr="0055372B" w:rsidP="009857A9" w14:paraId="1A300AE5" w14:textId="0B7AD640">
            <w:pPr>
              <w:jc w:val="right"/>
            </w:pPr>
            <w:r w:rsidRPr="0055372B">
              <w:t>33,630,661</w:t>
            </w:r>
          </w:p>
        </w:tc>
        <w:tc>
          <w:tcPr>
            <w:tcW w:w="1260" w:type="dxa"/>
            <w:tcBorders>
              <w:bottom w:val="single" w:sz="4" w:space="0" w:color="auto"/>
            </w:tcBorders>
            <w:vAlign w:val="bottom"/>
          </w:tcPr>
          <w:p w:rsidR="00BD5E5B" w:rsidRPr="0055372B" w:rsidP="009857A9" w14:paraId="401EC3F7" w14:textId="05C4AAC6">
            <w:pPr>
              <w:jc w:val="right"/>
            </w:pPr>
            <w:r w:rsidRPr="0055372B">
              <w:t>0.016699</w:t>
            </w:r>
          </w:p>
        </w:tc>
        <w:tc>
          <w:tcPr>
            <w:tcW w:w="1080" w:type="dxa"/>
            <w:tcBorders>
              <w:bottom w:val="single" w:sz="4" w:space="0" w:color="auto"/>
            </w:tcBorders>
            <w:vAlign w:val="bottom"/>
          </w:tcPr>
          <w:p w:rsidR="00BD5E5B" w:rsidRPr="0055372B" w:rsidP="009857A9" w14:paraId="7750AD39" w14:textId="6F5CD67F">
            <w:pPr>
              <w:jc w:val="right"/>
            </w:pPr>
            <w:r w:rsidRPr="0055372B">
              <w:t>561,632</w:t>
            </w:r>
          </w:p>
        </w:tc>
        <w:tc>
          <w:tcPr>
            <w:tcW w:w="810" w:type="dxa"/>
            <w:tcBorders>
              <w:bottom w:val="single" w:sz="4" w:space="0" w:color="auto"/>
            </w:tcBorders>
            <w:vAlign w:val="bottom"/>
          </w:tcPr>
          <w:p w:rsidR="00BD5E5B" w:rsidRPr="0055372B" w:rsidP="009857A9" w14:paraId="6D126362" w14:textId="73A272A2">
            <w:pPr>
              <w:jc w:val="right"/>
            </w:pPr>
            <w:r w:rsidRPr="0055372B">
              <w:t>$</w:t>
            </w:r>
            <w:r w:rsidRPr="0055372B" w:rsidR="0070466A">
              <w:t>25.33</w:t>
            </w:r>
          </w:p>
        </w:tc>
        <w:tc>
          <w:tcPr>
            <w:tcW w:w="1350" w:type="dxa"/>
            <w:tcBorders>
              <w:bottom w:val="single" w:sz="4" w:space="0" w:color="auto"/>
            </w:tcBorders>
            <w:vAlign w:val="bottom"/>
          </w:tcPr>
          <w:p w:rsidR="00BD5E5B" w:rsidRPr="0055372B" w:rsidP="009857A9" w14:paraId="757B9438" w14:textId="074DD011">
            <w:pPr>
              <w:jc w:val="right"/>
            </w:pPr>
            <w:r w:rsidRPr="0055372B">
              <w:t>$</w:t>
            </w:r>
            <w:r w:rsidRPr="0055372B" w:rsidR="0070466A">
              <w:t>14,226,139</w:t>
            </w:r>
          </w:p>
        </w:tc>
      </w:tr>
      <w:tr w14:paraId="6A33406C" w14:textId="77777777" w:rsidTr="0055372B">
        <w:tblPrEx>
          <w:tblW w:w="10350" w:type="dxa"/>
          <w:tblInd w:w="-635" w:type="dxa"/>
          <w:tblLayout w:type="fixed"/>
          <w:tblLook w:val="04A0"/>
        </w:tblPrEx>
        <w:tc>
          <w:tcPr>
            <w:tcW w:w="1620" w:type="dxa"/>
            <w:vAlign w:val="center"/>
          </w:tcPr>
          <w:p w:rsidR="00BD5E5B" w:rsidRPr="0055372B" w:rsidP="009857A9" w14:paraId="1C0E051A" w14:textId="2EAA12D9">
            <w:pPr>
              <w:rPr>
                <w:bCs/>
              </w:rPr>
            </w:pPr>
            <w:r w:rsidRPr="0055372B">
              <w:rPr>
                <w:bCs/>
              </w:rPr>
              <w:t>Providing account disclosures upon requests (Section 1030.4(a)(2))</w:t>
            </w:r>
          </w:p>
        </w:tc>
        <w:tc>
          <w:tcPr>
            <w:tcW w:w="1530" w:type="dxa"/>
            <w:vAlign w:val="bottom"/>
          </w:tcPr>
          <w:p w:rsidR="00BD5E5B" w:rsidRPr="0055372B" w:rsidP="009857A9" w14:paraId="60E67575" w14:textId="68299374">
            <w:pPr>
              <w:jc w:val="right"/>
              <w:rPr>
                <w:bCs/>
              </w:rPr>
            </w:pPr>
            <w:r w:rsidRPr="0055372B">
              <w:rPr>
                <w:bCs/>
              </w:rPr>
              <w:t>171</w:t>
            </w:r>
          </w:p>
        </w:tc>
        <w:tc>
          <w:tcPr>
            <w:tcW w:w="1350" w:type="dxa"/>
            <w:vAlign w:val="bottom"/>
          </w:tcPr>
          <w:p w:rsidR="00BD5E5B" w:rsidRPr="0055372B" w:rsidP="009857A9" w14:paraId="0435007E" w14:textId="1777C50D">
            <w:pPr>
              <w:jc w:val="right"/>
              <w:rPr>
                <w:bCs/>
              </w:rPr>
            </w:pPr>
            <w:r w:rsidRPr="0055372B">
              <w:rPr>
                <w:bCs/>
              </w:rPr>
              <w:t>0</w:t>
            </w:r>
          </w:p>
        </w:tc>
        <w:tc>
          <w:tcPr>
            <w:tcW w:w="1350" w:type="dxa"/>
            <w:vAlign w:val="bottom"/>
          </w:tcPr>
          <w:p w:rsidR="00BD5E5B" w:rsidRPr="0055372B" w:rsidP="00BD5E5B" w14:paraId="0060A656" w14:textId="70A22FE7">
            <w:pPr>
              <w:jc w:val="center"/>
              <w:rPr>
                <w:bCs/>
              </w:rPr>
            </w:pPr>
            <w:r w:rsidRPr="0055372B">
              <w:rPr>
                <w:bCs/>
              </w:rPr>
              <w:t>0</w:t>
            </w:r>
          </w:p>
        </w:tc>
        <w:tc>
          <w:tcPr>
            <w:tcW w:w="1260" w:type="dxa"/>
            <w:vAlign w:val="bottom"/>
          </w:tcPr>
          <w:p w:rsidR="00BD5E5B" w:rsidRPr="0055372B" w:rsidP="009857A9" w14:paraId="16D9EC70" w14:textId="495D49B3">
            <w:pPr>
              <w:jc w:val="right"/>
              <w:rPr>
                <w:bCs/>
              </w:rPr>
            </w:pPr>
            <w:r w:rsidRPr="0055372B">
              <w:rPr>
                <w:bCs/>
              </w:rPr>
              <w:t>0</w:t>
            </w:r>
          </w:p>
        </w:tc>
        <w:tc>
          <w:tcPr>
            <w:tcW w:w="1080" w:type="dxa"/>
            <w:vAlign w:val="bottom"/>
          </w:tcPr>
          <w:p w:rsidR="00BD5E5B" w:rsidRPr="0055372B" w:rsidP="009857A9" w14:paraId="41504B32" w14:textId="4BAA8A2D">
            <w:pPr>
              <w:jc w:val="right"/>
              <w:rPr>
                <w:bCs/>
              </w:rPr>
            </w:pPr>
            <w:r w:rsidRPr="0055372B">
              <w:rPr>
                <w:bCs/>
              </w:rPr>
              <w:t>0</w:t>
            </w:r>
          </w:p>
        </w:tc>
        <w:tc>
          <w:tcPr>
            <w:tcW w:w="810" w:type="dxa"/>
            <w:vAlign w:val="bottom"/>
          </w:tcPr>
          <w:p w:rsidR="00BD5E5B" w:rsidRPr="0055372B" w:rsidP="009857A9" w14:paraId="4061A273" w14:textId="1EB60A31">
            <w:pPr>
              <w:jc w:val="right"/>
              <w:rPr>
                <w:bCs/>
              </w:rPr>
            </w:pPr>
            <w:r w:rsidRPr="0055372B">
              <w:rPr>
                <w:bCs/>
              </w:rPr>
              <w:t>0</w:t>
            </w:r>
          </w:p>
        </w:tc>
        <w:tc>
          <w:tcPr>
            <w:tcW w:w="1350" w:type="dxa"/>
            <w:vAlign w:val="bottom"/>
          </w:tcPr>
          <w:p w:rsidR="00BD5E5B" w:rsidRPr="0055372B" w:rsidP="009857A9" w14:paraId="7CA1E74C" w14:textId="662E4D7C">
            <w:pPr>
              <w:jc w:val="right"/>
              <w:rPr>
                <w:bCs/>
              </w:rPr>
            </w:pPr>
            <w:r w:rsidRPr="0055372B">
              <w:rPr>
                <w:bCs/>
              </w:rPr>
              <w:t>0</w:t>
            </w:r>
          </w:p>
        </w:tc>
      </w:tr>
      <w:tr w14:paraId="5EEFB9D9" w14:textId="77777777" w:rsidTr="0055372B">
        <w:tblPrEx>
          <w:tblW w:w="10350" w:type="dxa"/>
          <w:tblInd w:w="-635" w:type="dxa"/>
          <w:tblLayout w:type="fixed"/>
          <w:tblLook w:val="04A0"/>
        </w:tblPrEx>
        <w:tc>
          <w:tcPr>
            <w:tcW w:w="1620" w:type="dxa"/>
            <w:vAlign w:val="center"/>
          </w:tcPr>
          <w:p w:rsidR="00BD5E5B" w:rsidRPr="0055372B" w:rsidP="009857A9" w14:paraId="41B0730D" w14:textId="51E8992F">
            <w:pPr>
              <w:rPr>
                <w:bCs/>
              </w:rPr>
            </w:pPr>
            <w:r w:rsidRPr="0055372B">
              <w:rPr>
                <w:bCs/>
              </w:rPr>
              <w:t>Change-in-terms (Section 1030.5(a))</w:t>
            </w:r>
          </w:p>
        </w:tc>
        <w:tc>
          <w:tcPr>
            <w:tcW w:w="1530" w:type="dxa"/>
            <w:vAlign w:val="bottom"/>
          </w:tcPr>
          <w:p w:rsidR="00BD5E5B" w:rsidRPr="0055372B" w:rsidP="009857A9" w14:paraId="293A88A0" w14:textId="679C3956">
            <w:pPr>
              <w:jc w:val="right"/>
              <w:rPr>
                <w:bCs/>
              </w:rPr>
            </w:pPr>
            <w:r w:rsidRPr="0055372B">
              <w:rPr>
                <w:bCs/>
              </w:rPr>
              <w:t>171</w:t>
            </w:r>
          </w:p>
        </w:tc>
        <w:tc>
          <w:tcPr>
            <w:tcW w:w="1350" w:type="dxa"/>
            <w:vAlign w:val="bottom"/>
          </w:tcPr>
          <w:p w:rsidR="00BD5E5B" w:rsidRPr="0055372B" w:rsidP="009857A9" w14:paraId="45981FDE" w14:textId="43F88D27">
            <w:pPr>
              <w:jc w:val="right"/>
              <w:rPr>
                <w:bCs/>
              </w:rPr>
            </w:pPr>
            <w:r w:rsidRPr="0055372B">
              <w:rPr>
                <w:bCs/>
              </w:rPr>
              <w:t>300</w:t>
            </w:r>
          </w:p>
        </w:tc>
        <w:tc>
          <w:tcPr>
            <w:tcW w:w="1350" w:type="dxa"/>
            <w:vAlign w:val="bottom"/>
          </w:tcPr>
          <w:p w:rsidR="00BD5E5B" w:rsidRPr="0055372B" w:rsidP="009857A9" w14:paraId="780B54E5" w14:textId="5C4BF6B8">
            <w:pPr>
              <w:jc w:val="right"/>
              <w:rPr>
                <w:bCs/>
              </w:rPr>
            </w:pPr>
            <w:r w:rsidRPr="0055372B">
              <w:rPr>
                <w:bCs/>
              </w:rPr>
              <w:t>3,636,647</w:t>
            </w:r>
          </w:p>
        </w:tc>
        <w:tc>
          <w:tcPr>
            <w:tcW w:w="1260" w:type="dxa"/>
            <w:vAlign w:val="bottom"/>
          </w:tcPr>
          <w:p w:rsidR="00BD5E5B" w:rsidRPr="0055372B" w:rsidP="009857A9" w14:paraId="65C4DFCF" w14:textId="0E711523">
            <w:pPr>
              <w:jc w:val="right"/>
              <w:rPr>
                <w:bCs/>
              </w:rPr>
            </w:pPr>
            <w:r w:rsidRPr="0055372B">
              <w:rPr>
                <w:bCs/>
              </w:rPr>
              <w:t>0</w:t>
            </w:r>
          </w:p>
        </w:tc>
        <w:tc>
          <w:tcPr>
            <w:tcW w:w="1080" w:type="dxa"/>
            <w:vAlign w:val="bottom"/>
          </w:tcPr>
          <w:p w:rsidR="00BD5E5B" w:rsidRPr="0055372B" w:rsidP="009857A9" w14:paraId="4CCAE389" w14:textId="1BEBCCA7">
            <w:pPr>
              <w:jc w:val="right"/>
              <w:rPr>
                <w:bCs/>
              </w:rPr>
            </w:pPr>
            <w:r w:rsidRPr="0055372B">
              <w:rPr>
                <w:bCs/>
              </w:rPr>
              <w:t>0</w:t>
            </w:r>
          </w:p>
        </w:tc>
        <w:tc>
          <w:tcPr>
            <w:tcW w:w="810" w:type="dxa"/>
            <w:vAlign w:val="bottom"/>
          </w:tcPr>
          <w:p w:rsidR="00BD5E5B" w:rsidRPr="0055372B" w:rsidP="009857A9" w14:paraId="1E87E8B8" w14:textId="48782BB9">
            <w:pPr>
              <w:jc w:val="right"/>
              <w:rPr>
                <w:bCs/>
              </w:rPr>
            </w:pPr>
            <w:r w:rsidRPr="0055372B">
              <w:rPr>
                <w:bCs/>
              </w:rPr>
              <w:t>0</w:t>
            </w:r>
          </w:p>
        </w:tc>
        <w:tc>
          <w:tcPr>
            <w:tcW w:w="1350" w:type="dxa"/>
            <w:vAlign w:val="bottom"/>
          </w:tcPr>
          <w:p w:rsidR="00BD5E5B" w:rsidRPr="0055372B" w:rsidP="009857A9" w14:paraId="5EF7AE89" w14:textId="32E49A74">
            <w:pPr>
              <w:jc w:val="right"/>
              <w:rPr>
                <w:bCs/>
              </w:rPr>
            </w:pPr>
            <w:r w:rsidRPr="0055372B">
              <w:rPr>
                <w:bCs/>
              </w:rPr>
              <w:t>0</w:t>
            </w:r>
          </w:p>
        </w:tc>
      </w:tr>
      <w:tr w14:paraId="0E258FD7" w14:textId="77777777" w:rsidTr="0055372B">
        <w:tblPrEx>
          <w:tblW w:w="10350" w:type="dxa"/>
          <w:tblInd w:w="-635" w:type="dxa"/>
          <w:tblLayout w:type="fixed"/>
          <w:tblLook w:val="04A0"/>
        </w:tblPrEx>
        <w:tc>
          <w:tcPr>
            <w:tcW w:w="1620" w:type="dxa"/>
            <w:vAlign w:val="center"/>
          </w:tcPr>
          <w:p w:rsidR="00BD5E5B" w:rsidRPr="0055372B" w:rsidP="009857A9" w14:paraId="0E76FA11" w14:textId="6E3F6E13">
            <w:pPr>
              <w:rPr>
                <w:bCs/>
              </w:rPr>
            </w:pPr>
            <w:r w:rsidRPr="0055372B">
              <w:rPr>
                <w:bCs/>
              </w:rPr>
              <w:t>Notice prior to maturity</w:t>
            </w:r>
            <w:r w:rsidRPr="0055372B" w:rsidR="00273803">
              <w:rPr>
                <w:bCs/>
              </w:rPr>
              <w:t xml:space="preserve"> (Section 1030.5(b) and ((c))</w:t>
            </w:r>
          </w:p>
        </w:tc>
        <w:tc>
          <w:tcPr>
            <w:tcW w:w="1530" w:type="dxa"/>
            <w:vAlign w:val="bottom"/>
          </w:tcPr>
          <w:p w:rsidR="00BD5E5B" w:rsidRPr="0055372B" w:rsidP="009857A9" w14:paraId="05641D45" w14:textId="7F605162">
            <w:pPr>
              <w:jc w:val="right"/>
              <w:rPr>
                <w:bCs/>
              </w:rPr>
            </w:pPr>
            <w:r w:rsidRPr="0055372B">
              <w:rPr>
                <w:bCs/>
              </w:rPr>
              <w:t>171</w:t>
            </w:r>
          </w:p>
        </w:tc>
        <w:tc>
          <w:tcPr>
            <w:tcW w:w="1350" w:type="dxa"/>
            <w:vAlign w:val="bottom"/>
          </w:tcPr>
          <w:p w:rsidR="00BD5E5B" w:rsidRPr="0055372B" w:rsidP="009857A9" w14:paraId="6CC3914B" w14:textId="56000ED2">
            <w:pPr>
              <w:jc w:val="right"/>
              <w:rPr>
                <w:bCs/>
              </w:rPr>
            </w:pPr>
            <w:r w:rsidRPr="0055372B">
              <w:rPr>
                <w:bCs/>
              </w:rPr>
              <w:t>1</w:t>
            </w:r>
          </w:p>
        </w:tc>
        <w:tc>
          <w:tcPr>
            <w:tcW w:w="1350" w:type="dxa"/>
            <w:vAlign w:val="bottom"/>
          </w:tcPr>
          <w:p w:rsidR="00BD5E5B" w:rsidRPr="0055372B" w:rsidP="009857A9" w14:paraId="25A9D10D" w14:textId="6B3F640D">
            <w:pPr>
              <w:jc w:val="right"/>
              <w:rPr>
                <w:bCs/>
              </w:rPr>
            </w:pPr>
            <w:r w:rsidRPr="0055372B">
              <w:rPr>
                <w:bCs/>
              </w:rPr>
              <w:t>4,000,118</w:t>
            </w:r>
          </w:p>
        </w:tc>
        <w:tc>
          <w:tcPr>
            <w:tcW w:w="1260" w:type="dxa"/>
            <w:vAlign w:val="bottom"/>
          </w:tcPr>
          <w:p w:rsidR="00BD5E5B" w:rsidRPr="0055372B" w:rsidP="009857A9" w14:paraId="7EC59B4A" w14:textId="6DF6CDEE">
            <w:pPr>
              <w:jc w:val="right"/>
              <w:rPr>
                <w:bCs/>
              </w:rPr>
            </w:pPr>
            <w:r w:rsidRPr="0055372B">
              <w:rPr>
                <w:bCs/>
              </w:rPr>
              <w:t>0</w:t>
            </w:r>
          </w:p>
        </w:tc>
        <w:tc>
          <w:tcPr>
            <w:tcW w:w="1080" w:type="dxa"/>
            <w:vAlign w:val="bottom"/>
          </w:tcPr>
          <w:p w:rsidR="00BD5E5B" w:rsidRPr="0055372B" w:rsidP="009857A9" w14:paraId="7DE34F3B" w14:textId="2FFCF2E0">
            <w:pPr>
              <w:jc w:val="right"/>
              <w:rPr>
                <w:bCs/>
              </w:rPr>
            </w:pPr>
            <w:r w:rsidRPr="0055372B">
              <w:rPr>
                <w:bCs/>
              </w:rPr>
              <w:t>0</w:t>
            </w:r>
          </w:p>
        </w:tc>
        <w:tc>
          <w:tcPr>
            <w:tcW w:w="810" w:type="dxa"/>
            <w:vAlign w:val="bottom"/>
          </w:tcPr>
          <w:p w:rsidR="00BD5E5B" w:rsidRPr="0055372B" w:rsidP="009857A9" w14:paraId="14637343" w14:textId="5554FBFA">
            <w:pPr>
              <w:jc w:val="right"/>
              <w:rPr>
                <w:bCs/>
              </w:rPr>
            </w:pPr>
            <w:r w:rsidRPr="0055372B">
              <w:rPr>
                <w:bCs/>
              </w:rPr>
              <w:t>0</w:t>
            </w:r>
          </w:p>
        </w:tc>
        <w:tc>
          <w:tcPr>
            <w:tcW w:w="1350" w:type="dxa"/>
            <w:vAlign w:val="bottom"/>
          </w:tcPr>
          <w:p w:rsidR="00BD5E5B" w:rsidRPr="0055372B" w:rsidP="009857A9" w14:paraId="46498950" w14:textId="762FE9BF">
            <w:pPr>
              <w:jc w:val="right"/>
              <w:rPr>
                <w:bCs/>
              </w:rPr>
            </w:pPr>
            <w:r w:rsidRPr="0055372B">
              <w:rPr>
                <w:bCs/>
              </w:rPr>
              <w:t>0</w:t>
            </w:r>
          </w:p>
        </w:tc>
      </w:tr>
      <w:tr w14:paraId="58B85726" w14:textId="77777777" w:rsidTr="0055372B">
        <w:tblPrEx>
          <w:tblW w:w="10350" w:type="dxa"/>
          <w:tblInd w:w="-635" w:type="dxa"/>
          <w:tblLayout w:type="fixed"/>
          <w:tblLook w:val="04A0"/>
        </w:tblPrEx>
        <w:tc>
          <w:tcPr>
            <w:tcW w:w="1620" w:type="dxa"/>
            <w:vAlign w:val="center"/>
          </w:tcPr>
          <w:p w:rsidR="00BD5E5B" w:rsidRPr="0055372B" w:rsidP="009857A9" w14:paraId="6CFE03ED" w14:textId="03778042">
            <w:pPr>
              <w:rPr>
                <w:bCs/>
              </w:rPr>
            </w:pPr>
            <w:r w:rsidRPr="0055372B">
              <w:rPr>
                <w:bCs/>
              </w:rPr>
              <w:t xml:space="preserve">Requirements for existing periodic statement disclosures (Section </w:t>
            </w:r>
            <w:r w:rsidRPr="0055372B" w:rsidR="00273803">
              <w:rPr>
                <w:bCs/>
              </w:rPr>
              <w:t>1030.6)</w:t>
            </w:r>
          </w:p>
        </w:tc>
        <w:tc>
          <w:tcPr>
            <w:tcW w:w="1530" w:type="dxa"/>
            <w:vAlign w:val="bottom"/>
          </w:tcPr>
          <w:p w:rsidR="00BD5E5B" w:rsidRPr="0055372B" w:rsidP="009857A9" w14:paraId="67E98797" w14:textId="47CE86DE">
            <w:pPr>
              <w:jc w:val="right"/>
              <w:rPr>
                <w:bCs/>
              </w:rPr>
            </w:pPr>
            <w:r w:rsidRPr="0055372B">
              <w:rPr>
                <w:bCs/>
              </w:rPr>
              <w:t>171</w:t>
            </w:r>
          </w:p>
        </w:tc>
        <w:tc>
          <w:tcPr>
            <w:tcW w:w="1350" w:type="dxa"/>
            <w:vAlign w:val="bottom"/>
          </w:tcPr>
          <w:p w:rsidR="00BD5E5B" w:rsidRPr="0055372B" w:rsidP="009857A9" w14:paraId="0503ACA9" w14:textId="1C64F009">
            <w:pPr>
              <w:jc w:val="right"/>
              <w:rPr>
                <w:bCs/>
              </w:rPr>
            </w:pPr>
            <w:r w:rsidRPr="0055372B">
              <w:rPr>
                <w:bCs/>
              </w:rPr>
              <w:t>1</w:t>
            </w:r>
          </w:p>
        </w:tc>
        <w:tc>
          <w:tcPr>
            <w:tcW w:w="1350" w:type="dxa"/>
            <w:vAlign w:val="bottom"/>
          </w:tcPr>
          <w:p w:rsidR="00BD5E5B" w:rsidRPr="0055372B" w:rsidP="009857A9" w14:paraId="79038C15" w14:textId="2A044CED">
            <w:pPr>
              <w:jc w:val="right"/>
              <w:rPr>
                <w:bCs/>
              </w:rPr>
            </w:pPr>
            <w:r w:rsidRPr="0055372B">
              <w:rPr>
                <w:bCs/>
              </w:rPr>
              <w:t>446,233,040</w:t>
            </w:r>
          </w:p>
        </w:tc>
        <w:tc>
          <w:tcPr>
            <w:tcW w:w="1260" w:type="dxa"/>
            <w:vAlign w:val="bottom"/>
          </w:tcPr>
          <w:p w:rsidR="00BD5E5B" w:rsidRPr="0055372B" w:rsidP="009857A9" w14:paraId="182206C7" w14:textId="0490FA72">
            <w:pPr>
              <w:jc w:val="right"/>
              <w:rPr>
                <w:bCs/>
              </w:rPr>
            </w:pPr>
            <w:r w:rsidRPr="0055372B">
              <w:rPr>
                <w:bCs/>
              </w:rPr>
              <w:t>0</w:t>
            </w:r>
          </w:p>
        </w:tc>
        <w:tc>
          <w:tcPr>
            <w:tcW w:w="1080" w:type="dxa"/>
            <w:vAlign w:val="bottom"/>
          </w:tcPr>
          <w:p w:rsidR="00BD5E5B" w:rsidRPr="0055372B" w:rsidP="009857A9" w14:paraId="6C6AD196" w14:textId="03877779">
            <w:pPr>
              <w:jc w:val="right"/>
              <w:rPr>
                <w:bCs/>
              </w:rPr>
            </w:pPr>
            <w:r w:rsidRPr="0055372B">
              <w:rPr>
                <w:bCs/>
              </w:rPr>
              <w:t>0</w:t>
            </w:r>
          </w:p>
        </w:tc>
        <w:tc>
          <w:tcPr>
            <w:tcW w:w="810" w:type="dxa"/>
            <w:vAlign w:val="bottom"/>
          </w:tcPr>
          <w:p w:rsidR="00BD5E5B" w:rsidRPr="0055372B" w:rsidP="009857A9" w14:paraId="58F76AC4" w14:textId="1BC9F11E">
            <w:pPr>
              <w:jc w:val="right"/>
              <w:rPr>
                <w:bCs/>
              </w:rPr>
            </w:pPr>
            <w:r w:rsidRPr="0055372B">
              <w:rPr>
                <w:bCs/>
              </w:rPr>
              <w:t>0</w:t>
            </w:r>
          </w:p>
        </w:tc>
        <w:tc>
          <w:tcPr>
            <w:tcW w:w="1350" w:type="dxa"/>
            <w:vAlign w:val="bottom"/>
          </w:tcPr>
          <w:p w:rsidR="00BD5E5B" w:rsidRPr="0055372B" w:rsidP="009857A9" w14:paraId="26C7C409" w14:textId="3702035F">
            <w:pPr>
              <w:jc w:val="right"/>
              <w:rPr>
                <w:bCs/>
              </w:rPr>
            </w:pPr>
            <w:r w:rsidRPr="0055372B">
              <w:rPr>
                <w:bCs/>
              </w:rPr>
              <w:t>0</w:t>
            </w:r>
          </w:p>
        </w:tc>
      </w:tr>
      <w:tr w14:paraId="12998715" w14:textId="77777777" w:rsidTr="0055372B">
        <w:tblPrEx>
          <w:tblW w:w="10350" w:type="dxa"/>
          <w:tblInd w:w="-635" w:type="dxa"/>
          <w:tblLayout w:type="fixed"/>
          <w:tblLook w:val="04A0"/>
        </w:tblPrEx>
        <w:tc>
          <w:tcPr>
            <w:tcW w:w="1620" w:type="dxa"/>
            <w:vAlign w:val="center"/>
          </w:tcPr>
          <w:p w:rsidR="00BD5E5B" w:rsidRPr="0055372B" w:rsidP="009857A9" w14:paraId="26B42C16" w14:textId="5EBF54A2">
            <w:pPr>
              <w:rPr>
                <w:bCs/>
              </w:rPr>
            </w:pPr>
            <w:r w:rsidRPr="0055372B">
              <w:rPr>
                <w:bCs/>
              </w:rPr>
              <w:t>Requirement for advertisement and indoors signs (Section 1030.8(b), (c), (d), (e)(2), and 1030.11(a), (b), and (c)</w:t>
            </w:r>
          </w:p>
        </w:tc>
        <w:tc>
          <w:tcPr>
            <w:tcW w:w="1530" w:type="dxa"/>
            <w:vAlign w:val="bottom"/>
          </w:tcPr>
          <w:p w:rsidR="00BD5E5B" w:rsidRPr="0055372B" w:rsidP="009857A9" w14:paraId="690C1B03" w14:textId="1464143E">
            <w:pPr>
              <w:jc w:val="right"/>
              <w:rPr>
                <w:bCs/>
              </w:rPr>
            </w:pPr>
            <w:r w:rsidRPr="0055372B">
              <w:rPr>
                <w:bCs/>
              </w:rPr>
              <w:t>171</w:t>
            </w:r>
          </w:p>
        </w:tc>
        <w:tc>
          <w:tcPr>
            <w:tcW w:w="1350" w:type="dxa"/>
            <w:vAlign w:val="bottom"/>
          </w:tcPr>
          <w:p w:rsidR="00BD5E5B" w:rsidRPr="0055372B" w:rsidP="009857A9" w14:paraId="107525D3" w14:textId="05A5DC3B">
            <w:pPr>
              <w:jc w:val="right"/>
              <w:rPr>
                <w:bCs/>
              </w:rPr>
            </w:pPr>
            <w:r w:rsidRPr="0055372B">
              <w:rPr>
                <w:bCs/>
              </w:rPr>
              <w:t>0</w:t>
            </w:r>
          </w:p>
        </w:tc>
        <w:tc>
          <w:tcPr>
            <w:tcW w:w="1350" w:type="dxa"/>
            <w:vAlign w:val="bottom"/>
          </w:tcPr>
          <w:p w:rsidR="00BD5E5B" w:rsidRPr="0055372B" w:rsidP="009857A9" w14:paraId="7938BA0F" w14:textId="29A36BA6">
            <w:pPr>
              <w:jc w:val="right"/>
              <w:rPr>
                <w:bCs/>
              </w:rPr>
            </w:pPr>
            <w:r w:rsidRPr="0055372B">
              <w:rPr>
                <w:bCs/>
              </w:rPr>
              <w:t>0</w:t>
            </w:r>
          </w:p>
        </w:tc>
        <w:tc>
          <w:tcPr>
            <w:tcW w:w="1260" w:type="dxa"/>
            <w:vAlign w:val="bottom"/>
          </w:tcPr>
          <w:p w:rsidR="00BD5E5B" w:rsidRPr="0055372B" w:rsidP="009857A9" w14:paraId="1046CA50" w14:textId="3A249AFB">
            <w:pPr>
              <w:jc w:val="right"/>
              <w:rPr>
                <w:bCs/>
              </w:rPr>
            </w:pPr>
            <w:r w:rsidRPr="0055372B">
              <w:rPr>
                <w:bCs/>
              </w:rPr>
              <w:t>0</w:t>
            </w:r>
          </w:p>
        </w:tc>
        <w:tc>
          <w:tcPr>
            <w:tcW w:w="1080" w:type="dxa"/>
            <w:vAlign w:val="bottom"/>
          </w:tcPr>
          <w:p w:rsidR="00BD5E5B" w:rsidRPr="0055372B" w:rsidP="009857A9" w14:paraId="06CC1218" w14:textId="0C1FE0FE">
            <w:pPr>
              <w:jc w:val="right"/>
              <w:rPr>
                <w:bCs/>
              </w:rPr>
            </w:pPr>
            <w:r w:rsidRPr="0055372B">
              <w:rPr>
                <w:bCs/>
              </w:rPr>
              <w:t>0</w:t>
            </w:r>
          </w:p>
        </w:tc>
        <w:tc>
          <w:tcPr>
            <w:tcW w:w="810" w:type="dxa"/>
            <w:vAlign w:val="bottom"/>
          </w:tcPr>
          <w:p w:rsidR="00BD5E5B" w:rsidRPr="0055372B" w:rsidP="009857A9" w14:paraId="5DDECA94" w14:textId="3565F23B">
            <w:pPr>
              <w:jc w:val="right"/>
              <w:rPr>
                <w:bCs/>
              </w:rPr>
            </w:pPr>
            <w:r w:rsidRPr="0055372B">
              <w:rPr>
                <w:bCs/>
              </w:rPr>
              <w:t>0</w:t>
            </w:r>
          </w:p>
        </w:tc>
        <w:tc>
          <w:tcPr>
            <w:tcW w:w="1350" w:type="dxa"/>
            <w:vAlign w:val="bottom"/>
          </w:tcPr>
          <w:p w:rsidR="00BD5E5B" w:rsidRPr="0055372B" w:rsidP="009857A9" w14:paraId="470E81E2" w14:textId="667B3A8D">
            <w:pPr>
              <w:jc w:val="right"/>
              <w:rPr>
                <w:bCs/>
              </w:rPr>
            </w:pPr>
            <w:r w:rsidRPr="0055372B">
              <w:rPr>
                <w:bCs/>
              </w:rPr>
              <w:t>0</w:t>
            </w:r>
          </w:p>
        </w:tc>
      </w:tr>
      <w:tr w14:paraId="3B2657AF" w14:textId="77777777" w:rsidTr="0055372B">
        <w:tblPrEx>
          <w:tblW w:w="10350" w:type="dxa"/>
          <w:tblInd w:w="-635" w:type="dxa"/>
          <w:tblLayout w:type="fixed"/>
          <w:tblLook w:val="04A0"/>
        </w:tblPrEx>
        <w:tc>
          <w:tcPr>
            <w:tcW w:w="1620" w:type="dxa"/>
            <w:vAlign w:val="center"/>
          </w:tcPr>
          <w:p w:rsidR="00BD5E5B" w:rsidRPr="0055372B" w:rsidP="009857A9" w14:paraId="0B14AF9B" w14:textId="4D9CE617">
            <w:pPr>
              <w:rPr>
                <w:bCs/>
              </w:rPr>
            </w:pPr>
            <w:r w:rsidRPr="0055372B">
              <w:rPr>
                <w:bCs/>
              </w:rPr>
              <w:t>Record Retention (Section</w:t>
            </w:r>
            <w:r w:rsidRPr="0055372B" w:rsidR="0074735F">
              <w:rPr>
                <w:bCs/>
              </w:rPr>
              <w:t xml:space="preserve"> 1030.9(c))</w:t>
            </w:r>
          </w:p>
        </w:tc>
        <w:tc>
          <w:tcPr>
            <w:tcW w:w="1530" w:type="dxa"/>
            <w:vAlign w:val="bottom"/>
          </w:tcPr>
          <w:p w:rsidR="00BD5E5B" w:rsidRPr="0055372B" w:rsidP="009857A9" w14:paraId="33A191B8" w14:textId="412022D6">
            <w:pPr>
              <w:jc w:val="right"/>
              <w:rPr>
                <w:bCs/>
              </w:rPr>
            </w:pPr>
            <w:r w:rsidRPr="0055372B">
              <w:rPr>
                <w:bCs/>
              </w:rPr>
              <w:t>171</w:t>
            </w:r>
          </w:p>
        </w:tc>
        <w:tc>
          <w:tcPr>
            <w:tcW w:w="1350" w:type="dxa"/>
            <w:vAlign w:val="bottom"/>
          </w:tcPr>
          <w:p w:rsidR="00BD5E5B" w:rsidRPr="0055372B" w:rsidP="009857A9" w14:paraId="58601376" w14:textId="04CFB0E6">
            <w:pPr>
              <w:jc w:val="right"/>
              <w:rPr>
                <w:bCs/>
              </w:rPr>
            </w:pPr>
            <w:r w:rsidRPr="0055372B">
              <w:rPr>
                <w:bCs/>
              </w:rPr>
              <w:t>0</w:t>
            </w:r>
          </w:p>
        </w:tc>
        <w:tc>
          <w:tcPr>
            <w:tcW w:w="1350" w:type="dxa"/>
            <w:vAlign w:val="bottom"/>
          </w:tcPr>
          <w:p w:rsidR="00BD5E5B" w:rsidRPr="0055372B" w:rsidP="009857A9" w14:paraId="78D78AFA" w14:textId="64AB5512">
            <w:pPr>
              <w:jc w:val="right"/>
              <w:rPr>
                <w:bCs/>
              </w:rPr>
            </w:pPr>
            <w:r w:rsidRPr="0055372B">
              <w:rPr>
                <w:bCs/>
              </w:rPr>
              <w:t>0</w:t>
            </w:r>
          </w:p>
        </w:tc>
        <w:tc>
          <w:tcPr>
            <w:tcW w:w="1260" w:type="dxa"/>
            <w:vAlign w:val="bottom"/>
          </w:tcPr>
          <w:p w:rsidR="00BD5E5B" w:rsidRPr="0055372B" w:rsidP="009857A9" w14:paraId="7FFB9559" w14:textId="3678DE3E">
            <w:pPr>
              <w:jc w:val="right"/>
              <w:rPr>
                <w:bCs/>
              </w:rPr>
            </w:pPr>
            <w:r w:rsidRPr="0055372B">
              <w:rPr>
                <w:bCs/>
              </w:rPr>
              <w:t>0</w:t>
            </w:r>
          </w:p>
        </w:tc>
        <w:tc>
          <w:tcPr>
            <w:tcW w:w="1080" w:type="dxa"/>
            <w:vAlign w:val="bottom"/>
          </w:tcPr>
          <w:p w:rsidR="00BD5E5B" w:rsidRPr="0055372B" w:rsidP="009857A9" w14:paraId="719D7356" w14:textId="5AE32AA4">
            <w:pPr>
              <w:jc w:val="right"/>
              <w:rPr>
                <w:bCs/>
              </w:rPr>
            </w:pPr>
            <w:r w:rsidRPr="0055372B">
              <w:rPr>
                <w:bCs/>
              </w:rPr>
              <w:t>0</w:t>
            </w:r>
          </w:p>
        </w:tc>
        <w:tc>
          <w:tcPr>
            <w:tcW w:w="810" w:type="dxa"/>
            <w:vAlign w:val="bottom"/>
          </w:tcPr>
          <w:p w:rsidR="00BD5E5B" w:rsidRPr="0055372B" w:rsidP="009857A9" w14:paraId="405E9BC2" w14:textId="7157E9FA">
            <w:pPr>
              <w:jc w:val="right"/>
              <w:rPr>
                <w:bCs/>
              </w:rPr>
            </w:pPr>
            <w:r w:rsidRPr="0055372B">
              <w:rPr>
                <w:bCs/>
              </w:rPr>
              <w:t>0</w:t>
            </w:r>
          </w:p>
        </w:tc>
        <w:tc>
          <w:tcPr>
            <w:tcW w:w="1350" w:type="dxa"/>
            <w:vAlign w:val="bottom"/>
          </w:tcPr>
          <w:p w:rsidR="00BD5E5B" w:rsidRPr="0055372B" w:rsidP="009857A9" w14:paraId="088A4283" w14:textId="29587AD1">
            <w:pPr>
              <w:jc w:val="right"/>
              <w:rPr>
                <w:bCs/>
              </w:rPr>
            </w:pPr>
            <w:r w:rsidRPr="0055372B">
              <w:rPr>
                <w:bCs/>
              </w:rPr>
              <w:t>3,330</w:t>
            </w:r>
          </w:p>
        </w:tc>
      </w:tr>
      <w:tr w14:paraId="3D1B71A1" w14:textId="77777777" w:rsidTr="0055372B">
        <w:tblPrEx>
          <w:tblW w:w="10350" w:type="dxa"/>
          <w:tblInd w:w="-635" w:type="dxa"/>
          <w:tblLayout w:type="fixed"/>
          <w:tblLook w:val="04A0"/>
        </w:tblPrEx>
        <w:tc>
          <w:tcPr>
            <w:tcW w:w="1620" w:type="dxa"/>
          </w:tcPr>
          <w:p w:rsidR="00BD5E5B" w:rsidRPr="0055372B" w:rsidP="009857A9" w14:paraId="47F7CA64" w14:textId="59455EFE">
            <w:pPr>
              <w:rPr>
                <w:bCs/>
              </w:rPr>
            </w:pPr>
            <w:r w:rsidRPr="0055372B">
              <w:rPr>
                <w:b/>
              </w:rPr>
              <w:t>TOTAL</w:t>
            </w:r>
          </w:p>
        </w:tc>
        <w:tc>
          <w:tcPr>
            <w:tcW w:w="1530" w:type="dxa"/>
            <w:vAlign w:val="bottom"/>
          </w:tcPr>
          <w:p w:rsidR="00BD5E5B" w:rsidRPr="0055372B" w:rsidP="009857A9" w14:paraId="081C3E51" w14:textId="096A580A">
            <w:pPr>
              <w:jc w:val="right"/>
              <w:rPr>
                <w:bCs/>
              </w:rPr>
            </w:pPr>
            <w:r w:rsidRPr="0055372B">
              <w:rPr>
                <w:bCs/>
              </w:rPr>
              <w:t>171</w:t>
            </w:r>
          </w:p>
        </w:tc>
        <w:tc>
          <w:tcPr>
            <w:tcW w:w="1350" w:type="dxa"/>
            <w:shd w:val="clear" w:color="auto" w:fill="D9D9D9" w:themeFill="background1" w:themeFillShade="D9"/>
            <w:vAlign w:val="bottom"/>
          </w:tcPr>
          <w:p w:rsidR="00BD5E5B" w:rsidRPr="0055372B" w:rsidP="009857A9" w14:paraId="3E8F50B0" w14:textId="6DE7289D">
            <w:pPr>
              <w:jc w:val="right"/>
              <w:rPr>
                <w:bCs/>
              </w:rPr>
            </w:pPr>
          </w:p>
        </w:tc>
        <w:tc>
          <w:tcPr>
            <w:tcW w:w="1350" w:type="dxa"/>
            <w:vAlign w:val="bottom"/>
          </w:tcPr>
          <w:p w:rsidR="00BD5E5B" w:rsidRPr="0055372B" w:rsidP="009857A9" w14:paraId="1B1750AC" w14:textId="412368D7">
            <w:pPr>
              <w:jc w:val="right"/>
              <w:rPr>
                <w:bCs/>
              </w:rPr>
            </w:pPr>
            <w:r w:rsidRPr="0055372B">
              <w:rPr>
                <w:bCs/>
              </w:rPr>
              <w:t>33,630,661</w:t>
            </w:r>
          </w:p>
        </w:tc>
        <w:tc>
          <w:tcPr>
            <w:tcW w:w="1260" w:type="dxa"/>
            <w:shd w:val="clear" w:color="auto" w:fill="D9D9D9" w:themeFill="background1" w:themeFillShade="D9"/>
            <w:vAlign w:val="bottom"/>
          </w:tcPr>
          <w:p w:rsidR="00BD5E5B" w:rsidRPr="0055372B" w:rsidP="009857A9" w14:paraId="687E9D11" w14:textId="7606ADE0">
            <w:pPr>
              <w:jc w:val="right"/>
              <w:rPr>
                <w:bCs/>
              </w:rPr>
            </w:pPr>
          </w:p>
        </w:tc>
        <w:tc>
          <w:tcPr>
            <w:tcW w:w="1080" w:type="dxa"/>
            <w:vAlign w:val="bottom"/>
          </w:tcPr>
          <w:p w:rsidR="00BD5E5B" w:rsidRPr="0055372B" w:rsidP="009857A9" w14:paraId="5C5C730F" w14:textId="39CB0826">
            <w:pPr>
              <w:jc w:val="right"/>
              <w:rPr>
                <w:bCs/>
              </w:rPr>
            </w:pPr>
            <w:r w:rsidRPr="0055372B">
              <w:rPr>
                <w:bCs/>
              </w:rPr>
              <w:t>561,632</w:t>
            </w:r>
          </w:p>
        </w:tc>
        <w:tc>
          <w:tcPr>
            <w:tcW w:w="810" w:type="dxa"/>
            <w:vAlign w:val="bottom"/>
          </w:tcPr>
          <w:p w:rsidR="00BD5E5B" w:rsidRPr="0055372B" w:rsidP="009857A9" w14:paraId="61B6F724" w14:textId="36792AF7">
            <w:pPr>
              <w:jc w:val="right"/>
              <w:rPr>
                <w:bCs/>
              </w:rPr>
            </w:pPr>
            <w:r w:rsidRPr="0055372B">
              <w:rPr>
                <w:bCs/>
              </w:rPr>
              <w:t>N/A</w:t>
            </w:r>
          </w:p>
        </w:tc>
        <w:tc>
          <w:tcPr>
            <w:tcW w:w="1350" w:type="dxa"/>
            <w:vAlign w:val="bottom"/>
          </w:tcPr>
          <w:p w:rsidR="00BD5E5B" w:rsidRPr="0055372B" w:rsidP="4DA85C1E" w14:paraId="4334011C" w14:textId="0D3B8EF2">
            <w:pPr>
              <w:jc w:val="right"/>
            </w:pPr>
            <w:r w:rsidRPr="0055372B">
              <w:t>$14,229,46</w:t>
            </w:r>
            <w:r w:rsidRPr="0055372B" w:rsidR="00BB44D3">
              <w:t>9</w:t>
            </w:r>
          </w:p>
        </w:tc>
      </w:tr>
    </w:tbl>
    <w:p w:rsidR="00BD5E5B" w:rsidRPr="00521834" w:rsidP="001D69A6" w14:paraId="169E9E56" w14:textId="5E2CF7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460BD" w:rsidRPr="00521834" w:rsidP="003460BD" w14:paraId="330C796B" w14:textId="7C6993AB">
      <w:pPr>
        <w:pStyle w:val="CM12"/>
        <w:spacing w:line="276" w:lineRule="atLeast"/>
      </w:pPr>
      <w:r w:rsidRPr="00521834">
        <w:t>CFPB estimates that there are 4,887 institutions subject to Regulation DD of which 171 are under CFPB’s supervisory authority.</w:t>
      </w:r>
    </w:p>
    <w:p w:rsidR="003460BD" w:rsidRPr="00521834" w:rsidP="003460BD" w14:paraId="009ABF10" w14:textId="77777777">
      <w:pPr>
        <w:pStyle w:val="CM12"/>
        <w:spacing w:line="276" w:lineRule="atLeast"/>
      </w:pPr>
    </w:p>
    <w:p w:rsidR="003460BD" w:rsidRPr="00521834" w:rsidP="003460BD" w14:paraId="4BA07D56" w14:textId="00AF0A85">
      <w:pPr>
        <w:pStyle w:val="CM12"/>
        <w:spacing w:line="276" w:lineRule="atLeast"/>
      </w:pPr>
      <w:r w:rsidRPr="00521834">
        <w:t xml:space="preserve">The CFPB attributes to itself burden associated with the entities it supervises, and this regulation only applies to non-credit union depository institutions. </w:t>
      </w:r>
      <w:r w:rsidR="006A1575">
        <w:t xml:space="preserve"> </w:t>
      </w:r>
      <w:r w:rsidRPr="00521834">
        <w:t xml:space="preserve">While not many </w:t>
      </w:r>
      <w:r w:rsidRPr="00521834">
        <w:t>institutions fall under CFPB enforcement authority, the number of accounts owned by these institutions represents a significant portion of the total market</w:t>
      </w:r>
      <w:r w:rsidRPr="00521834" w:rsidR="0087170D">
        <w:t xml:space="preserve"> </w:t>
      </w:r>
      <w:r w:rsidRPr="00521834">
        <w:t xml:space="preserve">and is represented here. </w:t>
      </w:r>
      <w:r w:rsidR="007845EE">
        <w:t xml:space="preserve"> </w:t>
      </w:r>
      <w:r w:rsidRPr="00521834">
        <w:t>The CFPB obtained these estimates using a variety of industry and market sources, both public and proprietary.</w:t>
      </w:r>
    </w:p>
    <w:p w:rsidR="003460BD" w:rsidRPr="00521834" w:rsidP="003460BD" w14:paraId="66F532BE" w14:textId="77777777">
      <w:pPr>
        <w:pStyle w:val="CM12"/>
        <w:spacing w:line="276" w:lineRule="atLeast"/>
      </w:pPr>
    </w:p>
    <w:p w:rsidR="003460BD" w:rsidRPr="00521834" w:rsidP="003460BD" w14:paraId="67A89AE8" w14:textId="77777777">
      <w:pPr>
        <w:pStyle w:val="CM12"/>
        <w:spacing w:line="276" w:lineRule="atLeast"/>
      </w:pPr>
      <w:r w:rsidRPr="00521834">
        <w:t xml:space="preserve">While there are more disclosures required under Regulation DD, the account opening disclosure is the only one that is most likely to happen while the consumer is physically present at a bank, and is therefore the only one that requires significant, measurable time to process.  Providing account disclosures upon request also likely requires human interaction; however, the Bureau believes that such requests typically happen as a part an ordinary business interaction between a customer and a bank, and therefore the marginal hourly burden imposed by such requests is minimal. </w:t>
      </w:r>
    </w:p>
    <w:p w:rsidR="003460BD" w:rsidRPr="00521834" w:rsidP="003460BD" w14:paraId="4A4BA819" w14:textId="77777777">
      <w:pPr>
        <w:pStyle w:val="CM12"/>
        <w:spacing w:line="276" w:lineRule="atLeast"/>
      </w:pPr>
    </w:p>
    <w:p w:rsidR="003460BD" w:rsidRPr="00521834" w:rsidP="003460BD" w14:paraId="537C9D8C" w14:textId="1918E91E">
      <w:pPr>
        <w:pStyle w:val="CM12"/>
        <w:spacing w:line="276" w:lineRule="atLeast"/>
      </w:pPr>
      <w:r w:rsidRPr="00521834">
        <w:t>Other disclosures, including notices of change of terms, and notices prior to maturity for time accounts, are automatically generated by systems already owned by the respondents and therefore does not require human time. Further, as pointed out previously, Regulation DD does not require periodic account statements; rather, it imposes additional requirements on statements that already exist. CFPB estimates that the incremental burden of these requirements imposed on respondents is minimal. Likewise, regarding the recordkeeping requirement, CFPB believes that institutions incur no additional burden for maintaining sample disclosures for each type of account offered to consumers since these artifacts are generally created and stored in digital form (an acceptable method of recordkeeping).</w:t>
      </w:r>
    </w:p>
    <w:p w:rsidR="003460BD" w:rsidRPr="00521834" w:rsidP="003460BD" w14:paraId="6EB4F539" w14:textId="77777777">
      <w:pPr>
        <w:pStyle w:val="CM12"/>
        <w:spacing w:line="276" w:lineRule="atLeast"/>
      </w:pPr>
    </w:p>
    <w:p w:rsidR="003460BD" w:rsidRPr="00521834" w:rsidP="003460BD" w14:paraId="2F308518" w14:textId="34A743F0">
      <w:pPr>
        <w:pStyle w:val="CM12"/>
        <w:spacing w:line="276" w:lineRule="atLeast"/>
      </w:pPr>
      <w:r w:rsidRPr="00521834">
        <w:rPr>
          <w:u w:val="single"/>
        </w:rPr>
        <w:t>Associated Labor Cost</w:t>
      </w:r>
      <w:r w:rsidRPr="00521834">
        <w:t>: $</w:t>
      </w:r>
      <w:r w:rsidR="007845EE">
        <w:t>14,229,</w:t>
      </w:r>
      <w:r w:rsidR="00BB44D3">
        <w:t>469</w:t>
      </w:r>
    </w:p>
    <w:p w:rsidR="003460BD" w:rsidRPr="00521834" w:rsidP="003460BD" w14:paraId="736EA715" w14:textId="77777777">
      <w:pPr>
        <w:pStyle w:val="CM12"/>
        <w:spacing w:line="276" w:lineRule="atLeast"/>
      </w:pPr>
    </w:p>
    <w:p w:rsidR="00A133F2" w:rsidRPr="00521834" w:rsidP="003460BD" w14:paraId="1C25417C" w14:textId="4448B728">
      <w:pPr>
        <w:pStyle w:val="CM12"/>
        <w:spacing w:line="276" w:lineRule="atLeast"/>
      </w:pPr>
      <w:r w:rsidRPr="00521834">
        <w:t>The CFPB calculated labor costs by estimating the burden hours associated with complying with the required account opening disclosures described in Exhibit 1. According to the BLS, financial clerks, who would be helping consumers opening an account at a bank, have a me</w:t>
      </w:r>
      <w:r w:rsidR="00BB44D3">
        <w:t xml:space="preserve">an </w:t>
      </w:r>
      <w:r w:rsidRPr="00521834">
        <w:t>wage rate of $</w:t>
      </w:r>
      <w:r w:rsidR="00BB44D3">
        <w:t>25.33</w:t>
      </w:r>
      <w:r w:rsidR="007B02B9">
        <w:t xml:space="preserve"> </w:t>
      </w:r>
      <w:r w:rsidRPr="00521834">
        <w:t>hour.</w:t>
      </w:r>
    </w:p>
    <w:p w:rsidR="003460BD" w:rsidRPr="00521834" w:rsidP="003460BD" w14:paraId="686B9FE3" w14:textId="77777777">
      <w:pPr>
        <w:rPr>
          <w:sz w:val="24"/>
          <w:szCs w:val="24"/>
        </w:rPr>
      </w:pPr>
    </w:p>
    <w:p w:rsidR="00F660E8" w:rsidRPr="00521834" w:rsidP="00F660E8" w14:paraId="446A24E3" w14:textId="77777777">
      <w:pPr>
        <w:rPr>
          <w:b/>
          <w:sz w:val="24"/>
          <w:szCs w:val="24"/>
        </w:rPr>
      </w:pPr>
      <w:r w:rsidRPr="00521834">
        <w:rPr>
          <w:b/>
          <w:sz w:val="24"/>
          <w:szCs w:val="24"/>
        </w:rPr>
        <w:t>13.  Provide an estimate of the total annual cost burden to respondents or record</w:t>
      </w:r>
      <w:r w:rsidRPr="00521834" w:rsidR="007E7E37">
        <w:rPr>
          <w:b/>
          <w:sz w:val="24"/>
          <w:szCs w:val="24"/>
        </w:rPr>
        <w:t xml:space="preserve"> </w:t>
      </w:r>
      <w:r w:rsidRPr="00521834">
        <w:rPr>
          <w:b/>
          <w:sz w:val="24"/>
          <w:szCs w:val="24"/>
        </w:rPr>
        <w:t>keepers resulting from the collection of information.  (Do not include the cost of any hour burden shown in Items 12 and 14).</w:t>
      </w:r>
    </w:p>
    <w:p w:rsidR="005F1FFC" w:rsidRPr="00521834" w:rsidP="005F1FFC" w14:paraId="3715E245" w14:textId="6F139325">
      <w:pPr>
        <w:rPr>
          <w:b/>
          <w:sz w:val="24"/>
          <w:szCs w:val="24"/>
        </w:rPr>
      </w:pPr>
    </w:p>
    <w:p w:rsidR="00A133F2" w:rsidRPr="00521834" w:rsidP="00A133F2" w14:paraId="3F04F1BD" w14:textId="3C1BB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521834" w:rsidR="00A13217">
        <w:rPr>
          <w:sz w:val="24"/>
          <w:szCs w:val="24"/>
        </w:rPr>
        <w:t>he Bureau estimates the burden as follows:</w:t>
      </w:r>
    </w:p>
    <w:p w:rsidR="00FE5C11" w:rsidRPr="00521834" w:rsidP="00A133F2" w14:paraId="2F43B0DC" w14:textId="52E4C0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530"/>
        <w:gridCol w:w="1260"/>
        <w:gridCol w:w="1890"/>
        <w:gridCol w:w="1800"/>
      </w:tblGrid>
      <w:tr w14:paraId="5A97E3BD" w14:textId="205CC18E" w:rsidTr="00AB3C95">
        <w:tblPrEx>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07" w:type="dxa"/>
            <w:tcBorders>
              <w:bottom w:val="single" w:sz="4" w:space="0" w:color="auto"/>
            </w:tcBorders>
            <w:shd w:val="clear" w:color="auto" w:fill="D9D9D9" w:themeFill="background1" w:themeFillShade="D9"/>
          </w:tcPr>
          <w:p w:rsidR="002C25E9" w:rsidRPr="00521834" w:rsidP="009857A9" w14:paraId="4969A547" w14:textId="77777777">
            <w:pPr>
              <w:rPr>
                <w:b/>
                <w:bCs/>
                <w:sz w:val="24"/>
                <w:szCs w:val="24"/>
              </w:rPr>
            </w:pPr>
            <w:r w:rsidRPr="00521834">
              <w:rPr>
                <w:b/>
                <w:bCs/>
                <w:sz w:val="24"/>
                <w:szCs w:val="24"/>
              </w:rPr>
              <w:t>Collection of Information</w:t>
            </w:r>
          </w:p>
        </w:tc>
        <w:tc>
          <w:tcPr>
            <w:tcW w:w="1530" w:type="dxa"/>
            <w:tcBorders>
              <w:bottom w:val="single" w:sz="4" w:space="0" w:color="auto"/>
            </w:tcBorders>
            <w:shd w:val="clear" w:color="auto" w:fill="D9D9D9" w:themeFill="background1" w:themeFillShade="D9"/>
          </w:tcPr>
          <w:p w:rsidR="002C25E9" w:rsidRPr="00521834" w:rsidP="009857A9" w14:paraId="74F6766C" w14:textId="77777777">
            <w:pPr>
              <w:rPr>
                <w:b/>
                <w:bCs/>
                <w:sz w:val="24"/>
                <w:szCs w:val="24"/>
              </w:rPr>
            </w:pPr>
            <w:r w:rsidRPr="00521834">
              <w:rPr>
                <w:b/>
                <w:bCs/>
                <w:sz w:val="24"/>
                <w:szCs w:val="24"/>
              </w:rPr>
              <w:t>Number of Respondents</w:t>
            </w:r>
          </w:p>
        </w:tc>
        <w:tc>
          <w:tcPr>
            <w:tcW w:w="1260" w:type="dxa"/>
            <w:tcBorders>
              <w:bottom w:val="single" w:sz="4" w:space="0" w:color="auto"/>
            </w:tcBorders>
            <w:shd w:val="clear" w:color="auto" w:fill="D9D9D9" w:themeFill="background1" w:themeFillShade="D9"/>
          </w:tcPr>
          <w:p w:rsidR="002C25E9" w:rsidRPr="00521834" w:rsidP="009857A9" w14:paraId="2E2A0113" w14:textId="2DF94353">
            <w:pPr>
              <w:rPr>
                <w:b/>
                <w:bCs/>
                <w:sz w:val="24"/>
                <w:szCs w:val="24"/>
              </w:rPr>
            </w:pPr>
            <w:r w:rsidRPr="00521834">
              <w:rPr>
                <w:b/>
                <w:bCs/>
                <w:sz w:val="24"/>
                <w:szCs w:val="24"/>
              </w:rPr>
              <w:t>Per Unit Cost ($)</w:t>
            </w:r>
          </w:p>
        </w:tc>
        <w:tc>
          <w:tcPr>
            <w:tcW w:w="1890" w:type="dxa"/>
            <w:tcBorders>
              <w:bottom w:val="single" w:sz="4" w:space="0" w:color="auto"/>
            </w:tcBorders>
            <w:shd w:val="clear" w:color="auto" w:fill="D9D9D9" w:themeFill="background1" w:themeFillShade="D9"/>
          </w:tcPr>
          <w:p w:rsidR="002C25E9" w:rsidRPr="00521834" w:rsidP="009857A9" w14:paraId="1C7808DA" w14:textId="2B1E5CF1">
            <w:pPr>
              <w:rPr>
                <w:b/>
                <w:bCs/>
                <w:sz w:val="24"/>
                <w:szCs w:val="24"/>
              </w:rPr>
            </w:pPr>
            <w:r w:rsidRPr="00521834">
              <w:rPr>
                <w:b/>
                <w:bCs/>
                <w:sz w:val="24"/>
                <w:szCs w:val="24"/>
              </w:rPr>
              <w:t>Share of electronic costs</w:t>
            </w:r>
          </w:p>
        </w:tc>
        <w:tc>
          <w:tcPr>
            <w:tcW w:w="1800" w:type="dxa"/>
            <w:tcBorders>
              <w:bottom w:val="single" w:sz="4" w:space="0" w:color="auto"/>
            </w:tcBorders>
            <w:shd w:val="clear" w:color="auto" w:fill="D9D9D9" w:themeFill="background1" w:themeFillShade="D9"/>
          </w:tcPr>
          <w:p w:rsidR="002C25E9" w:rsidRPr="00521834" w:rsidP="009857A9" w14:paraId="43F84998" w14:textId="10E884EA">
            <w:pPr>
              <w:rPr>
                <w:b/>
                <w:bCs/>
                <w:sz w:val="24"/>
                <w:szCs w:val="24"/>
              </w:rPr>
            </w:pPr>
            <w:r w:rsidRPr="00521834">
              <w:rPr>
                <w:b/>
                <w:bCs/>
                <w:sz w:val="24"/>
                <w:szCs w:val="24"/>
              </w:rPr>
              <w:t>CFPB Share of Materials Cost ($)</w:t>
            </w:r>
          </w:p>
        </w:tc>
      </w:tr>
      <w:tr w14:paraId="55272730" w14:textId="6DFCEA45" w:rsidTr="00AB3C95">
        <w:tblPrEx>
          <w:tblW w:w="7987" w:type="dxa"/>
          <w:tblInd w:w="108" w:type="dxa"/>
          <w:tblLayout w:type="fixed"/>
          <w:tblLook w:val="04A0"/>
        </w:tblPrEx>
        <w:tc>
          <w:tcPr>
            <w:tcW w:w="1507" w:type="dxa"/>
            <w:tcBorders>
              <w:bottom w:val="single" w:sz="4" w:space="0" w:color="auto"/>
            </w:tcBorders>
            <w:vAlign w:val="center"/>
          </w:tcPr>
          <w:p w:rsidR="002C25E9" w:rsidRPr="00521834" w:rsidP="009857A9" w14:paraId="4B5BF91E" w14:textId="1B891159">
            <w:pPr>
              <w:rPr>
                <w:sz w:val="24"/>
                <w:szCs w:val="24"/>
              </w:rPr>
            </w:pPr>
            <w:r w:rsidRPr="00521834">
              <w:rPr>
                <w:color w:val="000000"/>
                <w:sz w:val="24"/>
                <w:szCs w:val="24"/>
              </w:rPr>
              <w:t>Printing and mailing change of terms notices (1030.5(a))</w:t>
            </w:r>
          </w:p>
        </w:tc>
        <w:tc>
          <w:tcPr>
            <w:tcW w:w="1530" w:type="dxa"/>
            <w:tcBorders>
              <w:bottom w:val="single" w:sz="4" w:space="0" w:color="auto"/>
            </w:tcBorders>
            <w:vAlign w:val="bottom"/>
          </w:tcPr>
          <w:p w:rsidR="002C25E9" w:rsidRPr="00521834" w:rsidP="009857A9" w14:paraId="2270CBF1" w14:textId="614AE096">
            <w:pPr>
              <w:jc w:val="right"/>
              <w:rPr>
                <w:sz w:val="24"/>
                <w:szCs w:val="24"/>
              </w:rPr>
            </w:pPr>
            <w:r w:rsidRPr="00521834">
              <w:rPr>
                <w:sz w:val="24"/>
                <w:szCs w:val="24"/>
              </w:rPr>
              <w:t>4,545,809</w:t>
            </w:r>
          </w:p>
        </w:tc>
        <w:tc>
          <w:tcPr>
            <w:tcW w:w="1260" w:type="dxa"/>
            <w:tcBorders>
              <w:bottom w:val="single" w:sz="4" w:space="0" w:color="auto"/>
            </w:tcBorders>
            <w:vAlign w:val="bottom"/>
          </w:tcPr>
          <w:p w:rsidR="002C25E9" w:rsidRPr="00521834" w:rsidP="009857A9" w14:paraId="5C4CA06F" w14:textId="066D7D71">
            <w:pPr>
              <w:jc w:val="right"/>
              <w:rPr>
                <w:sz w:val="24"/>
                <w:szCs w:val="24"/>
              </w:rPr>
            </w:pPr>
            <w:r w:rsidRPr="00521834">
              <w:rPr>
                <w:sz w:val="24"/>
                <w:szCs w:val="24"/>
              </w:rPr>
              <w:t>0.3</w:t>
            </w:r>
          </w:p>
        </w:tc>
        <w:tc>
          <w:tcPr>
            <w:tcW w:w="1890" w:type="dxa"/>
            <w:tcBorders>
              <w:bottom w:val="single" w:sz="4" w:space="0" w:color="auto"/>
            </w:tcBorders>
            <w:vAlign w:val="bottom"/>
          </w:tcPr>
          <w:p w:rsidR="002C25E9" w:rsidRPr="00521834" w:rsidP="009857A9" w14:paraId="02B3B1E6" w14:textId="62A7D1DE">
            <w:pPr>
              <w:jc w:val="right"/>
              <w:rPr>
                <w:sz w:val="24"/>
                <w:szCs w:val="24"/>
              </w:rPr>
            </w:pPr>
            <w:r w:rsidRPr="00521834">
              <w:rPr>
                <w:sz w:val="24"/>
                <w:szCs w:val="24"/>
              </w:rPr>
              <w:t>0.667</w:t>
            </w:r>
          </w:p>
        </w:tc>
        <w:tc>
          <w:tcPr>
            <w:tcW w:w="1800" w:type="dxa"/>
            <w:tcBorders>
              <w:bottom w:val="single" w:sz="4" w:space="0" w:color="auto"/>
            </w:tcBorders>
            <w:vAlign w:val="bottom"/>
          </w:tcPr>
          <w:p w:rsidR="002C25E9" w:rsidRPr="00521834" w:rsidP="009857A9" w14:paraId="42BC636D" w14:textId="65C72CD8">
            <w:pPr>
              <w:jc w:val="right"/>
              <w:rPr>
                <w:sz w:val="24"/>
                <w:szCs w:val="24"/>
              </w:rPr>
            </w:pPr>
            <w:r>
              <w:rPr>
                <w:sz w:val="24"/>
                <w:szCs w:val="24"/>
              </w:rPr>
              <w:t>$</w:t>
            </w:r>
            <w:r w:rsidRPr="00521834" w:rsidR="00A13217">
              <w:rPr>
                <w:sz w:val="24"/>
                <w:szCs w:val="24"/>
              </w:rPr>
              <w:t>454,581</w:t>
            </w:r>
          </w:p>
        </w:tc>
      </w:tr>
      <w:tr w14:paraId="405EEC5C" w14:textId="0E333522" w:rsidTr="00AB3C95">
        <w:tblPrEx>
          <w:tblW w:w="7987" w:type="dxa"/>
          <w:tblInd w:w="108" w:type="dxa"/>
          <w:tblLayout w:type="fixed"/>
          <w:tblLook w:val="04A0"/>
        </w:tblPrEx>
        <w:tc>
          <w:tcPr>
            <w:tcW w:w="1507" w:type="dxa"/>
            <w:vAlign w:val="center"/>
          </w:tcPr>
          <w:p w:rsidR="002C25E9" w:rsidRPr="00521834" w:rsidP="009857A9" w14:paraId="18A20773" w14:textId="77777777">
            <w:pPr>
              <w:rPr>
                <w:bCs/>
                <w:sz w:val="24"/>
                <w:szCs w:val="24"/>
              </w:rPr>
            </w:pPr>
            <w:r w:rsidRPr="00521834">
              <w:rPr>
                <w:bCs/>
                <w:sz w:val="24"/>
                <w:szCs w:val="24"/>
              </w:rPr>
              <w:t>Consumer Reviewing and Signing Acknowledgement</w:t>
            </w:r>
          </w:p>
        </w:tc>
        <w:tc>
          <w:tcPr>
            <w:tcW w:w="1530" w:type="dxa"/>
            <w:vAlign w:val="bottom"/>
          </w:tcPr>
          <w:p w:rsidR="002C25E9" w:rsidRPr="00521834" w:rsidP="009857A9" w14:paraId="1B048B31" w14:textId="1653CE66">
            <w:pPr>
              <w:jc w:val="right"/>
              <w:rPr>
                <w:bCs/>
                <w:sz w:val="24"/>
                <w:szCs w:val="24"/>
              </w:rPr>
            </w:pPr>
            <w:r w:rsidRPr="00521834">
              <w:rPr>
                <w:bCs/>
                <w:sz w:val="24"/>
                <w:szCs w:val="24"/>
              </w:rPr>
              <w:t>4,000,118</w:t>
            </w:r>
          </w:p>
        </w:tc>
        <w:tc>
          <w:tcPr>
            <w:tcW w:w="1260" w:type="dxa"/>
            <w:vAlign w:val="bottom"/>
          </w:tcPr>
          <w:p w:rsidR="002C25E9" w:rsidRPr="00521834" w:rsidP="009857A9" w14:paraId="185C840F" w14:textId="2C65D292">
            <w:pPr>
              <w:jc w:val="right"/>
              <w:rPr>
                <w:bCs/>
                <w:sz w:val="24"/>
                <w:szCs w:val="24"/>
              </w:rPr>
            </w:pPr>
            <w:r w:rsidRPr="00521834">
              <w:rPr>
                <w:bCs/>
                <w:sz w:val="24"/>
                <w:szCs w:val="24"/>
              </w:rPr>
              <w:t>0.3</w:t>
            </w:r>
          </w:p>
        </w:tc>
        <w:tc>
          <w:tcPr>
            <w:tcW w:w="1890" w:type="dxa"/>
            <w:vAlign w:val="bottom"/>
          </w:tcPr>
          <w:p w:rsidR="002C25E9" w:rsidRPr="00521834" w:rsidP="009857A9" w14:paraId="30430233" w14:textId="20554CCF">
            <w:pPr>
              <w:jc w:val="right"/>
              <w:rPr>
                <w:bCs/>
                <w:sz w:val="24"/>
                <w:szCs w:val="24"/>
              </w:rPr>
            </w:pPr>
            <w:r w:rsidRPr="00521834">
              <w:rPr>
                <w:bCs/>
                <w:sz w:val="24"/>
                <w:szCs w:val="24"/>
              </w:rPr>
              <w:t>0.667</w:t>
            </w:r>
          </w:p>
        </w:tc>
        <w:tc>
          <w:tcPr>
            <w:tcW w:w="1800" w:type="dxa"/>
            <w:vAlign w:val="bottom"/>
          </w:tcPr>
          <w:p w:rsidR="002C25E9" w:rsidRPr="00521834" w:rsidP="009857A9" w14:paraId="15B834B3" w14:textId="198383F4">
            <w:pPr>
              <w:jc w:val="right"/>
              <w:rPr>
                <w:bCs/>
                <w:sz w:val="24"/>
                <w:szCs w:val="24"/>
              </w:rPr>
            </w:pPr>
            <w:r>
              <w:rPr>
                <w:bCs/>
                <w:sz w:val="24"/>
                <w:szCs w:val="24"/>
              </w:rPr>
              <w:t>$</w:t>
            </w:r>
            <w:r w:rsidRPr="00521834" w:rsidR="00A13217">
              <w:rPr>
                <w:bCs/>
                <w:sz w:val="24"/>
                <w:szCs w:val="24"/>
              </w:rPr>
              <w:t>400,012</w:t>
            </w:r>
          </w:p>
        </w:tc>
      </w:tr>
      <w:tr w14:paraId="38B77A92" w14:textId="0600E3D6" w:rsidTr="00AB3C95">
        <w:tblPrEx>
          <w:tblW w:w="7987" w:type="dxa"/>
          <w:tblInd w:w="108" w:type="dxa"/>
          <w:tblLayout w:type="fixed"/>
          <w:tblLook w:val="04A0"/>
        </w:tblPrEx>
        <w:tc>
          <w:tcPr>
            <w:tcW w:w="1507" w:type="dxa"/>
          </w:tcPr>
          <w:p w:rsidR="002C25E9" w:rsidRPr="00521834" w:rsidP="009857A9" w14:paraId="57DEE665" w14:textId="77777777">
            <w:pPr>
              <w:rPr>
                <w:bCs/>
                <w:sz w:val="24"/>
                <w:szCs w:val="24"/>
              </w:rPr>
            </w:pPr>
            <w:r w:rsidRPr="00521834">
              <w:rPr>
                <w:b/>
                <w:sz w:val="24"/>
                <w:szCs w:val="24"/>
              </w:rPr>
              <w:t>TOTAL</w:t>
            </w:r>
          </w:p>
        </w:tc>
        <w:tc>
          <w:tcPr>
            <w:tcW w:w="1530" w:type="dxa"/>
            <w:vAlign w:val="bottom"/>
          </w:tcPr>
          <w:p w:rsidR="002C25E9" w:rsidRPr="00521834" w:rsidP="009857A9" w14:paraId="1D39A0F0" w14:textId="4840F051">
            <w:pPr>
              <w:jc w:val="right"/>
              <w:rPr>
                <w:bCs/>
                <w:sz w:val="24"/>
                <w:szCs w:val="24"/>
              </w:rPr>
            </w:pPr>
            <w:r w:rsidRPr="00521834">
              <w:rPr>
                <w:bCs/>
                <w:sz w:val="24"/>
                <w:szCs w:val="24"/>
              </w:rPr>
              <w:t>8,545,927</w:t>
            </w:r>
          </w:p>
        </w:tc>
        <w:tc>
          <w:tcPr>
            <w:tcW w:w="1260" w:type="dxa"/>
            <w:shd w:val="clear" w:color="auto" w:fill="D9D9D9" w:themeFill="background1" w:themeFillShade="D9"/>
            <w:vAlign w:val="bottom"/>
          </w:tcPr>
          <w:p w:rsidR="002C25E9" w:rsidRPr="00521834" w:rsidP="009857A9" w14:paraId="46DFCE69" w14:textId="77777777">
            <w:pPr>
              <w:jc w:val="right"/>
              <w:rPr>
                <w:bCs/>
                <w:sz w:val="24"/>
                <w:szCs w:val="24"/>
              </w:rPr>
            </w:pPr>
          </w:p>
        </w:tc>
        <w:tc>
          <w:tcPr>
            <w:tcW w:w="1890" w:type="dxa"/>
            <w:shd w:val="clear" w:color="auto" w:fill="D9D9D9" w:themeFill="background1" w:themeFillShade="D9"/>
            <w:vAlign w:val="bottom"/>
          </w:tcPr>
          <w:p w:rsidR="002C25E9" w:rsidRPr="00521834" w:rsidP="009857A9" w14:paraId="12FE66F7" w14:textId="7E5041CB">
            <w:pPr>
              <w:jc w:val="right"/>
              <w:rPr>
                <w:bCs/>
                <w:sz w:val="24"/>
                <w:szCs w:val="24"/>
              </w:rPr>
            </w:pPr>
          </w:p>
        </w:tc>
        <w:tc>
          <w:tcPr>
            <w:tcW w:w="1800" w:type="dxa"/>
            <w:shd w:val="clear" w:color="auto" w:fill="FFFFFF" w:themeFill="background1"/>
            <w:vAlign w:val="bottom"/>
          </w:tcPr>
          <w:p w:rsidR="002C25E9" w:rsidRPr="00521834" w:rsidP="009857A9" w14:paraId="44C0DCE2" w14:textId="6569E24F">
            <w:pPr>
              <w:jc w:val="right"/>
              <w:rPr>
                <w:bCs/>
                <w:sz w:val="24"/>
                <w:szCs w:val="24"/>
              </w:rPr>
            </w:pPr>
            <w:r>
              <w:rPr>
                <w:bCs/>
                <w:sz w:val="24"/>
                <w:szCs w:val="24"/>
              </w:rPr>
              <w:t>$</w:t>
            </w:r>
            <w:r w:rsidRPr="00521834" w:rsidR="00A13217">
              <w:rPr>
                <w:bCs/>
                <w:sz w:val="24"/>
                <w:szCs w:val="24"/>
              </w:rPr>
              <w:t>854,5</w:t>
            </w:r>
            <w:r w:rsidRPr="00521834" w:rsidR="00A54AC0">
              <w:rPr>
                <w:bCs/>
                <w:sz w:val="24"/>
                <w:szCs w:val="24"/>
              </w:rPr>
              <w:t>9</w:t>
            </w:r>
            <w:r w:rsidRPr="00521834" w:rsidR="00A13217">
              <w:rPr>
                <w:bCs/>
                <w:sz w:val="24"/>
                <w:szCs w:val="24"/>
              </w:rPr>
              <w:t>3</w:t>
            </w:r>
          </w:p>
        </w:tc>
      </w:tr>
    </w:tbl>
    <w:p w:rsidR="00A133F2" w:rsidRPr="00521834" w:rsidP="00A133F2" w14:paraId="3F6E6243" w14:textId="35C89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C6388" w:rsidRPr="00521834" w:rsidP="00A133F2" w14:paraId="6B700A6F" w14:textId="2A1BD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834">
        <w:rPr>
          <w:sz w:val="24"/>
          <w:szCs w:val="24"/>
        </w:rPr>
        <w:t xml:space="preserve">The above calculations take into account both the Bureau’s share of the total notices and statements sent out within a year, as well as the amount of these notices that are sent electronically, and therefore have no printing and mailing cost. </w:t>
      </w:r>
      <w:r w:rsidR="003A7148">
        <w:rPr>
          <w:sz w:val="24"/>
          <w:szCs w:val="24"/>
        </w:rPr>
        <w:t xml:space="preserve"> </w:t>
      </w:r>
      <w:r w:rsidRPr="00521834">
        <w:rPr>
          <w:sz w:val="24"/>
          <w:szCs w:val="24"/>
        </w:rPr>
        <w:t>The materials costs were based on bulk mailing rates from the USPS as well as bulk costs of paper and envelopes.</w:t>
      </w:r>
    </w:p>
    <w:p w:rsidR="000C6388" w:rsidRPr="00521834" w:rsidP="00A133F2" w14:paraId="00DD3D3F" w14:textId="42834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60E8" w:rsidRPr="00521834"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21834">
        <w:rPr>
          <w:b/>
          <w:sz w:val="24"/>
          <w:szCs w:val="24"/>
        </w:rPr>
        <w:t xml:space="preserve">14.  </w:t>
      </w:r>
      <w:r w:rsidRPr="00521834">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21834">
        <w:rPr>
          <w:sz w:val="24"/>
          <w:szCs w:val="24"/>
        </w:rPr>
        <w:t xml:space="preserve"> </w:t>
      </w:r>
      <w:r w:rsidRPr="00521834">
        <w:rPr>
          <w:b/>
          <w:bCs/>
          <w:sz w:val="24"/>
          <w:szCs w:val="24"/>
        </w:rPr>
        <w:t>without this collection of information.  Agencies also may aggregate cost estimates from Items 12, 13, and 14 into a single table.</w:t>
      </w:r>
    </w:p>
    <w:p w:rsidR="005F1FFC" w:rsidRPr="00521834" w:rsidP="005F1FFC" w14:paraId="0A689257" w14:textId="77777777">
      <w:pPr>
        <w:ind w:left="720"/>
        <w:rPr>
          <w:sz w:val="24"/>
          <w:szCs w:val="24"/>
        </w:rPr>
      </w:pPr>
    </w:p>
    <w:p w:rsidR="00A93967" w:rsidRPr="00521834" w:rsidP="00A133F2" w14:paraId="28539FB8" w14:textId="2AE313B0">
      <w:pPr>
        <w:rPr>
          <w:sz w:val="24"/>
          <w:szCs w:val="24"/>
        </w:rPr>
      </w:pPr>
      <w:r w:rsidRPr="00521834">
        <w:rPr>
          <w:sz w:val="24"/>
          <w:szCs w:val="24"/>
        </w:rPr>
        <w:t xml:space="preserve">The Bureau does not incur any new or unique costs as a result of this information collection.  </w:t>
      </w:r>
    </w:p>
    <w:p w:rsidR="00A133F2" w:rsidRPr="00521834" w:rsidP="00A133F2" w14:paraId="6645BCBE" w14:textId="77777777">
      <w:pPr>
        <w:rPr>
          <w:sz w:val="24"/>
          <w:szCs w:val="24"/>
        </w:rPr>
      </w:pPr>
    </w:p>
    <w:p w:rsidR="00F660E8" w:rsidRPr="00521834" w:rsidP="00F660E8" w14:paraId="2B232019" w14:textId="77777777">
      <w:pPr>
        <w:rPr>
          <w:b/>
          <w:sz w:val="24"/>
          <w:szCs w:val="24"/>
        </w:rPr>
      </w:pPr>
      <w:r w:rsidRPr="00521834">
        <w:rPr>
          <w:b/>
          <w:sz w:val="24"/>
          <w:szCs w:val="24"/>
        </w:rPr>
        <w:t xml:space="preserve">15.  </w:t>
      </w:r>
      <w:r w:rsidRPr="00521834">
        <w:rPr>
          <w:b/>
          <w:bCs/>
          <w:sz w:val="24"/>
          <w:szCs w:val="24"/>
        </w:rPr>
        <w:t>Explain the reasons for any program changes or adjustments.</w:t>
      </w:r>
    </w:p>
    <w:p w:rsidR="005F1FFC" w:rsidRPr="00521834" w:rsidP="005F1FFC" w14:paraId="7D933924" w14:textId="77777777">
      <w:pPr>
        <w:numPr>
          <w:ilvl w:val="12"/>
          <w:numId w:val="0"/>
        </w:numPr>
        <w:rPr>
          <w:sz w:val="24"/>
          <w:szCs w:val="24"/>
        </w:rPr>
      </w:pPr>
    </w:p>
    <w:p w:rsidR="00A93967" w:rsidRPr="00521834" w:rsidP="00253FF0" w14:paraId="52F188B0" w14:textId="587F350B">
      <w:pPr>
        <w:rPr>
          <w:sz w:val="24"/>
          <w:szCs w:val="24"/>
        </w:rPr>
      </w:pPr>
      <w:r w:rsidRPr="00521834">
        <w:rPr>
          <w:sz w:val="24"/>
          <w:szCs w:val="24"/>
        </w:rPr>
        <w:t xml:space="preserve">The </w:t>
      </w:r>
      <w:r w:rsidRPr="00521834" w:rsidR="00D50D0A">
        <w:rPr>
          <w:sz w:val="24"/>
          <w:szCs w:val="24"/>
        </w:rPr>
        <w:t>Bureau is making no program changes or adjustments in this extension request.  Any changes to the number of annual responses and related burden are due to more recent, representative data.</w:t>
      </w:r>
      <w:r w:rsidR="00B474F5">
        <w:rPr>
          <w:sz w:val="24"/>
          <w:szCs w:val="24"/>
        </w:rPr>
        <w:t xml:space="preserve"> </w:t>
      </w:r>
      <w:r w:rsidR="00C15E08">
        <w:rPr>
          <w:sz w:val="24"/>
          <w:szCs w:val="24"/>
        </w:rPr>
        <w:t xml:space="preserve"> In particular, </w:t>
      </w:r>
      <w:r w:rsidR="0055372B">
        <w:rPr>
          <w:sz w:val="24"/>
          <w:szCs w:val="24"/>
        </w:rPr>
        <w:t xml:space="preserve">the Bureau </w:t>
      </w:r>
      <w:r w:rsidR="00C15E08">
        <w:rPr>
          <w:sz w:val="24"/>
          <w:szCs w:val="24"/>
        </w:rPr>
        <w:t>updated mean wage data.</w:t>
      </w:r>
    </w:p>
    <w:p w:rsidR="00FE5C11" w:rsidRPr="00521834" w:rsidP="00253FF0" w14:paraId="2D8047AE" w14:textId="77777777">
      <w:pPr>
        <w:rPr>
          <w:sz w:val="24"/>
          <w:szCs w:val="24"/>
        </w:rPr>
      </w:pPr>
    </w:p>
    <w:p w:rsidR="00F660E8" w:rsidRPr="00521834" w:rsidP="00F660E8" w14:paraId="1715AB5F" w14:textId="77777777">
      <w:pPr>
        <w:rPr>
          <w:b/>
          <w:sz w:val="24"/>
          <w:szCs w:val="24"/>
        </w:rPr>
      </w:pPr>
      <w:r w:rsidRPr="00521834">
        <w:rPr>
          <w:b/>
          <w:sz w:val="24"/>
          <w:szCs w:val="24"/>
        </w:rPr>
        <w:t>16.  F</w:t>
      </w:r>
      <w:r w:rsidRPr="00521834">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521834">
        <w:rPr>
          <w:sz w:val="24"/>
          <w:szCs w:val="24"/>
        </w:rPr>
        <w:t>.</w:t>
      </w:r>
    </w:p>
    <w:p w:rsidR="005F1FFC" w:rsidRPr="00521834" w:rsidP="005F1FFC" w14:paraId="3C07C2B3" w14:textId="6C330DCB">
      <w:pPr>
        <w:rPr>
          <w:sz w:val="24"/>
          <w:szCs w:val="24"/>
        </w:rPr>
      </w:pPr>
      <w:r w:rsidRPr="00521834">
        <w:rPr>
          <w:sz w:val="24"/>
          <w:szCs w:val="24"/>
        </w:rPr>
        <w:t xml:space="preserve">  </w:t>
      </w:r>
    </w:p>
    <w:p w:rsidR="000A3145" w:rsidRPr="00521834" w:rsidP="005F1FFC" w14:paraId="7DA50ED7" w14:textId="3102B0F4">
      <w:pPr>
        <w:rPr>
          <w:sz w:val="24"/>
          <w:szCs w:val="24"/>
        </w:rPr>
      </w:pPr>
      <w:r w:rsidRPr="00521834">
        <w:rPr>
          <w:sz w:val="24"/>
          <w:szCs w:val="24"/>
        </w:rPr>
        <w:t>The information will not be published.</w:t>
      </w:r>
    </w:p>
    <w:p w:rsidR="005F1FFC" w:rsidRPr="00521834" w:rsidP="005F1FFC" w14:paraId="77B89593" w14:textId="77777777">
      <w:pPr>
        <w:rPr>
          <w:sz w:val="24"/>
          <w:szCs w:val="24"/>
        </w:rPr>
      </w:pPr>
    </w:p>
    <w:p w:rsidR="00F660E8" w:rsidRPr="00521834" w:rsidP="00F660E8" w14:paraId="7F4F1EB6" w14:textId="77777777">
      <w:pPr>
        <w:rPr>
          <w:b/>
          <w:sz w:val="24"/>
          <w:szCs w:val="24"/>
        </w:rPr>
      </w:pPr>
      <w:r w:rsidRPr="00521834">
        <w:rPr>
          <w:b/>
          <w:sz w:val="24"/>
          <w:szCs w:val="24"/>
        </w:rPr>
        <w:t>17.  I</w:t>
      </w:r>
      <w:r w:rsidRPr="00521834">
        <w:rPr>
          <w:b/>
          <w:bCs/>
          <w:sz w:val="24"/>
          <w:szCs w:val="24"/>
        </w:rPr>
        <w:t>f seeking approval to not display the expiration date for OMB approval of the information collection, explain the reasons that display would be inappropriate</w:t>
      </w:r>
      <w:r w:rsidRPr="00521834">
        <w:rPr>
          <w:b/>
          <w:sz w:val="24"/>
          <w:szCs w:val="24"/>
        </w:rPr>
        <w:t>.</w:t>
      </w:r>
    </w:p>
    <w:p w:rsidR="005F1FFC" w:rsidRPr="00521834" w:rsidP="005F1FFC" w14:paraId="195A2521" w14:textId="77777777">
      <w:pPr>
        <w:rPr>
          <w:sz w:val="24"/>
          <w:szCs w:val="24"/>
        </w:rPr>
      </w:pPr>
    </w:p>
    <w:p w:rsidR="00791AC9" w:rsidRPr="00521834" w:rsidP="005F1FFC" w14:paraId="2449748D" w14:textId="6D479B82">
      <w:pPr>
        <w:rPr>
          <w:sz w:val="24"/>
          <w:szCs w:val="24"/>
        </w:rPr>
      </w:pPr>
      <w:r w:rsidRPr="00521834">
        <w:rPr>
          <w:sz w:val="24"/>
          <w:szCs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521834">
          <w:rPr>
            <w:rStyle w:val="Hyperlink"/>
            <w:sz w:val="24"/>
            <w:szCs w:val="24"/>
          </w:rPr>
          <w:t>www.reginfo.gov</w:t>
        </w:r>
      </w:hyperlink>
      <w:r w:rsidRPr="00521834">
        <w:rPr>
          <w:sz w:val="24"/>
          <w:szCs w:val="24"/>
        </w:rPr>
        <w:t xml:space="preserve"> (</w:t>
      </w:r>
      <w:hyperlink r:id="rId11" w:history="1">
        <w:r w:rsidRPr="00521834">
          <w:rPr>
            <w:rStyle w:val="Hyperlink"/>
            <w:sz w:val="24"/>
            <w:szCs w:val="24"/>
          </w:rPr>
          <w:t>https://www.reginfo.gov/public/do/PRAMain</w:t>
        </w:r>
      </w:hyperlink>
      <w:r w:rsidRPr="00521834">
        <w:rPr>
          <w:sz w:val="24"/>
          <w:szCs w:val="24"/>
        </w:rPr>
        <w:t>).</w:t>
      </w:r>
    </w:p>
    <w:p w:rsidR="00A93967" w:rsidRPr="00521834" w:rsidP="003E083F" w14:paraId="58CE7FA0" w14:textId="77777777">
      <w:pPr>
        <w:rPr>
          <w:sz w:val="24"/>
          <w:szCs w:val="24"/>
        </w:rPr>
      </w:pPr>
    </w:p>
    <w:p w:rsidR="00F660E8" w:rsidRPr="00521834" w:rsidP="00F660E8" w14:paraId="0503086D" w14:textId="77777777">
      <w:pPr>
        <w:rPr>
          <w:b/>
          <w:sz w:val="24"/>
          <w:szCs w:val="24"/>
        </w:rPr>
      </w:pPr>
      <w:r w:rsidRPr="00521834">
        <w:rPr>
          <w:b/>
          <w:sz w:val="24"/>
          <w:szCs w:val="24"/>
        </w:rPr>
        <w:t>18.  Explain each exception to the certification statement.</w:t>
      </w:r>
    </w:p>
    <w:p w:rsidR="005F1FFC" w:rsidRPr="00521834" w:rsidP="005F1FFC" w14:paraId="6066F545" w14:textId="77777777">
      <w:pPr>
        <w:pStyle w:val="BodyText"/>
        <w:rPr>
          <w:szCs w:val="24"/>
        </w:rPr>
      </w:pPr>
    </w:p>
    <w:p w:rsidR="00CA6DAB" w:rsidRPr="00521834" w:rsidP="00A0364C" w14:paraId="235F0EA3" w14:textId="130F97E8">
      <w:pPr>
        <w:rPr>
          <w:sz w:val="24"/>
          <w:szCs w:val="24"/>
        </w:rPr>
      </w:pPr>
      <w:r w:rsidRPr="00521834">
        <w:rPr>
          <w:sz w:val="24"/>
          <w:szCs w:val="24"/>
        </w:rPr>
        <w:t>The Bureau certifies that this collection of information is consistent with the requirements of 5 CFR 1320.9, and the related provisions of 5 CFR 1320.8(b)(3) and is not seeking an exemption to these certification requirements.</w:t>
      </w:r>
    </w:p>
    <w:p w:rsidR="000A3145" w:rsidRPr="00521834" w:rsidP="00A0364C" w14:paraId="5843626A" w14:textId="2C23731F">
      <w:pPr>
        <w:rPr>
          <w:sz w:val="24"/>
          <w:szCs w:val="24"/>
        </w:rPr>
      </w:pPr>
    </w:p>
    <w:p w:rsidR="000A3145" w:rsidRPr="00521834" w:rsidP="000A3145" w14:paraId="2758E3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21834">
        <w:rPr>
          <w:b/>
          <w:sz w:val="24"/>
          <w:szCs w:val="24"/>
        </w:rPr>
        <w:t>PART B – COLLECTIONS OF INFORMATION USING STATISTICAL METHODS</w:t>
      </w:r>
    </w:p>
    <w:p w:rsidR="000A3145" w:rsidRPr="00521834" w:rsidP="000A3145" w14:paraId="1826C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3145" w:rsidRPr="00521834" w:rsidP="000A3145" w14:paraId="21CEAA0E" w14:textId="431E45C1">
      <w:pPr>
        <w:pStyle w:val="NoSpacing"/>
        <w:rPr>
          <w:sz w:val="24"/>
        </w:rPr>
      </w:pPr>
      <w:r w:rsidRPr="00521834">
        <w:rPr>
          <w:sz w:val="24"/>
        </w:rPr>
        <w:t xml:space="preserve">Not applicable. </w:t>
      </w:r>
      <w:r w:rsidR="00B474F5">
        <w:rPr>
          <w:sz w:val="24"/>
        </w:rPr>
        <w:t xml:space="preserve"> </w:t>
      </w:r>
      <w:r w:rsidRPr="00521834">
        <w:rPr>
          <w:sz w:val="24"/>
        </w:rPr>
        <w:t>The information collections contained in 12 CFR 10</w:t>
      </w:r>
      <w:r w:rsidR="00CD142A">
        <w:rPr>
          <w:sz w:val="24"/>
        </w:rPr>
        <w:t>30</w:t>
      </w:r>
      <w:r w:rsidRPr="00521834">
        <w:rPr>
          <w:sz w:val="24"/>
        </w:rPr>
        <w:t xml:space="preserve"> do not involve the use of statistical methods.</w:t>
      </w:r>
    </w:p>
    <w:p w:rsidR="000A3145" w:rsidRPr="00521834" w:rsidP="00A0364C" w14:paraId="67043457" w14:textId="77777777">
      <w:pPr>
        <w:rPr>
          <w:sz w:val="24"/>
          <w:szCs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7624" w:rsidP="0079547E" w14:paraId="264A04FC" w14:textId="77777777">
      <w:r>
        <w:separator/>
      </w:r>
    </w:p>
  </w:footnote>
  <w:footnote w:type="continuationSeparator" w:id="1">
    <w:p w:rsidR="00DE7624" w:rsidP="0079547E" w14:paraId="2EF52AA0" w14:textId="77777777">
      <w:r>
        <w:continuationSeparator/>
      </w:r>
    </w:p>
  </w:footnote>
  <w:footnote w:type="continuationNotice" w:id="2">
    <w:p w:rsidR="00DE7624" w14:paraId="1F14B391" w14:textId="77777777"/>
  </w:footnote>
  <w:footnote w:id="3">
    <w:p w:rsidR="00593D11" w:rsidRPr="00521834" w14:paraId="5A907B28" w14:textId="792817F8">
      <w:pPr>
        <w:pStyle w:val="FootnoteText"/>
      </w:pPr>
      <w:r w:rsidRPr="00521834">
        <w:rPr>
          <w:rStyle w:val="FootnoteReference"/>
        </w:rPr>
        <w:footnoteRef/>
      </w:r>
      <w:r w:rsidRPr="00521834">
        <w:t xml:space="preserve"> 12 U.S.C. 4301 et seq.</w:t>
      </w:r>
    </w:p>
  </w:footnote>
  <w:footnote w:id="4">
    <w:p w:rsidR="009E2354" w:rsidRPr="00521834" w14:paraId="153A410D" w14:textId="619E0752">
      <w:pPr>
        <w:pStyle w:val="FootnoteText"/>
      </w:pPr>
      <w:r w:rsidRPr="00521834">
        <w:rPr>
          <w:rStyle w:val="FootnoteReference"/>
        </w:rPr>
        <w:footnoteRef/>
      </w:r>
      <w:r w:rsidRPr="00521834">
        <w:t xml:space="preserve"> Pub. L. 111–203, Sec. 1100B.</w:t>
      </w:r>
    </w:p>
  </w:footnote>
  <w:footnote w:id="5">
    <w:p w:rsidR="00CE414B" w:rsidRPr="00521834" w14:paraId="086402F1" w14:textId="0FD83CCE">
      <w:pPr>
        <w:pStyle w:val="FootnoteText"/>
      </w:pPr>
      <w:r w:rsidRPr="00521834">
        <w:rPr>
          <w:rStyle w:val="FootnoteReference"/>
        </w:rPr>
        <w:footnoteRef/>
      </w:r>
      <w:r w:rsidRPr="00521834">
        <w:t xml:space="preserve"> 12 CFR Part 1005.</w:t>
      </w:r>
    </w:p>
  </w:footnote>
  <w:footnote w:id="6">
    <w:p w:rsidR="00EE7322" w:rsidRPr="00521834" w14:paraId="4384E61D" w14:textId="13BD3CA1">
      <w:pPr>
        <w:pStyle w:val="FootnoteText"/>
      </w:pPr>
      <w:r w:rsidRPr="00521834">
        <w:rPr>
          <w:rStyle w:val="FootnoteReference"/>
        </w:rPr>
        <w:footnoteRef/>
      </w:r>
      <w:r w:rsidRPr="00521834">
        <w:t xml:space="preserve"> </w:t>
      </w:r>
      <w:r w:rsidRPr="00521834">
        <w:rPr>
          <w:bCs/>
        </w:rPr>
        <w:t>15 U.S.C. 7001 et seq. 12 CFR 1030.3(a).</w:t>
      </w:r>
    </w:p>
  </w:footnote>
  <w:footnote w:id="7">
    <w:p w:rsidR="00EE7322" w:rsidRPr="00521834" w14:paraId="12272B9C" w14:textId="14D076AA">
      <w:pPr>
        <w:pStyle w:val="FootnoteText"/>
      </w:pPr>
      <w:r w:rsidRPr="00521834">
        <w:rPr>
          <w:rStyle w:val="FootnoteReference"/>
        </w:rPr>
        <w:footnoteRef/>
      </w:r>
      <w:r w:rsidRPr="00521834">
        <w:t xml:space="preserve"> </w:t>
      </w:r>
      <w:r w:rsidRPr="00521834">
        <w:rPr>
          <w:bCs/>
        </w:rPr>
        <w:t>Title XVII of Pub. L. 105-277, codified at 44 U.S.C. 3504.</w:t>
      </w:r>
    </w:p>
  </w:footnote>
  <w:footnote w:id="8">
    <w:p w:rsidR="00BC56A2" w:rsidRPr="00521834" w14:paraId="1F586CAA" w14:textId="02B3B9D3">
      <w:pPr>
        <w:pStyle w:val="FootnoteText"/>
      </w:pPr>
      <w:r w:rsidRPr="00521834">
        <w:rPr>
          <w:rStyle w:val="FootnoteReference"/>
        </w:rPr>
        <w:footnoteRef/>
      </w:r>
      <w:r w:rsidRPr="00521834">
        <w:t xml:space="preserve"> </w:t>
      </w:r>
      <w:r w:rsidR="009C3BB9">
        <w:t>90 FR 57185 (published on 12/10/2025</w:t>
      </w:r>
      <w:r w:rsidRPr="00521834">
        <w:t>)</w:t>
      </w:r>
      <w:r w:rsidRPr="00521834" w:rsidR="009D7886">
        <w:t>.</w:t>
      </w:r>
    </w:p>
  </w:footnote>
  <w:footnote w:id="9">
    <w:p w:rsidR="009D7886" w:rsidRPr="00521834" w14:paraId="1530F2D0" w14:textId="597D9320">
      <w:pPr>
        <w:pStyle w:val="FootnoteText"/>
      </w:pPr>
      <w:r w:rsidRPr="00521834">
        <w:rPr>
          <w:rStyle w:val="FootnoteReference"/>
        </w:rPr>
        <w:footnoteRef/>
      </w:r>
      <w:r w:rsidRPr="00521834">
        <w:t xml:space="preserve"> </w:t>
      </w:r>
      <w:r w:rsidR="00F26BCF">
        <w:t>9</w:t>
      </w:r>
      <w:r w:rsidR="0055372B">
        <w:t>1</w:t>
      </w:r>
      <w:r w:rsidRPr="00521834">
        <w:t xml:space="preserve"> FR</w:t>
      </w:r>
      <w:r w:rsidR="0055372B">
        <w:t xml:space="preserve"> 8844</w:t>
      </w:r>
      <w:r w:rsidRPr="00521834" w:rsidR="001650D5">
        <w:t xml:space="preserve"> </w:t>
      </w:r>
      <w:r w:rsidRPr="00521834">
        <w:t xml:space="preserve">(published on </w:t>
      </w:r>
      <w:r w:rsidR="0055372B">
        <w:t>2/24/2026</w:t>
      </w:r>
      <w:r w:rsidRPr="00521834">
        <w:t xml:space="preserve">; comment period ends on </w:t>
      </w:r>
      <w:r w:rsidR="0055372B">
        <w:t>3/26/2024</w:t>
      </w:r>
      <w:r w:rsidRPr="00521834">
        <w:t>).</w:t>
      </w:r>
    </w:p>
  </w:footnote>
  <w:footnote w:id="10">
    <w:p w:rsidR="00FE5C11" w:rsidRPr="00521834" w14:paraId="12CCCA1A" w14:textId="0F08AB8C">
      <w:pPr>
        <w:pStyle w:val="FootnoteText"/>
      </w:pPr>
      <w:r w:rsidRPr="00521834">
        <w:rPr>
          <w:rStyle w:val="FootnoteReference"/>
        </w:rPr>
        <w:footnoteRef/>
      </w:r>
      <w:r w:rsidRPr="00521834">
        <w:t xml:space="preserve"> Bureau of Labor Statistics May 202</w:t>
      </w:r>
      <w:r w:rsidR="00931D36">
        <w:t>3</w:t>
      </w:r>
      <w:r w:rsidRPr="00521834">
        <w:t xml:space="preserve"> Occupational Employment and Wage Estimates </w:t>
      </w:r>
      <w:r w:rsidRPr="00196915" w:rsidR="00196915">
        <w:t>https://www.bls.gov/oes/2023/may/oes433099.htm</w:t>
      </w:r>
      <w:r w:rsidRPr="00521834">
        <w:t xml:space="preserve"> mean hourly wage for </w:t>
      </w:r>
      <w:r w:rsidR="00E54485">
        <w:t xml:space="preserve">Financial Clerks is </w:t>
      </w:r>
      <w:r w:rsidR="002D6B75">
        <w:t>$</w:t>
      </w:r>
      <w:r w:rsidR="00371029">
        <w:t>2</w:t>
      </w:r>
      <w:r w:rsidR="004A4BAA">
        <w:t>5.33</w:t>
      </w:r>
      <w:r w:rsidRPr="00521834">
        <w:t>.</w:t>
      </w:r>
    </w:p>
  </w:footnote>
  <w:footnote w:id="11">
    <w:p w:rsidR="00FE5C11" w:rsidRPr="00521834" w14:paraId="3DC1B743" w14:textId="64C09007">
      <w:pPr>
        <w:pStyle w:val="FootnoteText"/>
      </w:pPr>
      <w:r w:rsidRPr="00521834">
        <w:rPr>
          <w:rStyle w:val="FootnoteReference"/>
        </w:rPr>
        <w:footnoteRef/>
      </w:r>
      <w:r w:rsidRPr="00521834">
        <w:t xml:space="preserve"> Labor costs are rounded to the nearest hundred dollars (if less than $10,000) and nearest thousand dollars (if greater than $10,000).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7ED" w14:paraId="50B276EE" w14:textId="77777777">
    <w:pPr>
      <w:pStyle w:val="Header"/>
    </w:pPr>
    <w:r w:rsidRPr="00F957ED">
      <w:t>Truth in Savings (Regulation DD)</w:t>
    </w:r>
  </w:p>
  <w:p w:rsidR="00B35205" w14:paraId="55C694D9" w14:textId="3D03AA8B">
    <w:pPr>
      <w:pStyle w:val="Header"/>
    </w:pPr>
    <w:r>
      <w:t>OMB Control Number</w:t>
    </w:r>
    <w:r w:rsidR="004D6F7D">
      <w:t>:</w:t>
    </w:r>
    <w:r>
      <w:t xml:space="preserve"> </w:t>
    </w:r>
    <w:r w:rsidR="00E81562">
      <w:t>3170-</w:t>
    </w:r>
    <w:r w:rsidR="00A133F2">
      <w:t>00</w:t>
    </w:r>
    <w:r w:rsidR="006B66AB">
      <w:t>04</w:t>
    </w:r>
  </w:p>
  <w:p w:rsidR="00B35205" w14:paraId="3E4932DB" w14:textId="100674A3">
    <w:pPr>
      <w:pStyle w:val="Header"/>
    </w:pPr>
    <w:r>
      <w:t xml:space="preserve">OMB Expiration Date: </w:t>
    </w:r>
    <w:r w:rsidR="00051C92">
      <w:t>2/28/2026</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7A82D7C"/>
    <w:multiLevelType w:val="hybridMultilevel"/>
    <w:tmpl w:val="561E4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2">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4">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5">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AAC2654"/>
    <w:multiLevelType w:val="hybridMultilevel"/>
    <w:tmpl w:val="49B07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9">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6798090">
    <w:abstractNumId w:val="11"/>
  </w:num>
  <w:num w:numId="2" w16cid:durableId="322970440">
    <w:abstractNumId w:val="9"/>
  </w:num>
  <w:num w:numId="3" w16cid:durableId="88089006">
    <w:abstractNumId w:val="18"/>
  </w:num>
  <w:num w:numId="4" w16cid:durableId="2024162940">
    <w:abstractNumId w:val="7"/>
  </w:num>
  <w:num w:numId="5" w16cid:durableId="1912538113">
    <w:abstractNumId w:val="14"/>
  </w:num>
  <w:num w:numId="6" w16cid:durableId="329796374">
    <w:abstractNumId w:val="13"/>
  </w:num>
  <w:num w:numId="7" w16cid:durableId="130458260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64200">
    <w:abstractNumId w:val="16"/>
  </w:num>
  <w:num w:numId="9" w16cid:durableId="1464231885">
    <w:abstractNumId w:val="15"/>
  </w:num>
  <w:num w:numId="10" w16cid:durableId="58595159">
    <w:abstractNumId w:val="4"/>
  </w:num>
  <w:num w:numId="11" w16cid:durableId="1483741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175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1072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9351260">
    <w:abstractNumId w:val="5"/>
  </w:num>
  <w:num w:numId="15" w16cid:durableId="1826510782">
    <w:abstractNumId w:val="1"/>
  </w:num>
  <w:num w:numId="16" w16cid:durableId="1899003832">
    <w:abstractNumId w:val="19"/>
  </w:num>
  <w:num w:numId="17" w16cid:durableId="1407147077">
    <w:abstractNumId w:val="2"/>
  </w:num>
  <w:num w:numId="18" w16cid:durableId="1327515411">
    <w:abstractNumId w:val="6"/>
  </w:num>
  <w:num w:numId="19" w16cid:durableId="175850736">
    <w:abstractNumId w:val="3"/>
  </w:num>
  <w:num w:numId="20" w16cid:durableId="1889493712">
    <w:abstractNumId w:val="10"/>
  </w:num>
  <w:num w:numId="21" w16cid:durableId="1072510771">
    <w:abstractNumId w:val="0"/>
  </w:num>
  <w:num w:numId="22" w16cid:durableId="2047899816">
    <w:abstractNumId w:val="8"/>
  </w:num>
  <w:num w:numId="23" w16cid:durableId="1575895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26DC6"/>
    <w:rsid w:val="00032848"/>
    <w:rsid w:val="00032C14"/>
    <w:rsid w:val="00034BB8"/>
    <w:rsid w:val="00034C49"/>
    <w:rsid w:val="00035E5E"/>
    <w:rsid w:val="00040316"/>
    <w:rsid w:val="00040618"/>
    <w:rsid w:val="0004229D"/>
    <w:rsid w:val="0005070D"/>
    <w:rsid w:val="00050980"/>
    <w:rsid w:val="00050EAE"/>
    <w:rsid w:val="00051C92"/>
    <w:rsid w:val="000533A4"/>
    <w:rsid w:val="0005687E"/>
    <w:rsid w:val="00057B87"/>
    <w:rsid w:val="000611E5"/>
    <w:rsid w:val="0007006A"/>
    <w:rsid w:val="00071C66"/>
    <w:rsid w:val="000763B3"/>
    <w:rsid w:val="00077FE7"/>
    <w:rsid w:val="00080781"/>
    <w:rsid w:val="00081109"/>
    <w:rsid w:val="00082849"/>
    <w:rsid w:val="0008600F"/>
    <w:rsid w:val="00091AE1"/>
    <w:rsid w:val="00092D91"/>
    <w:rsid w:val="0009401F"/>
    <w:rsid w:val="000A0C42"/>
    <w:rsid w:val="000A3145"/>
    <w:rsid w:val="000A44E3"/>
    <w:rsid w:val="000A45ED"/>
    <w:rsid w:val="000C1729"/>
    <w:rsid w:val="000C39BD"/>
    <w:rsid w:val="000C6388"/>
    <w:rsid w:val="000D0B4D"/>
    <w:rsid w:val="000D0F16"/>
    <w:rsid w:val="000D3BF6"/>
    <w:rsid w:val="000D3E1A"/>
    <w:rsid w:val="000D74D0"/>
    <w:rsid w:val="000E71CA"/>
    <w:rsid w:val="000F0DD6"/>
    <w:rsid w:val="000F2625"/>
    <w:rsid w:val="000F5117"/>
    <w:rsid w:val="00100120"/>
    <w:rsid w:val="0011029B"/>
    <w:rsid w:val="00110F8E"/>
    <w:rsid w:val="00114350"/>
    <w:rsid w:val="00114CFA"/>
    <w:rsid w:val="001345AE"/>
    <w:rsid w:val="001346E6"/>
    <w:rsid w:val="00135A84"/>
    <w:rsid w:val="00141E34"/>
    <w:rsid w:val="00143C38"/>
    <w:rsid w:val="00143D87"/>
    <w:rsid w:val="0015481D"/>
    <w:rsid w:val="001600A6"/>
    <w:rsid w:val="00160B5E"/>
    <w:rsid w:val="00162371"/>
    <w:rsid w:val="001639C2"/>
    <w:rsid w:val="001650D5"/>
    <w:rsid w:val="00166D3B"/>
    <w:rsid w:val="00166FBE"/>
    <w:rsid w:val="00177293"/>
    <w:rsid w:val="0017730C"/>
    <w:rsid w:val="00181BCC"/>
    <w:rsid w:val="00183984"/>
    <w:rsid w:val="00187617"/>
    <w:rsid w:val="001912C5"/>
    <w:rsid w:val="00194264"/>
    <w:rsid w:val="00196915"/>
    <w:rsid w:val="001A6E06"/>
    <w:rsid w:val="001B12AF"/>
    <w:rsid w:val="001B50EB"/>
    <w:rsid w:val="001C1DAC"/>
    <w:rsid w:val="001C4457"/>
    <w:rsid w:val="001C59A8"/>
    <w:rsid w:val="001D2710"/>
    <w:rsid w:val="001D5558"/>
    <w:rsid w:val="001D69A6"/>
    <w:rsid w:val="001E418A"/>
    <w:rsid w:val="001F0989"/>
    <w:rsid w:val="002029FA"/>
    <w:rsid w:val="00204811"/>
    <w:rsid w:val="002063CD"/>
    <w:rsid w:val="00211F72"/>
    <w:rsid w:val="002153B7"/>
    <w:rsid w:val="002215EA"/>
    <w:rsid w:val="00226237"/>
    <w:rsid w:val="0022733F"/>
    <w:rsid w:val="002341FB"/>
    <w:rsid w:val="00235BD3"/>
    <w:rsid w:val="0025091D"/>
    <w:rsid w:val="00253FF0"/>
    <w:rsid w:val="00255107"/>
    <w:rsid w:val="00255877"/>
    <w:rsid w:val="00255C6E"/>
    <w:rsid w:val="00256325"/>
    <w:rsid w:val="00261585"/>
    <w:rsid w:val="0026380A"/>
    <w:rsid w:val="002678C2"/>
    <w:rsid w:val="00271151"/>
    <w:rsid w:val="00273803"/>
    <w:rsid w:val="00274CC0"/>
    <w:rsid w:val="00291808"/>
    <w:rsid w:val="00294DF4"/>
    <w:rsid w:val="0029506E"/>
    <w:rsid w:val="002A363B"/>
    <w:rsid w:val="002B0AB2"/>
    <w:rsid w:val="002B2815"/>
    <w:rsid w:val="002B341A"/>
    <w:rsid w:val="002B7179"/>
    <w:rsid w:val="002B7700"/>
    <w:rsid w:val="002C126F"/>
    <w:rsid w:val="002C25E9"/>
    <w:rsid w:val="002C5F25"/>
    <w:rsid w:val="002C689E"/>
    <w:rsid w:val="002C6BC6"/>
    <w:rsid w:val="002D1431"/>
    <w:rsid w:val="002D19AD"/>
    <w:rsid w:val="002D2C81"/>
    <w:rsid w:val="002D5173"/>
    <w:rsid w:val="002D6B75"/>
    <w:rsid w:val="002D789D"/>
    <w:rsid w:val="002E0E6B"/>
    <w:rsid w:val="002E61DD"/>
    <w:rsid w:val="002E65EF"/>
    <w:rsid w:val="002E6EAD"/>
    <w:rsid w:val="002E7B73"/>
    <w:rsid w:val="002F17DC"/>
    <w:rsid w:val="002F4F70"/>
    <w:rsid w:val="002F60BF"/>
    <w:rsid w:val="00300E84"/>
    <w:rsid w:val="00302B1C"/>
    <w:rsid w:val="0030678D"/>
    <w:rsid w:val="00307522"/>
    <w:rsid w:val="00307D46"/>
    <w:rsid w:val="003105AC"/>
    <w:rsid w:val="00312C7C"/>
    <w:rsid w:val="003161D3"/>
    <w:rsid w:val="00316F7F"/>
    <w:rsid w:val="00316FE0"/>
    <w:rsid w:val="003225D2"/>
    <w:rsid w:val="003252C5"/>
    <w:rsid w:val="00327A0B"/>
    <w:rsid w:val="00334DC3"/>
    <w:rsid w:val="0033632B"/>
    <w:rsid w:val="003372E9"/>
    <w:rsid w:val="00340510"/>
    <w:rsid w:val="003427C8"/>
    <w:rsid w:val="0034493D"/>
    <w:rsid w:val="00345720"/>
    <w:rsid w:val="003460BD"/>
    <w:rsid w:val="003560DF"/>
    <w:rsid w:val="0036198E"/>
    <w:rsid w:val="00366EAF"/>
    <w:rsid w:val="00367CCD"/>
    <w:rsid w:val="00371029"/>
    <w:rsid w:val="0038607F"/>
    <w:rsid w:val="0038749E"/>
    <w:rsid w:val="00393C99"/>
    <w:rsid w:val="0039571C"/>
    <w:rsid w:val="00397244"/>
    <w:rsid w:val="003975C5"/>
    <w:rsid w:val="003A1CBC"/>
    <w:rsid w:val="003A3550"/>
    <w:rsid w:val="003A66A4"/>
    <w:rsid w:val="003A7148"/>
    <w:rsid w:val="003B3236"/>
    <w:rsid w:val="003B4917"/>
    <w:rsid w:val="003C0B2B"/>
    <w:rsid w:val="003C24C6"/>
    <w:rsid w:val="003C30A7"/>
    <w:rsid w:val="003C4F2E"/>
    <w:rsid w:val="003D0787"/>
    <w:rsid w:val="003D1A46"/>
    <w:rsid w:val="003D3ED3"/>
    <w:rsid w:val="003D6C6B"/>
    <w:rsid w:val="003D6EA7"/>
    <w:rsid w:val="003E083F"/>
    <w:rsid w:val="003E1E8C"/>
    <w:rsid w:val="003E34FA"/>
    <w:rsid w:val="003E7EEE"/>
    <w:rsid w:val="003F5F43"/>
    <w:rsid w:val="00404A9F"/>
    <w:rsid w:val="0040662A"/>
    <w:rsid w:val="00406EA3"/>
    <w:rsid w:val="00426D4F"/>
    <w:rsid w:val="00427149"/>
    <w:rsid w:val="004318BF"/>
    <w:rsid w:val="00433D35"/>
    <w:rsid w:val="004342CA"/>
    <w:rsid w:val="004373CA"/>
    <w:rsid w:val="00441BED"/>
    <w:rsid w:val="004460F3"/>
    <w:rsid w:val="00453666"/>
    <w:rsid w:val="00473ADB"/>
    <w:rsid w:val="0047444F"/>
    <w:rsid w:val="00475305"/>
    <w:rsid w:val="00477376"/>
    <w:rsid w:val="00481A62"/>
    <w:rsid w:val="00483990"/>
    <w:rsid w:val="00486C34"/>
    <w:rsid w:val="00487A05"/>
    <w:rsid w:val="004955EB"/>
    <w:rsid w:val="0049767C"/>
    <w:rsid w:val="004A0C5F"/>
    <w:rsid w:val="004A4450"/>
    <w:rsid w:val="004A4BAA"/>
    <w:rsid w:val="004A5D8F"/>
    <w:rsid w:val="004A7DC4"/>
    <w:rsid w:val="004B2B87"/>
    <w:rsid w:val="004B45A2"/>
    <w:rsid w:val="004B7532"/>
    <w:rsid w:val="004B79B4"/>
    <w:rsid w:val="004C0E57"/>
    <w:rsid w:val="004C32C1"/>
    <w:rsid w:val="004C77CB"/>
    <w:rsid w:val="004D6369"/>
    <w:rsid w:val="004D665B"/>
    <w:rsid w:val="004D6F7D"/>
    <w:rsid w:val="004E1F5B"/>
    <w:rsid w:val="004F0D77"/>
    <w:rsid w:val="005001D6"/>
    <w:rsid w:val="005117EC"/>
    <w:rsid w:val="00511C92"/>
    <w:rsid w:val="00513ACA"/>
    <w:rsid w:val="005148FE"/>
    <w:rsid w:val="00515575"/>
    <w:rsid w:val="0051614E"/>
    <w:rsid w:val="005168DD"/>
    <w:rsid w:val="00516CC6"/>
    <w:rsid w:val="00516FCE"/>
    <w:rsid w:val="0052153C"/>
    <w:rsid w:val="00521834"/>
    <w:rsid w:val="00521C43"/>
    <w:rsid w:val="005260AF"/>
    <w:rsid w:val="005270DF"/>
    <w:rsid w:val="00532872"/>
    <w:rsid w:val="00533076"/>
    <w:rsid w:val="005339D5"/>
    <w:rsid w:val="0053649C"/>
    <w:rsid w:val="00536912"/>
    <w:rsid w:val="0054251A"/>
    <w:rsid w:val="00542E20"/>
    <w:rsid w:val="0055372B"/>
    <w:rsid w:val="00553771"/>
    <w:rsid w:val="00561145"/>
    <w:rsid w:val="0057278C"/>
    <w:rsid w:val="00573509"/>
    <w:rsid w:val="0057551F"/>
    <w:rsid w:val="00593D11"/>
    <w:rsid w:val="00594C60"/>
    <w:rsid w:val="00595988"/>
    <w:rsid w:val="005A11EC"/>
    <w:rsid w:val="005A1AE0"/>
    <w:rsid w:val="005A6F9D"/>
    <w:rsid w:val="005B3933"/>
    <w:rsid w:val="005B6341"/>
    <w:rsid w:val="005D2B19"/>
    <w:rsid w:val="005D6DBE"/>
    <w:rsid w:val="005E5175"/>
    <w:rsid w:val="005E5917"/>
    <w:rsid w:val="005F1FFC"/>
    <w:rsid w:val="005F249F"/>
    <w:rsid w:val="005F38E4"/>
    <w:rsid w:val="005F5E6C"/>
    <w:rsid w:val="00600A9A"/>
    <w:rsid w:val="006135CA"/>
    <w:rsid w:val="006153ED"/>
    <w:rsid w:val="006213DD"/>
    <w:rsid w:val="00623624"/>
    <w:rsid w:val="0062528B"/>
    <w:rsid w:val="00625395"/>
    <w:rsid w:val="00626F36"/>
    <w:rsid w:val="00627F12"/>
    <w:rsid w:val="00634112"/>
    <w:rsid w:val="00635204"/>
    <w:rsid w:val="00636A9C"/>
    <w:rsid w:val="00637913"/>
    <w:rsid w:val="00640989"/>
    <w:rsid w:val="00641707"/>
    <w:rsid w:val="00643848"/>
    <w:rsid w:val="00650767"/>
    <w:rsid w:val="0065680E"/>
    <w:rsid w:val="00664D05"/>
    <w:rsid w:val="00665C34"/>
    <w:rsid w:val="0068349A"/>
    <w:rsid w:val="00690B79"/>
    <w:rsid w:val="006A0E97"/>
    <w:rsid w:val="006A1575"/>
    <w:rsid w:val="006A5577"/>
    <w:rsid w:val="006A5C75"/>
    <w:rsid w:val="006B53C4"/>
    <w:rsid w:val="006B66AB"/>
    <w:rsid w:val="006B7AD2"/>
    <w:rsid w:val="006C122A"/>
    <w:rsid w:val="006C4087"/>
    <w:rsid w:val="006C511F"/>
    <w:rsid w:val="006C7C21"/>
    <w:rsid w:val="006D1E8C"/>
    <w:rsid w:val="006D37FD"/>
    <w:rsid w:val="006D4E10"/>
    <w:rsid w:val="006E2197"/>
    <w:rsid w:val="006E5BFF"/>
    <w:rsid w:val="006E6951"/>
    <w:rsid w:val="006F0A01"/>
    <w:rsid w:val="006F13DD"/>
    <w:rsid w:val="006F2252"/>
    <w:rsid w:val="006F403C"/>
    <w:rsid w:val="006F7E71"/>
    <w:rsid w:val="007011FA"/>
    <w:rsid w:val="00701A74"/>
    <w:rsid w:val="0070466A"/>
    <w:rsid w:val="007059EE"/>
    <w:rsid w:val="00706218"/>
    <w:rsid w:val="00710CC5"/>
    <w:rsid w:val="00712E53"/>
    <w:rsid w:val="00715C7F"/>
    <w:rsid w:val="00727737"/>
    <w:rsid w:val="007319B7"/>
    <w:rsid w:val="00732F4F"/>
    <w:rsid w:val="00733C46"/>
    <w:rsid w:val="007355AA"/>
    <w:rsid w:val="00744ECB"/>
    <w:rsid w:val="0074629B"/>
    <w:rsid w:val="0074735F"/>
    <w:rsid w:val="00751358"/>
    <w:rsid w:val="00763D5B"/>
    <w:rsid w:val="00765C7B"/>
    <w:rsid w:val="007675DE"/>
    <w:rsid w:val="0077095A"/>
    <w:rsid w:val="007845EE"/>
    <w:rsid w:val="00791AC9"/>
    <w:rsid w:val="0079339F"/>
    <w:rsid w:val="00793479"/>
    <w:rsid w:val="0079547E"/>
    <w:rsid w:val="00797A4A"/>
    <w:rsid w:val="007A30EB"/>
    <w:rsid w:val="007A6EE8"/>
    <w:rsid w:val="007B02B9"/>
    <w:rsid w:val="007B3956"/>
    <w:rsid w:val="007C0923"/>
    <w:rsid w:val="007C326E"/>
    <w:rsid w:val="007C3C35"/>
    <w:rsid w:val="007C6A3D"/>
    <w:rsid w:val="007C7E60"/>
    <w:rsid w:val="007D3D93"/>
    <w:rsid w:val="007E4CFE"/>
    <w:rsid w:val="007E7E37"/>
    <w:rsid w:val="007F3057"/>
    <w:rsid w:val="007F35B6"/>
    <w:rsid w:val="007F4556"/>
    <w:rsid w:val="0080516D"/>
    <w:rsid w:val="00810FF4"/>
    <w:rsid w:val="0081330B"/>
    <w:rsid w:val="00814193"/>
    <w:rsid w:val="00814A95"/>
    <w:rsid w:val="00816792"/>
    <w:rsid w:val="00816AA8"/>
    <w:rsid w:val="00823FDC"/>
    <w:rsid w:val="00840744"/>
    <w:rsid w:val="00851794"/>
    <w:rsid w:val="00855E15"/>
    <w:rsid w:val="008573A2"/>
    <w:rsid w:val="008576C7"/>
    <w:rsid w:val="008671F9"/>
    <w:rsid w:val="0087170D"/>
    <w:rsid w:val="00874518"/>
    <w:rsid w:val="00875B65"/>
    <w:rsid w:val="00880B64"/>
    <w:rsid w:val="0088222A"/>
    <w:rsid w:val="00882935"/>
    <w:rsid w:val="00891F3F"/>
    <w:rsid w:val="008964E9"/>
    <w:rsid w:val="008970DC"/>
    <w:rsid w:val="008A6525"/>
    <w:rsid w:val="008A69CB"/>
    <w:rsid w:val="008B001F"/>
    <w:rsid w:val="008B2CB9"/>
    <w:rsid w:val="008B40CD"/>
    <w:rsid w:val="008B54DF"/>
    <w:rsid w:val="008B6A3C"/>
    <w:rsid w:val="008B777B"/>
    <w:rsid w:val="008C44A7"/>
    <w:rsid w:val="008C7818"/>
    <w:rsid w:val="008D3161"/>
    <w:rsid w:val="008D38AE"/>
    <w:rsid w:val="008D3940"/>
    <w:rsid w:val="008E164F"/>
    <w:rsid w:val="008E3E92"/>
    <w:rsid w:val="008E5D30"/>
    <w:rsid w:val="008E777F"/>
    <w:rsid w:val="008F4897"/>
    <w:rsid w:val="008F5FC1"/>
    <w:rsid w:val="0090025B"/>
    <w:rsid w:val="00904477"/>
    <w:rsid w:val="0091528E"/>
    <w:rsid w:val="0092092B"/>
    <w:rsid w:val="00923029"/>
    <w:rsid w:val="00931D36"/>
    <w:rsid w:val="009336CF"/>
    <w:rsid w:val="00934737"/>
    <w:rsid w:val="00954684"/>
    <w:rsid w:val="00955CDF"/>
    <w:rsid w:val="00960426"/>
    <w:rsid w:val="00963C48"/>
    <w:rsid w:val="0096415E"/>
    <w:rsid w:val="009664D0"/>
    <w:rsid w:val="00967432"/>
    <w:rsid w:val="0097154F"/>
    <w:rsid w:val="00973293"/>
    <w:rsid w:val="00977470"/>
    <w:rsid w:val="009820CA"/>
    <w:rsid w:val="009857A9"/>
    <w:rsid w:val="00990CFC"/>
    <w:rsid w:val="009936CA"/>
    <w:rsid w:val="00994943"/>
    <w:rsid w:val="00996A0D"/>
    <w:rsid w:val="009A13BD"/>
    <w:rsid w:val="009A641F"/>
    <w:rsid w:val="009A7E80"/>
    <w:rsid w:val="009B0F4F"/>
    <w:rsid w:val="009B30FA"/>
    <w:rsid w:val="009B3CA2"/>
    <w:rsid w:val="009C10E1"/>
    <w:rsid w:val="009C3BB9"/>
    <w:rsid w:val="009C5ABF"/>
    <w:rsid w:val="009C7539"/>
    <w:rsid w:val="009D195A"/>
    <w:rsid w:val="009D31BE"/>
    <w:rsid w:val="009D33D2"/>
    <w:rsid w:val="009D412E"/>
    <w:rsid w:val="009D7886"/>
    <w:rsid w:val="009E0EF0"/>
    <w:rsid w:val="009E1042"/>
    <w:rsid w:val="009E10EC"/>
    <w:rsid w:val="009E2354"/>
    <w:rsid w:val="009E47CC"/>
    <w:rsid w:val="009E4E39"/>
    <w:rsid w:val="009E76E0"/>
    <w:rsid w:val="009F0BC4"/>
    <w:rsid w:val="009F3A08"/>
    <w:rsid w:val="009F4469"/>
    <w:rsid w:val="009F49A3"/>
    <w:rsid w:val="009F6E69"/>
    <w:rsid w:val="009F7E64"/>
    <w:rsid w:val="00A0364C"/>
    <w:rsid w:val="00A0474C"/>
    <w:rsid w:val="00A06C9A"/>
    <w:rsid w:val="00A07D37"/>
    <w:rsid w:val="00A13217"/>
    <w:rsid w:val="00A133F2"/>
    <w:rsid w:val="00A13C84"/>
    <w:rsid w:val="00A156DB"/>
    <w:rsid w:val="00A30AA0"/>
    <w:rsid w:val="00A32446"/>
    <w:rsid w:val="00A34B66"/>
    <w:rsid w:val="00A358CE"/>
    <w:rsid w:val="00A36144"/>
    <w:rsid w:val="00A42ECC"/>
    <w:rsid w:val="00A4452C"/>
    <w:rsid w:val="00A47771"/>
    <w:rsid w:val="00A54AC0"/>
    <w:rsid w:val="00A55878"/>
    <w:rsid w:val="00A622E9"/>
    <w:rsid w:val="00A637BE"/>
    <w:rsid w:val="00A63D35"/>
    <w:rsid w:val="00A67A6C"/>
    <w:rsid w:val="00A71151"/>
    <w:rsid w:val="00A71CB7"/>
    <w:rsid w:val="00A74852"/>
    <w:rsid w:val="00A768BC"/>
    <w:rsid w:val="00A801B2"/>
    <w:rsid w:val="00A818AE"/>
    <w:rsid w:val="00A83ED2"/>
    <w:rsid w:val="00A84128"/>
    <w:rsid w:val="00A87CCE"/>
    <w:rsid w:val="00A9021D"/>
    <w:rsid w:val="00A90DA3"/>
    <w:rsid w:val="00A92A19"/>
    <w:rsid w:val="00A93967"/>
    <w:rsid w:val="00AA16E6"/>
    <w:rsid w:val="00AA633C"/>
    <w:rsid w:val="00AA66A0"/>
    <w:rsid w:val="00AA6EC1"/>
    <w:rsid w:val="00AB3C95"/>
    <w:rsid w:val="00AC2DFF"/>
    <w:rsid w:val="00AC507C"/>
    <w:rsid w:val="00AD0BCB"/>
    <w:rsid w:val="00AD2890"/>
    <w:rsid w:val="00AD7C75"/>
    <w:rsid w:val="00AE419F"/>
    <w:rsid w:val="00AF1678"/>
    <w:rsid w:val="00AF221D"/>
    <w:rsid w:val="00AF51D0"/>
    <w:rsid w:val="00B0041E"/>
    <w:rsid w:val="00B02624"/>
    <w:rsid w:val="00B02F1E"/>
    <w:rsid w:val="00B03988"/>
    <w:rsid w:val="00B07D28"/>
    <w:rsid w:val="00B10271"/>
    <w:rsid w:val="00B10372"/>
    <w:rsid w:val="00B11031"/>
    <w:rsid w:val="00B16815"/>
    <w:rsid w:val="00B20F76"/>
    <w:rsid w:val="00B2364B"/>
    <w:rsid w:val="00B258FB"/>
    <w:rsid w:val="00B30BA4"/>
    <w:rsid w:val="00B31A00"/>
    <w:rsid w:val="00B35205"/>
    <w:rsid w:val="00B40188"/>
    <w:rsid w:val="00B4366D"/>
    <w:rsid w:val="00B43E7B"/>
    <w:rsid w:val="00B45C2A"/>
    <w:rsid w:val="00B474F5"/>
    <w:rsid w:val="00B520AF"/>
    <w:rsid w:val="00B7194A"/>
    <w:rsid w:val="00B73469"/>
    <w:rsid w:val="00B75D84"/>
    <w:rsid w:val="00B76BED"/>
    <w:rsid w:val="00B804F3"/>
    <w:rsid w:val="00B85F31"/>
    <w:rsid w:val="00B860C7"/>
    <w:rsid w:val="00B92BDE"/>
    <w:rsid w:val="00B94E87"/>
    <w:rsid w:val="00B96C94"/>
    <w:rsid w:val="00B96DD6"/>
    <w:rsid w:val="00B974E3"/>
    <w:rsid w:val="00BA1433"/>
    <w:rsid w:val="00BA4383"/>
    <w:rsid w:val="00BA4970"/>
    <w:rsid w:val="00BB44D3"/>
    <w:rsid w:val="00BC10FD"/>
    <w:rsid w:val="00BC16BB"/>
    <w:rsid w:val="00BC2027"/>
    <w:rsid w:val="00BC3D31"/>
    <w:rsid w:val="00BC56A2"/>
    <w:rsid w:val="00BC5B56"/>
    <w:rsid w:val="00BD42E6"/>
    <w:rsid w:val="00BD440C"/>
    <w:rsid w:val="00BD596F"/>
    <w:rsid w:val="00BD5E5B"/>
    <w:rsid w:val="00BD634B"/>
    <w:rsid w:val="00BD789B"/>
    <w:rsid w:val="00BD7D0B"/>
    <w:rsid w:val="00BE4034"/>
    <w:rsid w:val="00BE414D"/>
    <w:rsid w:val="00BE61FE"/>
    <w:rsid w:val="00BF3B8E"/>
    <w:rsid w:val="00BF44CA"/>
    <w:rsid w:val="00BF6D43"/>
    <w:rsid w:val="00C01BBE"/>
    <w:rsid w:val="00C05B3E"/>
    <w:rsid w:val="00C1004A"/>
    <w:rsid w:val="00C15064"/>
    <w:rsid w:val="00C15E08"/>
    <w:rsid w:val="00C26D14"/>
    <w:rsid w:val="00C3035E"/>
    <w:rsid w:val="00C3225C"/>
    <w:rsid w:val="00C34282"/>
    <w:rsid w:val="00C34CD3"/>
    <w:rsid w:val="00C37D4E"/>
    <w:rsid w:val="00C40CD8"/>
    <w:rsid w:val="00C41186"/>
    <w:rsid w:val="00C4132E"/>
    <w:rsid w:val="00C41820"/>
    <w:rsid w:val="00C44DA9"/>
    <w:rsid w:val="00C51760"/>
    <w:rsid w:val="00C51ED4"/>
    <w:rsid w:val="00C52425"/>
    <w:rsid w:val="00C52E54"/>
    <w:rsid w:val="00C563A0"/>
    <w:rsid w:val="00C602F5"/>
    <w:rsid w:val="00C62364"/>
    <w:rsid w:val="00C6633F"/>
    <w:rsid w:val="00C701D2"/>
    <w:rsid w:val="00C70361"/>
    <w:rsid w:val="00C70859"/>
    <w:rsid w:val="00C7131D"/>
    <w:rsid w:val="00C7631A"/>
    <w:rsid w:val="00C801D4"/>
    <w:rsid w:val="00C812E5"/>
    <w:rsid w:val="00C83F3D"/>
    <w:rsid w:val="00C86DD8"/>
    <w:rsid w:val="00C8745F"/>
    <w:rsid w:val="00C92CBE"/>
    <w:rsid w:val="00CA1B14"/>
    <w:rsid w:val="00CA25AC"/>
    <w:rsid w:val="00CA4DBA"/>
    <w:rsid w:val="00CA6DAB"/>
    <w:rsid w:val="00CA71F4"/>
    <w:rsid w:val="00CB33D0"/>
    <w:rsid w:val="00CB5026"/>
    <w:rsid w:val="00CB6B31"/>
    <w:rsid w:val="00CB6D80"/>
    <w:rsid w:val="00CB7325"/>
    <w:rsid w:val="00CC2D48"/>
    <w:rsid w:val="00CC384D"/>
    <w:rsid w:val="00CC45DE"/>
    <w:rsid w:val="00CC5231"/>
    <w:rsid w:val="00CC7299"/>
    <w:rsid w:val="00CC7831"/>
    <w:rsid w:val="00CD142A"/>
    <w:rsid w:val="00CD5F33"/>
    <w:rsid w:val="00CE13C5"/>
    <w:rsid w:val="00CE2CA6"/>
    <w:rsid w:val="00CE36FF"/>
    <w:rsid w:val="00CE414B"/>
    <w:rsid w:val="00CE65D6"/>
    <w:rsid w:val="00CE6EF6"/>
    <w:rsid w:val="00CE781E"/>
    <w:rsid w:val="00CF1807"/>
    <w:rsid w:val="00CF54AB"/>
    <w:rsid w:val="00CF6E73"/>
    <w:rsid w:val="00D13CC0"/>
    <w:rsid w:val="00D152D6"/>
    <w:rsid w:val="00D1640B"/>
    <w:rsid w:val="00D16BB4"/>
    <w:rsid w:val="00D1702D"/>
    <w:rsid w:val="00D20116"/>
    <w:rsid w:val="00D21CAF"/>
    <w:rsid w:val="00D27747"/>
    <w:rsid w:val="00D27EE7"/>
    <w:rsid w:val="00D32EDF"/>
    <w:rsid w:val="00D33190"/>
    <w:rsid w:val="00D35E81"/>
    <w:rsid w:val="00D41323"/>
    <w:rsid w:val="00D42846"/>
    <w:rsid w:val="00D50D0A"/>
    <w:rsid w:val="00D51A8E"/>
    <w:rsid w:val="00D5266A"/>
    <w:rsid w:val="00D54E06"/>
    <w:rsid w:val="00D561AD"/>
    <w:rsid w:val="00D569F6"/>
    <w:rsid w:val="00D73488"/>
    <w:rsid w:val="00D74580"/>
    <w:rsid w:val="00D84541"/>
    <w:rsid w:val="00D86091"/>
    <w:rsid w:val="00D9122C"/>
    <w:rsid w:val="00DA0728"/>
    <w:rsid w:val="00DA0CF0"/>
    <w:rsid w:val="00DA62F9"/>
    <w:rsid w:val="00DA6EBE"/>
    <w:rsid w:val="00DB1A6E"/>
    <w:rsid w:val="00DD1FDE"/>
    <w:rsid w:val="00DD20FC"/>
    <w:rsid w:val="00DD3EB0"/>
    <w:rsid w:val="00DD40BE"/>
    <w:rsid w:val="00DD6F06"/>
    <w:rsid w:val="00DE258F"/>
    <w:rsid w:val="00DE2E05"/>
    <w:rsid w:val="00DE3025"/>
    <w:rsid w:val="00DE6849"/>
    <w:rsid w:val="00DE70D6"/>
    <w:rsid w:val="00DE7624"/>
    <w:rsid w:val="00DF2DAA"/>
    <w:rsid w:val="00E0047E"/>
    <w:rsid w:val="00E0306E"/>
    <w:rsid w:val="00E073B8"/>
    <w:rsid w:val="00E22A8C"/>
    <w:rsid w:val="00E2598F"/>
    <w:rsid w:val="00E30F77"/>
    <w:rsid w:val="00E31770"/>
    <w:rsid w:val="00E33814"/>
    <w:rsid w:val="00E34585"/>
    <w:rsid w:val="00E34C47"/>
    <w:rsid w:val="00E35C99"/>
    <w:rsid w:val="00E365FF"/>
    <w:rsid w:val="00E42174"/>
    <w:rsid w:val="00E44531"/>
    <w:rsid w:val="00E509E8"/>
    <w:rsid w:val="00E54485"/>
    <w:rsid w:val="00E577E0"/>
    <w:rsid w:val="00E6073A"/>
    <w:rsid w:val="00E621CC"/>
    <w:rsid w:val="00E63DE1"/>
    <w:rsid w:val="00E66CDA"/>
    <w:rsid w:val="00E71F49"/>
    <w:rsid w:val="00E74057"/>
    <w:rsid w:val="00E749D5"/>
    <w:rsid w:val="00E81562"/>
    <w:rsid w:val="00E81DA1"/>
    <w:rsid w:val="00E85B4C"/>
    <w:rsid w:val="00E939D3"/>
    <w:rsid w:val="00EA1984"/>
    <w:rsid w:val="00EA669E"/>
    <w:rsid w:val="00EB0A8A"/>
    <w:rsid w:val="00EB4DF0"/>
    <w:rsid w:val="00EB554A"/>
    <w:rsid w:val="00EC2804"/>
    <w:rsid w:val="00EC3939"/>
    <w:rsid w:val="00EC3EAA"/>
    <w:rsid w:val="00ED26B5"/>
    <w:rsid w:val="00ED4374"/>
    <w:rsid w:val="00EE31E1"/>
    <w:rsid w:val="00EE4BC1"/>
    <w:rsid w:val="00EE6C88"/>
    <w:rsid w:val="00EE7322"/>
    <w:rsid w:val="00EF2DEA"/>
    <w:rsid w:val="00F024F1"/>
    <w:rsid w:val="00F04735"/>
    <w:rsid w:val="00F04E75"/>
    <w:rsid w:val="00F07733"/>
    <w:rsid w:val="00F07C26"/>
    <w:rsid w:val="00F10718"/>
    <w:rsid w:val="00F10F75"/>
    <w:rsid w:val="00F13A08"/>
    <w:rsid w:val="00F1588B"/>
    <w:rsid w:val="00F213B5"/>
    <w:rsid w:val="00F2419A"/>
    <w:rsid w:val="00F26141"/>
    <w:rsid w:val="00F26BCF"/>
    <w:rsid w:val="00F27962"/>
    <w:rsid w:val="00F307E5"/>
    <w:rsid w:val="00F32331"/>
    <w:rsid w:val="00F32901"/>
    <w:rsid w:val="00F348C5"/>
    <w:rsid w:val="00F43FAC"/>
    <w:rsid w:val="00F449B5"/>
    <w:rsid w:val="00F50D5F"/>
    <w:rsid w:val="00F52081"/>
    <w:rsid w:val="00F52D42"/>
    <w:rsid w:val="00F561CC"/>
    <w:rsid w:val="00F60B0E"/>
    <w:rsid w:val="00F62EE2"/>
    <w:rsid w:val="00F637C9"/>
    <w:rsid w:val="00F660E8"/>
    <w:rsid w:val="00F70BBC"/>
    <w:rsid w:val="00F71F03"/>
    <w:rsid w:val="00F7353F"/>
    <w:rsid w:val="00F804DD"/>
    <w:rsid w:val="00F85F5D"/>
    <w:rsid w:val="00F92B15"/>
    <w:rsid w:val="00F9485D"/>
    <w:rsid w:val="00F957ED"/>
    <w:rsid w:val="00F97A0C"/>
    <w:rsid w:val="00FA0F1F"/>
    <w:rsid w:val="00FB4384"/>
    <w:rsid w:val="00FB4A89"/>
    <w:rsid w:val="00FB4B0E"/>
    <w:rsid w:val="00FB4B88"/>
    <w:rsid w:val="00FB531D"/>
    <w:rsid w:val="00FB7C48"/>
    <w:rsid w:val="00FD39F0"/>
    <w:rsid w:val="00FD45EB"/>
    <w:rsid w:val="00FD666D"/>
    <w:rsid w:val="00FE5C11"/>
    <w:rsid w:val="00FF5E15"/>
    <w:rsid w:val="00FF6C53"/>
    <w:rsid w:val="25807F3B"/>
    <w:rsid w:val="4DA85C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835986"/>
  <w15:docId w15:val="{97D38DA0-6A7A-4A66-A114-59B6092D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26141"/>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F26141"/>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2">
    <w:name w:val="CM12"/>
    <w:basedOn w:val="Normal"/>
    <w:next w:val="Normal"/>
    <w:uiPriority w:val="99"/>
    <w:rsid w:val="00A133F2"/>
    <w:pPr>
      <w:widowControl w:val="0"/>
      <w:autoSpaceDE w:val="0"/>
      <w:autoSpaceDN w:val="0"/>
      <w:adjustRightInd w:val="0"/>
    </w:pPr>
    <w:rPr>
      <w:sz w:val="24"/>
      <w:szCs w:val="24"/>
    </w:rPr>
  </w:style>
  <w:style w:type="paragraph" w:styleId="NoSpacing">
    <w:name w:val="No Spacing"/>
    <w:uiPriority w:val="1"/>
    <w:qFormat/>
    <w:rsid w:val="000A3145"/>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cf0b502434c91beab762fbe7d1749f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f9f3f65cff125e9cf89cea205f54916"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OPSOCDOPRA-2116056712-2137342</_dlc_DocId>
    <_dlc_DocIdUrl xmlns="8097749c-35e3-4292-9c41-d352b303d2cf">
      <Url>https://bcfp365.sharepoint.com/sites/ops-ocdo-pra/_layouts/15/DocIdRedir.aspx?ID=OPSOCDOPRA-2116056712-2137342</Url>
      <Description>OPSOCDOPRA-2116056712-2137342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2089132F-6B9A-412C-9555-D84C11925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C3222-6C0A-447D-911B-93A715709B0C}">
  <ds:schemaRefs>
    <ds:schemaRef ds:uri="http://schemas.microsoft.com/sharepoint/events"/>
  </ds:schemaRefs>
</ds:datastoreItem>
</file>

<file path=customXml/itemProps4.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a9553836-b81d-43cb-867a-65ef38b86c0e"/>
    <ds:schemaRef ds:uri="8097749c-35e3-4292-9c41-d352b303d2cf"/>
    <ds:schemaRef ds:uri="http://schemas.microsoft.com/sharepoint/v3"/>
    <ds:schemaRef ds:uri="3c358492-2927-472d-85d8-14627d068203"/>
  </ds:schemaRefs>
</ds:datastoreItem>
</file>

<file path=customXml/itemProps5.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4123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3</cp:revision>
  <cp:lastPrinted>2017-07-25T13:39:00Z</cp:lastPrinted>
  <dcterms:created xsi:type="dcterms:W3CDTF">2026-02-24T14:51:00Z</dcterms:created>
  <dcterms:modified xsi:type="dcterms:W3CDTF">2026-02-24T14:52:00Z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r8>213654000</vt:r8>
  </property>
  <property fmtid="{D5CDD505-2E9C-101B-9397-08002B2CF9AE}" pid="6" name="TaxKeyword">
    <vt:lpwstr/>
  </property>
  <property fmtid="{D5CDD505-2E9C-101B-9397-08002B2CF9AE}" pid="7" name="West km Library Group RMR-Regs">
    <vt:lpwstr/>
  </property>
  <property fmtid="{D5CDD505-2E9C-101B-9397-08002B2CF9AE}" pid="8" name="West_x0020_km_x0020_Library_x0020_Group_x0020_RMR_x002d_Regs">
    <vt:lpwstr/>
  </property>
  <property fmtid="{D5CDD505-2E9C-101B-9397-08002B2CF9AE}" pid="9" name="_dlc_DocIdItemGuid">
    <vt:lpwstr>23de3e67-76ad-4970-b221-0b1e87683061</vt:lpwstr>
  </property>
  <property fmtid="{D5CDD505-2E9C-101B-9397-08002B2CF9AE}" pid="10" name="_ExtendedDescription">
    <vt:lpwstr/>
  </property>
  <property fmtid="{D5CDD505-2E9C-101B-9397-08002B2CF9AE}" pid="11" name="_NewReviewCycle">
    <vt:lpwstr/>
  </property>
</Properties>
</file>