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3CD6" w:rsidRPr="005904EA" w:rsidP="005904EA" w14:paraId="36782E2E" w14:textId="10CF2CF1">
      <w:pPr>
        <w:pStyle w:val="Header"/>
        <w:rPr>
          <w:b/>
          <w:sz w:val="22"/>
          <w:szCs w:val="22"/>
        </w:rPr>
      </w:pPr>
      <w:r w:rsidRPr="005904EA">
        <w:rPr>
          <w:b/>
          <w:color w:val="000000"/>
          <w:sz w:val="22"/>
          <w:szCs w:val="22"/>
        </w:rPr>
        <w:t xml:space="preserve">Connect America Fund Phase II </w:t>
      </w:r>
      <w:r w:rsidRPr="005904EA" w:rsidR="00B04625">
        <w:rPr>
          <w:b/>
          <w:color w:val="000000"/>
          <w:sz w:val="22"/>
          <w:szCs w:val="22"/>
        </w:rPr>
        <w:tab/>
      </w:r>
      <w:r w:rsidRPr="005904EA" w:rsidR="00047787">
        <w:rPr>
          <w:b/>
          <w:color w:val="000000"/>
          <w:sz w:val="22"/>
          <w:szCs w:val="22"/>
        </w:rPr>
        <w:tab/>
      </w:r>
      <w:r w:rsidRPr="005904EA" w:rsidR="00B04625">
        <w:rPr>
          <w:b/>
          <w:sz w:val="22"/>
          <w:szCs w:val="22"/>
        </w:rPr>
        <w:t>3060-1256</w:t>
      </w:r>
    </w:p>
    <w:p w:rsidR="00B04625" w:rsidRPr="005904EA" w:rsidP="005904EA" w14:paraId="36E51E3D" w14:textId="6B570198">
      <w:pPr>
        <w:tabs>
          <w:tab w:val="center" w:pos="4320"/>
          <w:tab w:val="right" w:pos="9360"/>
        </w:tabs>
        <w:jc w:val="both"/>
        <w:rPr>
          <w:b/>
          <w:sz w:val="22"/>
          <w:szCs w:val="22"/>
        </w:rPr>
      </w:pPr>
      <w:r w:rsidRPr="005904EA">
        <w:rPr>
          <w:b/>
          <w:sz w:val="22"/>
          <w:szCs w:val="22"/>
        </w:rPr>
        <w:t xml:space="preserve">and Rural Digital Opportunity Fund Auction Support </w:t>
      </w:r>
      <w:r w:rsidRPr="005904EA" w:rsidR="00E56061">
        <w:rPr>
          <w:b/>
          <w:sz w:val="22"/>
          <w:szCs w:val="22"/>
        </w:rPr>
        <w:tab/>
      </w:r>
      <w:r w:rsidR="00435165">
        <w:rPr>
          <w:b/>
          <w:sz w:val="22"/>
          <w:szCs w:val="22"/>
        </w:rPr>
        <w:t xml:space="preserve">April </w:t>
      </w:r>
      <w:r w:rsidRPr="005904EA" w:rsidR="00847588">
        <w:rPr>
          <w:b/>
          <w:sz w:val="22"/>
          <w:szCs w:val="22"/>
        </w:rPr>
        <w:t>202</w:t>
      </w:r>
      <w:r w:rsidRPr="005904EA" w:rsidR="00D30BBF">
        <w:rPr>
          <w:b/>
          <w:sz w:val="22"/>
          <w:szCs w:val="22"/>
        </w:rPr>
        <w:t>6</w:t>
      </w:r>
    </w:p>
    <w:p w:rsidR="006B3CD6" w:rsidRPr="005904EA" w:rsidP="005904EA" w14:paraId="2D0E16D7" w14:textId="28373BE5">
      <w:pPr>
        <w:tabs>
          <w:tab w:val="center" w:pos="4320"/>
          <w:tab w:val="right" w:pos="9360"/>
        </w:tabs>
        <w:jc w:val="both"/>
        <w:rPr>
          <w:b/>
          <w:sz w:val="22"/>
          <w:szCs w:val="22"/>
        </w:rPr>
      </w:pPr>
      <w:r w:rsidRPr="005904EA">
        <w:rPr>
          <w:b/>
          <w:sz w:val="22"/>
          <w:szCs w:val="22"/>
        </w:rPr>
        <w:tab/>
      </w:r>
      <w:r w:rsidRPr="005904EA">
        <w:rPr>
          <w:b/>
          <w:sz w:val="22"/>
          <w:szCs w:val="22"/>
        </w:rPr>
        <w:tab/>
      </w:r>
    </w:p>
    <w:p w:rsidR="0019106A" w:rsidRPr="005904EA" w:rsidP="005904EA" w14:paraId="58A34845" w14:textId="22258034">
      <w:pPr>
        <w:tabs>
          <w:tab w:val="center" w:pos="4320"/>
          <w:tab w:val="right" w:pos="9360"/>
        </w:tabs>
        <w:jc w:val="both"/>
        <w:rPr>
          <w:b/>
          <w:sz w:val="22"/>
          <w:szCs w:val="22"/>
        </w:rPr>
      </w:pPr>
      <w:r w:rsidRPr="005904EA">
        <w:rPr>
          <w:b/>
          <w:sz w:val="22"/>
          <w:szCs w:val="22"/>
        </w:rPr>
        <w:tab/>
      </w:r>
      <w:r w:rsidRPr="005904EA" w:rsidR="006B2CB2">
        <w:rPr>
          <w:b/>
          <w:sz w:val="22"/>
          <w:szCs w:val="22"/>
        </w:rPr>
        <w:tab/>
      </w:r>
    </w:p>
    <w:p w:rsidR="00536D74" w:rsidRPr="005904EA" w:rsidP="005904EA" w14:paraId="0B1864AC" w14:textId="77777777">
      <w:pPr>
        <w:jc w:val="right"/>
        <w:rPr>
          <w:sz w:val="22"/>
          <w:szCs w:val="22"/>
        </w:rPr>
      </w:pPr>
    </w:p>
    <w:p w:rsidR="00E62362" w:rsidRPr="005904EA" w:rsidP="005904EA" w14:paraId="5C9E5109" w14:textId="0F9FEF9F">
      <w:pPr>
        <w:jc w:val="center"/>
        <w:rPr>
          <w:sz w:val="22"/>
          <w:szCs w:val="22"/>
        </w:rPr>
      </w:pPr>
      <w:r w:rsidRPr="005904EA">
        <w:rPr>
          <w:sz w:val="22"/>
          <w:szCs w:val="22"/>
        </w:rPr>
        <w:t>SUPPORTING STATEMENT</w:t>
      </w:r>
    </w:p>
    <w:p w:rsidR="005C4A88" w:rsidRPr="005904EA" w:rsidP="005904EA" w14:paraId="6AFC1D5D" w14:textId="77777777">
      <w:pPr>
        <w:rPr>
          <w:sz w:val="22"/>
          <w:szCs w:val="22"/>
        </w:rPr>
      </w:pPr>
    </w:p>
    <w:p w:rsidR="00785414" w:rsidRPr="005904EA" w:rsidP="005904EA" w14:paraId="10EE1105" w14:textId="0D20DD71">
      <w:pPr>
        <w:rPr>
          <w:sz w:val="22"/>
          <w:szCs w:val="22"/>
        </w:rPr>
      </w:pPr>
      <w:r w:rsidRPr="005904EA">
        <w:rPr>
          <w:sz w:val="22"/>
          <w:szCs w:val="22"/>
        </w:rPr>
        <w:t>The Federal Communications Commission (</w:t>
      </w:r>
      <w:r w:rsidRPr="005904EA" w:rsidR="000450B3">
        <w:rPr>
          <w:sz w:val="22"/>
          <w:szCs w:val="22"/>
        </w:rPr>
        <w:t>“</w:t>
      </w:r>
      <w:r w:rsidRPr="005904EA">
        <w:rPr>
          <w:sz w:val="22"/>
          <w:szCs w:val="22"/>
        </w:rPr>
        <w:t>the Commission</w:t>
      </w:r>
      <w:r w:rsidRPr="005904EA" w:rsidR="000450B3">
        <w:rPr>
          <w:sz w:val="22"/>
          <w:szCs w:val="22"/>
        </w:rPr>
        <w:t>”</w:t>
      </w:r>
      <w:r w:rsidRPr="005904EA">
        <w:rPr>
          <w:sz w:val="22"/>
          <w:szCs w:val="22"/>
        </w:rPr>
        <w:t xml:space="preserve">) is seeking approval from </w:t>
      </w:r>
      <w:r w:rsidRPr="005904EA" w:rsidR="00165EBC">
        <w:rPr>
          <w:sz w:val="22"/>
          <w:szCs w:val="22"/>
        </w:rPr>
        <w:t xml:space="preserve">the </w:t>
      </w:r>
      <w:r w:rsidRPr="005904EA">
        <w:rPr>
          <w:sz w:val="22"/>
          <w:szCs w:val="22"/>
        </w:rPr>
        <w:t xml:space="preserve">Office of Management and Budget (OMB) </w:t>
      </w:r>
      <w:r w:rsidRPr="005904EA" w:rsidR="00BC576E">
        <w:rPr>
          <w:sz w:val="22"/>
          <w:szCs w:val="22"/>
        </w:rPr>
        <w:t>under the Paperwork Reduction Act (PRA)</w:t>
      </w:r>
      <w:r w:rsidRPr="005904EA" w:rsidR="003B55F9">
        <w:rPr>
          <w:sz w:val="22"/>
          <w:szCs w:val="22"/>
        </w:rPr>
        <w:t xml:space="preserve"> </w:t>
      </w:r>
      <w:r w:rsidRPr="005904EA" w:rsidR="00A71A21">
        <w:rPr>
          <w:sz w:val="22"/>
          <w:szCs w:val="22"/>
        </w:rPr>
        <w:t xml:space="preserve">to revise this information collection </w:t>
      </w:r>
      <w:r w:rsidRPr="005904EA" w:rsidR="003B55F9">
        <w:rPr>
          <w:sz w:val="22"/>
          <w:szCs w:val="22"/>
        </w:rPr>
        <w:t>to</w:t>
      </w:r>
      <w:r w:rsidRPr="005904EA" w:rsidR="000202BF">
        <w:rPr>
          <w:sz w:val="22"/>
          <w:szCs w:val="22"/>
        </w:rPr>
        <w:t xml:space="preserve"> reflect the elimination of </w:t>
      </w:r>
      <w:r w:rsidRPr="005904EA" w:rsidR="00826847">
        <w:rPr>
          <w:sz w:val="22"/>
          <w:szCs w:val="22"/>
        </w:rPr>
        <w:t xml:space="preserve">most </w:t>
      </w:r>
      <w:r w:rsidRPr="005904EA" w:rsidR="000202BF">
        <w:rPr>
          <w:sz w:val="22"/>
          <w:szCs w:val="22"/>
        </w:rPr>
        <w:t>long-form application requirements associated</w:t>
      </w:r>
      <w:r w:rsidRPr="005904EA" w:rsidR="00856622">
        <w:rPr>
          <w:sz w:val="22"/>
          <w:szCs w:val="22"/>
        </w:rPr>
        <w:t xml:space="preserve"> with </w:t>
      </w:r>
      <w:r w:rsidRPr="005904EA" w:rsidR="00980D41">
        <w:rPr>
          <w:sz w:val="22"/>
          <w:szCs w:val="22"/>
        </w:rPr>
        <w:t>the Rural Digital Opportunity Fund</w:t>
      </w:r>
      <w:r w:rsidRPr="005904EA" w:rsidR="00E2318A">
        <w:rPr>
          <w:sz w:val="22"/>
          <w:szCs w:val="22"/>
        </w:rPr>
        <w:t xml:space="preserve"> (RDOF)</w:t>
      </w:r>
      <w:r w:rsidRPr="005904EA" w:rsidR="00401B00">
        <w:rPr>
          <w:sz w:val="22"/>
          <w:szCs w:val="22"/>
        </w:rPr>
        <w:t xml:space="preserve">.  This change results from the Commission’s decision in the </w:t>
      </w:r>
      <w:r w:rsidRPr="005904EA" w:rsidR="00401B00">
        <w:rPr>
          <w:i/>
          <w:iCs/>
          <w:sz w:val="22"/>
          <w:szCs w:val="22"/>
        </w:rPr>
        <w:t>Delete</w:t>
      </w:r>
      <w:r w:rsidRPr="005904EA" w:rsidR="00D30BBF">
        <w:rPr>
          <w:i/>
          <w:iCs/>
          <w:sz w:val="22"/>
          <w:szCs w:val="22"/>
        </w:rPr>
        <w:t>,</w:t>
      </w:r>
      <w:r w:rsidRPr="005904EA" w:rsidR="00401B00">
        <w:rPr>
          <w:i/>
          <w:iCs/>
          <w:sz w:val="22"/>
          <w:szCs w:val="22"/>
        </w:rPr>
        <w:t xml:space="preserve"> Delete</w:t>
      </w:r>
      <w:r w:rsidRPr="005904EA" w:rsidR="00D30BBF">
        <w:rPr>
          <w:i/>
          <w:iCs/>
          <w:sz w:val="22"/>
          <w:szCs w:val="22"/>
        </w:rPr>
        <w:t>,</w:t>
      </w:r>
      <w:r w:rsidRPr="005904EA" w:rsidR="00401B00">
        <w:rPr>
          <w:i/>
          <w:iCs/>
          <w:sz w:val="22"/>
          <w:szCs w:val="22"/>
        </w:rPr>
        <w:t xml:space="preserve"> Delete</w:t>
      </w:r>
      <w:r w:rsidRPr="005904EA" w:rsidR="000F7CDF">
        <w:rPr>
          <w:i/>
          <w:iCs/>
          <w:sz w:val="22"/>
          <w:szCs w:val="22"/>
        </w:rPr>
        <w:t xml:space="preserve"> </w:t>
      </w:r>
      <w:r w:rsidRPr="005904EA" w:rsidR="000F7CDF">
        <w:rPr>
          <w:sz w:val="22"/>
          <w:szCs w:val="22"/>
        </w:rPr>
        <w:t>proceeding</w:t>
      </w:r>
      <w:r w:rsidRPr="005904EA" w:rsidR="0037759B">
        <w:rPr>
          <w:sz w:val="22"/>
          <w:szCs w:val="22"/>
        </w:rPr>
        <w:t xml:space="preserve"> </w:t>
      </w:r>
      <w:r w:rsidRPr="005904EA" w:rsidR="003C21A5">
        <w:rPr>
          <w:sz w:val="22"/>
          <w:szCs w:val="22"/>
        </w:rPr>
        <w:t>where</w:t>
      </w:r>
      <w:r w:rsidRPr="005904EA" w:rsidR="00FB7895">
        <w:rPr>
          <w:sz w:val="22"/>
          <w:szCs w:val="22"/>
        </w:rPr>
        <w:t xml:space="preserve"> the Commission determined that certain rule parts – including 47 C</w:t>
      </w:r>
      <w:r w:rsidRPr="005904EA" w:rsidR="00515077">
        <w:rPr>
          <w:sz w:val="22"/>
          <w:szCs w:val="22"/>
        </w:rPr>
        <w:t>.</w:t>
      </w:r>
      <w:r w:rsidRPr="005904EA" w:rsidR="00FB7895">
        <w:rPr>
          <w:sz w:val="22"/>
          <w:szCs w:val="22"/>
        </w:rPr>
        <w:t>F</w:t>
      </w:r>
      <w:r w:rsidRPr="005904EA" w:rsidR="00515077">
        <w:rPr>
          <w:sz w:val="22"/>
          <w:szCs w:val="22"/>
        </w:rPr>
        <w:t>.</w:t>
      </w:r>
      <w:r w:rsidRPr="005904EA" w:rsidR="00FB7895">
        <w:rPr>
          <w:sz w:val="22"/>
          <w:szCs w:val="22"/>
        </w:rPr>
        <w:t>R</w:t>
      </w:r>
      <w:r w:rsidRPr="005904EA" w:rsidR="00515077">
        <w:rPr>
          <w:sz w:val="22"/>
          <w:szCs w:val="22"/>
        </w:rPr>
        <w:t>. §§</w:t>
      </w:r>
      <w:r w:rsidRPr="005904EA" w:rsidR="00FB7895">
        <w:rPr>
          <w:sz w:val="22"/>
          <w:szCs w:val="22"/>
        </w:rPr>
        <w:t xml:space="preserve">54.315(a)-(b) and </w:t>
      </w:r>
      <w:r w:rsidRPr="005904EA" w:rsidR="00515077">
        <w:rPr>
          <w:sz w:val="22"/>
          <w:szCs w:val="22"/>
        </w:rPr>
        <w:t>§§</w:t>
      </w:r>
      <w:r w:rsidRPr="005904EA" w:rsidR="00FB7895">
        <w:rPr>
          <w:sz w:val="22"/>
          <w:szCs w:val="22"/>
        </w:rPr>
        <w:t>54.</w:t>
      </w:r>
      <w:r w:rsidRPr="005904EA" w:rsidR="00B41347">
        <w:rPr>
          <w:sz w:val="22"/>
          <w:szCs w:val="22"/>
        </w:rPr>
        <w:t>804(a)-(b)</w:t>
      </w:r>
      <w:r w:rsidRPr="005904EA" w:rsidR="00922E00">
        <w:rPr>
          <w:sz w:val="22"/>
          <w:szCs w:val="22"/>
        </w:rPr>
        <w:t xml:space="preserve">, are outdated and obsolete, and unnecessary </w:t>
      </w:r>
      <w:r w:rsidRPr="005904EA" w:rsidR="002477A4">
        <w:rPr>
          <w:sz w:val="22"/>
          <w:szCs w:val="22"/>
        </w:rPr>
        <w:t>because all associated long-form application review processes have concluded</w:t>
      </w:r>
      <w:r w:rsidRPr="005904EA" w:rsidR="00980D41">
        <w:rPr>
          <w:sz w:val="22"/>
          <w:szCs w:val="22"/>
        </w:rPr>
        <w:t>.</w:t>
      </w:r>
      <w:r w:rsidRPr="005904EA" w:rsidR="000450B3">
        <w:rPr>
          <w:sz w:val="22"/>
          <w:szCs w:val="22"/>
        </w:rPr>
        <w:t xml:space="preserve"> </w:t>
      </w:r>
      <w:r w:rsidRPr="005904EA" w:rsidR="00BE114E">
        <w:rPr>
          <w:sz w:val="22"/>
          <w:szCs w:val="22"/>
        </w:rPr>
        <w:t xml:space="preserve"> </w:t>
      </w:r>
      <w:r w:rsidRPr="005904EA" w:rsidR="00D30BBF">
        <w:rPr>
          <w:sz w:val="22"/>
          <w:szCs w:val="22"/>
        </w:rPr>
        <w:t xml:space="preserve">Additionally, the proposed revisions include retitling this collection from “Application </w:t>
      </w:r>
      <w:r w:rsidRPr="005904EA" w:rsidR="00F956C3">
        <w:rPr>
          <w:sz w:val="22"/>
          <w:szCs w:val="22"/>
        </w:rPr>
        <w:t xml:space="preserve">for </w:t>
      </w:r>
      <w:r w:rsidRPr="005904EA" w:rsidR="00D30BBF">
        <w:rPr>
          <w:sz w:val="22"/>
          <w:szCs w:val="22"/>
        </w:rPr>
        <w:t>Connect America Fund Phase II and Rural Digital Opportunity Fund Auction Support” to “Connect America Fund Phase II and Rural Digital Opportunity Fund Auction Support.”</w:t>
      </w:r>
    </w:p>
    <w:p w:rsidR="00563AF2" w:rsidRPr="005904EA" w:rsidP="005904EA" w14:paraId="132E896D" w14:textId="77777777">
      <w:pPr>
        <w:rPr>
          <w:sz w:val="22"/>
          <w:szCs w:val="22"/>
        </w:rPr>
      </w:pPr>
    </w:p>
    <w:p w:rsidR="00F956C3" w:rsidRPr="005904EA" w:rsidP="005904EA" w14:paraId="2278F1E8" w14:textId="50630627">
      <w:pPr>
        <w:pStyle w:val="Heading1"/>
        <w:rPr>
          <w:sz w:val="22"/>
          <w:szCs w:val="22"/>
        </w:rPr>
      </w:pPr>
      <w:r w:rsidRPr="005904EA">
        <w:rPr>
          <w:sz w:val="22"/>
          <w:szCs w:val="22"/>
        </w:rPr>
        <w:t xml:space="preserve">Justification </w:t>
      </w:r>
    </w:p>
    <w:p w:rsidR="00F956C3" w:rsidRPr="005904EA" w:rsidP="005904EA" w14:paraId="46344271" w14:textId="77777777">
      <w:pPr>
        <w:pStyle w:val="Heading1"/>
        <w:numPr>
          <w:ilvl w:val="0"/>
          <w:numId w:val="0"/>
        </w:numPr>
        <w:ind w:left="360"/>
        <w:rPr>
          <w:sz w:val="22"/>
          <w:szCs w:val="22"/>
        </w:rPr>
      </w:pPr>
    </w:p>
    <w:p w:rsidR="00114554" w:rsidRPr="005904EA" w:rsidP="005904EA" w14:paraId="7F4D1CE4" w14:textId="7B4CA3C9">
      <w:pPr>
        <w:pStyle w:val="Heading1"/>
        <w:numPr>
          <w:ilvl w:val="0"/>
          <w:numId w:val="0"/>
        </w:numPr>
        <w:ind w:left="360" w:hanging="360"/>
        <w:rPr>
          <w:b w:val="0"/>
          <w:bCs w:val="0"/>
          <w:sz w:val="22"/>
          <w:szCs w:val="22"/>
          <w:u w:val="none"/>
        </w:rPr>
      </w:pPr>
      <w:r w:rsidRPr="005904EA">
        <w:rPr>
          <w:b w:val="0"/>
          <w:bCs w:val="0"/>
          <w:i/>
          <w:iCs/>
          <w:sz w:val="22"/>
          <w:szCs w:val="22"/>
          <w:u w:val="none"/>
        </w:rPr>
        <w:t>Circumstances that make the collection necessary</w:t>
      </w:r>
      <w:r w:rsidRPr="005904EA" w:rsidR="00095AE5">
        <w:rPr>
          <w:b w:val="0"/>
          <w:bCs w:val="0"/>
          <w:i/>
          <w:iCs/>
          <w:sz w:val="22"/>
          <w:szCs w:val="22"/>
          <w:u w:val="none"/>
        </w:rPr>
        <w:t>.</w:t>
      </w:r>
      <w:r w:rsidRPr="005904EA" w:rsidR="00095AE5">
        <w:rPr>
          <w:b w:val="0"/>
          <w:bCs w:val="0"/>
          <w:sz w:val="22"/>
          <w:szCs w:val="22"/>
          <w:u w:val="none"/>
        </w:rPr>
        <w:t xml:space="preserve">  </w:t>
      </w:r>
    </w:p>
    <w:p w:rsidR="00047787" w:rsidRPr="005904EA" w:rsidP="005904EA" w14:paraId="1515E7EA" w14:textId="01EFEE2C">
      <w:pPr>
        <w:pStyle w:val="Heading1"/>
        <w:numPr>
          <w:ilvl w:val="0"/>
          <w:numId w:val="0"/>
        </w:numPr>
        <w:rPr>
          <w:bCs w:val="0"/>
          <w:sz w:val="22"/>
          <w:szCs w:val="22"/>
        </w:rPr>
      </w:pPr>
    </w:p>
    <w:p w:rsidR="00114554" w:rsidRPr="005904EA" w:rsidP="005904EA" w14:paraId="3E319D74" w14:textId="2B2D7BC2">
      <w:pPr>
        <w:rPr>
          <w:sz w:val="22"/>
          <w:szCs w:val="22"/>
        </w:rPr>
      </w:pPr>
      <w:r w:rsidRPr="005904EA">
        <w:rPr>
          <w:sz w:val="22"/>
          <w:szCs w:val="22"/>
        </w:rPr>
        <w:t>Connect America Fund Phase II Auction</w:t>
      </w:r>
    </w:p>
    <w:p w:rsidR="00114554" w:rsidRPr="005904EA" w:rsidP="005904EA" w14:paraId="10723D6A" w14:textId="77777777">
      <w:pPr>
        <w:rPr>
          <w:sz w:val="22"/>
          <w:szCs w:val="22"/>
        </w:rPr>
      </w:pPr>
    </w:p>
    <w:p w:rsidR="00095AE5" w:rsidRPr="005904EA" w:rsidP="005904EA" w14:paraId="64FF5C96" w14:textId="7C0B319A">
      <w:pPr>
        <w:rPr>
          <w:sz w:val="22"/>
          <w:szCs w:val="22"/>
        </w:rPr>
      </w:pPr>
      <w:r w:rsidRPr="005904EA">
        <w:rPr>
          <w:sz w:val="22"/>
          <w:szCs w:val="22"/>
        </w:rPr>
        <w:t>On November 18, 2011, the Commission released the USF/ICC Transformation Order and Further Notice of Proposed Rulemaking, WC Docket No. 10-90 et al., FCC 11-161</w:t>
      </w:r>
      <w:r w:rsidRPr="005904EA" w:rsidR="000A1BD9">
        <w:rPr>
          <w:sz w:val="22"/>
          <w:szCs w:val="22"/>
        </w:rPr>
        <w:t xml:space="preserve"> (</w:t>
      </w:r>
      <w:r w:rsidRPr="006A78D9" w:rsidR="000A1BD9">
        <w:rPr>
          <w:i/>
          <w:iCs/>
          <w:sz w:val="22"/>
          <w:szCs w:val="22"/>
        </w:rPr>
        <w:t>USF/ICC Transformation Order and/or FNPRM</w:t>
      </w:r>
      <w:r w:rsidRPr="005904EA" w:rsidR="000A1BD9">
        <w:rPr>
          <w:sz w:val="22"/>
          <w:szCs w:val="22"/>
        </w:rPr>
        <w:t>)</w:t>
      </w:r>
      <w:r w:rsidRPr="005904EA">
        <w:rPr>
          <w:sz w:val="22"/>
          <w:szCs w:val="22"/>
        </w:rPr>
        <w:t xml:space="preserve">, which comprehensively reformed and modernized the high-cost program within the universal service fund to focus support on networks capable of providing voice and broadband services.  </w:t>
      </w:r>
      <w:r w:rsidRPr="005904EA" w:rsidR="000A1BD9">
        <w:rPr>
          <w:sz w:val="22"/>
          <w:szCs w:val="22"/>
        </w:rPr>
        <w:t>Among other things, t</w:t>
      </w:r>
      <w:r w:rsidRPr="005904EA">
        <w:rPr>
          <w:sz w:val="22"/>
          <w:szCs w:val="22"/>
        </w:rPr>
        <w:t xml:space="preserve">he Commission created the </w:t>
      </w:r>
      <w:r w:rsidR="006A78D9">
        <w:rPr>
          <w:sz w:val="22"/>
          <w:szCs w:val="22"/>
        </w:rPr>
        <w:t>Connect America Fund (</w:t>
      </w:r>
      <w:r w:rsidRPr="005904EA">
        <w:rPr>
          <w:sz w:val="22"/>
          <w:szCs w:val="22"/>
        </w:rPr>
        <w:t>CAF</w:t>
      </w:r>
      <w:r w:rsidR="006A78D9">
        <w:rPr>
          <w:sz w:val="22"/>
          <w:szCs w:val="22"/>
        </w:rPr>
        <w:t>)</w:t>
      </w:r>
      <w:r w:rsidRPr="005904EA">
        <w:rPr>
          <w:sz w:val="22"/>
          <w:szCs w:val="22"/>
        </w:rPr>
        <w:t xml:space="preserve"> and concluded that support in price cap areas would be provided through a combination of “a new forward-looking model of the cost of constructing modern multi-purpose networks” and a competitive bidding process (</w:t>
      </w:r>
      <w:r w:rsidRPr="005904EA" w:rsidR="00B77DA8">
        <w:rPr>
          <w:sz w:val="22"/>
          <w:szCs w:val="22"/>
        </w:rPr>
        <w:t>CAF</w:t>
      </w:r>
      <w:r w:rsidRPr="005904EA" w:rsidR="008F1994">
        <w:rPr>
          <w:sz w:val="22"/>
          <w:szCs w:val="22"/>
        </w:rPr>
        <w:t xml:space="preserve"> Phase II auction or Auction 903</w:t>
      </w:r>
      <w:r w:rsidRPr="005904EA">
        <w:rPr>
          <w:sz w:val="22"/>
          <w:szCs w:val="22"/>
        </w:rPr>
        <w:t xml:space="preserve">).  The Commission also sought comment </w:t>
      </w:r>
      <w:r w:rsidRPr="005904EA" w:rsidR="000A1BD9">
        <w:rPr>
          <w:sz w:val="22"/>
          <w:szCs w:val="22"/>
        </w:rPr>
        <w:t xml:space="preserve">in the accompanying USF/ICC Transformation FNPRM </w:t>
      </w:r>
      <w:r w:rsidRPr="005904EA">
        <w:rPr>
          <w:sz w:val="22"/>
          <w:szCs w:val="22"/>
        </w:rPr>
        <w:t xml:space="preserve">on proposed rules governing the </w:t>
      </w:r>
      <w:r w:rsidRPr="005904EA" w:rsidR="00B77DA8">
        <w:rPr>
          <w:sz w:val="22"/>
          <w:szCs w:val="22"/>
        </w:rPr>
        <w:t xml:space="preserve">CAF </w:t>
      </w:r>
      <w:r w:rsidRPr="005904EA" w:rsidR="008F1994">
        <w:rPr>
          <w:sz w:val="22"/>
          <w:szCs w:val="22"/>
        </w:rPr>
        <w:t>Phase II</w:t>
      </w:r>
      <w:r w:rsidRPr="005904EA">
        <w:rPr>
          <w:sz w:val="22"/>
          <w:szCs w:val="22"/>
        </w:rPr>
        <w:t xml:space="preserve"> auction, including basic auction design and the application process.  </w:t>
      </w:r>
    </w:p>
    <w:p w:rsidR="006B2CB2" w:rsidRPr="005904EA" w:rsidP="005904EA" w14:paraId="338FE499" w14:textId="77777777">
      <w:pPr>
        <w:rPr>
          <w:sz w:val="22"/>
          <w:szCs w:val="22"/>
          <w:u w:val="single"/>
        </w:rPr>
      </w:pPr>
    </w:p>
    <w:p w:rsidR="00095AE5" w:rsidRPr="005904EA" w:rsidP="005904EA" w14:paraId="7809726B" w14:textId="4BC24F91">
      <w:pPr>
        <w:rPr>
          <w:sz w:val="22"/>
          <w:szCs w:val="22"/>
        </w:rPr>
      </w:pPr>
      <w:r w:rsidRPr="005904EA">
        <w:rPr>
          <w:sz w:val="22"/>
          <w:szCs w:val="22"/>
        </w:rPr>
        <w:t>In t</w:t>
      </w:r>
      <w:r w:rsidRPr="005904EA" w:rsidR="00726836">
        <w:rPr>
          <w:sz w:val="22"/>
          <w:szCs w:val="22"/>
        </w:rPr>
        <w:t xml:space="preserve">he </w:t>
      </w:r>
      <w:r w:rsidRPr="005904EA" w:rsidR="00B77DA8">
        <w:rPr>
          <w:sz w:val="22"/>
          <w:szCs w:val="22"/>
        </w:rPr>
        <w:t xml:space="preserve">CAF </w:t>
      </w:r>
      <w:r w:rsidRPr="005904EA" w:rsidR="008F1994">
        <w:rPr>
          <w:sz w:val="22"/>
          <w:szCs w:val="22"/>
        </w:rPr>
        <w:t>Phase II</w:t>
      </w:r>
      <w:r w:rsidRPr="005904EA" w:rsidR="00726836">
        <w:rPr>
          <w:sz w:val="22"/>
          <w:szCs w:val="22"/>
        </w:rPr>
        <w:t xml:space="preserve"> auction, service providers </w:t>
      </w:r>
      <w:r w:rsidRPr="005904EA" w:rsidR="00F761AE">
        <w:rPr>
          <w:sz w:val="22"/>
          <w:szCs w:val="22"/>
        </w:rPr>
        <w:t>competed</w:t>
      </w:r>
      <w:r w:rsidRPr="005904EA" w:rsidR="00726836">
        <w:rPr>
          <w:sz w:val="22"/>
          <w:szCs w:val="22"/>
        </w:rPr>
        <w:t xml:space="preserve"> to receive support of up to $1.98 billion </w:t>
      </w:r>
      <w:r w:rsidRPr="005904EA" w:rsidR="00485F74">
        <w:rPr>
          <w:sz w:val="22"/>
          <w:szCs w:val="22"/>
        </w:rPr>
        <w:t xml:space="preserve">over 10 years </w:t>
      </w:r>
      <w:r w:rsidRPr="005904EA" w:rsidR="00726836">
        <w:rPr>
          <w:sz w:val="22"/>
          <w:szCs w:val="22"/>
        </w:rPr>
        <w:t xml:space="preserve">to offer voice and broadband service in unserved high-cost areas.  </w:t>
      </w:r>
      <w:r w:rsidRPr="005904EA" w:rsidR="007C3F8D">
        <w:rPr>
          <w:sz w:val="22"/>
          <w:szCs w:val="22"/>
        </w:rPr>
        <w:t>The information collection requirements reported under this collection are the result of several Commission decisions t</w:t>
      </w:r>
      <w:r w:rsidRPr="005904EA" w:rsidR="00726836">
        <w:rPr>
          <w:sz w:val="22"/>
          <w:szCs w:val="22"/>
        </w:rPr>
        <w:t xml:space="preserve">o implement </w:t>
      </w:r>
      <w:r w:rsidRPr="005904EA" w:rsidR="00901D3B">
        <w:rPr>
          <w:sz w:val="22"/>
          <w:szCs w:val="22"/>
        </w:rPr>
        <w:t xml:space="preserve">the </w:t>
      </w:r>
      <w:r w:rsidRPr="005904EA" w:rsidR="00726836">
        <w:rPr>
          <w:sz w:val="22"/>
          <w:szCs w:val="22"/>
        </w:rPr>
        <w:t>reform</w:t>
      </w:r>
      <w:r w:rsidRPr="005904EA" w:rsidR="000A1BD9">
        <w:rPr>
          <w:sz w:val="22"/>
          <w:szCs w:val="22"/>
        </w:rPr>
        <w:t xml:space="preserve"> adopted in the </w:t>
      </w:r>
      <w:r w:rsidRPr="005904EA" w:rsidR="000A1BD9">
        <w:rPr>
          <w:i/>
          <w:sz w:val="22"/>
          <w:szCs w:val="22"/>
        </w:rPr>
        <w:t>USF/ICC Transformation</w:t>
      </w:r>
      <w:r w:rsidRPr="005904EA" w:rsidR="000A1BD9">
        <w:rPr>
          <w:sz w:val="22"/>
          <w:szCs w:val="22"/>
        </w:rPr>
        <w:t xml:space="preserve"> </w:t>
      </w:r>
      <w:r w:rsidRPr="005904EA" w:rsidR="000A1BD9">
        <w:rPr>
          <w:i/>
          <w:sz w:val="22"/>
          <w:szCs w:val="22"/>
        </w:rPr>
        <w:t>Order</w:t>
      </w:r>
      <w:r w:rsidRPr="005904EA" w:rsidR="00726836">
        <w:rPr>
          <w:sz w:val="22"/>
          <w:szCs w:val="22"/>
        </w:rPr>
        <w:t xml:space="preserve"> and </w:t>
      </w:r>
      <w:r w:rsidRPr="005904EA" w:rsidR="007C3F8D">
        <w:rPr>
          <w:sz w:val="22"/>
          <w:szCs w:val="22"/>
        </w:rPr>
        <w:t xml:space="preserve">move forward with </w:t>
      </w:r>
      <w:r w:rsidRPr="005904EA" w:rsidR="00726836">
        <w:rPr>
          <w:sz w:val="22"/>
          <w:szCs w:val="22"/>
        </w:rPr>
        <w:t>conduct</w:t>
      </w:r>
      <w:r w:rsidRPr="005904EA" w:rsidR="007C3F8D">
        <w:rPr>
          <w:sz w:val="22"/>
          <w:szCs w:val="22"/>
        </w:rPr>
        <w:t>ing</w:t>
      </w:r>
      <w:r w:rsidRPr="005904EA" w:rsidR="00726836">
        <w:rPr>
          <w:sz w:val="22"/>
          <w:szCs w:val="22"/>
        </w:rPr>
        <w:t xml:space="preserve"> the </w:t>
      </w:r>
      <w:r w:rsidRPr="005904EA" w:rsidR="00B77DA8">
        <w:rPr>
          <w:sz w:val="22"/>
          <w:szCs w:val="22"/>
        </w:rPr>
        <w:t xml:space="preserve">CAF </w:t>
      </w:r>
      <w:r w:rsidRPr="005904EA" w:rsidR="008F1994">
        <w:rPr>
          <w:sz w:val="22"/>
          <w:szCs w:val="22"/>
        </w:rPr>
        <w:t xml:space="preserve">Phase </w:t>
      </w:r>
      <w:r w:rsidRPr="005904EA" w:rsidR="00726836">
        <w:rPr>
          <w:sz w:val="22"/>
          <w:szCs w:val="22"/>
        </w:rPr>
        <w:t xml:space="preserve">II auction.  In the </w:t>
      </w:r>
      <w:r w:rsidRPr="005904EA" w:rsidR="00726836">
        <w:rPr>
          <w:i/>
          <w:sz w:val="22"/>
          <w:szCs w:val="22"/>
        </w:rPr>
        <w:t>April 2014 Connect America Order</w:t>
      </w:r>
      <w:r w:rsidRPr="005904EA" w:rsidR="00726836">
        <w:rPr>
          <w:sz w:val="22"/>
          <w:szCs w:val="22"/>
        </w:rPr>
        <w:t xml:space="preserve">, WC Docket No. 10-90 et al., FCC 14-54, the Commission adopted </w:t>
      </w:r>
      <w:r w:rsidRPr="005904EA" w:rsidR="007C3F8D">
        <w:rPr>
          <w:sz w:val="22"/>
          <w:szCs w:val="22"/>
        </w:rPr>
        <w:t>various</w:t>
      </w:r>
      <w:r w:rsidRPr="005904EA" w:rsidR="00726836">
        <w:rPr>
          <w:sz w:val="22"/>
          <w:szCs w:val="22"/>
        </w:rPr>
        <w:t xml:space="preserve"> rules regarding participation in the </w:t>
      </w:r>
      <w:r w:rsidRPr="005904EA" w:rsidR="00B77DA8">
        <w:rPr>
          <w:sz w:val="22"/>
          <w:szCs w:val="22"/>
        </w:rPr>
        <w:t xml:space="preserve">CAF </w:t>
      </w:r>
      <w:r w:rsidRPr="005904EA" w:rsidR="008F1994">
        <w:rPr>
          <w:sz w:val="22"/>
          <w:szCs w:val="22"/>
        </w:rPr>
        <w:t xml:space="preserve">Phase </w:t>
      </w:r>
      <w:r w:rsidRPr="005904EA" w:rsidR="00726836">
        <w:rPr>
          <w:sz w:val="22"/>
          <w:szCs w:val="22"/>
        </w:rPr>
        <w:t xml:space="preserve">II auction, the term of support, and the </w:t>
      </w:r>
      <w:r w:rsidRPr="005904EA" w:rsidR="000A1BD9">
        <w:rPr>
          <w:sz w:val="22"/>
          <w:szCs w:val="22"/>
        </w:rPr>
        <w:t>eligible telecommunications carrier (</w:t>
      </w:r>
      <w:r w:rsidRPr="005904EA" w:rsidR="00726836">
        <w:rPr>
          <w:sz w:val="22"/>
          <w:szCs w:val="22"/>
        </w:rPr>
        <w:t>ETC</w:t>
      </w:r>
      <w:r w:rsidRPr="005904EA" w:rsidR="000A1BD9">
        <w:rPr>
          <w:sz w:val="22"/>
          <w:szCs w:val="22"/>
        </w:rPr>
        <w:t>)</w:t>
      </w:r>
      <w:r w:rsidRPr="005904EA" w:rsidR="00726836">
        <w:rPr>
          <w:sz w:val="22"/>
          <w:szCs w:val="22"/>
        </w:rPr>
        <w:t xml:space="preserve"> designation process.  In the </w:t>
      </w:r>
      <w:r w:rsidRPr="005904EA" w:rsidR="00726836">
        <w:rPr>
          <w:i/>
          <w:sz w:val="22"/>
          <w:szCs w:val="22"/>
        </w:rPr>
        <w:t>Phase II Auction Order</w:t>
      </w:r>
      <w:r w:rsidRPr="005904EA" w:rsidR="00726836">
        <w:rPr>
          <w:sz w:val="22"/>
          <w:szCs w:val="22"/>
        </w:rPr>
        <w:t xml:space="preserve">, WC Docket No. 10-90 et al., FCC 16-64, the Commission adopted rules to </w:t>
      </w:r>
      <w:r w:rsidRPr="005904EA" w:rsidR="000A1BD9">
        <w:rPr>
          <w:sz w:val="22"/>
          <w:szCs w:val="22"/>
        </w:rPr>
        <w:t>govern</w:t>
      </w:r>
      <w:r w:rsidRPr="005904EA" w:rsidR="00726836">
        <w:rPr>
          <w:sz w:val="22"/>
          <w:szCs w:val="22"/>
        </w:rPr>
        <w:t xml:space="preserve"> the </w:t>
      </w:r>
      <w:r w:rsidRPr="005904EA" w:rsidR="00B77DA8">
        <w:rPr>
          <w:sz w:val="22"/>
          <w:szCs w:val="22"/>
        </w:rPr>
        <w:t xml:space="preserve">CAF </w:t>
      </w:r>
      <w:r w:rsidRPr="005904EA" w:rsidR="008F1994">
        <w:rPr>
          <w:sz w:val="22"/>
          <w:szCs w:val="22"/>
        </w:rPr>
        <w:t xml:space="preserve">Phase </w:t>
      </w:r>
      <w:r w:rsidRPr="005904EA" w:rsidR="00726836">
        <w:rPr>
          <w:sz w:val="22"/>
          <w:szCs w:val="22"/>
        </w:rPr>
        <w:t>II auction, including the adoption of a two-stage application process</w:t>
      </w:r>
      <w:r w:rsidRPr="005904EA" w:rsidR="00434FF8">
        <w:rPr>
          <w:sz w:val="22"/>
          <w:szCs w:val="22"/>
        </w:rPr>
        <w:t>,</w:t>
      </w:r>
      <w:r w:rsidRPr="005904EA" w:rsidR="00726836">
        <w:rPr>
          <w:sz w:val="22"/>
          <w:szCs w:val="22"/>
        </w:rPr>
        <w:t xml:space="preserve"> which includes a </w:t>
      </w:r>
      <w:r w:rsidRPr="005904EA" w:rsidR="007C3F8D">
        <w:rPr>
          <w:sz w:val="22"/>
          <w:szCs w:val="22"/>
        </w:rPr>
        <w:t xml:space="preserve">pre-auction </w:t>
      </w:r>
      <w:r w:rsidRPr="005904EA" w:rsidR="00726836">
        <w:rPr>
          <w:sz w:val="22"/>
          <w:szCs w:val="22"/>
        </w:rPr>
        <w:t xml:space="preserve">short-form application </w:t>
      </w:r>
      <w:r w:rsidRPr="005904EA" w:rsidR="007C3F8D">
        <w:rPr>
          <w:sz w:val="22"/>
          <w:szCs w:val="22"/>
        </w:rPr>
        <w:t xml:space="preserve">to be </w:t>
      </w:r>
      <w:r w:rsidRPr="005904EA" w:rsidR="00726836">
        <w:rPr>
          <w:sz w:val="22"/>
          <w:szCs w:val="22"/>
        </w:rPr>
        <w:t xml:space="preserve">submitted by parties interested in bidding in the </w:t>
      </w:r>
      <w:r w:rsidRPr="005904EA" w:rsidR="00B77DA8">
        <w:rPr>
          <w:sz w:val="22"/>
          <w:szCs w:val="22"/>
        </w:rPr>
        <w:t xml:space="preserve">CAF </w:t>
      </w:r>
      <w:r w:rsidRPr="005904EA" w:rsidR="008F1994">
        <w:rPr>
          <w:sz w:val="22"/>
          <w:szCs w:val="22"/>
        </w:rPr>
        <w:t xml:space="preserve">Phase </w:t>
      </w:r>
      <w:r w:rsidRPr="005904EA" w:rsidR="00726836">
        <w:rPr>
          <w:sz w:val="22"/>
          <w:szCs w:val="22"/>
        </w:rPr>
        <w:t xml:space="preserve">II auction and a </w:t>
      </w:r>
      <w:r w:rsidRPr="005904EA" w:rsidR="007C3F8D">
        <w:rPr>
          <w:sz w:val="22"/>
          <w:szCs w:val="22"/>
        </w:rPr>
        <w:t xml:space="preserve">post-auction </w:t>
      </w:r>
      <w:r w:rsidRPr="005904EA" w:rsidR="00726836">
        <w:rPr>
          <w:sz w:val="22"/>
          <w:szCs w:val="22"/>
        </w:rPr>
        <w:t xml:space="preserve">long-form application </w:t>
      </w:r>
      <w:r w:rsidRPr="005904EA" w:rsidR="007C3F8D">
        <w:rPr>
          <w:sz w:val="22"/>
          <w:szCs w:val="22"/>
        </w:rPr>
        <w:t xml:space="preserve">that must be </w:t>
      </w:r>
      <w:r w:rsidRPr="005904EA" w:rsidR="00726836">
        <w:rPr>
          <w:sz w:val="22"/>
          <w:szCs w:val="22"/>
        </w:rPr>
        <w:t>submitted by winning bidders seeking to be</w:t>
      </w:r>
      <w:r w:rsidRPr="005904EA" w:rsidR="007C3F8D">
        <w:rPr>
          <w:sz w:val="22"/>
          <w:szCs w:val="22"/>
        </w:rPr>
        <w:t>come</w:t>
      </w:r>
      <w:r w:rsidRPr="005904EA" w:rsidR="00726836">
        <w:rPr>
          <w:sz w:val="22"/>
          <w:szCs w:val="22"/>
        </w:rPr>
        <w:t xml:space="preserve"> authorized to receive </w:t>
      </w:r>
      <w:r w:rsidRPr="005904EA" w:rsidR="00B77DA8">
        <w:rPr>
          <w:sz w:val="22"/>
          <w:szCs w:val="22"/>
        </w:rPr>
        <w:t xml:space="preserve">CAF </w:t>
      </w:r>
      <w:r w:rsidRPr="005904EA" w:rsidR="008F1994">
        <w:rPr>
          <w:sz w:val="22"/>
          <w:szCs w:val="22"/>
        </w:rPr>
        <w:t xml:space="preserve">Phase </w:t>
      </w:r>
      <w:r w:rsidRPr="005904EA" w:rsidR="00726836">
        <w:rPr>
          <w:sz w:val="22"/>
          <w:szCs w:val="22"/>
        </w:rPr>
        <w:t xml:space="preserve">II auction support.  </w:t>
      </w:r>
      <w:r w:rsidRPr="005904EA" w:rsidR="007C3F8D">
        <w:rPr>
          <w:sz w:val="22"/>
          <w:szCs w:val="22"/>
        </w:rPr>
        <w:t>The Commission concluded, b</w:t>
      </w:r>
      <w:r w:rsidRPr="005904EA" w:rsidR="00726836">
        <w:rPr>
          <w:sz w:val="22"/>
          <w:szCs w:val="22"/>
        </w:rPr>
        <w:t xml:space="preserve">ased on </w:t>
      </w:r>
      <w:r w:rsidRPr="005904EA" w:rsidR="007C3F8D">
        <w:rPr>
          <w:sz w:val="22"/>
          <w:szCs w:val="22"/>
        </w:rPr>
        <w:t xml:space="preserve">its </w:t>
      </w:r>
      <w:r w:rsidRPr="005904EA" w:rsidR="00726836">
        <w:rPr>
          <w:sz w:val="22"/>
          <w:szCs w:val="22"/>
        </w:rPr>
        <w:t xml:space="preserve">experience with auctions and consistent with the record, </w:t>
      </w:r>
      <w:r w:rsidRPr="005904EA" w:rsidR="007C3F8D">
        <w:rPr>
          <w:sz w:val="22"/>
          <w:szCs w:val="22"/>
        </w:rPr>
        <w:t xml:space="preserve">that </w:t>
      </w:r>
      <w:r w:rsidRPr="005904EA" w:rsidR="00726836">
        <w:rPr>
          <w:sz w:val="22"/>
          <w:szCs w:val="22"/>
        </w:rPr>
        <w:t>this two-</w:t>
      </w:r>
      <w:r w:rsidRPr="005904EA" w:rsidR="00726836">
        <w:rPr>
          <w:sz w:val="22"/>
          <w:szCs w:val="22"/>
        </w:rPr>
        <w:t xml:space="preserve">stage </w:t>
      </w:r>
      <w:r w:rsidRPr="005904EA" w:rsidR="007C3F8D">
        <w:rPr>
          <w:sz w:val="22"/>
          <w:szCs w:val="22"/>
        </w:rPr>
        <w:t>application process</w:t>
      </w:r>
      <w:r w:rsidRPr="005904EA" w:rsidR="00726836">
        <w:rPr>
          <w:sz w:val="22"/>
          <w:szCs w:val="22"/>
        </w:rPr>
        <w:t xml:space="preserve"> balances the need to collect information essential to conduct</w:t>
      </w:r>
      <w:r w:rsidRPr="005904EA" w:rsidR="007C3F8D">
        <w:rPr>
          <w:sz w:val="22"/>
          <w:szCs w:val="22"/>
        </w:rPr>
        <w:t>ing</w:t>
      </w:r>
      <w:r w:rsidRPr="005904EA" w:rsidR="00726836">
        <w:rPr>
          <w:sz w:val="22"/>
          <w:szCs w:val="22"/>
        </w:rPr>
        <w:t xml:space="preserve"> a successful auction </w:t>
      </w:r>
      <w:r w:rsidRPr="005904EA" w:rsidR="007C3F8D">
        <w:rPr>
          <w:sz w:val="22"/>
          <w:szCs w:val="22"/>
        </w:rPr>
        <w:t xml:space="preserve">and authorizing </w:t>
      </w:r>
      <w:r w:rsidRPr="005904EA" w:rsidR="00B77DA8">
        <w:rPr>
          <w:sz w:val="22"/>
          <w:szCs w:val="22"/>
        </w:rPr>
        <w:t xml:space="preserve">CAF </w:t>
      </w:r>
      <w:r w:rsidRPr="005904EA" w:rsidR="007C3F8D">
        <w:rPr>
          <w:sz w:val="22"/>
          <w:szCs w:val="22"/>
        </w:rPr>
        <w:t xml:space="preserve">Phase II support </w:t>
      </w:r>
      <w:r w:rsidRPr="005904EA" w:rsidR="00726836">
        <w:rPr>
          <w:sz w:val="22"/>
          <w:szCs w:val="22"/>
        </w:rPr>
        <w:t xml:space="preserve">with administrative efficiency. </w:t>
      </w:r>
    </w:p>
    <w:p w:rsidR="008D5409" w:rsidRPr="005904EA" w:rsidP="005904EA" w14:paraId="1D777BB1" w14:textId="77777777">
      <w:pPr>
        <w:rPr>
          <w:sz w:val="22"/>
          <w:szCs w:val="22"/>
        </w:rPr>
      </w:pPr>
    </w:p>
    <w:p w:rsidR="00114554" w:rsidRPr="005904EA" w:rsidP="005904EA" w14:paraId="0BD102DB" w14:textId="77777777">
      <w:pPr>
        <w:rPr>
          <w:sz w:val="22"/>
          <w:szCs w:val="22"/>
        </w:rPr>
      </w:pPr>
      <w:r w:rsidRPr="005904EA">
        <w:rPr>
          <w:sz w:val="22"/>
          <w:szCs w:val="22"/>
        </w:rPr>
        <w:t xml:space="preserve">On January 30, 2018, the </w:t>
      </w:r>
      <w:r w:rsidRPr="005904EA" w:rsidR="00CE4A88">
        <w:rPr>
          <w:sz w:val="22"/>
          <w:szCs w:val="22"/>
        </w:rPr>
        <w:t>Commission</w:t>
      </w:r>
      <w:r w:rsidRPr="005904EA">
        <w:rPr>
          <w:sz w:val="22"/>
          <w:szCs w:val="22"/>
        </w:rPr>
        <w:t xml:space="preserve"> adopted a public notice that establishe</w:t>
      </w:r>
      <w:r w:rsidRPr="005904EA" w:rsidR="008317B9">
        <w:rPr>
          <w:sz w:val="22"/>
          <w:szCs w:val="22"/>
        </w:rPr>
        <w:t>d</w:t>
      </w:r>
      <w:r w:rsidRPr="005904EA">
        <w:rPr>
          <w:sz w:val="22"/>
          <w:szCs w:val="22"/>
        </w:rPr>
        <w:t xml:space="preserve"> the final procedures for the </w:t>
      </w:r>
      <w:r w:rsidRPr="005904EA" w:rsidR="00B77DA8">
        <w:rPr>
          <w:sz w:val="22"/>
          <w:szCs w:val="22"/>
        </w:rPr>
        <w:t xml:space="preserve">CAF </w:t>
      </w:r>
      <w:r w:rsidRPr="005904EA" w:rsidR="008F1994">
        <w:rPr>
          <w:sz w:val="22"/>
          <w:szCs w:val="22"/>
        </w:rPr>
        <w:t>Phase II</w:t>
      </w:r>
      <w:r w:rsidRPr="005904EA">
        <w:rPr>
          <w:sz w:val="22"/>
          <w:szCs w:val="22"/>
        </w:rPr>
        <w:t xml:space="preserve"> auction, including the </w:t>
      </w:r>
      <w:r w:rsidRPr="005904EA" w:rsidR="00B451E8">
        <w:rPr>
          <w:sz w:val="22"/>
          <w:szCs w:val="22"/>
        </w:rPr>
        <w:t xml:space="preserve">long-form </w:t>
      </w:r>
      <w:r w:rsidRPr="005904EA">
        <w:rPr>
          <w:sz w:val="22"/>
          <w:szCs w:val="22"/>
        </w:rPr>
        <w:t xml:space="preserve">application disclosure and certification requirements for </w:t>
      </w:r>
      <w:r w:rsidRPr="005904EA" w:rsidR="00B451E8">
        <w:rPr>
          <w:sz w:val="22"/>
          <w:szCs w:val="22"/>
        </w:rPr>
        <w:t>winning bidders seeking to be</w:t>
      </w:r>
      <w:r w:rsidRPr="005904EA" w:rsidR="007C3F8D">
        <w:rPr>
          <w:sz w:val="22"/>
          <w:szCs w:val="22"/>
        </w:rPr>
        <w:t>come</w:t>
      </w:r>
      <w:r w:rsidRPr="005904EA" w:rsidR="00B451E8">
        <w:rPr>
          <w:sz w:val="22"/>
          <w:szCs w:val="22"/>
        </w:rPr>
        <w:t xml:space="preserve"> authorized to receive </w:t>
      </w:r>
      <w:r w:rsidRPr="005904EA" w:rsidR="00B77DA8">
        <w:rPr>
          <w:sz w:val="22"/>
          <w:szCs w:val="22"/>
        </w:rPr>
        <w:t xml:space="preserve">CAF </w:t>
      </w:r>
      <w:r w:rsidRPr="005904EA" w:rsidR="008F1994">
        <w:rPr>
          <w:sz w:val="22"/>
          <w:szCs w:val="22"/>
        </w:rPr>
        <w:t>Phase II</w:t>
      </w:r>
      <w:r w:rsidRPr="005904EA" w:rsidR="00B451E8">
        <w:rPr>
          <w:sz w:val="22"/>
          <w:szCs w:val="22"/>
        </w:rPr>
        <w:t xml:space="preserve"> auction support</w:t>
      </w:r>
      <w:r w:rsidRPr="005904EA">
        <w:rPr>
          <w:sz w:val="22"/>
          <w:szCs w:val="22"/>
        </w:rPr>
        <w:t xml:space="preserve">.  </w:t>
      </w:r>
      <w:r w:rsidRPr="005904EA">
        <w:rPr>
          <w:i/>
          <w:sz w:val="22"/>
          <w:szCs w:val="22"/>
        </w:rPr>
        <w:t>See Phase II Auction Procedures Public Notice</w:t>
      </w:r>
      <w:r w:rsidRPr="005904EA">
        <w:rPr>
          <w:sz w:val="22"/>
          <w:szCs w:val="22"/>
        </w:rPr>
        <w:t>, WC Docket No. 17-182 et al., FCC 18-6.</w:t>
      </w:r>
      <w:r w:rsidRPr="005904EA" w:rsidR="00CE4A88">
        <w:rPr>
          <w:sz w:val="22"/>
          <w:szCs w:val="22"/>
        </w:rPr>
        <w:t xml:space="preserve">  The Commission also adopted the </w:t>
      </w:r>
      <w:r w:rsidRPr="005904EA" w:rsidR="00CE4A88">
        <w:rPr>
          <w:i/>
          <w:sz w:val="22"/>
          <w:szCs w:val="22"/>
        </w:rPr>
        <w:t>Phase II Auction Order on Reconsideration</w:t>
      </w:r>
      <w:r w:rsidRPr="005904EA" w:rsidR="00CE4A88">
        <w:rPr>
          <w:sz w:val="22"/>
          <w:szCs w:val="22"/>
        </w:rPr>
        <w:t>, WC Docket No. 10-90 et al., FCC 18-5</w:t>
      </w:r>
      <w:r w:rsidRPr="005904EA" w:rsidR="00F323BD">
        <w:rPr>
          <w:sz w:val="22"/>
          <w:szCs w:val="22"/>
        </w:rPr>
        <w:t>, which</w:t>
      </w:r>
      <w:r w:rsidRPr="005904EA" w:rsidR="00CE4A88">
        <w:rPr>
          <w:sz w:val="22"/>
          <w:szCs w:val="22"/>
        </w:rPr>
        <w:t xml:space="preserve"> modified the Commission’s letter of credit rules to provide some additional relief for </w:t>
      </w:r>
      <w:r w:rsidRPr="005904EA" w:rsidR="00B77DA8">
        <w:rPr>
          <w:sz w:val="22"/>
          <w:szCs w:val="22"/>
        </w:rPr>
        <w:t xml:space="preserve">CAF </w:t>
      </w:r>
      <w:r w:rsidRPr="005904EA" w:rsidR="00CE4A88">
        <w:rPr>
          <w:sz w:val="22"/>
          <w:szCs w:val="22"/>
        </w:rPr>
        <w:t xml:space="preserve">Phase II auction </w:t>
      </w:r>
      <w:r w:rsidRPr="005904EA" w:rsidR="008317B9">
        <w:rPr>
          <w:sz w:val="22"/>
          <w:szCs w:val="22"/>
        </w:rPr>
        <w:t xml:space="preserve">support </w:t>
      </w:r>
      <w:r w:rsidRPr="005904EA" w:rsidR="00CE4A88">
        <w:rPr>
          <w:sz w:val="22"/>
          <w:szCs w:val="22"/>
        </w:rPr>
        <w:t xml:space="preserve">recipients by reducing the costs of maintaining a letter of credit. </w:t>
      </w:r>
      <w:r w:rsidRPr="005904EA" w:rsidR="00F761AE">
        <w:rPr>
          <w:sz w:val="22"/>
          <w:szCs w:val="22"/>
        </w:rPr>
        <w:t xml:space="preserve"> </w:t>
      </w:r>
      <w:bookmarkStart w:id="0" w:name="_Hlk126593525"/>
      <w:r w:rsidRPr="005904EA" w:rsidR="00980D41">
        <w:rPr>
          <w:sz w:val="22"/>
          <w:szCs w:val="22"/>
        </w:rPr>
        <w:t xml:space="preserve">On January 19, 2023, </w:t>
      </w:r>
      <w:r w:rsidRPr="005904EA" w:rsidR="00D73D92">
        <w:rPr>
          <w:sz w:val="22"/>
          <w:szCs w:val="22"/>
        </w:rPr>
        <w:t>WCB</w:t>
      </w:r>
      <w:r w:rsidRPr="005904EA" w:rsidR="00980D41">
        <w:rPr>
          <w:sz w:val="22"/>
          <w:szCs w:val="22"/>
        </w:rPr>
        <w:t xml:space="preserve"> released a public notice announcing that </w:t>
      </w:r>
      <w:r w:rsidRPr="005904EA" w:rsidR="0085266F">
        <w:rPr>
          <w:sz w:val="22"/>
          <w:szCs w:val="22"/>
        </w:rPr>
        <w:t>the Commission had</w:t>
      </w:r>
      <w:r w:rsidRPr="005904EA" w:rsidR="00980D41">
        <w:rPr>
          <w:sz w:val="22"/>
          <w:szCs w:val="22"/>
        </w:rPr>
        <w:t xml:space="preserve"> concluded its review of CAF Phase II auction long-form applications</w:t>
      </w:r>
      <w:r w:rsidRPr="005904EA" w:rsidR="00980D41">
        <w:rPr>
          <w:i/>
          <w:iCs/>
          <w:sz w:val="22"/>
          <w:szCs w:val="22"/>
        </w:rPr>
        <w:t>.  See WCB Concludes CAF II Application Review, Long-Forms Made Public</w:t>
      </w:r>
      <w:r w:rsidRPr="005904EA" w:rsidR="00980D41">
        <w:rPr>
          <w:sz w:val="22"/>
          <w:szCs w:val="22"/>
        </w:rPr>
        <w:t>, AU Docket No. 17-182 et al., DA 23-49.</w:t>
      </w:r>
      <w:bookmarkEnd w:id="0"/>
    </w:p>
    <w:p w:rsidR="00114554" w:rsidRPr="005904EA" w:rsidP="005904EA" w14:paraId="6C673EF5" w14:textId="77777777">
      <w:pPr>
        <w:ind w:firstLine="360"/>
        <w:rPr>
          <w:sz w:val="22"/>
          <w:szCs w:val="22"/>
        </w:rPr>
      </w:pPr>
    </w:p>
    <w:p w:rsidR="00114554" w:rsidRPr="005904EA" w:rsidP="005904EA" w14:paraId="4FE72E12" w14:textId="77777777">
      <w:pPr>
        <w:rPr>
          <w:b/>
          <w:bCs/>
          <w:sz w:val="22"/>
          <w:szCs w:val="22"/>
        </w:rPr>
      </w:pPr>
      <w:r w:rsidRPr="005904EA">
        <w:rPr>
          <w:b/>
          <w:bCs/>
          <w:sz w:val="22"/>
          <w:szCs w:val="22"/>
        </w:rPr>
        <w:t>Rural Digital Opportunity Fund Auction</w:t>
      </w:r>
    </w:p>
    <w:p w:rsidR="00114554" w:rsidRPr="005904EA" w:rsidP="005904EA" w14:paraId="72DF461F" w14:textId="77777777">
      <w:pPr>
        <w:ind w:firstLine="360"/>
        <w:rPr>
          <w:b/>
          <w:bCs/>
          <w:sz w:val="22"/>
          <w:szCs w:val="22"/>
        </w:rPr>
      </w:pPr>
    </w:p>
    <w:p w:rsidR="00114554" w:rsidRPr="005904EA" w:rsidP="005904EA" w14:paraId="7A920E71" w14:textId="77777777">
      <w:pPr>
        <w:autoSpaceDE w:val="0"/>
        <w:autoSpaceDN w:val="0"/>
        <w:adjustRightInd w:val="0"/>
        <w:rPr>
          <w:sz w:val="22"/>
          <w:szCs w:val="22"/>
        </w:rPr>
      </w:pPr>
      <w:r w:rsidRPr="005904EA">
        <w:rPr>
          <w:sz w:val="22"/>
          <w:szCs w:val="22"/>
        </w:rPr>
        <w:t xml:space="preserve">On </w:t>
      </w:r>
      <w:r w:rsidRPr="005904EA" w:rsidR="004A2122">
        <w:rPr>
          <w:sz w:val="22"/>
          <w:szCs w:val="22"/>
        </w:rPr>
        <w:t>February 7, 2020</w:t>
      </w:r>
      <w:r w:rsidRPr="005904EA">
        <w:rPr>
          <w:sz w:val="22"/>
          <w:szCs w:val="22"/>
        </w:rPr>
        <w:t xml:space="preserve"> the Commission released the </w:t>
      </w:r>
      <w:r w:rsidRPr="005904EA">
        <w:rPr>
          <w:i/>
          <w:sz w:val="22"/>
          <w:szCs w:val="22"/>
        </w:rPr>
        <w:t>Rural Digital Opportunity Fund Order,</w:t>
      </w:r>
      <w:r w:rsidRPr="005904EA">
        <w:rPr>
          <w:sz w:val="22"/>
          <w:szCs w:val="22"/>
        </w:rPr>
        <w:t xml:space="preserve"> WC Docket Nos. 19-126, 10-90, FCC 20-</w:t>
      </w:r>
      <w:r w:rsidRPr="005904EA" w:rsidR="004A2122">
        <w:rPr>
          <w:sz w:val="22"/>
          <w:szCs w:val="22"/>
        </w:rPr>
        <w:t>5</w:t>
      </w:r>
      <w:r w:rsidRPr="005904EA">
        <w:rPr>
          <w:sz w:val="22"/>
          <w:szCs w:val="22"/>
        </w:rPr>
        <w:t xml:space="preserve"> which will commit up to $20.4 billion over the next decade to support up to gigabit speed broadband networks in rural America.  </w:t>
      </w:r>
      <w:r w:rsidRPr="005904EA" w:rsidR="00463F1B">
        <w:rPr>
          <w:sz w:val="22"/>
          <w:szCs w:val="22"/>
        </w:rPr>
        <w:t>F</w:t>
      </w:r>
      <w:r w:rsidRPr="005904EA">
        <w:rPr>
          <w:sz w:val="22"/>
          <w:szCs w:val="22"/>
        </w:rPr>
        <w:t xml:space="preserve">unding </w:t>
      </w:r>
      <w:r w:rsidRPr="005904EA" w:rsidR="001B4B21">
        <w:rPr>
          <w:sz w:val="22"/>
          <w:szCs w:val="22"/>
        </w:rPr>
        <w:t>was</w:t>
      </w:r>
      <w:r w:rsidRPr="005904EA">
        <w:rPr>
          <w:sz w:val="22"/>
          <w:szCs w:val="22"/>
        </w:rPr>
        <w:t xml:space="preserve"> allocated through a multi-round, reverse, descending clock auction that favor</w:t>
      </w:r>
      <w:r w:rsidRPr="005904EA" w:rsidR="001B4B21">
        <w:rPr>
          <w:sz w:val="22"/>
          <w:szCs w:val="22"/>
        </w:rPr>
        <w:t>ed</w:t>
      </w:r>
      <w:r w:rsidRPr="005904EA">
        <w:rPr>
          <w:sz w:val="22"/>
          <w:szCs w:val="22"/>
        </w:rPr>
        <w:t xml:space="preserve"> faster services with lower latency and encourage</w:t>
      </w:r>
      <w:r w:rsidRPr="005904EA" w:rsidR="001B4B21">
        <w:rPr>
          <w:sz w:val="22"/>
          <w:szCs w:val="22"/>
        </w:rPr>
        <w:t>d</w:t>
      </w:r>
      <w:r w:rsidRPr="005904EA">
        <w:rPr>
          <w:sz w:val="22"/>
          <w:szCs w:val="22"/>
        </w:rPr>
        <w:t xml:space="preserve"> intermodal competition in order to ensure that the greatest possible number of Americans will be connected to the best possible networks, all at a competitive cost. </w:t>
      </w:r>
    </w:p>
    <w:p w:rsidR="00114554" w:rsidRPr="005904EA" w:rsidP="005904EA" w14:paraId="5040F691" w14:textId="77777777">
      <w:pPr>
        <w:rPr>
          <w:sz w:val="22"/>
          <w:szCs w:val="22"/>
        </w:rPr>
      </w:pPr>
    </w:p>
    <w:p w:rsidR="00114554" w:rsidRPr="005904EA" w:rsidP="005904EA" w14:paraId="673FF9B5" w14:textId="77777777">
      <w:pPr>
        <w:rPr>
          <w:sz w:val="22"/>
          <w:szCs w:val="22"/>
        </w:rPr>
      </w:pPr>
      <w:r w:rsidRPr="005904EA">
        <w:rPr>
          <w:sz w:val="22"/>
          <w:szCs w:val="22"/>
        </w:rPr>
        <w:t>To implement the Rural Digital Opportunity Fund auction</w:t>
      </w:r>
      <w:r w:rsidRPr="005904EA" w:rsidR="003D14B2">
        <w:rPr>
          <w:sz w:val="22"/>
          <w:szCs w:val="22"/>
        </w:rPr>
        <w:t xml:space="preserve"> (or Auction 904)</w:t>
      </w:r>
      <w:r w:rsidRPr="005904EA">
        <w:rPr>
          <w:sz w:val="22"/>
          <w:szCs w:val="22"/>
        </w:rPr>
        <w:t xml:space="preserve">, the Commission adopted new rules for the Rural Digital Opportunity Fund auction, including the adoption of a two-stage application process.  </w:t>
      </w:r>
      <w:r w:rsidRPr="005904EA" w:rsidR="00B77DA8">
        <w:rPr>
          <w:sz w:val="22"/>
          <w:szCs w:val="22"/>
        </w:rPr>
        <w:t>Like with the CAF Phase II auction, this process include</w:t>
      </w:r>
      <w:r w:rsidRPr="005904EA" w:rsidR="00883DBD">
        <w:rPr>
          <w:sz w:val="22"/>
          <w:szCs w:val="22"/>
        </w:rPr>
        <w:t>d</w:t>
      </w:r>
      <w:r w:rsidRPr="005904EA" w:rsidR="00B77DA8">
        <w:rPr>
          <w:sz w:val="22"/>
          <w:szCs w:val="22"/>
        </w:rPr>
        <w:t xml:space="preserve"> a pre-auction short-form application submitted by parties interested in bidding in the Rural Digital Opportunity Fund auction</w:t>
      </w:r>
      <w:r w:rsidRPr="005904EA" w:rsidR="00104729">
        <w:rPr>
          <w:sz w:val="22"/>
          <w:szCs w:val="22"/>
        </w:rPr>
        <w:t xml:space="preserve"> (FCC </w:t>
      </w:r>
      <w:r w:rsidRPr="005904EA" w:rsidR="003A64BC">
        <w:rPr>
          <w:sz w:val="22"/>
          <w:szCs w:val="22"/>
        </w:rPr>
        <w:t>Form</w:t>
      </w:r>
      <w:r w:rsidRPr="005904EA" w:rsidR="00510A97">
        <w:rPr>
          <w:sz w:val="22"/>
          <w:szCs w:val="22"/>
        </w:rPr>
        <w:t xml:space="preserve"> </w:t>
      </w:r>
      <w:r w:rsidRPr="005904EA" w:rsidR="00104729">
        <w:rPr>
          <w:sz w:val="22"/>
          <w:szCs w:val="22"/>
        </w:rPr>
        <w:t>183)</w:t>
      </w:r>
      <w:r w:rsidRPr="005904EA" w:rsidR="00B77DA8">
        <w:rPr>
          <w:sz w:val="22"/>
          <w:szCs w:val="22"/>
        </w:rPr>
        <w:t xml:space="preserve"> and a post-auction long-form application that must be submitted by winning bidders</w:t>
      </w:r>
      <w:r w:rsidRPr="005904EA" w:rsidR="009F4660">
        <w:rPr>
          <w:sz w:val="22"/>
          <w:szCs w:val="22"/>
        </w:rPr>
        <w:t xml:space="preserve"> (or their designees)</w:t>
      </w:r>
      <w:r w:rsidRPr="005904EA" w:rsidR="00B77DA8">
        <w:rPr>
          <w:sz w:val="22"/>
          <w:szCs w:val="22"/>
        </w:rPr>
        <w:t xml:space="preserve"> seeking to become authorized to receive Rural Digital Opportunity Fund support</w:t>
      </w:r>
      <w:r w:rsidRPr="005904EA" w:rsidR="00104729">
        <w:rPr>
          <w:sz w:val="22"/>
          <w:szCs w:val="22"/>
        </w:rPr>
        <w:t xml:space="preserve"> (FCC</w:t>
      </w:r>
      <w:r w:rsidRPr="005904EA" w:rsidR="003A64BC">
        <w:rPr>
          <w:sz w:val="22"/>
          <w:szCs w:val="22"/>
        </w:rPr>
        <w:t xml:space="preserve"> Form</w:t>
      </w:r>
      <w:r w:rsidRPr="005904EA" w:rsidR="00104729">
        <w:rPr>
          <w:sz w:val="22"/>
          <w:szCs w:val="22"/>
        </w:rPr>
        <w:t xml:space="preserve"> 683)</w:t>
      </w:r>
      <w:r w:rsidRPr="005904EA" w:rsidR="00B77DA8">
        <w:rPr>
          <w:sz w:val="22"/>
          <w:szCs w:val="22"/>
        </w:rPr>
        <w:t xml:space="preserve">.  The Commission </w:t>
      </w:r>
      <w:r w:rsidRPr="005904EA" w:rsidR="00423309">
        <w:rPr>
          <w:sz w:val="22"/>
          <w:szCs w:val="22"/>
        </w:rPr>
        <w:t>received approval</w:t>
      </w:r>
      <w:r w:rsidRPr="005904EA" w:rsidR="00B77DA8">
        <w:rPr>
          <w:sz w:val="22"/>
          <w:szCs w:val="22"/>
        </w:rPr>
        <w:t xml:space="preserve"> for the short-form application (FCC</w:t>
      </w:r>
      <w:r w:rsidRPr="005904EA" w:rsidR="00865A09">
        <w:rPr>
          <w:sz w:val="22"/>
          <w:szCs w:val="22"/>
        </w:rPr>
        <w:t xml:space="preserve"> Form</w:t>
      </w:r>
      <w:r w:rsidRPr="005904EA" w:rsidR="00B77DA8">
        <w:rPr>
          <w:sz w:val="22"/>
          <w:szCs w:val="22"/>
        </w:rPr>
        <w:t xml:space="preserve"> 183) in a separate collection</w:t>
      </w:r>
      <w:r w:rsidRPr="005904EA" w:rsidR="00104729">
        <w:rPr>
          <w:sz w:val="22"/>
          <w:szCs w:val="22"/>
        </w:rPr>
        <w:t xml:space="preserve"> under the OMB control number 3060-1252</w:t>
      </w:r>
      <w:r w:rsidRPr="005904EA" w:rsidR="00B77DA8">
        <w:rPr>
          <w:sz w:val="22"/>
          <w:szCs w:val="22"/>
        </w:rPr>
        <w:t xml:space="preserve">. </w:t>
      </w:r>
    </w:p>
    <w:p w:rsidR="00114554" w:rsidRPr="005904EA" w:rsidP="005904EA" w14:paraId="1C5B7736" w14:textId="77777777">
      <w:pPr>
        <w:rPr>
          <w:sz w:val="22"/>
          <w:szCs w:val="22"/>
        </w:rPr>
      </w:pPr>
    </w:p>
    <w:p w:rsidR="005F472F" w:rsidRPr="005904EA" w:rsidP="005904EA" w14:paraId="7958EC20" w14:textId="09469D46">
      <w:pPr>
        <w:autoSpaceDE w:val="0"/>
        <w:autoSpaceDN w:val="0"/>
        <w:adjustRightInd w:val="0"/>
        <w:rPr>
          <w:sz w:val="22"/>
          <w:szCs w:val="22"/>
        </w:rPr>
      </w:pPr>
      <w:r w:rsidRPr="005904EA">
        <w:rPr>
          <w:sz w:val="22"/>
          <w:szCs w:val="22"/>
        </w:rPr>
        <w:t xml:space="preserve">On September 30, 2025, </w:t>
      </w:r>
      <w:r w:rsidRPr="005904EA" w:rsidR="00F956C3">
        <w:rPr>
          <w:sz w:val="22"/>
          <w:szCs w:val="22"/>
        </w:rPr>
        <w:t xml:space="preserve">the Commission </w:t>
      </w:r>
      <w:r w:rsidRPr="005904EA">
        <w:rPr>
          <w:sz w:val="22"/>
          <w:szCs w:val="22"/>
        </w:rPr>
        <w:t xml:space="preserve">adopted an order that </w:t>
      </w:r>
      <w:r w:rsidRPr="005904EA" w:rsidR="00F956C3">
        <w:rPr>
          <w:sz w:val="22"/>
          <w:szCs w:val="22"/>
        </w:rPr>
        <w:t xml:space="preserve">conducted a comprehensive review of legacy requirements and determined that certain high-cost program rules no longer serve any operational purpose.  </w:t>
      </w:r>
      <w:r w:rsidRPr="005904EA">
        <w:rPr>
          <w:i/>
          <w:iCs/>
          <w:sz w:val="22"/>
          <w:szCs w:val="22"/>
        </w:rPr>
        <w:t xml:space="preserve">Delete, Delete </w:t>
      </w:r>
      <w:r w:rsidRPr="005904EA">
        <w:rPr>
          <w:i/>
          <w:iCs/>
          <w:sz w:val="22"/>
          <w:szCs w:val="22"/>
        </w:rPr>
        <w:t>Delete</w:t>
      </w:r>
      <w:r w:rsidRPr="005904EA">
        <w:rPr>
          <w:i/>
          <w:iCs/>
          <w:sz w:val="22"/>
          <w:szCs w:val="22"/>
        </w:rPr>
        <w:t>; Removal of Obsolete Regulations;</w:t>
      </w:r>
      <w:r w:rsidRPr="005904EA">
        <w:rPr>
          <w:sz w:val="22"/>
          <w:szCs w:val="22"/>
        </w:rPr>
        <w:t xml:space="preserve"> GN Docket No. 25-133, FCC 25-68 (rel. September 30, 2025) (</w:t>
      </w:r>
      <w:r w:rsidRPr="005904EA">
        <w:rPr>
          <w:i/>
          <w:iCs/>
          <w:sz w:val="22"/>
          <w:szCs w:val="22"/>
        </w:rPr>
        <w:t>Delete, Delete, Delete</w:t>
      </w:r>
      <w:r w:rsidRPr="005904EA">
        <w:rPr>
          <w:sz w:val="22"/>
          <w:szCs w:val="22"/>
        </w:rPr>
        <w:t>).  This requested change results from the Commission’s decision in that proceeding.  The Commission determined that 47 C.F.R. §§54.315(</w:t>
      </w:r>
      <w:r w:rsidRPr="005904EA" w:rsidR="00726836">
        <w:rPr>
          <w:sz w:val="22"/>
          <w:szCs w:val="22"/>
        </w:rPr>
        <w:t>a)-(b)</w:t>
      </w:r>
      <w:r w:rsidRPr="005904EA">
        <w:rPr>
          <w:sz w:val="22"/>
          <w:szCs w:val="22"/>
        </w:rPr>
        <w:t xml:space="preserve"> and 47 C.F.R. §§54.804</w:t>
      </w:r>
      <w:r w:rsidRPr="005904EA" w:rsidR="00726836">
        <w:rPr>
          <w:sz w:val="22"/>
          <w:szCs w:val="22"/>
        </w:rPr>
        <w:t>(a)-(b) are outdated and obsolete, and unnecessary because all associated proposals using FCC Form 683 have concluded.</w:t>
      </w:r>
    </w:p>
    <w:p w:rsidR="00726836" w:rsidRPr="005904EA" w:rsidP="005904EA" w14:paraId="0126A4BB" w14:textId="77777777">
      <w:pPr>
        <w:rPr>
          <w:sz w:val="22"/>
          <w:szCs w:val="22"/>
        </w:rPr>
      </w:pPr>
    </w:p>
    <w:p w:rsidR="00A71A21" w:rsidRPr="005904EA" w:rsidP="005904EA" w14:paraId="21C51A5C" w14:textId="0674CE1B">
      <w:pPr>
        <w:rPr>
          <w:sz w:val="22"/>
          <w:szCs w:val="22"/>
        </w:rPr>
      </w:pPr>
      <w:r w:rsidRPr="005904EA">
        <w:rPr>
          <w:sz w:val="22"/>
          <w:szCs w:val="22"/>
        </w:rPr>
        <w:t>T</w:t>
      </w:r>
      <w:r w:rsidRPr="005904EA">
        <w:rPr>
          <w:sz w:val="22"/>
          <w:szCs w:val="22"/>
        </w:rPr>
        <w:t xml:space="preserve">herefore, </w:t>
      </w:r>
      <w:r w:rsidRPr="005904EA">
        <w:rPr>
          <w:sz w:val="22"/>
          <w:szCs w:val="22"/>
        </w:rPr>
        <w:t xml:space="preserve">the Commission </w:t>
      </w:r>
      <w:r w:rsidRPr="005904EA">
        <w:rPr>
          <w:sz w:val="22"/>
          <w:szCs w:val="22"/>
        </w:rPr>
        <w:t>proposes to remove the</w:t>
      </w:r>
      <w:r w:rsidRPr="005904EA">
        <w:rPr>
          <w:sz w:val="22"/>
          <w:szCs w:val="22"/>
        </w:rPr>
        <w:t xml:space="preserve"> application requirement </w:t>
      </w:r>
      <w:r w:rsidRPr="005904EA">
        <w:rPr>
          <w:sz w:val="22"/>
          <w:szCs w:val="22"/>
        </w:rPr>
        <w:t xml:space="preserve">and retains only the limited ongoing requirements related to </w:t>
      </w:r>
      <w:r w:rsidRPr="005904EA">
        <w:rPr>
          <w:sz w:val="22"/>
          <w:szCs w:val="22"/>
        </w:rPr>
        <w:t xml:space="preserve">the </w:t>
      </w:r>
      <w:r w:rsidRPr="005904EA">
        <w:rPr>
          <w:sz w:val="22"/>
          <w:szCs w:val="22"/>
        </w:rPr>
        <w:t>annual maintenance of letters of credit under 47 C.F.R. §§54.315(c) CAF Phase II and §§54.804(c) RDOF.</w:t>
      </w:r>
    </w:p>
    <w:p w:rsidR="00095AE5" w:rsidRPr="005904EA" w:rsidP="005904EA" w14:paraId="1F4E2BA5" w14:textId="77777777">
      <w:pPr>
        <w:ind w:left="360"/>
        <w:rPr>
          <w:sz w:val="22"/>
          <w:szCs w:val="22"/>
        </w:rPr>
      </w:pPr>
    </w:p>
    <w:p w:rsidR="00B90272" w:rsidRPr="005904EA" w:rsidP="005904EA" w14:paraId="6E7C5B80" w14:textId="78734C02">
      <w:pPr>
        <w:rPr>
          <w:sz w:val="22"/>
          <w:szCs w:val="22"/>
        </w:rPr>
      </w:pPr>
      <w:r w:rsidRPr="005904EA">
        <w:rPr>
          <w:b/>
          <w:bCs/>
          <w:i/>
          <w:sz w:val="22"/>
          <w:szCs w:val="22"/>
        </w:rPr>
        <w:t>Currently Approved Requirements in this information collection</w:t>
      </w:r>
      <w:r w:rsidRPr="005904EA" w:rsidR="007E7FBC">
        <w:rPr>
          <w:b/>
          <w:bCs/>
          <w:i/>
          <w:sz w:val="22"/>
          <w:szCs w:val="22"/>
        </w:rPr>
        <w:t xml:space="preserve"> </w:t>
      </w:r>
      <w:r w:rsidRPr="005904EA">
        <w:rPr>
          <w:b/>
          <w:bCs/>
          <w:i/>
          <w:sz w:val="22"/>
          <w:szCs w:val="22"/>
        </w:rPr>
        <w:t xml:space="preserve">that are </w:t>
      </w:r>
      <w:r w:rsidRPr="005904EA" w:rsidR="00A71A21">
        <w:rPr>
          <w:b/>
          <w:bCs/>
          <w:i/>
          <w:sz w:val="22"/>
          <w:szCs w:val="22"/>
        </w:rPr>
        <w:t xml:space="preserve">being </w:t>
      </w:r>
      <w:r w:rsidRPr="005904EA" w:rsidR="005F472F">
        <w:rPr>
          <w:b/>
          <w:bCs/>
          <w:i/>
          <w:iCs/>
          <w:sz w:val="22"/>
          <w:szCs w:val="22"/>
        </w:rPr>
        <w:t>eliminated</w:t>
      </w:r>
      <w:r w:rsidRPr="005904EA">
        <w:rPr>
          <w:b/>
          <w:bCs/>
          <w:i/>
          <w:sz w:val="22"/>
          <w:szCs w:val="22"/>
        </w:rPr>
        <w:t>:</w:t>
      </w:r>
    </w:p>
    <w:p w:rsidR="00114554" w:rsidRPr="005904EA" w:rsidP="005904EA" w14:paraId="183C83B2" w14:textId="77777777">
      <w:pPr>
        <w:autoSpaceDE w:val="0"/>
        <w:autoSpaceDN w:val="0"/>
        <w:adjustRightInd w:val="0"/>
        <w:rPr>
          <w:b/>
          <w:sz w:val="22"/>
          <w:szCs w:val="22"/>
        </w:rPr>
      </w:pPr>
    </w:p>
    <w:p w:rsidR="005F472F" w:rsidRPr="005904EA" w:rsidP="005904EA" w14:paraId="1548952D" w14:textId="6733A2D5">
      <w:pPr>
        <w:numPr>
          <w:ilvl w:val="0"/>
          <w:numId w:val="7"/>
        </w:numPr>
        <w:rPr>
          <w:color w:val="000000"/>
          <w:sz w:val="22"/>
          <w:szCs w:val="22"/>
        </w:rPr>
      </w:pPr>
      <w:r w:rsidRPr="005904EA">
        <w:rPr>
          <w:sz w:val="22"/>
          <w:szCs w:val="22"/>
          <w:u w:val="single"/>
        </w:rPr>
        <w:t>Rural Digital Opportunity Fund Auction</w:t>
      </w:r>
      <w:r w:rsidRPr="005904EA">
        <w:rPr>
          <w:iCs/>
          <w:sz w:val="22"/>
          <w:szCs w:val="22"/>
          <w:u w:val="single"/>
        </w:rPr>
        <w:t xml:space="preserve"> </w:t>
      </w:r>
      <w:r w:rsidRPr="005904EA">
        <w:rPr>
          <w:sz w:val="22"/>
          <w:szCs w:val="22"/>
          <w:u w:val="single"/>
        </w:rPr>
        <w:t>Application by Winning Bidders for Rural Digital Opportunity Fund Support – Application Contents (FCC Form 683</w:t>
      </w:r>
      <w:r w:rsidRPr="005904EA">
        <w:rPr>
          <w:iCs/>
          <w:sz w:val="22"/>
          <w:szCs w:val="22"/>
          <w:u w:val="single"/>
        </w:rPr>
        <w:t>)</w:t>
      </w:r>
      <w:r w:rsidRPr="005904EA" w:rsidR="00DE0C45">
        <w:rPr>
          <w:iCs/>
          <w:sz w:val="22"/>
          <w:szCs w:val="22"/>
          <w:u w:val="single"/>
        </w:rPr>
        <w:t xml:space="preserve"> (See 12.a)</w:t>
      </w:r>
      <w:r w:rsidRPr="005904EA">
        <w:rPr>
          <w:sz w:val="22"/>
          <w:szCs w:val="22"/>
        </w:rPr>
        <w:t xml:space="preserve">:  Sections </w:t>
      </w:r>
      <w:r w:rsidRPr="005904EA">
        <w:rPr>
          <w:sz w:val="22"/>
          <w:szCs w:val="22"/>
        </w:rPr>
        <w:t xml:space="preserve">54.804(b) and (c) of the Commission’s rules specify the requirements for the information to be collected in applications submitted by winning bidders or their designated operating companies seeking to receive Rural Digital Opportunity Fund auction support, 47 CFR § 54.804(b), (c).  Specifically, each long-form applicant must submit the following within the number of business days after release of the </w:t>
      </w:r>
      <w:r w:rsidRPr="005904EA">
        <w:rPr>
          <w:i/>
          <w:sz w:val="22"/>
          <w:szCs w:val="22"/>
        </w:rPr>
        <w:t>Auction 904 Closing Public Notice</w:t>
      </w:r>
      <w:r w:rsidRPr="005904EA">
        <w:rPr>
          <w:sz w:val="22"/>
          <w:szCs w:val="22"/>
        </w:rPr>
        <w:t xml:space="preserve"> as provided by public notice or by the deadline noted below:</w:t>
      </w:r>
    </w:p>
    <w:p w:rsidR="005F472F" w:rsidRPr="005904EA" w:rsidP="005904EA" w14:paraId="1C8F9719" w14:textId="77777777">
      <w:pPr>
        <w:ind w:left="720"/>
        <w:rPr>
          <w:i/>
          <w:sz w:val="22"/>
          <w:szCs w:val="22"/>
        </w:rPr>
      </w:pPr>
    </w:p>
    <w:p w:rsidR="005F472F" w:rsidP="005904EA" w14:paraId="4BA452F4" w14:textId="77777777">
      <w:pPr>
        <w:ind w:left="720"/>
        <w:rPr>
          <w:sz w:val="22"/>
          <w:szCs w:val="22"/>
        </w:rPr>
      </w:pPr>
      <w:r w:rsidRPr="005904EA">
        <w:rPr>
          <w:sz w:val="22"/>
          <w:szCs w:val="22"/>
        </w:rPr>
        <w:t xml:space="preserve">1) The identification of the party seeking the support, including ownership information as set forth in section 1.2112(a) of the Commission’s rules, 47 CFR §§ 1.2112(a), 54.804(b)(2)(i).  </w:t>
      </w:r>
    </w:p>
    <w:p w:rsidR="005904EA" w:rsidRPr="005904EA" w:rsidP="005904EA" w14:paraId="198FE41A" w14:textId="77777777">
      <w:pPr>
        <w:ind w:left="720"/>
        <w:rPr>
          <w:sz w:val="22"/>
          <w:szCs w:val="22"/>
        </w:rPr>
      </w:pPr>
    </w:p>
    <w:p w:rsidR="005F472F" w:rsidP="005904EA" w14:paraId="7A0F2F4E" w14:textId="77777777">
      <w:pPr>
        <w:ind w:left="720"/>
        <w:rPr>
          <w:sz w:val="22"/>
          <w:szCs w:val="22"/>
        </w:rPr>
      </w:pPr>
      <w:r w:rsidRPr="005904EA">
        <w:rPr>
          <w:sz w:val="22"/>
          <w:szCs w:val="22"/>
        </w:rPr>
        <w:t>2) A certification that the long-form applicant is financially and technically qualified to meet the public interest obligations for each performance tier and latency combination and in each area for which it seeks to be authorized to receive support, 47 CFR § 54.804(b)(2)(ii).</w:t>
      </w:r>
    </w:p>
    <w:p w:rsidR="005904EA" w:rsidRPr="005904EA" w:rsidP="005904EA" w14:paraId="53514629" w14:textId="77777777">
      <w:pPr>
        <w:ind w:left="720"/>
        <w:rPr>
          <w:sz w:val="22"/>
          <w:szCs w:val="22"/>
        </w:rPr>
      </w:pPr>
    </w:p>
    <w:p w:rsidR="005F472F" w:rsidP="005904EA" w14:paraId="3396CD48" w14:textId="77777777">
      <w:pPr>
        <w:ind w:left="720"/>
        <w:rPr>
          <w:sz w:val="22"/>
          <w:szCs w:val="22"/>
        </w:rPr>
      </w:pPr>
      <w:r w:rsidRPr="005904EA">
        <w:rPr>
          <w:sz w:val="22"/>
          <w:szCs w:val="22"/>
        </w:rPr>
        <w:t>3) A certification that the long-form applicant will meet the relevant public interest obligations for each relevant performance tier and latency combination, including the requirement that it will offer service at rates that are equal or lower to the Commission’s reasonable comparability benchmarks for fixed services offered in urban areas, 47 CFR § 54.804(b)(2)(iii).</w:t>
      </w:r>
    </w:p>
    <w:p w:rsidR="005904EA" w:rsidRPr="005904EA" w:rsidP="005904EA" w14:paraId="688BF69B" w14:textId="77777777">
      <w:pPr>
        <w:ind w:left="720"/>
        <w:rPr>
          <w:sz w:val="22"/>
          <w:szCs w:val="22"/>
        </w:rPr>
      </w:pPr>
    </w:p>
    <w:p w:rsidR="005904EA" w:rsidP="005904EA" w14:paraId="47C7608B" w14:textId="77777777">
      <w:pPr>
        <w:ind w:left="720"/>
        <w:rPr>
          <w:sz w:val="22"/>
          <w:szCs w:val="22"/>
        </w:rPr>
      </w:pPr>
      <w:r w:rsidRPr="005904EA">
        <w:rPr>
          <w:sz w:val="22"/>
          <w:szCs w:val="22"/>
        </w:rPr>
        <w:t xml:space="preserve">4) A description of the technology and system design the long-form applicant intends to use to deliver voice and broadband service, including a network diagram which must be certified by a professional engineer.  The professional engineer must certify that the network can deliver to at least 95 percent of the required number of locations in each relevant state, voice and broadband service that meets the requisite performance requirements.  47 CFR § 54.804(b)(2)(iv).  A long-form applicant must submit a high-level overview of its intended technology and system design for each state in which winning bids were made within a certain number of business days after release of the </w:t>
      </w:r>
      <w:r w:rsidRPr="005904EA">
        <w:rPr>
          <w:i/>
          <w:sz w:val="22"/>
          <w:szCs w:val="22"/>
        </w:rPr>
        <w:t>Auction 904 Closing Public Notice</w:t>
      </w:r>
      <w:r w:rsidRPr="005904EA">
        <w:rPr>
          <w:iCs/>
          <w:sz w:val="22"/>
          <w:szCs w:val="22"/>
        </w:rPr>
        <w:t xml:space="preserve"> as provided by public notice</w:t>
      </w:r>
      <w:r w:rsidRPr="005904EA">
        <w:rPr>
          <w:sz w:val="22"/>
          <w:szCs w:val="22"/>
        </w:rPr>
        <w:t xml:space="preserve">, and must submit a more detailed description and the network diagram within a specified number of days after release of the </w:t>
      </w:r>
      <w:r w:rsidRPr="005904EA">
        <w:rPr>
          <w:i/>
          <w:sz w:val="22"/>
          <w:szCs w:val="22"/>
        </w:rPr>
        <w:t xml:space="preserve">Auction 904 Closing Public Notice </w:t>
      </w:r>
      <w:r w:rsidRPr="005904EA">
        <w:rPr>
          <w:iCs/>
          <w:sz w:val="22"/>
          <w:szCs w:val="22"/>
        </w:rPr>
        <w:t>as provided by public notice</w:t>
      </w:r>
      <w:r w:rsidRPr="005904EA">
        <w:rPr>
          <w:sz w:val="22"/>
          <w:szCs w:val="22"/>
        </w:rPr>
        <w:t xml:space="preserve">. </w:t>
      </w:r>
    </w:p>
    <w:p w:rsidR="005F472F" w:rsidRPr="005904EA" w:rsidP="005904EA" w14:paraId="3B4E0611" w14:textId="5C8079A4">
      <w:pPr>
        <w:ind w:left="720"/>
        <w:rPr>
          <w:sz w:val="22"/>
          <w:szCs w:val="22"/>
        </w:rPr>
      </w:pPr>
      <w:r w:rsidRPr="005904EA">
        <w:rPr>
          <w:sz w:val="22"/>
          <w:szCs w:val="22"/>
        </w:rPr>
        <w:t xml:space="preserve"> </w:t>
      </w:r>
    </w:p>
    <w:p w:rsidR="005F472F" w:rsidP="005904EA" w14:paraId="3B4B9BE2" w14:textId="77777777">
      <w:pPr>
        <w:ind w:left="720"/>
        <w:rPr>
          <w:sz w:val="22"/>
          <w:szCs w:val="22"/>
        </w:rPr>
      </w:pPr>
      <w:r w:rsidRPr="005904EA">
        <w:rPr>
          <w:sz w:val="22"/>
          <w:szCs w:val="22"/>
        </w:rPr>
        <w:t>5) A certification that the long-form applicant will have available funds for all project costs that exceed the amount of support to be received from the Rural Digital Opportunity fund auction for the first two years of its support term and that the long-form applicant will comply with all program requirements, including service milestones, 47 CFR § 54.804(b)(2)(v).</w:t>
      </w:r>
    </w:p>
    <w:p w:rsidR="005904EA" w:rsidRPr="005904EA" w:rsidP="005904EA" w14:paraId="24FE7A9F" w14:textId="77777777">
      <w:pPr>
        <w:ind w:left="720"/>
        <w:rPr>
          <w:sz w:val="22"/>
          <w:szCs w:val="22"/>
        </w:rPr>
      </w:pPr>
    </w:p>
    <w:p w:rsidR="005F472F" w:rsidP="005904EA" w14:paraId="5EA8018B" w14:textId="77777777">
      <w:pPr>
        <w:ind w:left="720"/>
        <w:rPr>
          <w:sz w:val="22"/>
          <w:szCs w:val="22"/>
        </w:rPr>
      </w:pPr>
      <w:r w:rsidRPr="005904EA">
        <w:rPr>
          <w:sz w:val="22"/>
          <w:szCs w:val="22"/>
        </w:rPr>
        <w:t>6) A description of how the required construction will be funded, including financial projections that demonstrate the applicant can cover the necessary debt service payments over the life of the loan, if any, 47 CFR § 54.804(b)(2)(vi).</w:t>
      </w:r>
    </w:p>
    <w:p w:rsidR="005904EA" w:rsidRPr="005904EA" w:rsidP="005904EA" w14:paraId="57DFACD4" w14:textId="77777777">
      <w:pPr>
        <w:ind w:left="720"/>
        <w:rPr>
          <w:sz w:val="22"/>
          <w:szCs w:val="22"/>
        </w:rPr>
      </w:pPr>
    </w:p>
    <w:p w:rsidR="005F472F" w:rsidP="005904EA" w14:paraId="6E502688" w14:textId="77777777">
      <w:pPr>
        <w:ind w:left="720"/>
        <w:rPr>
          <w:sz w:val="22"/>
          <w:szCs w:val="22"/>
        </w:rPr>
      </w:pPr>
      <w:r w:rsidRPr="005904EA">
        <w:rPr>
          <w:sz w:val="22"/>
          <w:szCs w:val="22"/>
        </w:rPr>
        <w:t>7) A certification that the party submitting the application is authorized to do so on behalf of the long-form applicant, 47 CFR § 54.804(b)(2)(vii).</w:t>
      </w:r>
    </w:p>
    <w:p w:rsidR="005904EA" w:rsidRPr="005904EA" w:rsidP="005904EA" w14:paraId="0ED2D0D6" w14:textId="77777777">
      <w:pPr>
        <w:ind w:left="720"/>
        <w:rPr>
          <w:sz w:val="22"/>
          <w:szCs w:val="22"/>
        </w:rPr>
      </w:pPr>
    </w:p>
    <w:p w:rsidR="005F472F" w:rsidP="005904EA" w14:paraId="13E324F9" w14:textId="401BBD86">
      <w:pPr>
        <w:ind w:left="720"/>
        <w:rPr>
          <w:sz w:val="22"/>
          <w:szCs w:val="22"/>
        </w:rPr>
      </w:pPr>
      <w:r w:rsidRPr="005904EA">
        <w:rPr>
          <w:sz w:val="22"/>
          <w:szCs w:val="22"/>
        </w:rPr>
        <w:t xml:space="preserve">8) A certification and documentation, including the relevant ETC designation order, demonstrating that the long-form applicant has in fact obtained the necessary ETC designation in the relevant areas (must be submitted within 180 days after the release of the </w:t>
      </w:r>
      <w:r w:rsidRPr="005904EA">
        <w:rPr>
          <w:i/>
          <w:sz w:val="22"/>
          <w:szCs w:val="22"/>
        </w:rPr>
        <w:t>Auction 904 Closing Public Notice</w:t>
      </w:r>
      <w:r w:rsidRPr="005904EA">
        <w:rPr>
          <w:sz w:val="22"/>
          <w:szCs w:val="22"/>
        </w:rPr>
        <w:t xml:space="preserve">).  47 CFR § 54.804(b)(5).  Before a long-form </w:t>
      </w:r>
      <w:r w:rsidRPr="005904EA">
        <w:rPr>
          <w:sz w:val="22"/>
          <w:szCs w:val="22"/>
        </w:rPr>
        <w:t xml:space="preserve">applicant can be authorized to receive Rural Digital Opportunity Fund auction support, it will be required to obtain designation as an ETC from the relevant state commission or the Federal Communications Commission, as applicable, in the areas where it will be receiving the support.  </w:t>
      </w:r>
      <w:r w:rsidRPr="005904EA">
        <w:rPr>
          <w:i/>
          <w:sz w:val="22"/>
          <w:szCs w:val="22"/>
        </w:rPr>
        <w:t>See</w:t>
      </w:r>
      <w:r w:rsidRPr="005904EA">
        <w:rPr>
          <w:sz w:val="22"/>
          <w:szCs w:val="22"/>
        </w:rPr>
        <w:t xml:space="preserve"> 47 U.S.C. § 214</w:t>
      </w:r>
      <w:r w:rsidRPr="005904EA" w:rsidR="00857F24">
        <w:rPr>
          <w:sz w:val="22"/>
          <w:szCs w:val="22"/>
        </w:rPr>
        <w:t>(c)</w:t>
      </w:r>
      <w:r w:rsidRPr="005904EA">
        <w:rPr>
          <w:sz w:val="22"/>
          <w:szCs w:val="22"/>
        </w:rPr>
        <w:t xml:space="preserve">(2), (6).  Approval for the information collection associated with obtaining an ETC designation from the Commission can be found under OMB control number 3060-1081.  </w:t>
      </w:r>
    </w:p>
    <w:p w:rsidR="005904EA" w:rsidRPr="005904EA" w:rsidP="005904EA" w14:paraId="189A80C6" w14:textId="77777777">
      <w:pPr>
        <w:ind w:left="720"/>
        <w:rPr>
          <w:sz w:val="22"/>
          <w:szCs w:val="22"/>
        </w:rPr>
      </w:pPr>
    </w:p>
    <w:p w:rsidR="005F472F" w:rsidP="005904EA" w14:paraId="0C0E17C9" w14:textId="77777777">
      <w:pPr>
        <w:ind w:left="720"/>
        <w:rPr>
          <w:sz w:val="22"/>
          <w:szCs w:val="22"/>
        </w:rPr>
      </w:pPr>
      <w:r w:rsidRPr="005904EA">
        <w:rPr>
          <w:sz w:val="22"/>
          <w:szCs w:val="22"/>
        </w:rPr>
        <w:t xml:space="preserve">9) Audited financial statements from the prior fiscal year that are audited by an independent certified public accountant (must be submitted within 180 days after the release of the </w:t>
      </w:r>
      <w:r w:rsidRPr="005904EA">
        <w:rPr>
          <w:i/>
          <w:sz w:val="22"/>
          <w:szCs w:val="22"/>
        </w:rPr>
        <w:t>Auction 904 Closing Public Notice</w:t>
      </w:r>
      <w:r w:rsidRPr="005904EA">
        <w:rPr>
          <w:sz w:val="22"/>
          <w:szCs w:val="22"/>
        </w:rPr>
        <w:t xml:space="preserve">; required only of long-form applicants that have provided voice, broadband, and/or electric transmission or distribution service for at least two years that did not submit audited financial statements with the short-form application).  47 CFR § 54.804(a)(7)(i), (b)(4). </w:t>
      </w:r>
    </w:p>
    <w:p w:rsidR="005904EA" w:rsidRPr="005904EA" w:rsidP="005904EA" w14:paraId="285A8892" w14:textId="77777777">
      <w:pPr>
        <w:ind w:left="720"/>
        <w:rPr>
          <w:sz w:val="22"/>
          <w:szCs w:val="22"/>
        </w:rPr>
      </w:pPr>
    </w:p>
    <w:p w:rsidR="005F472F" w:rsidP="005904EA" w14:paraId="13B33DC2" w14:textId="77777777">
      <w:pPr>
        <w:ind w:left="720"/>
        <w:rPr>
          <w:sz w:val="22"/>
          <w:szCs w:val="22"/>
        </w:rPr>
      </w:pPr>
      <w:r w:rsidRPr="005904EA">
        <w:rPr>
          <w:color w:val="000000"/>
          <w:sz w:val="22"/>
          <w:szCs w:val="22"/>
        </w:rPr>
        <w:t xml:space="preserve">10) A letter of credit commitment letter from an eligible bank committing to issue an irrevocable stand by letter of credit that, at a minimum, provides the dollar amount of the letter of credit and the issuing bank’s agreement to follow the terms and conditions of the Commission’s model letter of credit (must be submitted within a specified number of days </w:t>
      </w:r>
      <w:r w:rsidRPr="005904EA">
        <w:rPr>
          <w:sz w:val="22"/>
          <w:szCs w:val="22"/>
        </w:rPr>
        <w:t xml:space="preserve">after the release of the </w:t>
      </w:r>
      <w:r w:rsidRPr="005904EA">
        <w:rPr>
          <w:i/>
          <w:sz w:val="22"/>
          <w:szCs w:val="22"/>
        </w:rPr>
        <w:t>Auction 904 Closing Public Notice</w:t>
      </w:r>
      <w:r w:rsidRPr="005904EA">
        <w:rPr>
          <w:iCs/>
          <w:sz w:val="22"/>
          <w:szCs w:val="22"/>
        </w:rPr>
        <w:t xml:space="preserve"> as provided by public notice</w:t>
      </w:r>
      <w:r w:rsidRPr="005904EA">
        <w:rPr>
          <w:sz w:val="22"/>
          <w:szCs w:val="22"/>
        </w:rPr>
        <w:t>)</w:t>
      </w:r>
      <w:r w:rsidRPr="005904EA">
        <w:rPr>
          <w:color w:val="000000"/>
          <w:sz w:val="22"/>
          <w:szCs w:val="22"/>
        </w:rPr>
        <w:t xml:space="preserve">.  47 CFR </w:t>
      </w:r>
      <w:r w:rsidRPr="005904EA">
        <w:rPr>
          <w:sz w:val="22"/>
          <w:szCs w:val="22"/>
        </w:rPr>
        <w:t>§ 54.804(b)(3).</w:t>
      </w:r>
    </w:p>
    <w:p w:rsidR="005904EA" w:rsidRPr="005904EA" w:rsidP="005904EA" w14:paraId="1AFEEDC2" w14:textId="77777777">
      <w:pPr>
        <w:ind w:left="720"/>
        <w:rPr>
          <w:i/>
          <w:color w:val="000000"/>
          <w:sz w:val="22"/>
          <w:szCs w:val="22"/>
        </w:rPr>
      </w:pPr>
    </w:p>
    <w:p w:rsidR="005F472F" w:rsidP="005904EA" w14:paraId="5E54F6BE" w14:textId="77777777">
      <w:pPr>
        <w:ind w:left="720"/>
        <w:rPr>
          <w:sz w:val="22"/>
          <w:szCs w:val="22"/>
        </w:rPr>
      </w:pPr>
      <w:r w:rsidRPr="005904EA">
        <w:rPr>
          <w:color w:val="000000"/>
          <w:sz w:val="22"/>
          <w:szCs w:val="22"/>
        </w:rPr>
        <w:t>11) An irrevocable stand-by letter(s) of credit acceptable to the Commission from an eligible bank that covers the first year of Rural Digital Opportunity Fund support, at a minimum, and a letter of credit opinion letter from legal counsel meeting the Commission’s requirements (must be obtained before a long-form applicant will be authorized to receive support). 4</w:t>
      </w:r>
      <w:r w:rsidRPr="005904EA">
        <w:rPr>
          <w:sz w:val="22"/>
          <w:szCs w:val="22"/>
        </w:rPr>
        <w:t>7 CFR § 54.804(c).</w:t>
      </w:r>
    </w:p>
    <w:p w:rsidR="005904EA" w:rsidRPr="005904EA" w:rsidP="005904EA" w14:paraId="1B31F641" w14:textId="77777777">
      <w:pPr>
        <w:ind w:left="720"/>
        <w:rPr>
          <w:sz w:val="22"/>
          <w:szCs w:val="22"/>
        </w:rPr>
      </w:pPr>
    </w:p>
    <w:p w:rsidR="00A77BC4" w:rsidRPr="005904EA" w:rsidP="005904EA" w14:paraId="1099A7B8" w14:textId="10E90681">
      <w:pPr>
        <w:ind w:left="720"/>
        <w:rPr>
          <w:sz w:val="22"/>
          <w:szCs w:val="22"/>
        </w:rPr>
      </w:pPr>
      <w:r w:rsidRPr="005904EA">
        <w:rPr>
          <w:sz w:val="22"/>
          <w:szCs w:val="22"/>
        </w:rPr>
        <w:t xml:space="preserve">12) Such additional </w:t>
      </w:r>
      <w:r w:rsidRPr="005904EA">
        <w:rPr>
          <w:color w:val="000000"/>
          <w:sz w:val="22"/>
          <w:szCs w:val="22"/>
        </w:rPr>
        <w:t>information</w:t>
      </w:r>
      <w:r w:rsidRPr="005904EA">
        <w:rPr>
          <w:sz w:val="22"/>
          <w:szCs w:val="22"/>
        </w:rPr>
        <w:t xml:space="preserve"> as the Commission may require, 47 CFR § 54.804(b)(2)(viii).</w:t>
      </w:r>
    </w:p>
    <w:p w:rsidR="00114554" w:rsidRPr="005904EA" w:rsidP="005904EA" w14:paraId="21338924" w14:textId="77777777">
      <w:pPr>
        <w:rPr>
          <w:sz w:val="22"/>
          <w:szCs w:val="22"/>
        </w:rPr>
      </w:pPr>
    </w:p>
    <w:p w:rsidR="00384C7B" w:rsidRPr="005904EA" w:rsidP="005904EA" w14:paraId="3D122085" w14:textId="3D9AF18B">
      <w:pPr>
        <w:rPr>
          <w:iCs/>
          <w:sz w:val="22"/>
          <w:szCs w:val="22"/>
        </w:rPr>
      </w:pPr>
      <w:r w:rsidRPr="005904EA">
        <w:rPr>
          <w:b/>
          <w:bCs/>
          <w:i/>
          <w:sz w:val="22"/>
          <w:szCs w:val="22"/>
        </w:rPr>
        <w:t>Currently Approved Requirements</w:t>
      </w:r>
      <w:r w:rsidRPr="005904EA" w:rsidR="009E78E4">
        <w:rPr>
          <w:b/>
          <w:bCs/>
          <w:i/>
          <w:sz w:val="22"/>
          <w:szCs w:val="22"/>
        </w:rPr>
        <w:t xml:space="preserve"> in this information collection (no changes to requirements)</w:t>
      </w:r>
      <w:r w:rsidRPr="005904EA">
        <w:rPr>
          <w:b/>
          <w:bCs/>
          <w:iCs/>
          <w:sz w:val="22"/>
          <w:szCs w:val="22"/>
        </w:rPr>
        <w:t>:</w:t>
      </w:r>
    </w:p>
    <w:p w:rsidR="00384C7B" w:rsidRPr="005904EA" w:rsidP="005904EA" w14:paraId="377161B4" w14:textId="77777777">
      <w:pPr>
        <w:rPr>
          <w:sz w:val="22"/>
          <w:szCs w:val="22"/>
        </w:rPr>
      </w:pPr>
    </w:p>
    <w:p w:rsidR="00104729" w:rsidRPr="005904EA" w:rsidP="005904EA" w14:paraId="78BD6DF6" w14:textId="799812B1">
      <w:pPr>
        <w:numPr>
          <w:ilvl w:val="0"/>
          <w:numId w:val="7"/>
        </w:numPr>
        <w:rPr>
          <w:b/>
          <w:bCs/>
          <w:i/>
          <w:iCs/>
          <w:sz w:val="22"/>
          <w:szCs w:val="22"/>
        </w:rPr>
      </w:pPr>
      <w:r w:rsidRPr="005904EA">
        <w:rPr>
          <w:iCs/>
          <w:sz w:val="22"/>
          <w:szCs w:val="22"/>
          <w:u w:val="single"/>
        </w:rPr>
        <w:t xml:space="preserve">Rural Digital Opportunity Fund </w:t>
      </w:r>
      <w:r w:rsidRPr="005904EA">
        <w:rPr>
          <w:sz w:val="22"/>
          <w:szCs w:val="22"/>
          <w:u w:val="single"/>
        </w:rPr>
        <w:t>Annual Submission of Letter of Credit</w:t>
      </w:r>
      <w:r w:rsidRPr="005904EA" w:rsidR="00DE0C45">
        <w:rPr>
          <w:sz w:val="22"/>
          <w:szCs w:val="22"/>
          <w:u w:val="single"/>
        </w:rPr>
        <w:t xml:space="preserve"> (See 12.b)</w:t>
      </w:r>
      <w:r w:rsidRPr="005904EA">
        <w:rPr>
          <w:sz w:val="22"/>
          <w:szCs w:val="22"/>
        </w:rPr>
        <w:t>:  Before a support recipient can receive its next year’s Rural Digital Opportunity Fund auction support, it must modify, renew, or obtain a new letter of credit to ensure that it is valued, at a minimum, one year of support, until</w:t>
      </w:r>
      <w:r w:rsidRPr="005904EA" w:rsidR="00DE7EF3">
        <w:rPr>
          <w:sz w:val="22"/>
          <w:szCs w:val="22"/>
        </w:rPr>
        <w:t xml:space="preserve"> the Universal Service Administrative Company</w:t>
      </w:r>
      <w:r w:rsidRPr="005904EA" w:rsidR="007C43E9">
        <w:rPr>
          <w:sz w:val="22"/>
          <w:szCs w:val="22"/>
        </w:rPr>
        <w:t xml:space="preserve"> </w:t>
      </w:r>
      <w:r w:rsidRPr="005904EA" w:rsidR="00DE7EF3">
        <w:rPr>
          <w:sz w:val="22"/>
          <w:szCs w:val="22"/>
        </w:rPr>
        <w:t>(</w:t>
      </w:r>
      <w:r w:rsidRPr="005904EA">
        <w:rPr>
          <w:sz w:val="22"/>
          <w:szCs w:val="22"/>
        </w:rPr>
        <w:t>USAC</w:t>
      </w:r>
      <w:r w:rsidRPr="005904EA" w:rsidR="00DE7EF3">
        <w:rPr>
          <w:sz w:val="22"/>
          <w:szCs w:val="22"/>
        </w:rPr>
        <w:t>)</w:t>
      </w:r>
      <w:r w:rsidRPr="005904EA">
        <w:rPr>
          <w:sz w:val="22"/>
          <w:szCs w:val="22"/>
        </w:rPr>
        <w:t xml:space="preserve"> has verified that the recipient has served 100 percent of the Connect America Cost Model-determined total (or the adjusted Connect America Cost Model location count if there are fewer locations) by the end of year six.  The amount of support the letter of credit must cover is dependent on whether the support recipient has met certain service milestones.  Any support recipient that obtains a new letter of credit, rather than renewing or amending an existing letter of credit, will also need to obtain a new attorney opinion letter accompanying the new letter of credit. 47 CFR § 54.804(c).</w:t>
      </w:r>
    </w:p>
    <w:p w:rsidR="00D87718" w:rsidRPr="005904EA" w:rsidP="005904EA" w14:paraId="16308077" w14:textId="77777777">
      <w:pPr>
        <w:rPr>
          <w:i/>
          <w:color w:val="000000"/>
          <w:sz w:val="22"/>
          <w:szCs w:val="22"/>
        </w:rPr>
      </w:pPr>
    </w:p>
    <w:p w:rsidR="0091236F" w:rsidRPr="005904EA" w:rsidP="005904EA" w14:paraId="58BD3D3C" w14:textId="46C72619">
      <w:pPr>
        <w:numPr>
          <w:ilvl w:val="0"/>
          <w:numId w:val="7"/>
        </w:numPr>
        <w:rPr>
          <w:sz w:val="22"/>
          <w:szCs w:val="22"/>
        </w:rPr>
      </w:pPr>
      <w:r w:rsidRPr="005904EA">
        <w:rPr>
          <w:iCs/>
          <w:sz w:val="22"/>
          <w:szCs w:val="22"/>
          <w:u w:val="single"/>
        </w:rPr>
        <w:t xml:space="preserve">Connect America Phase II Auction - </w:t>
      </w:r>
      <w:r w:rsidRPr="005904EA" w:rsidR="0096135E">
        <w:rPr>
          <w:iCs/>
          <w:sz w:val="22"/>
          <w:szCs w:val="22"/>
          <w:u w:val="single"/>
        </w:rPr>
        <w:t>Annual Submission of Letter of Credi</w:t>
      </w:r>
      <w:r w:rsidRPr="005904EA" w:rsidR="00DE0C45">
        <w:rPr>
          <w:iCs/>
          <w:sz w:val="22"/>
          <w:szCs w:val="22"/>
          <w:u w:val="single"/>
        </w:rPr>
        <w:t>t (See 12.c)</w:t>
      </w:r>
      <w:r w:rsidRPr="005904EA">
        <w:rPr>
          <w:sz w:val="22"/>
          <w:szCs w:val="22"/>
        </w:rPr>
        <w:t>:</w:t>
      </w:r>
      <w:r w:rsidRPr="005904EA" w:rsidR="0096135E">
        <w:rPr>
          <w:sz w:val="22"/>
          <w:szCs w:val="22"/>
        </w:rPr>
        <w:t xml:space="preserve">  Before a support recipient </w:t>
      </w:r>
      <w:r w:rsidRPr="005904EA">
        <w:rPr>
          <w:sz w:val="22"/>
          <w:szCs w:val="22"/>
        </w:rPr>
        <w:t xml:space="preserve">can receive its next year’s </w:t>
      </w:r>
      <w:r w:rsidRPr="005904EA" w:rsidR="00B77DA8">
        <w:rPr>
          <w:sz w:val="22"/>
          <w:szCs w:val="22"/>
        </w:rPr>
        <w:t xml:space="preserve">CAF </w:t>
      </w:r>
      <w:r w:rsidRPr="005904EA" w:rsidR="008F1994">
        <w:rPr>
          <w:sz w:val="22"/>
          <w:szCs w:val="22"/>
        </w:rPr>
        <w:t xml:space="preserve">Phase </w:t>
      </w:r>
      <w:r w:rsidRPr="005904EA" w:rsidR="00871B83">
        <w:rPr>
          <w:sz w:val="22"/>
          <w:szCs w:val="22"/>
        </w:rPr>
        <w:t>II auction</w:t>
      </w:r>
      <w:r w:rsidRPr="005904EA">
        <w:rPr>
          <w:sz w:val="22"/>
          <w:szCs w:val="22"/>
        </w:rPr>
        <w:t xml:space="preserve"> support, it must modify, renew, or obtain a new letter of credit to ensure that it is valued</w:t>
      </w:r>
      <w:r w:rsidRPr="005904EA" w:rsidR="00F21B26">
        <w:rPr>
          <w:sz w:val="22"/>
          <w:szCs w:val="22"/>
        </w:rPr>
        <w:t>,</w:t>
      </w:r>
      <w:r w:rsidRPr="005904EA">
        <w:rPr>
          <w:sz w:val="22"/>
          <w:szCs w:val="22"/>
        </w:rPr>
        <w:t xml:space="preserve"> at a minimum</w:t>
      </w:r>
      <w:r w:rsidRPr="005904EA" w:rsidR="00F21B26">
        <w:rPr>
          <w:sz w:val="22"/>
          <w:szCs w:val="22"/>
        </w:rPr>
        <w:t>,</w:t>
      </w:r>
      <w:r w:rsidRPr="005904EA">
        <w:rPr>
          <w:sz w:val="22"/>
          <w:szCs w:val="22"/>
        </w:rPr>
        <w:t xml:space="preserve"> at the total amount of support that has already been disbursed plus the amount of support that is going to be provided in the next year</w:t>
      </w:r>
      <w:r w:rsidRPr="005904EA" w:rsidR="001463B7">
        <w:rPr>
          <w:sz w:val="22"/>
          <w:szCs w:val="22"/>
        </w:rPr>
        <w:t>, subject to modest adjustments in value once the support recipient has substantially met its service obligations</w:t>
      </w:r>
      <w:r w:rsidRPr="005904EA">
        <w:rPr>
          <w:sz w:val="22"/>
          <w:szCs w:val="22"/>
        </w:rPr>
        <w:t>.  The</w:t>
      </w:r>
      <w:r w:rsidRPr="005904EA" w:rsidR="008F10EF">
        <w:rPr>
          <w:sz w:val="22"/>
          <w:szCs w:val="22"/>
        </w:rPr>
        <w:t xml:space="preserve"> support</w:t>
      </w:r>
      <w:r w:rsidRPr="005904EA">
        <w:rPr>
          <w:sz w:val="22"/>
          <w:szCs w:val="22"/>
        </w:rPr>
        <w:t xml:space="preserve"> recipient will be r</w:t>
      </w:r>
      <w:r w:rsidRPr="005904EA" w:rsidR="00DF7071">
        <w:rPr>
          <w:sz w:val="22"/>
          <w:szCs w:val="22"/>
        </w:rPr>
        <w:t>equired to maintain an open</w:t>
      </w:r>
      <w:r w:rsidRPr="005904EA">
        <w:rPr>
          <w:sz w:val="22"/>
          <w:szCs w:val="22"/>
        </w:rPr>
        <w:t xml:space="preserve"> letter of credit until it has certified that its buildout is complete and </w:t>
      </w:r>
      <w:r w:rsidRPr="005904EA" w:rsidR="00DE7EF3">
        <w:rPr>
          <w:sz w:val="22"/>
          <w:szCs w:val="22"/>
        </w:rPr>
        <w:t xml:space="preserve">USAC </w:t>
      </w:r>
      <w:r w:rsidRPr="005904EA">
        <w:rPr>
          <w:sz w:val="22"/>
          <w:szCs w:val="22"/>
        </w:rPr>
        <w:t xml:space="preserve">has verified buildout.  Any </w:t>
      </w:r>
      <w:r w:rsidRPr="005904EA" w:rsidR="008F10EF">
        <w:rPr>
          <w:sz w:val="22"/>
          <w:szCs w:val="22"/>
        </w:rPr>
        <w:t xml:space="preserve">support </w:t>
      </w:r>
      <w:r w:rsidRPr="005904EA">
        <w:rPr>
          <w:sz w:val="22"/>
          <w:szCs w:val="22"/>
        </w:rPr>
        <w:t>recipient that obtains a new letter of credit, rather than renewing or amending an existing letter of credit, will also need to obtain a new attorney opinion letter accompanying the new letter of credit.</w:t>
      </w:r>
      <w:r w:rsidRPr="005904EA" w:rsidR="008D5409">
        <w:rPr>
          <w:sz w:val="22"/>
          <w:szCs w:val="22"/>
        </w:rPr>
        <w:t xml:space="preserve"> 47 CFR § 54.315(c).</w:t>
      </w:r>
    </w:p>
    <w:p w:rsidR="00104729" w:rsidRPr="005904EA" w:rsidP="005904EA" w14:paraId="6EE314B7" w14:textId="77777777">
      <w:pPr>
        <w:rPr>
          <w:b/>
          <w:sz w:val="22"/>
          <w:szCs w:val="22"/>
        </w:rPr>
      </w:pPr>
    </w:p>
    <w:p w:rsidR="00DE0C45" w:rsidRPr="005904EA" w:rsidP="005904EA" w14:paraId="48D97D90" w14:textId="5A8F8407">
      <w:pPr>
        <w:rPr>
          <w:sz w:val="22"/>
          <w:szCs w:val="22"/>
          <w:lang w:bidi="ar-SA"/>
        </w:rPr>
      </w:pPr>
      <w:r w:rsidRPr="005904EA">
        <w:rPr>
          <w:sz w:val="22"/>
          <w:szCs w:val="22"/>
          <w:lang w:bidi="ar-SA"/>
        </w:rPr>
        <w:t>Statutory authority for this information collection is contained in</w:t>
      </w:r>
      <w:r w:rsidR="002647A1">
        <w:rPr>
          <w:sz w:val="22"/>
          <w:szCs w:val="22"/>
          <w:lang w:bidi="ar-SA"/>
        </w:rPr>
        <w:t xml:space="preserve"> </w:t>
      </w:r>
      <w:r w:rsidRPr="002647A1" w:rsidR="002647A1">
        <w:rPr>
          <w:sz w:val="22"/>
          <w:szCs w:val="22"/>
          <w:lang w:bidi="ar-SA"/>
        </w:rPr>
        <w:t>47 U.S.C. §§ 154, 214, 254, and 303(r) of the Communications Act of 1934, as amended</w:t>
      </w:r>
      <w:r w:rsidRPr="005904EA">
        <w:rPr>
          <w:sz w:val="22"/>
          <w:szCs w:val="22"/>
          <w:lang w:bidi="ar-SA"/>
        </w:rPr>
        <w:t>.</w:t>
      </w:r>
    </w:p>
    <w:p w:rsidR="00DE0C45" w:rsidRPr="005904EA" w:rsidP="005904EA" w14:paraId="5AB2C7A4" w14:textId="77777777">
      <w:pPr>
        <w:rPr>
          <w:sz w:val="22"/>
          <w:szCs w:val="22"/>
          <w:lang w:bidi="ar-SA"/>
        </w:rPr>
      </w:pPr>
    </w:p>
    <w:p w:rsidR="00DE0C45" w:rsidRPr="005904EA" w:rsidP="005904EA" w14:paraId="17A1BF9D" w14:textId="77777777">
      <w:pPr>
        <w:rPr>
          <w:sz w:val="22"/>
          <w:szCs w:val="22"/>
          <w:lang w:bidi="ar-SA"/>
        </w:rPr>
      </w:pPr>
      <w:r w:rsidRPr="005904EA">
        <w:rPr>
          <w:sz w:val="22"/>
          <w:szCs w:val="22"/>
          <w:lang w:bidi="ar-SA"/>
        </w:rPr>
        <w:t xml:space="preserve">This information collection does not affect individuals or households; thus, there is no impact under the Privacy Act.  </w:t>
      </w:r>
    </w:p>
    <w:p w:rsidR="00DE0C45" w:rsidRPr="005904EA" w:rsidP="005904EA" w14:paraId="5409514C" w14:textId="77777777">
      <w:pPr>
        <w:rPr>
          <w:b/>
          <w:sz w:val="22"/>
          <w:szCs w:val="22"/>
        </w:rPr>
      </w:pPr>
    </w:p>
    <w:p w:rsidR="00DD21F5" w:rsidRPr="005904EA" w:rsidP="005904EA" w14:paraId="0F8F1CB6" w14:textId="1C4D1DE5">
      <w:pPr>
        <w:tabs>
          <w:tab w:val="left" w:pos="360"/>
        </w:tabs>
        <w:rPr>
          <w:sz w:val="22"/>
          <w:szCs w:val="22"/>
        </w:rPr>
      </w:pPr>
      <w:r w:rsidRPr="005904EA">
        <w:rPr>
          <w:sz w:val="22"/>
          <w:szCs w:val="22"/>
        </w:rPr>
        <w:t xml:space="preserve">2.   </w:t>
      </w:r>
      <w:r w:rsidRPr="005904EA">
        <w:rPr>
          <w:i/>
          <w:sz w:val="22"/>
          <w:szCs w:val="22"/>
        </w:rPr>
        <w:t>Use of Information</w:t>
      </w:r>
      <w:r w:rsidRPr="005904EA">
        <w:rPr>
          <w:sz w:val="22"/>
          <w:szCs w:val="22"/>
        </w:rPr>
        <w:t xml:space="preserve">. </w:t>
      </w:r>
      <w:r w:rsidRPr="005904EA" w:rsidR="009C4ADF">
        <w:rPr>
          <w:sz w:val="22"/>
          <w:szCs w:val="22"/>
        </w:rPr>
        <w:t xml:space="preserve"> </w:t>
      </w:r>
      <w:r w:rsidRPr="005904EA">
        <w:rPr>
          <w:sz w:val="22"/>
          <w:szCs w:val="22"/>
        </w:rPr>
        <w:t xml:space="preserve">The </w:t>
      </w:r>
      <w:r w:rsidRPr="005904EA" w:rsidR="00395BF0">
        <w:rPr>
          <w:sz w:val="22"/>
          <w:szCs w:val="22"/>
        </w:rPr>
        <w:t>remaining information collection</w:t>
      </w:r>
      <w:r w:rsidRPr="005904EA" w:rsidR="00F1096B">
        <w:rPr>
          <w:sz w:val="22"/>
          <w:szCs w:val="22"/>
        </w:rPr>
        <w:t xml:space="preserve">: </w:t>
      </w:r>
      <w:r w:rsidRPr="005904EA" w:rsidR="00395BF0">
        <w:rPr>
          <w:sz w:val="22"/>
          <w:szCs w:val="22"/>
        </w:rPr>
        <w:t>annual submission, modification, renewal, or replacement of letters of credit is used by the Commission and USAC to verify compliance</w:t>
      </w:r>
      <w:r w:rsidRPr="005904EA" w:rsidR="002E4F8C">
        <w:rPr>
          <w:sz w:val="22"/>
          <w:szCs w:val="22"/>
        </w:rPr>
        <w:t xml:space="preserve"> with CAF II and RDOF deployment milestones and to protect program funds</w:t>
      </w:r>
      <w:r w:rsidRPr="005904EA">
        <w:rPr>
          <w:sz w:val="22"/>
          <w:szCs w:val="22"/>
        </w:rPr>
        <w:t xml:space="preserve">.  </w:t>
      </w:r>
    </w:p>
    <w:p w:rsidR="00C609F4" w:rsidRPr="005904EA" w:rsidP="005904EA" w14:paraId="7FC05EBD" w14:textId="77777777">
      <w:pPr>
        <w:rPr>
          <w:sz w:val="22"/>
          <w:szCs w:val="22"/>
        </w:rPr>
      </w:pPr>
      <w:r w:rsidRPr="005904EA">
        <w:rPr>
          <w:sz w:val="22"/>
          <w:szCs w:val="22"/>
        </w:rPr>
        <w:tab/>
      </w:r>
    </w:p>
    <w:p w:rsidR="002C644E" w:rsidRPr="005904EA" w:rsidP="005904EA" w14:paraId="11FF7F29" w14:textId="339B51AA">
      <w:pPr>
        <w:tabs>
          <w:tab w:val="left" w:pos="360"/>
        </w:tabs>
        <w:rPr>
          <w:sz w:val="22"/>
          <w:szCs w:val="22"/>
        </w:rPr>
      </w:pPr>
      <w:r w:rsidRPr="005904EA">
        <w:rPr>
          <w:sz w:val="22"/>
          <w:szCs w:val="22"/>
        </w:rPr>
        <w:t>3.</w:t>
      </w:r>
      <w:r w:rsidRPr="005904EA" w:rsidR="00971F8A">
        <w:rPr>
          <w:sz w:val="22"/>
          <w:szCs w:val="22"/>
        </w:rPr>
        <w:tab/>
      </w:r>
      <w:r w:rsidRPr="005904EA" w:rsidR="00C73014">
        <w:rPr>
          <w:i/>
          <w:sz w:val="22"/>
          <w:szCs w:val="22"/>
        </w:rPr>
        <w:t xml:space="preserve">Technological collection techniques.  </w:t>
      </w:r>
      <w:r w:rsidRPr="005904EA" w:rsidR="00857F24">
        <w:rPr>
          <w:sz w:val="22"/>
          <w:szCs w:val="22"/>
        </w:rPr>
        <w:t>The Commission is committed to meeting the requirements of the E-Government Act, which requires government agencies to provide the general public the option of submitting information or transacting business electronically to the maximum extent possible.  Applicants will be permitted to submit the required documentation electronically.  No changes are being made to the technological method of submission.</w:t>
      </w:r>
    </w:p>
    <w:p w:rsidR="007B16A5" w:rsidRPr="005904EA" w:rsidP="005904EA" w14:paraId="11BDFD2C" w14:textId="77777777">
      <w:pPr>
        <w:rPr>
          <w:sz w:val="22"/>
          <w:szCs w:val="22"/>
        </w:rPr>
      </w:pPr>
    </w:p>
    <w:p w:rsidR="00083FCE" w:rsidRPr="005904EA" w:rsidP="005904EA" w14:paraId="40A63A14" w14:textId="25691688">
      <w:pPr>
        <w:numPr>
          <w:ilvl w:val="0"/>
          <w:numId w:val="6"/>
        </w:numPr>
        <w:rPr>
          <w:sz w:val="22"/>
          <w:szCs w:val="22"/>
        </w:rPr>
      </w:pPr>
      <w:r w:rsidRPr="005904EA">
        <w:rPr>
          <w:i/>
          <w:sz w:val="22"/>
          <w:szCs w:val="22"/>
        </w:rPr>
        <w:t>Efforts to identify duplication</w:t>
      </w:r>
      <w:r w:rsidRPr="005904EA">
        <w:rPr>
          <w:sz w:val="22"/>
          <w:szCs w:val="22"/>
        </w:rPr>
        <w:t xml:space="preserve">.  </w:t>
      </w:r>
      <w:r w:rsidRPr="005904EA" w:rsidR="00857F24">
        <w:rPr>
          <w:sz w:val="22"/>
          <w:szCs w:val="22"/>
        </w:rPr>
        <w:t>There will be no duplication of information.</w:t>
      </w:r>
    </w:p>
    <w:p w:rsidR="00681FC6" w:rsidRPr="005904EA" w:rsidP="005904EA" w14:paraId="440EFAD7" w14:textId="77777777">
      <w:pPr>
        <w:rPr>
          <w:sz w:val="22"/>
          <w:szCs w:val="22"/>
        </w:rPr>
      </w:pPr>
    </w:p>
    <w:p w:rsidR="002C644E" w:rsidRPr="005904EA" w:rsidP="005904EA" w14:paraId="0DB9E153" w14:textId="47F70F94">
      <w:pPr>
        <w:numPr>
          <w:ilvl w:val="0"/>
          <w:numId w:val="6"/>
        </w:numPr>
        <w:rPr>
          <w:sz w:val="22"/>
          <w:szCs w:val="22"/>
        </w:rPr>
      </w:pPr>
      <w:r w:rsidRPr="005904EA">
        <w:rPr>
          <w:i/>
          <w:sz w:val="22"/>
          <w:szCs w:val="22"/>
        </w:rPr>
        <w:t>Impact on small entities</w:t>
      </w:r>
      <w:r w:rsidRPr="005904EA">
        <w:rPr>
          <w:sz w:val="22"/>
          <w:szCs w:val="22"/>
        </w:rPr>
        <w:t xml:space="preserve">. </w:t>
      </w:r>
      <w:r w:rsidRPr="005904EA" w:rsidR="00131612">
        <w:rPr>
          <w:sz w:val="22"/>
          <w:szCs w:val="22"/>
        </w:rPr>
        <w:t xml:space="preserve"> </w:t>
      </w:r>
      <w:r w:rsidRPr="005904EA" w:rsidR="00857F24">
        <w:rPr>
          <w:sz w:val="22"/>
          <w:szCs w:val="22"/>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under this collection to that which is necessary for compliance with Commission’s Universal Service Fund programs. </w:t>
      </w:r>
    </w:p>
    <w:p w:rsidR="00B97D45" w:rsidRPr="005904EA" w:rsidP="005904EA" w14:paraId="2F05F11D" w14:textId="77777777">
      <w:pPr>
        <w:rPr>
          <w:sz w:val="22"/>
          <w:szCs w:val="22"/>
        </w:rPr>
      </w:pPr>
    </w:p>
    <w:p w:rsidR="002E7F04" w:rsidRPr="005904EA" w:rsidP="005904EA" w14:paraId="11FFB5B6" w14:textId="2CAAC3E4">
      <w:pPr>
        <w:numPr>
          <w:ilvl w:val="0"/>
          <w:numId w:val="6"/>
        </w:numPr>
        <w:autoSpaceDE w:val="0"/>
        <w:autoSpaceDN w:val="0"/>
        <w:adjustRightInd w:val="0"/>
        <w:rPr>
          <w:sz w:val="22"/>
          <w:szCs w:val="22"/>
        </w:rPr>
      </w:pPr>
      <w:r w:rsidRPr="005904EA">
        <w:rPr>
          <w:i/>
          <w:sz w:val="22"/>
          <w:szCs w:val="22"/>
        </w:rPr>
        <w:t xml:space="preserve">Consequences if information is not collected.  </w:t>
      </w:r>
      <w:r w:rsidRPr="005904EA" w:rsidR="00BD267B">
        <w:rPr>
          <w:sz w:val="22"/>
          <w:szCs w:val="22"/>
        </w:rPr>
        <w:t xml:space="preserve">Without annual letters of credit, the </w:t>
      </w:r>
      <w:r w:rsidRPr="005904EA" w:rsidR="001A7485">
        <w:rPr>
          <w:sz w:val="22"/>
          <w:szCs w:val="22"/>
        </w:rPr>
        <w:t>Commission</w:t>
      </w:r>
      <w:r w:rsidRPr="005904EA" w:rsidR="00BD267B">
        <w:rPr>
          <w:sz w:val="22"/>
          <w:szCs w:val="22"/>
        </w:rPr>
        <w:t xml:space="preserve"> could not ensure the protection of universal service funds in the event of non-compliance</w:t>
      </w:r>
      <w:r w:rsidRPr="005904EA">
        <w:rPr>
          <w:sz w:val="22"/>
          <w:szCs w:val="22"/>
        </w:rPr>
        <w:t xml:space="preserve">.  </w:t>
      </w:r>
      <w:r w:rsidRPr="005904EA" w:rsidR="00857F24">
        <w:rPr>
          <w:sz w:val="22"/>
          <w:szCs w:val="22"/>
        </w:rPr>
        <w:t>Thus, the information is being collected to meet the objectives of the universal service program.</w:t>
      </w:r>
    </w:p>
    <w:p w:rsidR="0074559E" w:rsidRPr="005904EA" w:rsidP="005904EA" w14:paraId="19EAC83C" w14:textId="77777777">
      <w:pPr>
        <w:rPr>
          <w:sz w:val="22"/>
          <w:szCs w:val="22"/>
        </w:rPr>
      </w:pPr>
    </w:p>
    <w:p w:rsidR="002C644E" w:rsidRPr="005904EA" w:rsidP="005904EA" w14:paraId="5F10535A" w14:textId="77777777">
      <w:pPr>
        <w:rPr>
          <w:sz w:val="22"/>
          <w:szCs w:val="22"/>
        </w:rPr>
      </w:pPr>
      <w:r w:rsidRPr="005904EA">
        <w:rPr>
          <w:sz w:val="22"/>
          <w:szCs w:val="22"/>
        </w:rPr>
        <w:t>7.</w:t>
      </w:r>
      <w:r w:rsidRPr="005904EA" w:rsidR="006B7D65">
        <w:rPr>
          <w:sz w:val="22"/>
          <w:szCs w:val="22"/>
        </w:rPr>
        <w:tab/>
      </w:r>
      <w:r w:rsidRPr="005904EA" w:rsidR="00C73014">
        <w:rPr>
          <w:i/>
          <w:sz w:val="22"/>
          <w:szCs w:val="22"/>
        </w:rPr>
        <w:t>Special circumstances.</w:t>
      </w:r>
      <w:r w:rsidRPr="005904EA" w:rsidR="00C73014">
        <w:rPr>
          <w:sz w:val="22"/>
          <w:szCs w:val="22"/>
        </w:rPr>
        <w:t xml:space="preserve">  </w:t>
      </w:r>
      <w:r w:rsidRPr="005904EA" w:rsidR="006B3CD6">
        <w:rPr>
          <w:sz w:val="22"/>
          <w:szCs w:val="22"/>
        </w:rPr>
        <w:t xml:space="preserve">There are no special circumstances associated with this information collection. </w:t>
      </w:r>
    </w:p>
    <w:p w:rsidR="00C73014" w:rsidRPr="005904EA" w:rsidP="005904EA" w14:paraId="105A8E52" w14:textId="77777777">
      <w:pPr>
        <w:rPr>
          <w:sz w:val="22"/>
          <w:szCs w:val="22"/>
        </w:rPr>
      </w:pPr>
    </w:p>
    <w:p w:rsidR="002C644E" w:rsidRPr="005904EA" w:rsidP="005904EA" w14:paraId="7D12A578" w14:textId="68BD0E92">
      <w:pPr>
        <w:tabs>
          <w:tab w:val="left" w:pos="360"/>
        </w:tabs>
        <w:rPr>
          <w:sz w:val="22"/>
          <w:szCs w:val="22"/>
        </w:rPr>
      </w:pPr>
      <w:r w:rsidRPr="005904EA">
        <w:rPr>
          <w:sz w:val="22"/>
          <w:szCs w:val="22"/>
        </w:rPr>
        <w:t>8.</w:t>
      </w:r>
      <w:r w:rsidRPr="005904EA">
        <w:rPr>
          <w:sz w:val="22"/>
          <w:szCs w:val="22"/>
        </w:rPr>
        <w:tab/>
      </w:r>
      <w:r w:rsidRPr="005904EA" w:rsidR="00857F24">
        <w:rPr>
          <w:sz w:val="22"/>
          <w:szCs w:val="22"/>
        </w:rPr>
        <w:t xml:space="preserve">Federal Register </w:t>
      </w:r>
      <w:r w:rsidRPr="005904EA" w:rsidR="00857F24">
        <w:rPr>
          <w:i/>
          <w:sz w:val="22"/>
          <w:szCs w:val="22"/>
        </w:rPr>
        <w:t>n</w:t>
      </w:r>
      <w:r w:rsidRPr="005904EA" w:rsidR="006A1CA9">
        <w:rPr>
          <w:i/>
          <w:sz w:val="22"/>
          <w:szCs w:val="22"/>
        </w:rPr>
        <w:t>otice</w:t>
      </w:r>
      <w:r w:rsidRPr="005904EA" w:rsidR="00857F24">
        <w:rPr>
          <w:i/>
          <w:sz w:val="22"/>
          <w:szCs w:val="22"/>
        </w:rPr>
        <w:t>; efforts to consult with persons outside the Commission.</w:t>
      </w:r>
      <w:r w:rsidRPr="005904EA" w:rsidR="006A1CA9">
        <w:rPr>
          <w:i/>
          <w:sz w:val="22"/>
          <w:szCs w:val="22"/>
        </w:rPr>
        <w:t xml:space="preserve"> </w:t>
      </w:r>
      <w:r w:rsidRPr="005904EA" w:rsidR="00857F24">
        <w:rPr>
          <w:iCs/>
          <w:sz w:val="22"/>
          <w:szCs w:val="22"/>
        </w:rPr>
        <w:t xml:space="preserve">A 60-day notice was also published in the Federal Register pursuant to </w:t>
      </w:r>
      <w:r w:rsidRPr="005904EA" w:rsidR="007C56A9">
        <w:rPr>
          <w:iCs/>
          <w:sz w:val="22"/>
          <w:szCs w:val="22"/>
        </w:rPr>
        <w:t>5 C.F.R.</w:t>
      </w:r>
      <w:r w:rsidRPr="005904EA" w:rsidR="007C56A9">
        <w:rPr>
          <w:color w:val="000000"/>
          <w:sz w:val="22"/>
          <w:szCs w:val="22"/>
        </w:rPr>
        <w:t xml:space="preserve">§ 1320.8(d) on </w:t>
      </w:r>
      <w:r w:rsidR="00CD585B">
        <w:rPr>
          <w:color w:val="000000"/>
          <w:sz w:val="22"/>
          <w:szCs w:val="22"/>
        </w:rPr>
        <w:t>January</w:t>
      </w:r>
      <w:r w:rsidRPr="005904EA" w:rsidR="007C56A9">
        <w:rPr>
          <w:color w:val="000000"/>
          <w:sz w:val="22"/>
          <w:szCs w:val="22"/>
        </w:rPr>
        <w:t xml:space="preserve"> </w:t>
      </w:r>
      <w:r w:rsidR="00CD585B">
        <w:rPr>
          <w:color w:val="000000"/>
          <w:sz w:val="22"/>
          <w:szCs w:val="22"/>
        </w:rPr>
        <w:t>30</w:t>
      </w:r>
      <w:r w:rsidRPr="005904EA" w:rsidR="007C56A9">
        <w:rPr>
          <w:color w:val="000000"/>
          <w:sz w:val="22"/>
          <w:szCs w:val="22"/>
        </w:rPr>
        <w:t xml:space="preserve">, 2026.  </w:t>
      </w:r>
      <w:r w:rsidRPr="005904EA" w:rsidR="007C56A9">
        <w:rPr>
          <w:i/>
          <w:color w:val="000000"/>
          <w:sz w:val="22"/>
          <w:szCs w:val="22"/>
        </w:rPr>
        <w:t>See</w:t>
      </w:r>
      <w:r w:rsidRPr="005904EA" w:rsidR="007C56A9">
        <w:rPr>
          <w:color w:val="000000"/>
          <w:sz w:val="22"/>
          <w:szCs w:val="22"/>
        </w:rPr>
        <w:t xml:space="preserve"> </w:t>
      </w:r>
      <w:r w:rsidR="00CD585B">
        <w:rPr>
          <w:color w:val="000000"/>
          <w:sz w:val="22"/>
          <w:szCs w:val="22"/>
        </w:rPr>
        <w:t>91</w:t>
      </w:r>
      <w:r w:rsidRPr="005904EA" w:rsidR="007C56A9">
        <w:rPr>
          <w:color w:val="000000"/>
          <w:sz w:val="22"/>
          <w:szCs w:val="22"/>
        </w:rPr>
        <w:t xml:space="preserve"> FR </w:t>
      </w:r>
      <w:r w:rsidR="00CD585B">
        <w:rPr>
          <w:color w:val="000000"/>
          <w:sz w:val="22"/>
          <w:szCs w:val="22"/>
        </w:rPr>
        <w:t>4081</w:t>
      </w:r>
      <w:r w:rsidRPr="005904EA" w:rsidR="007C56A9">
        <w:rPr>
          <w:color w:val="000000"/>
          <w:sz w:val="22"/>
          <w:szCs w:val="22"/>
        </w:rPr>
        <w:t>.</w:t>
      </w:r>
      <w:r w:rsidRPr="005904EA" w:rsidR="007C56A9">
        <w:rPr>
          <w:sz w:val="22"/>
          <w:szCs w:val="22"/>
        </w:rPr>
        <w:t xml:space="preserve">  No comments were received from the public as a result of this notice.</w:t>
      </w:r>
    </w:p>
    <w:p w:rsidR="002C644E" w:rsidRPr="005904EA" w:rsidP="005904EA" w14:paraId="4F62E9F3" w14:textId="77777777">
      <w:pPr>
        <w:rPr>
          <w:sz w:val="22"/>
          <w:szCs w:val="22"/>
        </w:rPr>
      </w:pPr>
    </w:p>
    <w:p w:rsidR="002C644E" w:rsidRPr="005904EA" w:rsidP="005904EA" w14:paraId="20B5E4C6" w14:textId="77777777">
      <w:pPr>
        <w:rPr>
          <w:sz w:val="22"/>
          <w:szCs w:val="22"/>
        </w:rPr>
      </w:pPr>
      <w:r w:rsidRPr="005904EA">
        <w:rPr>
          <w:sz w:val="22"/>
          <w:szCs w:val="22"/>
        </w:rPr>
        <w:t>9.</w:t>
      </w:r>
      <w:r w:rsidRPr="005904EA">
        <w:rPr>
          <w:sz w:val="22"/>
          <w:szCs w:val="22"/>
        </w:rPr>
        <w:tab/>
      </w:r>
      <w:r w:rsidRPr="005904EA" w:rsidR="00C73014">
        <w:rPr>
          <w:i/>
          <w:sz w:val="22"/>
          <w:szCs w:val="22"/>
        </w:rPr>
        <w:t xml:space="preserve">Payments or gifts to respondents.  </w:t>
      </w:r>
      <w:r w:rsidRPr="005904EA">
        <w:rPr>
          <w:sz w:val="22"/>
          <w:szCs w:val="22"/>
        </w:rPr>
        <w:t>Respondents will not receive any payments or gifts.</w:t>
      </w:r>
    </w:p>
    <w:p w:rsidR="002C644E" w:rsidRPr="005904EA" w:rsidP="005904EA" w14:paraId="7D163D11" w14:textId="77777777">
      <w:pPr>
        <w:rPr>
          <w:sz w:val="22"/>
          <w:szCs w:val="22"/>
        </w:rPr>
      </w:pPr>
    </w:p>
    <w:p w:rsidR="00C7376A" w:rsidRPr="005904EA" w:rsidP="005904EA" w14:paraId="5931BDC5" w14:textId="029FD6E3">
      <w:pPr>
        <w:numPr>
          <w:ilvl w:val="0"/>
          <w:numId w:val="4"/>
        </w:numPr>
        <w:tabs>
          <w:tab w:val="num" w:pos="0"/>
          <w:tab w:val="clear" w:pos="1080"/>
        </w:tabs>
        <w:ind w:left="0" w:firstLine="0"/>
        <w:rPr>
          <w:sz w:val="22"/>
          <w:szCs w:val="22"/>
        </w:rPr>
      </w:pPr>
      <w:r w:rsidRPr="005904EA">
        <w:rPr>
          <w:i/>
          <w:sz w:val="22"/>
          <w:szCs w:val="22"/>
        </w:rPr>
        <w:t>Assurance of confidentiality.</w:t>
      </w:r>
      <w:r w:rsidRPr="005904EA" w:rsidR="00C73014">
        <w:rPr>
          <w:i/>
          <w:sz w:val="22"/>
          <w:szCs w:val="22"/>
        </w:rPr>
        <w:t xml:space="preserve">  </w:t>
      </w:r>
      <w:bookmarkStart w:id="1" w:name="_Hlk508026475"/>
      <w:r w:rsidRPr="005904EA" w:rsidR="007C56A9">
        <w:rPr>
          <w:sz w:val="22"/>
          <w:szCs w:val="22"/>
        </w:rPr>
        <w:t xml:space="preserve">Respondents </w:t>
      </w:r>
      <w:r w:rsidRPr="005904EA" w:rsidR="00C22F82">
        <w:rPr>
          <w:sz w:val="22"/>
          <w:szCs w:val="22"/>
        </w:rPr>
        <w:t>may request confidential treatment pursuant to 47 C</w:t>
      </w:r>
      <w:r w:rsidRPr="005904EA" w:rsidR="007C56A9">
        <w:rPr>
          <w:sz w:val="22"/>
          <w:szCs w:val="22"/>
        </w:rPr>
        <w:t>.</w:t>
      </w:r>
      <w:r w:rsidRPr="005904EA" w:rsidR="00C22F82">
        <w:rPr>
          <w:sz w:val="22"/>
          <w:szCs w:val="22"/>
        </w:rPr>
        <w:t>F</w:t>
      </w:r>
      <w:r w:rsidRPr="005904EA" w:rsidR="007C56A9">
        <w:rPr>
          <w:sz w:val="22"/>
          <w:szCs w:val="22"/>
        </w:rPr>
        <w:t>.</w:t>
      </w:r>
      <w:r w:rsidRPr="005904EA" w:rsidR="00C22F82">
        <w:rPr>
          <w:sz w:val="22"/>
          <w:szCs w:val="22"/>
        </w:rPr>
        <w:t>R</w:t>
      </w:r>
      <w:r w:rsidRPr="005904EA" w:rsidR="007C56A9">
        <w:rPr>
          <w:sz w:val="22"/>
          <w:szCs w:val="22"/>
        </w:rPr>
        <w:t>.</w:t>
      </w:r>
      <w:r w:rsidRPr="005904EA" w:rsidR="00C22F82">
        <w:rPr>
          <w:sz w:val="22"/>
          <w:szCs w:val="22"/>
        </w:rPr>
        <w:t xml:space="preserve"> § 0.459</w:t>
      </w:r>
      <w:r w:rsidRPr="005904EA" w:rsidR="009372B0">
        <w:rPr>
          <w:sz w:val="22"/>
          <w:szCs w:val="22"/>
        </w:rPr>
        <w:t>.</w:t>
      </w:r>
      <w:bookmarkEnd w:id="1"/>
    </w:p>
    <w:p w:rsidR="00C7376A" w:rsidRPr="005904EA" w:rsidP="005904EA" w14:paraId="644A0D80" w14:textId="77777777">
      <w:pPr>
        <w:tabs>
          <w:tab w:val="left" w:pos="-720"/>
        </w:tabs>
        <w:suppressAutoHyphens/>
        <w:rPr>
          <w:sz w:val="22"/>
          <w:szCs w:val="22"/>
        </w:rPr>
      </w:pPr>
    </w:p>
    <w:p w:rsidR="002C644E" w:rsidRPr="005904EA" w:rsidP="005904EA" w14:paraId="07F4C6AA" w14:textId="77777777">
      <w:pPr>
        <w:numPr>
          <w:ilvl w:val="0"/>
          <w:numId w:val="3"/>
        </w:numPr>
        <w:tabs>
          <w:tab w:val="num" w:pos="0"/>
          <w:tab w:val="clear" w:pos="1080"/>
        </w:tabs>
        <w:ind w:left="0" w:firstLine="0"/>
        <w:rPr>
          <w:sz w:val="22"/>
          <w:szCs w:val="22"/>
        </w:rPr>
      </w:pPr>
      <w:r w:rsidRPr="005904EA">
        <w:rPr>
          <w:i/>
          <w:sz w:val="22"/>
          <w:szCs w:val="22"/>
        </w:rPr>
        <w:t>Questions of a sensitive nature</w:t>
      </w:r>
      <w:r w:rsidRPr="005904EA">
        <w:rPr>
          <w:sz w:val="22"/>
          <w:szCs w:val="22"/>
        </w:rPr>
        <w:t>.</w:t>
      </w:r>
      <w:r w:rsidRPr="005904EA" w:rsidR="00C73014">
        <w:rPr>
          <w:sz w:val="22"/>
          <w:szCs w:val="22"/>
        </w:rPr>
        <w:t xml:space="preserve">  </w:t>
      </w:r>
      <w:r w:rsidRPr="005904EA">
        <w:rPr>
          <w:sz w:val="22"/>
          <w:szCs w:val="22"/>
        </w:rPr>
        <w:t>This information collection does not address any private matters of a sensitive nature.</w:t>
      </w:r>
    </w:p>
    <w:p w:rsidR="008B410E" w:rsidRPr="005904EA" w:rsidP="005904EA" w14:paraId="54760F18" w14:textId="77777777">
      <w:pPr>
        <w:rPr>
          <w:sz w:val="22"/>
          <w:szCs w:val="22"/>
        </w:rPr>
      </w:pPr>
    </w:p>
    <w:p w:rsidR="00726836" w:rsidRPr="005904EA" w:rsidP="005904EA" w14:paraId="118D393E" w14:textId="704E1C46">
      <w:pPr>
        <w:rPr>
          <w:sz w:val="22"/>
          <w:szCs w:val="22"/>
        </w:rPr>
      </w:pPr>
      <w:r w:rsidRPr="005904EA">
        <w:rPr>
          <w:i/>
          <w:sz w:val="22"/>
          <w:szCs w:val="22"/>
        </w:rPr>
        <w:t xml:space="preserve"> </w:t>
      </w:r>
      <w:r w:rsidRPr="005904EA" w:rsidR="00C7376A">
        <w:rPr>
          <w:i/>
          <w:sz w:val="22"/>
          <w:szCs w:val="22"/>
        </w:rPr>
        <w:t>Estimates of the hour burden of the collection to respondents</w:t>
      </w:r>
      <w:r w:rsidRPr="005904EA" w:rsidR="007C56A9">
        <w:rPr>
          <w:i/>
          <w:sz w:val="22"/>
          <w:szCs w:val="22"/>
        </w:rPr>
        <w:t xml:space="preserve">.  </w:t>
      </w:r>
      <w:r w:rsidRPr="005904EA" w:rsidR="007C56A9">
        <w:rPr>
          <w:iCs/>
          <w:sz w:val="22"/>
          <w:szCs w:val="22"/>
        </w:rPr>
        <w:t>The following represents the hour burden on the collections of information.</w:t>
      </w:r>
    </w:p>
    <w:p w:rsidR="00EE4171" w:rsidRPr="005904EA" w:rsidP="005904EA" w14:paraId="69F47045" w14:textId="77777777">
      <w:pPr>
        <w:rPr>
          <w:sz w:val="22"/>
          <w:szCs w:val="22"/>
        </w:rPr>
      </w:pPr>
    </w:p>
    <w:p w:rsidR="004B1819" w:rsidRPr="005904EA" w:rsidP="005904EA" w14:paraId="618401CC" w14:textId="595F7764">
      <w:pPr>
        <w:pStyle w:val="ListParagraph"/>
        <w:numPr>
          <w:ilvl w:val="0"/>
          <w:numId w:val="8"/>
        </w:numPr>
        <w:rPr>
          <w:b/>
          <w:sz w:val="22"/>
          <w:szCs w:val="22"/>
          <w:u w:val="single"/>
        </w:rPr>
      </w:pPr>
      <w:r w:rsidRPr="005904EA">
        <w:rPr>
          <w:b/>
          <w:bCs/>
          <w:sz w:val="22"/>
          <w:szCs w:val="22"/>
          <w:u w:val="single"/>
        </w:rPr>
        <w:t xml:space="preserve">Rural Digital Opportunity Fund </w:t>
      </w:r>
      <w:r w:rsidRPr="005904EA">
        <w:rPr>
          <w:b/>
          <w:sz w:val="22"/>
          <w:szCs w:val="22"/>
          <w:u w:val="single"/>
        </w:rPr>
        <w:t>Long-Form Application Requirements (FCC Form 683)</w:t>
      </w:r>
      <w:r w:rsidRPr="005904EA">
        <w:rPr>
          <w:b/>
          <w:bCs/>
          <w:sz w:val="22"/>
          <w:szCs w:val="22"/>
          <w:u w:val="single"/>
        </w:rPr>
        <w:t xml:space="preserve"> (</w:t>
      </w:r>
      <w:r w:rsidRPr="005904EA" w:rsidR="007C56A9">
        <w:rPr>
          <w:b/>
          <w:bCs/>
          <w:sz w:val="22"/>
          <w:szCs w:val="22"/>
          <w:u w:val="single"/>
        </w:rPr>
        <w:t>eliminated requirement</w:t>
      </w:r>
      <w:r w:rsidRPr="005904EA">
        <w:rPr>
          <w:b/>
          <w:bCs/>
          <w:sz w:val="22"/>
          <w:szCs w:val="22"/>
          <w:u w:val="single"/>
        </w:rPr>
        <w:t>)</w:t>
      </w:r>
      <w:r w:rsidRPr="005904EA">
        <w:rPr>
          <w:b/>
          <w:bCs/>
          <w:sz w:val="22"/>
          <w:szCs w:val="22"/>
        </w:rPr>
        <w:t>:</w:t>
      </w:r>
    </w:p>
    <w:p w:rsidR="004B1819" w:rsidRPr="005904EA" w:rsidP="005904EA" w14:paraId="2045DD2E" w14:textId="77777777">
      <w:pPr>
        <w:ind w:left="360" w:hanging="360"/>
        <w:rPr>
          <w:sz w:val="22"/>
          <w:szCs w:val="22"/>
        </w:rPr>
      </w:pPr>
    </w:p>
    <w:p w:rsidR="004B1819" w:rsidRPr="005904EA" w:rsidP="005904EA" w14:paraId="33430108" w14:textId="126CABE5">
      <w:pPr>
        <w:ind w:left="720" w:hanging="360"/>
        <w:rPr>
          <w:sz w:val="22"/>
          <w:szCs w:val="22"/>
        </w:rPr>
      </w:pPr>
      <w:r w:rsidRPr="005904EA">
        <w:rPr>
          <w:sz w:val="22"/>
          <w:szCs w:val="22"/>
        </w:rPr>
        <w:t xml:space="preserve">(1) </w:t>
      </w:r>
      <w:r w:rsidRPr="005904EA">
        <w:rPr>
          <w:sz w:val="22"/>
          <w:szCs w:val="22"/>
          <w:u w:val="single"/>
        </w:rPr>
        <w:t>Number of respondents</w:t>
      </w:r>
      <w:r w:rsidRPr="005904EA">
        <w:rPr>
          <w:sz w:val="22"/>
          <w:szCs w:val="22"/>
        </w:rPr>
        <w:t xml:space="preserve">: </w:t>
      </w:r>
      <w:r w:rsidRPr="005904EA" w:rsidR="007C56A9">
        <w:rPr>
          <w:sz w:val="22"/>
          <w:szCs w:val="22"/>
        </w:rPr>
        <w:t>0</w:t>
      </w:r>
      <w:r w:rsidRPr="005904EA">
        <w:rPr>
          <w:sz w:val="22"/>
          <w:szCs w:val="22"/>
        </w:rPr>
        <w:t xml:space="preserve">. </w:t>
      </w:r>
    </w:p>
    <w:p w:rsidR="004B1819" w:rsidRPr="005904EA" w:rsidP="005904EA" w14:paraId="2C8B6926" w14:textId="77777777">
      <w:pPr>
        <w:rPr>
          <w:sz w:val="22"/>
          <w:szCs w:val="22"/>
        </w:rPr>
      </w:pPr>
    </w:p>
    <w:p w:rsidR="004B1819" w:rsidRPr="005904EA" w:rsidP="005904EA" w14:paraId="7B4D9717" w14:textId="3DFF364D">
      <w:pPr>
        <w:ind w:left="720" w:hanging="360"/>
        <w:rPr>
          <w:sz w:val="22"/>
          <w:szCs w:val="22"/>
        </w:rPr>
      </w:pPr>
      <w:r w:rsidRPr="005904EA">
        <w:rPr>
          <w:sz w:val="22"/>
          <w:szCs w:val="22"/>
        </w:rPr>
        <w:t xml:space="preserve">(2) </w:t>
      </w:r>
      <w:r w:rsidRPr="005904EA">
        <w:rPr>
          <w:sz w:val="22"/>
          <w:szCs w:val="22"/>
          <w:u w:val="single"/>
        </w:rPr>
        <w:t>Frequency of response</w:t>
      </w:r>
      <w:r w:rsidRPr="005904EA">
        <w:rPr>
          <w:sz w:val="22"/>
          <w:szCs w:val="22"/>
        </w:rPr>
        <w:t xml:space="preserve">: </w:t>
      </w:r>
      <w:r w:rsidRPr="005904EA" w:rsidR="007C56A9">
        <w:rPr>
          <w:sz w:val="22"/>
          <w:szCs w:val="22"/>
        </w:rPr>
        <w:t>0</w:t>
      </w:r>
      <w:r w:rsidRPr="005904EA">
        <w:rPr>
          <w:sz w:val="22"/>
          <w:szCs w:val="22"/>
        </w:rPr>
        <w:t xml:space="preserve">.   </w:t>
      </w:r>
    </w:p>
    <w:p w:rsidR="004B1819" w:rsidRPr="005904EA" w:rsidP="005904EA" w14:paraId="6AAA47B6" w14:textId="77777777">
      <w:pPr>
        <w:ind w:left="360"/>
        <w:rPr>
          <w:sz w:val="22"/>
          <w:szCs w:val="22"/>
        </w:rPr>
      </w:pPr>
    </w:p>
    <w:p w:rsidR="004B1819" w:rsidRPr="005904EA" w:rsidP="005904EA" w14:paraId="218E02C9" w14:textId="67C4F1F6">
      <w:pPr>
        <w:ind w:left="360"/>
        <w:rPr>
          <w:sz w:val="22"/>
          <w:szCs w:val="22"/>
        </w:rPr>
      </w:pPr>
      <w:r w:rsidRPr="005904EA">
        <w:rPr>
          <w:sz w:val="22"/>
          <w:szCs w:val="22"/>
        </w:rPr>
        <w:t xml:space="preserve">(3) </w:t>
      </w:r>
      <w:r w:rsidRPr="005904EA">
        <w:rPr>
          <w:sz w:val="22"/>
          <w:szCs w:val="22"/>
          <w:u w:val="single"/>
        </w:rPr>
        <w:t>Total number of respon</w:t>
      </w:r>
      <w:r w:rsidRPr="005904EA" w:rsidR="003E0382">
        <w:rPr>
          <w:sz w:val="22"/>
          <w:szCs w:val="22"/>
          <w:u w:val="single"/>
        </w:rPr>
        <w:t>ses per respondent</w:t>
      </w:r>
      <w:r w:rsidRPr="005904EA">
        <w:rPr>
          <w:sz w:val="22"/>
          <w:szCs w:val="22"/>
        </w:rPr>
        <w:t xml:space="preserve">: </w:t>
      </w:r>
      <w:r w:rsidRPr="005904EA" w:rsidR="007C56A9">
        <w:rPr>
          <w:sz w:val="22"/>
          <w:szCs w:val="22"/>
        </w:rPr>
        <w:t>0</w:t>
      </w:r>
      <w:r w:rsidRPr="005904EA">
        <w:rPr>
          <w:sz w:val="22"/>
          <w:szCs w:val="22"/>
        </w:rPr>
        <w:t xml:space="preserve">. </w:t>
      </w:r>
    </w:p>
    <w:p w:rsidR="004B1819" w:rsidRPr="005904EA" w:rsidP="005904EA" w14:paraId="600DA18C" w14:textId="77777777">
      <w:pPr>
        <w:ind w:left="360"/>
        <w:rPr>
          <w:sz w:val="22"/>
          <w:szCs w:val="22"/>
        </w:rPr>
      </w:pPr>
    </w:p>
    <w:p w:rsidR="004B1819" w:rsidRPr="005904EA" w:rsidP="005904EA" w14:paraId="05FB7179" w14:textId="0E6619B4">
      <w:pPr>
        <w:ind w:left="360"/>
        <w:rPr>
          <w:sz w:val="22"/>
          <w:szCs w:val="22"/>
        </w:rPr>
      </w:pPr>
      <w:r w:rsidRPr="005904EA">
        <w:rPr>
          <w:sz w:val="22"/>
          <w:szCs w:val="22"/>
        </w:rPr>
        <w:t xml:space="preserve">(4) </w:t>
      </w:r>
      <w:r w:rsidRPr="005904EA">
        <w:rPr>
          <w:sz w:val="22"/>
          <w:szCs w:val="22"/>
          <w:u w:val="single"/>
        </w:rPr>
        <w:t>Estimated time per response</w:t>
      </w:r>
      <w:r w:rsidRPr="005904EA">
        <w:rPr>
          <w:sz w:val="22"/>
          <w:szCs w:val="22"/>
        </w:rPr>
        <w:t xml:space="preserve">: </w:t>
      </w:r>
      <w:r w:rsidRPr="005904EA" w:rsidR="007C56A9">
        <w:rPr>
          <w:sz w:val="22"/>
          <w:szCs w:val="22"/>
        </w:rPr>
        <w:t>0</w:t>
      </w:r>
      <w:r w:rsidRPr="005904EA">
        <w:rPr>
          <w:sz w:val="22"/>
          <w:szCs w:val="22"/>
        </w:rPr>
        <w:t>.</w:t>
      </w:r>
    </w:p>
    <w:p w:rsidR="004B1819" w:rsidRPr="005904EA" w:rsidP="005904EA" w14:paraId="1A3CDADE" w14:textId="77777777">
      <w:pPr>
        <w:rPr>
          <w:sz w:val="22"/>
          <w:szCs w:val="22"/>
        </w:rPr>
      </w:pPr>
    </w:p>
    <w:p w:rsidR="004B1819" w:rsidRPr="005904EA" w:rsidP="005904EA" w14:paraId="2BA53B0F" w14:textId="3014C676">
      <w:pPr>
        <w:ind w:left="360"/>
        <w:rPr>
          <w:sz w:val="22"/>
          <w:szCs w:val="22"/>
        </w:rPr>
      </w:pPr>
      <w:r w:rsidRPr="005904EA">
        <w:rPr>
          <w:sz w:val="22"/>
          <w:szCs w:val="22"/>
        </w:rPr>
        <w:t xml:space="preserve">(5) </w:t>
      </w:r>
      <w:r w:rsidRPr="005904EA">
        <w:rPr>
          <w:sz w:val="22"/>
          <w:szCs w:val="22"/>
          <w:u w:val="single"/>
        </w:rPr>
        <w:t>Total annual hour burden</w:t>
      </w:r>
      <w:r w:rsidRPr="005904EA">
        <w:rPr>
          <w:sz w:val="22"/>
          <w:szCs w:val="22"/>
        </w:rPr>
        <w:t xml:space="preserve">: </w:t>
      </w:r>
      <w:r w:rsidRPr="005904EA" w:rsidR="007C56A9">
        <w:rPr>
          <w:sz w:val="22"/>
          <w:szCs w:val="22"/>
        </w:rPr>
        <w:t>0</w:t>
      </w:r>
      <w:r w:rsidRPr="005904EA">
        <w:rPr>
          <w:sz w:val="22"/>
          <w:szCs w:val="22"/>
        </w:rPr>
        <w:t xml:space="preserve"> hours.</w:t>
      </w:r>
    </w:p>
    <w:p w:rsidR="004B1819" w:rsidRPr="005904EA" w:rsidP="005904EA" w14:paraId="7CD78211" w14:textId="77777777">
      <w:pPr>
        <w:ind w:left="360"/>
        <w:rPr>
          <w:sz w:val="22"/>
          <w:szCs w:val="22"/>
        </w:rPr>
      </w:pPr>
    </w:p>
    <w:p w:rsidR="004B1819" w:rsidRPr="005904EA" w:rsidP="005904EA" w14:paraId="72A5BB49" w14:textId="7177381B">
      <w:pPr>
        <w:ind w:left="720"/>
        <w:rPr>
          <w:sz w:val="22"/>
          <w:szCs w:val="22"/>
        </w:rPr>
      </w:pPr>
      <w:r w:rsidRPr="005904EA">
        <w:rPr>
          <w:sz w:val="22"/>
          <w:szCs w:val="22"/>
        </w:rPr>
        <w:t>0</w:t>
      </w:r>
      <w:r w:rsidRPr="005904EA" w:rsidR="00726836">
        <w:rPr>
          <w:sz w:val="22"/>
          <w:szCs w:val="22"/>
        </w:rPr>
        <w:t xml:space="preserve"> hours per respondent for approximately </w:t>
      </w:r>
      <w:r w:rsidRPr="005904EA">
        <w:rPr>
          <w:sz w:val="22"/>
          <w:szCs w:val="22"/>
        </w:rPr>
        <w:t>0</w:t>
      </w:r>
      <w:r w:rsidRPr="005904EA" w:rsidR="00726836">
        <w:rPr>
          <w:sz w:val="22"/>
          <w:szCs w:val="22"/>
        </w:rPr>
        <w:t xml:space="preserve"> applicants/respondents each filing </w:t>
      </w:r>
      <w:r w:rsidRPr="005904EA">
        <w:rPr>
          <w:sz w:val="22"/>
          <w:szCs w:val="22"/>
        </w:rPr>
        <w:t>0 times</w:t>
      </w:r>
      <w:r w:rsidRPr="005904EA" w:rsidR="00726836">
        <w:rPr>
          <w:sz w:val="22"/>
          <w:szCs w:val="22"/>
        </w:rPr>
        <w:t xml:space="preserve">.  Total annual hour burden is calculated as follows: </w:t>
      </w:r>
    </w:p>
    <w:p w:rsidR="004B1819" w:rsidRPr="005904EA" w:rsidP="005904EA" w14:paraId="5B0EDC20" w14:textId="77777777">
      <w:pPr>
        <w:ind w:left="720"/>
        <w:rPr>
          <w:sz w:val="22"/>
          <w:szCs w:val="22"/>
        </w:rPr>
      </w:pPr>
    </w:p>
    <w:p w:rsidR="004B1819" w:rsidRPr="005904EA" w:rsidP="005904EA" w14:paraId="641F9429" w14:textId="37818822">
      <w:pPr>
        <w:ind w:left="720"/>
        <w:rPr>
          <w:b/>
          <w:sz w:val="22"/>
          <w:szCs w:val="22"/>
        </w:rPr>
      </w:pPr>
      <w:r w:rsidRPr="005904EA">
        <w:rPr>
          <w:sz w:val="22"/>
          <w:szCs w:val="22"/>
        </w:rPr>
        <w:t>0</w:t>
      </w:r>
      <w:r w:rsidRPr="005904EA" w:rsidR="00726836">
        <w:rPr>
          <w:sz w:val="22"/>
          <w:szCs w:val="22"/>
        </w:rPr>
        <w:t xml:space="preserve"> applicants/respondents x </w:t>
      </w:r>
      <w:r w:rsidRPr="005904EA">
        <w:rPr>
          <w:sz w:val="22"/>
          <w:szCs w:val="22"/>
        </w:rPr>
        <w:t>0</w:t>
      </w:r>
      <w:r w:rsidRPr="005904EA" w:rsidR="00726836">
        <w:rPr>
          <w:sz w:val="22"/>
          <w:szCs w:val="22"/>
        </w:rPr>
        <w:t xml:space="preserve"> submission</w:t>
      </w:r>
      <w:r w:rsidRPr="005904EA">
        <w:rPr>
          <w:sz w:val="22"/>
          <w:szCs w:val="22"/>
        </w:rPr>
        <w:t>s</w:t>
      </w:r>
      <w:r w:rsidRPr="005904EA" w:rsidR="00726836">
        <w:rPr>
          <w:sz w:val="22"/>
          <w:szCs w:val="22"/>
        </w:rPr>
        <w:t xml:space="preserve"> = </w:t>
      </w:r>
      <w:r w:rsidRPr="005904EA">
        <w:rPr>
          <w:sz w:val="22"/>
          <w:szCs w:val="22"/>
        </w:rPr>
        <w:t>0</w:t>
      </w:r>
      <w:r w:rsidRPr="005904EA" w:rsidR="00726836">
        <w:rPr>
          <w:sz w:val="22"/>
          <w:szCs w:val="22"/>
        </w:rPr>
        <w:t xml:space="preserve"> responses x </w:t>
      </w:r>
      <w:r w:rsidRPr="005904EA">
        <w:rPr>
          <w:sz w:val="22"/>
          <w:szCs w:val="22"/>
        </w:rPr>
        <w:t>0</w:t>
      </w:r>
      <w:r w:rsidRPr="005904EA" w:rsidR="00726836">
        <w:rPr>
          <w:sz w:val="22"/>
          <w:szCs w:val="22"/>
        </w:rPr>
        <w:t xml:space="preserve"> hours = </w:t>
      </w:r>
      <w:r w:rsidRPr="005904EA">
        <w:rPr>
          <w:b/>
          <w:sz w:val="22"/>
          <w:szCs w:val="22"/>
        </w:rPr>
        <w:t>0</w:t>
      </w:r>
      <w:r w:rsidR="004F4A07">
        <w:rPr>
          <w:b/>
          <w:sz w:val="22"/>
          <w:szCs w:val="22"/>
        </w:rPr>
        <w:t xml:space="preserve"> </w:t>
      </w:r>
      <w:r w:rsidRPr="005904EA" w:rsidR="00726836">
        <w:rPr>
          <w:b/>
          <w:sz w:val="22"/>
          <w:szCs w:val="22"/>
        </w:rPr>
        <w:t>total annual hours</w:t>
      </w:r>
      <w:r w:rsidRPr="005904EA" w:rsidR="00726836">
        <w:rPr>
          <w:sz w:val="22"/>
          <w:szCs w:val="22"/>
        </w:rPr>
        <w:t xml:space="preserve">. </w:t>
      </w:r>
    </w:p>
    <w:p w:rsidR="004B1819" w:rsidRPr="005904EA" w:rsidP="005904EA" w14:paraId="2A83CF40" w14:textId="77777777">
      <w:pPr>
        <w:rPr>
          <w:sz w:val="22"/>
          <w:szCs w:val="22"/>
        </w:rPr>
      </w:pPr>
    </w:p>
    <w:p w:rsidR="004B1819" w:rsidRPr="005904EA" w:rsidP="005904EA" w14:paraId="1DB28260" w14:textId="731E72BF">
      <w:pPr>
        <w:ind w:left="720" w:hanging="360"/>
        <w:rPr>
          <w:sz w:val="22"/>
          <w:szCs w:val="22"/>
        </w:rPr>
      </w:pPr>
      <w:r w:rsidRPr="005904EA">
        <w:rPr>
          <w:sz w:val="22"/>
          <w:szCs w:val="22"/>
        </w:rPr>
        <w:t xml:space="preserve">(6) </w:t>
      </w:r>
      <w:r w:rsidRPr="005904EA">
        <w:rPr>
          <w:sz w:val="22"/>
          <w:szCs w:val="22"/>
          <w:u w:val="single"/>
        </w:rPr>
        <w:t>Total estimate of in-house cost to respondents</w:t>
      </w:r>
      <w:r w:rsidRPr="005904EA">
        <w:rPr>
          <w:sz w:val="22"/>
          <w:szCs w:val="22"/>
        </w:rPr>
        <w:t xml:space="preserve">: </w:t>
      </w:r>
      <w:r w:rsidRPr="005904EA">
        <w:rPr>
          <w:b/>
          <w:bCs/>
          <w:sz w:val="22"/>
          <w:szCs w:val="22"/>
        </w:rPr>
        <w:t>$</w:t>
      </w:r>
      <w:r w:rsidRPr="005904EA" w:rsidR="00CC170D">
        <w:rPr>
          <w:b/>
          <w:bCs/>
          <w:sz w:val="22"/>
          <w:szCs w:val="22"/>
        </w:rPr>
        <w:t>0</w:t>
      </w:r>
      <w:r w:rsidRPr="005904EA">
        <w:rPr>
          <w:sz w:val="22"/>
          <w:szCs w:val="22"/>
        </w:rPr>
        <w:t xml:space="preserve"> (</w:t>
      </w:r>
      <w:r w:rsidRPr="005904EA" w:rsidR="00CC170D">
        <w:rPr>
          <w:sz w:val="22"/>
          <w:szCs w:val="22"/>
        </w:rPr>
        <w:t>0</w:t>
      </w:r>
      <w:r w:rsidRPr="005904EA">
        <w:rPr>
          <w:sz w:val="22"/>
          <w:szCs w:val="22"/>
        </w:rPr>
        <w:t xml:space="preserve"> hours x $</w:t>
      </w:r>
      <w:r w:rsidRPr="005904EA" w:rsidR="00CC170D">
        <w:rPr>
          <w:sz w:val="22"/>
          <w:szCs w:val="22"/>
        </w:rPr>
        <w:t>0</w:t>
      </w:r>
      <w:r w:rsidRPr="005904EA">
        <w:rPr>
          <w:sz w:val="22"/>
          <w:szCs w:val="22"/>
        </w:rPr>
        <w:t xml:space="preserve">/hour).  </w:t>
      </w:r>
    </w:p>
    <w:p w:rsidR="004B1819" w:rsidRPr="005904EA" w:rsidP="005904EA" w14:paraId="64405239" w14:textId="77777777">
      <w:pPr>
        <w:tabs>
          <w:tab w:val="left" w:pos="-720"/>
        </w:tabs>
        <w:suppressAutoHyphens/>
        <w:ind w:left="360"/>
        <w:rPr>
          <w:spacing w:val="-3"/>
          <w:sz w:val="22"/>
          <w:szCs w:val="22"/>
        </w:rPr>
      </w:pPr>
    </w:p>
    <w:p w:rsidR="00EE4171" w:rsidRPr="005904EA" w:rsidP="005904EA" w14:paraId="4A7931D6" w14:textId="36195FE1">
      <w:pPr>
        <w:ind w:left="720" w:hanging="360"/>
        <w:rPr>
          <w:sz w:val="22"/>
          <w:szCs w:val="22"/>
        </w:rPr>
      </w:pPr>
      <w:r w:rsidRPr="005904EA">
        <w:rPr>
          <w:spacing w:val="-3"/>
          <w:sz w:val="22"/>
          <w:szCs w:val="22"/>
        </w:rPr>
        <w:t xml:space="preserve">(7) </w:t>
      </w:r>
      <w:r w:rsidRPr="005904EA">
        <w:rPr>
          <w:spacing w:val="-3"/>
          <w:sz w:val="22"/>
          <w:szCs w:val="22"/>
          <w:u w:val="single"/>
        </w:rPr>
        <w:t>Explanation of calculation</w:t>
      </w:r>
      <w:r w:rsidRPr="005904EA">
        <w:rPr>
          <w:spacing w:val="-3"/>
          <w:sz w:val="22"/>
          <w:szCs w:val="22"/>
        </w:rPr>
        <w:t xml:space="preserve">: </w:t>
      </w:r>
      <w:r w:rsidRPr="005904EA" w:rsidR="00CC170D">
        <w:rPr>
          <w:spacing w:val="-3"/>
          <w:sz w:val="22"/>
          <w:szCs w:val="22"/>
        </w:rPr>
        <w:t>Given the Commission proposes to eliminate these information collection requirements, the total annual hour burden and in-house costs for these respondents will be 0.</w:t>
      </w:r>
    </w:p>
    <w:p w:rsidR="00EE4171" w:rsidRPr="005904EA" w:rsidP="005904EA" w14:paraId="51D01CA1" w14:textId="77777777">
      <w:pPr>
        <w:rPr>
          <w:sz w:val="22"/>
          <w:szCs w:val="22"/>
        </w:rPr>
      </w:pPr>
    </w:p>
    <w:p w:rsidR="004B1819" w:rsidRPr="005904EA" w:rsidP="005904EA" w14:paraId="76E2A805" w14:textId="1D3CA431">
      <w:pPr>
        <w:pStyle w:val="ListParagraph"/>
        <w:numPr>
          <w:ilvl w:val="0"/>
          <w:numId w:val="8"/>
        </w:numPr>
        <w:rPr>
          <w:b/>
          <w:sz w:val="22"/>
          <w:szCs w:val="22"/>
        </w:rPr>
      </w:pPr>
      <w:r w:rsidRPr="005904EA">
        <w:rPr>
          <w:b/>
          <w:sz w:val="22"/>
          <w:szCs w:val="22"/>
          <w:u w:val="single"/>
        </w:rPr>
        <w:t>Rural Digital Opportunity Fund Annual Submission of Letter of Credit (</w:t>
      </w:r>
      <w:r w:rsidRPr="005904EA" w:rsidR="009B0354">
        <w:rPr>
          <w:b/>
          <w:sz w:val="22"/>
          <w:szCs w:val="22"/>
          <w:u w:val="single"/>
        </w:rPr>
        <w:t>no changes</w:t>
      </w:r>
      <w:r w:rsidRPr="005904EA">
        <w:rPr>
          <w:b/>
          <w:sz w:val="22"/>
          <w:szCs w:val="22"/>
          <w:u w:val="single"/>
        </w:rPr>
        <w:t>)</w:t>
      </w:r>
      <w:r w:rsidRPr="005904EA">
        <w:rPr>
          <w:b/>
          <w:sz w:val="22"/>
          <w:szCs w:val="22"/>
        </w:rPr>
        <w:t>:</w:t>
      </w:r>
    </w:p>
    <w:p w:rsidR="004B1819" w:rsidRPr="005904EA" w:rsidP="005904EA" w14:paraId="7054BCED" w14:textId="77777777">
      <w:pPr>
        <w:tabs>
          <w:tab w:val="left" w:pos="-720"/>
        </w:tabs>
        <w:suppressAutoHyphens/>
        <w:ind w:left="360"/>
        <w:rPr>
          <w:sz w:val="22"/>
          <w:szCs w:val="22"/>
        </w:rPr>
      </w:pPr>
    </w:p>
    <w:p w:rsidR="004B1819" w:rsidRPr="005904EA" w:rsidP="005904EA" w14:paraId="7DE0CCB3" w14:textId="7B011F2B">
      <w:pPr>
        <w:ind w:left="720" w:hanging="360"/>
        <w:rPr>
          <w:sz w:val="22"/>
          <w:szCs w:val="22"/>
        </w:rPr>
      </w:pPr>
      <w:r w:rsidRPr="005904EA">
        <w:rPr>
          <w:sz w:val="22"/>
          <w:szCs w:val="22"/>
        </w:rPr>
        <w:t xml:space="preserve">(1) </w:t>
      </w:r>
      <w:r w:rsidRPr="005904EA">
        <w:rPr>
          <w:sz w:val="22"/>
          <w:szCs w:val="22"/>
          <w:u w:val="single"/>
        </w:rPr>
        <w:t>Number of respondents</w:t>
      </w:r>
      <w:r w:rsidRPr="005904EA">
        <w:rPr>
          <w:sz w:val="22"/>
          <w:szCs w:val="22"/>
        </w:rPr>
        <w:t xml:space="preserve">: Approximately 400.  Each recipient of Rural Digital Opportunity Fund auction support will need to at a minimum submit a renewed or obtain a new letter of credit annually until </w:t>
      </w:r>
      <w:r w:rsidRPr="005904EA" w:rsidR="00253863">
        <w:rPr>
          <w:sz w:val="22"/>
          <w:szCs w:val="22"/>
        </w:rPr>
        <w:t>USAC</w:t>
      </w:r>
      <w:r w:rsidRPr="005904EA">
        <w:rPr>
          <w:sz w:val="22"/>
          <w:szCs w:val="22"/>
        </w:rPr>
        <w:t xml:space="preserve"> has verified that the recipient has served 100 percent of the Connect America Cost Model-determined location total (or the adjusted Connect America Cost Model location count if there are fewer locations) by the end of year six.  Recipients that obtain a new letter of credit, rather than renewing or amending an existing letter of credit, will also need to submit a new attorney opinion letter accompanying the new letter of credit.</w:t>
      </w:r>
    </w:p>
    <w:p w:rsidR="004B1819" w:rsidRPr="005904EA" w:rsidP="005904EA" w14:paraId="3419F1EE" w14:textId="77777777">
      <w:pPr>
        <w:rPr>
          <w:sz w:val="22"/>
          <w:szCs w:val="22"/>
        </w:rPr>
      </w:pPr>
    </w:p>
    <w:p w:rsidR="004B1819" w:rsidRPr="005904EA" w:rsidP="005904EA" w14:paraId="6262F786" w14:textId="75159F77">
      <w:pPr>
        <w:ind w:left="720" w:hanging="360"/>
        <w:rPr>
          <w:sz w:val="22"/>
          <w:szCs w:val="22"/>
        </w:rPr>
      </w:pPr>
      <w:r w:rsidRPr="005904EA">
        <w:rPr>
          <w:sz w:val="22"/>
          <w:szCs w:val="22"/>
        </w:rPr>
        <w:t xml:space="preserve">(2) </w:t>
      </w:r>
      <w:r w:rsidRPr="005904EA">
        <w:rPr>
          <w:sz w:val="22"/>
          <w:szCs w:val="22"/>
          <w:u w:val="single"/>
        </w:rPr>
        <w:t>Frequency of response</w:t>
      </w:r>
      <w:r w:rsidRPr="005904EA">
        <w:rPr>
          <w:sz w:val="22"/>
          <w:szCs w:val="22"/>
        </w:rPr>
        <w:t xml:space="preserve">: Annually.  </w:t>
      </w:r>
    </w:p>
    <w:p w:rsidR="004B1819" w:rsidRPr="005904EA" w:rsidP="005904EA" w14:paraId="09BEB523" w14:textId="77777777">
      <w:pPr>
        <w:ind w:left="360"/>
        <w:rPr>
          <w:sz w:val="22"/>
          <w:szCs w:val="22"/>
        </w:rPr>
      </w:pPr>
    </w:p>
    <w:p w:rsidR="004B1819" w:rsidRPr="005904EA" w:rsidP="005904EA" w14:paraId="7437B0F1" w14:textId="4769F359">
      <w:pPr>
        <w:ind w:left="360"/>
        <w:rPr>
          <w:sz w:val="22"/>
          <w:szCs w:val="22"/>
        </w:rPr>
      </w:pPr>
      <w:r w:rsidRPr="005904EA">
        <w:rPr>
          <w:sz w:val="22"/>
          <w:szCs w:val="22"/>
        </w:rPr>
        <w:t xml:space="preserve">(3) </w:t>
      </w:r>
      <w:r w:rsidRPr="005904EA">
        <w:rPr>
          <w:sz w:val="22"/>
          <w:szCs w:val="22"/>
          <w:u w:val="single"/>
        </w:rPr>
        <w:t xml:space="preserve">Total number of responses </w:t>
      </w:r>
      <w:r w:rsidR="006F2B75">
        <w:rPr>
          <w:sz w:val="22"/>
          <w:szCs w:val="22"/>
          <w:u w:val="single"/>
        </w:rPr>
        <w:t>per respondent</w:t>
      </w:r>
      <w:r w:rsidRPr="005904EA">
        <w:rPr>
          <w:sz w:val="22"/>
          <w:szCs w:val="22"/>
        </w:rPr>
        <w:t>: Approximately 1.</w:t>
      </w:r>
    </w:p>
    <w:p w:rsidR="004B1819" w:rsidRPr="005904EA" w:rsidP="005904EA" w14:paraId="178BF45B" w14:textId="77777777">
      <w:pPr>
        <w:ind w:left="360"/>
        <w:rPr>
          <w:sz w:val="22"/>
          <w:szCs w:val="22"/>
        </w:rPr>
      </w:pPr>
    </w:p>
    <w:p w:rsidR="004B1819" w:rsidRPr="005904EA" w:rsidP="005904EA" w14:paraId="6F2A02A0" w14:textId="527D1A17">
      <w:pPr>
        <w:ind w:left="360"/>
        <w:rPr>
          <w:sz w:val="22"/>
          <w:szCs w:val="22"/>
        </w:rPr>
      </w:pPr>
      <w:r w:rsidRPr="005904EA">
        <w:rPr>
          <w:sz w:val="22"/>
          <w:szCs w:val="22"/>
        </w:rPr>
        <w:t xml:space="preserve">(4) </w:t>
      </w:r>
      <w:r w:rsidRPr="005904EA">
        <w:rPr>
          <w:sz w:val="22"/>
          <w:szCs w:val="22"/>
          <w:u w:val="single"/>
        </w:rPr>
        <w:t>Estimated time per response</w:t>
      </w:r>
      <w:r w:rsidRPr="005904EA">
        <w:rPr>
          <w:sz w:val="22"/>
          <w:szCs w:val="22"/>
        </w:rPr>
        <w:t>: 2 hours.</w:t>
      </w:r>
    </w:p>
    <w:p w:rsidR="004B1819" w:rsidRPr="005904EA" w:rsidP="005904EA" w14:paraId="39B39D7A" w14:textId="77777777">
      <w:pPr>
        <w:rPr>
          <w:sz w:val="22"/>
          <w:szCs w:val="22"/>
        </w:rPr>
      </w:pPr>
    </w:p>
    <w:p w:rsidR="004B1819" w:rsidRPr="005904EA" w:rsidP="005904EA" w14:paraId="3AAD13C8" w14:textId="245ED2F4">
      <w:pPr>
        <w:ind w:left="360"/>
        <w:rPr>
          <w:sz w:val="22"/>
          <w:szCs w:val="22"/>
        </w:rPr>
      </w:pPr>
      <w:r w:rsidRPr="005904EA">
        <w:rPr>
          <w:sz w:val="22"/>
          <w:szCs w:val="22"/>
        </w:rPr>
        <w:t xml:space="preserve">(5) </w:t>
      </w:r>
      <w:r w:rsidRPr="005904EA">
        <w:rPr>
          <w:sz w:val="22"/>
          <w:szCs w:val="22"/>
          <w:u w:val="single"/>
        </w:rPr>
        <w:t>Total annual hour burden</w:t>
      </w:r>
      <w:r w:rsidRPr="005904EA">
        <w:rPr>
          <w:sz w:val="22"/>
          <w:szCs w:val="22"/>
        </w:rPr>
        <w:t>: 800 hours.</w:t>
      </w:r>
    </w:p>
    <w:p w:rsidR="004B1819" w:rsidRPr="005904EA" w:rsidP="005904EA" w14:paraId="1CDCBDEB" w14:textId="77777777">
      <w:pPr>
        <w:ind w:left="360"/>
        <w:rPr>
          <w:sz w:val="22"/>
          <w:szCs w:val="22"/>
        </w:rPr>
      </w:pPr>
    </w:p>
    <w:p w:rsidR="004B1819" w:rsidRPr="005904EA" w:rsidP="005904EA" w14:paraId="5B6EA72D" w14:textId="77777777">
      <w:pPr>
        <w:ind w:left="720"/>
        <w:rPr>
          <w:sz w:val="22"/>
          <w:szCs w:val="22"/>
        </w:rPr>
      </w:pPr>
      <w:r w:rsidRPr="005904EA">
        <w:rPr>
          <w:sz w:val="22"/>
          <w:szCs w:val="22"/>
        </w:rPr>
        <w:t xml:space="preserve">2 hours per respondent for approximately 400 support recipients filing annually.  Total annual hour burden is calculated as follows: </w:t>
      </w:r>
    </w:p>
    <w:p w:rsidR="004B1819" w:rsidRPr="005904EA" w:rsidP="005904EA" w14:paraId="3F105C23" w14:textId="77777777">
      <w:pPr>
        <w:ind w:left="720"/>
        <w:rPr>
          <w:sz w:val="22"/>
          <w:szCs w:val="22"/>
        </w:rPr>
      </w:pPr>
    </w:p>
    <w:p w:rsidR="004B1819" w:rsidRPr="005904EA" w:rsidP="005904EA" w14:paraId="71AB8F0B" w14:textId="77777777">
      <w:pPr>
        <w:ind w:left="720"/>
        <w:rPr>
          <w:b/>
          <w:sz w:val="22"/>
          <w:szCs w:val="22"/>
        </w:rPr>
      </w:pPr>
      <w:r w:rsidRPr="005904EA">
        <w:rPr>
          <w:sz w:val="22"/>
          <w:szCs w:val="22"/>
        </w:rPr>
        <w:t xml:space="preserve">400 recipients x 1 submission = 400 responses x 2 hours= </w:t>
      </w:r>
      <w:r w:rsidRPr="005904EA">
        <w:rPr>
          <w:b/>
          <w:sz w:val="22"/>
          <w:szCs w:val="22"/>
        </w:rPr>
        <w:t>800 total annual hours</w:t>
      </w:r>
      <w:r w:rsidRPr="005904EA">
        <w:rPr>
          <w:sz w:val="22"/>
          <w:szCs w:val="22"/>
        </w:rPr>
        <w:t xml:space="preserve">. </w:t>
      </w:r>
    </w:p>
    <w:p w:rsidR="004B1819" w:rsidRPr="005904EA" w:rsidP="005904EA" w14:paraId="5D9B7B27" w14:textId="77777777">
      <w:pPr>
        <w:rPr>
          <w:sz w:val="22"/>
          <w:szCs w:val="22"/>
        </w:rPr>
      </w:pPr>
    </w:p>
    <w:p w:rsidR="004B1819" w:rsidRPr="005904EA" w:rsidP="005904EA" w14:paraId="30D05F36" w14:textId="3D66CABE">
      <w:pPr>
        <w:ind w:left="720" w:hanging="360"/>
        <w:rPr>
          <w:sz w:val="22"/>
          <w:szCs w:val="22"/>
        </w:rPr>
      </w:pPr>
      <w:r w:rsidRPr="005904EA">
        <w:rPr>
          <w:sz w:val="22"/>
          <w:szCs w:val="22"/>
        </w:rPr>
        <w:t xml:space="preserve">(6) </w:t>
      </w:r>
      <w:r w:rsidRPr="005904EA">
        <w:rPr>
          <w:sz w:val="22"/>
          <w:szCs w:val="22"/>
          <w:u w:val="single"/>
        </w:rPr>
        <w:t>Total estimate of in-house cost to respondents</w:t>
      </w:r>
      <w:r w:rsidRPr="005904EA">
        <w:rPr>
          <w:sz w:val="22"/>
          <w:szCs w:val="22"/>
        </w:rPr>
        <w:t xml:space="preserve">:  </w:t>
      </w:r>
      <w:r w:rsidRPr="005904EA">
        <w:rPr>
          <w:b/>
          <w:bCs/>
          <w:sz w:val="22"/>
          <w:szCs w:val="22"/>
        </w:rPr>
        <w:t>$</w:t>
      </w:r>
      <w:r w:rsidRPr="005904EA" w:rsidR="003E0382">
        <w:rPr>
          <w:b/>
          <w:bCs/>
          <w:sz w:val="22"/>
          <w:szCs w:val="22"/>
        </w:rPr>
        <w:t>62,520</w:t>
      </w:r>
      <w:r w:rsidRPr="005904EA" w:rsidR="008B6663">
        <w:rPr>
          <w:sz w:val="22"/>
          <w:szCs w:val="22"/>
        </w:rPr>
        <w:t xml:space="preserve"> </w:t>
      </w:r>
      <w:r w:rsidRPr="005904EA">
        <w:rPr>
          <w:sz w:val="22"/>
          <w:szCs w:val="22"/>
        </w:rPr>
        <w:t>(800 hours x $</w:t>
      </w:r>
      <w:r w:rsidRPr="005904EA" w:rsidR="008B6663">
        <w:rPr>
          <w:sz w:val="22"/>
          <w:szCs w:val="22"/>
        </w:rPr>
        <w:t>7</w:t>
      </w:r>
      <w:r w:rsidRPr="005904EA" w:rsidR="00D340C5">
        <w:rPr>
          <w:sz w:val="22"/>
          <w:szCs w:val="22"/>
        </w:rPr>
        <w:t>8.15</w:t>
      </w:r>
      <w:r w:rsidRPr="005904EA">
        <w:rPr>
          <w:sz w:val="22"/>
          <w:szCs w:val="22"/>
        </w:rPr>
        <w:t xml:space="preserve">/hour).  </w:t>
      </w:r>
    </w:p>
    <w:p w:rsidR="004B1819" w:rsidRPr="005904EA" w:rsidP="005904EA" w14:paraId="44E15E81" w14:textId="77777777">
      <w:pPr>
        <w:tabs>
          <w:tab w:val="left" w:pos="-720"/>
        </w:tabs>
        <w:suppressAutoHyphens/>
        <w:ind w:left="360"/>
        <w:rPr>
          <w:spacing w:val="-3"/>
          <w:sz w:val="22"/>
          <w:szCs w:val="22"/>
        </w:rPr>
      </w:pPr>
    </w:p>
    <w:p w:rsidR="004B1819" w:rsidRPr="005904EA" w:rsidP="005904EA" w14:paraId="14F34412" w14:textId="090A25EB">
      <w:pPr>
        <w:tabs>
          <w:tab w:val="left" w:pos="-720"/>
        </w:tabs>
        <w:suppressAutoHyphens/>
        <w:ind w:left="720" w:hanging="360"/>
        <w:rPr>
          <w:sz w:val="22"/>
          <w:szCs w:val="22"/>
        </w:rPr>
      </w:pPr>
      <w:r w:rsidRPr="005904EA">
        <w:rPr>
          <w:spacing w:val="-3"/>
          <w:sz w:val="22"/>
          <w:szCs w:val="22"/>
        </w:rPr>
        <w:t xml:space="preserve">(7) </w:t>
      </w:r>
      <w:r w:rsidRPr="005904EA">
        <w:rPr>
          <w:spacing w:val="-3"/>
          <w:sz w:val="22"/>
          <w:szCs w:val="22"/>
          <w:u w:val="single"/>
        </w:rPr>
        <w:t>Explanation of calculation</w:t>
      </w:r>
      <w:r w:rsidRPr="005904EA">
        <w:rPr>
          <w:spacing w:val="-3"/>
          <w:sz w:val="22"/>
          <w:szCs w:val="22"/>
        </w:rPr>
        <w:t xml:space="preserve">: The Commission </w:t>
      </w:r>
      <w:r w:rsidRPr="005904EA">
        <w:rPr>
          <w:sz w:val="22"/>
          <w:szCs w:val="22"/>
        </w:rPr>
        <w:t>estimates that support recipients will use staff equivalent to a GS-14/Step 5 ($</w:t>
      </w:r>
      <w:r w:rsidRPr="005904EA" w:rsidR="008B6663">
        <w:rPr>
          <w:sz w:val="22"/>
          <w:szCs w:val="22"/>
        </w:rPr>
        <w:t>7</w:t>
      </w:r>
      <w:r w:rsidRPr="005904EA" w:rsidR="00D340C5">
        <w:rPr>
          <w:sz w:val="22"/>
          <w:szCs w:val="22"/>
        </w:rPr>
        <w:t>8.15</w:t>
      </w:r>
      <w:r w:rsidRPr="005904EA">
        <w:rPr>
          <w:sz w:val="22"/>
          <w:szCs w:val="22"/>
        </w:rPr>
        <w:t xml:space="preserve">/hour) Federal employee to obtain, compile, and submit the required documentation to the Commission.  </w:t>
      </w:r>
    </w:p>
    <w:p w:rsidR="004B1819" w:rsidRPr="005904EA" w:rsidP="005904EA" w14:paraId="53872BC6" w14:textId="77777777">
      <w:pPr>
        <w:tabs>
          <w:tab w:val="left" w:pos="-720"/>
        </w:tabs>
        <w:suppressAutoHyphens/>
        <w:ind w:left="720" w:hanging="360"/>
        <w:rPr>
          <w:sz w:val="22"/>
          <w:szCs w:val="22"/>
        </w:rPr>
      </w:pPr>
    </w:p>
    <w:p w:rsidR="00F524AF" w:rsidRPr="005904EA" w:rsidP="005904EA" w14:paraId="74E13472" w14:textId="32CEC200">
      <w:pPr>
        <w:ind w:left="360"/>
        <w:rPr>
          <w:sz w:val="22"/>
          <w:szCs w:val="22"/>
        </w:rPr>
      </w:pPr>
      <w:r w:rsidRPr="005904EA">
        <w:rPr>
          <w:sz w:val="22"/>
          <w:szCs w:val="22"/>
        </w:rPr>
        <w:t>400 (responses) x 2 (hours to obtain, compile, and submit documentation) x $</w:t>
      </w:r>
      <w:r w:rsidRPr="005904EA" w:rsidR="008B6663">
        <w:rPr>
          <w:sz w:val="22"/>
          <w:szCs w:val="22"/>
        </w:rPr>
        <w:t>7</w:t>
      </w:r>
      <w:r w:rsidRPr="005904EA" w:rsidR="003E0382">
        <w:rPr>
          <w:sz w:val="22"/>
          <w:szCs w:val="22"/>
        </w:rPr>
        <w:t>8.15</w:t>
      </w:r>
      <w:r w:rsidRPr="005904EA">
        <w:rPr>
          <w:sz w:val="22"/>
          <w:szCs w:val="22"/>
        </w:rPr>
        <w:t>/hour = $</w:t>
      </w:r>
      <w:r w:rsidRPr="005904EA" w:rsidR="003E0382">
        <w:rPr>
          <w:sz w:val="22"/>
          <w:szCs w:val="22"/>
        </w:rPr>
        <w:t>62,520</w:t>
      </w:r>
      <w:r w:rsidRPr="005904EA">
        <w:rPr>
          <w:sz w:val="22"/>
          <w:szCs w:val="22"/>
        </w:rPr>
        <w:t>.</w:t>
      </w:r>
    </w:p>
    <w:p w:rsidR="00F524AF" w:rsidRPr="005904EA" w:rsidP="005904EA" w14:paraId="40C4E6E1" w14:textId="77777777">
      <w:pPr>
        <w:rPr>
          <w:sz w:val="22"/>
          <w:szCs w:val="22"/>
        </w:rPr>
      </w:pPr>
    </w:p>
    <w:p w:rsidR="00F524AF" w:rsidRPr="005904EA" w:rsidP="005904EA" w14:paraId="5CDA2E90" w14:textId="6C02BF5A">
      <w:pPr>
        <w:pStyle w:val="ListParagraph"/>
        <w:numPr>
          <w:ilvl w:val="0"/>
          <w:numId w:val="8"/>
        </w:numPr>
        <w:rPr>
          <w:b/>
          <w:sz w:val="22"/>
          <w:szCs w:val="22"/>
        </w:rPr>
      </w:pPr>
      <w:r w:rsidRPr="005904EA">
        <w:rPr>
          <w:b/>
          <w:sz w:val="22"/>
          <w:szCs w:val="22"/>
          <w:u w:val="single"/>
        </w:rPr>
        <w:t>CAF Phase II Auction Annual Submission of Letter of Credit</w:t>
      </w:r>
      <w:r w:rsidRPr="005904EA" w:rsidR="004B1819">
        <w:rPr>
          <w:b/>
          <w:sz w:val="22"/>
          <w:szCs w:val="22"/>
          <w:u w:val="single"/>
        </w:rPr>
        <w:t xml:space="preserve"> (</w:t>
      </w:r>
      <w:r w:rsidRPr="005904EA" w:rsidR="009B0354">
        <w:rPr>
          <w:b/>
          <w:sz w:val="22"/>
          <w:szCs w:val="22"/>
          <w:u w:val="single"/>
        </w:rPr>
        <w:t>no changes</w:t>
      </w:r>
      <w:r w:rsidRPr="005904EA" w:rsidR="004B1819">
        <w:rPr>
          <w:b/>
          <w:sz w:val="22"/>
          <w:szCs w:val="22"/>
          <w:u w:val="single"/>
        </w:rPr>
        <w:t>)</w:t>
      </w:r>
      <w:r w:rsidRPr="005904EA" w:rsidR="004B1819">
        <w:rPr>
          <w:b/>
          <w:sz w:val="22"/>
          <w:szCs w:val="22"/>
        </w:rPr>
        <w:t>:</w:t>
      </w:r>
    </w:p>
    <w:p w:rsidR="00F524AF" w:rsidRPr="005904EA" w:rsidP="005904EA" w14:paraId="39392893" w14:textId="77777777">
      <w:pPr>
        <w:tabs>
          <w:tab w:val="left" w:pos="-720"/>
        </w:tabs>
        <w:suppressAutoHyphens/>
        <w:ind w:left="360"/>
        <w:rPr>
          <w:sz w:val="22"/>
          <w:szCs w:val="22"/>
        </w:rPr>
      </w:pPr>
    </w:p>
    <w:p w:rsidR="00F524AF" w:rsidRPr="005904EA" w:rsidP="005904EA" w14:paraId="60D65635" w14:textId="1ADE1BFA">
      <w:pPr>
        <w:ind w:left="720" w:hanging="360"/>
        <w:rPr>
          <w:sz w:val="22"/>
          <w:szCs w:val="22"/>
        </w:rPr>
      </w:pPr>
      <w:r w:rsidRPr="005904EA">
        <w:rPr>
          <w:sz w:val="22"/>
          <w:szCs w:val="22"/>
        </w:rPr>
        <w:t xml:space="preserve">(1) </w:t>
      </w:r>
      <w:r w:rsidRPr="005904EA">
        <w:rPr>
          <w:sz w:val="22"/>
          <w:szCs w:val="22"/>
          <w:u w:val="single"/>
        </w:rPr>
        <w:t>Number of respondents</w:t>
      </w:r>
      <w:r w:rsidRPr="005904EA">
        <w:rPr>
          <w:sz w:val="22"/>
          <w:szCs w:val="22"/>
        </w:rPr>
        <w:t xml:space="preserve">: Approximately </w:t>
      </w:r>
      <w:r w:rsidRPr="005904EA" w:rsidR="002A493D">
        <w:rPr>
          <w:sz w:val="22"/>
          <w:szCs w:val="22"/>
        </w:rPr>
        <w:t>130</w:t>
      </w:r>
      <w:r w:rsidRPr="005904EA">
        <w:rPr>
          <w:sz w:val="22"/>
          <w:szCs w:val="22"/>
        </w:rPr>
        <w:t xml:space="preserve">.  Each recipient of </w:t>
      </w:r>
      <w:r w:rsidRPr="005904EA" w:rsidR="00B77DA8">
        <w:rPr>
          <w:sz w:val="22"/>
          <w:szCs w:val="22"/>
        </w:rPr>
        <w:t xml:space="preserve">CAF </w:t>
      </w:r>
      <w:r w:rsidRPr="005904EA">
        <w:rPr>
          <w:sz w:val="22"/>
          <w:szCs w:val="22"/>
        </w:rPr>
        <w:t>Phase II auction support will need to submit a renewed or new letter of credit annually until it has certified that its buildout is complete and the U</w:t>
      </w:r>
      <w:r w:rsidRPr="005904EA" w:rsidR="003E0382">
        <w:rPr>
          <w:sz w:val="22"/>
          <w:szCs w:val="22"/>
        </w:rPr>
        <w:t>SAC</w:t>
      </w:r>
      <w:r w:rsidRPr="005904EA">
        <w:rPr>
          <w:sz w:val="22"/>
          <w:szCs w:val="22"/>
        </w:rPr>
        <w:t xml:space="preserve"> has verified the buildout.  Recipients that obtain a new letter of credit, rather than renewing or amending an existing letter of credit, will also need to submit a new attorney opinion letter accompanying the new letter of credit.</w:t>
      </w:r>
    </w:p>
    <w:p w:rsidR="00F524AF" w:rsidRPr="005904EA" w:rsidP="005904EA" w14:paraId="19B6220C" w14:textId="77777777">
      <w:pPr>
        <w:rPr>
          <w:sz w:val="22"/>
          <w:szCs w:val="22"/>
        </w:rPr>
      </w:pPr>
    </w:p>
    <w:p w:rsidR="00F524AF" w:rsidRPr="005904EA" w:rsidP="005904EA" w14:paraId="7B44E452" w14:textId="55E3F433">
      <w:pPr>
        <w:ind w:left="720" w:hanging="360"/>
        <w:rPr>
          <w:sz w:val="22"/>
          <w:szCs w:val="22"/>
        </w:rPr>
      </w:pPr>
      <w:r w:rsidRPr="005904EA">
        <w:rPr>
          <w:sz w:val="22"/>
          <w:szCs w:val="22"/>
        </w:rPr>
        <w:t xml:space="preserve">(2) </w:t>
      </w:r>
      <w:r w:rsidRPr="005904EA">
        <w:rPr>
          <w:sz w:val="22"/>
          <w:szCs w:val="22"/>
          <w:u w:val="single"/>
        </w:rPr>
        <w:t>Frequency of response</w:t>
      </w:r>
      <w:r w:rsidRPr="005904EA">
        <w:rPr>
          <w:sz w:val="22"/>
          <w:szCs w:val="22"/>
        </w:rPr>
        <w:t xml:space="preserve">: Annually.  </w:t>
      </w:r>
    </w:p>
    <w:p w:rsidR="00F524AF" w:rsidRPr="005904EA" w:rsidP="005904EA" w14:paraId="1CF82650" w14:textId="77777777">
      <w:pPr>
        <w:ind w:left="360"/>
        <w:rPr>
          <w:sz w:val="22"/>
          <w:szCs w:val="22"/>
        </w:rPr>
      </w:pPr>
    </w:p>
    <w:p w:rsidR="00F524AF" w:rsidRPr="005904EA" w:rsidP="005904EA" w14:paraId="76E27CBD" w14:textId="45E044FB">
      <w:pPr>
        <w:ind w:left="360"/>
        <w:rPr>
          <w:sz w:val="22"/>
          <w:szCs w:val="22"/>
        </w:rPr>
      </w:pPr>
      <w:r w:rsidRPr="005904EA">
        <w:rPr>
          <w:sz w:val="22"/>
          <w:szCs w:val="22"/>
        </w:rPr>
        <w:t xml:space="preserve">(3) </w:t>
      </w:r>
      <w:r w:rsidRPr="005904EA">
        <w:rPr>
          <w:sz w:val="22"/>
          <w:szCs w:val="22"/>
          <w:u w:val="single"/>
        </w:rPr>
        <w:t xml:space="preserve">Total number of responses </w:t>
      </w:r>
      <w:r w:rsidRPr="005904EA" w:rsidR="003E0382">
        <w:rPr>
          <w:sz w:val="22"/>
          <w:szCs w:val="22"/>
          <w:u w:val="single"/>
        </w:rPr>
        <w:t>per respondent</w:t>
      </w:r>
      <w:r w:rsidRPr="005904EA">
        <w:rPr>
          <w:sz w:val="22"/>
          <w:szCs w:val="22"/>
        </w:rPr>
        <w:t>: Approximately 1.</w:t>
      </w:r>
    </w:p>
    <w:p w:rsidR="00F524AF" w:rsidRPr="005904EA" w:rsidP="005904EA" w14:paraId="69D848E8" w14:textId="77777777">
      <w:pPr>
        <w:ind w:left="360"/>
        <w:rPr>
          <w:sz w:val="22"/>
          <w:szCs w:val="22"/>
        </w:rPr>
      </w:pPr>
    </w:p>
    <w:p w:rsidR="00F524AF" w:rsidRPr="005904EA" w:rsidP="005904EA" w14:paraId="2971DC00" w14:textId="258734A8">
      <w:pPr>
        <w:ind w:left="360"/>
        <w:rPr>
          <w:sz w:val="22"/>
          <w:szCs w:val="22"/>
        </w:rPr>
      </w:pPr>
      <w:r w:rsidRPr="005904EA">
        <w:rPr>
          <w:sz w:val="22"/>
          <w:szCs w:val="22"/>
        </w:rPr>
        <w:t xml:space="preserve">(4) </w:t>
      </w:r>
      <w:r w:rsidRPr="005904EA">
        <w:rPr>
          <w:sz w:val="22"/>
          <w:szCs w:val="22"/>
          <w:u w:val="single"/>
        </w:rPr>
        <w:t>Estimated time per response</w:t>
      </w:r>
      <w:r w:rsidRPr="005904EA">
        <w:rPr>
          <w:sz w:val="22"/>
          <w:szCs w:val="22"/>
        </w:rPr>
        <w:t>: 2 hours.</w:t>
      </w:r>
    </w:p>
    <w:p w:rsidR="00F524AF" w:rsidRPr="005904EA" w:rsidP="005904EA" w14:paraId="1011BF2C" w14:textId="77777777">
      <w:pPr>
        <w:rPr>
          <w:sz w:val="22"/>
          <w:szCs w:val="22"/>
        </w:rPr>
      </w:pPr>
    </w:p>
    <w:p w:rsidR="00F524AF" w:rsidRPr="005904EA" w:rsidP="005904EA" w14:paraId="13DFC64A" w14:textId="4EFBCABA">
      <w:pPr>
        <w:ind w:left="360"/>
        <w:rPr>
          <w:sz w:val="22"/>
          <w:szCs w:val="22"/>
        </w:rPr>
      </w:pPr>
      <w:r w:rsidRPr="005904EA">
        <w:rPr>
          <w:sz w:val="22"/>
          <w:szCs w:val="22"/>
        </w:rPr>
        <w:t xml:space="preserve">(5) </w:t>
      </w:r>
      <w:r w:rsidRPr="005904EA">
        <w:rPr>
          <w:sz w:val="22"/>
          <w:szCs w:val="22"/>
          <w:u w:val="single"/>
        </w:rPr>
        <w:t>Total annual hour burden</w:t>
      </w:r>
      <w:r w:rsidRPr="005904EA">
        <w:rPr>
          <w:sz w:val="22"/>
          <w:szCs w:val="22"/>
        </w:rPr>
        <w:t xml:space="preserve">: </w:t>
      </w:r>
      <w:r w:rsidRPr="005904EA" w:rsidR="002A493D">
        <w:rPr>
          <w:sz w:val="22"/>
          <w:szCs w:val="22"/>
        </w:rPr>
        <w:t>260</w:t>
      </w:r>
      <w:r w:rsidRPr="005904EA">
        <w:rPr>
          <w:sz w:val="22"/>
          <w:szCs w:val="22"/>
        </w:rPr>
        <w:t xml:space="preserve"> hours.</w:t>
      </w:r>
    </w:p>
    <w:p w:rsidR="00F524AF" w:rsidRPr="005904EA" w:rsidP="005904EA" w14:paraId="0AC6CD6B" w14:textId="77777777">
      <w:pPr>
        <w:ind w:left="360"/>
        <w:rPr>
          <w:sz w:val="22"/>
          <w:szCs w:val="22"/>
        </w:rPr>
      </w:pPr>
    </w:p>
    <w:p w:rsidR="00F524AF" w:rsidRPr="005904EA" w:rsidP="005904EA" w14:paraId="07C32EC2" w14:textId="77777777">
      <w:pPr>
        <w:ind w:left="720"/>
        <w:rPr>
          <w:sz w:val="22"/>
          <w:szCs w:val="22"/>
        </w:rPr>
      </w:pPr>
      <w:r w:rsidRPr="005904EA">
        <w:rPr>
          <w:sz w:val="22"/>
          <w:szCs w:val="22"/>
        </w:rPr>
        <w:t xml:space="preserve">2 hours per respondent for approximately </w:t>
      </w:r>
      <w:r w:rsidRPr="005904EA" w:rsidR="002A493D">
        <w:rPr>
          <w:sz w:val="22"/>
          <w:szCs w:val="22"/>
        </w:rPr>
        <w:t>130</w:t>
      </w:r>
      <w:r w:rsidRPr="005904EA">
        <w:rPr>
          <w:sz w:val="22"/>
          <w:szCs w:val="22"/>
        </w:rPr>
        <w:t xml:space="preserve"> support recipients filing annually.  Total annual hour burden is calculated as follows: </w:t>
      </w:r>
    </w:p>
    <w:p w:rsidR="00F524AF" w:rsidRPr="005904EA" w:rsidP="005904EA" w14:paraId="65E57462" w14:textId="77777777">
      <w:pPr>
        <w:ind w:left="720"/>
        <w:rPr>
          <w:sz w:val="22"/>
          <w:szCs w:val="22"/>
        </w:rPr>
      </w:pPr>
    </w:p>
    <w:p w:rsidR="00F524AF" w:rsidRPr="005904EA" w:rsidP="005904EA" w14:paraId="2EAEBE60" w14:textId="77777777">
      <w:pPr>
        <w:ind w:left="720"/>
        <w:rPr>
          <w:b/>
          <w:sz w:val="22"/>
          <w:szCs w:val="22"/>
        </w:rPr>
      </w:pPr>
      <w:r w:rsidRPr="005904EA">
        <w:rPr>
          <w:sz w:val="22"/>
          <w:szCs w:val="22"/>
        </w:rPr>
        <w:t xml:space="preserve">130 recipients x 1 submission = 130 responses x 2 hours= </w:t>
      </w:r>
      <w:r w:rsidRPr="005904EA">
        <w:rPr>
          <w:b/>
          <w:sz w:val="22"/>
          <w:szCs w:val="22"/>
        </w:rPr>
        <w:t>260 total annual hours</w:t>
      </w:r>
      <w:r w:rsidRPr="005904EA">
        <w:rPr>
          <w:sz w:val="22"/>
          <w:szCs w:val="22"/>
        </w:rPr>
        <w:t xml:space="preserve">. </w:t>
      </w:r>
    </w:p>
    <w:p w:rsidR="00F524AF" w:rsidRPr="005904EA" w:rsidP="005904EA" w14:paraId="00CA3C80" w14:textId="77777777">
      <w:pPr>
        <w:rPr>
          <w:sz w:val="22"/>
          <w:szCs w:val="22"/>
        </w:rPr>
      </w:pPr>
    </w:p>
    <w:p w:rsidR="00F524AF" w:rsidRPr="005904EA" w:rsidP="005904EA" w14:paraId="697FA2E2" w14:textId="095725C4">
      <w:pPr>
        <w:ind w:left="720" w:hanging="360"/>
        <w:rPr>
          <w:sz w:val="22"/>
          <w:szCs w:val="22"/>
        </w:rPr>
      </w:pPr>
      <w:r w:rsidRPr="005904EA">
        <w:rPr>
          <w:sz w:val="22"/>
          <w:szCs w:val="22"/>
        </w:rPr>
        <w:t xml:space="preserve">(6) </w:t>
      </w:r>
      <w:r w:rsidRPr="005904EA">
        <w:rPr>
          <w:sz w:val="22"/>
          <w:szCs w:val="22"/>
          <w:u w:val="single"/>
        </w:rPr>
        <w:t>Total estimate of in-house cost to respondents</w:t>
      </w:r>
      <w:r w:rsidRPr="005904EA">
        <w:rPr>
          <w:sz w:val="22"/>
          <w:szCs w:val="22"/>
        </w:rPr>
        <w:t xml:space="preserve">: </w:t>
      </w:r>
      <w:r w:rsidRPr="005904EA">
        <w:rPr>
          <w:b/>
          <w:bCs/>
          <w:sz w:val="22"/>
          <w:szCs w:val="22"/>
        </w:rPr>
        <w:t>$</w:t>
      </w:r>
      <w:r w:rsidRPr="005904EA" w:rsidR="003E0382">
        <w:rPr>
          <w:b/>
          <w:bCs/>
          <w:sz w:val="22"/>
          <w:szCs w:val="22"/>
        </w:rPr>
        <w:t>20,319</w:t>
      </w:r>
      <w:r w:rsidRPr="005904EA">
        <w:rPr>
          <w:sz w:val="22"/>
          <w:szCs w:val="22"/>
        </w:rPr>
        <w:t xml:space="preserve"> (</w:t>
      </w:r>
      <w:r w:rsidRPr="005904EA" w:rsidR="002A493D">
        <w:rPr>
          <w:sz w:val="22"/>
          <w:szCs w:val="22"/>
        </w:rPr>
        <w:t>260</w:t>
      </w:r>
      <w:r w:rsidRPr="005904EA">
        <w:rPr>
          <w:sz w:val="22"/>
          <w:szCs w:val="22"/>
        </w:rPr>
        <w:t xml:space="preserve"> hours x $</w:t>
      </w:r>
      <w:r w:rsidRPr="005904EA" w:rsidR="00BF6C3A">
        <w:rPr>
          <w:sz w:val="22"/>
          <w:szCs w:val="22"/>
        </w:rPr>
        <w:t>7</w:t>
      </w:r>
      <w:r w:rsidRPr="005904EA" w:rsidR="003E0382">
        <w:rPr>
          <w:sz w:val="22"/>
          <w:szCs w:val="22"/>
        </w:rPr>
        <w:t>8.15</w:t>
      </w:r>
      <w:r w:rsidRPr="005904EA">
        <w:rPr>
          <w:sz w:val="22"/>
          <w:szCs w:val="22"/>
        </w:rPr>
        <w:t xml:space="preserve">/hour).  </w:t>
      </w:r>
    </w:p>
    <w:p w:rsidR="00F524AF" w:rsidRPr="005904EA" w:rsidP="005904EA" w14:paraId="6098B4A2" w14:textId="77777777">
      <w:pPr>
        <w:tabs>
          <w:tab w:val="left" w:pos="-720"/>
        </w:tabs>
        <w:suppressAutoHyphens/>
        <w:ind w:left="360"/>
        <w:rPr>
          <w:spacing w:val="-3"/>
          <w:sz w:val="22"/>
          <w:szCs w:val="22"/>
        </w:rPr>
      </w:pPr>
    </w:p>
    <w:p w:rsidR="00F524AF" w:rsidRPr="005904EA" w:rsidP="005904EA" w14:paraId="5D568BCF" w14:textId="0E49E57C">
      <w:pPr>
        <w:tabs>
          <w:tab w:val="left" w:pos="-720"/>
        </w:tabs>
        <w:suppressAutoHyphens/>
        <w:ind w:left="720" w:hanging="360"/>
        <w:rPr>
          <w:sz w:val="22"/>
          <w:szCs w:val="22"/>
        </w:rPr>
      </w:pPr>
      <w:r w:rsidRPr="005904EA">
        <w:rPr>
          <w:spacing w:val="-3"/>
          <w:sz w:val="22"/>
          <w:szCs w:val="22"/>
        </w:rPr>
        <w:t xml:space="preserve">(7) </w:t>
      </w:r>
      <w:r w:rsidRPr="005904EA">
        <w:rPr>
          <w:spacing w:val="-3"/>
          <w:sz w:val="22"/>
          <w:szCs w:val="22"/>
          <w:u w:val="single"/>
        </w:rPr>
        <w:t>Explanation of calculation</w:t>
      </w:r>
      <w:r w:rsidRPr="005904EA">
        <w:rPr>
          <w:spacing w:val="-3"/>
          <w:sz w:val="22"/>
          <w:szCs w:val="22"/>
        </w:rPr>
        <w:t xml:space="preserve">: </w:t>
      </w:r>
      <w:r w:rsidRPr="005904EA" w:rsidR="002B5546">
        <w:rPr>
          <w:spacing w:val="-3"/>
          <w:sz w:val="22"/>
          <w:szCs w:val="22"/>
        </w:rPr>
        <w:t xml:space="preserve">The Commission </w:t>
      </w:r>
      <w:r w:rsidRPr="005904EA" w:rsidR="002B5546">
        <w:rPr>
          <w:sz w:val="22"/>
          <w:szCs w:val="22"/>
        </w:rPr>
        <w:t>estimates that support recipients will use staff equivalent to a GS-14/Step 5 ($</w:t>
      </w:r>
      <w:r w:rsidRPr="005904EA" w:rsidR="00BF6C3A">
        <w:rPr>
          <w:sz w:val="22"/>
          <w:szCs w:val="22"/>
        </w:rPr>
        <w:t>7</w:t>
      </w:r>
      <w:r w:rsidRPr="005904EA" w:rsidR="003E0382">
        <w:rPr>
          <w:sz w:val="22"/>
          <w:szCs w:val="22"/>
        </w:rPr>
        <w:t>8.15</w:t>
      </w:r>
      <w:r w:rsidRPr="005904EA" w:rsidR="002B5546">
        <w:rPr>
          <w:sz w:val="22"/>
          <w:szCs w:val="22"/>
        </w:rPr>
        <w:t xml:space="preserve">/hour) Federal employee </w:t>
      </w:r>
      <w:r w:rsidRPr="005904EA">
        <w:rPr>
          <w:sz w:val="22"/>
          <w:szCs w:val="22"/>
        </w:rPr>
        <w:t xml:space="preserve">to obtain, compile, and submit the required documentation to the Commission.  </w:t>
      </w:r>
    </w:p>
    <w:p w:rsidR="00F524AF" w:rsidRPr="005904EA" w:rsidP="005904EA" w14:paraId="5C3E5FAF" w14:textId="77777777">
      <w:pPr>
        <w:tabs>
          <w:tab w:val="left" w:pos="-720"/>
        </w:tabs>
        <w:suppressAutoHyphens/>
        <w:ind w:left="720" w:hanging="360"/>
        <w:rPr>
          <w:sz w:val="22"/>
          <w:szCs w:val="22"/>
        </w:rPr>
      </w:pPr>
    </w:p>
    <w:p w:rsidR="00F524AF" w:rsidRPr="005904EA" w:rsidP="005904EA" w14:paraId="5FE9B475" w14:textId="0B4A7055">
      <w:pPr>
        <w:ind w:left="360"/>
        <w:rPr>
          <w:sz w:val="22"/>
          <w:szCs w:val="22"/>
        </w:rPr>
      </w:pPr>
      <w:r w:rsidRPr="005904EA">
        <w:rPr>
          <w:sz w:val="22"/>
          <w:szCs w:val="22"/>
        </w:rPr>
        <w:t>130 (responses) x 2 (hours to obtain, compile, and submit documentation) x $</w:t>
      </w:r>
      <w:r w:rsidRPr="005904EA" w:rsidR="00BF6C3A">
        <w:rPr>
          <w:sz w:val="22"/>
          <w:szCs w:val="22"/>
        </w:rPr>
        <w:t>7</w:t>
      </w:r>
      <w:r w:rsidRPr="005904EA" w:rsidR="003E0382">
        <w:rPr>
          <w:sz w:val="22"/>
          <w:szCs w:val="22"/>
        </w:rPr>
        <w:t>8.15</w:t>
      </w:r>
      <w:r w:rsidRPr="005904EA">
        <w:rPr>
          <w:sz w:val="22"/>
          <w:szCs w:val="22"/>
        </w:rPr>
        <w:t>/hour = $</w:t>
      </w:r>
      <w:r w:rsidRPr="005904EA" w:rsidR="003E0382">
        <w:rPr>
          <w:sz w:val="22"/>
          <w:szCs w:val="22"/>
        </w:rPr>
        <w:t>20,319</w:t>
      </w:r>
      <w:r w:rsidRPr="005904EA">
        <w:rPr>
          <w:sz w:val="22"/>
          <w:szCs w:val="22"/>
        </w:rPr>
        <w:t>.</w:t>
      </w:r>
    </w:p>
    <w:p w:rsidR="008B6663" w:rsidRPr="005904EA" w:rsidP="005904EA" w14:paraId="41C06066" w14:textId="77777777">
      <w:pPr>
        <w:pStyle w:val="ListParagraph"/>
        <w:ind w:left="0"/>
        <w:rPr>
          <w:b/>
          <w:sz w:val="22"/>
          <w:szCs w:val="22"/>
        </w:rPr>
      </w:pPr>
    </w:p>
    <w:p w:rsidR="005904EA" w:rsidP="005904EA" w14:paraId="453F3704" w14:textId="77777777">
      <w:pPr>
        <w:pStyle w:val="ListParagraph"/>
        <w:ind w:left="0"/>
        <w:rPr>
          <w:b/>
          <w:sz w:val="22"/>
          <w:szCs w:val="22"/>
        </w:rPr>
      </w:pPr>
    </w:p>
    <w:p w:rsidR="005904EA" w:rsidP="005904EA" w14:paraId="7FEB54B1" w14:textId="77777777">
      <w:pPr>
        <w:pStyle w:val="ListParagraph"/>
        <w:ind w:left="0"/>
        <w:rPr>
          <w:b/>
          <w:sz w:val="22"/>
          <w:szCs w:val="22"/>
        </w:rPr>
      </w:pPr>
    </w:p>
    <w:p w:rsidR="005904EA" w:rsidP="005904EA" w14:paraId="2FB2C267" w14:textId="77777777">
      <w:pPr>
        <w:pStyle w:val="ListParagraph"/>
        <w:ind w:left="0"/>
        <w:rPr>
          <w:b/>
          <w:sz w:val="22"/>
          <w:szCs w:val="22"/>
        </w:rPr>
      </w:pPr>
    </w:p>
    <w:p w:rsidR="005904EA" w:rsidP="005904EA" w14:paraId="51DBC2BF" w14:textId="77777777">
      <w:pPr>
        <w:pStyle w:val="ListParagraph"/>
        <w:ind w:left="0"/>
        <w:rPr>
          <w:b/>
          <w:sz w:val="22"/>
          <w:szCs w:val="22"/>
        </w:rPr>
      </w:pPr>
    </w:p>
    <w:p w:rsidR="005904EA" w:rsidP="005904EA" w14:paraId="62E1C9BE" w14:textId="77777777">
      <w:pPr>
        <w:pStyle w:val="ListParagraph"/>
        <w:ind w:left="0"/>
        <w:rPr>
          <w:b/>
          <w:sz w:val="22"/>
          <w:szCs w:val="22"/>
        </w:rPr>
      </w:pPr>
    </w:p>
    <w:p w:rsidR="005904EA" w:rsidP="005904EA" w14:paraId="66FD0B79" w14:textId="77777777">
      <w:pPr>
        <w:pStyle w:val="ListParagraph"/>
        <w:ind w:left="0"/>
        <w:rPr>
          <w:b/>
          <w:sz w:val="22"/>
          <w:szCs w:val="22"/>
        </w:rPr>
      </w:pPr>
    </w:p>
    <w:p w:rsidR="005904EA" w:rsidP="005904EA" w14:paraId="73E25A1A" w14:textId="77777777">
      <w:pPr>
        <w:pStyle w:val="ListParagraph"/>
        <w:ind w:left="0"/>
        <w:rPr>
          <w:b/>
          <w:sz w:val="22"/>
          <w:szCs w:val="22"/>
        </w:rPr>
      </w:pPr>
    </w:p>
    <w:p w:rsidR="005904EA" w:rsidP="005904EA" w14:paraId="31718D0D" w14:textId="77777777">
      <w:pPr>
        <w:pStyle w:val="ListParagraph"/>
        <w:ind w:left="0"/>
        <w:rPr>
          <w:b/>
          <w:sz w:val="22"/>
          <w:szCs w:val="22"/>
        </w:rPr>
      </w:pPr>
    </w:p>
    <w:p w:rsidR="005904EA" w:rsidP="005904EA" w14:paraId="7D054BBB" w14:textId="77777777">
      <w:pPr>
        <w:pStyle w:val="ListParagraph"/>
        <w:ind w:left="0"/>
        <w:rPr>
          <w:b/>
          <w:sz w:val="22"/>
          <w:szCs w:val="22"/>
        </w:rPr>
      </w:pPr>
    </w:p>
    <w:p w:rsidR="005904EA" w:rsidP="005904EA" w14:paraId="1458F900" w14:textId="77777777">
      <w:pPr>
        <w:pStyle w:val="ListParagraph"/>
        <w:ind w:left="0"/>
        <w:rPr>
          <w:b/>
          <w:sz w:val="22"/>
          <w:szCs w:val="22"/>
        </w:rPr>
      </w:pPr>
    </w:p>
    <w:p w:rsidR="005904EA" w:rsidP="005904EA" w14:paraId="46235245" w14:textId="77777777">
      <w:pPr>
        <w:pStyle w:val="ListParagraph"/>
        <w:ind w:left="0"/>
        <w:rPr>
          <w:b/>
          <w:sz w:val="22"/>
          <w:szCs w:val="22"/>
        </w:rPr>
      </w:pPr>
    </w:p>
    <w:p w:rsidR="005904EA" w:rsidP="005904EA" w14:paraId="3903F0CE" w14:textId="77777777">
      <w:pPr>
        <w:pStyle w:val="ListParagraph"/>
        <w:ind w:left="0"/>
        <w:rPr>
          <w:b/>
          <w:sz w:val="22"/>
          <w:szCs w:val="22"/>
        </w:rPr>
      </w:pPr>
    </w:p>
    <w:p w:rsidR="00E12F42" w:rsidRPr="005904EA" w:rsidP="005904EA" w14:paraId="1FA9C642" w14:textId="54180851">
      <w:pPr>
        <w:pStyle w:val="ListParagraph"/>
        <w:ind w:left="0"/>
        <w:rPr>
          <w:sz w:val="22"/>
          <w:szCs w:val="22"/>
        </w:rPr>
      </w:pPr>
      <w:r w:rsidRPr="005904EA">
        <w:rPr>
          <w:b/>
          <w:sz w:val="22"/>
          <w:szCs w:val="22"/>
        </w:rPr>
        <w:t>The estimated respondents and responses and burden hours are listed below:</w:t>
      </w:r>
    </w:p>
    <w:p w:rsidR="00E12F42" w:rsidRPr="005904EA" w:rsidP="005904EA" w14:paraId="4F279CFB" w14:textId="77777777">
      <w:pPr>
        <w:pStyle w:val="ListParagraph"/>
        <w:ind w:left="0"/>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710"/>
      </w:tblGrid>
      <w:tr w14:paraId="7257936B" w14:textId="77777777" w:rsidTr="00CF33ED">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vAlign w:val="bottom"/>
          </w:tcPr>
          <w:p w:rsidR="00E12F42" w:rsidRPr="005904EA" w:rsidP="005904EA" w14:paraId="3DBE1C34" w14:textId="77777777">
            <w:pPr>
              <w:rPr>
                <w:b/>
                <w:bCs/>
                <w:sz w:val="22"/>
                <w:szCs w:val="22"/>
              </w:rPr>
            </w:pPr>
          </w:p>
          <w:p w:rsidR="00E12F42" w:rsidRPr="005904EA" w:rsidP="005904EA" w14:paraId="414CDA9F" w14:textId="77777777">
            <w:pPr>
              <w:rPr>
                <w:b/>
                <w:bCs/>
                <w:sz w:val="22"/>
                <w:szCs w:val="22"/>
              </w:rPr>
            </w:pPr>
            <w:r w:rsidRPr="005904EA">
              <w:rPr>
                <w:b/>
                <w:bCs/>
                <w:sz w:val="22"/>
                <w:szCs w:val="22"/>
              </w:rPr>
              <w:t>Information Collection Requirements</w:t>
            </w:r>
          </w:p>
        </w:tc>
        <w:tc>
          <w:tcPr>
            <w:tcW w:w="1620" w:type="dxa"/>
            <w:vAlign w:val="bottom"/>
          </w:tcPr>
          <w:p w:rsidR="00E12F42" w:rsidRPr="005904EA" w:rsidP="005904EA" w14:paraId="3C6BD689" w14:textId="77777777">
            <w:pPr>
              <w:jc w:val="center"/>
              <w:rPr>
                <w:b/>
                <w:bCs/>
                <w:sz w:val="22"/>
                <w:szCs w:val="22"/>
              </w:rPr>
            </w:pPr>
          </w:p>
          <w:p w:rsidR="00E12F42" w:rsidRPr="005904EA" w:rsidP="005904EA" w14:paraId="10121845" w14:textId="77777777">
            <w:pPr>
              <w:jc w:val="center"/>
              <w:rPr>
                <w:b/>
                <w:bCs/>
                <w:sz w:val="22"/>
                <w:szCs w:val="22"/>
              </w:rPr>
            </w:pPr>
            <w:r w:rsidRPr="005904EA">
              <w:rPr>
                <w:b/>
                <w:bCs/>
                <w:sz w:val="22"/>
                <w:szCs w:val="22"/>
              </w:rPr>
              <w:t>Number of Respondents</w:t>
            </w:r>
          </w:p>
        </w:tc>
        <w:tc>
          <w:tcPr>
            <w:tcW w:w="1350" w:type="dxa"/>
            <w:vAlign w:val="bottom"/>
          </w:tcPr>
          <w:p w:rsidR="00E12F42" w:rsidRPr="005904EA" w:rsidP="005904EA" w14:paraId="2139C205" w14:textId="77777777">
            <w:pPr>
              <w:jc w:val="center"/>
              <w:rPr>
                <w:b/>
                <w:bCs/>
                <w:sz w:val="22"/>
                <w:szCs w:val="22"/>
              </w:rPr>
            </w:pPr>
          </w:p>
          <w:p w:rsidR="00E12F42" w:rsidRPr="005904EA" w:rsidP="005904EA" w14:paraId="3FD50113" w14:textId="77777777">
            <w:pPr>
              <w:jc w:val="center"/>
              <w:rPr>
                <w:b/>
                <w:bCs/>
                <w:sz w:val="22"/>
                <w:szCs w:val="22"/>
              </w:rPr>
            </w:pPr>
            <w:r w:rsidRPr="005904EA">
              <w:rPr>
                <w:b/>
                <w:bCs/>
                <w:sz w:val="22"/>
                <w:szCs w:val="22"/>
              </w:rPr>
              <w:t>Number of Responses</w:t>
            </w:r>
          </w:p>
          <w:p w:rsidR="00E12F42" w:rsidRPr="005904EA" w:rsidP="005904EA" w14:paraId="699705C6" w14:textId="77777777">
            <w:pPr>
              <w:jc w:val="center"/>
              <w:rPr>
                <w:b/>
                <w:bCs/>
                <w:sz w:val="22"/>
                <w:szCs w:val="22"/>
              </w:rPr>
            </w:pPr>
            <w:r w:rsidRPr="005904EA">
              <w:rPr>
                <w:b/>
                <w:bCs/>
                <w:sz w:val="22"/>
                <w:szCs w:val="22"/>
              </w:rPr>
              <w:t>Per Year</w:t>
            </w:r>
          </w:p>
        </w:tc>
        <w:tc>
          <w:tcPr>
            <w:tcW w:w="1440" w:type="dxa"/>
            <w:vAlign w:val="bottom"/>
          </w:tcPr>
          <w:p w:rsidR="00E12F42" w:rsidRPr="005904EA" w:rsidP="005904EA" w14:paraId="61C56EE5" w14:textId="77777777">
            <w:pPr>
              <w:jc w:val="center"/>
              <w:rPr>
                <w:b/>
                <w:bCs/>
                <w:sz w:val="22"/>
                <w:szCs w:val="22"/>
              </w:rPr>
            </w:pPr>
          </w:p>
          <w:p w:rsidR="00E12F42" w:rsidRPr="005904EA" w:rsidP="005904EA" w14:paraId="6E3C2B98" w14:textId="77777777">
            <w:pPr>
              <w:jc w:val="center"/>
              <w:rPr>
                <w:b/>
                <w:bCs/>
                <w:sz w:val="22"/>
                <w:szCs w:val="22"/>
              </w:rPr>
            </w:pPr>
            <w:r w:rsidRPr="005904EA">
              <w:rPr>
                <w:b/>
                <w:bCs/>
                <w:sz w:val="22"/>
                <w:szCs w:val="22"/>
              </w:rPr>
              <w:t>Estimated  Time per Response (hours)</w:t>
            </w:r>
          </w:p>
        </w:tc>
        <w:tc>
          <w:tcPr>
            <w:tcW w:w="1080" w:type="dxa"/>
            <w:vAlign w:val="bottom"/>
          </w:tcPr>
          <w:p w:rsidR="00E12F42" w:rsidRPr="005904EA" w:rsidP="005904EA" w14:paraId="15614F59" w14:textId="77777777">
            <w:pPr>
              <w:jc w:val="center"/>
              <w:rPr>
                <w:b/>
                <w:bCs/>
                <w:sz w:val="22"/>
                <w:szCs w:val="22"/>
              </w:rPr>
            </w:pPr>
          </w:p>
          <w:p w:rsidR="00E12F42" w:rsidRPr="005904EA" w:rsidP="005904EA" w14:paraId="512DB6D0" w14:textId="77777777">
            <w:pPr>
              <w:jc w:val="center"/>
              <w:rPr>
                <w:b/>
                <w:bCs/>
                <w:sz w:val="22"/>
                <w:szCs w:val="22"/>
              </w:rPr>
            </w:pPr>
            <w:r w:rsidRPr="005904EA">
              <w:rPr>
                <w:b/>
                <w:bCs/>
                <w:sz w:val="22"/>
                <w:szCs w:val="22"/>
              </w:rPr>
              <w:t>Total Burden Hours</w:t>
            </w:r>
          </w:p>
        </w:tc>
        <w:tc>
          <w:tcPr>
            <w:tcW w:w="1710" w:type="dxa"/>
            <w:vAlign w:val="bottom"/>
          </w:tcPr>
          <w:p w:rsidR="00E12F42" w:rsidRPr="005904EA" w:rsidP="005904EA" w14:paraId="61CB2D37" w14:textId="77777777">
            <w:pPr>
              <w:jc w:val="center"/>
              <w:rPr>
                <w:b/>
                <w:bCs/>
                <w:sz w:val="22"/>
                <w:szCs w:val="22"/>
              </w:rPr>
            </w:pPr>
          </w:p>
          <w:p w:rsidR="00E12F42" w:rsidRPr="005904EA" w:rsidP="005904EA" w14:paraId="4A928726" w14:textId="77777777">
            <w:pPr>
              <w:jc w:val="center"/>
              <w:rPr>
                <w:b/>
                <w:bCs/>
                <w:sz w:val="22"/>
                <w:szCs w:val="22"/>
              </w:rPr>
            </w:pPr>
            <w:r w:rsidRPr="005904EA">
              <w:rPr>
                <w:b/>
                <w:bCs/>
                <w:sz w:val="22"/>
                <w:szCs w:val="22"/>
              </w:rPr>
              <w:t>In-house Cost to Respondents</w:t>
            </w:r>
          </w:p>
        </w:tc>
      </w:tr>
      <w:tr w14:paraId="7C12E10A" w14:textId="09AFAAE8" w:rsidTr="00CF33ED">
        <w:tblPrEx>
          <w:tblW w:w="9465" w:type="dxa"/>
          <w:tblInd w:w="93" w:type="dxa"/>
          <w:tblLayout w:type="fixed"/>
          <w:tblLook w:val="0000"/>
        </w:tblPrEx>
        <w:trPr>
          <w:cantSplit/>
          <w:trHeight w:val="255"/>
        </w:trPr>
        <w:tc>
          <w:tcPr>
            <w:tcW w:w="2265" w:type="dxa"/>
          </w:tcPr>
          <w:p w:rsidR="00EE4171" w:rsidRPr="005904EA" w:rsidP="005904EA" w14:paraId="24BF6F2D" w14:textId="738DA623">
            <w:pPr>
              <w:rPr>
                <w:b/>
                <w:bCs/>
                <w:sz w:val="22"/>
                <w:szCs w:val="22"/>
                <w:u w:val="single"/>
              </w:rPr>
            </w:pPr>
          </w:p>
          <w:p w:rsidR="00EE4171" w:rsidRPr="005904EA" w:rsidP="005904EA" w14:paraId="5F18DC33" w14:textId="66C0D741">
            <w:pPr>
              <w:rPr>
                <w:b/>
                <w:bCs/>
                <w:sz w:val="22"/>
                <w:szCs w:val="22"/>
              </w:rPr>
            </w:pPr>
            <w:r w:rsidRPr="005904EA">
              <w:rPr>
                <w:b/>
                <w:bCs/>
                <w:sz w:val="22"/>
                <w:szCs w:val="22"/>
              </w:rPr>
              <w:t>a</w:t>
            </w:r>
            <w:r w:rsidRPr="005904EA" w:rsidR="00EB1DD7">
              <w:rPr>
                <w:b/>
                <w:bCs/>
                <w:sz w:val="22"/>
                <w:szCs w:val="22"/>
              </w:rPr>
              <w:t xml:space="preserve">. </w:t>
            </w:r>
            <w:r w:rsidRPr="005904EA" w:rsidR="00D6621D">
              <w:rPr>
                <w:b/>
                <w:bCs/>
                <w:sz w:val="22"/>
                <w:szCs w:val="22"/>
              </w:rPr>
              <w:t>Deleted RDOF Long-Form 54.804(c)</w:t>
            </w:r>
          </w:p>
        </w:tc>
        <w:tc>
          <w:tcPr>
            <w:tcW w:w="1620" w:type="dxa"/>
            <w:vAlign w:val="bottom"/>
          </w:tcPr>
          <w:p w:rsidR="00EE4171" w:rsidRPr="005904EA" w:rsidP="005904EA" w14:paraId="57C47BF9" w14:textId="7D1A8398">
            <w:pPr>
              <w:jc w:val="center"/>
              <w:rPr>
                <w:b/>
                <w:sz w:val="22"/>
                <w:szCs w:val="22"/>
              </w:rPr>
            </w:pPr>
            <w:r w:rsidRPr="005904EA">
              <w:rPr>
                <w:b/>
                <w:sz w:val="22"/>
                <w:szCs w:val="22"/>
              </w:rPr>
              <w:t>0</w:t>
            </w:r>
          </w:p>
        </w:tc>
        <w:tc>
          <w:tcPr>
            <w:tcW w:w="1350" w:type="dxa"/>
            <w:vAlign w:val="bottom"/>
          </w:tcPr>
          <w:p w:rsidR="00EE4171" w:rsidRPr="005904EA" w:rsidP="005904EA" w14:paraId="27D4EB6E" w14:textId="7D375F8B">
            <w:pPr>
              <w:jc w:val="center"/>
              <w:rPr>
                <w:b/>
                <w:sz w:val="22"/>
                <w:szCs w:val="22"/>
              </w:rPr>
            </w:pPr>
            <w:r w:rsidRPr="005904EA">
              <w:rPr>
                <w:b/>
                <w:sz w:val="22"/>
                <w:szCs w:val="22"/>
              </w:rPr>
              <w:t>0</w:t>
            </w:r>
          </w:p>
        </w:tc>
        <w:tc>
          <w:tcPr>
            <w:tcW w:w="1440" w:type="dxa"/>
            <w:vAlign w:val="bottom"/>
          </w:tcPr>
          <w:p w:rsidR="00EE4171" w:rsidRPr="005904EA" w:rsidP="005904EA" w14:paraId="2E58AAFC" w14:textId="5059451E">
            <w:pPr>
              <w:jc w:val="center"/>
              <w:rPr>
                <w:b/>
                <w:sz w:val="22"/>
                <w:szCs w:val="22"/>
              </w:rPr>
            </w:pPr>
            <w:r w:rsidRPr="005904EA">
              <w:rPr>
                <w:b/>
                <w:sz w:val="22"/>
                <w:szCs w:val="22"/>
              </w:rPr>
              <w:t>0</w:t>
            </w:r>
          </w:p>
        </w:tc>
        <w:tc>
          <w:tcPr>
            <w:tcW w:w="1080" w:type="dxa"/>
            <w:vAlign w:val="bottom"/>
          </w:tcPr>
          <w:p w:rsidR="00EE4171" w:rsidRPr="005904EA" w:rsidP="005904EA" w14:paraId="1AA45F17" w14:textId="0BBD5FDA">
            <w:pPr>
              <w:jc w:val="center"/>
              <w:rPr>
                <w:b/>
                <w:sz w:val="22"/>
                <w:szCs w:val="22"/>
              </w:rPr>
            </w:pPr>
            <w:r w:rsidRPr="005904EA">
              <w:rPr>
                <w:b/>
                <w:sz w:val="22"/>
                <w:szCs w:val="22"/>
              </w:rPr>
              <w:t>0</w:t>
            </w:r>
          </w:p>
        </w:tc>
        <w:tc>
          <w:tcPr>
            <w:tcW w:w="1710" w:type="dxa"/>
            <w:vAlign w:val="bottom"/>
          </w:tcPr>
          <w:p w:rsidR="00EE4171" w:rsidRPr="005904EA" w:rsidP="005904EA" w14:paraId="2EE0AB28" w14:textId="7B12DA66">
            <w:pPr>
              <w:jc w:val="center"/>
              <w:rPr>
                <w:b/>
                <w:sz w:val="22"/>
                <w:szCs w:val="22"/>
              </w:rPr>
            </w:pPr>
            <w:r w:rsidRPr="005904EA">
              <w:rPr>
                <w:b/>
                <w:sz w:val="22"/>
                <w:szCs w:val="22"/>
              </w:rPr>
              <w:t>0</w:t>
            </w:r>
          </w:p>
        </w:tc>
      </w:tr>
      <w:tr w14:paraId="63FA4252" w14:textId="77777777" w:rsidTr="00CF33ED">
        <w:tblPrEx>
          <w:tblW w:w="9465" w:type="dxa"/>
          <w:tblInd w:w="93" w:type="dxa"/>
          <w:tblLayout w:type="fixed"/>
          <w:tblLook w:val="0000"/>
        </w:tblPrEx>
        <w:trPr>
          <w:cantSplit/>
          <w:trHeight w:val="480"/>
        </w:trPr>
        <w:tc>
          <w:tcPr>
            <w:tcW w:w="2265" w:type="dxa"/>
          </w:tcPr>
          <w:p w:rsidR="00EE4171" w:rsidRPr="005904EA" w:rsidP="005904EA" w14:paraId="7B502FB8" w14:textId="77777777">
            <w:pPr>
              <w:rPr>
                <w:b/>
                <w:bCs/>
                <w:sz w:val="22"/>
                <w:szCs w:val="22"/>
                <w:u w:val="single"/>
              </w:rPr>
            </w:pPr>
          </w:p>
          <w:p w:rsidR="00EE4171" w:rsidRPr="005904EA" w:rsidP="005904EA" w14:paraId="4E43A60C" w14:textId="1D5181B4">
            <w:pPr>
              <w:rPr>
                <w:b/>
                <w:bCs/>
                <w:sz w:val="22"/>
                <w:szCs w:val="22"/>
              </w:rPr>
            </w:pPr>
            <w:r w:rsidRPr="005904EA">
              <w:rPr>
                <w:b/>
                <w:bCs/>
                <w:sz w:val="22"/>
                <w:szCs w:val="22"/>
              </w:rPr>
              <w:t>b</w:t>
            </w:r>
            <w:r w:rsidRPr="005904EA" w:rsidR="00EB1DD7">
              <w:rPr>
                <w:b/>
                <w:bCs/>
                <w:sz w:val="22"/>
                <w:szCs w:val="22"/>
              </w:rPr>
              <w:t>. R</w:t>
            </w:r>
            <w:r w:rsidRPr="005904EA" w:rsidR="00EB1DD7">
              <w:rPr>
                <w:b/>
                <w:sz w:val="22"/>
                <w:szCs w:val="22"/>
              </w:rPr>
              <w:t>ural Digital Opportunity Fund Annual Submission of Letter of Credit (no changes)</w:t>
            </w:r>
          </w:p>
        </w:tc>
        <w:tc>
          <w:tcPr>
            <w:tcW w:w="1620" w:type="dxa"/>
            <w:vAlign w:val="bottom"/>
          </w:tcPr>
          <w:p w:rsidR="00EE4171" w:rsidRPr="005904EA" w:rsidP="005904EA" w14:paraId="1445EC1C" w14:textId="77777777">
            <w:pPr>
              <w:jc w:val="center"/>
              <w:rPr>
                <w:b/>
                <w:sz w:val="22"/>
                <w:szCs w:val="22"/>
              </w:rPr>
            </w:pPr>
            <w:r w:rsidRPr="005904EA">
              <w:rPr>
                <w:b/>
                <w:sz w:val="22"/>
                <w:szCs w:val="22"/>
              </w:rPr>
              <w:t>400</w:t>
            </w:r>
          </w:p>
        </w:tc>
        <w:tc>
          <w:tcPr>
            <w:tcW w:w="1350" w:type="dxa"/>
            <w:vAlign w:val="bottom"/>
          </w:tcPr>
          <w:p w:rsidR="00EE4171" w:rsidRPr="005904EA" w:rsidP="005904EA" w14:paraId="597FA82A" w14:textId="77777777">
            <w:pPr>
              <w:jc w:val="center"/>
              <w:rPr>
                <w:b/>
                <w:sz w:val="22"/>
                <w:szCs w:val="22"/>
              </w:rPr>
            </w:pPr>
            <w:r w:rsidRPr="005904EA">
              <w:rPr>
                <w:b/>
                <w:sz w:val="22"/>
                <w:szCs w:val="22"/>
              </w:rPr>
              <w:t>400</w:t>
            </w:r>
          </w:p>
        </w:tc>
        <w:tc>
          <w:tcPr>
            <w:tcW w:w="1440" w:type="dxa"/>
            <w:vAlign w:val="bottom"/>
          </w:tcPr>
          <w:p w:rsidR="00EE4171" w:rsidRPr="005904EA" w:rsidP="005904EA" w14:paraId="116343BA" w14:textId="77777777">
            <w:pPr>
              <w:jc w:val="center"/>
              <w:rPr>
                <w:b/>
                <w:sz w:val="22"/>
                <w:szCs w:val="22"/>
              </w:rPr>
            </w:pPr>
            <w:r w:rsidRPr="005904EA">
              <w:rPr>
                <w:b/>
                <w:sz w:val="22"/>
                <w:szCs w:val="22"/>
              </w:rPr>
              <w:t>2</w:t>
            </w:r>
          </w:p>
        </w:tc>
        <w:tc>
          <w:tcPr>
            <w:tcW w:w="1080" w:type="dxa"/>
            <w:vAlign w:val="bottom"/>
          </w:tcPr>
          <w:p w:rsidR="00EE4171" w:rsidRPr="005904EA" w:rsidP="005904EA" w14:paraId="282A02B3" w14:textId="77777777">
            <w:pPr>
              <w:jc w:val="center"/>
              <w:rPr>
                <w:b/>
                <w:sz w:val="22"/>
                <w:szCs w:val="22"/>
              </w:rPr>
            </w:pPr>
            <w:r w:rsidRPr="005904EA">
              <w:rPr>
                <w:b/>
                <w:sz w:val="22"/>
                <w:szCs w:val="22"/>
              </w:rPr>
              <w:t>800</w:t>
            </w:r>
          </w:p>
        </w:tc>
        <w:tc>
          <w:tcPr>
            <w:tcW w:w="1710" w:type="dxa"/>
            <w:vAlign w:val="bottom"/>
          </w:tcPr>
          <w:p w:rsidR="00EE4171" w:rsidRPr="005904EA" w:rsidP="005904EA" w14:paraId="6EB6557B" w14:textId="5AE9999A">
            <w:pPr>
              <w:jc w:val="center"/>
              <w:rPr>
                <w:b/>
                <w:sz w:val="22"/>
                <w:szCs w:val="22"/>
              </w:rPr>
            </w:pPr>
            <w:r w:rsidRPr="005904EA">
              <w:rPr>
                <w:b/>
                <w:sz w:val="22"/>
                <w:szCs w:val="22"/>
              </w:rPr>
              <w:t>$</w:t>
            </w:r>
            <w:r w:rsidRPr="005904EA" w:rsidR="000450B3">
              <w:rPr>
                <w:b/>
                <w:sz w:val="22"/>
                <w:szCs w:val="22"/>
              </w:rPr>
              <w:t>62,520</w:t>
            </w:r>
          </w:p>
        </w:tc>
      </w:tr>
      <w:tr w14:paraId="28C9FC1F" w14:textId="77777777" w:rsidTr="00CF33ED">
        <w:tblPrEx>
          <w:tblW w:w="9465" w:type="dxa"/>
          <w:tblInd w:w="93" w:type="dxa"/>
          <w:tblLayout w:type="fixed"/>
          <w:tblLook w:val="0000"/>
        </w:tblPrEx>
        <w:trPr>
          <w:cantSplit/>
          <w:trHeight w:val="480"/>
        </w:trPr>
        <w:tc>
          <w:tcPr>
            <w:tcW w:w="2265" w:type="dxa"/>
            <w:vAlign w:val="bottom"/>
          </w:tcPr>
          <w:p w:rsidR="00EE4171" w:rsidRPr="005904EA" w:rsidP="005904EA" w14:paraId="09C07363" w14:textId="77777777">
            <w:pPr>
              <w:rPr>
                <w:b/>
                <w:sz w:val="22"/>
                <w:szCs w:val="22"/>
                <w:u w:val="single"/>
              </w:rPr>
            </w:pPr>
          </w:p>
          <w:p w:rsidR="00EE4171" w:rsidRPr="005904EA" w:rsidP="005904EA" w14:paraId="37174F2B" w14:textId="4EB68029">
            <w:pPr>
              <w:rPr>
                <w:b/>
                <w:sz w:val="22"/>
                <w:szCs w:val="22"/>
              </w:rPr>
            </w:pPr>
            <w:r w:rsidRPr="005904EA">
              <w:rPr>
                <w:b/>
                <w:sz w:val="22"/>
                <w:szCs w:val="22"/>
              </w:rPr>
              <w:t>c</w:t>
            </w:r>
            <w:r w:rsidRPr="005904EA" w:rsidR="00EB1DD7">
              <w:rPr>
                <w:b/>
                <w:sz w:val="22"/>
                <w:szCs w:val="22"/>
              </w:rPr>
              <w:t>. CAF Phase II Auction Annual Submission of Letter of Credit (no changes)</w:t>
            </w:r>
          </w:p>
        </w:tc>
        <w:tc>
          <w:tcPr>
            <w:tcW w:w="1620" w:type="dxa"/>
            <w:vAlign w:val="bottom"/>
          </w:tcPr>
          <w:p w:rsidR="00EE4171" w:rsidRPr="005904EA" w:rsidP="005904EA" w14:paraId="1444F2ED" w14:textId="77777777">
            <w:pPr>
              <w:jc w:val="center"/>
              <w:rPr>
                <w:b/>
                <w:sz w:val="22"/>
                <w:szCs w:val="22"/>
              </w:rPr>
            </w:pPr>
            <w:r w:rsidRPr="005904EA">
              <w:rPr>
                <w:b/>
                <w:sz w:val="22"/>
                <w:szCs w:val="22"/>
              </w:rPr>
              <w:t>130</w:t>
            </w:r>
          </w:p>
        </w:tc>
        <w:tc>
          <w:tcPr>
            <w:tcW w:w="1350" w:type="dxa"/>
            <w:vAlign w:val="bottom"/>
          </w:tcPr>
          <w:p w:rsidR="00EE4171" w:rsidRPr="005904EA" w:rsidP="005904EA" w14:paraId="34281A75" w14:textId="77777777">
            <w:pPr>
              <w:jc w:val="center"/>
              <w:rPr>
                <w:b/>
                <w:sz w:val="22"/>
                <w:szCs w:val="22"/>
              </w:rPr>
            </w:pPr>
            <w:r w:rsidRPr="005904EA">
              <w:rPr>
                <w:b/>
                <w:sz w:val="22"/>
                <w:szCs w:val="22"/>
              </w:rPr>
              <w:t>130</w:t>
            </w:r>
          </w:p>
        </w:tc>
        <w:tc>
          <w:tcPr>
            <w:tcW w:w="1440" w:type="dxa"/>
            <w:vAlign w:val="bottom"/>
          </w:tcPr>
          <w:p w:rsidR="00EE4171" w:rsidRPr="005904EA" w:rsidP="005904EA" w14:paraId="018BC25D" w14:textId="77777777">
            <w:pPr>
              <w:jc w:val="center"/>
              <w:rPr>
                <w:b/>
                <w:sz w:val="22"/>
                <w:szCs w:val="22"/>
              </w:rPr>
            </w:pPr>
            <w:r w:rsidRPr="005904EA">
              <w:rPr>
                <w:b/>
                <w:sz w:val="22"/>
                <w:szCs w:val="22"/>
              </w:rPr>
              <w:t>2</w:t>
            </w:r>
          </w:p>
        </w:tc>
        <w:tc>
          <w:tcPr>
            <w:tcW w:w="1080" w:type="dxa"/>
            <w:vAlign w:val="bottom"/>
          </w:tcPr>
          <w:p w:rsidR="00EE4171" w:rsidRPr="005904EA" w:rsidP="005904EA" w14:paraId="69AC24AD" w14:textId="77777777">
            <w:pPr>
              <w:jc w:val="center"/>
              <w:rPr>
                <w:b/>
                <w:sz w:val="22"/>
                <w:szCs w:val="22"/>
              </w:rPr>
            </w:pPr>
            <w:r w:rsidRPr="005904EA">
              <w:rPr>
                <w:b/>
                <w:sz w:val="22"/>
                <w:szCs w:val="22"/>
              </w:rPr>
              <w:t>260</w:t>
            </w:r>
          </w:p>
        </w:tc>
        <w:tc>
          <w:tcPr>
            <w:tcW w:w="1710" w:type="dxa"/>
            <w:vAlign w:val="bottom"/>
          </w:tcPr>
          <w:p w:rsidR="00EE4171" w:rsidRPr="005904EA" w:rsidP="005904EA" w14:paraId="0C07F837" w14:textId="4A5F8F38">
            <w:pPr>
              <w:jc w:val="center"/>
              <w:rPr>
                <w:b/>
                <w:sz w:val="22"/>
                <w:szCs w:val="22"/>
              </w:rPr>
            </w:pPr>
            <w:r w:rsidRPr="005904EA">
              <w:rPr>
                <w:b/>
                <w:sz w:val="22"/>
                <w:szCs w:val="22"/>
              </w:rPr>
              <w:t>$</w:t>
            </w:r>
            <w:r w:rsidRPr="005904EA" w:rsidR="000450B3">
              <w:rPr>
                <w:b/>
                <w:sz w:val="22"/>
                <w:szCs w:val="22"/>
              </w:rPr>
              <w:t>20,319</w:t>
            </w:r>
          </w:p>
        </w:tc>
      </w:tr>
    </w:tbl>
    <w:p w:rsidR="00E12F42" w:rsidRPr="005904EA" w:rsidP="005904EA" w14:paraId="02BD6117" w14:textId="77777777">
      <w:pPr>
        <w:pStyle w:val="ListParagraph"/>
        <w:ind w:left="0"/>
        <w:rPr>
          <w:b/>
          <w:sz w:val="22"/>
          <w:szCs w:val="22"/>
        </w:rPr>
      </w:pPr>
    </w:p>
    <w:p w:rsidR="00F524AF" w:rsidRPr="005904EA" w:rsidP="005904EA" w14:paraId="364265C1" w14:textId="77777777">
      <w:pPr>
        <w:tabs>
          <w:tab w:val="left" w:pos="0"/>
        </w:tabs>
        <w:suppressAutoHyphens/>
        <w:rPr>
          <w:b/>
          <w:sz w:val="22"/>
          <w:szCs w:val="22"/>
        </w:rPr>
      </w:pPr>
    </w:p>
    <w:p w:rsidR="000450B3" w:rsidRPr="005904EA" w:rsidP="005904EA" w14:paraId="56E1D78A" w14:textId="77777777">
      <w:pPr>
        <w:tabs>
          <w:tab w:val="left" w:pos="-720"/>
        </w:tabs>
        <w:suppressAutoHyphens/>
        <w:rPr>
          <w:b/>
          <w:sz w:val="22"/>
          <w:szCs w:val="22"/>
        </w:rPr>
      </w:pPr>
      <w:r w:rsidRPr="005904EA">
        <w:rPr>
          <w:b/>
          <w:sz w:val="22"/>
          <w:szCs w:val="22"/>
          <w:u w:val="single"/>
        </w:rPr>
        <w:t>TOTALS</w:t>
      </w:r>
      <w:r w:rsidRPr="005904EA">
        <w:rPr>
          <w:b/>
          <w:sz w:val="22"/>
          <w:szCs w:val="22"/>
        </w:rPr>
        <w:t>:</w:t>
      </w:r>
    </w:p>
    <w:p w:rsidR="000450B3" w:rsidRPr="005904EA" w:rsidP="005904EA" w14:paraId="2FD08423" w14:textId="77777777">
      <w:pPr>
        <w:tabs>
          <w:tab w:val="left" w:pos="-720"/>
        </w:tabs>
        <w:suppressAutoHyphens/>
        <w:rPr>
          <w:b/>
          <w:sz w:val="22"/>
          <w:szCs w:val="22"/>
        </w:rPr>
      </w:pPr>
    </w:p>
    <w:p w:rsidR="00F524AF" w:rsidRPr="005904EA" w:rsidP="005904EA" w14:paraId="2C467203" w14:textId="55A09BF3">
      <w:pPr>
        <w:tabs>
          <w:tab w:val="left" w:pos="-720"/>
        </w:tabs>
        <w:suppressAutoHyphens/>
        <w:rPr>
          <w:b/>
          <w:sz w:val="22"/>
          <w:szCs w:val="22"/>
        </w:rPr>
      </w:pPr>
      <w:r w:rsidRPr="005904EA">
        <w:rPr>
          <w:b/>
          <w:sz w:val="22"/>
          <w:szCs w:val="22"/>
        </w:rPr>
        <w:t>T</w:t>
      </w:r>
      <w:r w:rsidRPr="005904EA" w:rsidR="000450B3">
        <w:rPr>
          <w:b/>
          <w:sz w:val="22"/>
          <w:szCs w:val="22"/>
        </w:rPr>
        <w:t>otal</w:t>
      </w:r>
      <w:r w:rsidRPr="005904EA">
        <w:rPr>
          <w:b/>
          <w:sz w:val="22"/>
          <w:szCs w:val="22"/>
        </w:rPr>
        <w:t xml:space="preserve"> N</w:t>
      </w:r>
      <w:r w:rsidRPr="005904EA" w:rsidR="000450B3">
        <w:rPr>
          <w:b/>
          <w:sz w:val="22"/>
          <w:szCs w:val="22"/>
        </w:rPr>
        <w:t>umber</w:t>
      </w:r>
      <w:r w:rsidRPr="005904EA">
        <w:rPr>
          <w:b/>
          <w:sz w:val="22"/>
          <w:szCs w:val="22"/>
        </w:rPr>
        <w:t xml:space="preserve"> </w:t>
      </w:r>
      <w:r w:rsidRPr="005904EA" w:rsidR="000450B3">
        <w:rPr>
          <w:b/>
          <w:sz w:val="22"/>
          <w:szCs w:val="22"/>
        </w:rPr>
        <w:t>of Respondents</w:t>
      </w:r>
      <w:r w:rsidRPr="005904EA">
        <w:rPr>
          <w:b/>
          <w:sz w:val="22"/>
          <w:szCs w:val="22"/>
        </w:rPr>
        <w:t xml:space="preserve">: </w:t>
      </w:r>
      <w:r w:rsidRPr="005904EA" w:rsidR="00396CD6">
        <w:rPr>
          <w:b/>
          <w:sz w:val="22"/>
          <w:szCs w:val="22"/>
        </w:rPr>
        <w:t>530</w:t>
      </w:r>
      <w:r w:rsidRPr="005904EA">
        <w:rPr>
          <w:b/>
          <w:sz w:val="22"/>
          <w:szCs w:val="22"/>
        </w:rPr>
        <w:t>.</w:t>
      </w:r>
    </w:p>
    <w:p w:rsidR="0005650F" w:rsidRPr="005904EA" w:rsidP="005904EA" w14:paraId="25909FDA" w14:textId="77777777">
      <w:pPr>
        <w:tabs>
          <w:tab w:val="left" w:pos="-720"/>
        </w:tabs>
        <w:suppressAutoHyphens/>
        <w:rPr>
          <w:b/>
          <w:sz w:val="22"/>
          <w:szCs w:val="22"/>
        </w:rPr>
      </w:pPr>
    </w:p>
    <w:p w:rsidR="00F524AF" w:rsidRPr="005904EA" w:rsidP="005904EA" w14:paraId="385141F7" w14:textId="01784C53">
      <w:pPr>
        <w:tabs>
          <w:tab w:val="left" w:pos="-720"/>
        </w:tabs>
        <w:suppressAutoHyphens/>
        <w:rPr>
          <w:b/>
          <w:sz w:val="22"/>
          <w:szCs w:val="22"/>
        </w:rPr>
      </w:pPr>
      <w:r w:rsidRPr="005904EA">
        <w:rPr>
          <w:b/>
          <w:sz w:val="22"/>
          <w:szCs w:val="22"/>
        </w:rPr>
        <w:t>T</w:t>
      </w:r>
      <w:r w:rsidRPr="005904EA" w:rsidR="000450B3">
        <w:rPr>
          <w:b/>
          <w:sz w:val="22"/>
          <w:szCs w:val="22"/>
        </w:rPr>
        <w:t>otal</w:t>
      </w:r>
      <w:r w:rsidRPr="005904EA">
        <w:rPr>
          <w:b/>
          <w:sz w:val="22"/>
          <w:szCs w:val="22"/>
        </w:rPr>
        <w:t xml:space="preserve"> N</w:t>
      </w:r>
      <w:r w:rsidRPr="005904EA" w:rsidR="000450B3">
        <w:rPr>
          <w:b/>
          <w:sz w:val="22"/>
          <w:szCs w:val="22"/>
        </w:rPr>
        <w:t>umber</w:t>
      </w:r>
      <w:r w:rsidRPr="005904EA">
        <w:rPr>
          <w:b/>
          <w:sz w:val="22"/>
          <w:szCs w:val="22"/>
        </w:rPr>
        <w:t xml:space="preserve"> </w:t>
      </w:r>
      <w:r w:rsidRPr="005904EA" w:rsidR="000450B3">
        <w:rPr>
          <w:b/>
          <w:sz w:val="22"/>
          <w:szCs w:val="22"/>
        </w:rPr>
        <w:t>of</w:t>
      </w:r>
      <w:r w:rsidRPr="005904EA">
        <w:rPr>
          <w:b/>
          <w:sz w:val="22"/>
          <w:szCs w:val="22"/>
        </w:rPr>
        <w:t xml:space="preserve"> </w:t>
      </w:r>
      <w:r w:rsidRPr="005904EA" w:rsidR="000450B3">
        <w:rPr>
          <w:b/>
          <w:sz w:val="22"/>
          <w:szCs w:val="22"/>
        </w:rPr>
        <w:t>Responses Annually</w:t>
      </w:r>
      <w:r w:rsidRPr="005904EA">
        <w:rPr>
          <w:b/>
          <w:sz w:val="22"/>
          <w:szCs w:val="22"/>
        </w:rPr>
        <w:t xml:space="preserve">: </w:t>
      </w:r>
      <w:r w:rsidRPr="005904EA" w:rsidR="00667A5C">
        <w:rPr>
          <w:b/>
          <w:sz w:val="22"/>
          <w:szCs w:val="22"/>
        </w:rPr>
        <w:t>530</w:t>
      </w:r>
      <w:r w:rsidRPr="005904EA">
        <w:rPr>
          <w:b/>
          <w:sz w:val="22"/>
          <w:szCs w:val="22"/>
        </w:rPr>
        <w:t>.</w:t>
      </w:r>
    </w:p>
    <w:p w:rsidR="0005650F" w:rsidRPr="005904EA" w:rsidP="005904EA" w14:paraId="205C7D6B" w14:textId="77777777">
      <w:pPr>
        <w:tabs>
          <w:tab w:val="left" w:pos="-720"/>
        </w:tabs>
        <w:suppressAutoHyphens/>
        <w:rPr>
          <w:b/>
          <w:sz w:val="22"/>
          <w:szCs w:val="22"/>
        </w:rPr>
      </w:pPr>
    </w:p>
    <w:p w:rsidR="00F524AF" w:rsidRPr="005904EA" w:rsidP="005904EA" w14:paraId="17443FCD" w14:textId="32DBD027">
      <w:pPr>
        <w:tabs>
          <w:tab w:val="left" w:pos="-720"/>
        </w:tabs>
        <w:suppressAutoHyphens/>
        <w:rPr>
          <w:b/>
          <w:sz w:val="22"/>
          <w:szCs w:val="22"/>
        </w:rPr>
      </w:pPr>
      <w:r w:rsidRPr="005904EA">
        <w:rPr>
          <w:b/>
          <w:sz w:val="22"/>
          <w:szCs w:val="22"/>
        </w:rPr>
        <w:t>T</w:t>
      </w:r>
      <w:r w:rsidRPr="005904EA" w:rsidR="000450B3">
        <w:rPr>
          <w:b/>
          <w:sz w:val="22"/>
          <w:szCs w:val="22"/>
        </w:rPr>
        <w:t>otal Annual Hourly Burden for Requirements (a) – (c):</w:t>
      </w:r>
      <w:r w:rsidRPr="005904EA">
        <w:rPr>
          <w:b/>
          <w:sz w:val="22"/>
          <w:szCs w:val="22"/>
        </w:rPr>
        <w:t xml:space="preserve"> </w:t>
      </w:r>
      <w:r w:rsidRPr="005904EA" w:rsidR="003E0382">
        <w:rPr>
          <w:b/>
          <w:sz w:val="22"/>
          <w:szCs w:val="22"/>
        </w:rPr>
        <w:t>1,060</w:t>
      </w:r>
      <w:r w:rsidRPr="005904EA">
        <w:rPr>
          <w:b/>
          <w:sz w:val="22"/>
          <w:szCs w:val="22"/>
        </w:rPr>
        <w:t>.</w:t>
      </w:r>
    </w:p>
    <w:p w:rsidR="0005650F" w:rsidRPr="005904EA" w:rsidP="005904EA" w14:paraId="30504B5A" w14:textId="77777777">
      <w:pPr>
        <w:tabs>
          <w:tab w:val="left" w:pos="-720"/>
        </w:tabs>
        <w:suppressAutoHyphens/>
        <w:rPr>
          <w:b/>
          <w:sz w:val="22"/>
          <w:szCs w:val="22"/>
        </w:rPr>
      </w:pPr>
    </w:p>
    <w:p w:rsidR="003A2F45" w:rsidRPr="005904EA" w:rsidP="005904EA" w14:paraId="13679829" w14:textId="0EF44339">
      <w:pPr>
        <w:tabs>
          <w:tab w:val="left" w:pos="0"/>
        </w:tabs>
        <w:suppressAutoHyphens/>
        <w:rPr>
          <w:b/>
          <w:sz w:val="22"/>
          <w:szCs w:val="22"/>
        </w:rPr>
      </w:pPr>
      <w:r w:rsidRPr="005904EA">
        <w:rPr>
          <w:b/>
          <w:sz w:val="22"/>
          <w:szCs w:val="22"/>
        </w:rPr>
        <w:t>T</w:t>
      </w:r>
      <w:r w:rsidRPr="005904EA" w:rsidR="000450B3">
        <w:rPr>
          <w:b/>
          <w:sz w:val="22"/>
          <w:szCs w:val="22"/>
        </w:rPr>
        <w:t>otal Annual In-House Costs to Respondents</w:t>
      </w:r>
      <w:r w:rsidRPr="005904EA">
        <w:rPr>
          <w:b/>
          <w:sz w:val="22"/>
          <w:szCs w:val="22"/>
        </w:rPr>
        <w:t>: $</w:t>
      </w:r>
      <w:r w:rsidRPr="005904EA" w:rsidR="00817843">
        <w:rPr>
          <w:b/>
          <w:sz w:val="22"/>
          <w:szCs w:val="22"/>
        </w:rPr>
        <w:t>82,839</w:t>
      </w:r>
    </w:p>
    <w:p w:rsidR="002C644E" w:rsidRPr="005904EA" w:rsidP="005904EA" w14:paraId="084515EB" w14:textId="77777777">
      <w:pPr>
        <w:tabs>
          <w:tab w:val="left" w:pos="0"/>
        </w:tabs>
        <w:suppressAutoHyphens/>
        <w:rPr>
          <w:sz w:val="22"/>
          <w:szCs w:val="22"/>
        </w:rPr>
      </w:pPr>
    </w:p>
    <w:p w:rsidR="002C644E" w:rsidRPr="005904EA" w:rsidP="005904EA" w14:paraId="5D66949D" w14:textId="1FD14974">
      <w:pPr>
        <w:numPr>
          <w:ilvl w:val="0"/>
          <w:numId w:val="3"/>
        </w:numPr>
        <w:tabs>
          <w:tab w:val="num" w:pos="0"/>
          <w:tab w:val="clear" w:pos="1080"/>
        </w:tabs>
        <w:suppressAutoHyphens/>
        <w:ind w:left="0" w:firstLine="0"/>
        <w:rPr>
          <w:sz w:val="22"/>
          <w:szCs w:val="22"/>
        </w:rPr>
      </w:pPr>
      <w:r w:rsidRPr="005904EA">
        <w:rPr>
          <w:i/>
          <w:sz w:val="22"/>
          <w:szCs w:val="22"/>
        </w:rPr>
        <w:t xml:space="preserve">Estimates of the cost burden of the collection to respondents. </w:t>
      </w:r>
      <w:r w:rsidRPr="005904EA" w:rsidR="000450B3">
        <w:rPr>
          <w:sz w:val="22"/>
          <w:szCs w:val="22"/>
        </w:rPr>
        <w:t>There are no outside costs to the respondents for this information collection.  See the last column in the chart in item 12 above for the estimated in-house cost to respondents.</w:t>
      </w:r>
    </w:p>
    <w:p w:rsidR="002C644E" w:rsidRPr="005904EA" w:rsidP="005904EA" w14:paraId="382B2690" w14:textId="77777777">
      <w:pPr>
        <w:rPr>
          <w:sz w:val="22"/>
          <w:szCs w:val="22"/>
        </w:rPr>
      </w:pPr>
    </w:p>
    <w:p w:rsidR="001F6F2F" w:rsidRPr="005904EA" w:rsidP="005904EA" w14:paraId="6A733807" w14:textId="7AA695CF">
      <w:pPr>
        <w:numPr>
          <w:ilvl w:val="0"/>
          <w:numId w:val="5"/>
        </w:numPr>
        <w:tabs>
          <w:tab w:val="num" w:pos="360"/>
          <w:tab w:val="clear" w:pos="1080"/>
        </w:tabs>
        <w:ind w:left="0" w:firstLine="0"/>
        <w:rPr>
          <w:sz w:val="22"/>
          <w:szCs w:val="22"/>
        </w:rPr>
      </w:pPr>
      <w:r w:rsidRPr="005904EA">
        <w:rPr>
          <w:i/>
          <w:sz w:val="22"/>
          <w:szCs w:val="22"/>
        </w:rPr>
        <w:t xml:space="preserve">Estimates of the cost burden to the Commission.  </w:t>
      </w:r>
      <w:r w:rsidRPr="005904EA" w:rsidR="000450B3">
        <w:rPr>
          <w:sz w:val="22"/>
          <w:szCs w:val="22"/>
        </w:rPr>
        <w:t>There will be few, if any, costs to the Commission because ensuring proper use of universal service support is already part of Commission duties.</w:t>
      </w:r>
    </w:p>
    <w:p w:rsidR="00A9718E" w:rsidRPr="005904EA" w:rsidP="005904EA" w14:paraId="61395CF3" w14:textId="77777777">
      <w:pPr>
        <w:rPr>
          <w:b/>
          <w:sz w:val="22"/>
          <w:szCs w:val="22"/>
        </w:rPr>
      </w:pPr>
    </w:p>
    <w:p w:rsidR="005D6CE8" w:rsidRPr="005904EA" w:rsidP="005904EA" w14:paraId="1CEE1FD0" w14:textId="0B709A62">
      <w:pPr>
        <w:rPr>
          <w:iCs/>
          <w:sz w:val="22"/>
          <w:szCs w:val="22"/>
        </w:rPr>
      </w:pPr>
      <w:r w:rsidRPr="005904EA">
        <w:rPr>
          <w:sz w:val="22"/>
          <w:szCs w:val="22"/>
        </w:rPr>
        <w:t>15.</w:t>
      </w:r>
      <w:r w:rsidRPr="005904EA" w:rsidR="000450B3">
        <w:rPr>
          <w:sz w:val="22"/>
          <w:szCs w:val="22"/>
        </w:rPr>
        <w:t xml:space="preserve"> </w:t>
      </w:r>
      <w:r w:rsidRPr="005904EA" w:rsidR="00C73014">
        <w:rPr>
          <w:i/>
          <w:sz w:val="22"/>
          <w:szCs w:val="22"/>
        </w:rPr>
        <w:t xml:space="preserve">Program changes or adjustment.  </w:t>
      </w:r>
      <w:r w:rsidRPr="005904EA" w:rsidR="00667A5C">
        <w:rPr>
          <w:iCs/>
          <w:sz w:val="22"/>
          <w:szCs w:val="22"/>
        </w:rPr>
        <w:t xml:space="preserve">The Commission is reporting a program change as a result of revised requirements.  The application process for the </w:t>
      </w:r>
      <w:r w:rsidRPr="005904EA" w:rsidR="00667A5C">
        <w:rPr>
          <w:sz w:val="22"/>
          <w:szCs w:val="22"/>
        </w:rPr>
        <w:t xml:space="preserve">RDOF winning bidders has concluded and the Commission is proposing eliminating the information collection requirement related to the RDOF winning bidders, FCC Form 683.  </w:t>
      </w:r>
      <w:r w:rsidRPr="005904EA" w:rsidR="00667A5C">
        <w:rPr>
          <w:iCs/>
          <w:sz w:val="22"/>
          <w:szCs w:val="22"/>
        </w:rPr>
        <w:t>With the elimination of the application requirement, the total number of a</w:t>
      </w:r>
      <w:r w:rsidRPr="005904EA" w:rsidR="00FD7A48">
        <w:rPr>
          <w:iCs/>
          <w:sz w:val="22"/>
          <w:szCs w:val="22"/>
        </w:rPr>
        <w:t xml:space="preserve">nnual responses </w:t>
      </w:r>
      <w:r w:rsidRPr="005904EA" w:rsidR="00667A5C">
        <w:rPr>
          <w:iCs/>
          <w:sz w:val="22"/>
          <w:szCs w:val="22"/>
        </w:rPr>
        <w:t>has d</w:t>
      </w:r>
      <w:r w:rsidRPr="005904EA" w:rsidR="00FD7A48">
        <w:rPr>
          <w:iCs/>
          <w:sz w:val="22"/>
          <w:szCs w:val="22"/>
        </w:rPr>
        <w:t>ecrease</w:t>
      </w:r>
      <w:r w:rsidRPr="005904EA" w:rsidR="00667A5C">
        <w:rPr>
          <w:iCs/>
          <w:sz w:val="22"/>
          <w:szCs w:val="22"/>
        </w:rPr>
        <w:t>d</w:t>
      </w:r>
      <w:r w:rsidRPr="005904EA" w:rsidR="00FD7A48">
        <w:rPr>
          <w:iCs/>
          <w:sz w:val="22"/>
          <w:szCs w:val="22"/>
        </w:rPr>
        <w:t xml:space="preserve"> from 930 to 530 (-400) and </w:t>
      </w:r>
      <w:r w:rsidRPr="005904EA" w:rsidR="00F41E79">
        <w:rPr>
          <w:iCs/>
          <w:sz w:val="22"/>
          <w:szCs w:val="22"/>
        </w:rPr>
        <w:t xml:space="preserve">the </w:t>
      </w:r>
      <w:r w:rsidRPr="005904EA" w:rsidR="00FD7A48">
        <w:rPr>
          <w:iCs/>
          <w:sz w:val="22"/>
          <w:szCs w:val="22"/>
        </w:rPr>
        <w:t xml:space="preserve">annual burden hours </w:t>
      </w:r>
      <w:r w:rsidRPr="005904EA" w:rsidR="00F41E79">
        <w:rPr>
          <w:iCs/>
          <w:sz w:val="22"/>
          <w:szCs w:val="22"/>
        </w:rPr>
        <w:t xml:space="preserve">also </w:t>
      </w:r>
      <w:r w:rsidRPr="005904EA" w:rsidR="00FD7A48">
        <w:rPr>
          <w:iCs/>
          <w:sz w:val="22"/>
          <w:szCs w:val="22"/>
        </w:rPr>
        <w:t>decrease</w:t>
      </w:r>
      <w:r w:rsidRPr="005904EA" w:rsidR="00F41E79">
        <w:rPr>
          <w:iCs/>
          <w:sz w:val="22"/>
          <w:szCs w:val="22"/>
        </w:rPr>
        <w:t>d</w:t>
      </w:r>
      <w:r w:rsidRPr="005904EA" w:rsidR="00FD7A48">
        <w:rPr>
          <w:iCs/>
          <w:sz w:val="22"/>
          <w:szCs w:val="22"/>
        </w:rPr>
        <w:t xml:space="preserve"> from 5,</w:t>
      </w:r>
      <w:r w:rsidRPr="005904EA" w:rsidR="00FE1980">
        <w:rPr>
          <w:iCs/>
          <w:sz w:val="22"/>
          <w:szCs w:val="22"/>
        </w:rPr>
        <w:t>860 to 1,060 (-4,800).</w:t>
      </w:r>
      <w:r w:rsidRPr="005904EA" w:rsidR="00817843">
        <w:rPr>
          <w:iCs/>
          <w:sz w:val="22"/>
          <w:szCs w:val="22"/>
        </w:rPr>
        <w:t xml:space="preserve">  The number of respondents remains the same.</w:t>
      </w:r>
    </w:p>
    <w:p w:rsidR="00510A97" w:rsidRPr="005904EA" w:rsidP="005904EA" w14:paraId="1F051D0B" w14:textId="77777777">
      <w:pPr>
        <w:pStyle w:val="ListParagraph"/>
        <w:rPr>
          <w:iCs/>
          <w:sz w:val="22"/>
          <w:szCs w:val="22"/>
        </w:rPr>
      </w:pPr>
    </w:p>
    <w:p w:rsidR="00396CD6" w:rsidRPr="005904EA" w:rsidP="005904EA" w14:paraId="70AFD281" w14:textId="3BC8748F">
      <w:pPr>
        <w:rPr>
          <w:iCs/>
          <w:sz w:val="22"/>
          <w:szCs w:val="22"/>
        </w:rPr>
      </w:pPr>
      <w:r w:rsidRPr="005904EA">
        <w:rPr>
          <w:iCs/>
          <w:sz w:val="22"/>
          <w:szCs w:val="22"/>
        </w:rPr>
        <w:t>There are no adjustments being reported to this collection.</w:t>
      </w:r>
    </w:p>
    <w:p w:rsidR="002C644E" w:rsidRPr="005904EA" w:rsidP="005904EA" w14:paraId="45C3C920" w14:textId="77777777">
      <w:pPr>
        <w:rPr>
          <w:sz w:val="22"/>
          <w:szCs w:val="22"/>
        </w:rPr>
      </w:pPr>
    </w:p>
    <w:p w:rsidR="00C73014" w:rsidRPr="005904EA" w:rsidP="005904EA" w14:paraId="0307B974" w14:textId="77777777">
      <w:pPr>
        <w:rPr>
          <w:sz w:val="22"/>
          <w:szCs w:val="22"/>
        </w:rPr>
      </w:pPr>
      <w:r w:rsidRPr="005904EA">
        <w:rPr>
          <w:sz w:val="22"/>
          <w:szCs w:val="22"/>
        </w:rPr>
        <w:t>16.</w:t>
      </w:r>
      <w:r w:rsidRPr="005904EA">
        <w:rPr>
          <w:sz w:val="22"/>
          <w:szCs w:val="22"/>
        </w:rPr>
        <w:tab/>
      </w:r>
      <w:r w:rsidRPr="005904EA">
        <w:rPr>
          <w:i/>
          <w:sz w:val="22"/>
          <w:szCs w:val="22"/>
        </w:rPr>
        <w:t xml:space="preserve">Collections of information whose results will be published.  </w:t>
      </w:r>
      <w:r w:rsidRPr="005904EA" w:rsidR="00EE3EF8">
        <w:rPr>
          <w:sz w:val="22"/>
          <w:szCs w:val="22"/>
        </w:rPr>
        <w:t>The information collection will not be published for statistical use.  As discussed above, t</w:t>
      </w:r>
      <w:r w:rsidRPr="005904EA">
        <w:rPr>
          <w:sz w:val="22"/>
          <w:szCs w:val="22"/>
        </w:rPr>
        <w:t xml:space="preserve">he Commission will make any non-proprietary information publicly available </w:t>
      </w:r>
      <w:r w:rsidRPr="005904EA" w:rsidR="005B30D8">
        <w:rPr>
          <w:sz w:val="22"/>
          <w:szCs w:val="22"/>
        </w:rPr>
        <w:t>a</w:t>
      </w:r>
      <w:r w:rsidRPr="005904EA">
        <w:rPr>
          <w:sz w:val="22"/>
          <w:szCs w:val="22"/>
        </w:rPr>
        <w:t>s the Commission deems appropriate.</w:t>
      </w:r>
    </w:p>
    <w:p w:rsidR="002C644E" w:rsidRPr="005904EA" w:rsidP="005904EA" w14:paraId="5A624F09" w14:textId="77777777">
      <w:pPr>
        <w:rPr>
          <w:sz w:val="22"/>
          <w:szCs w:val="22"/>
        </w:rPr>
      </w:pPr>
    </w:p>
    <w:p w:rsidR="009D2419" w:rsidRPr="005904EA" w:rsidP="005904EA" w14:paraId="711535E6" w14:textId="561C348A">
      <w:pPr>
        <w:rPr>
          <w:sz w:val="22"/>
          <w:szCs w:val="22"/>
        </w:rPr>
      </w:pPr>
      <w:r w:rsidRPr="005904EA">
        <w:rPr>
          <w:sz w:val="22"/>
          <w:szCs w:val="22"/>
        </w:rPr>
        <w:t>17.</w:t>
      </w:r>
      <w:r w:rsidRPr="005904EA">
        <w:rPr>
          <w:sz w:val="22"/>
          <w:szCs w:val="22"/>
        </w:rPr>
        <w:tab/>
      </w:r>
      <w:r w:rsidRPr="005904EA" w:rsidR="00C73014">
        <w:rPr>
          <w:i/>
          <w:sz w:val="22"/>
          <w:szCs w:val="22"/>
        </w:rPr>
        <w:t xml:space="preserve">Display of expiration date for OMB approval of information collection.  </w:t>
      </w:r>
      <w:r w:rsidRPr="005904EA" w:rsidR="000450B3">
        <w:rPr>
          <w:sz w:val="22"/>
          <w:szCs w:val="22"/>
        </w:rPr>
        <w:t xml:space="preserve">There is no paper form associated with this information collection; it is collected electronically through the Commission’s Electronic Comment Filing System.  The Commission seeks approval to not display the expiration date for OMB approval of this information collection.  OMB approval of the expiration date for the Commission’s information collection will be displayed on OMB’s website. </w:t>
      </w:r>
    </w:p>
    <w:p w:rsidR="002C644E" w:rsidRPr="005904EA" w:rsidP="005904EA" w14:paraId="0A34477C" w14:textId="77777777">
      <w:pPr>
        <w:rPr>
          <w:sz w:val="22"/>
          <w:szCs w:val="22"/>
        </w:rPr>
      </w:pPr>
    </w:p>
    <w:p w:rsidR="002C644E" w:rsidRPr="005904EA" w:rsidP="005904EA" w14:paraId="12A714F3" w14:textId="77777777">
      <w:pPr>
        <w:rPr>
          <w:sz w:val="22"/>
          <w:szCs w:val="22"/>
        </w:rPr>
      </w:pPr>
      <w:r w:rsidRPr="005904EA">
        <w:rPr>
          <w:sz w:val="22"/>
          <w:szCs w:val="22"/>
        </w:rPr>
        <w:t xml:space="preserve">18. </w:t>
      </w:r>
      <w:r w:rsidRPr="005904EA" w:rsidR="00C73014">
        <w:rPr>
          <w:i/>
          <w:sz w:val="22"/>
          <w:szCs w:val="22"/>
        </w:rPr>
        <w:t xml:space="preserve">Exception to the certification statement for Paperwork Reduction Act submission.  </w:t>
      </w:r>
      <w:r w:rsidRPr="005904EA">
        <w:rPr>
          <w:sz w:val="22"/>
          <w:szCs w:val="22"/>
        </w:rPr>
        <w:t xml:space="preserve">There are no exceptions to the certification statement.   </w:t>
      </w:r>
    </w:p>
    <w:p w:rsidR="002C644E" w:rsidRPr="005904EA" w:rsidP="005904EA" w14:paraId="2EDB6AE5" w14:textId="77777777">
      <w:pPr>
        <w:rPr>
          <w:sz w:val="22"/>
          <w:szCs w:val="22"/>
        </w:rPr>
      </w:pPr>
    </w:p>
    <w:p w:rsidR="002C644E" w:rsidRPr="005904EA" w:rsidP="005904EA" w14:paraId="32A0AB02" w14:textId="77777777">
      <w:pPr>
        <w:pStyle w:val="Heading1"/>
        <w:rPr>
          <w:sz w:val="22"/>
          <w:szCs w:val="22"/>
        </w:rPr>
      </w:pPr>
      <w:r w:rsidRPr="005904EA">
        <w:rPr>
          <w:sz w:val="22"/>
          <w:szCs w:val="22"/>
        </w:rPr>
        <w:t xml:space="preserve"> Collections of Information Employing Statistical Methods:</w:t>
      </w:r>
    </w:p>
    <w:p w:rsidR="002C644E" w:rsidRPr="005904EA" w:rsidP="005904EA" w14:paraId="58CD4112" w14:textId="77777777">
      <w:pPr>
        <w:rPr>
          <w:sz w:val="22"/>
          <w:szCs w:val="22"/>
        </w:rPr>
      </w:pPr>
    </w:p>
    <w:p w:rsidR="002C644E" w:rsidRPr="005904EA" w:rsidP="005904EA" w14:paraId="7F0A6747" w14:textId="1318739F">
      <w:pPr>
        <w:rPr>
          <w:sz w:val="22"/>
          <w:szCs w:val="22"/>
        </w:rPr>
      </w:pPr>
      <w:r w:rsidRPr="005904EA">
        <w:rPr>
          <w:sz w:val="22"/>
          <w:szCs w:val="22"/>
        </w:rPr>
        <w:t xml:space="preserve">No statistical methods are employed. </w:t>
      </w:r>
    </w:p>
    <w:sectPr>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77DC9A2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C74" w14:paraId="651219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C74" w14:paraId="6567C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5332">
      <w:rPr>
        <w:rStyle w:val="PageNumber"/>
        <w:noProof/>
      </w:rPr>
      <w:t>2</w:t>
    </w:r>
    <w:r>
      <w:rPr>
        <w:rStyle w:val="PageNumber"/>
      </w:rPr>
      <w:fldChar w:fldCharType="end"/>
    </w:r>
  </w:p>
  <w:p w:rsidR="00512C74" w14:paraId="587F54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7BC" w14:paraId="3DDF2A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609C6"/>
    <w:multiLevelType w:val="hybridMultilevel"/>
    <w:tmpl w:val="39641D56"/>
    <w:lvl w:ilvl="0">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
    <w:nsid w:val="127D0559"/>
    <w:multiLevelType w:val="hybridMultilevel"/>
    <w:tmpl w:val="88AE01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4A098C"/>
    <w:multiLevelType w:val="multilevel"/>
    <w:tmpl w:val="AE1CD650"/>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14E42DA6"/>
    <w:multiLevelType w:val="hybridMultilevel"/>
    <w:tmpl w:val="6F1025F2"/>
    <w:lvl w:ilvl="0">
      <w:start w:val="11"/>
      <w:numFmt w:val="decimal"/>
      <w:lvlText w:val="%1."/>
      <w:lvlJc w:val="left"/>
      <w:pPr>
        <w:tabs>
          <w:tab w:val="num" w:pos="1080"/>
        </w:tabs>
        <w:ind w:left="1080" w:hanging="720"/>
      </w:pPr>
      <w:rPr>
        <w:rFonts w:hint="default"/>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802F94"/>
    <w:multiLevelType w:val="hybridMultilevel"/>
    <w:tmpl w:val="D38C2C66"/>
    <w:lvl w:ilvl="0">
      <w:start w:val="4"/>
      <w:numFmt w:val="decimal"/>
      <w:lvlText w:val="%1."/>
      <w:lvlJc w:val="left"/>
      <w:pPr>
        <w:tabs>
          <w:tab w:val="num" w:pos="420"/>
        </w:tabs>
        <w:ind w:left="60" w:firstLine="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318168DD"/>
    <w:multiLevelType w:val="hybridMultilevel"/>
    <w:tmpl w:val="CE2E76BE"/>
    <w:lvl w:ilvl="0">
      <w:start w:val="14"/>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294D67"/>
    <w:multiLevelType w:val="hybridMultilevel"/>
    <w:tmpl w:val="62C246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AEC235B"/>
    <w:multiLevelType w:val="hybridMultilevel"/>
    <w:tmpl w:val="24345DF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8050EAE"/>
    <w:multiLevelType w:val="hybridMultilevel"/>
    <w:tmpl w:val="BB789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B509C5"/>
    <w:multiLevelType w:val="hybridMultilevel"/>
    <w:tmpl w:val="58D42CCA"/>
    <w:lvl w:ilvl="0">
      <w:start w:val="10"/>
      <w:numFmt w:val="decimal"/>
      <w:lvlText w:val="%1."/>
      <w:lvlJc w:val="left"/>
      <w:pPr>
        <w:tabs>
          <w:tab w:val="num" w:pos="1080"/>
        </w:tabs>
        <w:ind w:left="1080" w:hanging="7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8157692">
    <w:abstractNumId w:val="2"/>
  </w:num>
  <w:num w:numId="2" w16cid:durableId="1644235405">
    <w:abstractNumId w:val="0"/>
  </w:num>
  <w:num w:numId="3" w16cid:durableId="327903134">
    <w:abstractNumId w:val="3"/>
  </w:num>
  <w:num w:numId="4" w16cid:durableId="436022192">
    <w:abstractNumId w:val="9"/>
  </w:num>
  <w:num w:numId="5" w16cid:durableId="347175467">
    <w:abstractNumId w:val="5"/>
  </w:num>
  <w:num w:numId="6" w16cid:durableId="855771203">
    <w:abstractNumId w:val="4"/>
  </w:num>
  <w:num w:numId="7" w16cid:durableId="763066098">
    <w:abstractNumId w:val="7"/>
  </w:num>
  <w:num w:numId="8" w16cid:durableId="1545289266">
    <w:abstractNumId w:val="6"/>
  </w:num>
  <w:num w:numId="9" w16cid:durableId="910582949">
    <w:abstractNumId w:val="8"/>
  </w:num>
  <w:num w:numId="10" w16cid:durableId="191450749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1E"/>
    <w:rsid w:val="00002A6A"/>
    <w:rsid w:val="00003088"/>
    <w:rsid w:val="00010A0E"/>
    <w:rsid w:val="00014B0C"/>
    <w:rsid w:val="00014F8E"/>
    <w:rsid w:val="000202BF"/>
    <w:rsid w:val="00020369"/>
    <w:rsid w:val="00025945"/>
    <w:rsid w:val="000260A1"/>
    <w:rsid w:val="00026138"/>
    <w:rsid w:val="00030784"/>
    <w:rsid w:val="0003259E"/>
    <w:rsid w:val="0003572A"/>
    <w:rsid w:val="0004463B"/>
    <w:rsid w:val="000450B3"/>
    <w:rsid w:val="00047787"/>
    <w:rsid w:val="00047C17"/>
    <w:rsid w:val="0005107E"/>
    <w:rsid w:val="0005650F"/>
    <w:rsid w:val="00057D93"/>
    <w:rsid w:val="00065599"/>
    <w:rsid w:val="000655CE"/>
    <w:rsid w:val="000669EE"/>
    <w:rsid w:val="00074A32"/>
    <w:rsid w:val="00076F5F"/>
    <w:rsid w:val="00083FCE"/>
    <w:rsid w:val="0009533A"/>
    <w:rsid w:val="00095AE5"/>
    <w:rsid w:val="00095EDC"/>
    <w:rsid w:val="000A04CA"/>
    <w:rsid w:val="000A1BD9"/>
    <w:rsid w:val="000A27D3"/>
    <w:rsid w:val="000A4BA1"/>
    <w:rsid w:val="000A6DE1"/>
    <w:rsid w:val="000A7878"/>
    <w:rsid w:val="000B05AB"/>
    <w:rsid w:val="000B31E2"/>
    <w:rsid w:val="000B35A3"/>
    <w:rsid w:val="000B4F54"/>
    <w:rsid w:val="000B71E3"/>
    <w:rsid w:val="000C1FFA"/>
    <w:rsid w:val="000C49AB"/>
    <w:rsid w:val="000C4EFD"/>
    <w:rsid w:val="000C542D"/>
    <w:rsid w:val="000C59C5"/>
    <w:rsid w:val="000C6BD8"/>
    <w:rsid w:val="000D1527"/>
    <w:rsid w:val="000D2A30"/>
    <w:rsid w:val="000E196F"/>
    <w:rsid w:val="000E1FCC"/>
    <w:rsid w:val="000E1FD6"/>
    <w:rsid w:val="000E2185"/>
    <w:rsid w:val="000E2B77"/>
    <w:rsid w:val="000E2EB9"/>
    <w:rsid w:val="000E5642"/>
    <w:rsid w:val="000E5F01"/>
    <w:rsid w:val="000E6EC7"/>
    <w:rsid w:val="000E7935"/>
    <w:rsid w:val="000E7997"/>
    <w:rsid w:val="000F01A5"/>
    <w:rsid w:val="000F01F3"/>
    <w:rsid w:val="000F2DA4"/>
    <w:rsid w:val="000F34EB"/>
    <w:rsid w:val="000F7CDF"/>
    <w:rsid w:val="00100101"/>
    <w:rsid w:val="00102CCC"/>
    <w:rsid w:val="00104058"/>
    <w:rsid w:val="00104729"/>
    <w:rsid w:val="00105AD8"/>
    <w:rsid w:val="00111527"/>
    <w:rsid w:val="001143F6"/>
    <w:rsid w:val="00114554"/>
    <w:rsid w:val="00116B35"/>
    <w:rsid w:val="00116C39"/>
    <w:rsid w:val="001209DE"/>
    <w:rsid w:val="00122AE6"/>
    <w:rsid w:val="00123445"/>
    <w:rsid w:val="001237B4"/>
    <w:rsid w:val="00124899"/>
    <w:rsid w:val="00125A7E"/>
    <w:rsid w:val="00126BCA"/>
    <w:rsid w:val="00131612"/>
    <w:rsid w:val="00136ED8"/>
    <w:rsid w:val="00140669"/>
    <w:rsid w:val="001456FC"/>
    <w:rsid w:val="001463B7"/>
    <w:rsid w:val="00147852"/>
    <w:rsid w:val="00151BAF"/>
    <w:rsid w:val="0015333F"/>
    <w:rsid w:val="00155306"/>
    <w:rsid w:val="001567BE"/>
    <w:rsid w:val="0016297D"/>
    <w:rsid w:val="00165EBC"/>
    <w:rsid w:val="001701F1"/>
    <w:rsid w:val="0017155E"/>
    <w:rsid w:val="0017212C"/>
    <w:rsid w:val="001738AF"/>
    <w:rsid w:val="0017776A"/>
    <w:rsid w:val="0018650B"/>
    <w:rsid w:val="0019106A"/>
    <w:rsid w:val="00191463"/>
    <w:rsid w:val="00192324"/>
    <w:rsid w:val="001934C2"/>
    <w:rsid w:val="0019569F"/>
    <w:rsid w:val="001A0E3C"/>
    <w:rsid w:val="001A5FAF"/>
    <w:rsid w:val="001A7485"/>
    <w:rsid w:val="001B1286"/>
    <w:rsid w:val="001B1553"/>
    <w:rsid w:val="001B23D3"/>
    <w:rsid w:val="001B3ED1"/>
    <w:rsid w:val="001B48EE"/>
    <w:rsid w:val="001B4B21"/>
    <w:rsid w:val="001B4D8F"/>
    <w:rsid w:val="001B6958"/>
    <w:rsid w:val="001C4692"/>
    <w:rsid w:val="001C47D2"/>
    <w:rsid w:val="001C71CF"/>
    <w:rsid w:val="001D0101"/>
    <w:rsid w:val="001E5316"/>
    <w:rsid w:val="001E5970"/>
    <w:rsid w:val="001F6F2F"/>
    <w:rsid w:val="002063DB"/>
    <w:rsid w:val="00210476"/>
    <w:rsid w:val="0021230A"/>
    <w:rsid w:val="0021320C"/>
    <w:rsid w:val="0021468D"/>
    <w:rsid w:val="00217087"/>
    <w:rsid w:val="00217B5F"/>
    <w:rsid w:val="00217E2F"/>
    <w:rsid w:val="002217B3"/>
    <w:rsid w:val="0022746C"/>
    <w:rsid w:val="0022768E"/>
    <w:rsid w:val="00233772"/>
    <w:rsid w:val="00233D30"/>
    <w:rsid w:val="00234808"/>
    <w:rsid w:val="00234DDB"/>
    <w:rsid w:val="00236B7C"/>
    <w:rsid w:val="00237C2A"/>
    <w:rsid w:val="00240E9B"/>
    <w:rsid w:val="00241025"/>
    <w:rsid w:val="00242BCF"/>
    <w:rsid w:val="002477A4"/>
    <w:rsid w:val="00252F54"/>
    <w:rsid w:val="00253863"/>
    <w:rsid w:val="00255E9A"/>
    <w:rsid w:val="00256EE5"/>
    <w:rsid w:val="00261685"/>
    <w:rsid w:val="0026361A"/>
    <w:rsid w:val="00263C4A"/>
    <w:rsid w:val="002647A1"/>
    <w:rsid w:val="00265204"/>
    <w:rsid w:val="0027327F"/>
    <w:rsid w:val="00275431"/>
    <w:rsid w:val="0028263F"/>
    <w:rsid w:val="00294C19"/>
    <w:rsid w:val="00295F62"/>
    <w:rsid w:val="002A493D"/>
    <w:rsid w:val="002A6A40"/>
    <w:rsid w:val="002A7209"/>
    <w:rsid w:val="002B121F"/>
    <w:rsid w:val="002B5546"/>
    <w:rsid w:val="002C5A7D"/>
    <w:rsid w:val="002C644E"/>
    <w:rsid w:val="002C6459"/>
    <w:rsid w:val="002D72FF"/>
    <w:rsid w:val="002E1291"/>
    <w:rsid w:val="002E2BF0"/>
    <w:rsid w:val="002E3E21"/>
    <w:rsid w:val="002E4F8C"/>
    <w:rsid w:val="002E6E50"/>
    <w:rsid w:val="002E7541"/>
    <w:rsid w:val="002E7F04"/>
    <w:rsid w:val="002F07FD"/>
    <w:rsid w:val="002F19B5"/>
    <w:rsid w:val="002F543A"/>
    <w:rsid w:val="002F59BB"/>
    <w:rsid w:val="002F7C3D"/>
    <w:rsid w:val="00302ED3"/>
    <w:rsid w:val="003037A8"/>
    <w:rsid w:val="00310C58"/>
    <w:rsid w:val="00312D9B"/>
    <w:rsid w:val="00316A62"/>
    <w:rsid w:val="00326FB5"/>
    <w:rsid w:val="003313C8"/>
    <w:rsid w:val="00335A94"/>
    <w:rsid w:val="00347966"/>
    <w:rsid w:val="00355990"/>
    <w:rsid w:val="00357078"/>
    <w:rsid w:val="0036178F"/>
    <w:rsid w:val="00367F5D"/>
    <w:rsid w:val="00370705"/>
    <w:rsid w:val="00373455"/>
    <w:rsid w:val="0037744C"/>
    <w:rsid w:val="0037759B"/>
    <w:rsid w:val="003804AC"/>
    <w:rsid w:val="003814F5"/>
    <w:rsid w:val="003831CD"/>
    <w:rsid w:val="00384B28"/>
    <w:rsid w:val="00384C7B"/>
    <w:rsid w:val="00385B13"/>
    <w:rsid w:val="00387EF8"/>
    <w:rsid w:val="0039043E"/>
    <w:rsid w:val="00392852"/>
    <w:rsid w:val="00395BF0"/>
    <w:rsid w:val="00396CD6"/>
    <w:rsid w:val="003A007E"/>
    <w:rsid w:val="003A2F45"/>
    <w:rsid w:val="003A64BC"/>
    <w:rsid w:val="003A6F76"/>
    <w:rsid w:val="003A7D51"/>
    <w:rsid w:val="003B0505"/>
    <w:rsid w:val="003B1B83"/>
    <w:rsid w:val="003B48A5"/>
    <w:rsid w:val="003B55F9"/>
    <w:rsid w:val="003B5B98"/>
    <w:rsid w:val="003B6AA7"/>
    <w:rsid w:val="003C177E"/>
    <w:rsid w:val="003C2022"/>
    <w:rsid w:val="003C21A5"/>
    <w:rsid w:val="003C2A40"/>
    <w:rsid w:val="003D14B2"/>
    <w:rsid w:val="003D15EA"/>
    <w:rsid w:val="003D43D8"/>
    <w:rsid w:val="003D6144"/>
    <w:rsid w:val="003D62DE"/>
    <w:rsid w:val="003E0382"/>
    <w:rsid w:val="003F1AD7"/>
    <w:rsid w:val="003F4612"/>
    <w:rsid w:val="003F73D9"/>
    <w:rsid w:val="00401037"/>
    <w:rsid w:val="00401B00"/>
    <w:rsid w:val="00402F02"/>
    <w:rsid w:val="00411C8F"/>
    <w:rsid w:val="00413AC3"/>
    <w:rsid w:val="00423309"/>
    <w:rsid w:val="00425951"/>
    <w:rsid w:val="00427FEE"/>
    <w:rsid w:val="004308F5"/>
    <w:rsid w:val="00430C9B"/>
    <w:rsid w:val="004319BB"/>
    <w:rsid w:val="00432150"/>
    <w:rsid w:val="00434FF8"/>
    <w:rsid w:val="00435165"/>
    <w:rsid w:val="00436B50"/>
    <w:rsid w:val="00441548"/>
    <w:rsid w:val="00442D5C"/>
    <w:rsid w:val="0044587A"/>
    <w:rsid w:val="0044637A"/>
    <w:rsid w:val="004479FD"/>
    <w:rsid w:val="004516D7"/>
    <w:rsid w:val="0045194F"/>
    <w:rsid w:val="0045551C"/>
    <w:rsid w:val="00456BB5"/>
    <w:rsid w:val="00460148"/>
    <w:rsid w:val="004613E5"/>
    <w:rsid w:val="00461644"/>
    <w:rsid w:val="00463F1B"/>
    <w:rsid w:val="00463F44"/>
    <w:rsid w:val="00464227"/>
    <w:rsid w:val="004657BC"/>
    <w:rsid w:val="00485F74"/>
    <w:rsid w:val="00494212"/>
    <w:rsid w:val="00495D2A"/>
    <w:rsid w:val="004A1168"/>
    <w:rsid w:val="004A2122"/>
    <w:rsid w:val="004A44A5"/>
    <w:rsid w:val="004A5964"/>
    <w:rsid w:val="004A5E71"/>
    <w:rsid w:val="004B1819"/>
    <w:rsid w:val="004C2591"/>
    <w:rsid w:val="004C64CC"/>
    <w:rsid w:val="004C7680"/>
    <w:rsid w:val="004D0ADE"/>
    <w:rsid w:val="004D130A"/>
    <w:rsid w:val="004D1ED0"/>
    <w:rsid w:val="004D61C1"/>
    <w:rsid w:val="004E0EB7"/>
    <w:rsid w:val="004E0F8D"/>
    <w:rsid w:val="004F242B"/>
    <w:rsid w:val="004F4A07"/>
    <w:rsid w:val="0050382D"/>
    <w:rsid w:val="00510A97"/>
    <w:rsid w:val="00512C74"/>
    <w:rsid w:val="00515077"/>
    <w:rsid w:val="00515C46"/>
    <w:rsid w:val="005173F1"/>
    <w:rsid w:val="00521104"/>
    <w:rsid w:val="00524E3E"/>
    <w:rsid w:val="005265DC"/>
    <w:rsid w:val="0053100B"/>
    <w:rsid w:val="005325EA"/>
    <w:rsid w:val="005328A7"/>
    <w:rsid w:val="00536D74"/>
    <w:rsid w:val="00537975"/>
    <w:rsid w:val="00546B80"/>
    <w:rsid w:val="0055363B"/>
    <w:rsid w:val="00562F11"/>
    <w:rsid w:val="00563806"/>
    <w:rsid w:val="00563AF2"/>
    <w:rsid w:val="005700CA"/>
    <w:rsid w:val="00576110"/>
    <w:rsid w:val="0057639E"/>
    <w:rsid w:val="00580573"/>
    <w:rsid w:val="00582D86"/>
    <w:rsid w:val="00583BD4"/>
    <w:rsid w:val="005904EA"/>
    <w:rsid w:val="00593435"/>
    <w:rsid w:val="00594462"/>
    <w:rsid w:val="005948E3"/>
    <w:rsid w:val="00596840"/>
    <w:rsid w:val="005A6621"/>
    <w:rsid w:val="005B0B33"/>
    <w:rsid w:val="005B299C"/>
    <w:rsid w:val="005B30D8"/>
    <w:rsid w:val="005C13EF"/>
    <w:rsid w:val="005C2551"/>
    <w:rsid w:val="005C4A88"/>
    <w:rsid w:val="005C4CF0"/>
    <w:rsid w:val="005C4FF8"/>
    <w:rsid w:val="005C6039"/>
    <w:rsid w:val="005D1B1B"/>
    <w:rsid w:val="005D6CE8"/>
    <w:rsid w:val="005F074D"/>
    <w:rsid w:val="005F2B8C"/>
    <w:rsid w:val="005F2BF5"/>
    <w:rsid w:val="005F472F"/>
    <w:rsid w:val="005F6E97"/>
    <w:rsid w:val="006116D0"/>
    <w:rsid w:val="0061354B"/>
    <w:rsid w:val="00616DF3"/>
    <w:rsid w:val="006227D6"/>
    <w:rsid w:val="00622D3E"/>
    <w:rsid w:val="006237E5"/>
    <w:rsid w:val="00624581"/>
    <w:rsid w:val="0062638C"/>
    <w:rsid w:val="00626748"/>
    <w:rsid w:val="006272E5"/>
    <w:rsid w:val="006304B2"/>
    <w:rsid w:val="0063784C"/>
    <w:rsid w:val="00640F7A"/>
    <w:rsid w:val="00643472"/>
    <w:rsid w:val="00643914"/>
    <w:rsid w:val="00643989"/>
    <w:rsid w:val="006446B1"/>
    <w:rsid w:val="0065096D"/>
    <w:rsid w:val="00652ACF"/>
    <w:rsid w:val="0065484D"/>
    <w:rsid w:val="00655DED"/>
    <w:rsid w:val="00657B2F"/>
    <w:rsid w:val="00666546"/>
    <w:rsid w:val="00667A5C"/>
    <w:rsid w:val="0067526E"/>
    <w:rsid w:val="00680A9B"/>
    <w:rsid w:val="00681FC6"/>
    <w:rsid w:val="00682960"/>
    <w:rsid w:val="00684E15"/>
    <w:rsid w:val="00684FDA"/>
    <w:rsid w:val="00691136"/>
    <w:rsid w:val="006942EE"/>
    <w:rsid w:val="00696611"/>
    <w:rsid w:val="0069793D"/>
    <w:rsid w:val="006A1CA9"/>
    <w:rsid w:val="006A2D4F"/>
    <w:rsid w:val="006A36F9"/>
    <w:rsid w:val="006A689C"/>
    <w:rsid w:val="006A78D9"/>
    <w:rsid w:val="006B2CB2"/>
    <w:rsid w:val="006B358F"/>
    <w:rsid w:val="006B3CD6"/>
    <w:rsid w:val="006B4339"/>
    <w:rsid w:val="006B4373"/>
    <w:rsid w:val="006B7D65"/>
    <w:rsid w:val="006C408C"/>
    <w:rsid w:val="006C40CE"/>
    <w:rsid w:val="006D5AD3"/>
    <w:rsid w:val="006D5BD8"/>
    <w:rsid w:val="006E386A"/>
    <w:rsid w:val="006E597F"/>
    <w:rsid w:val="006E6805"/>
    <w:rsid w:val="006E6E55"/>
    <w:rsid w:val="006F0CBC"/>
    <w:rsid w:val="006F1636"/>
    <w:rsid w:val="006F2B75"/>
    <w:rsid w:val="006F3A38"/>
    <w:rsid w:val="006F4CA6"/>
    <w:rsid w:val="006F7348"/>
    <w:rsid w:val="00700F2A"/>
    <w:rsid w:val="00701FED"/>
    <w:rsid w:val="0070226F"/>
    <w:rsid w:val="007027A7"/>
    <w:rsid w:val="0070521F"/>
    <w:rsid w:val="00706896"/>
    <w:rsid w:val="00707089"/>
    <w:rsid w:val="00707090"/>
    <w:rsid w:val="0072226F"/>
    <w:rsid w:val="0072403F"/>
    <w:rsid w:val="00726836"/>
    <w:rsid w:val="00736020"/>
    <w:rsid w:val="00742B38"/>
    <w:rsid w:val="0074559E"/>
    <w:rsid w:val="00746172"/>
    <w:rsid w:val="007503C7"/>
    <w:rsid w:val="00756466"/>
    <w:rsid w:val="00757C45"/>
    <w:rsid w:val="0076224E"/>
    <w:rsid w:val="00764423"/>
    <w:rsid w:val="007678D8"/>
    <w:rsid w:val="007711A4"/>
    <w:rsid w:val="0077206F"/>
    <w:rsid w:val="00772D9B"/>
    <w:rsid w:val="00773561"/>
    <w:rsid w:val="007739DA"/>
    <w:rsid w:val="00785414"/>
    <w:rsid w:val="0079035D"/>
    <w:rsid w:val="0079068A"/>
    <w:rsid w:val="007914D5"/>
    <w:rsid w:val="00795D59"/>
    <w:rsid w:val="0079647D"/>
    <w:rsid w:val="007A1751"/>
    <w:rsid w:val="007A3203"/>
    <w:rsid w:val="007B16A5"/>
    <w:rsid w:val="007B3FAE"/>
    <w:rsid w:val="007B4F77"/>
    <w:rsid w:val="007B61AF"/>
    <w:rsid w:val="007B73AA"/>
    <w:rsid w:val="007B7786"/>
    <w:rsid w:val="007B78AA"/>
    <w:rsid w:val="007C24B4"/>
    <w:rsid w:val="007C2E32"/>
    <w:rsid w:val="007C39A6"/>
    <w:rsid w:val="007C3F8D"/>
    <w:rsid w:val="007C43E9"/>
    <w:rsid w:val="007C56A9"/>
    <w:rsid w:val="007C6A96"/>
    <w:rsid w:val="007D029A"/>
    <w:rsid w:val="007D3D2D"/>
    <w:rsid w:val="007D4B92"/>
    <w:rsid w:val="007D6973"/>
    <w:rsid w:val="007E10B1"/>
    <w:rsid w:val="007E5779"/>
    <w:rsid w:val="007E7779"/>
    <w:rsid w:val="007E7FBC"/>
    <w:rsid w:val="007F2BD0"/>
    <w:rsid w:val="007F4BC2"/>
    <w:rsid w:val="007F5824"/>
    <w:rsid w:val="008059E5"/>
    <w:rsid w:val="008060AB"/>
    <w:rsid w:val="00811249"/>
    <w:rsid w:val="00812111"/>
    <w:rsid w:val="00817843"/>
    <w:rsid w:val="00824EDA"/>
    <w:rsid w:val="008255E1"/>
    <w:rsid w:val="00826408"/>
    <w:rsid w:val="00826847"/>
    <w:rsid w:val="008317B9"/>
    <w:rsid w:val="0083211E"/>
    <w:rsid w:val="0083275C"/>
    <w:rsid w:val="008348B3"/>
    <w:rsid w:val="00836988"/>
    <w:rsid w:val="00837FCE"/>
    <w:rsid w:val="00847588"/>
    <w:rsid w:val="0085266F"/>
    <w:rsid w:val="00855438"/>
    <w:rsid w:val="00856622"/>
    <w:rsid w:val="00857F24"/>
    <w:rsid w:val="00860290"/>
    <w:rsid w:val="00861158"/>
    <w:rsid w:val="00861B78"/>
    <w:rsid w:val="00862D00"/>
    <w:rsid w:val="00864D89"/>
    <w:rsid w:val="00865A09"/>
    <w:rsid w:val="00865BDB"/>
    <w:rsid w:val="00865DF8"/>
    <w:rsid w:val="0086638E"/>
    <w:rsid w:val="0086686E"/>
    <w:rsid w:val="00867242"/>
    <w:rsid w:val="00871B83"/>
    <w:rsid w:val="00874849"/>
    <w:rsid w:val="00875459"/>
    <w:rsid w:val="00876913"/>
    <w:rsid w:val="008809BF"/>
    <w:rsid w:val="0088332A"/>
    <w:rsid w:val="00883DBD"/>
    <w:rsid w:val="00884473"/>
    <w:rsid w:val="00893730"/>
    <w:rsid w:val="00894AAB"/>
    <w:rsid w:val="00895CD0"/>
    <w:rsid w:val="008A4C43"/>
    <w:rsid w:val="008A4E35"/>
    <w:rsid w:val="008A64D8"/>
    <w:rsid w:val="008A7960"/>
    <w:rsid w:val="008B371D"/>
    <w:rsid w:val="008B400E"/>
    <w:rsid w:val="008B410E"/>
    <w:rsid w:val="008B6663"/>
    <w:rsid w:val="008C2DBB"/>
    <w:rsid w:val="008C49B9"/>
    <w:rsid w:val="008C500F"/>
    <w:rsid w:val="008C7402"/>
    <w:rsid w:val="008D1FCD"/>
    <w:rsid w:val="008D386A"/>
    <w:rsid w:val="008D5409"/>
    <w:rsid w:val="008D5486"/>
    <w:rsid w:val="008D5B28"/>
    <w:rsid w:val="008D7168"/>
    <w:rsid w:val="008D7227"/>
    <w:rsid w:val="008E2524"/>
    <w:rsid w:val="008E4B50"/>
    <w:rsid w:val="008F10EF"/>
    <w:rsid w:val="008F1994"/>
    <w:rsid w:val="008F7FD6"/>
    <w:rsid w:val="0090058B"/>
    <w:rsid w:val="00901D3B"/>
    <w:rsid w:val="00902EC3"/>
    <w:rsid w:val="009037DD"/>
    <w:rsid w:val="00904464"/>
    <w:rsid w:val="00905057"/>
    <w:rsid w:val="00905C1A"/>
    <w:rsid w:val="0090638A"/>
    <w:rsid w:val="00911B99"/>
    <w:rsid w:val="0091236F"/>
    <w:rsid w:val="0091314F"/>
    <w:rsid w:val="00913DC0"/>
    <w:rsid w:val="00915B22"/>
    <w:rsid w:val="00917B08"/>
    <w:rsid w:val="00917E29"/>
    <w:rsid w:val="00922E00"/>
    <w:rsid w:val="009249AC"/>
    <w:rsid w:val="00930703"/>
    <w:rsid w:val="009367BE"/>
    <w:rsid w:val="009372B0"/>
    <w:rsid w:val="00937B0D"/>
    <w:rsid w:val="00941E15"/>
    <w:rsid w:val="009459FB"/>
    <w:rsid w:val="00946615"/>
    <w:rsid w:val="009513A1"/>
    <w:rsid w:val="0095187B"/>
    <w:rsid w:val="00960D03"/>
    <w:rsid w:val="0096135E"/>
    <w:rsid w:val="00962F10"/>
    <w:rsid w:val="009643BA"/>
    <w:rsid w:val="009715A2"/>
    <w:rsid w:val="00971F8A"/>
    <w:rsid w:val="00973145"/>
    <w:rsid w:val="009740AC"/>
    <w:rsid w:val="009761CD"/>
    <w:rsid w:val="009765BD"/>
    <w:rsid w:val="00980D41"/>
    <w:rsid w:val="00981935"/>
    <w:rsid w:val="00981B09"/>
    <w:rsid w:val="009863FD"/>
    <w:rsid w:val="00995853"/>
    <w:rsid w:val="00995EDD"/>
    <w:rsid w:val="009A30EE"/>
    <w:rsid w:val="009A40D1"/>
    <w:rsid w:val="009B0354"/>
    <w:rsid w:val="009B3E8A"/>
    <w:rsid w:val="009B606B"/>
    <w:rsid w:val="009C23F0"/>
    <w:rsid w:val="009C4ADF"/>
    <w:rsid w:val="009D2419"/>
    <w:rsid w:val="009D28B6"/>
    <w:rsid w:val="009D2DD3"/>
    <w:rsid w:val="009D42C7"/>
    <w:rsid w:val="009D4B8E"/>
    <w:rsid w:val="009D5C90"/>
    <w:rsid w:val="009D6665"/>
    <w:rsid w:val="009E25C5"/>
    <w:rsid w:val="009E279A"/>
    <w:rsid w:val="009E4164"/>
    <w:rsid w:val="009E52BF"/>
    <w:rsid w:val="009E63CD"/>
    <w:rsid w:val="009E78E4"/>
    <w:rsid w:val="009E7F38"/>
    <w:rsid w:val="009F0B68"/>
    <w:rsid w:val="009F0E29"/>
    <w:rsid w:val="009F4660"/>
    <w:rsid w:val="009F481B"/>
    <w:rsid w:val="009F582B"/>
    <w:rsid w:val="00A01C08"/>
    <w:rsid w:val="00A02C85"/>
    <w:rsid w:val="00A037A5"/>
    <w:rsid w:val="00A07108"/>
    <w:rsid w:val="00A07BFC"/>
    <w:rsid w:val="00A10E19"/>
    <w:rsid w:val="00A14D80"/>
    <w:rsid w:val="00A168A9"/>
    <w:rsid w:val="00A22CAF"/>
    <w:rsid w:val="00A333C7"/>
    <w:rsid w:val="00A3343B"/>
    <w:rsid w:val="00A34BEF"/>
    <w:rsid w:val="00A358B0"/>
    <w:rsid w:val="00A417B4"/>
    <w:rsid w:val="00A43A18"/>
    <w:rsid w:val="00A50FE9"/>
    <w:rsid w:val="00A53576"/>
    <w:rsid w:val="00A64824"/>
    <w:rsid w:val="00A64D1E"/>
    <w:rsid w:val="00A651A4"/>
    <w:rsid w:val="00A675A2"/>
    <w:rsid w:val="00A7081B"/>
    <w:rsid w:val="00A71A21"/>
    <w:rsid w:val="00A74958"/>
    <w:rsid w:val="00A77BC4"/>
    <w:rsid w:val="00A83EFB"/>
    <w:rsid w:val="00A9006E"/>
    <w:rsid w:val="00A9718E"/>
    <w:rsid w:val="00A97263"/>
    <w:rsid w:val="00AA0B22"/>
    <w:rsid w:val="00AA0DEA"/>
    <w:rsid w:val="00AA1DB7"/>
    <w:rsid w:val="00AA2249"/>
    <w:rsid w:val="00AA71D1"/>
    <w:rsid w:val="00AB07E4"/>
    <w:rsid w:val="00AB5AD8"/>
    <w:rsid w:val="00AB6AF7"/>
    <w:rsid w:val="00AB6C88"/>
    <w:rsid w:val="00AC0E1B"/>
    <w:rsid w:val="00AC7A6F"/>
    <w:rsid w:val="00AD0780"/>
    <w:rsid w:val="00AD5DF7"/>
    <w:rsid w:val="00AE03C0"/>
    <w:rsid w:val="00AE1511"/>
    <w:rsid w:val="00AE2018"/>
    <w:rsid w:val="00AE533F"/>
    <w:rsid w:val="00AF06C9"/>
    <w:rsid w:val="00AF0D29"/>
    <w:rsid w:val="00AF71B7"/>
    <w:rsid w:val="00AF7A65"/>
    <w:rsid w:val="00B04625"/>
    <w:rsid w:val="00B17420"/>
    <w:rsid w:val="00B22074"/>
    <w:rsid w:val="00B23464"/>
    <w:rsid w:val="00B23D23"/>
    <w:rsid w:val="00B40D3F"/>
    <w:rsid w:val="00B41347"/>
    <w:rsid w:val="00B42E26"/>
    <w:rsid w:val="00B451E8"/>
    <w:rsid w:val="00B5202C"/>
    <w:rsid w:val="00B5538D"/>
    <w:rsid w:val="00B623F4"/>
    <w:rsid w:val="00B63447"/>
    <w:rsid w:val="00B7606E"/>
    <w:rsid w:val="00B762DB"/>
    <w:rsid w:val="00B77DA8"/>
    <w:rsid w:val="00B817FB"/>
    <w:rsid w:val="00B90272"/>
    <w:rsid w:val="00B90C9A"/>
    <w:rsid w:val="00B91904"/>
    <w:rsid w:val="00B92925"/>
    <w:rsid w:val="00B92C67"/>
    <w:rsid w:val="00B9337B"/>
    <w:rsid w:val="00B93BBE"/>
    <w:rsid w:val="00B97D45"/>
    <w:rsid w:val="00BA5332"/>
    <w:rsid w:val="00BA549A"/>
    <w:rsid w:val="00BB345D"/>
    <w:rsid w:val="00BB6607"/>
    <w:rsid w:val="00BB7142"/>
    <w:rsid w:val="00BC576E"/>
    <w:rsid w:val="00BC7049"/>
    <w:rsid w:val="00BD2659"/>
    <w:rsid w:val="00BD267B"/>
    <w:rsid w:val="00BD29C2"/>
    <w:rsid w:val="00BD7B47"/>
    <w:rsid w:val="00BE114E"/>
    <w:rsid w:val="00BE3F84"/>
    <w:rsid w:val="00BE617A"/>
    <w:rsid w:val="00BF17E4"/>
    <w:rsid w:val="00BF65BE"/>
    <w:rsid w:val="00BF6C3A"/>
    <w:rsid w:val="00C004B2"/>
    <w:rsid w:val="00C010FD"/>
    <w:rsid w:val="00C07DE9"/>
    <w:rsid w:val="00C22F82"/>
    <w:rsid w:val="00C3202C"/>
    <w:rsid w:val="00C40C77"/>
    <w:rsid w:val="00C422A5"/>
    <w:rsid w:val="00C47B25"/>
    <w:rsid w:val="00C509E6"/>
    <w:rsid w:val="00C517AD"/>
    <w:rsid w:val="00C52078"/>
    <w:rsid w:val="00C52F8C"/>
    <w:rsid w:val="00C54609"/>
    <w:rsid w:val="00C55C6A"/>
    <w:rsid w:val="00C56FA8"/>
    <w:rsid w:val="00C57B6C"/>
    <w:rsid w:val="00C609F4"/>
    <w:rsid w:val="00C63795"/>
    <w:rsid w:val="00C665BE"/>
    <w:rsid w:val="00C71279"/>
    <w:rsid w:val="00C7273D"/>
    <w:rsid w:val="00C73014"/>
    <w:rsid w:val="00C7376A"/>
    <w:rsid w:val="00C8033F"/>
    <w:rsid w:val="00C83330"/>
    <w:rsid w:val="00C84732"/>
    <w:rsid w:val="00C8725D"/>
    <w:rsid w:val="00C932FE"/>
    <w:rsid w:val="00C93E53"/>
    <w:rsid w:val="00C94E52"/>
    <w:rsid w:val="00CA503E"/>
    <w:rsid w:val="00CA5AF5"/>
    <w:rsid w:val="00CB0BF9"/>
    <w:rsid w:val="00CB40F0"/>
    <w:rsid w:val="00CB4E34"/>
    <w:rsid w:val="00CB6B6E"/>
    <w:rsid w:val="00CC0726"/>
    <w:rsid w:val="00CC170D"/>
    <w:rsid w:val="00CC5131"/>
    <w:rsid w:val="00CD1647"/>
    <w:rsid w:val="00CD1E41"/>
    <w:rsid w:val="00CD53A5"/>
    <w:rsid w:val="00CD585B"/>
    <w:rsid w:val="00CD63FD"/>
    <w:rsid w:val="00CE4A88"/>
    <w:rsid w:val="00CE6D03"/>
    <w:rsid w:val="00CF18DA"/>
    <w:rsid w:val="00CF33ED"/>
    <w:rsid w:val="00CF5DC7"/>
    <w:rsid w:val="00D012EE"/>
    <w:rsid w:val="00D036C3"/>
    <w:rsid w:val="00D10015"/>
    <w:rsid w:val="00D10EEA"/>
    <w:rsid w:val="00D14580"/>
    <w:rsid w:val="00D176E6"/>
    <w:rsid w:val="00D30BBF"/>
    <w:rsid w:val="00D32E55"/>
    <w:rsid w:val="00D340C5"/>
    <w:rsid w:val="00D45D83"/>
    <w:rsid w:val="00D57BBB"/>
    <w:rsid w:val="00D6621D"/>
    <w:rsid w:val="00D718AF"/>
    <w:rsid w:val="00D719CE"/>
    <w:rsid w:val="00D721CC"/>
    <w:rsid w:val="00D73D92"/>
    <w:rsid w:val="00D73E06"/>
    <w:rsid w:val="00D75275"/>
    <w:rsid w:val="00D837BC"/>
    <w:rsid w:val="00D87718"/>
    <w:rsid w:val="00D90F05"/>
    <w:rsid w:val="00D93EE6"/>
    <w:rsid w:val="00D9619F"/>
    <w:rsid w:val="00DA03F0"/>
    <w:rsid w:val="00DA3ABA"/>
    <w:rsid w:val="00DA7ED9"/>
    <w:rsid w:val="00DB4CE4"/>
    <w:rsid w:val="00DB747F"/>
    <w:rsid w:val="00DC3478"/>
    <w:rsid w:val="00DC3A0F"/>
    <w:rsid w:val="00DC6CB4"/>
    <w:rsid w:val="00DD1E39"/>
    <w:rsid w:val="00DD21F5"/>
    <w:rsid w:val="00DD41AA"/>
    <w:rsid w:val="00DD4D0B"/>
    <w:rsid w:val="00DE0115"/>
    <w:rsid w:val="00DE0157"/>
    <w:rsid w:val="00DE0C45"/>
    <w:rsid w:val="00DE444D"/>
    <w:rsid w:val="00DE49B4"/>
    <w:rsid w:val="00DE67A9"/>
    <w:rsid w:val="00DE6E52"/>
    <w:rsid w:val="00DE7EF3"/>
    <w:rsid w:val="00DF27DE"/>
    <w:rsid w:val="00DF2BBC"/>
    <w:rsid w:val="00DF5539"/>
    <w:rsid w:val="00DF6E86"/>
    <w:rsid w:val="00DF7071"/>
    <w:rsid w:val="00E01DCB"/>
    <w:rsid w:val="00E07D9A"/>
    <w:rsid w:val="00E12F42"/>
    <w:rsid w:val="00E13272"/>
    <w:rsid w:val="00E1588D"/>
    <w:rsid w:val="00E17558"/>
    <w:rsid w:val="00E2318A"/>
    <w:rsid w:val="00E24884"/>
    <w:rsid w:val="00E25901"/>
    <w:rsid w:val="00E372CF"/>
    <w:rsid w:val="00E37B40"/>
    <w:rsid w:val="00E45768"/>
    <w:rsid w:val="00E47913"/>
    <w:rsid w:val="00E52736"/>
    <w:rsid w:val="00E54034"/>
    <w:rsid w:val="00E55466"/>
    <w:rsid w:val="00E56061"/>
    <w:rsid w:val="00E61701"/>
    <w:rsid w:val="00E62362"/>
    <w:rsid w:val="00E62CC5"/>
    <w:rsid w:val="00E641A6"/>
    <w:rsid w:val="00E7270F"/>
    <w:rsid w:val="00E75C53"/>
    <w:rsid w:val="00E85365"/>
    <w:rsid w:val="00E90CC3"/>
    <w:rsid w:val="00E945CA"/>
    <w:rsid w:val="00E94E7A"/>
    <w:rsid w:val="00EA0CC1"/>
    <w:rsid w:val="00EA41BF"/>
    <w:rsid w:val="00EA5888"/>
    <w:rsid w:val="00EB0E39"/>
    <w:rsid w:val="00EB1DD7"/>
    <w:rsid w:val="00EB69ED"/>
    <w:rsid w:val="00EC07F4"/>
    <w:rsid w:val="00EC70B4"/>
    <w:rsid w:val="00ED01F6"/>
    <w:rsid w:val="00ED4B29"/>
    <w:rsid w:val="00ED52EA"/>
    <w:rsid w:val="00ED641B"/>
    <w:rsid w:val="00ED6CDA"/>
    <w:rsid w:val="00EE2A57"/>
    <w:rsid w:val="00EE3EA2"/>
    <w:rsid w:val="00EE3EF8"/>
    <w:rsid w:val="00EE4171"/>
    <w:rsid w:val="00F04BBE"/>
    <w:rsid w:val="00F06024"/>
    <w:rsid w:val="00F1096B"/>
    <w:rsid w:val="00F119E6"/>
    <w:rsid w:val="00F13693"/>
    <w:rsid w:val="00F16B8B"/>
    <w:rsid w:val="00F20213"/>
    <w:rsid w:val="00F20D17"/>
    <w:rsid w:val="00F21B26"/>
    <w:rsid w:val="00F323BD"/>
    <w:rsid w:val="00F33AB7"/>
    <w:rsid w:val="00F36FC6"/>
    <w:rsid w:val="00F377A3"/>
    <w:rsid w:val="00F40188"/>
    <w:rsid w:val="00F41E79"/>
    <w:rsid w:val="00F43514"/>
    <w:rsid w:val="00F44EAE"/>
    <w:rsid w:val="00F4717B"/>
    <w:rsid w:val="00F4781E"/>
    <w:rsid w:val="00F505C0"/>
    <w:rsid w:val="00F51A5B"/>
    <w:rsid w:val="00F524AF"/>
    <w:rsid w:val="00F53D13"/>
    <w:rsid w:val="00F53F6B"/>
    <w:rsid w:val="00F5467A"/>
    <w:rsid w:val="00F609A8"/>
    <w:rsid w:val="00F60F84"/>
    <w:rsid w:val="00F62B3C"/>
    <w:rsid w:val="00F667A7"/>
    <w:rsid w:val="00F712BE"/>
    <w:rsid w:val="00F73F8E"/>
    <w:rsid w:val="00F74F22"/>
    <w:rsid w:val="00F761AE"/>
    <w:rsid w:val="00F83328"/>
    <w:rsid w:val="00F86C40"/>
    <w:rsid w:val="00F93504"/>
    <w:rsid w:val="00F95291"/>
    <w:rsid w:val="00F956C3"/>
    <w:rsid w:val="00F9663C"/>
    <w:rsid w:val="00F97584"/>
    <w:rsid w:val="00FA29E3"/>
    <w:rsid w:val="00FA505C"/>
    <w:rsid w:val="00FA7166"/>
    <w:rsid w:val="00FA71E9"/>
    <w:rsid w:val="00FB1DD1"/>
    <w:rsid w:val="00FB460C"/>
    <w:rsid w:val="00FB7895"/>
    <w:rsid w:val="00FC5AF0"/>
    <w:rsid w:val="00FC66A1"/>
    <w:rsid w:val="00FD523F"/>
    <w:rsid w:val="00FD7A48"/>
    <w:rsid w:val="00FD7E2E"/>
    <w:rsid w:val="00FE1980"/>
    <w:rsid w:val="00FF299A"/>
    <w:rsid w:val="00FF4A22"/>
    <w:rsid w:val="5C8407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4A8398"/>
  <w15:chartTrackingRefBased/>
  <w15:docId w15:val="{7A7E7A63-4AB2-43AA-ACE9-1BBCE019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rsid w:val="00D30BBF"/>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30BBF"/>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ootnote Text Char,Footnote Text Char Char1,Footnote Text Char Char1 Char Char Char,Footnote Text Char1,Footnote Text Char3 Char Char Char1,Footnote Text Char4 Char Char1,Footnote Text Char4 Char Char1 Char Char Char,f,fn,fn "/>
    <w:link w:val="FootnoteTextChar2"/>
    <w:semiHidden/>
    <w:rsid w:val="000B05AB"/>
    <w:pPr>
      <w:spacing w:after="120"/>
    </w:pPr>
  </w:style>
  <w:style w:type="character" w:styleId="FootnoteReference">
    <w:name w:val="footnote reference"/>
    <w:aliases w:val="(NECG) Footnote Reference,Appel note de bas de p,FR,Footnote Reference/,Style 12,Style 124,Style 13,Style 17,Style 3,Style 6,fr,o"/>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ootnote Text Char Char,Footnote Text Char Char1 Char,Footnote Text Char Char1 Char Char Char Char,Footnote Text Char1 Char,Footnote Text Char3 Char Char Char1 Char,Footnote Text Char4 Char Char1 Char,f Char"/>
    <w:link w:val="FootnoteText"/>
    <w:semiHidden/>
    <w:rsid w:val="000B05AB"/>
    <w:rPr>
      <w:lang w:val="en-US" w:eastAsia="en-US" w:bidi="ar-SA"/>
    </w:rPr>
  </w:style>
  <w:style w:type="character" w:customStyle="1" w:styleId="ALTSFOOTNOTECharChar">
    <w:name w:val="ALTS FOOTNOTE Char Char"/>
    <w:aliases w:val="Footnote Text Char2 Char Char,Footnote Text Char2 Char1 Char1 Char Char,Footnote Text Char2 Char1 Char1 Char Char Char Char,Footnote Text Char3 Char1 Char Char,Footnote Text Char3 Char1 Char Char Char Char,fn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paragraph" w:styleId="ListParagraph">
    <w:name w:val="List Paragraph"/>
    <w:basedOn w:val="Normal"/>
    <w:uiPriority w:val="34"/>
    <w:qFormat/>
    <w:rsid w:val="006B4339"/>
    <w:pPr>
      <w:ind w:left="720"/>
    </w:pPr>
  </w:style>
  <w:style w:type="character" w:styleId="CommentReference">
    <w:name w:val="annotation reference"/>
    <w:rsid w:val="00B7606E"/>
    <w:rPr>
      <w:sz w:val="16"/>
      <w:szCs w:val="16"/>
    </w:rPr>
  </w:style>
  <w:style w:type="paragraph" w:styleId="CommentText">
    <w:name w:val="annotation text"/>
    <w:basedOn w:val="Normal"/>
    <w:link w:val="CommentTextChar"/>
    <w:rsid w:val="00B7606E"/>
    <w:rPr>
      <w:sz w:val="20"/>
      <w:szCs w:val="20"/>
    </w:rPr>
  </w:style>
  <w:style w:type="character" w:customStyle="1" w:styleId="CommentTextChar">
    <w:name w:val="Comment Text Char"/>
    <w:link w:val="CommentText"/>
    <w:rsid w:val="00B7606E"/>
    <w:rPr>
      <w:lang w:bidi="he-IL"/>
    </w:rPr>
  </w:style>
  <w:style w:type="paragraph" w:styleId="CommentSubject">
    <w:name w:val="annotation subject"/>
    <w:basedOn w:val="CommentText"/>
    <w:next w:val="CommentText"/>
    <w:link w:val="CommentSubjectChar"/>
    <w:rsid w:val="00B7606E"/>
    <w:rPr>
      <w:b/>
      <w:bCs/>
    </w:rPr>
  </w:style>
  <w:style w:type="character" w:customStyle="1" w:styleId="CommentSubjectChar">
    <w:name w:val="Comment Subject Char"/>
    <w:link w:val="CommentSubject"/>
    <w:rsid w:val="00B7606E"/>
    <w:rPr>
      <w:b/>
      <w:bCs/>
      <w:lang w:bidi="he-IL"/>
    </w:rPr>
  </w:style>
  <w:style w:type="paragraph" w:styleId="Header">
    <w:name w:val="header"/>
    <w:basedOn w:val="Normal"/>
    <w:link w:val="HeaderChar"/>
    <w:rsid w:val="0070226F"/>
    <w:pPr>
      <w:tabs>
        <w:tab w:val="center" w:pos="4680"/>
        <w:tab w:val="right" w:pos="9360"/>
      </w:tabs>
    </w:pPr>
  </w:style>
  <w:style w:type="character" w:customStyle="1" w:styleId="HeaderChar">
    <w:name w:val="Header Char"/>
    <w:link w:val="Header"/>
    <w:rsid w:val="0070226F"/>
    <w:rPr>
      <w:sz w:val="24"/>
      <w:szCs w:val="24"/>
      <w:lang w:bidi="he-IL"/>
    </w:rPr>
  </w:style>
  <w:style w:type="paragraph" w:styleId="Revision">
    <w:name w:val="Revision"/>
    <w:hidden/>
    <w:uiPriority w:val="99"/>
    <w:semiHidden/>
    <w:rsid w:val="009459FB"/>
    <w:rPr>
      <w:sz w:val="24"/>
      <w:szCs w:val="24"/>
      <w:lang w:bidi="he-IL"/>
    </w:rPr>
  </w:style>
  <w:style w:type="character" w:styleId="UnresolvedMention">
    <w:name w:val="Unresolved Mention"/>
    <w:basedOn w:val="DefaultParagraphFont"/>
    <w:uiPriority w:val="99"/>
    <w:semiHidden/>
    <w:unhideWhenUsed/>
    <w:rsid w:val="009D2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84C3F-ED1D-4339-B76C-37EE48D882EB}">
  <ds:schemaRefs>
    <ds:schemaRef ds:uri="http://schemas.microsoft.com/sharepoint/v3/contenttype/forms"/>
  </ds:schemaRefs>
</ds:datastoreItem>
</file>

<file path=customXml/itemProps2.xml><?xml version="1.0" encoding="utf-8"?>
<ds:datastoreItem xmlns:ds="http://schemas.openxmlformats.org/officeDocument/2006/customXml" ds:itemID="{BFCF2516-4324-4D81-AB73-9CBD3187B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CE493-E872-442D-862C-42DA470916AC}">
  <ds:schemaRefs>
    <ds:schemaRef ds:uri="http://schemas.openxmlformats.org/officeDocument/2006/bibliography"/>
  </ds:schemaRefs>
</ds:datastoreItem>
</file>

<file path=customXml/itemProps4.xml><?xml version="1.0" encoding="utf-8"?>
<ds:datastoreItem xmlns:ds="http://schemas.openxmlformats.org/officeDocument/2006/customXml" ds:itemID="{08D97C6F-8222-468C-B3C4-E7FAC8561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3497</Words>
  <Characters>19936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Nicole Ongele</cp:lastModifiedBy>
  <cp:revision>4</cp:revision>
  <cp:lastPrinted>2018-02-15T17:40:00Z</cp:lastPrinted>
  <dcterms:created xsi:type="dcterms:W3CDTF">2026-03-13T12:56:00Z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