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6F1C" w:rsidRPr="00C256F2" w:rsidP="009F6F1C" w14:paraId="350A9B86" w14:textId="77777777">
      <w:pPr>
        <w:jc w:val="center"/>
        <w:rPr>
          <w:b/>
          <w:sz w:val="24"/>
          <w:szCs w:val="24"/>
        </w:rPr>
      </w:pPr>
      <w:r w:rsidRPr="00C256F2">
        <w:rPr>
          <w:b/>
          <w:sz w:val="24"/>
          <w:szCs w:val="24"/>
        </w:rPr>
        <w:t>Supporting Statement for Paperwork Reduction Act Submissions</w:t>
      </w:r>
    </w:p>
    <w:p w:rsidR="00C95678" w:rsidRPr="00C256F2" w:rsidP="009F6F1C" w14:paraId="432121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C256F2">
        <w:rPr>
          <w:b/>
          <w:bCs/>
          <w:sz w:val="24"/>
          <w:szCs w:val="24"/>
        </w:rPr>
        <w:t>Housing Choice Voucher Program and Tribal HUD-VASH</w:t>
      </w:r>
      <w:r w:rsidRPr="00C256F2">
        <w:rPr>
          <w:b/>
          <w:sz w:val="24"/>
          <w:szCs w:val="24"/>
        </w:rPr>
        <w:t> </w:t>
      </w:r>
    </w:p>
    <w:p w:rsidR="009F6F1C" w:rsidRPr="00C256F2" w:rsidP="009F6F1C" w14:paraId="785BE6EA" w14:textId="1D3CD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C256F2">
        <w:rPr>
          <w:b/>
          <w:sz w:val="24"/>
          <w:szCs w:val="24"/>
        </w:rPr>
        <w:t>OMB</w:t>
      </w:r>
      <w:r w:rsidRPr="00C256F2" w:rsidR="005E7862">
        <w:rPr>
          <w:b/>
          <w:sz w:val="24"/>
          <w:szCs w:val="24"/>
        </w:rPr>
        <w:t xml:space="preserve"> Control No.:</w:t>
      </w:r>
      <w:r w:rsidRPr="00C256F2">
        <w:rPr>
          <w:b/>
          <w:sz w:val="24"/>
          <w:szCs w:val="24"/>
        </w:rPr>
        <w:t xml:space="preserve"> 2577-0</w:t>
      </w:r>
      <w:r w:rsidRPr="00C256F2" w:rsidR="00FE39B6">
        <w:rPr>
          <w:b/>
          <w:sz w:val="24"/>
          <w:szCs w:val="24"/>
        </w:rPr>
        <w:t>169</w:t>
      </w:r>
    </w:p>
    <w:p w:rsidR="009F6F1C" w:rsidRPr="00F7153B" w:rsidP="009F6F1C" w14:paraId="78B6A9B2" w14:textId="77777777">
      <w:pPr>
        <w:rPr>
          <w:b/>
          <w:sz w:val="24"/>
          <w:szCs w:val="24"/>
        </w:rPr>
      </w:pPr>
    </w:p>
    <w:p w:rsidR="00E17737" w:rsidRPr="00F7153B" w:rsidP="009F6F1C" w14:paraId="12E3288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F7153B">
        <w:rPr>
          <w:b/>
          <w:sz w:val="24"/>
          <w:szCs w:val="24"/>
        </w:rPr>
        <w:t xml:space="preserve">A. </w:t>
      </w:r>
      <w:r w:rsidRPr="00F7153B">
        <w:rPr>
          <w:b/>
          <w:sz w:val="24"/>
          <w:szCs w:val="24"/>
        </w:rPr>
        <w:tab/>
        <w:t>Justification</w:t>
      </w:r>
      <w:r w:rsidRPr="00F7153B">
        <w:rPr>
          <w:sz w:val="24"/>
          <w:szCs w:val="24"/>
        </w:rPr>
        <w:t xml:space="preserve"> </w:t>
      </w:r>
    </w:p>
    <w:p w:rsidR="00E17737" w:rsidRPr="00F7153B" w:rsidP="009F6F1C" w14:paraId="1DFC242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F6F1C" w:rsidRPr="00F6537A" w:rsidP="00F6537A" w14:paraId="12991A43" w14:textId="47FE9008">
      <w:pPr>
        <w:pStyle w:val="ListParagraph"/>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rPr>
          <w:sz w:val="24"/>
          <w:szCs w:val="24"/>
        </w:rPr>
      </w:pPr>
      <w:r w:rsidRPr="00F6537A">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38EB" w:rsidRPr="00F7153B" w:rsidP="00F6537A" w14:paraId="0D4BA127" w14:textId="743A1480">
      <w:pPr>
        <w:keepLines/>
        <w:tabs>
          <w:tab w:val="left" w:pos="360"/>
        </w:tabs>
        <w:spacing w:after="80"/>
        <w:ind w:left="360"/>
        <w:rPr>
          <w:sz w:val="24"/>
          <w:szCs w:val="24"/>
        </w:rPr>
      </w:pPr>
      <w:r w:rsidRPr="00F7153B">
        <w:rPr>
          <w:b/>
          <w:bCs/>
          <w:sz w:val="24"/>
          <w:szCs w:val="24"/>
        </w:rPr>
        <w:t xml:space="preserve">Reason for collection. </w:t>
      </w:r>
      <w:r w:rsidRPr="00F7153B" w:rsidR="008B3C06">
        <w:rPr>
          <w:b/>
          <w:bCs/>
          <w:sz w:val="24"/>
          <w:szCs w:val="24"/>
        </w:rPr>
        <w:t xml:space="preserve"> </w:t>
      </w:r>
      <w:r w:rsidRPr="00F7153B">
        <w:rPr>
          <w:sz w:val="24"/>
          <w:szCs w:val="24"/>
        </w:rPr>
        <w:t>The housing choice voucher (HCV) program is the federal government’s major program for assisting very low-income families, the elderly, and individuals with disabilities</w:t>
      </w:r>
      <w:r w:rsidR="00714FB1">
        <w:rPr>
          <w:sz w:val="24"/>
          <w:szCs w:val="24"/>
        </w:rPr>
        <w:t xml:space="preserve"> </w:t>
      </w:r>
      <w:r w:rsidRPr="00F7153B">
        <w:rPr>
          <w:sz w:val="24"/>
          <w:szCs w:val="24"/>
        </w:rPr>
        <w:t>to afford decent, safe and sanitary housing in the private market. Since housing assistance</w:t>
      </w:r>
      <w:r w:rsidR="00714FB1">
        <w:rPr>
          <w:sz w:val="24"/>
          <w:szCs w:val="24"/>
        </w:rPr>
        <w:t xml:space="preserve"> </w:t>
      </w:r>
      <w:r w:rsidRPr="00F7153B">
        <w:rPr>
          <w:sz w:val="24"/>
          <w:szCs w:val="24"/>
        </w:rPr>
        <w:t xml:space="preserve">is provided on behalf of the family or individual, participants are able to find their own housing, including single-family homes, townhouses and apartments.  The participant may choose any housing that meets the requirements of the program. The </w:t>
      </w:r>
      <w:r w:rsidRPr="00F7153B" w:rsidR="008B3C06">
        <w:rPr>
          <w:sz w:val="24"/>
          <w:szCs w:val="24"/>
        </w:rPr>
        <w:t>project-based voucher (</w:t>
      </w:r>
      <w:r w:rsidRPr="00F7153B">
        <w:rPr>
          <w:sz w:val="24"/>
          <w:szCs w:val="24"/>
        </w:rPr>
        <w:t>PBV</w:t>
      </w:r>
      <w:r w:rsidRPr="00F7153B" w:rsidR="008B3C06">
        <w:rPr>
          <w:sz w:val="24"/>
          <w:szCs w:val="24"/>
        </w:rPr>
        <w:t>)</w:t>
      </w:r>
      <w:r w:rsidRPr="00F7153B">
        <w:rPr>
          <w:sz w:val="24"/>
          <w:szCs w:val="24"/>
        </w:rPr>
        <w:t xml:space="preserve"> program is a component of the HCV program where the assistance is “attached to the structure,” which may be a multifamily building or a single-family property.</w:t>
      </w:r>
    </w:p>
    <w:p w:rsidR="003138EB" w:rsidRPr="00F7153B" w:rsidP="003138EB" w14:paraId="29721456" w14:textId="77777777">
      <w:pPr>
        <w:ind w:left="360"/>
        <w:textAlignment w:val="auto"/>
        <w:rPr>
          <w:sz w:val="24"/>
          <w:szCs w:val="24"/>
        </w:rPr>
      </w:pPr>
      <w:r w:rsidRPr="00F7153B">
        <w:rPr>
          <w:sz w:val="24"/>
          <w:szCs w:val="24"/>
        </w:rPr>
        <w:t> </w:t>
      </w:r>
    </w:p>
    <w:p w:rsidR="003138EB" w:rsidRPr="00F7153B" w:rsidP="003138EB" w14:paraId="1882DF71" w14:textId="0084C943">
      <w:pPr>
        <w:ind w:left="360"/>
        <w:textAlignment w:val="auto"/>
        <w:rPr>
          <w:sz w:val="24"/>
          <w:szCs w:val="24"/>
        </w:rPr>
      </w:pPr>
      <w:r w:rsidRPr="00F7153B">
        <w:rPr>
          <w:sz w:val="24"/>
          <w:szCs w:val="24"/>
        </w:rPr>
        <w:t xml:space="preserve">PHAs will prepare an application for funding </w:t>
      </w:r>
      <w:r w:rsidRPr="00F7153B" w:rsidR="002019CF">
        <w:rPr>
          <w:sz w:val="24"/>
          <w:szCs w:val="24"/>
        </w:rPr>
        <w:t xml:space="preserve">that </w:t>
      </w:r>
      <w:r w:rsidRPr="00F7153B">
        <w:rPr>
          <w:sz w:val="24"/>
          <w:szCs w:val="24"/>
        </w:rPr>
        <w:t xml:space="preserve">specifies the number of units requested as well as the PHA’s objectives and plans for administering the HCV and PBV programs. The application is reviewed by HUD Headquarters and </w:t>
      </w:r>
      <w:r w:rsidRPr="00F7153B" w:rsidR="002019CF">
        <w:rPr>
          <w:sz w:val="24"/>
          <w:szCs w:val="24"/>
        </w:rPr>
        <w:t>f</w:t>
      </w:r>
      <w:r w:rsidRPr="00F7153B">
        <w:rPr>
          <w:sz w:val="24"/>
          <w:szCs w:val="24"/>
        </w:rPr>
        <w:t xml:space="preserve">ield </w:t>
      </w:r>
      <w:r w:rsidRPr="00F7153B" w:rsidR="002019CF">
        <w:rPr>
          <w:sz w:val="24"/>
          <w:szCs w:val="24"/>
        </w:rPr>
        <w:t>o</w:t>
      </w:r>
      <w:r w:rsidRPr="00F7153B">
        <w:rPr>
          <w:sz w:val="24"/>
          <w:szCs w:val="24"/>
        </w:rPr>
        <w:t>ffices and ranked according to the PHA’s administrative capability, the need for housing assistance and other factors specified in a notice of funding</w:t>
      </w:r>
      <w:r w:rsidR="002926E2">
        <w:rPr>
          <w:sz w:val="24"/>
          <w:szCs w:val="24"/>
        </w:rPr>
        <w:t xml:space="preserve"> </w:t>
      </w:r>
      <w:r w:rsidRPr="00F7153B">
        <w:rPr>
          <w:sz w:val="24"/>
          <w:szCs w:val="24"/>
        </w:rPr>
        <w:t>opportunity</w:t>
      </w:r>
      <w:r w:rsidR="001D43DC">
        <w:rPr>
          <w:sz w:val="24"/>
          <w:szCs w:val="24"/>
        </w:rPr>
        <w:t xml:space="preserve"> (NOFO)</w:t>
      </w:r>
      <w:r>
        <w:rPr>
          <w:rStyle w:val="FootnoteReference"/>
          <w:sz w:val="24"/>
          <w:szCs w:val="24"/>
        </w:rPr>
        <w:footnoteReference w:id="2"/>
      </w:r>
      <w:r w:rsidRPr="00F7153B">
        <w:rPr>
          <w:sz w:val="24"/>
          <w:szCs w:val="24"/>
        </w:rPr>
        <w:t>. The PHAs must establish a utility allowance schedule for all utilities and other services.</w:t>
      </w:r>
      <w:r w:rsidR="002926E2">
        <w:rPr>
          <w:sz w:val="24"/>
          <w:szCs w:val="24"/>
        </w:rPr>
        <w:t xml:space="preserve"> </w:t>
      </w:r>
      <w:r w:rsidRPr="00F7153B">
        <w:rPr>
          <w:sz w:val="24"/>
          <w:szCs w:val="24"/>
        </w:rPr>
        <w:t>Units must be inspected using HUD</w:t>
      </w:r>
      <w:r w:rsidRPr="00F7153B" w:rsidR="00CB1E3F">
        <w:rPr>
          <w:sz w:val="24"/>
          <w:szCs w:val="24"/>
        </w:rPr>
        <w:t>-</w:t>
      </w:r>
      <w:r w:rsidRPr="00F7153B">
        <w:rPr>
          <w:sz w:val="24"/>
          <w:szCs w:val="24"/>
        </w:rPr>
        <w:t>prescribed forms to determine if the units meet the housing quality standards (HQS) of the HCV program.  Under certain circumstances, if authorized by the PHA, a family may use its voucher to purchase a modest home.  Section 8(o) of the United States Housing Act of 1937 (USHA) (42 USC 1437), as amended by Section 545 of the Quality Housing and Work Responsibility Act of 1998 (QHWRA) and more recently by the Housing Opportunity Through Modernization Act of 2016 (Public Law 114–201, 130 Stat. 782) (HOTMA),</w:t>
      </w:r>
      <w:r w:rsidR="002926E2">
        <w:rPr>
          <w:sz w:val="24"/>
          <w:szCs w:val="24"/>
        </w:rPr>
        <w:t xml:space="preserve"> </w:t>
      </w:r>
      <w:r w:rsidRPr="00F7153B">
        <w:rPr>
          <w:sz w:val="24"/>
          <w:szCs w:val="24"/>
        </w:rPr>
        <w:t>authorized the merger of the Section 8 tenant-based programs (certificate and voucher programs) into a single market-driven program (entitled the HCV program).  Section 8(y) of the USHA, as amended by Section 555 of QHWRA authorized the “homeownership option” under the HCV program.   </w:t>
      </w:r>
    </w:p>
    <w:p w:rsidR="003138EB" w:rsidRPr="00F7153B" w:rsidP="003138EB" w14:paraId="6FC2AE5E" w14:textId="77777777">
      <w:pPr>
        <w:ind w:left="360"/>
        <w:textAlignment w:val="auto"/>
        <w:rPr>
          <w:sz w:val="24"/>
          <w:szCs w:val="24"/>
        </w:rPr>
      </w:pPr>
      <w:r w:rsidRPr="00F7153B">
        <w:rPr>
          <w:sz w:val="24"/>
          <w:szCs w:val="24"/>
        </w:rPr>
        <w:t> </w:t>
      </w:r>
    </w:p>
    <w:p w:rsidR="003138EB" w:rsidRPr="00F7153B" w:rsidP="003138EB" w14:paraId="1AA82E75" w14:textId="61B2A41D">
      <w:pPr>
        <w:ind w:left="360"/>
        <w:textAlignment w:val="auto"/>
        <w:rPr>
          <w:sz w:val="24"/>
          <w:szCs w:val="24"/>
        </w:rPr>
      </w:pPr>
      <w:r w:rsidRPr="00F7153B">
        <w:rPr>
          <w:sz w:val="24"/>
          <w:szCs w:val="24"/>
        </w:rPr>
        <w:t>Under the HCV program, the Department enters into an Annual Contributions Contract (ACC) with PHAs to</w:t>
      </w:r>
      <w:r w:rsidR="002926E2">
        <w:rPr>
          <w:sz w:val="24"/>
          <w:szCs w:val="24"/>
        </w:rPr>
        <w:t xml:space="preserve"> </w:t>
      </w:r>
      <w:r w:rsidRPr="00F7153B">
        <w:rPr>
          <w:sz w:val="24"/>
          <w:szCs w:val="24"/>
        </w:rPr>
        <w:t>assist very low-income families to lease or purchase safe, decent, and affordable housing.</w:t>
      </w:r>
      <w:r w:rsidR="002926E2">
        <w:rPr>
          <w:sz w:val="24"/>
          <w:szCs w:val="24"/>
        </w:rPr>
        <w:t xml:space="preserve"> </w:t>
      </w:r>
      <w:r w:rsidRPr="00F7153B">
        <w:rPr>
          <w:sz w:val="24"/>
          <w:szCs w:val="24"/>
        </w:rPr>
        <w:t>PHAs are required to maintain complete and accurate program and accounting records in accordance with HUD requirements in a manner that permits a speedy and effective audit.  PHAs must</w:t>
      </w:r>
      <w:r w:rsidR="002926E2">
        <w:rPr>
          <w:sz w:val="24"/>
          <w:szCs w:val="24"/>
        </w:rPr>
        <w:t xml:space="preserve"> </w:t>
      </w:r>
      <w:r w:rsidRPr="00F7153B">
        <w:rPr>
          <w:sz w:val="24"/>
          <w:szCs w:val="24"/>
        </w:rPr>
        <w:t>maintain</w:t>
      </w:r>
      <w:r w:rsidR="002926E2">
        <w:rPr>
          <w:sz w:val="24"/>
          <w:szCs w:val="24"/>
        </w:rPr>
        <w:t xml:space="preserve"> </w:t>
      </w:r>
      <w:r w:rsidRPr="00F7153B">
        <w:rPr>
          <w:sz w:val="24"/>
          <w:szCs w:val="24"/>
        </w:rPr>
        <w:t>records on eligibility (e.g., verification of income, disability status and citizenship)</w:t>
      </w:r>
      <w:r w:rsidRPr="00F7153B" w:rsidR="006F4466">
        <w:rPr>
          <w:sz w:val="24"/>
          <w:szCs w:val="24"/>
        </w:rPr>
        <w:t xml:space="preserve"> and</w:t>
      </w:r>
      <w:r w:rsidRPr="00F7153B">
        <w:rPr>
          <w:sz w:val="24"/>
          <w:szCs w:val="24"/>
        </w:rPr>
        <w:t xml:space="preserve"> records of subsidized units (e.g., unit inspection reports, rent reasonableness documentation, tenant leases and housing assistance payments (HAP) contracts).</w:t>
      </w:r>
    </w:p>
    <w:p w:rsidR="003138EB" w:rsidRPr="00F7153B" w:rsidP="003138EB" w14:paraId="410AFDF8" w14:textId="77777777">
      <w:pPr>
        <w:ind w:left="360"/>
        <w:textAlignment w:val="auto"/>
        <w:rPr>
          <w:sz w:val="24"/>
          <w:szCs w:val="24"/>
        </w:rPr>
      </w:pPr>
      <w:r w:rsidRPr="00F7153B">
        <w:rPr>
          <w:sz w:val="24"/>
          <w:szCs w:val="24"/>
        </w:rPr>
        <w:t> </w:t>
      </w:r>
    </w:p>
    <w:p w:rsidR="003138EB" w:rsidRPr="00F7153B" w:rsidP="003138EB" w14:paraId="5DBDE729" w14:textId="15901D72">
      <w:pPr>
        <w:ind w:left="360"/>
        <w:textAlignment w:val="auto"/>
        <w:rPr>
          <w:sz w:val="24"/>
          <w:szCs w:val="24"/>
        </w:rPr>
      </w:pPr>
      <w:r w:rsidRPr="00F7153B">
        <w:rPr>
          <w:sz w:val="24"/>
          <w:szCs w:val="24"/>
        </w:rPr>
        <w:t>Section 8(o)(13) of USHA allows PHAs to project-base a portion of their tenant-based vouchers.</w:t>
      </w:r>
      <w:r w:rsidR="00123746">
        <w:rPr>
          <w:sz w:val="24"/>
          <w:szCs w:val="24"/>
        </w:rPr>
        <w:t xml:space="preserve">  </w:t>
      </w:r>
      <w:r w:rsidRPr="00F7153B">
        <w:rPr>
          <w:sz w:val="24"/>
          <w:szCs w:val="24"/>
        </w:rPr>
        <w:t>PHAs participating in the PBV program may: (1) enter into a HAP contract with a private owner for existing housing projects; or</w:t>
      </w:r>
      <w:r w:rsidRPr="00F7153B" w:rsidR="0081049E">
        <w:rPr>
          <w:sz w:val="24"/>
          <w:szCs w:val="24"/>
        </w:rPr>
        <w:t>,</w:t>
      </w:r>
      <w:r w:rsidRPr="00F7153B">
        <w:rPr>
          <w:sz w:val="24"/>
          <w:szCs w:val="24"/>
        </w:rPr>
        <w:t xml:space="preserve"> (2) pursuant to the HOTMA Voucher Final Rule published on May 7, 2024 (89 FR 38224), have the option of entering into an agreement governing development activity for newly constructed or rehabilitated housing projects or rather proceeding directly to entering into a HAP contract with a private owner.  PHAs may also now allow for development activity to occur after HAP contract execution, subject to execution of a rehabilitated housing rider.  For PHA-owned units that are not owned by a separate legal entity from the PHA, the HOTMA Voucher Final Rule gives PHAs the option to execute a PHA-owned agreement certification, a PHA-owned certification, or a PHA-owned rehabilitation housing rider in lieu of executing an Agreement, a PBV HAP contract or a rehabilitated housing rider, respectively.  </w:t>
      </w:r>
    </w:p>
    <w:p w:rsidR="003138EB" w:rsidRPr="00F7153B" w:rsidP="003138EB" w14:paraId="595A0874" w14:textId="77777777">
      <w:pPr>
        <w:ind w:left="360"/>
        <w:textAlignment w:val="auto"/>
        <w:rPr>
          <w:sz w:val="24"/>
          <w:szCs w:val="24"/>
        </w:rPr>
      </w:pPr>
      <w:r w:rsidRPr="00F7153B">
        <w:rPr>
          <w:sz w:val="24"/>
          <w:szCs w:val="24"/>
        </w:rPr>
        <w:t> </w:t>
      </w:r>
    </w:p>
    <w:p w:rsidR="003138EB" w:rsidRPr="00F7153B" w:rsidP="003138EB" w14:paraId="6E032DF1" w14:textId="5E83F28F">
      <w:pPr>
        <w:ind w:left="360"/>
        <w:textAlignment w:val="auto"/>
        <w:rPr>
          <w:sz w:val="24"/>
          <w:szCs w:val="24"/>
        </w:rPr>
      </w:pPr>
      <w:r w:rsidRPr="00F7153B">
        <w:rPr>
          <w:sz w:val="24"/>
          <w:szCs w:val="24"/>
        </w:rPr>
        <w:t>The Tribal HUD-V</w:t>
      </w:r>
      <w:r w:rsidRPr="00F7153B" w:rsidR="00DD49ED">
        <w:rPr>
          <w:sz w:val="24"/>
          <w:szCs w:val="24"/>
        </w:rPr>
        <w:t xml:space="preserve">eterans </w:t>
      </w:r>
      <w:r w:rsidRPr="00F7153B">
        <w:rPr>
          <w:sz w:val="24"/>
          <w:szCs w:val="24"/>
        </w:rPr>
        <w:t>A</w:t>
      </w:r>
      <w:r w:rsidRPr="00F7153B" w:rsidR="00DD49ED">
        <w:rPr>
          <w:sz w:val="24"/>
          <w:szCs w:val="24"/>
        </w:rPr>
        <w:t>ffairs</w:t>
      </w:r>
      <w:r w:rsidRPr="00F7153B">
        <w:rPr>
          <w:sz w:val="24"/>
          <w:szCs w:val="24"/>
        </w:rPr>
        <w:t xml:space="preserve"> Supportive Housing (Tribal HUD-VASH) </w:t>
      </w:r>
      <w:r w:rsidRPr="00F7153B" w:rsidR="00DD49ED">
        <w:rPr>
          <w:sz w:val="24"/>
          <w:szCs w:val="24"/>
        </w:rPr>
        <w:t>p</w:t>
      </w:r>
      <w:r w:rsidRPr="00F7153B">
        <w:rPr>
          <w:sz w:val="24"/>
          <w:szCs w:val="24"/>
        </w:rPr>
        <w:t>rogram provides rental assistance and supportive services to Native American veterans who are homeless or at risk of homelessness in Indian country.  Housing assistance under this program is made available by grants to</w:t>
      </w:r>
      <w:r w:rsidR="00123746">
        <w:rPr>
          <w:sz w:val="24"/>
          <w:szCs w:val="24"/>
        </w:rPr>
        <w:t xml:space="preserve"> </w:t>
      </w:r>
      <w:r w:rsidRPr="00F7153B">
        <w:rPr>
          <w:sz w:val="24"/>
          <w:szCs w:val="24"/>
        </w:rPr>
        <w:t>Tribes and</w:t>
      </w:r>
      <w:r w:rsidR="00123746">
        <w:rPr>
          <w:sz w:val="24"/>
          <w:szCs w:val="24"/>
        </w:rPr>
        <w:t xml:space="preserve"> </w:t>
      </w:r>
      <w:r w:rsidRPr="00F7153B">
        <w:rPr>
          <w:sz w:val="24"/>
          <w:szCs w:val="24"/>
        </w:rPr>
        <w:t>Tribally Designated Housing Entities (TDHEs) that are eligible to receive</w:t>
      </w:r>
      <w:r w:rsidR="00123746">
        <w:rPr>
          <w:sz w:val="24"/>
          <w:szCs w:val="24"/>
        </w:rPr>
        <w:t xml:space="preserve"> </w:t>
      </w:r>
      <w:r w:rsidRPr="00F7153B">
        <w:rPr>
          <w:sz w:val="24"/>
          <w:szCs w:val="24"/>
        </w:rPr>
        <w:t xml:space="preserve">Indian Housing Block Grant (IHBG) funding under the Native American Housing Assistance and Self-Determination Act of 1996 (25 U.S.C. 4212).  Tribes request </w:t>
      </w:r>
      <w:r w:rsidRPr="00F7153B" w:rsidR="000203F2">
        <w:rPr>
          <w:sz w:val="24"/>
          <w:szCs w:val="24"/>
        </w:rPr>
        <w:t>t</w:t>
      </w:r>
      <w:r w:rsidRPr="00F7153B">
        <w:rPr>
          <w:sz w:val="24"/>
          <w:szCs w:val="24"/>
        </w:rPr>
        <w:t>enant-</w:t>
      </w:r>
      <w:r w:rsidRPr="00F7153B" w:rsidR="000203F2">
        <w:rPr>
          <w:sz w:val="24"/>
          <w:szCs w:val="24"/>
        </w:rPr>
        <w:t>b</w:t>
      </w:r>
      <w:r w:rsidRPr="00F7153B">
        <w:rPr>
          <w:sz w:val="24"/>
          <w:szCs w:val="24"/>
        </w:rPr>
        <w:t xml:space="preserve">ased and/or </w:t>
      </w:r>
      <w:r w:rsidRPr="00F7153B" w:rsidR="000203F2">
        <w:rPr>
          <w:sz w:val="24"/>
          <w:szCs w:val="24"/>
        </w:rPr>
        <w:t>p</w:t>
      </w:r>
      <w:r w:rsidRPr="00F7153B">
        <w:rPr>
          <w:sz w:val="24"/>
          <w:szCs w:val="24"/>
        </w:rPr>
        <w:t>roject-</w:t>
      </w:r>
      <w:r w:rsidRPr="00F7153B" w:rsidR="000203F2">
        <w:rPr>
          <w:sz w:val="24"/>
          <w:szCs w:val="24"/>
        </w:rPr>
        <w:t>b</w:t>
      </w:r>
      <w:r w:rsidRPr="00F7153B">
        <w:rPr>
          <w:sz w:val="24"/>
          <w:szCs w:val="24"/>
        </w:rPr>
        <w:t xml:space="preserve">ased </w:t>
      </w:r>
      <w:r w:rsidRPr="00F7153B" w:rsidR="000203F2">
        <w:rPr>
          <w:sz w:val="24"/>
          <w:szCs w:val="24"/>
        </w:rPr>
        <w:t>r</w:t>
      </w:r>
      <w:r w:rsidRPr="00F7153B">
        <w:rPr>
          <w:sz w:val="24"/>
          <w:szCs w:val="24"/>
        </w:rPr>
        <w:t xml:space="preserve">ental </w:t>
      </w:r>
      <w:r w:rsidRPr="00F7153B" w:rsidR="000203F2">
        <w:rPr>
          <w:sz w:val="24"/>
          <w:szCs w:val="24"/>
        </w:rPr>
        <w:t>a</w:t>
      </w:r>
      <w:r w:rsidRPr="00F7153B">
        <w:rPr>
          <w:sz w:val="24"/>
          <w:szCs w:val="24"/>
        </w:rPr>
        <w:t>ssistance by the number of bedrooms in a rental unit.  Grants and renewal funds are awarded based on the number of rental units approved by HUD. Grants include an additional amount for administrative costs and eligible homeless veterans receive case management services through the Department of Veterans Affairs.   </w:t>
      </w:r>
    </w:p>
    <w:p w:rsidR="00E757CF" w:rsidRPr="00C256F2" w:rsidP="009F6F1C" w14:paraId="5DF9D845" w14:textId="77777777">
      <w:pPr>
        <w:tabs>
          <w:tab w:val="left" w:pos="360"/>
        </w:tabs>
        <w:ind w:left="360" w:hanging="360"/>
        <w:rPr>
          <w:sz w:val="24"/>
          <w:szCs w:val="24"/>
        </w:rPr>
      </w:pPr>
    </w:p>
    <w:p w:rsidR="00B1512E" w:rsidRPr="00C54076" w:rsidP="003A6D24" w14:paraId="770CE6E6" w14:textId="5F78758C">
      <w:pPr>
        <w:keepLines/>
        <w:tabs>
          <w:tab w:val="left" w:pos="360"/>
        </w:tabs>
        <w:spacing w:after="180"/>
        <w:ind w:left="360" w:hanging="360"/>
        <w:rPr>
          <w:sz w:val="24"/>
          <w:szCs w:val="24"/>
        </w:rPr>
      </w:pPr>
      <w:r w:rsidRPr="00887EAA">
        <w:rPr>
          <w:sz w:val="24"/>
          <w:szCs w:val="24"/>
        </w:rPr>
        <w:t>2.</w:t>
      </w:r>
      <w:r w:rsidRPr="00887EAA">
        <w:rPr>
          <w:sz w:val="24"/>
          <w:szCs w:val="24"/>
        </w:rPr>
        <w:tab/>
      </w:r>
      <w:r w:rsidRPr="00887EAA">
        <w:rPr>
          <w:b/>
          <w:bCs/>
          <w:sz w:val="24"/>
          <w:szCs w:val="24"/>
        </w:rPr>
        <w:t xml:space="preserve">Indicate how, by whom and for what purpose the information is to be used.  Except for a new </w:t>
      </w:r>
      <w:r w:rsidRPr="00C54076">
        <w:rPr>
          <w:b/>
          <w:bCs/>
          <w:sz w:val="24"/>
          <w:szCs w:val="24"/>
        </w:rPr>
        <w:t>collection, indicate the actual use the agency has made of the information received from the current collection.</w:t>
      </w:r>
    </w:p>
    <w:p w:rsidR="00B700C6" w:rsidRPr="00C54076" w:rsidP="003A6D24" w14:paraId="26A65EA9" w14:textId="055FD014">
      <w:pPr>
        <w:keepLines/>
        <w:tabs>
          <w:tab w:val="left" w:pos="360"/>
        </w:tabs>
        <w:spacing w:after="180"/>
        <w:ind w:left="360" w:hanging="360"/>
        <w:rPr>
          <w:sz w:val="24"/>
          <w:szCs w:val="24"/>
        </w:rPr>
      </w:pPr>
      <w:r w:rsidRPr="00C54076">
        <w:rPr>
          <w:b/>
          <w:bCs/>
          <w:sz w:val="24"/>
          <w:szCs w:val="24"/>
        </w:rPr>
        <w:tab/>
      </w:r>
      <w:r w:rsidRPr="00C54076" w:rsidR="00B11C5F">
        <w:rPr>
          <w:b/>
          <w:bCs/>
          <w:sz w:val="24"/>
          <w:szCs w:val="24"/>
        </w:rPr>
        <w:t xml:space="preserve">Use of information. </w:t>
      </w:r>
      <w:r w:rsidRPr="00C54076" w:rsidR="00E44F6B">
        <w:rPr>
          <w:b/>
          <w:bCs/>
          <w:sz w:val="24"/>
          <w:szCs w:val="24"/>
        </w:rPr>
        <w:t xml:space="preserve"> </w:t>
      </w:r>
      <w:r w:rsidRPr="00C54076">
        <w:rPr>
          <w:sz w:val="24"/>
          <w:szCs w:val="24"/>
        </w:rPr>
        <w:t>The requested information requirements (how, by whom and for what purpose the information is to be used) for the voucher and Tribal HUD-VASH program consists of the following:</w:t>
      </w:r>
    </w:p>
    <w:p w:rsidR="00B700C6" w:rsidRPr="00C54076" w:rsidP="00526FF3" w14:paraId="1D224036" w14:textId="673D87E4">
      <w:pPr>
        <w:pBdr>
          <w:top w:val="single" w:sz="4" w:space="1" w:color="auto"/>
          <w:bottom w:val="single" w:sz="4" w:space="1" w:color="auto"/>
        </w:pBdr>
        <w:spacing w:after="180"/>
        <w:ind w:left="360"/>
        <w:textAlignment w:val="auto"/>
        <w:rPr>
          <w:b/>
          <w:bCs/>
          <w:sz w:val="24"/>
          <w:szCs w:val="24"/>
        </w:rPr>
      </w:pPr>
      <w:r w:rsidRPr="00C54076">
        <w:rPr>
          <w:b/>
          <w:bCs/>
          <w:sz w:val="24"/>
          <w:szCs w:val="24"/>
        </w:rPr>
        <w:t>HCV Renewal Forms</w:t>
      </w:r>
    </w:p>
    <w:p w:rsidR="00565D93" w:rsidRPr="00C54076" w:rsidP="00284B87" w14:paraId="685ABDC2" w14:textId="44BDABC5">
      <w:pPr>
        <w:spacing w:after="180"/>
        <w:ind w:left="360"/>
        <w:textAlignment w:val="auto"/>
        <w:rPr>
          <w:sz w:val="24"/>
          <w:szCs w:val="24"/>
        </w:rPr>
      </w:pPr>
      <w:r w:rsidRPr="00526FF3">
        <w:rPr>
          <w:b/>
          <w:bCs/>
          <w:sz w:val="24"/>
          <w:szCs w:val="24"/>
        </w:rPr>
        <w:t>Funding Application, Form HUD-52515.</w:t>
      </w:r>
      <w:r w:rsidRPr="00526FF3">
        <w:rPr>
          <w:sz w:val="24"/>
          <w:szCs w:val="24"/>
        </w:rPr>
        <w:t>  </w:t>
      </w:r>
      <w:r w:rsidRPr="00C54076">
        <w:rPr>
          <w:sz w:val="24"/>
          <w:szCs w:val="24"/>
        </w:rPr>
        <w:t xml:space="preserve">Regulatory </w:t>
      </w:r>
      <w:r w:rsidRPr="00C54076" w:rsidR="00B53077">
        <w:rPr>
          <w:sz w:val="24"/>
          <w:szCs w:val="24"/>
        </w:rPr>
        <w:t>r</w:t>
      </w:r>
      <w:r w:rsidRPr="00C54076">
        <w:rPr>
          <w:sz w:val="24"/>
          <w:szCs w:val="24"/>
        </w:rPr>
        <w:t>eferences 982.54, 982.103, and</w:t>
      </w:r>
      <w:r w:rsidRPr="00C54076" w:rsidR="00E53F9F">
        <w:rPr>
          <w:sz w:val="24"/>
          <w:szCs w:val="24"/>
        </w:rPr>
        <w:t xml:space="preserve"> 9</w:t>
      </w:r>
      <w:r w:rsidRPr="00C54076">
        <w:rPr>
          <w:sz w:val="24"/>
          <w:szCs w:val="24"/>
        </w:rPr>
        <w:t>82.158.</w:t>
      </w:r>
      <w:r w:rsidRPr="00C54076" w:rsidR="00E53F9F">
        <w:rPr>
          <w:sz w:val="24"/>
          <w:szCs w:val="24"/>
        </w:rPr>
        <w:t xml:space="preserve"> </w:t>
      </w:r>
      <w:r w:rsidRPr="00C54076">
        <w:rPr>
          <w:sz w:val="24"/>
          <w:szCs w:val="24"/>
        </w:rPr>
        <w:t xml:space="preserve">HUD collects information from the PHA on Form HUD-52515, which is the HCV program funding application that specifies the 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w:t>
      </w:r>
      <w:r w:rsidRPr="00C54076" w:rsidR="00F840E6">
        <w:rPr>
          <w:sz w:val="24"/>
          <w:szCs w:val="24"/>
        </w:rPr>
        <w:t>Opportunity</w:t>
      </w:r>
      <w:r w:rsidRPr="00C54076">
        <w:rPr>
          <w:sz w:val="24"/>
          <w:szCs w:val="24"/>
        </w:rPr>
        <w:t> (</w:t>
      </w:r>
      <w:r w:rsidRPr="00C54076" w:rsidR="00F840E6">
        <w:rPr>
          <w:sz w:val="24"/>
          <w:szCs w:val="24"/>
        </w:rPr>
        <w:t>NOFO</w:t>
      </w:r>
      <w:r w:rsidRPr="00C54076">
        <w:rPr>
          <w:sz w:val="24"/>
          <w:szCs w:val="24"/>
        </w:rPr>
        <w:t>).  The application must include all information required by HUD.  HUD requirements may be stated in the HUD-required form of application, the NO</w:t>
      </w:r>
      <w:r w:rsidRPr="00C54076" w:rsidR="00AD304D">
        <w:rPr>
          <w:sz w:val="24"/>
          <w:szCs w:val="24"/>
        </w:rPr>
        <w:t>FO</w:t>
      </w:r>
      <w:r w:rsidRPr="00C54076">
        <w:rPr>
          <w:sz w:val="24"/>
          <w:szCs w:val="24"/>
        </w:rPr>
        <w:t xml:space="preserve">, or other HUD instructions.  PHAs are required to prepare an Administrative Plan that states local PHA policy on matters for which the PHA has discretion to establish local policies. </w:t>
      </w:r>
      <w:r w:rsidRPr="00C54076" w:rsidR="003E261B">
        <w:rPr>
          <w:sz w:val="24"/>
          <w:szCs w:val="24"/>
        </w:rPr>
        <w:t xml:space="preserve"> </w:t>
      </w:r>
      <w:r w:rsidRPr="00C54076">
        <w:rPr>
          <w:sz w:val="24"/>
          <w:szCs w:val="24"/>
        </w:rPr>
        <w:t xml:space="preserve">The PHA must discuss in </w:t>
      </w:r>
      <w:r w:rsidRPr="00C54076" w:rsidR="003E261B">
        <w:rPr>
          <w:sz w:val="24"/>
          <w:szCs w:val="24"/>
        </w:rPr>
        <w:t xml:space="preserve">this </w:t>
      </w:r>
      <w:r w:rsidRPr="00C54076">
        <w:rPr>
          <w:sz w:val="24"/>
          <w:szCs w:val="24"/>
        </w:rPr>
        <w:t xml:space="preserve">plan how it will operate the HCV program, e.g., organization of the waiting list, </w:t>
      </w:r>
      <w:r w:rsidRPr="00C54076">
        <w:rPr>
          <w:sz w:val="24"/>
          <w:szCs w:val="24"/>
        </w:rPr>
        <w:t>opening and closing of the waiting list, selection of families from the waiting list, terms of the voucher and occupancy policies. </w:t>
      </w:r>
      <w:r w:rsidRPr="00C54076" w:rsidR="006F5A47">
        <w:rPr>
          <w:sz w:val="24"/>
          <w:szCs w:val="24"/>
        </w:rPr>
        <w:t>(Information collected by PHAs from program participants)</w:t>
      </w:r>
      <w:r w:rsidRPr="00C54076">
        <w:rPr>
          <w:sz w:val="24"/>
          <w:szCs w:val="24"/>
        </w:rPr>
        <w:t> </w:t>
      </w:r>
      <w:r w:rsidRPr="00C54076">
        <w:rPr>
          <w:b/>
          <w:bCs/>
          <w:sz w:val="24"/>
          <w:szCs w:val="24"/>
        </w:rPr>
        <w:t>Purpose: Application for benefits.</w:t>
      </w:r>
      <w:r w:rsidRPr="00C54076">
        <w:rPr>
          <w:sz w:val="24"/>
          <w:szCs w:val="24"/>
        </w:rPr>
        <w:t> </w:t>
      </w:r>
    </w:p>
    <w:p w:rsidR="005C6ADB" w:rsidRPr="00C54076" w:rsidP="005C6ADB" w14:paraId="4A11548A" w14:textId="77777777">
      <w:pPr>
        <w:spacing w:after="180"/>
        <w:ind w:left="360"/>
        <w:textAlignment w:val="auto"/>
        <w:rPr>
          <w:sz w:val="24"/>
          <w:szCs w:val="24"/>
        </w:rPr>
      </w:pPr>
      <w:r w:rsidRPr="00B45A80">
        <w:rPr>
          <w:b/>
          <w:bCs/>
          <w:sz w:val="24"/>
          <w:szCs w:val="24"/>
        </w:rPr>
        <w:t>Request for Tenancy Approval, Form HUD-52517.  </w:t>
      </w:r>
      <w:r w:rsidRPr="00C54076">
        <w:rPr>
          <w:sz w:val="24"/>
          <w:szCs w:val="24"/>
        </w:rPr>
        <w:t>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w:t>
      </w:r>
    </w:p>
    <w:p w:rsidR="00565D93" w:rsidRPr="00C54076" w:rsidP="006116E1" w14:paraId="10A8AE7B" w14:textId="33E6ED31">
      <w:pPr>
        <w:widowControl w:val="0"/>
        <w:spacing w:after="180"/>
        <w:ind w:left="360"/>
        <w:textAlignment w:val="auto"/>
        <w:rPr>
          <w:sz w:val="24"/>
          <w:szCs w:val="24"/>
        </w:rPr>
      </w:pPr>
      <w:r w:rsidRPr="00B45A80">
        <w:rPr>
          <w:b/>
          <w:bCs/>
          <w:sz w:val="24"/>
          <w:szCs w:val="24"/>
        </w:rPr>
        <w:t xml:space="preserve">Inspection Checklist, </w:t>
      </w:r>
      <w:r w:rsidRPr="00B45A80" w:rsidR="00FA1C43">
        <w:rPr>
          <w:b/>
          <w:bCs/>
          <w:sz w:val="24"/>
          <w:szCs w:val="24"/>
        </w:rPr>
        <w:t xml:space="preserve">Form </w:t>
      </w:r>
      <w:r w:rsidRPr="00B45A80">
        <w:rPr>
          <w:b/>
          <w:bCs/>
          <w:sz w:val="24"/>
          <w:szCs w:val="24"/>
        </w:rPr>
        <w:t>HUD-52580.</w:t>
      </w:r>
      <w:r w:rsidRPr="00B45A80" w:rsidR="000E0CFE">
        <w:rPr>
          <w:b/>
          <w:bCs/>
          <w:sz w:val="24"/>
          <w:szCs w:val="24"/>
        </w:rPr>
        <w:t xml:space="preserve">  </w:t>
      </w:r>
      <w:r w:rsidRPr="00C54076">
        <w:rPr>
          <w:sz w:val="24"/>
          <w:szCs w:val="24"/>
        </w:rPr>
        <w:t xml:space="preserve">Regulatory </w:t>
      </w:r>
      <w:r w:rsidRPr="00C54076" w:rsidR="00B53077">
        <w:rPr>
          <w:sz w:val="24"/>
          <w:szCs w:val="24"/>
        </w:rPr>
        <w:t>r</w:t>
      </w:r>
      <w:r w:rsidRPr="00C54076">
        <w:rPr>
          <w:sz w:val="24"/>
          <w:szCs w:val="24"/>
        </w:rPr>
        <w:t>eferences</w:t>
      </w:r>
      <w:r w:rsidRPr="00C54076" w:rsidR="000E0CFE">
        <w:rPr>
          <w:sz w:val="24"/>
          <w:szCs w:val="24"/>
        </w:rPr>
        <w:t xml:space="preserve"> </w:t>
      </w:r>
      <w:r w:rsidRPr="00C54076">
        <w:rPr>
          <w:sz w:val="24"/>
          <w:szCs w:val="24"/>
        </w:rPr>
        <w:t>5.703,</w:t>
      </w:r>
      <w:r w:rsidRPr="00C54076" w:rsidR="000E0CFE">
        <w:rPr>
          <w:sz w:val="24"/>
          <w:szCs w:val="24"/>
        </w:rPr>
        <w:t xml:space="preserve"> </w:t>
      </w:r>
      <w:r w:rsidRPr="00C54076">
        <w:rPr>
          <w:sz w:val="24"/>
          <w:szCs w:val="24"/>
        </w:rPr>
        <w:t>982.4,</w:t>
      </w:r>
      <w:r w:rsidRPr="00C54076" w:rsidR="000E0CFE">
        <w:rPr>
          <w:sz w:val="24"/>
          <w:szCs w:val="24"/>
        </w:rPr>
        <w:t xml:space="preserve"> </w:t>
      </w:r>
      <w:r w:rsidRPr="00C54076">
        <w:rPr>
          <w:sz w:val="24"/>
          <w:szCs w:val="24"/>
        </w:rPr>
        <w:t xml:space="preserve">982.158, 982.401, </w:t>
      </w:r>
      <w:r w:rsidRPr="00C54076" w:rsidR="006116E1">
        <w:rPr>
          <w:sz w:val="24"/>
          <w:szCs w:val="24"/>
        </w:rPr>
        <w:t>9</w:t>
      </w:r>
      <w:r w:rsidRPr="00C54076">
        <w:rPr>
          <w:sz w:val="24"/>
          <w:szCs w:val="24"/>
        </w:rPr>
        <w:t>82.405,</w:t>
      </w:r>
      <w:r w:rsidRPr="00C54076" w:rsidR="00D25C2E">
        <w:rPr>
          <w:sz w:val="24"/>
          <w:szCs w:val="24"/>
        </w:rPr>
        <w:t xml:space="preserve"> </w:t>
      </w:r>
      <w:r w:rsidRPr="00C54076">
        <w:rPr>
          <w:sz w:val="24"/>
          <w:szCs w:val="24"/>
        </w:rPr>
        <w:t>982.631(b), 983.101, 983.103. Form HUD-52580 (</w:t>
      </w:r>
      <w:r w:rsidRPr="00C54076" w:rsidR="00253680">
        <w:rPr>
          <w:sz w:val="24"/>
          <w:szCs w:val="24"/>
        </w:rPr>
        <w:t>F</w:t>
      </w:r>
      <w:r w:rsidRPr="00C54076">
        <w:rPr>
          <w:sz w:val="24"/>
          <w:szCs w:val="24"/>
        </w:rPr>
        <w:t>orm HUD-52580-A is the same as 52580 with the addition of detailed instructions) is the inspection form used by the PHA to</w:t>
      </w:r>
      <w:r w:rsidRPr="00C54076" w:rsidR="00D354BB">
        <w:rPr>
          <w:sz w:val="24"/>
          <w:szCs w:val="24"/>
        </w:rPr>
        <w:t xml:space="preserve"> </w:t>
      </w:r>
      <w:r w:rsidRPr="00C54076">
        <w:rPr>
          <w:sz w:val="24"/>
          <w:szCs w:val="24"/>
        </w:rPr>
        <w:t>determine</w:t>
      </w:r>
      <w:r w:rsidRPr="00C54076" w:rsidR="004A7D12">
        <w:rPr>
          <w:sz w:val="24"/>
          <w:szCs w:val="24"/>
        </w:rPr>
        <w:t xml:space="preserve"> </w:t>
      </w:r>
      <w:r w:rsidRPr="00C54076">
        <w:rPr>
          <w:sz w:val="24"/>
          <w:szCs w:val="24"/>
        </w:rPr>
        <w:t>if a unit meets the housing quality standards (HQS) of the HCV program.  The goal of the HCV program is to provide decent, safe and sanitary housing to very low-income families.  In keeping with that goal, the primary objective of the HQS is to protect the family receiving</w:t>
      </w:r>
      <w:r w:rsidRPr="00C54076" w:rsidR="00D354BB">
        <w:rPr>
          <w:sz w:val="24"/>
          <w:szCs w:val="24"/>
        </w:rPr>
        <w:t xml:space="preserve"> </w:t>
      </w:r>
      <w:r w:rsidRPr="00C54076">
        <w:rPr>
          <w:sz w:val="24"/>
          <w:szCs w:val="24"/>
        </w:rPr>
        <w:t>assistance</w:t>
      </w:r>
      <w:r w:rsidRPr="00C54076" w:rsidR="00D354BB">
        <w:rPr>
          <w:sz w:val="24"/>
          <w:szCs w:val="24"/>
        </w:rPr>
        <w:t xml:space="preserve"> </w:t>
      </w:r>
      <w:r w:rsidRPr="00C54076">
        <w:rPr>
          <w:sz w:val="24"/>
          <w:szCs w:val="24"/>
        </w:rPr>
        <w:t>under the program by guaranteeing a basic level of assisted housing.  The units must pass inspection before HAP may be paid to owners and must be re-inspected at least biennially (every two years)</w:t>
      </w:r>
      <w:r w:rsidRPr="00C54076" w:rsidR="00D354BB">
        <w:rPr>
          <w:sz w:val="24"/>
          <w:szCs w:val="24"/>
        </w:rPr>
        <w:t xml:space="preserve"> </w:t>
      </w:r>
      <w:r w:rsidRPr="00C54076">
        <w:rPr>
          <w:sz w:val="24"/>
          <w:szCs w:val="24"/>
        </w:rPr>
        <w:t>when an assisted family continues occupancy.  Annual re-inspections are not required under the homeownership option.</w:t>
      </w:r>
      <w:r w:rsidRPr="00C54076" w:rsidR="004A7D12">
        <w:rPr>
          <w:sz w:val="24"/>
          <w:szCs w:val="24"/>
        </w:rPr>
        <w:t xml:space="preserve"> </w:t>
      </w:r>
      <w:r w:rsidRPr="00C54076" w:rsidR="00801F57">
        <w:rPr>
          <w:sz w:val="24"/>
          <w:szCs w:val="24"/>
        </w:rPr>
        <w:t xml:space="preserve"> </w:t>
      </w:r>
      <w:r w:rsidRPr="00C54076">
        <w:rPr>
          <w:sz w:val="24"/>
          <w:szCs w:val="24"/>
        </w:rPr>
        <w:t>A minimum of 20 percent of PBV units are re-inspected annually.  Under HOTMA, an independent entity performing inspections for PHA-owned units must provide the inspection form to the PHA, family and HUD field office.</w:t>
      </w:r>
      <w:r w:rsidRPr="00C54076" w:rsidR="006F5A47">
        <w:rPr>
          <w:sz w:val="24"/>
          <w:szCs w:val="24"/>
        </w:rPr>
        <w:t xml:space="preserve"> </w:t>
      </w:r>
    </w:p>
    <w:p w:rsidR="00565D93" w:rsidRPr="00C54076" w:rsidP="00284B87" w14:paraId="03D9289F" w14:textId="7E1E3951">
      <w:pPr>
        <w:spacing w:after="180"/>
        <w:ind w:left="360"/>
        <w:textAlignment w:val="auto"/>
        <w:rPr>
          <w:sz w:val="24"/>
          <w:szCs w:val="24"/>
        </w:rPr>
      </w:pPr>
      <w:r w:rsidRPr="00B45A80">
        <w:rPr>
          <w:b/>
          <w:bCs/>
          <w:sz w:val="24"/>
          <w:szCs w:val="24"/>
        </w:rPr>
        <w:t>Inspection</w:t>
      </w:r>
      <w:r w:rsidRPr="00B45A80">
        <w:rPr>
          <w:b/>
          <w:bCs/>
          <w:sz w:val="24"/>
          <w:szCs w:val="24"/>
          <w:u w:val="single"/>
        </w:rPr>
        <w:t> </w:t>
      </w:r>
      <w:r w:rsidRPr="00B45A80">
        <w:rPr>
          <w:b/>
          <w:bCs/>
          <w:sz w:val="24"/>
          <w:szCs w:val="24"/>
        </w:rPr>
        <w:t xml:space="preserve">Form, </w:t>
      </w:r>
      <w:r w:rsidRPr="00B45A80" w:rsidR="00FA1C43">
        <w:rPr>
          <w:b/>
          <w:bCs/>
          <w:sz w:val="24"/>
          <w:szCs w:val="24"/>
        </w:rPr>
        <w:t xml:space="preserve">Form </w:t>
      </w:r>
      <w:r w:rsidRPr="00B45A80">
        <w:rPr>
          <w:b/>
          <w:bCs/>
          <w:sz w:val="24"/>
          <w:szCs w:val="24"/>
        </w:rPr>
        <w:t>HUD-52580A</w:t>
      </w:r>
      <w:r w:rsidRPr="00B45A80" w:rsidR="007A314B">
        <w:rPr>
          <w:b/>
          <w:bCs/>
          <w:sz w:val="24"/>
          <w:szCs w:val="24"/>
        </w:rPr>
        <w:t>.</w:t>
      </w:r>
      <w:r w:rsidRPr="00B45A80" w:rsidR="000E0CFE">
        <w:rPr>
          <w:b/>
          <w:bCs/>
          <w:sz w:val="24"/>
          <w:szCs w:val="24"/>
        </w:rPr>
        <w:t xml:space="preserve"> </w:t>
      </w:r>
      <w:r w:rsidRPr="00B45A80" w:rsidR="007A314B">
        <w:rPr>
          <w:b/>
          <w:bCs/>
          <w:sz w:val="24"/>
          <w:szCs w:val="24"/>
        </w:rPr>
        <w:t xml:space="preserve"> </w:t>
      </w:r>
      <w:r w:rsidRPr="00C54076">
        <w:rPr>
          <w:sz w:val="24"/>
          <w:szCs w:val="24"/>
        </w:rPr>
        <w:t>Regulatory reference</w:t>
      </w:r>
      <w:r w:rsidRPr="00C54076">
        <w:rPr>
          <w:b/>
          <w:bCs/>
          <w:sz w:val="24"/>
          <w:szCs w:val="24"/>
        </w:rPr>
        <w:t>: </w:t>
      </w:r>
      <w:r w:rsidRPr="00C54076">
        <w:rPr>
          <w:sz w:val="24"/>
          <w:szCs w:val="24"/>
        </w:rPr>
        <w:t>982.401</w:t>
      </w:r>
      <w:r w:rsidRPr="00C54076">
        <w:rPr>
          <w:b/>
          <w:bCs/>
          <w:sz w:val="24"/>
          <w:szCs w:val="24"/>
        </w:rPr>
        <w:t>. </w:t>
      </w:r>
      <w:r w:rsidRPr="00C54076" w:rsidR="007A314B">
        <w:rPr>
          <w:b/>
          <w:bCs/>
          <w:sz w:val="24"/>
          <w:szCs w:val="24"/>
        </w:rPr>
        <w:t xml:space="preserve"> </w:t>
      </w:r>
      <w:r w:rsidRPr="00C54076">
        <w:rPr>
          <w:sz w:val="24"/>
          <w:szCs w:val="24"/>
        </w:rPr>
        <w:t xml:space="preserve">On May 11, 2023, HUD published the “Economic Growth Regulatory Relief and Consumer Protection Act: Implementation of National Standards for the Physical Inspection of Real Estate (NSPIRE)” final rule in the Federal Register (“NSPIRE final rule”). </w:t>
      </w:r>
      <w:r w:rsidRPr="00C54076" w:rsidR="00BD0474">
        <w:rPr>
          <w:sz w:val="24"/>
          <w:szCs w:val="24"/>
        </w:rPr>
        <w:t xml:space="preserve"> </w:t>
      </w:r>
      <w:r w:rsidRPr="00C54076">
        <w:rPr>
          <w:sz w:val="24"/>
          <w:szCs w:val="24"/>
        </w:rPr>
        <w:t>NSPIRE establishes a new approach to defining and assessing housing quality, strengthens HUD’s physical condition standards and improves HUD oversight by aligning and consolidating the inspection regulations across multiple programs.</w:t>
      </w:r>
      <w:r w:rsidRPr="00C54076">
        <w:rPr>
          <w:b/>
          <w:bCs/>
          <w:sz w:val="24"/>
          <w:szCs w:val="24"/>
        </w:rPr>
        <w:t> </w:t>
      </w:r>
      <w:r w:rsidRPr="00C54076" w:rsidR="00BD0474">
        <w:rPr>
          <w:b/>
          <w:bCs/>
          <w:sz w:val="24"/>
          <w:szCs w:val="24"/>
        </w:rPr>
        <w:t xml:space="preserve"> </w:t>
      </w:r>
      <w:r w:rsidRPr="00C54076">
        <w:rPr>
          <w:sz w:val="24"/>
          <w:szCs w:val="24"/>
        </w:rPr>
        <w:t>PHAs are not required to</w:t>
      </w:r>
      <w:r w:rsidRPr="00C54076" w:rsidR="004A7D12">
        <w:rPr>
          <w:sz w:val="24"/>
          <w:szCs w:val="24"/>
        </w:rPr>
        <w:t xml:space="preserve"> </w:t>
      </w:r>
      <w:r w:rsidRPr="00C54076">
        <w:rPr>
          <w:sz w:val="24"/>
          <w:szCs w:val="24"/>
        </w:rPr>
        <w:t>implement the NSPIRE standards until February 1, 2027. </w:t>
      </w:r>
      <w:r w:rsidRPr="00C54076" w:rsidR="00BD0474">
        <w:rPr>
          <w:sz w:val="24"/>
          <w:szCs w:val="24"/>
        </w:rPr>
        <w:t xml:space="preserve"> </w:t>
      </w:r>
      <w:r w:rsidRPr="00C54076">
        <w:rPr>
          <w:sz w:val="24"/>
          <w:szCs w:val="24"/>
        </w:rPr>
        <w:t>Therefore, the</w:t>
      </w:r>
      <w:r w:rsidRPr="00C54076" w:rsidR="004A7D12">
        <w:rPr>
          <w:sz w:val="24"/>
          <w:szCs w:val="24"/>
        </w:rPr>
        <w:t xml:space="preserve"> </w:t>
      </w:r>
      <w:r w:rsidRPr="00C54076">
        <w:rPr>
          <w:sz w:val="24"/>
          <w:szCs w:val="24"/>
        </w:rPr>
        <w:t>Inspection</w:t>
      </w:r>
      <w:r w:rsidRPr="00C54076" w:rsidR="004A7D12">
        <w:rPr>
          <w:sz w:val="24"/>
          <w:szCs w:val="24"/>
        </w:rPr>
        <w:t xml:space="preserve"> </w:t>
      </w:r>
      <w:r w:rsidRPr="00C54076">
        <w:rPr>
          <w:sz w:val="24"/>
          <w:szCs w:val="24"/>
        </w:rPr>
        <w:t>Form remains available for PHAs who have not yet implemented NSPIRE and are inspection units</w:t>
      </w:r>
      <w:r w:rsidRPr="00C54076" w:rsidR="004A7D12">
        <w:rPr>
          <w:sz w:val="24"/>
          <w:szCs w:val="24"/>
        </w:rPr>
        <w:t xml:space="preserve"> </w:t>
      </w:r>
      <w:r w:rsidRPr="00C54076">
        <w:rPr>
          <w:sz w:val="24"/>
          <w:szCs w:val="24"/>
        </w:rPr>
        <w:t>in accordance with </w:t>
      </w:r>
      <w:r w:rsidRPr="00C54076" w:rsidR="00400BD1">
        <w:rPr>
          <w:sz w:val="24"/>
          <w:szCs w:val="24"/>
        </w:rPr>
        <w:t>HQS</w:t>
      </w:r>
      <w:r w:rsidRPr="00C54076">
        <w:rPr>
          <w:sz w:val="24"/>
          <w:szCs w:val="24"/>
        </w:rPr>
        <w:t xml:space="preserve"> as previously defined.</w:t>
      </w:r>
    </w:p>
    <w:p w:rsidR="00565D93" w:rsidRPr="00C54076" w:rsidP="00284B87" w14:paraId="13B265BB" w14:textId="5121B76A">
      <w:pPr>
        <w:spacing w:after="180"/>
        <w:ind w:left="360"/>
        <w:textAlignment w:val="auto"/>
        <w:rPr>
          <w:sz w:val="24"/>
          <w:szCs w:val="24"/>
        </w:rPr>
      </w:pPr>
      <w:r w:rsidRPr="00B45A80">
        <w:rPr>
          <w:b/>
          <w:bCs/>
          <w:sz w:val="24"/>
          <w:szCs w:val="24"/>
        </w:rPr>
        <w:t>HAP Contracts and Tenancy Addenda, Forms HUD-52641, 52641A and 52642.  </w:t>
      </w:r>
      <w:r w:rsidRPr="00C54076">
        <w:rPr>
          <w:sz w:val="24"/>
          <w:szCs w:val="24"/>
        </w:rPr>
        <w:t xml:space="preserve">Regulatory </w:t>
      </w:r>
      <w:r w:rsidRPr="00C54076" w:rsidR="00162723">
        <w:rPr>
          <w:sz w:val="24"/>
          <w:szCs w:val="24"/>
        </w:rPr>
        <w:t>r</w:t>
      </w:r>
      <w:r w:rsidRPr="00C54076">
        <w:rPr>
          <w:sz w:val="24"/>
          <w:szCs w:val="24"/>
        </w:rPr>
        <w:t>eferences, 982.158, 982.305, 982.308, 982.309, 982.451-982.456, 982.454, 982.620.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w:t>
      </w:r>
      <w:r w:rsidRPr="00C54076" w:rsidR="004A5E58">
        <w:rPr>
          <w:sz w:val="24"/>
          <w:szCs w:val="24"/>
        </w:rPr>
        <w:t>HUD provides s</w:t>
      </w:r>
      <w:r w:rsidRPr="00C54076">
        <w:rPr>
          <w:sz w:val="24"/>
          <w:szCs w:val="24"/>
        </w:rPr>
        <w:t xml:space="preserve">eparate tenancy addenda forms </w:t>
      </w:r>
      <w:r w:rsidRPr="00C54076" w:rsidR="004A5E58">
        <w:rPr>
          <w:sz w:val="24"/>
          <w:szCs w:val="24"/>
        </w:rPr>
        <w:t>for</w:t>
      </w:r>
      <w:r w:rsidRPr="00C54076">
        <w:rPr>
          <w:sz w:val="24"/>
          <w:szCs w:val="24"/>
        </w:rPr>
        <w:t xml:space="preserve"> the landlord </w:t>
      </w:r>
      <w:r w:rsidRPr="00C54076" w:rsidR="00EF30DF">
        <w:rPr>
          <w:sz w:val="24"/>
          <w:szCs w:val="24"/>
        </w:rPr>
        <w:t xml:space="preserve">to attach </w:t>
      </w:r>
      <w:r w:rsidRPr="00C54076">
        <w:rPr>
          <w:sz w:val="24"/>
          <w:szCs w:val="24"/>
        </w:rPr>
        <w:t>to the tenant’s lease.  The PHA must be provided a copy of any revisions to the lease agreed to by the owner and the tenant.  The owner must be provided any amendments to the HAP contract.</w:t>
      </w:r>
      <w:r w:rsidRPr="00C54076" w:rsidR="004A7D12">
        <w:rPr>
          <w:sz w:val="24"/>
          <w:szCs w:val="24"/>
        </w:rPr>
        <w:t xml:space="preserve">  </w:t>
      </w:r>
      <w:r w:rsidRPr="00C54076">
        <w:rPr>
          <w:sz w:val="24"/>
          <w:szCs w:val="24"/>
        </w:rPr>
        <w:t>Below is an explanation of each contract form.</w:t>
      </w:r>
    </w:p>
    <w:p w:rsidR="00565D93" w:rsidRPr="00C54076" w:rsidP="00F6537A" w14:paraId="3DF57A25" w14:textId="0B8111E9">
      <w:pPr>
        <w:spacing w:after="180"/>
        <w:ind w:left="360"/>
        <w:textAlignment w:val="auto"/>
        <w:rPr>
          <w:sz w:val="24"/>
          <w:szCs w:val="24"/>
        </w:rPr>
      </w:pPr>
      <w:r w:rsidRPr="00B45A80">
        <w:rPr>
          <w:b/>
          <w:bCs/>
          <w:sz w:val="24"/>
          <w:szCs w:val="24"/>
        </w:rPr>
        <w:t>HAP Contract</w:t>
      </w:r>
      <w:r w:rsidRPr="00B45A80" w:rsidR="00AE28A9">
        <w:rPr>
          <w:b/>
          <w:bCs/>
          <w:sz w:val="24"/>
          <w:szCs w:val="24"/>
        </w:rPr>
        <w:t xml:space="preserve"> -</w:t>
      </w:r>
      <w:r w:rsidRPr="00B45A80">
        <w:rPr>
          <w:b/>
          <w:bCs/>
          <w:sz w:val="24"/>
          <w:szCs w:val="24"/>
        </w:rPr>
        <w:t xml:space="preserve"> Tenant-Based Assistance, Form HUD-52641.  </w:t>
      </w:r>
      <w:r w:rsidRPr="00C54076">
        <w:rPr>
          <w:sz w:val="24"/>
          <w:szCs w:val="24"/>
        </w:rPr>
        <w:t>This contract form is used for all program participants except manufactured homeowners leasing the manufactured home space.</w:t>
      </w:r>
    </w:p>
    <w:p w:rsidR="00565D93" w:rsidRPr="00C54076" w:rsidP="00F6537A" w14:paraId="0D5BB4A9" w14:textId="0CA42239">
      <w:pPr>
        <w:spacing w:after="180"/>
        <w:ind w:left="360"/>
        <w:textAlignment w:val="auto"/>
        <w:rPr>
          <w:sz w:val="24"/>
          <w:szCs w:val="24"/>
        </w:rPr>
      </w:pPr>
      <w:r w:rsidRPr="00B45A80">
        <w:rPr>
          <w:b/>
          <w:bCs/>
          <w:sz w:val="24"/>
          <w:szCs w:val="24"/>
        </w:rPr>
        <w:t>Tenancy Addendum</w:t>
      </w:r>
      <w:r w:rsidRPr="00B45A80" w:rsidR="00D66F0A">
        <w:rPr>
          <w:b/>
          <w:bCs/>
          <w:sz w:val="24"/>
          <w:szCs w:val="24"/>
        </w:rPr>
        <w:t xml:space="preserve"> – Tenant Based Assistance, </w:t>
      </w:r>
      <w:r w:rsidRPr="00B45A80">
        <w:rPr>
          <w:b/>
          <w:bCs/>
          <w:sz w:val="24"/>
          <w:szCs w:val="24"/>
        </w:rPr>
        <w:t>Form HUD-52641A.  </w:t>
      </w:r>
      <w:r w:rsidRPr="00C54076">
        <w:rPr>
          <w:sz w:val="24"/>
          <w:szCs w:val="24"/>
        </w:rPr>
        <w:t xml:space="preserve">This form must be attached to a copy of the lease that is provided to the tenant by the landlord.  If there is any conflict </w:t>
      </w:r>
      <w:r w:rsidRPr="00C54076">
        <w:rPr>
          <w:sz w:val="24"/>
          <w:szCs w:val="24"/>
        </w:rPr>
        <w:t>between the tenancy addendum and any other provisions of the lease, the language of the tenancy addendum shall control.</w:t>
      </w:r>
    </w:p>
    <w:p w:rsidR="00565D93" w:rsidRPr="00C54076" w:rsidP="00F6537A" w14:paraId="1C3F223C" w14:textId="7DD096F7">
      <w:pPr>
        <w:spacing w:after="180"/>
        <w:ind w:left="360"/>
        <w:textAlignment w:val="auto"/>
        <w:rPr>
          <w:sz w:val="24"/>
          <w:szCs w:val="24"/>
        </w:rPr>
      </w:pPr>
      <w:r w:rsidRPr="00B45A80">
        <w:rPr>
          <w:b/>
          <w:bCs/>
          <w:sz w:val="24"/>
          <w:szCs w:val="24"/>
        </w:rPr>
        <w:t xml:space="preserve">HAP Contract </w:t>
      </w:r>
      <w:r w:rsidRPr="00B45A80" w:rsidR="00D66F0A">
        <w:rPr>
          <w:b/>
          <w:bCs/>
          <w:sz w:val="24"/>
          <w:szCs w:val="24"/>
        </w:rPr>
        <w:t>-</w:t>
      </w:r>
      <w:r w:rsidRPr="00B45A80">
        <w:rPr>
          <w:b/>
          <w:bCs/>
          <w:sz w:val="24"/>
          <w:szCs w:val="24"/>
        </w:rPr>
        <w:t xml:space="preserve"> Manufactured Home Space Rental, Form HUD-52642.</w:t>
      </w:r>
      <w:r w:rsidRPr="00B45A80" w:rsidR="001C49B1">
        <w:rPr>
          <w:b/>
          <w:bCs/>
          <w:sz w:val="24"/>
          <w:szCs w:val="24"/>
        </w:rPr>
        <w:t xml:space="preserve">  </w:t>
      </w:r>
      <w:r w:rsidRPr="00C54076">
        <w:rPr>
          <w:sz w:val="24"/>
          <w:szCs w:val="24"/>
        </w:rPr>
        <w:t>Regulatory</w:t>
      </w:r>
      <w:r w:rsidRPr="00C54076" w:rsidR="001C49B1">
        <w:rPr>
          <w:sz w:val="24"/>
          <w:szCs w:val="24"/>
        </w:rPr>
        <w:t xml:space="preserve"> </w:t>
      </w:r>
      <w:r w:rsidRPr="00C54076">
        <w:rPr>
          <w:sz w:val="24"/>
          <w:szCs w:val="24"/>
        </w:rPr>
        <w:t>reference: 24 CFR 982.622. </w:t>
      </w:r>
      <w:r w:rsidRPr="00C54076" w:rsidR="00FC4CE4">
        <w:rPr>
          <w:sz w:val="24"/>
          <w:szCs w:val="24"/>
        </w:rPr>
        <w:t xml:space="preserve"> </w:t>
      </w:r>
      <w:r w:rsidRPr="00C54076">
        <w:rPr>
          <w:sz w:val="24"/>
          <w:szCs w:val="24"/>
        </w:rPr>
        <w:t>This contract and lease form is used for manufactured homeowners who lease the manufactured home space.</w:t>
      </w:r>
    </w:p>
    <w:p w:rsidR="007E4BA4" w:rsidRPr="00C54076" w:rsidP="007E4BA4" w14:paraId="72E5BD9C" w14:textId="77777777">
      <w:pPr>
        <w:spacing w:after="180"/>
        <w:ind w:left="360"/>
        <w:textAlignment w:val="auto"/>
        <w:rPr>
          <w:sz w:val="24"/>
          <w:szCs w:val="24"/>
        </w:rPr>
      </w:pPr>
      <w:r w:rsidRPr="00B45A80">
        <w:rPr>
          <w:b/>
          <w:bCs/>
          <w:sz w:val="24"/>
          <w:szCs w:val="24"/>
        </w:rPr>
        <w:t>Voucher, Form HUD-52646.  </w:t>
      </w:r>
      <w:r w:rsidRPr="00C54076">
        <w:rPr>
          <w:sz w:val="24"/>
          <w:szCs w:val="24"/>
        </w:rPr>
        <w:t>Regulatory References 982.158, 982.302 and 982.303.  The voucher is the document that authorizes the family to look for an eligible unit and specifies the appropriate unit size necessary to meet the family's needs.  The voucher also sets forth the family's obligations under the HCV program.  The voucher includes the unit size for which the family is eligible to receive subsidy and the date the voucher was issued.  The family signs the voucher, and a copy is kept in the tenant file.</w:t>
      </w:r>
    </w:p>
    <w:p w:rsidR="007E4BA4" w:rsidRPr="00C54076" w:rsidP="007E4BA4" w14:paraId="28237731" w14:textId="68B7C677">
      <w:pPr>
        <w:spacing w:after="180"/>
        <w:ind w:left="360"/>
        <w:textAlignment w:val="auto"/>
        <w:rPr>
          <w:sz w:val="24"/>
          <w:szCs w:val="24"/>
        </w:rPr>
      </w:pPr>
      <w:r w:rsidRPr="00B45A80">
        <w:rPr>
          <w:b/>
          <w:bCs/>
          <w:sz w:val="24"/>
          <w:szCs w:val="24"/>
        </w:rPr>
        <w:t>Statement of Homeowner Obligations, Form HUD-52649</w:t>
      </w:r>
      <w:r w:rsidRPr="00B45A80">
        <w:rPr>
          <w:sz w:val="24"/>
          <w:szCs w:val="24"/>
        </w:rPr>
        <w:t>.  </w:t>
      </w:r>
      <w:r w:rsidRPr="00C54076">
        <w:rPr>
          <w:sz w:val="24"/>
          <w:szCs w:val="24"/>
        </w:rPr>
        <w:t>Regulatory Reference 982.625 and 982.633.  The PHA and family participating in the homeownership voucher program must execute a “statement of homeowner obligations” before HAP begins.  This statement describes the types of information to be provided by the family during the process for determining a family’s eligibility for 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w:t>
      </w:r>
    </w:p>
    <w:p w:rsidR="007E4BA4" w:rsidRPr="00C54076" w:rsidP="007E4BA4" w14:paraId="73A067EB" w14:textId="77777777">
      <w:pPr>
        <w:spacing w:after="180"/>
        <w:ind w:left="360"/>
        <w:textAlignment w:val="auto"/>
        <w:rPr>
          <w:sz w:val="24"/>
          <w:szCs w:val="24"/>
        </w:rPr>
      </w:pPr>
      <w:r w:rsidRPr="00B45A80">
        <w:rPr>
          <w:b/>
          <w:bCs/>
          <w:sz w:val="24"/>
          <w:szCs w:val="24"/>
        </w:rPr>
        <w:t>Family Portability Information, Form HUD-52665.  </w:t>
      </w:r>
      <w:r w:rsidRPr="00C54076">
        <w:rPr>
          <w:sz w:val="24"/>
          <w:szCs w:val="24"/>
        </w:rPr>
        <w:t xml:space="preserve">Regulatory </w:t>
      </w:r>
      <w:r w:rsidRPr="00C54076">
        <w:rPr>
          <w:szCs w:val="22"/>
        </w:rPr>
        <w:t>r</w:t>
      </w:r>
      <w:r w:rsidRPr="00C54076">
        <w:rPr>
          <w:sz w:val="24"/>
          <w:szCs w:val="24"/>
        </w:rPr>
        <w:t>eference 982.158 and 982.355.  This form standardizes the portability information submitted to the receiving PHA by the initial PHA.  In addition, this form is used for monthly portability billing by the receiving PHA.  This form also indicates if the family will be absorbed into the receiving PHA’s voucher program.  After the payment amount is established, the form does not need to be resubmitted until the annual recertification or if the payment amount changes between annual re-certifications.</w:t>
      </w:r>
    </w:p>
    <w:p w:rsidR="00875028" w:rsidRPr="00C54076" w:rsidP="00875028" w14:paraId="2120A308" w14:textId="1CE958C0">
      <w:pPr>
        <w:spacing w:after="180"/>
        <w:ind w:left="360"/>
        <w:textAlignment w:val="auto"/>
        <w:rPr>
          <w:sz w:val="24"/>
          <w:szCs w:val="24"/>
        </w:rPr>
      </w:pPr>
      <w:r w:rsidRPr="00B45A80">
        <w:rPr>
          <w:b/>
          <w:bCs/>
          <w:sz w:val="24"/>
          <w:szCs w:val="24"/>
        </w:rPr>
        <w:t>Utility Allowance Schedule</w:t>
      </w:r>
      <w:r w:rsidRPr="00B45A80">
        <w:rPr>
          <w:b/>
          <w:bCs/>
          <w:sz w:val="24"/>
          <w:szCs w:val="24"/>
        </w:rPr>
        <w:t>, Form HUD-52667.  </w:t>
      </w:r>
      <w:r w:rsidRPr="00C54076">
        <w:rPr>
          <w:sz w:val="24"/>
          <w:szCs w:val="24"/>
        </w:rPr>
        <w:t>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  PHAs are required to review utility allowances annually and update the form as required.  It is used to calculate the family’s utility allowance.  </w:t>
      </w:r>
      <w:r w:rsidRPr="00C54076">
        <w:rPr>
          <w:b/>
          <w:bCs/>
          <w:sz w:val="24"/>
          <w:szCs w:val="24"/>
        </w:rPr>
        <w:t>Purpose: Program planning or management; Regulatory compliance.</w:t>
      </w:r>
      <w:r w:rsidRPr="00C54076">
        <w:rPr>
          <w:sz w:val="24"/>
          <w:szCs w:val="24"/>
        </w:rPr>
        <w:t>  </w:t>
      </w:r>
      <w:r w:rsidRPr="00C54076">
        <w:rPr>
          <w:b/>
          <w:bCs/>
          <w:sz w:val="24"/>
          <w:szCs w:val="24"/>
        </w:rPr>
        <w:t>These purposes will remain applicable to the following forms and documents.</w:t>
      </w:r>
    </w:p>
    <w:p w:rsidR="00875028" w:rsidRPr="00C54076" w:rsidP="00B45A80" w14:paraId="19EDE814" w14:textId="7D3FB821">
      <w:pPr>
        <w:pBdr>
          <w:top w:val="single" w:sz="4" w:space="1" w:color="auto"/>
          <w:bottom w:val="single" w:sz="4" w:space="1" w:color="auto"/>
        </w:pBdr>
        <w:spacing w:after="180"/>
        <w:ind w:left="360"/>
        <w:textAlignment w:val="auto"/>
        <w:rPr>
          <w:b/>
          <w:bCs/>
          <w:sz w:val="24"/>
          <w:szCs w:val="24"/>
        </w:rPr>
      </w:pPr>
      <w:r w:rsidRPr="00C54076">
        <w:rPr>
          <w:b/>
          <w:bCs/>
          <w:sz w:val="24"/>
          <w:szCs w:val="24"/>
        </w:rPr>
        <w:t>New HCV Forms</w:t>
      </w:r>
    </w:p>
    <w:p w:rsidR="00565D93" w:rsidRPr="00C54076" w:rsidP="00FF08FE" w14:paraId="3D1118E9" w14:textId="43C9B11A">
      <w:pPr>
        <w:spacing w:after="180"/>
        <w:ind w:left="360"/>
        <w:textAlignment w:val="auto"/>
        <w:rPr>
          <w:sz w:val="24"/>
          <w:szCs w:val="24"/>
        </w:rPr>
      </w:pPr>
      <w:r w:rsidRPr="00B45A80">
        <w:rPr>
          <w:b/>
          <w:bCs/>
          <w:sz w:val="24"/>
          <w:szCs w:val="24"/>
        </w:rPr>
        <w:t>PHA-Owned Certification</w:t>
      </w:r>
      <w:r w:rsidRPr="00B45A80" w:rsidR="00091C47">
        <w:rPr>
          <w:b/>
          <w:bCs/>
          <w:sz w:val="24"/>
          <w:szCs w:val="24"/>
        </w:rPr>
        <w:t xml:space="preserve"> – Tenant Based Assistance</w:t>
      </w:r>
      <w:r w:rsidRPr="00B45A80" w:rsidR="00AA6835">
        <w:rPr>
          <w:b/>
          <w:bCs/>
          <w:sz w:val="24"/>
          <w:szCs w:val="24"/>
        </w:rPr>
        <w:t>, HUD-XXXXX</w:t>
      </w:r>
      <w:r w:rsidRPr="00B45A80">
        <w:rPr>
          <w:b/>
          <w:bCs/>
          <w:sz w:val="24"/>
          <w:szCs w:val="24"/>
        </w:rPr>
        <w:t>.</w:t>
      </w:r>
      <w:r w:rsidRPr="00B45A80">
        <w:rPr>
          <w:sz w:val="24"/>
          <w:szCs w:val="24"/>
        </w:rPr>
        <w:t> </w:t>
      </w:r>
      <w:r w:rsidRPr="00B45A80" w:rsidR="00FC4CE4">
        <w:rPr>
          <w:sz w:val="24"/>
          <w:szCs w:val="24"/>
        </w:rPr>
        <w:t xml:space="preserve"> </w:t>
      </w:r>
      <w:r w:rsidRPr="00C54076">
        <w:rPr>
          <w:sz w:val="24"/>
          <w:szCs w:val="24"/>
        </w:rPr>
        <w:t>Regulatory reference: 24 CFR 982.451(c) (to become effective upon publication of this form</w:t>
      </w:r>
      <w:r w:rsidRPr="00C54076" w:rsidR="007B0FE9">
        <w:rPr>
          <w:sz w:val="24"/>
          <w:szCs w:val="24"/>
        </w:rPr>
        <w:t>,</w:t>
      </w:r>
      <w:r w:rsidRPr="00C54076">
        <w:rPr>
          <w:sz w:val="24"/>
          <w:szCs w:val="24"/>
        </w:rPr>
        <w:t xml:space="preserve"> per 89 FR 38224 (May 7, 2024)). </w:t>
      </w:r>
      <w:r w:rsidRPr="00C54076" w:rsidR="00FC4CE4">
        <w:rPr>
          <w:sz w:val="24"/>
          <w:szCs w:val="24"/>
        </w:rPr>
        <w:t xml:space="preserve"> </w:t>
      </w:r>
      <w:r w:rsidRPr="00C54076">
        <w:rPr>
          <w:sz w:val="24"/>
          <w:szCs w:val="24"/>
        </w:rPr>
        <w:t>This form is used to establish terms to which a PHA certifies in order to provide housing assistance for eligible families, including whether the tenant or the PHA pays for utilities and services.</w:t>
      </w:r>
    </w:p>
    <w:p w:rsidR="00875028" w:rsidRPr="00887EAA" w:rsidP="00B45A80" w14:paraId="4E177D6D" w14:textId="333FE742">
      <w:pPr>
        <w:spacing w:after="180"/>
        <w:ind w:left="360"/>
        <w:textAlignment w:val="auto"/>
        <w:rPr>
          <w:sz w:val="24"/>
          <w:szCs w:val="24"/>
        </w:rPr>
      </w:pPr>
      <w:r>
        <w:rPr>
          <w:b/>
          <w:bCs/>
          <w:sz w:val="24"/>
          <w:szCs w:val="24"/>
        </w:rPr>
        <w:t xml:space="preserve">Part C of HAP Contract </w:t>
      </w:r>
      <w:r w:rsidRPr="00B45A80">
        <w:rPr>
          <w:b/>
          <w:bCs/>
          <w:sz w:val="24"/>
          <w:szCs w:val="24"/>
        </w:rPr>
        <w:t>Tenancy Addendum</w:t>
      </w:r>
      <w:r w:rsidRPr="00B45A80" w:rsidR="00091C47">
        <w:rPr>
          <w:b/>
          <w:bCs/>
          <w:sz w:val="24"/>
          <w:szCs w:val="24"/>
        </w:rPr>
        <w:t xml:space="preserve"> </w:t>
      </w:r>
      <w:r w:rsidRPr="00B45A80" w:rsidR="006556F1">
        <w:rPr>
          <w:b/>
          <w:bCs/>
          <w:sz w:val="24"/>
          <w:szCs w:val="24"/>
        </w:rPr>
        <w:t>–</w:t>
      </w:r>
      <w:r w:rsidRPr="00B45A80" w:rsidR="00091C47">
        <w:rPr>
          <w:b/>
          <w:bCs/>
          <w:sz w:val="24"/>
          <w:szCs w:val="24"/>
        </w:rPr>
        <w:t xml:space="preserve"> </w:t>
      </w:r>
      <w:r w:rsidRPr="00B45A80" w:rsidR="006556F1">
        <w:rPr>
          <w:b/>
          <w:bCs/>
          <w:sz w:val="24"/>
          <w:szCs w:val="24"/>
        </w:rPr>
        <w:t>Following Termination of PBV Assistance to the Project,</w:t>
      </w:r>
      <w:r w:rsidRPr="00B45A80">
        <w:rPr>
          <w:b/>
          <w:bCs/>
          <w:sz w:val="24"/>
          <w:szCs w:val="24"/>
        </w:rPr>
        <w:t xml:space="preserve"> Form HUD-</w:t>
      </w:r>
      <w:r w:rsidR="00AA6DD7">
        <w:rPr>
          <w:b/>
          <w:bCs/>
          <w:sz w:val="24"/>
          <w:szCs w:val="24"/>
        </w:rPr>
        <w:t>52641C</w:t>
      </w:r>
      <w:r w:rsidRPr="00B45A80">
        <w:rPr>
          <w:b/>
          <w:bCs/>
          <w:sz w:val="24"/>
          <w:szCs w:val="24"/>
        </w:rPr>
        <w:t>.</w:t>
      </w:r>
      <w:r w:rsidRPr="00B45A80">
        <w:rPr>
          <w:sz w:val="24"/>
          <w:szCs w:val="24"/>
        </w:rPr>
        <w:t xml:space="preserve">  </w:t>
      </w:r>
      <w:r w:rsidRPr="00C54076">
        <w:rPr>
          <w:sz w:val="24"/>
          <w:szCs w:val="24"/>
        </w:rPr>
        <w:t xml:space="preserve">This form must be attached to the copy of the lease that is provided to the tenant by the landlord when a family remains in their unit following termination </w:t>
      </w:r>
      <w:r w:rsidRPr="00887EAA">
        <w:rPr>
          <w:sz w:val="24"/>
          <w:szCs w:val="24"/>
        </w:rPr>
        <w:t>of PBV assistance to a project.  </w:t>
      </w:r>
    </w:p>
    <w:p w:rsidR="00E74999" w:rsidRPr="00887EAA" w:rsidP="00B45A80" w14:paraId="36CC42D3" w14:textId="3BF25136">
      <w:pPr>
        <w:pBdr>
          <w:top w:val="single" w:sz="4" w:space="1" w:color="auto"/>
          <w:bottom w:val="single" w:sz="4" w:space="1" w:color="auto"/>
        </w:pBdr>
        <w:spacing w:after="180"/>
        <w:ind w:left="360"/>
        <w:textAlignment w:val="auto"/>
        <w:rPr>
          <w:b/>
          <w:bCs/>
          <w:sz w:val="24"/>
          <w:szCs w:val="24"/>
        </w:rPr>
      </w:pPr>
      <w:r>
        <w:rPr>
          <w:b/>
          <w:bCs/>
          <w:sz w:val="24"/>
          <w:szCs w:val="24"/>
        </w:rPr>
        <w:t>PBV Renewal Forms</w:t>
      </w:r>
    </w:p>
    <w:p w:rsidR="00902D46" w:rsidRPr="00887EAA" w:rsidP="00902D46" w14:paraId="6176C0E8" w14:textId="409EDD3D">
      <w:pPr>
        <w:spacing w:after="180"/>
        <w:ind w:left="360"/>
        <w:textAlignment w:val="auto"/>
        <w:rPr>
          <w:sz w:val="24"/>
          <w:szCs w:val="24"/>
        </w:rPr>
      </w:pPr>
      <w:r w:rsidRPr="00887EAA">
        <w:rPr>
          <w:b/>
          <w:bCs/>
          <w:sz w:val="24"/>
          <w:szCs w:val="24"/>
        </w:rPr>
        <w:t xml:space="preserve">PBV HAP Contract </w:t>
      </w:r>
      <w:r w:rsidR="001B41C9">
        <w:rPr>
          <w:b/>
          <w:bCs/>
          <w:sz w:val="24"/>
          <w:szCs w:val="24"/>
        </w:rPr>
        <w:t xml:space="preserve">- </w:t>
      </w:r>
      <w:r w:rsidRPr="00887EAA">
        <w:rPr>
          <w:b/>
          <w:bCs/>
          <w:sz w:val="24"/>
          <w:szCs w:val="24"/>
        </w:rPr>
        <w:t>New Construction or Rehabilitation</w:t>
      </w:r>
      <w:r>
        <w:rPr>
          <w:b/>
          <w:bCs/>
          <w:sz w:val="24"/>
          <w:szCs w:val="24"/>
        </w:rPr>
        <w:t>,</w:t>
      </w:r>
      <w:r w:rsidRPr="00887EAA">
        <w:rPr>
          <w:b/>
          <w:bCs/>
          <w:sz w:val="24"/>
          <w:szCs w:val="24"/>
        </w:rPr>
        <w:t> Form HUD-52530A, Part 1 and Part 2.  </w:t>
      </w:r>
      <w:r w:rsidRPr="00887EAA">
        <w:rPr>
          <w:sz w:val="24"/>
          <w:szCs w:val="24"/>
        </w:rPr>
        <w:t xml:space="preserve">Regulatory </w:t>
      </w:r>
      <w:r w:rsidRPr="00403AA6">
        <w:rPr>
          <w:szCs w:val="22"/>
        </w:rPr>
        <w:t>r</w:t>
      </w:r>
      <w:r w:rsidRPr="00887EAA">
        <w:rPr>
          <w:sz w:val="24"/>
          <w:szCs w:val="24"/>
        </w:rPr>
        <w:t xml:space="preserve">eference part 983 subpart E.  The PHA must enter into a HAP contract with the owner to provide for </w:t>
      </w:r>
      <w:r>
        <w:rPr>
          <w:sz w:val="24"/>
          <w:szCs w:val="24"/>
        </w:rPr>
        <w:t>HAP</w:t>
      </w:r>
      <w:r w:rsidRPr="00887EAA">
        <w:rPr>
          <w:sz w:val="24"/>
          <w:szCs w:val="24"/>
        </w:rPr>
        <w:t xml:space="preserve"> for eligible families.  These contracts may be amended.</w:t>
      </w:r>
    </w:p>
    <w:p w:rsidR="00902D46" w:rsidRPr="00887EAA" w:rsidP="00902D46" w14:paraId="23D36BAF" w14:textId="1DF064B1">
      <w:pPr>
        <w:spacing w:after="180"/>
        <w:ind w:left="360"/>
        <w:textAlignment w:val="auto"/>
        <w:rPr>
          <w:sz w:val="24"/>
          <w:szCs w:val="24"/>
        </w:rPr>
      </w:pPr>
      <w:r w:rsidRPr="00887EAA">
        <w:rPr>
          <w:b/>
          <w:bCs/>
          <w:sz w:val="24"/>
          <w:szCs w:val="24"/>
        </w:rPr>
        <w:t xml:space="preserve">PBV HAP Contract </w:t>
      </w:r>
      <w:r w:rsidR="008B09B2">
        <w:rPr>
          <w:b/>
          <w:bCs/>
          <w:sz w:val="24"/>
          <w:szCs w:val="24"/>
        </w:rPr>
        <w:t>-</w:t>
      </w:r>
      <w:r w:rsidRPr="00887EAA">
        <w:rPr>
          <w:b/>
          <w:bCs/>
          <w:sz w:val="24"/>
          <w:szCs w:val="24"/>
        </w:rPr>
        <w:t xml:space="preserve"> Existing </w:t>
      </w:r>
      <w:r w:rsidR="008B09B2">
        <w:rPr>
          <w:b/>
          <w:bCs/>
          <w:sz w:val="24"/>
          <w:szCs w:val="24"/>
        </w:rPr>
        <w:t>Housing</w:t>
      </w:r>
      <w:r>
        <w:rPr>
          <w:b/>
          <w:bCs/>
          <w:sz w:val="24"/>
          <w:szCs w:val="24"/>
        </w:rPr>
        <w:t>,</w:t>
      </w:r>
      <w:r w:rsidRPr="00887EAA">
        <w:rPr>
          <w:b/>
          <w:bCs/>
          <w:sz w:val="24"/>
          <w:szCs w:val="24"/>
        </w:rPr>
        <w:t> Form HUD-52530B, Part 1 and Part 2.  </w:t>
      </w:r>
      <w:r w:rsidRPr="00887EAA">
        <w:rPr>
          <w:sz w:val="24"/>
          <w:szCs w:val="24"/>
        </w:rPr>
        <w:t xml:space="preserve">Regulatory </w:t>
      </w:r>
      <w:r w:rsidRPr="00403AA6">
        <w:rPr>
          <w:szCs w:val="22"/>
        </w:rPr>
        <w:t>r</w:t>
      </w:r>
      <w:r w:rsidRPr="00887EAA">
        <w:rPr>
          <w:sz w:val="24"/>
          <w:szCs w:val="24"/>
        </w:rPr>
        <w:t>eference</w:t>
      </w:r>
      <w:r>
        <w:rPr>
          <w:sz w:val="24"/>
          <w:szCs w:val="24"/>
        </w:rPr>
        <w:t xml:space="preserve"> </w:t>
      </w:r>
      <w:r w:rsidRPr="00887EAA">
        <w:rPr>
          <w:sz w:val="24"/>
          <w:szCs w:val="24"/>
        </w:rPr>
        <w:t xml:space="preserve">part 983 subpart E.  The PHA must enter into a HAP contract with the owner to provide for </w:t>
      </w:r>
      <w:r>
        <w:rPr>
          <w:sz w:val="24"/>
          <w:szCs w:val="24"/>
        </w:rPr>
        <w:t>HAP</w:t>
      </w:r>
      <w:r w:rsidRPr="00887EAA">
        <w:rPr>
          <w:sz w:val="24"/>
          <w:szCs w:val="24"/>
        </w:rPr>
        <w:t xml:space="preserve"> for eligible families.  These contracts may be amended. </w:t>
      </w:r>
    </w:p>
    <w:p w:rsidR="00902D46" w:rsidRPr="00887EAA" w:rsidP="00902D46" w14:paraId="00D6E588" w14:textId="2A53A6A8">
      <w:pPr>
        <w:spacing w:after="180"/>
        <w:ind w:left="360"/>
        <w:textAlignment w:val="auto"/>
        <w:rPr>
          <w:sz w:val="24"/>
          <w:szCs w:val="24"/>
        </w:rPr>
      </w:pPr>
      <w:r w:rsidRPr="00887EAA">
        <w:rPr>
          <w:b/>
          <w:bCs/>
          <w:sz w:val="24"/>
          <w:szCs w:val="24"/>
        </w:rPr>
        <w:t>PBV Tenancy Addendum</w:t>
      </w:r>
      <w:r w:rsidR="008B09B2">
        <w:rPr>
          <w:b/>
          <w:bCs/>
          <w:sz w:val="24"/>
          <w:szCs w:val="24"/>
        </w:rPr>
        <w:t>,</w:t>
      </w:r>
      <w:r w:rsidRPr="00887EAA">
        <w:rPr>
          <w:b/>
          <w:bCs/>
          <w:sz w:val="24"/>
          <w:szCs w:val="24"/>
        </w:rPr>
        <w:t>  Form HUD-52530C.  </w:t>
      </w:r>
      <w:r w:rsidRPr="00887EAA">
        <w:rPr>
          <w:sz w:val="24"/>
          <w:szCs w:val="24"/>
        </w:rPr>
        <w:t xml:space="preserve">Regulatory </w:t>
      </w:r>
      <w:r w:rsidRPr="00403AA6">
        <w:rPr>
          <w:szCs w:val="22"/>
        </w:rPr>
        <w:t>r</w:t>
      </w:r>
      <w:r w:rsidRPr="00887EAA">
        <w:rPr>
          <w:sz w:val="24"/>
          <w:szCs w:val="24"/>
        </w:rPr>
        <w:t>eference 983.256(b)(3).  The lease under the PBV program must include the HUD-required tenancy addendum with all provisions required by HUD.</w:t>
      </w:r>
    </w:p>
    <w:p w:rsidR="000347AE" w:rsidRPr="002152F9" w:rsidP="000347AE" w14:paraId="599E2AA3" w14:textId="30F82690">
      <w:pPr>
        <w:spacing w:after="180"/>
        <w:ind w:left="360"/>
        <w:textAlignment w:val="auto"/>
        <w:rPr>
          <w:sz w:val="24"/>
          <w:szCs w:val="24"/>
        </w:rPr>
      </w:pPr>
      <w:r w:rsidRPr="002152F9">
        <w:rPr>
          <w:b/>
          <w:bCs/>
          <w:sz w:val="24"/>
          <w:szCs w:val="24"/>
        </w:rPr>
        <w:t xml:space="preserve">PBV </w:t>
      </w:r>
      <w:r w:rsidRPr="002152F9">
        <w:rPr>
          <w:b/>
          <w:bCs/>
          <w:sz w:val="24"/>
          <w:szCs w:val="24"/>
        </w:rPr>
        <w:t>Agreement to Enter into a HAP Contract, Forms HUD-52531A and HUD-52531B.  </w:t>
      </w:r>
      <w:r w:rsidRPr="002152F9">
        <w:rPr>
          <w:sz w:val="24"/>
          <w:szCs w:val="24"/>
        </w:rPr>
        <w:t xml:space="preserve">Regulatory </w:t>
      </w:r>
      <w:r w:rsidRPr="002152F9">
        <w:rPr>
          <w:szCs w:val="22"/>
        </w:rPr>
        <w:t>r</w:t>
      </w:r>
      <w:r w:rsidRPr="002152F9">
        <w:rPr>
          <w:sz w:val="24"/>
          <w:szCs w:val="24"/>
        </w:rPr>
        <w:t>eference 983.154.  Except as specified in 983.154(f) and (g), for newly constructed or rehabilitated PBV units, the PHA and owner must enter into an Agreement that will govern development activity.</w:t>
      </w:r>
    </w:p>
    <w:p w:rsidR="000347AE" w:rsidRPr="002152F9" w:rsidP="000347AE" w14:paraId="23D697F7" w14:textId="661DEF75">
      <w:pPr>
        <w:spacing w:after="180"/>
        <w:ind w:left="360"/>
        <w:textAlignment w:val="auto"/>
        <w:rPr>
          <w:sz w:val="24"/>
          <w:szCs w:val="24"/>
        </w:rPr>
      </w:pPr>
      <w:r w:rsidRPr="002152F9">
        <w:rPr>
          <w:b/>
          <w:bCs/>
          <w:sz w:val="24"/>
          <w:szCs w:val="24"/>
        </w:rPr>
        <w:t>PBV Statement of Family Responsibilit</w:t>
      </w:r>
      <w:r w:rsidRPr="002152F9" w:rsidR="00BD256F">
        <w:rPr>
          <w:b/>
          <w:bCs/>
          <w:sz w:val="24"/>
          <w:szCs w:val="24"/>
        </w:rPr>
        <w:t>y</w:t>
      </w:r>
      <w:r w:rsidRPr="002152F9">
        <w:rPr>
          <w:b/>
          <w:bCs/>
          <w:sz w:val="24"/>
          <w:szCs w:val="24"/>
        </w:rPr>
        <w:t xml:space="preserve">, Form HUD-52578B.  </w:t>
      </w:r>
      <w:r w:rsidRPr="002152F9">
        <w:rPr>
          <w:sz w:val="24"/>
          <w:szCs w:val="24"/>
        </w:rPr>
        <w:t xml:space="preserve">Regulatory </w:t>
      </w:r>
      <w:r w:rsidRPr="002152F9">
        <w:rPr>
          <w:szCs w:val="22"/>
        </w:rPr>
        <w:t>r</w:t>
      </w:r>
      <w:r w:rsidRPr="002152F9">
        <w:rPr>
          <w:sz w:val="24"/>
          <w:szCs w:val="24"/>
        </w:rPr>
        <w:t>eference 983.252(c).  Each family participating in the PBV program and the PHA providing assistance must sign this form, which includes family obligations.</w:t>
      </w:r>
    </w:p>
    <w:p w:rsidR="000347AE" w:rsidRPr="002152F9" w:rsidP="00B45A80" w14:paraId="73F1776F" w14:textId="0E9DCB5B">
      <w:pPr>
        <w:pBdr>
          <w:top w:val="single" w:sz="4" w:space="1" w:color="auto"/>
          <w:bottom w:val="single" w:sz="4" w:space="1" w:color="auto"/>
        </w:pBdr>
        <w:spacing w:after="180"/>
        <w:ind w:left="360"/>
        <w:textAlignment w:val="auto"/>
        <w:rPr>
          <w:b/>
          <w:bCs/>
          <w:sz w:val="24"/>
          <w:szCs w:val="24"/>
        </w:rPr>
      </w:pPr>
      <w:r w:rsidRPr="002152F9">
        <w:rPr>
          <w:b/>
          <w:bCs/>
          <w:sz w:val="24"/>
          <w:szCs w:val="24"/>
        </w:rPr>
        <w:t>New PBV Forms</w:t>
      </w:r>
    </w:p>
    <w:p w:rsidR="00025033" w:rsidRPr="002152F9" w:rsidP="00025033" w14:paraId="1B505BD9" w14:textId="0F297133">
      <w:pPr>
        <w:spacing w:after="180"/>
        <w:ind w:left="360"/>
        <w:textAlignment w:val="auto"/>
        <w:rPr>
          <w:sz w:val="24"/>
          <w:szCs w:val="24"/>
        </w:rPr>
      </w:pPr>
      <w:r w:rsidRPr="002152F9">
        <w:rPr>
          <w:b/>
          <w:bCs/>
          <w:sz w:val="24"/>
          <w:szCs w:val="24"/>
        </w:rPr>
        <w:t xml:space="preserve">PBV </w:t>
      </w:r>
      <w:r w:rsidRPr="002152F9">
        <w:rPr>
          <w:b/>
          <w:bCs/>
          <w:sz w:val="24"/>
          <w:szCs w:val="24"/>
        </w:rPr>
        <w:t>PHA-owned Agreement Certification</w:t>
      </w:r>
      <w:r w:rsidRPr="002152F9" w:rsidR="00704579">
        <w:rPr>
          <w:b/>
          <w:bCs/>
          <w:sz w:val="24"/>
          <w:szCs w:val="24"/>
        </w:rPr>
        <w:t xml:space="preserve"> – New Construction or Rehabilitation</w:t>
      </w:r>
      <w:r w:rsidRPr="002152F9">
        <w:rPr>
          <w:b/>
          <w:bCs/>
          <w:sz w:val="24"/>
          <w:szCs w:val="24"/>
        </w:rPr>
        <w:t>, Form HUD-XXXXX, Part 1 and Part 2.</w:t>
      </w:r>
      <w:r w:rsidRPr="002152F9">
        <w:rPr>
          <w:sz w:val="24"/>
          <w:szCs w:val="24"/>
        </w:rPr>
        <w:t xml:space="preserve">  Regulatory </w:t>
      </w:r>
      <w:r w:rsidRPr="002152F9">
        <w:rPr>
          <w:szCs w:val="22"/>
        </w:rPr>
        <w:t>r</w:t>
      </w:r>
      <w:r w:rsidRPr="002152F9">
        <w:rPr>
          <w:sz w:val="24"/>
          <w:szCs w:val="24"/>
        </w:rPr>
        <w:t>eference 983.154(h) (to become effective upon publication of this form per 89 FR 38224 (May 7, 2024)).  For PBV projects containing PHA-owned units that are not owned by a separate legal entity from the PHA, the PHA must choose (if it does not exercise its discretion at paragraphs (f) or (g) of 983.154) to either execute an Agreement with a separate legal entity (the Owner) or to sign the PHA-owned Agreement Certification covering one or more PHA-owned units.  By signing the PHA-owned Agreement Certification, the PHA certifies that it will fulfill all the required program responsibilities of the private owner under the Agreement, and that it will also fulfill all of the program responsibilities required of the PHA for the PHA-owned unit(s). </w:t>
      </w:r>
    </w:p>
    <w:p w:rsidR="00025033" w:rsidRPr="002152F9" w:rsidP="00025033" w14:paraId="74E05FF5" w14:textId="77777777">
      <w:pPr>
        <w:spacing w:after="180"/>
        <w:ind w:left="360"/>
        <w:textAlignment w:val="auto"/>
        <w:rPr>
          <w:sz w:val="24"/>
          <w:szCs w:val="24"/>
        </w:rPr>
      </w:pPr>
      <w:r w:rsidRPr="002152F9">
        <w:rPr>
          <w:b/>
          <w:bCs/>
          <w:sz w:val="24"/>
          <w:szCs w:val="24"/>
        </w:rPr>
        <w:t>PBV PHA-owned Certification for Existing Housing, Form HUD-XXXXX, Part 1 and Part 2.  </w:t>
      </w:r>
      <w:r w:rsidRPr="002152F9">
        <w:rPr>
          <w:sz w:val="24"/>
          <w:szCs w:val="24"/>
        </w:rPr>
        <w:t xml:space="preserve">Regulatory </w:t>
      </w:r>
      <w:r w:rsidRPr="002152F9">
        <w:rPr>
          <w:szCs w:val="22"/>
        </w:rPr>
        <w:t>r</w:t>
      </w:r>
      <w:r w:rsidRPr="002152F9">
        <w:rPr>
          <w:sz w:val="24"/>
          <w:szCs w:val="24"/>
        </w:rPr>
        <w:t>eference 983.204(e) (to become effective upon publication of this form per 89 FR 38224 (May 7, 2024)).  For PBV projects containing PHA-owned existing housing units that are not owned by a separate legal entity from the PHA, the PHA must choose to either execute a PBV HAP Contract for Existing Units or to sign the PHA-owned Certification for Existing Housing covering one or more PHA-owned units.</w:t>
      </w:r>
    </w:p>
    <w:p w:rsidR="00025033" w:rsidRPr="002152F9" w:rsidP="00025033" w14:paraId="5ECE28D2" w14:textId="5662CDFD">
      <w:pPr>
        <w:spacing w:after="180"/>
        <w:ind w:left="360"/>
        <w:textAlignment w:val="auto"/>
        <w:rPr>
          <w:sz w:val="24"/>
          <w:szCs w:val="24"/>
        </w:rPr>
      </w:pPr>
      <w:r w:rsidRPr="002152F9">
        <w:rPr>
          <w:b/>
          <w:bCs/>
          <w:sz w:val="24"/>
          <w:szCs w:val="24"/>
        </w:rPr>
        <w:t>PBV PHA-owned Certification for New Construct</w:t>
      </w:r>
      <w:r w:rsidRPr="002152F9" w:rsidR="00BB43B1">
        <w:rPr>
          <w:b/>
          <w:bCs/>
          <w:sz w:val="24"/>
          <w:szCs w:val="24"/>
        </w:rPr>
        <w:t>ion</w:t>
      </w:r>
      <w:r w:rsidRPr="002152F9">
        <w:rPr>
          <w:b/>
          <w:bCs/>
          <w:sz w:val="24"/>
          <w:szCs w:val="24"/>
        </w:rPr>
        <w:t xml:space="preserve"> or Rehabilitat</w:t>
      </w:r>
      <w:r w:rsidRPr="002152F9" w:rsidR="00BB43B1">
        <w:rPr>
          <w:b/>
          <w:bCs/>
          <w:sz w:val="24"/>
          <w:szCs w:val="24"/>
        </w:rPr>
        <w:t>ion</w:t>
      </w:r>
      <w:r w:rsidRPr="002152F9">
        <w:rPr>
          <w:b/>
          <w:bCs/>
          <w:sz w:val="24"/>
          <w:szCs w:val="24"/>
        </w:rPr>
        <w:t xml:space="preserve">, Form HUD-XXXXX, Part 1 and Part 2.  </w:t>
      </w:r>
      <w:r w:rsidRPr="002152F9">
        <w:rPr>
          <w:sz w:val="24"/>
          <w:szCs w:val="24"/>
        </w:rPr>
        <w:t xml:space="preserve">Regulatory </w:t>
      </w:r>
      <w:r w:rsidRPr="002152F9">
        <w:rPr>
          <w:szCs w:val="22"/>
        </w:rPr>
        <w:t>r</w:t>
      </w:r>
      <w:r w:rsidRPr="002152F9">
        <w:rPr>
          <w:sz w:val="24"/>
          <w:szCs w:val="24"/>
        </w:rPr>
        <w:t xml:space="preserve">eference 983.204(e) (to become effective upon </w:t>
      </w:r>
      <w:r w:rsidRPr="002152F9">
        <w:rPr>
          <w:sz w:val="24"/>
          <w:szCs w:val="24"/>
        </w:rPr>
        <w:t>publication of this form per 89 FR 38224 (May 7, 2024)).  For PBV projects containing PHA-owned newly constructed or rehabilitated housing units that are not owned by a separate legal entity from the PHA, the PHA must choose to either execute a PBV HAP Contract for New Construction or Rehabilitation or to sign the PHA-owned Certification for Newly Constructed or Rehabilitated Housing covering one or more PHA-owned units. </w:t>
      </w:r>
    </w:p>
    <w:p w:rsidR="00025033" w:rsidRPr="002152F9" w:rsidP="00025033" w14:paraId="2600F302" w14:textId="27855255">
      <w:pPr>
        <w:spacing w:after="180"/>
        <w:ind w:left="360"/>
        <w:textAlignment w:val="auto"/>
        <w:rPr>
          <w:sz w:val="24"/>
          <w:szCs w:val="24"/>
        </w:rPr>
      </w:pPr>
      <w:r w:rsidRPr="002152F9">
        <w:rPr>
          <w:b/>
          <w:bCs/>
          <w:sz w:val="24"/>
          <w:szCs w:val="24"/>
        </w:rPr>
        <w:t xml:space="preserve">PBV </w:t>
      </w:r>
      <w:r w:rsidRPr="002152F9" w:rsidR="002F006E">
        <w:rPr>
          <w:b/>
          <w:bCs/>
          <w:sz w:val="24"/>
          <w:szCs w:val="24"/>
        </w:rPr>
        <w:t xml:space="preserve">HAP Contract Rider </w:t>
      </w:r>
      <w:r w:rsidRPr="002152F9" w:rsidR="00A14BB7">
        <w:rPr>
          <w:b/>
          <w:bCs/>
          <w:sz w:val="24"/>
          <w:szCs w:val="24"/>
        </w:rPr>
        <w:t xml:space="preserve">- </w:t>
      </w:r>
      <w:r w:rsidRPr="002152F9">
        <w:rPr>
          <w:b/>
          <w:bCs/>
          <w:sz w:val="24"/>
          <w:szCs w:val="24"/>
        </w:rPr>
        <w:t xml:space="preserve">Rehabilitated Housing,  Form HUD-XXXXX.  </w:t>
      </w:r>
      <w:r w:rsidRPr="002152F9">
        <w:rPr>
          <w:sz w:val="24"/>
          <w:szCs w:val="24"/>
        </w:rPr>
        <w:t xml:space="preserve">Regulatory </w:t>
      </w:r>
      <w:r w:rsidRPr="002152F9">
        <w:rPr>
          <w:szCs w:val="22"/>
        </w:rPr>
        <w:t>r</w:t>
      </w:r>
      <w:r w:rsidRPr="002152F9">
        <w:rPr>
          <w:sz w:val="24"/>
          <w:szCs w:val="24"/>
        </w:rPr>
        <w:t>eferences 983.157(g), 983.157 (to become effective upon publication of this form per 89 FR 38224 (May 7, 2024)). Upon a PHA exercising the option at 983.154(g) to conduct rehabilitation on PBV units during the term of the assistance contract, the PHA and owner must enter into the PBV HAP Contract for New Construction or Rehabilitation in addition to this PBV Rehabilitated Housing HAP Contract Rider that will govern the rehabilitation.  Upon satisfactory completion of the rehabilitation, the rider terminates and the assistance contract remains in effect. </w:t>
      </w:r>
    </w:p>
    <w:p w:rsidR="00025033" w:rsidRPr="002152F9" w:rsidP="00025033" w14:paraId="0D774ABA" w14:textId="40B43E2D">
      <w:pPr>
        <w:spacing w:after="180"/>
        <w:ind w:left="360"/>
        <w:textAlignment w:val="auto"/>
        <w:rPr>
          <w:sz w:val="24"/>
          <w:szCs w:val="24"/>
        </w:rPr>
      </w:pPr>
      <w:r w:rsidRPr="002152F9">
        <w:rPr>
          <w:b/>
          <w:bCs/>
          <w:sz w:val="24"/>
          <w:szCs w:val="24"/>
        </w:rPr>
        <w:t xml:space="preserve">PBV </w:t>
      </w:r>
      <w:r w:rsidRPr="002152F9" w:rsidR="00A14BB7">
        <w:rPr>
          <w:b/>
          <w:bCs/>
          <w:sz w:val="24"/>
          <w:szCs w:val="24"/>
        </w:rPr>
        <w:t xml:space="preserve">PHA-Owned Certification Rider - </w:t>
      </w:r>
      <w:r w:rsidRPr="002152F9">
        <w:rPr>
          <w:b/>
          <w:bCs/>
          <w:sz w:val="24"/>
          <w:szCs w:val="24"/>
        </w:rPr>
        <w:t xml:space="preserve">Rehabilitated Housing,  Form HUD-XXXXX.  </w:t>
      </w:r>
      <w:r w:rsidRPr="002152F9">
        <w:rPr>
          <w:sz w:val="24"/>
          <w:szCs w:val="24"/>
        </w:rPr>
        <w:t xml:space="preserve">Regulatory </w:t>
      </w:r>
      <w:r w:rsidRPr="002152F9">
        <w:rPr>
          <w:szCs w:val="22"/>
        </w:rPr>
        <w:t>r</w:t>
      </w:r>
      <w:r w:rsidRPr="002152F9">
        <w:rPr>
          <w:sz w:val="24"/>
          <w:szCs w:val="24"/>
        </w:rPr>
        <w:t>eferences 983.157, 983.204(e) (to become effective upon publication of this form per 89 FR 38224 (May 7, 2024)).  For PBV projects containing PHA-owned rehabilitated housing units that are not owned by a separate legal entity from the PHA, the PHA must choose to either execute a PBV HAP Contract for New Construction or Rehabilitation or to sign the PHA-owned Certification for Newly Constructed or Rehabilitated Housing covering one or more PHA-owned units.  If the PHA chooses to sign the PHA-owned Certification for Newly Constructed or Rehabilitated Housing and the PHA chooses to exercise the option at 983.154(g) to conduct rehabilitation on PBV units during the term of the assistance certification, the PHA and Owner must enter into PHA-owned Certification for Newly Constructed or Rehabilitated Housing in addition to this PBV Rehabilitated Housing PHA-owned Certification Rider that will govern the rehabilitation. Upon satisfactory completion of the rehabilitation, the rider terminates and the assistance certification remains in effect.</w:t>
      </w:r>
    </w:p>
    <w:p w:rsidR="00170FF2" w:rsidRPr="002152F9" w:rsidP="00B45A80" w14:paraId="545AC823" w14:textId="70096183">
      <w:pPr>
        <w:pBdr>
          <w:top w:val="single" w:sz="4" w:space="1" w:color="auto"/>
          <w:bottom w:val="single" w:sz="4" w:space="1" w:color="auto"/>
        </w:pBdr>
        <w:spacing w:after="180"/>
        <w:ind w:left="360"/>
        <w:textAlignment w:val="auto"/>
        <w:rPr>
          <w:b/>
          <w:bCs/>
          <w:sz w:val="24"/>
          <w:szCs w:val="24"/>
        </w:rPr>
      </w:pPr>
      <w:r w:rsidRPr="002152F9">
        <w:rPr>
          <w:b/>
          <w:bCs/>
          <w:sz w:val="24"/>
          <w:szCs w:val="24"/>
        </w:rPr>
        <w:t>Other Renewal Forms</w:t>
      </w:r>
    </w:p>
    <w:p w:rsidR="00170FF2" w:rsidRPr="002152F9" w:rsidP="00170FF2" w14:paraId="39BCC341" w14:textId="77777777">
      <w:pPr>
        <w:spacing w:after="180"/>
        <w:ind w:left="360"/>
        <w:textAlignment w:val="auto"/>
        <w:rPr>
          <w:sz w:val="24"/>
          <w:szCs w:val="24"/>
        </w:rPr>
      </w:pPr>
      <w:r w:rsidRPr="002152F9">
        <w:rPr>
          <w:b/>
          <w:bCs/>
          <w:sz w:val="24"/>
          <w:szCs w:val="24"/>
        </w:rPr>
        <w:t>Tribal HUD-VASH Leasing Performance Report, HUD-5980.</w:t>
      </w:r>
      <w:r w:rsidRPr="002152F9">
        <w:rPr>
          <w:sz w:val="24"/>
          <w:szCs w:val="24"/>
        </w:rPr>
        <w:t> Tribes/TDHEs record information about families assisted in their program, including lease start and end date, rental assistance type, property size, number of bedrooms, and rental assistance payments. </w:t>
      </w:r>
    </w:p>
    <w:p w:rsidR="00170FF2" w:rsidRPr="002152F9" w:rsidP="00170FF2" w14:paraId="4B9AEE20" w14:textId="6488CEF4">
      <w:pPr>
        <w:spacing w:after="180"/>
        <w:ind w:left="360"/>
        <w:textAlignment w:val="auto"/>
        <w:rPr>
          <w:sz w:val="24"/>
          <w:szCs w:val="24"/>
        </w:rPr>
      </w:pPr>
      <w:r w:rsidRPr="002152F9">
        <w:rPr>
          <w:b/>
          <w:bCs/>
          <w:sz w:val="24"/>
          <w:szCs w:val="24"/>
        </w:rPr>
        <w:t>Unexploded Ordnance Hazards Disclosure</w:t>
      </w:r>
      <w:r w:rsidRPr="002152F9">
        <w:rPr>
          <w:b/>
          <w:bCs/>
          <w:sz w:val="24"/>
          <w:szCs w:val="24"/>
        </w:rPr>
        <w:t>, Form HUD-50164.</w:t>
      </w:r>
      <w:r w:rsidRPr="002152F9">
        <w:rPr>
          <w:sz w:val="24"/>
          <w:szCs w:val="24"/>
        </w:rPr>
        <w:t>  The Waikoloa Maneuver Area (WMA) Formerly Used Defense Site is located on 100,000 acres of land on the northwest side of the Island of Hawaii.  The U.S. Navy acquired the area in 1943 to use as a military training camp and artillery range during World War II, resulting in unexploded ordnance and munitions and explosives of concern (UXO/MEC) and other potentially dangerous materials remaining after training ceased at the end of the war.  Munitions and explosives continue to be discovered within this area.  HUD is requiring PHAs to provide notice to public housing residents and HCV holders residing within the WMA about any hazards the PHA/owner is aware of and the risks associated with living in the WMA.  In addition, PHAs and Owners will be required to provide educational training about UXO/MEC.  Public housing residents and HCV holders will be required to sign a disclosure form annually, stating that they have been informed of potential hazards and have been provided their educational training. </w:t>
      </w:r>
    </w:p>
    <w:p w:rsidR="00170FF2" w:rsidRPr="002152F9" w:rsidP="00170FF2" w14:paraId="11AE2F19" w14:textId="77777777">
      <w:pPr>
        <w:spacing w:after="180"/>
        <w:ind w:left="360"/>
        <w:textAlignment w:val="auto"/>
        <w:rPr>
          <w:sz w:val="24"/>
          <w:szCs w:val="24"/>
        </w:rPr>
      </w:pPr>
      <w:r w:rsidRPr="002152F9">
        <w:rPr>
          <w:sz w:val="24"/>
          <w:szCs w:val="24"/>
        </w:rPr>
        <w:t>HUD estimates that these requirements will affect approximately 100 households annually, with an associated burden of approximately 20 minutes (10 minutes to have the disclosure form explained and to sign the form, and 10 minutes for the educational training), resulting in approximately 30 hours annually.</w:t>
      </w:r>
    </w:p>
    <w:p w:rsidR="00170FF2" w:rsidRPr="00B45A80" w:rsidP="00B45A80" w14:paraId="392E3ABA" w14:textId="05AEE20B">
      <w:pPr>
        <w:pBdr>
          <w:top w:val="single" w:sz="4" w:space="1" w:color="auto"/>
          <w:bottom w:val="single" w:sz="4" w:space="1" w:color="auto"/>
        </w:pBdr>
        <w:spacing w:after="180"/>
        <w:ind w:left="360"/>
        <w:textAlignment w:val="auto"/>
        <w:rPr>
          <w:b/>
          <w:bCs/>
          <w:sz w:val="24"/>
          <w:szCs w:val="24"/>
        </w:rPr>
      </w:pPr>
      <w:r w:rsidRPr="00B45A80">
        <w:rPr>
          <w:b/>
          <w:bCs/>
          <w:sz w:val="24"/>
          <w:szCs w:val="24"/>
        </w:rPr>
        <w:t xml:space="preserve">HCV </w:t>
      </w:r>
      <w:r w:rsidRPr="002152F9" w:rsidR="005C469A">
        <w:rPr>
          <w:b/>
          <w:bCs/>
          <w:sz w:val="24"/>
          <w:szCs w:val="24"/>
        </w:rPr>
        <w:t>Information Collections</w:t>
      </w:r>
      <w:r w:rsidRPr="002152F9" w:rsidR="00083112">
        <w:rPr>
          <w:b/>
          <w:bCs/>
          <w:sz w:val="24"/>
          <w:szCs w:val="24"/>
        </w:rPr>
        <w:t xml:space="preserve"> – </w:t>
      </w:r>
      <w:r w:rsidR="00641ABF">
        <w:rPr>
          <w:b/>
          <w:bCs/>
          <w:sz w:val="24"/>
          <w:szCs w:val="24"/>
        </w:rPr>
        <w:t>N</w:t>
      </w:r>
      <w:r w:rsidRPr="002152F9" w:rsidR="00083112">
        <w:rPr>
          <w:b/>
          <w:bCs/>
          <w:sz w:val="24"/>
          <w:szCs w:val="24"/>
        </w:rPr>
        <w:t>ot HUD forms</w:t>
      </w:r>
    </w:p>
    <w:p w:rsidR="00E51B0B" w:rsidRPr="002152F9" w:rsidP="00E51B0B" w14:paraId="4122DC31" w14:textId="77777777">
      <w:pPr>
        <w:spacing w:after="180"/>
        <w:ind w:left="360"/>
        <w:textAlignment w:val="auto"/>
        <w:rPr>
          <w:sz w:val="24"/>
          <w:szCs w:val="24"/>
        </w:rPr>
      </w:pPr>
      <w:r w:rsidRPr="00B45A80">
        <w:rPr>
          <w:b/>
          <w:bCs/>
          <w:sz w:val="24"/>
          <w:szCs w:val="24"/>
        </w:rPr>
        <w:t>Notice of Unit Approval/Denial.  </w:t>
      </w:r>
      <w:r w:rsidRPr="002152F9">
        <w:rPr>
          <w:sz w:val="24"/>
          <w:szCs w:val="24"/>
        </w:rPr>
        <w:t>Regulatory </w:t>
      </w:r>
      <w:r w:rsidRPr="002152F9">
        <w:rPr>
          <w:szCs w:val="22"/>
        </w:rPr>
        <w:t>r</w:t>
      </w:r>
      <w:r w:rsidRPr="002152F9">
        <w:rPr>
          <w:sz w:val="24"/>
          <w:szCs w:val="24"/>
        </w:rPr>
        <w:t>eference 982.303(c).  Since vouchers are suspended between the submission of a Request for Tenancy Approval and the approval or denial of the unit for which approval was requested, the PHA must give the family written notice of the outcome of the request. </w:t>
      </w:r>
    </w:p>
    <w:p w:rsidR="00902F49" w:rsidRPr="002152F9" w:rsidP="00902F49" w14:paraId="3A059539" w14:textId="77777777">
      <w:pPr>
        <w:ind w:left="360"/>
        <w:textAlignment w:val="auto"/>
        <w:rPr>
          <w:sz w:val="24"/>
          <w:szCs w:val="24"/>
        </w:rPr>
      </w:pPr>
      <w:r w:rsidRPr="00B45A80">
        <w:rPr>
          <w:b/>
          <w:bCs/>
          <w:sz w:val="24"/>
          <w:szCs w:val="24"/>
        </w:rPr>
        <w:t>Application for Assistance, including Pre-Application and Application for Continued Occupancy and Interim Changes.</w:t>
      </w:r>
      <w:r w:rsidRPr="00B45A80">
        <w:rPr>
          <w:sz w:val="24"/>
          <w:szCs w:val="24"/>
        </w:rPr>
        <w:t xml:space="preserve">  </w:t>
      </w:r>
      <w:r w:rsidRPr="002152F9">
        <w:rPr>
          <w:sz w:val="24"/>
          <w:szCs w:val="24"/>
        </w:rPr>
        <w:t>PHAs establish their own forms and procedures for collecting information about the family’s composition and relevant income and eligibility information. A typical PHA collects information about the family at four different times:</w:t>
      </w:r>
    </w:p>
    <w:p w:rsidR="00902F49" w:rsidRPr="002152F9" w:rsidP="00902F49" w14:paraId="033A6DDF" w14:textId="77777777">
      <w:pPr>
        <w:ind w:left="360"/>
        <w:textAlignment w:val="auto"/>
        <w:rPr>
          <w:sz w:val="24"/>
          <w:szCs w:val="24"/>
        </w:rPr>
      </w:pPr>
    </w:p>
    <w:p w:rsidR="00902F49" w:rsidRPr="002152F9" w:rsidP="00902F49" w14:paraId="7395C665" w14:textId="77777777">
      <w:pPr>
        <w:numPr>
          <w:ilvl w:val="0"/>
          <w:numId w:val="9"/>
        </w:numPr>
        <w:tabs>
          <w:tab w:val="clear" w:pos="720"/>
        </w:tabs>
        <w:ind w:left="900"/>
        <w:textAlignment w:val="auto"/>
        <w:rPr>
          <w:sz w:val="24"/>
          <w:szCs w:val="24"/>
        </w:rPr>
      </w:pPr>
      <w:r w:rsidRPr="002152F9">
        <w:rPr>
          <w:sz w:val="24"/>
          <w:szCs w:val="24"/>
        </w:rPr>
        <w:t>Pre-Application: Collected when the family applies to be put on the waiting list, and includes basic information about the family to know whether the family qualifies for special purpose vouchers and the PHA's admissions preferences.    </w:t>
      </w:r>
    </w:p>
    <w:p w:rsidR="00902F49" w:rsidRPr="002152F9" w:rsidP="00902F49" w14:paraId="53E90E59" w14:textId="77777777">
      <w:pPr>
        <w:numPr>
          <w:ilvl w:val="0"/>
          <w:numId w:val="5"/>
        </w:numPr>
        <w:tabs>
          <w:tab w:val="clear" w:pos="720"/>
        </w:tabs>
        <w:ind w:left="1260"/>
        <w:textAlignment w:val="auto"/>
        <w:rPr>
          <w:sz w:val="24"/>
          <w:szCs w:val="24"/>
        </w:rPr>
      </w:pPr>
      <w:r w:rsidRPr="002152F9">
        <w:rPr>
          <w:sz w:val="24"/>
          <w:szCs w:val="24"/>
        </w:rPr>
        <w:t>PHAs must admit families using a waiting list.  The requirements for waiting list administration are at 982.202 and 982.204-207.</w:t>
      </w:r>
    </w:p>
    <w:p w:rsidR="00902F49" w:rsidRPr="002152F9" w:rsidP="00902F49" w14:paraId="2ED84E44" w14:textId="77777777">
      <w:pPr>
        <w:numPr>
          <w:ilvl w:val="0"/>
          <w:numId w:val="12"/>
        </w:numPr>
        <w:tabs>
          <w:tab w:val="clear" w:pos="720"/>
        </w:tabs>
        <w:ind w:left="1260"/>
        <w:textAlignment w:val="auto"/>
        <w:rPr>
          <w:sz w:val="24"/>
          <w:szCs w:val="24"/>
        </w:rPr>
      </w:pPr>
      <w:r w:rsidRPr="002152F9">
        <w:rPr>
          <w:sz w:val="24"/>
          <w:szCs w:val="24"/>
        </w:rPr>
        <w:t>Generally, PHAs are not required to adopt local preferences unless required as part of a NOFO or participation in a special program or demonstration.  42 U.S.C. 1437f(o)(6)(A) and implementing regulations at 982.207 provide requirements for PHA adoption of local admission preferences.  PHAs who adopt preferences “must leave a clear audit trail that can be used to verify that each applicant has been selected in accordance with the method specified in the administrative plan” (982.207(e)).</w:t>
      </w:r>
    </w:p>
    <w:p w:rsidR="00902F49" w:rsidRPr="002152F9" w:rsidP="00902F49" w14:paraId="3B3F49B1" w14:textId="77777777">
      <w:pPr>
        <w:numPr>
          <w:ilvl w:val="0"/>
          <w:numId w:val="1"/>
        </w:numPr>
        <w:tabs>
          <w:tab w:val="clear" w:pos="720"/>
        </w:tabs>
        <w:ind w:left="900"/>
        <w:textAlignment w:val="auto"/>
        <w:rPr>
          <w:sz w:val="24"/>
          <w:szCs w:val="24"/>
        </w:rPr>
      </w:pPr>
      <w:r w:rsidRPr="002152F9">
        <w:rPr>
          <w:sz w:val="24"/>
          <w:szCs w:val="24"/>
        </w:rPr>
        <w:t>Application for Assistance: Collected after the family is selected from the waiting list, issued a voucher and is ready to lease a unit, and includes information about all household members and the family’s income and assets to determine program eligibility.</w:t>
      </w:r>
    </w:p>
    <w:p w:rsidR="00902F49" w:rsidRPr="002152F9" w:rsidP="00902F49" w14:paraId="05FACD9E" w14:textId="77777777">
      <w:pPr>
        <w:numPr>
          <w:ilvl w:val="0"/>
          <w:numId w:val="3"/>
        </w:numPr>
        <w:tabs>
          <w:tab w:val="clear" w:pos="720"/>
        </w:tabs>
        <w:ind w:left="1350"/>
        <w:textAlignment w:val="auto"/>
        <w:rPr>
          <w:sz w:val="24"/>
          <w:szCs w:val="24"/>
        </w:rPr>
      </w:pPr>
      <w:r w:rsidRPr="002152F9">
        <w:rPr>
          <w:sz w:val="24"/>
          <w:szCs w:val="24"/>
        </w:rPr>
        <w:t>Families must be income-eligible to be admitted to the program per 42 U.S.C. 1437f(o)(4) and implementing regulations at 982.201.</w:t>
      </w:r>
    </w:p>
    <w:p w:rsidR="00902F49" w:rsidRPr="002152F9" w:rsidP="00902F49" w14:paraId="01AED05D" w14:textId="77777777">
      <w:pPr>
        <w:numPr>
          <w:ilvl w:val="0"/>
          <w:numId w:val="8"/>
        </w:numPr>
        <w:tabs>
          <w:tab w:val="clear" w:pos="720"/>
        </w:tabs>
        <w:ind w:left="1350"/>
        <w:textAlignment w:val="auto"/>
        <w:rPr>
          <w:sz w:val="24"/>
          <w:szCs w:val="24"/>
        </w:rPr>
      </w:pPr>
      <w:r w:rsidRPr="002152F9">
        <w:rPr>
          <w:sz w:val="24"/>
          <w:szCs w:val="24"/>
        </w:rPr>
        <w:t>The PHA may set additional criteria for admission per 42 U.S.C. 1437f(o)(6)B) and implementing regulations at 982.552(e). </w:t>
      </w:r>
    </w:p>
    <w:p w:rsidR="00902F49" w:rsidRPr="002152F9" w:rsidP="00902F49" w14:paraId="2A7C2879" w14:textId="77777777">
      <w:pPr>
        <w:numPr>
          <w:ilvl w:val="0"/>
          <w:numId w:val="1"/>
        </w:numPr>
        <w:tabs>
          <w:tab w:val="clear" w:pos="720"/>
        </w:tabs>
        <w:ind w:left="900"/>
        <w:textAlignment w:val="auto"/>
        <w:rPr>
          <w:sz w:val="24"/>
          <w:szCs w:val="24"/>
        </w:rPr>
      </w:pPr>
      <w:r w:rsidRPr="002152F9">
        <w:rPr>
          <w:sz w:val="24"/>
          <w:szCs w:val="24"/>
        </w:rPr>
        <w:t>Application for Continued Occupancy: Collected annually to comply with the statutory requirement to review the family’s income annually (42 U.S.C. 1437f(c)(3) and implementing regulations at 982.516(a)).</w:t>
      </w:r>
    </w:p>
    <w:p w:rsidR="00902F49" w:rsidRPr="002152F9" w:rsidP="00902F49" w14:paraId="782975A2" w14:textId="77777777">
      <w:pPr>
        <w:numPr>
          <w:ilvl w:val="0"/>
          <w:numId w:val="1"/>
        </w:numPr>
        <w:tabs>
          <w:tab w:val="clear" w:pos="720"/>
        </w:tabs>
        <w:spacing w:after="180"/>
        <w:ind w:left="907"/>
        <w:textAlignment w:val="auto"/>
        <w:rPr>
          <w:sz w:val="24"/>
          <w:szCs w:val="24"/>
        </w:rPr>
      </w:pPr>
      <w:r w:rsidRPr="002152F9">
        <w:rPr>
          <w:sz w:val="24"/>
          <w:szCs w:val="24"/>
        </w:rPr>
        <w:t>Interim Changes: Collected as needed based on PHA’s and HUD’s policies for reporting changes in income that occur between full annual reexaminations of family income (regulatory reference: 982.516(c) and (d)).</w:t>
      </w:r>
    </w:p>
    <w:p w:rsidR="00902F49" w:rsidRPr="00B45A80" w:rsidP="00B45A80" w14:paraId="1AE41C5E" w14:textId="77777777">
      <w:pPr>
        <w:spacing w:after="180"/>
        <w:ind w:left="360"/>
        <w:textAlignment w:val="auto"/>
        <w:rPr>
          <w:sz w:val="24"/>
          <w:szCs w:val="24"/>
        </w:rPr>
      </w:pPr>
      <w:r w:rsidRPr="00B45A80">
        <w:rPr>
          <w:b/>
          <w:bCs/>
          <w:sz w:val="24"/>
          <w:szCs w:val="24"/>
        </w:rPr>
        <w:t>Information Packet.  </w:t>
      </w:r>
      <w:r w:rsidRPr="00B45A80">
        <w:rPr>
          <w:sz w:val="24"/>
          <w:szCs w:val="24"/>
        </w:rPr>
        <w:t xml:space="preserve">Regulatory reference 982.301(b), HOTMA, Attachment B, Content (d).  When a family is selected to participate in the voucher program, the PHA must give the family a packet that includes written information on: (1) the term of the voucher; (2) how the PHA determines the amount of housing assistance; (3) how the PHA determines the maximum rent for an assisted unit; (4) where a family may lease a unit including portability procedures; (5) the HUD-required tenancy addendum; (6) the request for tenancy approval; (7) the PHA policy on providing </w:t>
      </w:r>
      <w:r w:rsidRPr="00B45A80">
        <w:rPr>
          <w:sz w:val="24"/>
          <w:szCs w:val="24"/>
        </w:rPr>
        <w:t>information about a family to prospective owners; (8) PHA subsidy standards and exceptions to those standards; (9) the HUD brochure on how to select a unit; (10) information on federal, state and local equal opportunity laws, and a copy of the housing discrimination form; (11) a list of landlords or other parties known to the PHA who may be willing to lease a unit to the family or assist the family in finding a unit; (12) notice that if a family includes a disabled person, the family may request a current listing of accessible units known to the PHA that may be available; (13) family obligations under the program and (14) PHA informal hearing procedures.  In cases where an independent entity is doing the inspections for PHA-owned units, the contact information for the independent entity must be provided to the family.  Under HOTMA, families must be provided contact information for the independent entity that does the inspections for PHA-owned units. </w:t>
      </w:r>
    </w:p>
    <w:p w:rsidR="00F76B10" w:rsidRPr="00B45A80" w:rsidP="002D2CB6" w14:paraId="50BFF57B" w14:textId="5EE10529">
      <w:pPr>
        <w:spacing w:after="180"/>
        <w:ind w:left="360"/>
        <w:textAlignment w:val="auto"/>
        <w:rPr>
          <w:sz w:val="24"/>
          <w:szCs w:val="24"/>
        </w:rPr>
      </w:pPr>
      <w:r w:rsidRPr="005044D5">
        <w:rPr>
          <w:b/>
          <w:bCs/>
          <w:sz w:val="24"/>
          <w:szCs w:val="24"/>
        </w:rPr>
        <w:t>PHA Information to Owner about Tenant.</w:t>
      </w:r>
      <w:r w:rsidR="00CF04F6">
        <w:rPr>
          <w:b/>
          <w:bCs/>
          <w:sz w:val="24"/>
          <w:szCs w:val="24"/>
        </w:rPr>
        <w:t xml:space="preserve"> </w:t>
      </w:r>
      <w:r w:rsidR="00CF04F6">
        <w:rPr>
          <w:sz w:val="24"/>
          <w:szCs w:val="24"/>
        </w:rPr>
        <w:t xml:space="preserve">Regulatory reference </w:t>
      </w:r>
      <w:r w:rsidR="0079279E">
        <w:rPr>
          <w:sz w:val="24"/>
          <w:szCs w:val="24"/>
        </w:rPr>
        <w:t>982.307</w:t>
      </w:r>
      <w:r w:rsidR="002A492E">
        <w:rPr>
          <w:sz w:val="24"/>
          <w:szCs w:val="24"/>
        </w:rPr>
        <w:t>(b)</w:t>
      </w:r>
      <w:r w:rsidR="005044D5">
        <w:rPr>
          <w:sz w:val="24"/>
          <w:szCs w:val="24"/>
        </w:rPr>
        <w:t>(1)</w:t>
      </w:r>
      <w:r w:rsidR="002A492E">
        <w:rPr>
          <w:sz w:val="24"/>
          <w:szCs w:val="24"/>
        </w:rPr>
        <w:t>. The PHA must give the owner: the family’s current and prior address</w:t>
      </w:r>
      <w:r w:rsidR="005044D5">
        <w:rPr>
          <w:sz w:val="24"/>
          <w:szCs w:val="24"/>
        </w:rPr>
        <w:t xml:space="preserve"> (as shown in PHA records) and the name and address (if known) of the landlord at the family’s current and prior address. </w:t>
      </w:r>
    </w:p>
    <w:p w:rsidR="002D2CB6" w:rsidP="002D2CB6" w14:paraId="6D69C6B8" w14:textId="56CB4FC4">
      <w:pPr>
        <w:spacing w:after="180"/>
        <w:ind w:left="360"/>
        <w:textAlignment w:val="auto"/>
        <w:rPr>
          <w:sz w:val="24"/>
          <w:szCs w:val="24"/>
        </w:rPr>
      </w:pPr>
      <w:r w:rsidRPr="00B45A80">
        <w:rPr>
          <w:b/>
          <w:bCs/>
          <w:sz w:val="24"/>
          <w:szCs w:val="24"/>
        </w:rPr>
        <w:t>PHA Notification to Field Office of Insufficient Funds.  </w:t>
      </w:r>
      <w:r w:rsidRPr="00B45A80">
        <w:rPr>
          <w:sz w:val="24"/>
          <w:szCs w:val="24"/>
        </w:rPr>
        <w:t xml:space="preserve">Regulatory </w:t>
      </w:r>
      <w:r w:rsidRPr="002152F9">
        <w:rPr>
          <w:szCs w:val="22"/>
        </w:rPr>
        <w:t>r</w:t>
      </w:r>
      <w:r w:rsidRPr="00B45A80">
        <w:rPr>
          <w:sz w:val="24"/>
          <w:szCs w:val="24"/>
        </w:rPr>
        <w:t>eference 982.354(e).  If the PHA does not have sufficient funding for continued assistance, the PHA may deny permission to move.  The PHA must notify the local HUD field office in writing within 10 business days of determining it is necessary to deny moves to higher-cost units based on insufficient funding. PHAs should make every effort to ensure that families’ rights to portability are respected, including by applying for shortfall funding where available.</w:t>
      </w:r>
    </w:p>
    <w:p w:rsidR="00F76B10" w:rsidRPr="00B45A80" w:rsidP="00B45A80" w14:paraId="47D5EE90" w14:textId="731162C1">
      <w:pPr>
        <w:spacing w:after="180"/>
        <w:ind w:left="360"/>
        <w:textAlignment w:val="auto"/>
        <w:rPr>
          <w:sz w:val="24"/>
          <w:szCs w:val="24"/>
        </w:rPr>
      </w:pPr>
      <w:r w:rsidRPr="00311BB8">
        <w:rPr>
          <w:b/>
          <w:bCs/>
          <w:sz w:val="24"/>
          <w:szCs w:val="24"/>
        </w:rPr>
        <w:t>Homeownership:</w:t>
      </w:r>
      <w:r w:rsidRPr="00311BB8">
        <w:rPr>
          <w:sz w:val="24"/>
          <w:szCs w:val="24"/>
        </w:rPr>
        <w:t xml:space="preserve"> Required Contract of Sale Provisions.</w:t>
      </w:r>
      <w:r w:rsidR="002D6B36">
        <w:rPr>
          <w:sz w:val="24"/>
          <w:szCs w:val="24"/>
        </w:rPr>
        <w:t xml:space="preserve"> Regulatory reference 982.631(c)</w:t>
      </w:r>
      <w:r w:rsidR="00D703C2">
        <w:rPr>
          <w:sz w:val="24"/>
          <w:szCs w:val="24"/>
        </w:rPr>
        <w:t xml:space="preserve"> The </w:t>
      </w:r>
      <w:r w:rsidR="00311BB8">
        <w:rPr>
          <w:sz w:val="24"/>
          <w:szCs w:val="24"/>
        </w:rPr>
        <w:t xml:space="preserve">family must give the PHA a copy of the contract of sale with specific provisions included. </w:t>
      </w:r>
    </w:p>
    <w:p w:rsidR="00662170" w:rsidRPr="005239E0" w:rsidP="00662170" w14:paraId="76C33736" w14:textId="43050B7F">
      <w:pPr>
        <w:pBdr>
          <w:top w:val="single" w:sz="4" w:space="1" w:color="auto"/>
          <w:bottom w:val="single" w:sz="4" w:space="1" w:color="auto"/>
        </w:pBdr>
        <w:spacing w:after="180"/>
        <w:ind w:left="360"/>
        <w:textAlignment w:val="auto"/>
        <w:rPr>
          <w:b/>
          <w:bCs/>
          <w:sz w:val="24"/>
          <w:szCs w:val="24"/>
        </w:rPr>
      </w:pPr>
      <w:r>
        <w:rPr>
          <w:b/>
          <w:bCs/>
          <w:sz w:val="24"/>
          <w:szCs w:val="24"/>
        </w:rPr>
        <w:t>PBV</w:t>
      </w:r>
      <w:r w:rsidRPr="005239E0">
        <w:rPr>
          <w:b/>
          <w:bCs/>
          <w:sz w:val="24"/>
          <w:szCs w:val="24"/>
        </w:rPr>
        <w:t xml:space="preserve"> </w:t>
      </w:r>
      <w:r w:rsidRPr="00662170">
        <w:rPr>
          <w:b/>
          <w:bCs/>
          <w:sz w:val="24"/>
          <w:szCs w:val="24"/>
        </w:rPr>
        <w:t>I</w:t>
      </w:r>
      <w:r>
        <w:rPr>
          <w:b/>
          <w:bCs/>
          <w:sz w:val="24"/>
          <w:szCs w:val="24"/>
        </w:rPr>
        <w:t xml:space="preserve">nformation Collections – </w:t>
      </w:r>
      <w:r w:rsidR="00641ABF">
        <w:rPr>
          <w:b/>
          <w:bCs/>
          <w:sz w:val="24"/>
          <w:szCs w:val="24"/>
        </w:rPr>
        <w:t>N</w:t>
      </w:r>
      <w:r>
        <w:rPr>
          <w:b/>
          <w:bCs/>
          <w:sz w:val="24"/>
          <w:szCs w:val="24"/>
        </w:rPr>
        <w:t>ot HUD forms</w:t>
      </w:r>
    </w:p>
    <w:p w:rsidR="00565D93" w:rsidP="00284B87" w14:paraId="1D1945BD" w14:textId="4A14C140">
      <w:pPr>
        <w:spacing w:after="180"/>
        <w:ind w:left="360"/>
        <w:textAlignment w:val="auto"/>
        <w:rPr>
          <w:sz w:val="24"/>
          <w:szCs w:val="24"/>
        </w:rPr>
      </w:pPr>
      <w:r w:rsidRPr="00887EAA">
        <w:rPr>
          <w:b/>
          <w:bCs/>
          <w:sz w:val="24"/>
          <w:szCs w:val="24"/>
        </w:rPr>
        <w:t>Public Notice of PHA Request for PBV Proposals.  </w:t>
      </w:r>
      <w:r w:rsidRPr="00887EAA">
        <w:rPr>
          <w:sz w:val="24"/>
          <w:szCs w:val="24"/>
        </w:rPr>
        <w:t>Regulatory reference 983.51(d). If the PHA must select proposals competitively through public notice, the public notice procedures may include publication of the notice in a local newspaper of general circulation and other means for broad circulation.</w:t>
      </w:r>
    </w:p>
    <w:p w:rsidR="005B58BF" w:rsidRPr="00887EAA" w:rsidP="005B58BF" w14:paraId="1578F4DA" w14:textId="77777777">
      <w:pPr>
        <w:spacing w:after="180"/>
        <w:ind w:left="360"/>
        <w:textAlignment w:val="auto"/>
        <w:rPr>
          <w:sz w:val="24"/>
          <w:szCs w:val="24"/>
        </w:rPr>
      </w:pPr>
      <w:r w:rsidRPr="00887EAA">
        <w:rPr>
          <w:b/>
          <w:bCs/>
          <w:sz w:val="24"/>
          <w:szCs w:val="24"/>
        </w:rPr>
        <w:t>PHA PBV Notice of Proposal or Project Selection</w:t>
      </w:r>
      <w:r>
        <w:rPr>
          <w:b/>
          <w:bCs/>
          <w:sz w:val="24"/>
          <w:szCs w:val="24"/>
        </w:rPr>
        <w:t>.</w:t>
      </w:r>
      <w:r w:rsidRPr="00887EAA">
        <w:rPr>
          <w:sz w:val="24"/>
          <w:szCs w:val="24"/>
        </w:rPr>
        <w:t> </w:t>
      </w:r>
      <w:r>
        <w:rPr>
          <w:sz w:val="24"/>
          <w:szCs w:val="24"/>
        </w:rPr>
        <w:t xml:space="preserve"> </w:t>
      </w:r>
      <w:r w:rsidRPr="00887EAA">
        <w:rPr>
          <w:sz w:val="24"/>
          <w:szCs w:val="24"/>
        </w:rPr>
        <w:t xml:space="preserve">Regulatory </w:t>
      </w:r>
      <w:r w:rsidRPr="00403AA6">
        <w:rPr>
          <w:szCs w:val="22"/>
        </w:rPr>
        <w:t>r</w:t>
      </w:r>
      <w:r w:rsidRPr="00887EAA">
        <w:rPr>
          <w:sz w:val="24"/>
          <w:szCs w:val="24"/>
        </w:rPr>
        <w:t>eference 983.51(f).  </w:t>
      </w:r>
      <w:r>
        <w:rPr>
          <w:sz w:val="24"/>
          <w:szCs w:val="24"/>
        </w:rPr>
        <w:t xml:space="preserve">A </w:t>
      </w:r>
      <w:r w:rsidRPr="00887EAA">
        <w:rPr>
          <w:sz w:val="24"/>
          <w:szCs w:val="24"/>
        </w:rPr>
        <w:t>PHA must give prompt written notice of proposal or project selection. </w:t>
      </w:r>
    </w:p>
    <w:p w:rsidR="00D321C1" w:rsidRPr="00887EAA" w:rsidP="00D321C1" w14:paraId="4C4F52BB" w14:textId="77777777">
      <w:pPr>
        <w:spacing w:after="180"/>
        <w:ind w:left="360"/>
        <w:textAlignment w:val="auto"/>
        <w:rPr>
          <w:sz w:val="24"/>
          <w:szCs w:val="24"/>
        </w:rPr>
      </w:pPr>
      <w:r w:rsidRPr="00887EAA">
        <w:rPr>
          <w:b/>
          <w:bCs/>
          <w:sz w:val="24"/>
          <w:szCs w:val="24"/>
        </w:rPr>
        <w:t>PHA Notice of Intent to Project-Base Vouchers. </w:t>
      </w:r>
      <w:r w:rsidRPr="00887EAA">
        <w:rPr>
          <w:sz w:val="24"/>
          <w:szCs w:val="24"/>
        </w:rPr>
        <w:t> Regulatory reference 983.5(d).  PHAs are required to notify HUD of their intent to project-base vouchers.</w:t>
      </w:r>
    </w:p>
    <w:p w:rsidR="00D321C1" w:rsidRPr="00887EAA" w:rsidP="00D321C1" w14:paraId="4B28AB2E" w14:textId="77777777">
      <w:pPr>
        <w:spacing w:after="180"/>
        <w:ind w:left="360"/>
        <w:textAlignment w:val="auto"/>
        <w:rPr>
          <w:sz w:val="24"/>
          <w:szCs w:val="24"/>
        </w:rPr>
      </w:pPr>
      <w:r w:rsidRPr="00887EAA">
        <w:rPr>
          <w:b/>
          <w:bCs/>
          <w:sz w:val="24"/>
          <w:szCs w:val="24"/>
        </w:rPr>
        <w:t>PHA Request to HUD for Approval to Terminate PBV HAP Contract.  </w:t>
      </w:r>
      <w:r w:rsidRPr="00887EAA">
        <w:rPr>
          <w:sz w:val="24"/>
          <w:szCs w:val="24"/>
        </w:rPr>
        <w:t xml:space="preserve">Regulatory </w:t>
      </w:r>
      <w:r w:rsidRPr="00403AA6">
        <w:rPr>
          <w:szCs w:val="22"/>
        </w:rPr>
        <w:t>r</w:t>
      </w:r>
      <w:r w:rsidRPr="00887EAA">
        <w:rPr>
          <w:sz w:val="24"/>
          <w:szCs w:val="24"/>
        </w:rPr>
        <w:t>eference</w:t>
      </w:r>
      <w:r>
        <w:rPr>
          <w:sz w:val="24"/>
          <w:szCs w:val="24"/>
        </w:rPr>
        <w:t xml:space="preserve"> </w:t>
      </w:r>
      <w:r w:rsidRPr="00887EAA">
        <w:rPr>
          <w:sz w:val="24"/>
          <w:szCs w:val="24"/>
        </w:rPr>
        <w:t>983.206(c).  If the PHA lacks sufficient funding and may terminate the PBV HAP contract as a result,</w:t>
      </w:r>
      <w:r>
        <w:rPr>
          <w:sz w:val="24"/>
          <w:szCs w:val="24"/>
        </w:rPr>
        <w:t xml:space="preserve"> </w:t>
      </w:r>
      <w:r w:rsidRPr="00887EAA">
        <w:rPr>
          <w:sz w:val="24"/>
          <w:szCs w:val="24"/>
        </w:rPr>
        <w:t>the PHA must obtain HUD approval.</w:t>
      </w:r>
    </w:p>
    <w:p w:rsidR="008D2A35" w:rsidRPr="00887EAA" w:rsidP="008D2A35" w14:paraId="123EE9CD" w14:textId="77777777">
      <w:pPr>
        <w:spacing w:after="180"/>
        <w:ind w:left="360"/>
        <w:textAlignment w:val="auto"/>
        <w:rPr>
          <w:sz w:val="24"/>
          <w:szCs w:val="24"/>
        </w:rPr>
      </w:pPr>
      <w:r w:rsidRPr="00887EAA">
        <w:rPr>
          <w:b/>
          <w:bCs/>
          <w:sz w:val="24"/>
          <w:szCs w:val="24"/>
        </w:rPr>
        <w:t>Owner Notice to Terminate PBV HAP Contract.  </w:t>
      </w:r>
      <w:r w:rsidRPr="00887EAA">
        <w:rPr>
          <w:sz w:val="24"/>
          <w:szCs w:val="24"/>
        </w:rPr>
        <w:t>Regulatory reference 983.206(a)(2).  Not less than one year before the termination of the PBV HAP contract, the owner must notify the PHA and tenants of such termination.</w:t>
      </w:r>
    </w:p>
    <w:p w:rsidR="00411FB9" w:rsidRPr="00B45A80" w:rsidP="00411FB9" w14:paraId="61FA8172" w14:textId="77777777">
      <w:pPr>
        <w:spacing w:after="180"/>
        <w:ind w:left="360"/>
        <w:textAlignment w:val="auto"/>
        <w:rPr>
          <w:sz w:val="24"/>
          <w:szCs w:val="24"/>
        </w:rPr>
      </w:pPr>
      <w:r w:rsidRPr="00B45A80">
        <w:rPr>
          <w:b/>
          <w:bCs/>
          <w:sz w:val="24"/>
          <w:szCs w:val="24"/>
        </w:rPr>
        <w:t xml:space="preserve">Legal Opinion that PHA’s unit or project is no longer classified as PHA-owned.  </w:t>
      </w:r>
      <w:r w:rsidRPr="00B45A80">
        <w:rPr>
          <w:sz w:val="24"/>
          <w:szCs w:val="24"/>
        </w:rPr>
        <w:t>Regulatory reference 982.4(b), 983.59.  The PHA must keep the legal opinion in its files for the length of the PBV HAP contract, the HCV HAP contract or homeownership assistance documents, as applicable. </w:t>
      </w:r>
    </w:p>
    <w:p w:rsidR="003E304B" w:rsidRPr="00B45A80" w:rsidP="003E304B" w14:paraId="09613CED" w14:textId="77777777">
      <w:pPr>
        <w:spacing w:after="180"/>
        <w:ind w:left="360"/>
        <w:textAlignment w:val="auto"/>
        <w:rPr>
          <w:sz w:val="24"/>
          <w:szCs w:val="24"/>
        </w:rPr>
      </w:pPr>
      <w:r w:rsidRPr="00B45A80">
        <w:rPr>
          <w:b/>
          <w:bCs/>
          <w:sz w:val="24"/>
          <w:szCs w:val="24"/>
        </w:rPr>
        <w:t>Notification of ownership if unit or project is PHA-owned.  </w:t>
      </w:r>
      <w:r w:rsidRPr="00B45A80">
        <w:rPr>
          <w:sz w:val="24"/>
          <w:szCs w:val="24"/>
        </w:rPr>
        <w:t>Regulatory reference 982.4(b), 982.352(b), 982.628(d), 983.57.  PHAs must provide notification to HUD if a project is PHA-owned or a change in ownership causes the project or unit to become PHA-owned and, therefore, HUD approval of independent entity is required. </w:t>
      </w:r>
    </w:p>
    <w:p w:rsidR="003E304B" w:rsidRPr="00B45A80" w:rsidP="003E304B" w14:paraId="4CDBB7F9" w14:textId="77777777">
      <w:pPr>
        <w:spacing w:after="180"/>
        <w:ind w:left="360"/>
        <w:textAlignment w:val="auto"/>
        <w:rPr>
          <w:sz w:val="24"/>
          <w:szCs w:val="24"/>
        </w:rPr>
      </w:pPr>
      <w:r w:rsidRPr="00B45A80">
        <w:rPr>
          <w:b/>
          <w:bCs/>
          <w:sz w:val="24"/>
          <w:szCs w:val="24"/>
        </w:rPr>
        <w:t>Joint PHA and independent entity certification that the PHA and independent entity have no legal, financial or any other connection that could cause either party to be influenced by the other.</w:t>
      </w:r>
      <w:r w:rsidRPr="00B45A80">
        <w:rPr>
          <w:sz w:val="24"/>
          <w:szCs w:val="24"/>
        </w:rPr>
        <w:t>  Regulatory reference, 982.4(b), 982.352(b), 982.628(d), 983.57.  This document must be submitted to HUD for its approval when an independent entity is selected.  This document must be submitted for each independent entity selected by the PHA.   </w:t>
      </w:r>
    </w:p>
    <w:p w:rsidR="006C72AD" w:rsidRPr="00B45A80" w:rsidP="006C72AD" w14:paraId="7A89C3DC" w14:textId="77777777">
      <w:pPr>
        <w:spacing w:after="180"/>
        <w:ind w:left="360"/>
        <w:textAlignment w:val="auto"/>
        <w:rPr>
          <w:sz w:val="24"/>
          <w:szCs w:val="24"/>
        </w:rPr>
      </w:pPr>
      <w:r w:rsidRPr="00B45A80">
        <w:rPr>
          <w:b/>
          <w:bCs/>
          <w:sz w:val="24"/>
          <w:szCs w:val="24"/>
        </w:rPr>
        <w:t>Certification regarding previously approved independent entity.</w:t>
      </w:r>
      <w:r w:rsidRPr="00B45A80">
        <w:rPr>
          <w:sz w:val="24"/>
          <w:szCs w:val="24"/>
        </w:rPr>
        <w:t>  Regulatory reference 982.4(b), 982.352(b), 982.628(d), and 983.57.  If the PHA will use an independent entity that was previously approved, the PHA must certify in writing to HUD that it will use that entity to perform a new function that must be identified in the certification. </w:t>
      </w:r>
    </w:p>
    <w:p w:rsidR="006C72AD" w:rsidRPr="006C72AD" w:rsidP="006C72AD" w14:paraId="122BB7F9" w14:textId="77777777">
      <w:pPr>
        <w:spacing w:after="180"/>
        <w:ind w:left="360"/>
        <w:textAlignment w:val="auto"/>
        <w:rPr>
          <w:sz w:val="24"/>
          <w:szCs w:val="24"/>
        </w:rPr>
      </w:pPr>
      <w:r w:rsidRPr="00B45A80">
        <w:rPr>
          <w:b/>
          <w:bCs/>
          <w:sz w:val="24"/>
          <w:szCs w:val="24"/>
        </w:rPr>
        <w:t>Notice of determination of rent reasonableness.</w:t>
      </w:r>
      <w:r w:rsidRPr="00B45A80">
        <w:rPr>
          <w:sz w:val="24"/>
          <w:szCs w:val="24"/>
        </w:rPr>
        <w:t>  Regulatory reference 982.352(b) and 983.303(f).  Rent reasonableness determinations must be completed for every subsidized HCV and PBV unit at the times prescribed by regulation.  If completed by an independent entity, a copy must be provided to the PHA and, for HCV only, the family.</w:t>
      </w:r>
      <w:r w:rsidRPr="006C72AD">
        <w:rPr>
          <w:sz w:val="24"/>
          <w:szCs w:val="24"/>
        </w:rPr>
        <w:t> </w:t>
      </w:r>
    </w:p>
    <w:p w:rsidR="00D9427C" w:rsidP="00D9427C" w14:paraId="42DDFBB4" w14:textId="48790FAF">
      <w:pPr>
        <w:spacing w:after="180"/>
        <w:ind w:left="360"/>
        <w:textAlignment w:val="auto"/>
        <w:rPr>
          <w:sz w:val="24"/>
          <w:szCs w:val="24"/>
        </w:rPr>
      </w:pPr>
      <w:r w:rsidRPr="00887EAA">
        <w:rPr>
          <w:b/>
          <w:bCs/>
          <w:sz w:val="24"/>
          <w:szCs w:val="24"/>
        </w:rPr>
        <w:t>Review of PHA’s PBV Selection Process.  </w:t>
      </w:r>
      <w:r w:rsidRPr="00887EAA">
        <w:rPr>
          <w:sz w:val="24"/>
          <w:szCs w:val="24"/>
        </w:rPr>
        <w:t xml:space="preserve">Regulatory reference 983.51(h).  For a PBV selection process conducted by an independent entity or HUD field office, the PHA must provide: (1) all proposals received; (2) a copy of the relevant section of the Administrative Plan; (3) a copy of any standard operating procedures, worksheets, checklists or any other work product used the in selection of PBV proposals; (4) if selection was based on </w:t>
      </w:r>
      <w:r w:rsidR="003C0330">
        <w:rPr>
          <w:sz w:val="24"/>
          <w:szCs w:val="24"/>
        </w:rPr>
        <w:t>Request for Proposal (</w:t>
      </w:r>
      <w:r w:rsidRPr="00887EAA">
        <w:rPr>
          <w:sz w:val="24"/>
          <w:szCs w:val="24"/>
        </w:rPr>
        <w:t>RFP</w:t>
      </w:r>
      <w:r w:rsidR="003C0330">
        <w:rPr>
          <w:sz w:val="24"/>
          <w:szCs w:val="24"/>
        </w:rPr>
        <w:t>)</w:t>
      </w:r>
      <w:r w:rsidRPr="00887EAA">
        <w:rPr>
          <w:sz w:val="24"/>
          <w:szCs w:val="24"/>
        </w:rPr>
        <w:t>, a copy of the solicitation</w:t>
      </w:r>
      <w:r>
        <w:rPr>
          <w:sz w:val="24"/>
          <w:szCs w:val="24"/>
        </w:rPr>
        <w:t xml:space="preserve"> and</w:t>
      </w:r>
      <w:r w:rsidRPr="00887EAA">
        <w:rPr>
          <w:sz w:val="24"/>
          <w:szCs w:val="24"/>
        </w:rPr>
        <w:t xml:space="preserve"> (5) if selection was based on a previous competition, a copy of the proposal for the previous competition and any award letter provided in connection with the previous competition. HUD or</w:t>
      </w:r>
      <w:r>
        <w:rPr>
          <w:sz w:val="24"/>
          <w:szCs w:val="24"/>
        </w:rPr>
        <w:t xml:space="preserve"> </w:t>
      </w:r>
      <w:r w:rsidRPr="00887EAA">
        <w:rPr>
          <w:sz w:val="24"/>
          <w:szCs w:val="24"/>
        </w:rPr>
        <w:t>a</w:t>
      </w:r>
      <w:r>
        <w:rPr>
          <w:sz w:val="24"/>
          <w:szCs w:val="24"/>
        </w:rPr>
        <w:t xml:space="preserve"> </w:t>
      </w:r>
      <w:r w:rsidRPr="00887EAA">
        <w:rPr>
          <w:sz w:val="24"/>
          <w:szCs w:val="24"/>
        </w:rPr>
        <w:t>HUD-approved independent entity must provide a letter stating that the PHA-owned units were appropriately selected.</w:t>
      </w:r>
    </w:p>
    <w:p w:rsidR="00942B54" w:rsidRPr="005239E0" w:rsidP="00942B54" w14:paraId="6931F1B9" w14:textId="40ABACB0">
      <w:pPr>
        <w:pBdr>
          <w:top w:val="single" w:sz="4" w:space="1" w:color="auto"/>
          <w:bottom w:val="single" w:sz="4" w:space="1" w:color="auto"/>
        </w:pBdr>
        <w:spacing w:after="180"/>
        <w:ind w:left="360"/>
        <w:textAlignment w:val="auto"/>
        <w:rPr>
          <w:b/>
          <w:bCs/>
          <w:sz w:val="24"/>
          <w:szCs w:val="24"/>
        </w:rPr>
      </w:pPr>
      <w:r>
        <w:rPr>
          <w:b/>
          <w:bCs/>
          <w:sz w:val="24"/>
          <w:szCs w:val="24"/>
        </w:rPr>
        <w:t>Family Unification Program (FUP)</w:t>
      </w:r>
      <w:r w:rsidRPr="005239E0">
        <w:rPr>
          <w:b/>
          <w:bCs/>
          <w:sz w:val="24"/>
          <w:szCs w:val="24"/>
        </w:rPr>
        <w:t xml:space="preserve"> </w:t>
      </w:r>
      <w:r w:rsidRPr="00662170">
        <w:rPr>
          <w:b/>
          <w:bCs/>
          <w:sz w:val="24"/>
          <w:szCs w:val="24"/>
        </w:rPr>
        <w:t>I</w:t>
      </w:r>
      <w:r>
        <w:rPr>
          <w:b/>
          <w:bCs/>
          <w:sz w:val="24"/>
          <w:szCs w:val="24"/>
        </w:rPr>
        <w:t xml:space="preserve">nformation Collection – </w:t>
      </w:r>
      <w:r w:rsidR="00641ABF">
        <w:rPr>
          <w:b/>
          <w:bCs/>
          <w:sz w:val="24"/>
          <w:szCs w:val="24"/>
        </w:rPr>
        <w:t>N</w:t>
      </w:r>
      <w:r>
        <w:rPr>
          <w:b/>
          <w:bCs/>
          <w:sz w:val="24"/>
          <w:szCs w:val="24"/>
        </w:rPr>
        <w:t>ot HUD forms</w:t>
      </w:r>
    </w:p>
    <w:p w:rsidR="00562076" w:rsidRPr="00887EAA" w:rsidP="00562076" w14:paraId="7B94D623" w14:textId="77777777">
      <w:pPr>
        <w:spacing w:after="180"/>
        <w:ind w:left="360"/>
        <w:textAlignment w:val="auto"/>
        <w:rPr>
          <w:sz w:val="24"/>
          <w:szCs w:val="24"/>
        </w:rPr>
      </w:pPr>
      <w:r w:rsidRPr="00887EAA">
        <w:rPr>
          <w:b/>
          <w:bCs/>
          <w:sz w:val="24"/>
          <w:szCs w:val="24"/>
        </w:rPr>
        <w:t>FUP Statement of Need.  </w:t>
      </w:r>
      <w:r w:rsidRPr="00887EAA">
        <w:rPr>
          <w:sz w:val="24"/>
          <w:szCs w:val="24"/>
        </w:rPr>
        <w:t>This statement is submitted by the applicant to demonstrate the need for FUP</w:t>
      </w:r>
      <w:r>
        <w:rPr>
          <w:sz w:val="24"/>
          <w:szCs w:val="24"/>
        </w:rPr>
        <w:t xml:space="preserve"> </w:t>
      </w:r>
      <w:r w:rsidRPr="00887EAA">
        <w:rPr>
          <w:sz w:val="24"/>
          <w:szCs w:val="24"/>
        </w:rPr>
        <w:t>vouchers in the PHA’s jurisdiction which is not being met through other existing programs.  It is used as part of HUD’s allocation determination. </w:t>
      </w:r>
    </w:p>
    <w:p w:rsidR="00942B54" w:rsidRPr="00887EAA" w:rsidP="00942B54" w14:paraId="3C134343" w14:textId="77777777">
      <w:pPr>
        <w:spacing w:after="180"/>
        <w:ind w:left="360"/>
        <w:textAlignment w:val="auto"/>
        <w:rPr>
          <w:sz w:val="24"/>
          <w:szCs w:val="24"/>
        </w:rPr>
      </w:pPr>
      <w:r w:rsidRPr="00887EAA">
        <w:rPr>
          <w:b/>
          <w:bCs/>
          <w:sz w:val="24"/>
          <w:szCs w:val="24"/>
        </w:rPr>
        <w:t>Family Unification Program (FUP) Memorandum of Understanding (MOU).  </w:t>
      </w:r>
      <w:r w:rsidRPr="00887EAA">
        <w:rPr>
          <w:sz w:val="24"/>
          <w:szCs w:val="24"/>
        </w:rPr>
        <w:t>This document</w:t>
      </w:r>
      <w:r>
        <w:rPr>
          <w:sz w:val="24"/>
          <w:szCs w:val="24"/>
        </w:rPr>
        <w:t xml:space="preserve"> </w:t>
      </w:r>
      <w:r w:rsidRPr="00887EAA">
        <w:rPr>
          <w:sz w:val="24"/>
          <w:szCs w:val="24"/>
        </w:rPr>
        <w:t>entered into between the PHA, Public Child Welfare Agency (PCWA) and Continuum of Care (CoC) is required by the FUP NOFO to be submitted to HUD.  The MOU contains threshold requirements specific to the program.  The MOU also includes the applicant’s commitment to administering the FUP program.  The MOU is also the vehicle for describing rating factor activities for which the applicant is seeking funding.</w:t>
      </w:r>
    </w:p>
    <w:p w:rsidR="00942B54" w:rsidRPr="00887EAA" w:rsidP="00942B54" w14:paraId="39BBFAE8" w14:textId="77777777">
      <w:pPr>
        <w:spacing w:after="180"/>
        <w:ind w:left="360"/>
        <w:textAlignment w:val="auto"/>
        <w:rPr>
          <w:sz w:val="24"/>
          <w:szCs w:val="24"/>
        </w:rPr>
      </w:pPr>
      <w:r w:rsidRPr="00887EAA">
        <w:rPr>
          <w:b/>
          <w:bCs/>
          <w:sz w:val="24"/>
          <w:szCs w:val="24"/>
        </w:rPr>
        <w:t>FUP Evidence of a self-sufficiency program.  </w:t>
      </w:r>
      <w:r w:rsidRPr="00887EAA">
        <w:rPr>
          <w:sz w:val="24"/>
          <w:szCs w:val="24"/>
        </w:rPr>
        <w:t>Applicants may be eligible for rating factor points if the PHA administers a Family Self-Sufficiency (FSS) program or similar program that is available to FUPP-eligible families and youth.  Additional points may be awarded for having enrolled FUP-eligible families and youth in such a program.  The applicant must meet the evidence or certification requirement outlined in the NOFO. </w:t>
      </w:r>
    </w:p>
    <w:p w:rsidR="00DA454A" w:rsidRPr="005239E0" w:rsidP="00DA454A" w14:paraId="5EF39887" w14:textId="23084C14">
      <w:pPr>
        <w:pBdr>
          <w:top w:val="single" w:sz="4" w:space="1" w:color="auto"/>
          <w:bottom w:val="single" w:sz="4" w:space="1" w:color="auto"/>
        </w:pBdr>
        <w:spacing w:after="180"/>
        <w:ind w:left="360"/>
        <w:textAlignment w:val="auto"/>
        <w:rPr>
          <w:b/>
          <w:bCs/>
          <w:sz w:val="24"/>
          <w:szCs w:val="24"/>
        </w:rPr>
      </w:pPr>
      <w:r w:rsidRPr="00B45A80">
        <w:rPr>
          <w:b/>
          <w:bCs/>
          <w:sz w:val="24"/>
          <w:szCs w:val="24"/>
        </w:rPr>
        <w:t>Tribal HUD-VASH</w:t>
      </w:r>
      <w:r w:rsidRPr="005239E0">
        <w:rPr>
          <w:b/>
          <w:bCs/>
          <w:sz w:val="24"/>
          <w:szCs w:val="24"/>
        </w:rPr>
        <w:t xml:space="preserve"> </w:t>
      </w:r>
      <w:r w:rsidRPr="00662170">
        <w:rPr>
          <w:b/>
          <w:bCs/>
          <w:sz w:val="24"/>
          <w:szCs w:val="24"/>
        </w:rPr>
        <w:t>I</w:t>
      </w:r>
      <w:r>
        <w:rPr>
          <w:b/>
          <w:bCs/>
          <w:sz w:val="24"/>
          <w:szCs w:val="24"/>
        </w:rPr>
        <w:t xml:space="preserve">nformation Collections – </w:t>
      </w:r>
      <w:r w:rsidR="00641ABF">
        <w:rPr>
          <w:b/>
          <w:bCs/>
          <w:sz w:val="24"/>
          <w:szCs w:val="24"/>
        </w:rPr>
        <w:t>N</w:t>
      </w:r>
      <w:r>
        <w:rPr>
          <w:b/>
          <w:bCs/>
          <w:sz w:val="24"/>
          <w:szCs w:val="24"/>
        </w:rPr>
        <w:t>ot HUD forms</w:t>
      </w:r>
    </w:p>
    <w:p w:rsidR="00DA454A" w:rsidRPr="00887EAA" w:rsidP="00DA454A" w14:paraId="422F5247" w14:textId="77777777">
      <w:pPr>
        <w:spacing w:after="180"/>
        <w:ind w:left="360"/>
        <w:textAlignment w:val="auto"/>
        <w:rPr>
          <w:sz w:val="24"/>
          <w:szCs w:val="24"/>
        </w:rPr>
      </w:pPr>
      <w:r w:rsidRPr="00887EAA">
        <w:rPr>
          <w:b/>
          <w:bCs/>
          <w:sz w:val="24"/>
          <w:szCs w:val="24"/>
        </w:rPr>
        <w:t>HUD-VASH-VAMC letter of support for participation.  </w:t>
      </w:r>
      <w:r w:rsidRPr="00887EAA">
        <w:rPr>
          <w:sz w:val="24"/>
          <w:szCs w:val="24"/>
        </w:rPr>
        <w:t>This letter must identify the percent and number of vouchers the VAMC will support for use with the Continuum, and verify that the remaining standard HUD-VASH vouchers are sufficient to meet current need, as well as identify the service provider that will be providing the case management in place of the VA. </w:t>
      </w:r>
    </w:p>
    <w:p w:rsidR="00DA454A" w:rsidRPr="00887EAA" w:rsidP="00DA454A" w14:paraId="2C744277" w14:textId="77777777">
      <w:pPr>
        <w:spacing w:after="180"/>
        <w:ind w:left="360"/>
        <w:textAlignment w:val="auto"/>
        <w:rPr>
          <w:sz w:val="24"/>
          <w:szCs w:val="24"/>
        </w:rPr>
      </w:pPr>
      <w:r w:rsidRPr="00887EAA">
        <w:rPr>
          <w:b/>
          <w:bCs/>
          <w:sz w:val="24"/>
          <w:szCs w:val="24"/>
        </w:rPr>
        <w:t>HUD-VASH signed formal agreement,</w:t>
      </w:r>
      <w:r w:rsidRPr="00887EAA">
        <w:rPr>
          <w:sz w:val="24"/>
          <w:szCs w:val="24"/>
        </w:rPr>
        <w:t> e.g. memorandum of understanding/memorandum of agreement, that describes the partnership between the PHA and the supportive service provider(s). </w:t>
      </w:r>
    </w:p>
    <w:p w:rsidR="00DA454A" w:rsidRPr="00887EAA" w:rsidP="00DA454A" w14:paraId="03268C73" w14:textId="77777777">
      <w:pPr>
        <w:spacing w:after="180"/>
        <w:ind w:left="360"/>
        <w:textAlignment w:val="auto"/>
        <w:rPr>
          <w:sz w:val="24"/>
          <w:szCs w:val="24"/>
        </w:rPr>
      </w:pPr>
      <w:r w:rsidRPr="00887EAA">
        <w:rPr>
          <w:b/>
          <w:bCs/>
          <w:sz w:val="24"/>
          <w:szCs w:val="24"/>
        </w:rPr>
        <w:t>HUD-VASH description of jurisdictional boundaries.  </w:t>
      </w:r>
      <w:r w:rsidRPr="00887EAA">
        <w:rPr>
          <w:sz w:val="24"/>
          <w:szCs w:val="24"/>
        </w:rPr>
        <w:t>This description must include how the supportive service provider(s) will ensure comparable geographic coverage of the current VAMC-PHA service area. </w:t>
      </w:r>
    </w:p>
    <w:p w:rsidR="00DA454A" w:rsidRPr="00887EAA" w:rsidP="00DA454A" w14:paraId="78E6DA9C" w14:textId="77777777">
      <w:pPr>
        <w:spacing w:after="180"/>
        <w:ind w:left="360"/>
        <w:textAlignment w:val="auto"/>
        <w:rPr>
          <w:sz w:val="24"/>
          <w:szCs w:val="24"/>
        </w:rPr>
      </w:pPr>
      <w:r w:rsidRPr="00887EAA">
        <w:rPr>
          <w:b/>
          <w:bCs/>
          <w:sz w:val="24"/>
          <w:szCs w:val="24"/>
        </w:rPr>
        <w:t>Cover Letter: </w:t>
      </w:r>
      <w:r w:rsidRPr="00887EAA">
        <w:rPr>
          <w:sz w:val="24"/>
          <w:szCs w:val="24"/>
        </w:rPr>
        <w:t>The tribe/TDHE must submit a one-page cover letter on the organization’s letterhead</w:t>
      </w:r>
      <w:r>
        <w:rPr>
          <w:sz w:val="24"/>
          <w:szCs w:val="24"/>
        </w:rPr>
        <w:t xml:space="preserve"> </w:t>
      </w:r>
      <w:r w:rsidRPr="00887EAA">
        <w:rPr>
          <w:sz w:val="24"/>
          <w:szCs w:val="24"/>
        </w:rPr>
        <w:t>identifying the point of contact and their contact information, and an authorized representative signature.   </w:t>
      </w:r>
    </w:p>
    <w:p w:rsidR="00DA454A" w:rsidRPr="00887EAA" w:rsidP="00DA454A" w14:paraId="5FFB027F" w14:textId="77777777">
      <w:pPr>
        <w:spacing w:after="180"/>
        <w:ind w:left="360"/>
        <w:textAlignment w:val="auto"/>
        <w:rPr>
          <w:sz w:val="24"/>
          <w:szCs w:val="24"/>
        </w:rPr>
      </w:pPr>
      <w:r w:rsidRPr="00887EAA">
        <w:rPr>
          <w:b/>
          <w:bCs/>
          <w:sz w:val="24"/>
          <w:szCs w:val="24"/>
        </w:rPr>
        <w:t>Tribal HUD-VASH application and reporting materials </w:t>
      </w:r>
      <w:r w:rsidRPr="00887EAA">
        <w:rPr>
          <w:sz w:val="24"/>
          <w:szCs w:val="24"/>
        </w:rPr>
        <w:t>as issued in the Federal Register Notice, “Implementation of the Tribal HUD-VA Supportive Housing Program” (FR 6091-N-01) or future notices. </w:t>
      </w:r>
    </w:p>
    <w:p w:rsidR="009F6F1C" w:rsidRPr="00C256F2" w:rsidP="009F6F1C" w14:paraId="494E9B60" w14:textId="77777777">
      <w:pPr>
        <w:ind w:left="360"/>
        <w:textAlignment w:val="auto"/>
        <w:rPr>
          <w:b/>
          <w:bCs/>
          <w:sz w:val="24"/>
          <w:szCs w:val="24"/>
        </w:rPr>
      </w:pPr>
    </w:p>
    <w:p w:rsidR="009F6F1C" w:rsidP="00A37FC0" w14:paraId="67AB83D8" w14:textId="6E7B857C">
      <w:pPr>
        <w:keepLines/>
        <w:tabs>
          <w:tab w:val="left" w:pos="360"/>
        </w:tabs>
        <w:ind w:left="360" w:hanging="360"/>
        <w:rPr>
          <w:sz w:val="24"/>
          <w:szCs w:val="24"/>
        </w:rPr>
      </w:pPr>
      <w:r w:rsidRPr="00F67D09">
        <w:rPr>
          <w:b/>
          <w:bCs/>
          <w:sz w:val="24"/>
          <w:szCs w:val="24"/>
        </w:rPr>
        <w:t>3</w:t>
      </w:r>
      <w:r w:rsidRPr="00887EAA">
        <w:rPr>
          <w:sz w:val="24"/>
          <w:szCs w:val="24"/>
        </w:rPr>
        <w:t>.</w:t>
      </w:r>
      <w:r w:rsidRPr="00887EAA">
        <w:rPr>
          <w:sz w:val="24"/>
          <w:szCs w:val="24"/>
        </w:rPr>
        <w:tab/>
      </w:r>
      <w:r w:rsidRPr="00887EAA" w:rsidR="00EB36AD">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87EAA" w:rsidR="00EB36AD">
        <w:rPr>
          <w:sz w:val="24"/>
          <w:szCs w:val="24"/>
        </w:rPr>
        <w:t>.</w:t>
      </w:r>
    </w:p>
    <w:p w:rsidR="00565D93" w:rsidP="00B45A80" w14:paraId="2295C432" w14:textId="0B7AE539">
      <w:pPr>
        <w:keepLines/>
        <w:tabs>
          <w:tab w:val="left" w:pos="360"/>
        </w:tabs>
        <w:ind w:left="360"/>
        <w:rPr>
          <w:sz w:val="24"/>
          <w:szCs w:val="24"/>
        </w:rPr>
      </w:pPr>
      <w:r w:rsidRPr="00887EAA">
        <w:rPr>
          <w:sz w:val="24"/>
          <w:szCs w:val="24"/>
        </w:rPr>
        <w:t xml:space="preserve">For non-competitive awards, HUD has PHAs submit the HUD-52515 electronically via </w:t>
      </w:r>
      <w:r w:rsidR="00C54076">
        <w:rPr>
          <w:sz w:val="24"/>
          <w:szCs w:val="24"/>
        </w:rPr>
        <w:t xml:space="preserve">the </w:t>
      </w:r>
      <w:r w:rsidRPr="00887EAA">
        <w:rPr>
          <w:sz w:val="24"/>
          <w:szCs w:val="24"/>
        </w:rPr>
        <w:t>email</w:t>
      </w:r>
      <w:r w:rsidR="00C13B06">
        <w:rPr>
          <w:sz w:val="24"/>
          <w:szCs w:val="24"/>
        </w:rPr>
        <w:t xml:space="preserve"> </w:t>
      </w:r>
      <w:r w:rsidRPr="00362D06" w:rsidR="00C13B06">
        <w:rPr>
          <w:sz w:val="24"/>
          <w:szCs w:val="24"/>
        </w:rPr>
        <w:t xml:space="preserve">specified in the </w:t>
      </w:r>
      <w:r w:rsidRPr="00362D06" w:rsidR="00362D06">
        <w:rPr>
          <w:sz w:val="24"/>
          <w:szCs w:val="24"/>
        </w:rPr>
        <w:t xml:space="preserve">various funding </w:t>
      </w:r>
      <w:r w:rsidRPr="00362D06" w:rsidR="00C13B06">
        <w:rPr>
          <w:sz w:val="24"/>
          <w:szCs w:val="24"/>
        </w:rPr>
        <w:t>notice</w:t>
      </w:r>
      <w:r w:rsidRPr="00362D06" w:rsidR="00362D06">
        <w:rPr>
          <w:sz w:val="24"/>
          <w:szCs w:val="24"/>
        </w:rPr>
        <w:t>s</w:t>
      </w:r>
      <w:r w:rsidRPr="00887EAA">
        <w:rPr>
          <w:sz w:val="24"/>
          <w:szCs w:val="24"/>
        </w:rPr>
        <w:t>.  HUD accepts electronic or wet signatures and PHAs do not need to print the form in order to submit to HUD. </w:t>
      </w:r>
    </w:p>
    <w:p w:rsidR="00A37FC0" w:rsidRPr="00887EAA" w:rsidP="00A37FC0" w14:paraId="17E3807E" w14:textId="77777777">
      <w:pPr>
        <w:keepLines/>
        <w:tabs>
          <w:tab w:val="left" w:pos="360"/>
        </w:tabs>
        <w:ind w:left="360" w:hanging="360"/>
        <w:rPr>
          <w:sz w:val="24"/>
          <w:szCs w:val="24"/>
        </w:rPr>
      </w:pPr>
    </w:p>
    <w:p w:rsidR="00E15819" w:rsidP="00A37FC0" w14:paraId="7E5894F4" w14:textId="5916F43A">
      <w:pPr>
        <w:keepLines/>
        <w:tabs>
          <w:tab w:val="left" w:pos="450"/>
        </w:tabs>
        <w:ind w:left="360"/>
        <w:rPr>
          <w:sz w:val="24"/>
          <w:szCs w:val="24"/>
        </w:rPr>
      </w:pPr>
      <w:r w:rsidRPr="00887EAA">
        <w:rPr>
          <w:sz w:val="24"/>
          <w:szCs w:val="24"/>
        </w:rPr>
        <w:t>The remainder of the forms in this information collection are collected at the PHA level (HUD-52646, HUD-52667, HUD-52580, HUD-52580A, HUD-52517, HUD-52665, HUD-52641, HUD-52641A, HUD-52649, HUD-52531A, HUD-52531B, HUD-52530A (Part 1 and Part 2). HUD-52530B (Part 1 and Part 2), HUD-52530C, HUD-52578B, HUD-50164)</w:t>
      </w:r>
      <w:r w:rsidRPr="00887EAA" w:rsidR="00D41148">
        <w:rPr>
          <w:sz w:val="24"/>
          <w:szCs w:val="24"/>
        </w:rPr>
        <w:t>, PHA-owned Certification Tenant-based Assistance HUD NEW-XXXXX, Tenancy Addendum following termination of Project-Based Voucher assistance to a project HUD NEW-XXXXX, PBV PHA-owned Certification for Existing Housing Part 1 and Part 2 HUD NEW-XXXXX, PBV PHA-owned Certification New Construction or Rehabilitated Housing Part 1 and Part 2 HUD NEW-XXXXX, PBV Rehabilitated Housing HAP Contract Rider HUD NEW-XXXXX, PBV Rehabilitated Housing PHA-owned Certification Rider HUD NEW-XXXXX, PHA-owned Agreement Certification Part 1 and Part 2 HUD NEW-XXXXX</w:t>
      </w:r>
      <w:r w:rsidRPr="00887EAA">
        <w:rPr>
          <w:sz w:val="24"/>
          <w:szCs w:val="24"/>
        </w:rPr>
        <w:t xml:space="preserve">. </w:t>
      </w:r>
    </w:p>
    <w:p w:rsidR="00A37FC0" w:rsidRPr="00887EAA" w:rsidP="00A37FC0" w14:paraId="4920A6A4" w14:textId="77777777">
      <w:pPr>
        <w:keepLines/>
        <w:tabs>
          <w:tab w:val="left" w:pos="450"/>
        </w:tabs>
        <w:ind w:left="360"/>
        <w:rPr>
          <w:sz w:val="24"/>
          <w:szCs w:val="24"/>
        </w:rPr>
      </w:pPr>
    </w:p>
    <w:p w:rsidR="00B700C6" w:rsidRPr="00887EAA" w:rsidP="00CA0ECE" w14:paraId="28D9A611" w14:textId="78103531">
      <w:pPr>
        <w:keepLines/>
        <w:tabs>
          <w:tab w:val="left" w:pos="450"/>
        </w:tabs>
        <w:spacing w:after="80"/>
        <w:ind w:left="360"/>
        <w:rPr>
          <w:sz w:val="24"/>
          <w:szCs w:val="24"/>
        </w:rPr>
      </w:pPr>
      <w:r w:rsidRPr="00887EAA">
        <w:rPr>
          <w:sz w:val="24"/>
          <w:szCs w:val="24"/>
        </w:rPr>
        <w:t xml:space="preserve">Procedures for collecting information on these forms vary by PHA and in some cases PHAs may print out the forms for participants to physically sign and in other cases the PHA may accept electronic signatures and submission.  PHAs may also store documents electronically, however, most PHAs still maintain paper files for tenants so most documents are likely printed. </w:t>
      </w:r>
    </w:p>
    <w:p w:rsidR="00051340" w:rsidRPr="00887EAA" w:rsidP="00CA0ECE" w14:paraId="591A525A" w14:textId="77777777">
      <w:pPr>
        <w:keepLines/>
        <w:tabs>
          <w:tab w:val="left" w:pos="450"/>
        </w:tabs>
        <w:spacing w:after="80"/>
        <w:ind w:left="360"/>
        <w:rPr>
          <w:sz w:val="24"/>
          <w:szCs w:val="24"/>
        </w:rPr>
      </w:pPr>
    </w:p>
    <w:p w:rsidR="00247B94" w:rsidRPr="00887EAA" w:rsidP="00A37FC0" w14:paraId="6F3A895B" w14:textId="77777777">
      <w:pPr>
        <w:keepLines/>
        <w:tabs>
          <w:tab w:val="left" w:pos="360"/>
        </w:tabs>
        <w:spacing w:after="180"/>
        <w:ind w:left="360" w:hanging="360"/>
        <w:rPr>
          <w:b/>
          <w:bCs/>
          <w:sz w:val="24"/>
          <w:szCs w:val="24"/>
        </w:rPr>
      </w:pPr>
      <w:r w:rsidRPr="00887EAA">
        <w:rPr>
          <w:b/>
          <w:bCs/>
          <w:sz w:val="24"/>
          <w:szCs w:val="24"/>
        </w:rPr>
        <w:t>4.</w:t>
      </w:r>
      <w:r w:rsidRPr="00887EAA">
        <w:rPr>
          <w:sz w:val="24"/>
          <w:szCs w:val="24"/>
        </w:rPr>
        <w:tab/>
      </w:r>
      <w:r w:rsidRPr="00887EAA">
        <w:rPr>
          <w:b/>
          <w:bCs/>
          <w:sz w:val="24"/>
          <w:szCs w:val="24"/>
        </w:rPr>
        <w:t>Describe efforts to identify duplication.  Show specifically why any similar information already available cannot be used or modified for use for the purposes described in Item 2 above</w:t>
      </w:r>
      <w:r w:rsidRPr="00887EAA" w:rsidR="0033576B">
        <w:rPr>
          <w:b/>
          <w:bCs/>
          <w:sz w:val="24"/>
          <w:szCs w:val="24"/>
        </w:rPr>
        <w:t>.</w:t>
      </w:r>
    </w:p>
    <w:p w:rsidR="009F6F1C" w:rsidRPr="00887EAA" w:rsidP="009F6F1C" w14:paraId="0AFFAA6F" w14:textId="3DDF1B90">
      <w:pPr>
        <w:keepLines/>
        <w:tabs>
          <w:tab w:val="left" w:pos="360"/>
        </w:tabs>
        <w:spacing w:after="80"/>
        <w:ind w:left="360" w:hanging="360"/>
        <w:rPr>
          <w:color w:val="000000"/>
          <w:sz w:val="24"/>
          <w:szCs w:val="24"/>
        </w:rPr>
      </w:pPr>
      <w:r w:rsidRPr="00887EAA">
        <w:rPr>
          <w:b/>
          <w:bCs/>
          <w:sz w:val="24"/>
          <w:szCs w:val="24"/>
        </w:rPr>
        <w:tab/>
      </w:r>
      <w:r w:rsidRPr="00887EAA" w:rsidR="00216845">
        <w:rPr>
          <w:sz w:val="24"/>
          <w:szCs w:val="24"/>
        </w:rPr>
        <w:t xml:space="preserve">There is no duplication of </w:t>
      </w:r>
      <w:r w:rsidRPr="00887EAA" w:rsidR="00AB40B2">
        <w:rPr>
          <w:sz w:val="24"/>
          <w:szCs w:val="24"/>
        </w:rPr>
        <w:t>the subject information</w:t>
      </w:r>
      <w:r w:rsidRPr="00887EAA" w:rsidR="00216845">
        <w:rPr>
          <w:sz w:val="24"/>
          <w:szCs w:val="24"/>
        </w:rPr>
        <w:t xml:space="preserve">.  </w:t>
      </w:r>
    </w:p>
    <w:p w:rsidR="009F6F1C" w:rsidRPr="00887EAA" w:rsidP="009F6F1C" w14:paraId="0D3A201F" w14:textId="77777777">
      <w:pPr>
        <w:keepLines/>
        <w:tabs>
          <w:tab w:val="left" w:pos="360"/>
          <w:tab w:val="left" w:pos="720"/>
        </w:tabs>
        <w:ind w:left="360"/>
        <w:rPr>
          <w:sz w:val="24"/>
          <w:szCs w:val="24"/>
        </w:rPr>
      </w:pPr>
    </w:p>
    <w:p w:rsidR="009F6F1C" w:rsidRPr="00887EAA" w:rsidP="00A37FC0" w14:paraId="09EEF6CB" w14:textId="78F8DDA0">
      <w:pPr>
        <w:keepLines/>
        <w:tabs>
          <w:tab w:val="left" w:pos="360"/>
        </w:tabs>
        <w:spacing w:after="180"/>
        <w:ind w:left="360" w:hanging="360"/>
        <w:rPr>
          <w:b/>
          <w:bCs/>
          <w:sz w:val="24"/>
          <w:szCs w:val="24"/>
        </w:rPr>
      </w:pPr>
      <w:r w:rsidRPr="00887EAA">
        <w:rPr>
          <w:b/>
          <w:bCs/>
          <w:sz w:val="24"/>
          <w:szCs w:val="24"/>
        </w:rPr>
        <w:t>5.</w:t>
      </w:r>
      <w:r w:rsidRPr="00887EAA">
        <w:rPr>
          <w:sz w:val="24"/>
          <w:szCs w:val="24"/>
        </w:rPr>
        <w:tab/>
      </w:r>
      <w:r w:rsidRPr="00887EAA" w:rsidR="00E27186">
        <w:rPr>
          <w:b/>
          <w:bCs/>
          <w:sz w:val="24"/>
          <w:szCs w:val="24"/>
        </w:rPr>
        <w:t>If the collection of information impacts small businesses or other small entities describe any methods used to minimize burden.</w:t>
      </w:r>
    </w:p>
    <w:p w:rsidR="009F6F1C" w:rsidRPr="00887EAA" w:rsidP="00AE77BC" w14:paraId="2F7E7FB2" w14:textId="79565218">
      <w:pPr>
        <w:ind w:left="360"/>
        <w:rPr>
          <w:color w:val="000000"/>
          <w:sz w:val="24"/>
          <w:szCs w:val="24"/>
        </w:rPr>
      </w:pPr>
      <w:r w:rsidRPr="00887EAA">
        <w:rPr>
          <w:sz w:val="24"/>
          <w:szCs w:val="24"/>
        </w:rPr>
        <w:t>The information being collected has no significant impact on small businesses or other small entities.  The burden associated with such collection of information is the minimum needed for program monitoring</w:t>
      </w:r>
      <w:r w:rsidRPr="00887EAA">
        <w:rPr>
          <w:color w:val="000000"/>
          <w:sz w:val="24"/>
          <w:szCs w:val="24"/>
        </w:rPr>
        <w:t>.</w:t>
      </w:r>
    </w:p>
    <w:p w:rsidR="009F6F1C" w:rsidRPr="00887EAA" w:rsidP="009F6F1C" w14:paraId="22F5A11D" w14:textId="77777777">
      <w:pPr>
        <w:keepLines/>
        <w:tabs>
          <w:tab w:val="left" w:pos="360"/>
        </w:tabs>
        <w:spacing w:after="80"/>
        <w:ind w:left="360" w:hanging="360"/>
        <w:rPr>
          <w:b/>
          <w:bCs/>
          <w:sz w:val="24"/>
          <w:szCs w:val="24"/>
        </w:rPr>
      </w:pPr>
    </w:p>
    <w:p w:rsidR="009F6F1C" w:rsidRPr="00887EAA" w:rsidP="00AB40B2" w14:paraId="41563C69" w14:textId="1940065E">
      <w:pPr>
        <w:keepLines/>
        <w:tabs>
          <w:tab w:val="left" w:pos="360"/>
        </w:tabs>
        <w:spacing w:after="80"/>
        <w:ind w:left="360" w:hanging="360"/>
        <w:rPr>
          <w:b/>
          <w:bCs/>
          <w:sz w:val="24"/>
          <w:szCs w:val="24"/>
        </w:rPr>
      </w:pPr>
      <w:r w:rsidRPr="00887EAA">
        <w:rPr>
          <w:b/>
          <w:bCs/>
          <w:sz w:val="24"/>
          <w:szCs w:val="24"/>
        </w:rPr>
        <w:t>6.</w:t>
      </w:r>
      <w:r w:rsidRPr="00887EAA">
        <w:rPr>
          <w:b/>
          <w:bCs/>
          <w:sz w:val="24"/>
          <w:szCs w:val="24"/>
        </w:rPr>
        <w:tab/>
        <w:t xml:space="preserve">Describe the consequence to </w:t>
      </w:r>
      <w:r w:rsidRPr="00887EAA" w:rsidR="00AB40B2">
        <w:rPr>
          <w:b/>
          <w:bCs/>
          <w:sz w:val="24"/>
          <w:szCs w:val="24"/>
        </w:rPr>
        <w:t>f</w:t>
      </w:r>
      <w:r w:rsidRPr="00887EAA">
        <w:rPr>
          <w:b/>
          <w:bCs/>
          <w:sz w:val="24"/>
          <w:szCs w:val="24"/>
        </w:rPr>
        <w:t>ederal program or policy activities if the collection is not conducted or is conducted less frequently, as well as any technical or legal obstacles to reducing burden.</w:t>
      </w:r>
      <w:r w:rsidRPr="00887EAA" w:rsidR="00AB40B2">
        <w:rPr>
          <w:b/>
          <w:bCs/>
          <w:sz w:val="24"/>
          <w:szCs w:val="24"/>
        </w:rPr>
        <w:t xml:space="preserve"> </w:t>
      </w:r>
      <w:r w:rsidRPr="00887EAA" w:rsidR="00565D93">
        <w:rPr>
          <w:sz w:val="24"/>
          <w:szCs w:val="24"/>
        </w:rPr>
        <w:t>The burden associated with Parts 982 and 983 is the minimum needed for program monitoring and implementation and incorporates program applications for funding, and contractual and other documents necessary to program administration and implementation.  The information cannot be collected less</w:t>
      </w:r>
      <w:r w:rsidR="00B67BE1">
        <w:rPr>
          <w:sz w:val="24"/>
          <w:szCs w:val="24"/>
        </w:rPr>
        <w:t xml:space="preserve"> </w:t>
      </w:r>
      <w:r w:rsidRPr="00887EAA" w:rsidR="00565D93">
        <w:rPr>
          <w:sz w:val="24"/>
          <w:szCs w:val="24"/>
        </w:rPr>
        <w:t>frequently because it is either (1) necessary to ensure housing is adequate and occupancy is by eligible families (2) necessary to</w:t>
      </w:r>
      <w:r w:rsidR="00B67BE1">
        <w:rPr>
          <w:sz w:val="24"/>
          <w:szCs w:val="24"/>
        </w:rPr>
        <w:t xml:space="preserve"> </w:t>
      </w:r>
      <w:r w:rsidRPr="00887EAA" w:rsidR="00565D93">
        <w:rPr>
          <w:sz w:val="24"/>
          <w:szCs w:val="24"/>
        </w:rPr>
        <w:t>comply with</w:t>
      </w:r>
      <w:r w:rsidR="00B67BE1">
        <w:rPr>
          <w:sz w:val="24"/>
          <w:szCs w:val="24"/>
        </w:rPr>
        <w:t xml:space="preserve"> </w:t>
      </w:r>
      <w:r w:rsidRPr="00887EAA" w:rsidR="00565D93">
        <w:rPr>
          <w:sz w:val="24"/>
          <w:szCs w:val="24"/>
        </w:rPr>
        <w:t>contractual arrangements</w:t>
      </w:r>
      <w:r w:rsidR="00214D2C">
        <w:rPr>
          <w:sz w:val="24"/>
          <w:szCs w:val="24"/>
        </w:rPr>
        <w:t>,</w:t>
      </w:r>
      <w:r w:rsidRPr="00887EAA" w:rsidR="00565D93">
        <w:rPr>
          <w:sz w:val="24"/>
          <w:szCs w:val="24"/>
        </w:rPr>
        <w:t xml:space="preserve"> or (3) necessary to ensure compliance with a statutory mandate. </w:t>
      </w:r>
      <w:r w:rsidRPr="00887EAA" w:rsidR="00565D93">
        <w:rPr>
          <w:sz w:val="24"/>
          <w:szCs w:val="24"/>
        </w:rPr>
        <w:br/>
      </w:r>
    </w:p>
    <w:p w:rsidR="009F6F1C" w:rsidRPr="00887EAA" w:rsidP="00A37FC0" w14:paraId="24585EB0" w14:textId="77777777">
      <w:pPr>
        <w:numPr>
          <w:ilvl w:val="0"/>
          <w:numId w:val="13"/>
        </w:numPr>
        <w:tabs>
          <w:tab w:val="left" w:pos="360"/>
        </w:tabs>
        <w:spacing w:after="180"/>
        <w:rPr>
          <w:b/>
          <w:bCs/>
          <w:sz w:val="24"/>
          <w:szCs w:val="24"/>
        </w:rPr>
      </w:pPr>
      <w:r w:rsidRPr="00887EAA">
        <w:rPr>
          <w:b/>
          <w:bCs/>
          <w:sz w:val="24"/>
          <w:szCs w:val="24"/>
        </w:rPr>
        <w:t>Explain any special circumstances that would cause an information collection to be conducted in a manner:</w:t>
      </w:r>
    </w:p>
    <w:p w:rsidR="009F6F1C" w:rsidRPr="00887EAA" w:rsidP="00E82F48" w14:paraId="1A0A3CAE" w14:textId="1E80EBDF">
      <w:pPr>
        <w:numPr>
          <w:ilvl w:val="0"/>
          <w:numId w:val="4"/>
        </w:numPr>
        <w:spacing w:after="180"/>
        <w:rPr>
          <w:b/>
          <w:bCs/>
          <w:sz w:val="24"/>
          <w:szCs w:val="24"/>
        </w:rPr>
      </w:pPr>
      <w:r w:rsidRPr="00887EAA">
        <w:rPr>
          <w:sz w:val="24"/>
          <w:szCs w:val="24"/>
        </w:rPr>
        <w:t xml:space="preserve">requiring respondents to report information to the agency more than quarterly; </w:t>
      </w:r>
    </w:p>
    <w:p w:rsidR="001477D3" w:rsidRPr="00887EAA" w:rsidP="00E82F48" w14:paraId="4B565BB3" w14:textId="7D0392D7">
      <w:pPr>
        <w:spacing w:after="180"/>
        <w:ind w:left="720"/>
        <w:rPr>
          <w:b/>
          <w:bCs/>
          <w:sz w:val="24"/>
          <w:szCs w:val="24"/>
        </w:rPr>
      </w:pPr>
      <w:r w:rsidRPr="00887EAA">
        <w:rPr>
          <w:b/>
          <w:bCs/>
          <w:sz w:val="24"/>
          <w:szCs w:val="24"/>
        </w:rPr>
        <w:t>Not Applicable</w:t>
      </w:r>
    </w:p>
    <w:p w:rsidR="009F6F1C" w:rsidRPr="00887EAA" w:rsidP="00E82F48" w14:paraId="7D1EA54E" w14:textId="16EB6E96">
      <w:pPr>
        <w:numPr>
          <w:ilvl w:val="0"/>
          <w:numId w:val="4"/>
        </w:numPr>
        <w:spacing w:after="180"/>
        <w:rPr>
          <w:sz w:val="24"/>
          <w:szCs w:val="24"/>
        </w:rPr>
      </w:pPr>
      <w:r w:rsidRPr="00887EAA">
        <w:rPr>
          <w:sz w:val="24"/>
          <w:szCs w:val="24"/>
        </w:rPr>
        <w:t xml:space="preserve">requiring respondents to prepare a written response to a collection of information in fewer than 30 days after receipt of it; </w:t>
      </w:r>
    </w:p>
    <w:p w:rsidR="001477D3" w:rsidRPr="00887EAA" w:rsidP="00E82F48" w14:paraId="5B2C031A" w14:textId="77777777">
      <w:pPr>
        <w:spacing w:after="180"/>
        <w:ind w:left="720"/>
        <w:rPr>
          <w:b/>
          <w:bCs/>
          <w:sz w:val="24"/>
          <w:szCs w:val="24"/>
        </w:rPr>
      </w:pPr>
      <w:r w:rsidRPr="00887EAA">
        <w:rPr>
          <w:b/>
          <w:bCs/>
          <w:sz w:val="24"/>
          <w:szCs w:val="24"/>
        </w:rPr>
        <w:t>Not Applicable</w:t>
      </w:r>
    </w:p>
    <w:p w:rsidR="009F6F1C" w:rsidRPr="00887EAA" w:rsidP="00E82F48" w14:paraId="155C19FC" w14:textId="62E5E230">
      <w:pPr>
        <w:numPr>
          <w:ilvl w:val="0"/>
          <w:numId w:val="4"/>
        </w:numPr>
        <w:spacing w:after="180"/>
        <w:rPr>
          <w:sz w:val="24"/>
          <w:szCs w:val="24"/>
        </w:rPr>
      </w:pPr>
      <w:r w:rsidRPr="00887EAA">
        <w:rPr>
          <w:sz w:val="24"/>
          <w:szCs w:val="24"/>
        </w:rPr>
        <w:t xml:space="preserve">requiring respondents to submit more than an original and two copies of any document; </w:t>
      </w:r>
    </w:p>
    <w:p w:rsidR="00635A2D" w:rsidRPr="00887EAA" w:rsidP="00E82F48" w14:paraId="27F3F7ED" w14:textId="77777777">
      <w:pPr>
        <w:spacing w:after="180"/>
        <w:ind w:left="720"/>
        <w:rPr>
          <w:b/>
          <w:bCs/>
          <w:sz w:val="24"/>
          <w:szCs w:val="24"/>
        </w:rPr>
      </w:pPr>
      <w:r w:rsidRPr="00887EAA">
        <w:rPr>
          <w:b/>
          <w:bCs/>
          <w:sz w:val="24"/>
          <w:szCs w:val="24"/>
        </w:rPr>
        <w:t>Not Applicable</w:t>
      </w:r>
    </w:p>
    <w:p w:rsidR="009F6F1C" w:rsidRPr="00887EAA" w:rsidP="00E82F48" w14:paraId="64223BBD" w14:textId="3EBAF47F">
      <w:pPr>
        <w:numPr>
          <w:ilvl w:val="0"/>
          <w:numId w:val="4"/>
        </w:numPr>
        <w:spacing w:after="180"/>
        <w:rPr>
          <w:sz w:val="24"/>
          <w:szCs w:val="24"/>
        </w:rPr>
      </w:pPr>
      <w:r w:rsidRPr="00887EAA">
        <w:rPr>
          <w:sz w:val="24"/>
          <w:szCs w:val="24"/>
        </w:rPr>
        <w:t xml:space="preserve">requiring respondents to retain records other than health, medical, government contract, grant-in-aid, or tax records for more than three years; </w:t>
      </w:r>
    </w:p>
    <w:p w:rsidR="00635A2D" w:rsidRPr="00887EAA" w:rsidP="00E82F48" w14:paraId="17843A15" w14:textId="77777777">
      <w:pPr>
        <w:spacing w:after="180"/>
        <w:ind w:left="720"/>
        <w:rPr>
          <w:b/>
          <w:bCs/>
          <w:sz w:val="24"/>
          <w:szCs w:val="24"/>
        </w:rPr>
      </w:pPr>
      <w:r w:rsidRPr="00887EAA">
        <w:rPr>
          <w:b/>
          <w:bCs/>
          <w:sz w:val="24"/>
          <w:szCs w:val="24"/>
        </w:rPr>
        <w:t>Not Applicable</w:t>
      </w:r>
    </w:p>
    <w:p w:rsidR="00EC46E8" w:rsidRPr="00887EAA" w:rsidP="00E82F48" w14:paraId="4A028F06" w14:textId="76733B8B">
      <w:pPr>
        <w:numPr>
          <w:ilvl w:val="0"/>
          <w:numId w:val="4"/>
        </w:numPr>
        <w:spacing w:after="180"/>
        <w:rPr>
          <w:sz w:val="24"/>
          <w:szCs w:val="24"/>
        </w:rPr>
      </w:pPr>
      <w:r w:rsidRPr="00887EAA">
        <w:rPr>
          <w:sz w:val="24"/>
          <w:szCs w:val="24"/>
        </w:rPr>
        <w:t xml:space="preserve">in connection with a statistical survey, that is not designed to produce valid and reliable results than can be generalized to the universe of study; </w:t>
      </w:r>
    </w:p>
    <w:p w:rsidR="00635A2D" w:rsidRPr="00887EAA" w:rsidP="00E82F48" w14:paraId="21E18F12" w14:textId="77777777">
      <w:pPr>
        <w:spacing w:after="180"/>
        <w:ind w:left="720"/>
        <w:rPr>
          <w:b/>
          <w:bCs/>
          <w:sz w:val="24"/>
          <w:szCs w:val="24"/>
        </w:rPr>
      </w:pPr>
      <w:r w:rsidRPr="00887EAA">
        <w:rPr>
          <w:b/>
          <w:bCs/>
          <w:sz w:val="24"/>
          <w:szCs w:val="24"/>
        </w:rPr>
        <w:t>Not Applicable</w:t>
      </w:r>
    </w:p>
    <w:p w:rsidR="009F6F1C" w:rsidRPr="00887EAA" w:rsidP="00E82F48" w14:paraId="6876B816" w14:textId="6D7F119D">
      <w:pPr>
        <w:numPr>
          <w:ilvl w:val="0"/>
          <w:numId w:val="4"/>
        </w:numPr>
        <w:spacing w:after="180"/>
        <w:rPr>
          <w:b/>
          <w:bCs/>
          <w:sz w:val="24"/>
          <w:szCs w:val="24"/>
        </w:rPr>
      </w:pPr>
      <w:r w:rsidRPr="00887EAA">
        <w:rPr>
          <w:sz w:val="24"/>
          <w:szCs w:val="24"/>
        </w:rPr>
        <w:t>requiring the use of a statistical data classification that has not been reviewed and approved by OMB;</w:t>
      </w:r>
      <w:r w:rsidRPr="00887EAA" w:rsidR="00761599">
        <w:rPr>
          <w:sz w:val="24"/>
          <w:szCs w:val="24"/>
        </w:rPr>
        <w:t xml:space="preserve"> </w:t>
      </w:r>
    </w:p>
    <w:p w:rsidR="00635A2D" w:rsidRPr="00887EAA" w:rsidP="00E82F48" w14:paraId="75953D29" w14:textId="77777777">
      <w:pPr>
        <w:spacing w:after="180"/>
        <w:ind w:left="720"/>
        <w:rPr>
          <w:b/>
          <w:bCs/>
          <w:sz w:val="24"/>
          <w:szCs w:val="24"/>
        </w:rPr>
      </w:pPr>
      <w:r w:rsidRPr="00887EAA">
        <w:rPr>
          <w:b/>
          <w:bCs/>
          <w:sz w:val="24"/>
          <w:szCs w:val="24"/>
        </w:rPr>
        <w:t>Not Applicable</w:t>
      </w:r>
    </w:p>
    <w:p w:rsidR="009F6F1C" w:rsidRPr="00887EAA" w:rsidP="00E82F48" w14:paraId="4AE6E26A" w14:textId="4E3A260C">
      <w:pPr>
        <w:keepLines/>
        <w:numPr>
          <w:ilvl w:val="0"/>
          <w:numId w:val="4"/>
        </w:numPr>
        <w:spacing w:after="180"/>
        <w:rPr>
          <w:sz w:val="24"/>
          <w:szCs w:val="24"/>
        </w:rPr>
      </w:pPr>
      <w:r w:rsidRPr="00887EAA">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06D59" w:rsidRPr="00887EAA" w:rsidP="00E82F48" w14:paraId="7B5FCA91" w14:textId="77777777">
      <w:pPr>
        <w:spacing w:after="180"/>
        <w:ind w:left="720"/>
        <w:rPr>
          <w:b/>
          <w:bCs/>
          <w:sz w:val="24"/>
          <w:szCs w:val="24"/>
        </w:rPr>
      </w:pPr>
      <w:r w:rsidRPr="00887EAA">
        <w:rPr>
          <w:b/>
          <w:bCs/>
          <w:sz w:val="24"/>
          <w:szCs w:val="24"/>
        </w:rPr>
        <w:t>Not Applicable</w:t>
      </w:r>
    </w:p>
    <w:p w:rsidR="009F6F1C" w:rsidRPr="00887EAA" w:rsidP="00E82F48" w14:paraId="1688C7E3" w14:textId="46469267">
      <w:pPr>
        <w:keepLines/>
        <w:numPr>
          <w:ilvl w:val="0"/>
          <w:numId w:val="4"/>
        </w:numPr>
        <w:spacing w:after="180"/>
        <w:rPr>
          <w:sz w:val="24"/>
          <w:szCs w:val="24"/>
        </w:rPr>
      </w:pPr>
      <w:r w:rsidRPr="00887EAA">
        <w:rPr>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887EAA" w:rsidR="00565D93">
        <w:rPr>
          <w:sz w:val="24"/>
          <w:szCs w:val="24"/>
        </w:rPr>
        <w:t xml:space="preserve"> </w:t>
      </w:r>
    </w:p>
    <w:p w:rsidR="00506D59" w:rsidRPr="00887EAA" w:rsidP="00E82F48" w14:paraId="7E33A110" w14:textId="77777777">
      <w:pPr>
        <w:spacing w:after="180"/>
        <w:ind w:left="720"/>
        <w:rPr>
          <w:b/>
          <w:bCs/>
          <w:sz w:val="24"/>
          <w:szCs w:val="24"/>
        </w:rPr>
      </w:pPr>
      <w:r w:rsidRPr="00887EAA">
        <w:rPr>
          <w:b/>
          <w:bCs/>
          <w:sz w:val="24"/>
          <w:szCs w:val="24"/>
        </w:rPr>
        <w:t>Not Applicable</w:t>
      </w:r>
    </w:p>
    <w:p w:rsidR="009F6F1C" w:rsidRPr="00887EAA" w:rsidP="009F6F1C" w14:paraId="13D5B8DC" w14:textId="77777777">
      <w:pPr>
        <w:keepLines/>
        <w:tabs>
          <w:tab w:val="left" w:pos="600"/>
        </w:tabs>
        <w:spacing w:after="80"/>
        <w:ind w:left="684"/>
        <w:rPr>
          <w:sz w:val="24"/>
          <w:szCs w:val="24"/>
        </w:rPr>
      </w:pPr>
      <w:r w:rsidRPr="00887EAA">
        <w:rPr>
          <w:sz w:val="24"/>
          <w:szCs w:val="24"/>
        </w:rPr>
        <w:t>None of these are applicable to this program</w:t>
      </w:r>
    </w:p>
    <w:p w:rsidR="009F6F1C" w:rsidRPr="00C256F2" w:rsidP="00635E59" w14:paraId="09217C35" w14:textId="77777777">
      <w:pPr>
        <w:tabs>
          <w:tab w:val="left" w:pos="360"/>
        </w:tabs>
        <w:ind w:left="360"/>
        <w:rPr>
          <w:sz w:val="24"/>
          <w:szCs w:val="24"/>
        </w:rPr>
      </w:pPr>
    </w:p>
    <w:p w:rsidR="007472B9" w:rsidRPr="00E82F48" w:rsidP="00E82F48" w14:paraId="416C26C1" w14:textId="04294A37">
      <w:pPr>
        <w:numPr>
          <w:ilvl w:val="0"/>
          <w:numId w:val="13"/>
        </w:numPr>
        <w:tabs>
          <w:tab w:val="left" w:pos="360"/>
        </w:tabs>
        <w:spacing w:after="180"/>
        <w:rPr>
          <w:b/>
          <w:bCs/>
          <w:sz w:val="24"/>
          <w:szCs w:val="24"/>
        </w:rPr>
      </w:pPr>
      <w:r w:rsidRPr="00887EAA">
        <w:rPr>
          <w:b/>
          <w:bCs/>
          <w:sz w:val="24"/>
          <w:szCs w:val="24"/>
        </w:rPr>
        <w:t xml:space="preserve">Identify date and page number of the Federal Register notice soliciting comments on the information.  </w:t>
      </w:r>
      <w:r w:rsidRPr="00887EAA" w:rsidR="00216845">
        <w:rPr>
          <w:b/>
          <w:bCs/>
          <w:sz w:val="24"/>
          <w:szCs w:val="24"/>
        </w:rPr>
        <w:t xml:space="preserve"> Summarize public comments received in response to that notice and describe actions taken by the agency in response to these comments.  Specifically address comments received on cost and hour burden.</w:t>
      </w:r>
    </w:p>
    <w:p w:rsidR="00EC3650" w:rsidP="00E82F48" w14:paraId="7790A85B" w14:textId="41CF178F">
      <w:pPr>
        <w:tabs>
          <w:tab w:val="left" w:pos="360"/>
        </w:tabs>
        <w:spacing w:after="180"/>
        <w:ind w:left="360"/>
        <w:rPr>
          <w:sz w:val="24"/>
          <w:szCs w:val="24"/>
        </w:rPr>
      </w:pPr>
      <w:r>
        <w:rPr>
          <w:sz w:val="24"/>
          <w:szCs w:val="24"/>
        </w:rPr>
        <w:t>In accordance with 5 CFR 1320.8(d), the agency’s notice announcing this collection of information appear</w:t>
      </w:r>
      <w:r w:rsidR="00635E59">
        <w:rPr>
          <w:sz w:val="24"/>
          <w:szCs w:val="24"/>
        </w:rPr>
        <w:t>e</w:t>
      </w:r>
      <w:r>
        <w:rPr>
          <w:sz w:val="24"/>
          <w:szCs w:val="24"/>
        </w:rPr>
        <w:t>d in the Federal Register on February 13, 2026, (Volume 91, No 30, Page 6865). The public was given until April 14, 2026</w:t>
      </w:r>
      <w:r w:rsidR="00635E59">
        <w:rPr>
          <w:sz w:val="24"/>
          <w:szCs w:val="24"/>
        </w:rPr>
        <w:t xml:space="preserve"> to submit comments on the proposed information collection</w:t>
      </w:r>
      <w:r w:rsidR="0003314C">
        <w:rPr>
          <w:sz w:val="24"/>
          <w:szCs w:val="24"/>
        </w:rPr>
        <w:t>.</w:t>
      </w:r>
      <w:r w:rsidR="00635E59">
        <w:rPr>
          <w:sz w:val="24"/>
          <w:szCs w:val="24"/>
        </w:rPr>
        <w:t xml:space="preserve"> </w:t>
      </w:r>
      <w:r w:rsidR="002A23BF">
        <w:rPr>
          <w:sz w:val="24"/>
          <w:szCs w:val="24"/>
        </w:rPr>
        <w:t xml:space="preserve">1 </w:t>
      </w:r>
      <w:r w:rsidR="00635E59">
        <w:rPr>
          <w:sz w:val="24"/>
          <w:szCs w:val="24"/>
        </w:rPr>
        <w:t>comment</w:t>
      </w:r>
      <w:r w:rsidR="00EB648B">
        <w:rPr>
          <w:sz w:val="24"/>
          <w:szCs w:val="24"/>
        </w:rPr>
        <w:t xml:space="preserve"> was</w:t>
      </w:r>
      <w:r w:rsidR="00635E59">
        <w:rPr>
          <w:sz w:val="24"/>
          <w:szCs w:val="24"/>
        </w:rPr>
        <w:t xml:space="preserve"> received.</w:t>
      </w:r>
    </w:p>
    <w:p w:rsidR="00657D6F" w:rsidP="00E82F48" w14:paraId="0CAC54A9" w14:textId="27668440">
      <w:pPr>
        <w:tabs>
          <w:tab w:val="left" w:pos="360"/>
        </w:tabs>
        <w:spacing w:after="180"/>
        <w:ind w:left="360"/>
        <w:rPr>
          <w:sz w:val="24"/>
          <w:szCs w:val="24"/>
        </w:rPr>
      </w:pPr>
      <w:r>
        <w:rPr>
          <w:sz w:val="24"/>
          <w:szCs w:val="24"/>
        </w:rPr>
        <w:t>60-Day Public Comment and R</w:t>
      </w:r>
      <w:r w:rsidR="002131C6">
        <w:rPr>
          <w:sz w:val="24"/>
          <w:szCs w:val="24"/>
        </w:rPr>
        <w:t>e</w:t>
      </w:r>
      <w:r>
        <w:rPr>
          <w:sz w:val="24"/>
          <w:szCs w:val="24"/>
        </w:rPr>
        <w:t>sponse</w:t>
      </w:r>
    </w:p>
    <w:p w:rsidR="009C1A43" w:rsidP="00E82F48" w14:paraId="7DB2F693" w14:textId="26A26DB3">
      <w:pPr>
        <w:tabs>
          <w:tab w:val="left" w:pos="360"/>
        </w:tabs>
        <w:spacing w:after="180"/>
        <w:ind w:left="360"/>
        <w:rPr>
          <w:sz w:val="24"/>
          <w:szCs w:val="24"/>
        </w:rPr>
      </w:pPr>
      <w:r>
        <w:rPr>
          <w:sz w:val="24"/>
          <w:szCs w:val="24"/>
        </w:rPr>
        <w:t>Summary</w:t>
      </w:r>
      <w:r w:rsidR="002770C3">
        <w:rPr>
          <w:sz w:val="24"/>
          <w:szCs w:val="24"/>
        </w:rPr>
        <w:t xml:space="preserve">: The anonymous commenter </w:t>
      </w:r>
      <w:r w:rsidR="002131C6">
        <w:rPr>
          <w:sz w:val="24"/>
          <w:szCs w:val="24"/>
        </w:rPr>
        <w:t xml:space="preserve">provided statements unrelated to the </w:t>
      </w:r>
      <w:r w:rsidR="007A2BFC">
        <w:rPr>
          <w:sz w:val="24"/>
          <w:szCs w:val="24"/>
        </w:rPr>
        <w:t>60-day notice. The commenter described currently being on the Emergency Housing Voucher (EHV) program and</w:t>
      </w:r>
      <w:r w:rsidR="00B22BB1">
        <w:rPr>
          <w:sz w:val="24"/>
          <w:szCs w:val="24"/>
        </w:rPr>
        <w:t xml:space="preserve">, due to lack of funding, will no longer receive assistance and will </w:t>
      </w:r>
      <w:r w:rsidR="000B11E5">
        <w:rPr>
          <w:sz w:val="24"/>
          <w:szCs w:val="24"/>
        </w:rPr>
        <w:t xml:space="preserve">have to pay full rent. </w:t>
      </w:r>
    </w:p>
    <w:p w:rsidR="009C1A43" w:rsidP="00E82F48" w14:paraId="66BC9952" w14:textId="477D6564">
      <w:pPr>
        <w:tabs>
          <w:tab w:val="left" w:pos="360"/>
        </w:tabs>
        <w:spacing w:after="180"/>
        <w:ind w:left="360"/>
        <w:rPr>
          <w:sz w:val="24"/>
          <w:szCs w:val="24"/>
        </w:rPr>
      </w:pPr>
      <w:r>
        <w:rPr>
          <w:sz w:val="24"/>
          <w:szCs w:val="24"/>
        </w:rPr>
        <w:t xml:space="preserve">HUD Response: </w:t>
      </w:r>
      <w:r w:rsidR="000B11E5">
        <w:rPr>
          <w:sz w:val="24"/>
          <w:szCs w:val="24"/>
        </w:rPr>
        <w:t xml:space="preserve">This comment is unrelated to the </w:t>
      </w:r>
      <w:r w:rsidR="001F5A33">
        <w:rPr>
          <w:sz w:val="24"/>
          <w:szCs w:val="24"/>
        </w:rPr>
        <w:t xml:space="preserve">information collection, for which HUD is requesting OMB </w:t>
      </w:r>
      <w:r w:rsidR="000B11E5">
        <w:rPr>
          <w:sz w:val="24"/>
          <w:szCs w:val="24"/>
        </w:rPr>
        <w:t xml:space="preserve">approval. The comment was provided </w:t>
      </w:r>
      <w:r w:rsidR="000B11E5">
        <w:rPr>
          <w:sz w:val="24"/>
          <w:szCs w:val="24"/>
        </w:rPr>
        <w:t>anonymously</w:t>
      </w:r>
      <w:r w:rsidR="00206D63">
        <w:rPr>
          <w:sz w:val="24"/>
          <w:szCs w:val="24"/>
        </w:rPr>
        <w:t>,</w:t>
      </w:r>
      <w:r w:rsidR="00206D63">
        <w:rPr>
          <w:sz w:val="24"/>
          <w:szCs w:val="24"/>
        </w:rPr>
        <w:t xml:space="preserve"> therefore HUD is unable to respond directly to the commenter.</w:t>
      </w:r>
    </w:p>
    <w:p w:rsidR="005565C8" w:rsidRPr="00887EAA" w:rsidP="00E82F48" w14:paraId="6BF974DB" w14:textId="77777777">
      <w:pPr>
        <w:pStyle w:val="ListParagraph"/>
        <w:numPr>
          <w:ilvl w:val="0"/>
          <w:numId w:val="14"/>
        </w:numPr>
        <w:tabs>
          <w:tab w:val="left" w:pos="360"/>
        </w:tabs>
        <w:spacing w:after="180"/>
        <w:contextualSpacing w:val="0"/>
        <w:rPr>
          <w:b/>
          <w:bCs/>
          <w:sz w:val="24"/>
          <w:szCs w:val="24"/>
        </w:rPr>
      </w:pPr>
      <w:r w:rsidRPr="00887EAA">
        <w:rPr>
          <w:b/>
          <w:bCs/>
          <w:sz w:val="24"/>
          <w:szCs w:val="24"/>
        </w:rPr>
        <w:t xml:space="preserve">Describe efforts to consult with </w:t>
      </w:r>
      <w:r w:rsidRPr="00887EAA">
        <w:rPr>
          <w:b/>
          <w:bCs/>
          <w:sz w:val="24"/>
          <w:szCs w:val="24"/>
        </w:rPr>
        <w:t>persons</w:t>
      </w:r>
      <w:r w:rsidRPr="00887EAA">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B77BD3" w:rsidRPr="00887EAA" w:rsidP="00E82F48" w14:paraId="4F1A81D4" w14:textId="77777777">
      <w:pPr>
        <w:pStyle w:val="ListParagraph"/>
        <w:tabs>
          <w:tab w:val="left" w:pos="360"/>
        </w:tabs>
        <w:spacing w:before="180" w:after="180"/>
        <w:contextualSpacing w:val="0"/>
        <w:rPr>
          <w:sz w:val="24"/>
          <w:szCs w:val="24"/>
        </w:rPr>
      </w:pPr>
      <w:r w:rsidRPr="00887EAA">
        <w:rPr>
          <w:sz w:val="24"/>
          <w:szCs w:val="24"/>
        </w:rPr>
        <w:t>There are no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BE08D6" w:rsidRPr="00887EAA" w:rsidP="00E82F48" w14:paraId="2586566B" w14:textId="77777777">
      <w:pPr>
        <w:keepLines/>
        <w:numPr>
          <w:ilvl w:val="0"/>
          <w:numId w:val="4"/>
        </w:numPr>
        <w:tabs>
          <w:tab w:val="left" w:pos="360"/>
        </w:tabs>
        <w:spacing w:after="180"/>
        <w:ind w:left="907"/>
        <w:rPr>
          <w:b/>
          <w:bCs/>
          <w:sz w:val="24"/>
          <w:szCs w:val="24"/>
        </w:rPr>
      </w:pPr>
      <w:r w:rsidRPr="00887EAA">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F45AC2" w:rsidRPr="00887EAA" w:rsidP="00F45AC2" w14:paraId="2F59E769" w14:textId="3609E558">
      <w:pPr>
        <w:tabs>
          <w:tab w:val="left" w:pos="360"/>
        </w:tabs>
        <w:ind w:left="360"/>
        <w:rPr>
          <w:sz w:val="24"/>
          <w:szCs w:val="24"/>
        </w:rPr>
      </w:pPr>
      <w:r w:rsidRPr="00887EAA">
        <w:rPr>
          <w:sz w:val="24"/>
          <w:szCs w:val="24"/>
        </w:rPr>
        <w:t>There is no consultation with representatives of those from whom information is to be obtained or those who must compile records should occur at least once every 3 years -- even if the collection of information activity is the same as in prior periods.  There are no circumstances that preclude consultation in a specific situation. There are no circumstances that should be explained.</w:t>
      </w:r>
    </w:p>
    <w:p w:rsidR="00B77BD3" w:rsidRPr="00887EAA" w:rsidP="002259BE" w14:paraId="4D70BED3" w14:textId="77777777">
      <w:pPr>
        <w:tabs>
          <w:tab w:val="left" w:pos="360"/>
        </w:tabs>
        <w:ind w:left="360"/>
        <w:rPr>
          <w:sz w:val="24"/>
          <w:szCs w:val="24"/>
        </w:rPr>
      </w:pPr>
    </w:p>
    <w:p w:rsidR="009F6F1C" w:rsidRPr="00887EAA" w:rsidP="0057568D" w14:paraId="6D3BC9BB" w14:textId="77777777">
      <w:pPr>
        <w:pStyle w:val="ListParagraph"/>
        <w:keepLines/>
        <w:numPr>
          <w:ilvl w:val="0"/>
          <w:numId w:val="13"/>
        </w:numPr>
        <w:tabs>
          <w:tab w:val="left" w:pos="360"/>
        </w:tabs>
        <w:spacing w:after="180"/>
        <w:contextualSpacing w:val="0"/>
        <w:rPr>
          <w:sz w:val="24"/>
          <w:szCs w:val="24"/>
        </w:rPr>
      </w:pPr>
      <w:r w:rsidRPr="00887EAA">
        <w:rPr>
          <w:b/>
          <w:bCs/>
          <w:sz w:val="24"/>
          <w:szCs w:val="24"/>
        </w:rPr>
        <w:t>Explain any decision to provide any payment or gift to respondents, other than renumeration of contractors or grantees</w:t>
      </w:r>
      <w:r w:rsidRPr="00887EAA">
        <w:rPr>
          <w:sz w:val="24"/>
          <w:szCs w:val="24"/>
        </w:rPr>
        <w:t>.</w:t>
      </w:r>
    </w:p>
    <w:p w:rsidR="009F6F1C" w:rsidRPr="00887EAA" w:rsidP="009F6F1C" w14:paraId="6A535C27" w14:textId="069F691E">
      <w:pPr>
        <w:tabs>
          <w:tab w:val="left" w:pos="360"/>
        </w:tabs>
        <w:ind w:left="360" w:hanging="360"/>
        <w:rPr>
          <w:sz w:val="24"/>
          <w:szCs w:val="24"/>
        </w:rPr>
      </w:pPr>
      <w:r w:rsidRPr="00887EAA">
        <w:rPr>
          <w:sz w:val="24"/>
          <w:szCs w:val="24"/>
        </w:rPr>
        <w:tab/>
      </w:r>
      <w:r w:rsidRPr="00887EAA" w:rsidR="00EC46E8">
        <w:rPr>
          <w:sz w:val="24"/>
          <w:szCs w:val="24"/>
        </w:rPr>
        <w:t>No payments, gifts, or incentives are provided to respondents.</w:t>
      </w:r>
    </w:p>
    <w:p w:rsidR="00761599" w:rsidRPr="00887EAA" w:rsidP="009F6F1C" w14:paraId="3B3DAF7A" w14:textId="77777777">
      <w:pPr>
        <w:tabs>
          <w:tab w:val="left" w:pos="360"/>
        </w:tabs>
        <w:ind w:left="360" w:hanging="360"/>
        <w:rPr>
          <w:sz w:val="24"/>
          <w:szCs w:val="24"/>
        </w:rPr>
      </w:pPr>
    </w:p>
    <w:p w:rsidR="009F6F1C" w:rsidRPr="00887EAA" w:rsidP="00E82F48" w14:paraId="1B032DD2" w14:textId="6E183EB4">
      <w:pPr>
        <w:pStyle w:val="ListParagraph"/>
        <w:keepLines/>
        <w:numPr>
          <w:ilvl w:val="0"/>
          <w:numId w:val="13"/>
        </w:numPr>
        <w:tabs>
          <w:tab w:val="left" w:pos="360"/>
        </w:tabs>
        <w:spacing w:after="180"/>
        <w:contextualSpacing w:val="0"/>
        <w:rPr>
          <w:b/>
          <w:bCs/>
          <w:sz w:val="24"/>
          <w:szCs w:val="24"/>
        </w:rPr>
      </w:pPr>
      <w:r w:rsidRPr="00887EAA">
        <w:rPr>
          <w:b/>
          <w:bCs/>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9F6F1C" w:rsidRPr="00887EAA" w:rsidP="009F6F1C" w14:paraId="583A7C6C" w14:textId="0F70E380">
      <w:pPr>
        <w:pStyle w:val="ListParagraph"/>
        <w:keepLines/>
        <w:tabs>
          <w:tab w:val="left" w:pos="360"/>
        </w:tabs>
        <w:spacing w:after="80"/>
        <w:ind w:left="360"/>
        <w:rPr>
          <w:sz w:val="24"/>
          <w:szCs w:val="24"/>
        </w:rPr>
      </w:pPr>
      <w:r w:rsidRPr="00887EAA">
        <w:rPr>
          <w:sz w:val="24"/>
          <w:szCs w:val="24"/>
        </w:rPr>
        <w:t>Assurances of confidentiality are not provided under this collection. Personal identifiable information is covered under the Privacy Act of 1974 (U.S.C. 552a).  The </w:t>
      </w:r>
      <w:r w:rsidRPr="00887EAA">
        <w:rPr>
          <w:i/>
          <w:iCs/>
          <w:sz w:val="24"/>
          <w:szCs w:val="24"/>
        </w:rPr>
        <w:t>Authorization for the Release of Information/Privacy Act Notice</w:t>
      </w:r>
      <w:r w:rsidRPr="00887EAA">
        <w:rPr>
          <w:sz w:val="24"/>
          <w:szCs w:val="24"/>
        </w:rPr>
        <w:t> </w:t>
      </w:r>
      <w:r w:rsidRPr="00887EAA">
        <w:rPr>
          <w:i/>
          <w:iCs/>
          <w:sz w:val="24"/>
          <w:szCs w:val="24"/>
        </w:rPr>
        <w:t>to the U.S. Department of Housing and Urban Development and the Housing Agency/Authority (HA)</w:t>
      </w:r>
      <w:r w:rsidR="00CF23D9">
        <w:rPr>
          <w:i/>
          <w:iCs/>
          <w:sz w:val="24"/>
          <w:szCs w:val="24"/>
        </w:rPr>
        <w:t xml:space="preserve"> </w:t>
      </w:r>
      <w:r w:rsidRPr="00887EAA">
        <w:rPr>
          <w:sz w:val="24"/>
          <w:szCs w:val="24"/>
        </w:rPr>
        <w:t>(form HUD-9886-A) is authorized by Section 904 of the Stewart B. McKinney Homeless Assistance Amendments Act of 1988, as amended by Section 903 of the Housing and Community Development Act of 1992 and Section 3003 of the Omnibus Budget Reconciliation Act of 1993.  The notice requires the signing of a consent form authorizing HUD and/or the Housing Agency to request verification of salary and wages from current or</w:t>
      </w:r>
      <w:r w:rsidR="00CF23D9">
        <w:rPr>
          <w:sz w:val="24"/>
          <w:szCs w:val="24"/>
        </w:rPr>
        <w:t xml:space="preserve"> </w:t>
      </w:r>
      <w:r w:rsidRPr="00887EAA">
        <w:rPr>
          <w:sz w:val="24"/>
          <w:szCs w:val="24"/>
        </w:rPr>
        <w:t>previous employers; to request wage and unemployment compensation claim information; and to request certain tax return information and independent verification of income information.</w:t>
      </w:r>
      <w:r w:rsidR="00CF23D9">
        <w:rPr>
          <w:sz w:val="24"/>
          <w:szCs w:val="24"/>
        </w:rPr>
        <w:t xml:space="preserve">  </w:t>
      </w:r>
      <w:r w:rsidRPr="00887EAA">
        <w:rPr>
          <w:sz w:val="24"/>
          <w:szCs w:val="24"/>
        </w:rPr>
        <w:t>The information collected under this PRA is recorded on the Family Report forms HUD-50058 for HCV and PBV, and on HUD-5980A for Tribal HUD-VASH and stored in the Information Management System (IMS).  Information stored in the IMS (subset Public and Indian Housing Information Center (PIC)) is covered under a different PRA (OMB Unique Identifier:</w:t>
      </w:r>
      <w:r w:rsidR="00CF23D9">
        <w:rPr>
          <w:sz w:val="24"/>
          <w:szCs w:val="24"/>
        </w:rPr>
        <w:t xml:space="preserve"> </w:t>
      </w:r>
      <w:r w:rsidRPr="00887EAA">
        <w:rPr>
          <w:sz w:val="24"/>
          <w:szCs w:val="24"/>
        </w:rPr>
        <w:t>02500010601000000301093).  The form HUD-50058 (Family Report) and HUD-50058 MTW and HUD-50058-MTW Expansion (for Moving to Work programs) that captures personal identifiers and sensitive information is covered under a different PRA (2577-0083). The form HUD-5980-A is covered under PRA 2577-0304.</w:t>
      </w:r>
    </w:p>
    <w:p w:rsidR="00565D93" w:rsidRPr="00C256F2" w:rsidP="009F6F1C" w14:paraId="4B326434" w14:textId="77777777">
      <w:pPr>
        <w:pStyle w:val="ListParagraph"/>
        <w:keepLines/>
        <w:tabs>
          <w:tab w:val="left" w:pos="360"/>
        </w:tabs>
        <w:spacing w:after="80"/>
        <w:ind w:left="360"/>
        <w:rPr>
          <w:b/>
          <w:bCs/>
          <w:sz w:val="24"/>
          <w:szCs w:val="24"/>
        </w:rPr>
      </w:pPr>
    </w:p>
    <w:p w:rsidR="000553DC" w:rsidRPr="00887EAA" w:rsidP="00E82F48" w14:paraId="02F5D638" w14:textId="77777777">
      <w:pPr>
        <w:pStyle w:val="ListParagraph"/>
        <w:keepLines/>
        <w:numPr>
          <w:ilvl w:val="0"/>
          <w:numId w:val="13"/>
        </w:numPr>
        <w:tabs>
          <w:tab w:val="left" w:pos="360"/>
          <w:tab w:val="left" w:pos="720"/>
        </w:tabs>
        <w:spacing w:after="180"/>
        <w:contextualSpacing w:val="0"/>
        <w:rPr>
          <w:sz w:val="24"/>
          <w:szCs w:val="24"/>
        </w:rPr>
      </w:pPr>
      <w:r w:rsidRPr="00887EAA">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87EAA" w:rsidR="00DF5021">
        <w:rPr>
          <w:sz w:val="24"/>
          <w:szCs w:val="24"/>
        </w:rPr>
        <w:t xml:space="preserve"> </w:t>
      </w:r>
    </w:p>
    <w:p w:rsidR="00EC46E8" w:rsidP="000553DC" w14:paraId="6BD0CBEB" w14:textId="2C27C7F6">
      <w:pPr>
        <w:pStyle w:val="ListParagraph"/>
        <w:keepLines/>
        <w:tabs>
          <w:tab w:val="left" w:pos="360"/>
          <w:tab w:val="left" w:pos="720"/>
        </w:tabs>
        <w:ind w:left="360"/>
        <w:rPr>
          <w:sz w:val="24"/>
          <w:szCs w:val="24"/>
        </w:rPr>
      </w:pPr>
      <w:r w:rsidRPr="00C256F2">
        <w:rPr>
          <w:sz w:val="24"/>
          <w:szCs w:val="24"/>
        </w:rPr>
        <w:t xml:space="preserve">This collection does not ask sensitive/private questions. </w:t>
      </w:r>
    </w:p>
    <w:p w:rsidR="00F6537A" w:rsidRPr="00C256F2" w:rsidP="000553DC" w14:paraId="78206780" w14:textId="77777777">
      <w:pPr>
        <w:pStyle w:val="ListParagraph"/>
        <w:keepLines/>
        <w:tabs>
          <w:tab w:val="left" w:pos="360"/>
          <w:tab w:val="left" w:pos="720"/>
        </w:tabs>
        <w:ind w:left="360"/>
        <w:rPr>
          <w:sz w:val="24"/>
          <w:szCs w:val="24"/>
        </w:rPr>
      </w:pPr>
    </w:p>
    <w:p w:rsidR="009F6F1C" w:rsidRPr="00C256F2" w:rsidP="009F6F1C" w14:paraId="78A6F707" w14:textId="77777777">
      <w:pPr>
        <w:pStyle w:val="ListParagraph"/>
        <w:keepLines/>
        <w:tabs>
          <w:tab w:val="left" w:pos="360"/>
          <w:tab w:val="left" w:pos="720"/>
        </w:tabs>
        <w:ind w:left="360"/>
        <w:rPr>
          <w:color w:val="000000"/>
          <w:sz w:val="24"/>
          <w:szCs w:val="24"/>
        </w:rPr>
      </w:pPr>
    </w:p>
    <w:p w:rsidR="009F6F1C" w:rsidRPr="00887EAA" w:rsidP="00E82F48" w14:paraId="4D95BB19" w14:textId="614682A8">
      <w:pPr>
        <w:pStyle w:val="ListParagraph"/>
        <w:numPr>
          <w:ilvl w:val="0"/>
          <w:numId w:val="13"/>
        </w:numPr>
        <w:tabs>
          <w:tab w:val="left" w:pos="360"/>
        </w:tabs>
        <w:spacing w:after="180"/>
        <w:contextualSpacing w:val="0"/>
        <w:rPr>
          <w:b/>
          <w:bCs/>
          <w:sz w:val="24"/>
          <w:szCs w:val="24"/>
        </w:rPr>
      </w:pPr>
      <w:r w:rsidRPr="00887EAA">
        <w:rPr>
          <w:b/>
          <w:bCs/>
          <w:sz w:val="24"/>
          <w:szCs w:val="24"/>
        </w:rPr>
        <w:t xml:space="preserve">Provide estimates of the hour burden of the collection of information.   </w:t>
      </w:r>
    </w:p>
    <w:p w:rsidR="00665F39" w:rsidRPr="00C256F2" w:rsidP="00E82F48" w14:paraId="3BC08F5C" w14:textId="77777777">
      <w:pPr>
        <w:keepLines/>
        <w:tabs>
          <w:tab w:val="left" w:pos="480"/>
        </w:tabs>
        <w:spacing w:after="180"/>
        <w:ind w:left="360"/>
        <w:rPr>
          <w:b/>
          <w:bCs/>
          <w:sz w:val="24"/>
          <w:szCs w:val="24"/>
        </w:rPr>
      </w:pPr>
      <w:r w:rsidRPr="00C256F2">
        <w:rPr>
          <w:b/>
          <w:bCs/>
          <w:sz w:val="24"/>
          <w:szCs w:val="24"/>
        </w:rPr>
        <w:t>•</w:t>
      </w:r>
      <w:r w:rsidRPr="00C256F2">
        <w:rPr>
          <w:b/>
          <w:bCs/>
          <w:sz w:val="24"/>
          <w:szCs w:val="24"/>
        </w:rPr>
        <w:tab/>
      </w:r>
      <w:r w:rsidRPr="00887EAA">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C256F2">
        <w:rPr>
          <w:b/>
          <w:bCs/>
          <w:sz w:val="24"/>
          <w:szCs w:val="24"/>
        </w:rPr>
        <w:t xml:space="preserve"> </w:t>
      </w:r>
    </w:p>
    <w:p w:rsidR="00665F39" w:rsidRPr="00C256F2" w:rsidP="00E82F48" w14:paraId="1BAD0607" w14:textId="01CD4AF0">
      <w:pPr>
        <w:keepLines/>
        <w:tabs>
          <w:tab w:val="left" w:pos="480"/>
        </w:tabs>
        <w:spacing w:after="180"/>
        <w:ind w:left="360"/>
        <w:rPr>
          <w:b/>
          <w:bCs/>
          <w:sz w:val="24"/>
          <w:szCs w:val="24"/>
        </w:rPr>
      </w:pPr>
      <w:r w:rsidRPr="00C256F2">
        <w:rPr>
          <w:sz w:val="24"/>
          <w:szCs w:val="24"/>
        </w:rPr>
        <w:t>The information is included in Table 12.</w:t>
      </w:r>
    </w:p>
    <w:p w:rsidR="00665F39" w:rsidRPr="00887EAA" w:rsidP="00E82F48" w14:paraId="57CCEEEB" w14:textId="77777777">
      <w:pPr>
        <w:keepLines/>
        <w:tabs>
          <w:tab w:val="left" w:pos="480"/>
        </w:tabs>
        <w:spacing w:after="180"/>
        <w:ind w:left="360"/>
        <w:rPr>
          <w:b/>
          <w:bCs/>
          <w:sz w:val="24"/>
          <w:szCs w:val="24"/>
        </w:rPr>
      </w:pPr>
      <w:r w:rsidRPr="00887EAA">
        <w:rPr>
          <w:b/>
          <w:bCs/>
          <w:sz w:val="24"/>
          <w:szCs w:val="24"/>
        </w:rPr>
        <w:t>•</w:t>
      </w:r>
      <w:r w:rsidRPr="00887EAA">
        <w:rPr>
          <w:b/>
          <w:bCs/>
          <w:sz w:val="24"/>
          <w:szCs w:val="24"/>
        </w:rPr>
        <w:tab/>
        <w:t xml:space="preserve">If this request covers more than one form, provide separate hour burden estimates for each form and aggregate the hour burdens in chart below; and </w:t>
      </w:r>
    </w:p>
    <w:p w:rsidR="00665F39" w:rsidRPr="00C256F2" w:rsidP="00E82F48" w14:paraId="69ECB500" w14:textId="77777777">
      <w:pPr>
        <w:keepLines/>
        <w:tabs>
          <w:tab w:val="left" w:pos="480"/>
        </w:tabs>
        <w:spacing w:after="180"/>
        <w:ind w:left="360"/>
        <w:rPr>
          <w:b/>
          <w:bCs/>
          <w:sz w:val="24"/>
          <w:szCs w:val="24"/>
        </w:rPr>
      </w:pPr>
      <w:r w:rsidRPr="00C256F2">
        <w:rPr>
          <w:sz w:val="24"/>
          <w:szCs w:val="24"/>
        </w:rPr>
        <w:t>The information is included in Table 12.</w:t>
      </w:r>
    </w:p>
    <w:p w:rsidR="00E91819" w:rsidRPr="00887EAA" w:rsidP="00E82F48" w14:paraId="5725565C" w14:textId="6BF685EF">
      <w:pPr>
        <w:keepLines/>
        <w:tabs>
          <w:tab w:val="left" w:pos="480"/>
        </w:tabs>
        <w:spacing w:after="180"/>
        <w:ind w:left="360"/>
        <w:rPr>
          <w:b/>
          <w:bCs/>
          <w:sz w:val="24"/>
          <w:szCs w:val="24"/>
        </w:rPr>
      </w:pPr>
      <w:r w:rsidRPr="00887EAA">
        <w:rPr>
          <w:b/>
          <w:bCs/>
          <w:sz w:val="24"/>
          <w:szCs w:val="24"/>
        </w:rPr>
        <w:t>•</w:t>
      </w:r>
      <w:r w:rsidRPr="00887EAA">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65F39" w:rsidP="00E82F48" w14:paraId="47A84035" w14:textId="343F3D12">
      <w:pPr>
        <w:keepLines/>
        <w:tabs>
          <w:tab w:val="left" w:pos="480"/>
        </w:tabs>
        <w:spacing w:after="180"/>
        <w:ind w:left="360"/>
        <w:rPr>
          <w:sz w:val="24"/>
          <w:szCs w:val="24"/>
        </w:rPr>
      </w:pPr>
      <w:r w:rsidRPr="00887EAA">
        <w:rPr>
          <w:sz w:val="24"/>
          <w:szCs w:val="24"/>
        </w:rPr>
        <w:t>The information is included in Table 12.</w:t>
      </w:r>
    </w:p>
    <w:tbl>
      <w:tblPr>
        <w:tblW w:w="11151" w:type="dxa"/>
        <w:tblInd w:w="-275" w:type="dxa"/>
        <w:tblLayout w:type="fixed"/>
        <w:tblLook w:val="04A0"/>
      </w:tblPr>
      <w:tblGrid>
        <w:gridCol w:w="1980"/>
        <w:gridCol w:w="1260"/>
        <w:gridCol w:w="1350"/>
        <w:gridCol w:w="1260"/>
        <w:gridCol w:w="990"/>
        <w:gridCol w:w="1530"/>
        <w:gridCol w:w="1080"/>
        <w:gridCol w:w="1701"/>
      </w:tblGrid>
      <w:tr w14:paraId="61B3E7FA" w14:textId="77777777" w:rsidTr="00F6537A">
        <w:tblPrEx>
          <w:tblW w:w="11151" w:type="dxa"/>
          <w:tblInd w:w="-275" w:type="dxa"/>
          <w:tblLayout w:type="fixed"/>
          <w:tblLook w:val="04A0"/>
        </w:tblPrEx>
        <w:trPr>
          <w:cantSplit/>
          <w:trHeight w:val="1035"/>
          <w:tblHeader/>
        </w:trPr>
        <w:tc>
          <w:tcPr>
            <w:tcW w:w="1980" w:type="dxa"/>
            <w:tcBorders>
              <w:top w:val="single" w:sz="4" w:space="0" w:color="auto"/>
              <w:left w:val="single" w:sz="4" w:space="0" w:color="auto"/>
              <w:bottom w:val="single" w:sz="4" w:space="0" w:color="auto"/>
              <w:right w:val="single" w:sz="4" w:space="0" w:color="auto"/>
            </w:tcBorders>
            <w:shd w:val="clear" w:color="000000" w:fill="D1D1D1"/>
            <w:vAlign w:val="center"/>
            <w:hideMark/>
          </w:tcPr>
          <w:p w:rsidR="006A18E9" w:rsidRPr="00F6537A" w:rsidP="00F6537A" w14:paraId="263E5218" w14:textId="77777777">
            <w:pPr>
              <w:overflowPunct/>
              <w:autoSpaceDE/>
              <w:autoSpaceDN/>
              <w:adjustRightInd/>
              <w:textAlignment w:val="auto"/>
              <w:rPr>
                <w:b/>
                <w:bCs/>
                <w:sz w:val="18"/>
                <w:szCs w:val="18"/>
              </w:rPr>
            </w:pPr>
            <w:r w:rsidRPr="00F6537A">
              <w:rPr>
                <w:b/>
                <w:bCs/>
                <w:sz w:val="18"/>
                <w:szCs w:val="18"/>
              </w:rPr>
              <w:t>Information Collection</w:t>
            </w:r>
          </w:p>
        </w:tc>
        <w:tc>
          <w:tcPr>
            <w:tcW w:w="1260" w:type="dxa"/>
            <w:tcBorders>
              <w:top w:val="single" w:sz="4" w:space="0" w:color="auto"/>
              <w:left w:val="nil"/>
              <w:bottom w:val="single" w:sz="4" w:space="0" w:color="auto"/>
              <w:right w:val="single" w:sz="4" w:space="0" w:color="auto"/>
            </w:tcBorders>
            <w:shd w:val="clear" w:color="000000" w:fill="D1D1D1"/>
            <w:vAlign w:val="center"/>
            <w:hideMark/>
          </w:tcPr>
          <w:p w:rsidR="006A18E9" w:rsidRPr="00F6537A" w:rsidP="006A18E9" w14:paraId="3FE02E19" w14:textId="77777777">
            <w:pPr>
              <w:overflowPunct/>
              <w:autoSpaceDE/>
              <w:autoSpaceDN/>
              <w:adjustRightInd/>
              <w:jc w:val="center"/>
              <w:textAlignment w:val="auto"/>
              <w:rPr>
                <w:b/>
                <w:bCs/>
                <w:color w:val="000000"/>
                <w:sz w:val="18"/>
                <w:szCs w:val="18"/>
              </w:rPr>
            </w:pPr>
            <w:r w:rsidRPr="00F6537A">
              <w:rPr>
                <w:b/>
                <w:bCs/>
                <w:color w:val="000000"/>
                <w:sz w:val="18"/>
                <w:szCs w:val="18"/>
              </w:rPr>
              <w:t>Number of Respondents</w:t>
            </w:r>
            <w:r w:rsidRPr="00F6537A">
              <w:rPr>
                <w:b/>
                <w:bCs/>
                <w:color w:val="000000"/>
                <w:sz w:val="18"/>
                <w:szCs w:val="18"/>
                <w:vertAlign w:val="superscript"/>
              </w:rPr>
              <w:t>1</w:t>
            </w:r>
          </w:p>
        </w:tc>
        <w:tc>
          <w:tcPr>
            <w:tcW w:w="1350" w:type="dxa"/>
            <w:tcBorders>
              <w:top w:val="single" w:sz="4" w:space="0" w:color="auto"/>
              <w:left w:val="nil"/>
              <w:bottom w:val="single" w:sz="4" w:space="0" w:color="auto"/>
              <w:right w:val="single" w:sz="4" w:space="0" w:color="auto"/>
            </w:tcBorders>
            <w:shd w:val="clear" w:color="000000" w:fill="D1D1D1"/>
            <w:vAlign w:val="center"/>
            <w:hideMark/>
          </w:tcPr>
          <w:p w:rsidR="006A18E9" w:rsidRPr="00F6537A" w:rsidP="006A18E9" w14:paraId="16554495" w14:textId="77777777">
            <w:pPr>
              <w:overflowPunct/>
              <w:autoSpaceDE/>
              <w:autoSpaceDN/>
              <w:adjustRightInd/>
              <w:jc w:val="center"/>
              <w:textAlignment w:val="auto"/>
              <w:rPr>
                <w:b/>
                <w:bCs/>
                <w:color w:val="000000"/>
                <w:sz w:val="18"/>
                <w:szCs w:val="18"/>
              </w:rPr>
            </w:pPr>
            <w:r w:rsidRPr="00F6537A">
              <w:rPr>
                <w:b/>
                <w:bCs/>
                <w:color w:val="000000"/>
                <w:sz w:val="18"/>
                <w:szCs w:val="18"/>
              </w:rPr>
              <w:t>Frequency of Responses</w:t>
            </w:r>
            <w:r w:rsidRPr="00F6537A">
              <w:rPr>
                <w:b/>
                <w:bCs/>
                <w:color w:val="000000"/>
                <w:sz w:val="18"/>
                <w:szCs w:val="18"/>
                <w:vertAlign w:val="superscript"/>
              </w:rPr>
              <w:t>2</w:t>
            </w:r>
          </w:p>
        </w:tc>
        <w:tc>
          <w:tcPr>
            <w:tcW w:w="1260" w:type="dxa"/>
            <w:tcBorders>
              <w:top w:val="single" w:sz="4" w:space="0" w:color="auto"/>
              <w:left w:val="nil"/>
              <w:bottom w:val="single" w:sz="4" w:space="0" w:color="auto"/>
              <w:right w:val="single" w:sz="4" w:space="0" w:color="auto"/>
            </w:tcBorders>
            <w:shd w:val="clear" w:color="000000" w:fill="D1D1D1"/>
            <w:vAlign w:val="center"/>
            <w:hideMark/>
          </w:tcPr>
          <w:p w:rsidR="006A18E9" w:rsidRPr="00F6537A" w:rsidP="006A18E9" w14:paraId="6034D740" w14:textId="77777777">
            <w:pPr>
              <w:overflowPunct/>
              <w:autoSpaceDE/>
              <w:autoSpaceDN/>
              <w:adjustRightInd/>
              <w:jc w:val="center"/>
              <w:textAlignment w:val="auto"/>
              <w:rPr>
                <w:b/>
                <w:bCs/>
                <w:color w:val="000000"/>
                <w:sz w:val="18"/>
                <w:szCs w:val="18"/>
              </w:rPr>
            </w:pPr>
            <w:r w:rsidRPr="00F6537A">
              <w:rPr>
                <w:b/>
                <w:bCs/>
                <w:color w:val="000000"/>
                <w:sz w:val="18"/>
                <w:szCs w:val="18"/>
              </w:rPr>
              <w:t>Responses per Annum</w:t>
            </w:r>
          </w:p>
        </w:tc>
        <w:tc>
          <w:tcPr>
            <w:tcW w:w="990" w:type="dxa"/>
            <w:tcBorders>
              <w:top w:val="single" w:sz="4" w:space="0" w:color="auto"/>
              <w:left w:val="nil"/>
              <w:bottom w:val="single" w:sz="4" w:space="0" w:color="auto"/>
              <w:right w:val="single" w:sz="4" w:space="0" w:color="auto"/>
            </w:tcBorders>
            <w:shd w:val="clear" w:color="000000" w:fill="D1D1D1"/>
            <w:vAlign w:val="center"/>
            <w:hideMark/>
          </w:tcPr>
          <w:p w:rsidR="006A18E9" w:rsidRPr="00F6537A" w:rsidP="006A18E9" w14:paraId="6632AB42" w14:textId="77777777">
            <w:pPr>
              <w:overflowPunct/>
              <w:autoSpaceDE/>
              <w:autoSpaceDN/>
              <w:adjustRightInd/>
              <w:jc w:val="center"/>
              <w:textAlignment w:val="auto"/>
              <w:rPr>
                <w:b/>
                <w:bCs/>
                <w:color w:val="000000"/>
                <w:sz w:val="18"/>
                <w:szCs w:val="18"/>
              </w:rPr>
            </w:pPr>
            <w:r w:rsidRPr="00F6537A">
              <w:rPr>
                <w:b/>
                <w:bCs/>
                <w:color w:val="000000"/>
                <w:sz w:val="18"/>
                <w:szCs w:val="18"/>
              </w:rPr>
              <w:t>Burden Hour Per Response</w:t>
            </w:r>
          </w:p>
        </w:tc>
        <w:tc>
          <w:tcPr>
            <w:tcW w:w="1530" w:type="dxa"/>
            <w:tcBorders>
              <w:top w:val="single" w:sz="4" w:space="0" w:color="auto"/>
              <w:left w:val="nil"/>
              <w:bottom w:val="single" w:sz="4" w:space="0" w:color="auto"/>
              <w:right w:val="single" w:sz="4" w:space="0" w:color="auto"/>
            </w:tcBorders>
            <w:shd w:val="clear" w:color="000000" w:fill="D1D1D1"/>
            <w:vAlign w:val="center"/>
            <w:hideMark/>
          </w:tcPr>
          <w:p w:rsidR="006A18E9" w:rsidRPr="00F6537A" w:rsidP="006A18E9" w14:paraId="40E0EA3A" w14:textId="77777777">
            <w:pPr>
              <w:overflowPunct/>
              <w:autoSpaceDE/>
              <w:autoSpaceDN/>
              <w:adjustRightInd/>
              <w:jc w:val="center"/>
              <w:textAlignment w:val="auto"/>
              <w:rPr>
                <w:b/>
                <w:bCs/>
                <w:color w:val="000000"/>
                <w:sz w:val="18"/>
                <w:szCs w:val="18"/>
              </w:rPr>
            </w:pPr>
            <w:r w:rsidRPr="00F6537A">
              <w:rPr>
                <w:b/>
                <w:bCs/>
                <w:color w:val="000000"/>
                <w:sz w:val="18"/>
                <w:szCs w:val="18"/>
              </w:rPr>
              <w:t>Annual Burden Hours</w:t>
            </w:r>
          </w:p>
        </w:tc>
        <w:tc>
          <w:tcPr>
            <w:tcW w:w="1080" w:type="dxa"/>
            <w:tcBorders>
              <w:top w:val="single" w:sz="4" w:space="0" w:color="auto"/>
              <w:left w:val="nil"/>
              <w:bottom w:val="single" w:sz="4" w:space="0" w:color="auto"/>
              <w:right w:val="single" w:sz="4" w:space="0" w:color="auto"/>
            </w:tcBorders>
            <w:shd w:val="clear" w:color="000000" w:fill="D1D1D1"/>
            <w:vAlign w:val="center"/>
            <w:hideMark/>
          </w:tcPr>
          <w:p w:rsidR="006A18E9" w:rsidRPr="00F6537A" w:rsidP="006A18E9" w14:paraId="0F869874" w14:textId="77777777">
            <w:pPr>
              <w:overflowPunct/>
              <w:autoSpaceDE/>
              <w:autoSpaceDN/>
              <w:adjustRightInd/>
              <w:jc w:val="center"/>
              <w:textAlignment w:val="auto"/>
              <w:rPr>
                <w:b/>
                <w:bCs/>
                <w:color w:val="000000"/>
                <w:sz w:val="18"/>
                <w:szCs w:val="18"/>
              </w:rPr>
            </w:pPr>
            <w:r w:rsidRPr="00F6537A">
              <w:rPr>
                <w:b/>
                <w:bCs/>
                <w:color w:val="000000"/>
                <w:sz w:val="18"/>
                <w:szCs w:val="18"/>
              </w:rPr>
              <w:t>Hourly Cost Per Response</w:t>
            </w:r>
            <w:r w:rsidRPr="00F6537A">
              <w:rPr>
                <w:b/>
                <w:bCs/>
                <w:color w:val="000000"/>
                <w:sz w:val="18"/>
                <w:szCs w:val="18"/>
                <w:vertAlign w:val="superscript"/>
              </w:rPr>
              <w:t>3</w:t>
            </w:r>
          </w:p>
        </w:tc>
        <w:tc>
          <w:tcPr>
            <w:tcW w:w="1701" w:type="dxa"/>
            <w:tcBorders>
              <w:top w:val="single" w:sz="4" w:space="0" w:color="auto"/>
              <w:left w:val="nil"/>
              <w:bottom w:val="single" w:sz="4" w:space="0" w:color="auto"/>
              <w:right w:val="single" w:sz="4" w:space="0" w:color="auto"/>
            </w:tcBorders>
            <w:shd w:val="clear" w:color="000000" w:fill="D1D1D1"/>
            <w:vAlign w:val="center"/>
            <w:hideMark/>
          </w:tcPr>
          <w:p w:rsidR="006A18E9" w:rsidRPr="00F6537A" w:rsidP="006A18E9" w14:paraId="39934467" w14:textId="77777777">
            <w:pPr>
              <w:overflowPunct/>
              <w:autoSpaceDE/>
              <w:autoSpaceDN/>
              <w:adjustRightInd/>
              <w:jc w:val="center"/>
              <w:textAlignment w:val="auto"/>
              <w:rPr>
                <w:b/>
                <w:bCs/>
                <w:color w:val="000000"/>
                <w:sz w:val="18"/>
                <w:szCs w:val="18"/>
              </w:rPr>
            </w:pPr>
            <w:r w:rsidRPr="00F6537A">
              <w:rPr>
                <w:b/>
                <w:bCs/>
                <w:color w:val="000000"/>
                <w:sz w:val="18"/>
                <w:szCs w:val="18"/>
              </w:rPr>
              <w:t>Annual Cost</w:t>
            </w:r>
          </w:p>
        </w:tc>
      </w:tr>
      <w:tr w14:paraId="2346656C" w14:textId="77777777" w:rsidTr="00262689">
        <w:tblPrEx>
          <w:tblW w:w="11151" w:type="dxa"/>
          <w:tblInd w:w="-275" w:type="dxa"/>
          <w:tblLayout w:type="fixed"/>
          <w:tblLook w:val="04A0"/>
        </w:tblPrEx>
        <w:trPr>
          <w:cantSplit/>
          <w:trHeight w:val="449"/>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96618D" w:rsidRPr="00F6537A" w:rsidP="00F6537A" w14:paraId="22EE191E" w14:textId="4E418B4A">
            <w:pPr>
              <w:overflowPunct/>
              <w:autoSpaceDE/>
              <w:autoSpaceDN/>
              <w:adjustRightInd/>
              <w:textAlignment w:val="auto"/>
              <w:rPr>
                <w:b/>
                <w:bCs/>
                <w:color w:val="000000"/>
                <w:sz w:val="18"/>
                <w:szCs w:val="18"/>
              </w:rPr>
            </w:pPr>
            <w:r w:rsidRPr="00F6537A">
              <w:rPr>
                <w:b/>
                <w:bCs/>
                <w:color w:val="000000"/>
                <w:sz w:val="18"/>
                <w:szCs w:val="18"/>
              </w:rPr>
              <w:t>HCV Renewal Forms</w:t>
            </w:r>
          </w:p>
        </w:tc>
      </w:tr>
      <w:tr w14:paraId="2959839A"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0949C44F" w14:textId="77777777">
            <w:pPr>
              <w:overflowPunct/>
              <w:autoSpaceDE/>
              <w:autoSpaceDN/>
              <w:adjustRightInd/>
              <w:textAlignment w:val="auto"/>
              <w:rPr>
                <w:sz w:val="18"/>
                <w:szCs w:val="18"/>
              </w:rPr>
            </w:pPr>
            <w:r w:rsidRPr="00F6537A">
              <w:rPr>
                <w:sz w:val="18"/>
                <w:szCs w:val="18"/>
              </w:rPr>
              <w:t>Funding Application (HUD –52515)</w:t>
            </w:r>
          </w:p>
        </w:tc>
        <w:tc>
          <w:tcPr>
            <w:tcW w:w="1260" w:type="dxa"/>
            <w:tcBorders>
              <w:top w:val="nil"/>
              <w:left w:val="nil"/>
              <w:bottom w:val="single" w:sz="4" w:space="0" w:color="auto"/>
              <w:right w:val="single" w:sz="4" w:space="0" w:color="auto"/>
            </w:tcBorders>
            <w:vAlign w:val="center"/>
            <w:hideMark/>
          </w:tcPr>
          <w:p w:rsidR="006A18E9" w:rsidRPr="00F6537A" w:rsidP="006A18E9" w14:paraId="6DFCB2C9" w14:textId="77777777">
            <w:pPr>
              <w:overflowPunct/>
              <w:autoSpaceDE/>
              <w:autoSpaceDN/>
              <w:adjustRightInd/>
              <w:jc w:val="right"/>
              <w:textAlignment w:val="auto"/>
              <w:rPr>
                <w:color w:val="000000"/>
                <w:sz w:val="18"/>
                <w:szCs w:val="18"/>
              </w:rPr>
            </w:pPr>
            <w:r w:rsidRPr="00F6537A">
              <w:rPr>
                <w:color w:val="000000"/>
                <w:sz w:val="18"/>
                <w:szCs w:val="18"/>
              </w:rPr>
              <w:t>300</w:t>
            </w:r>
          </w:p>
        </w:tc>
        <w:tc>
          <w:tcPr>
            <w:tcW w:w="1350" w:type="dxa"/>
            <w:tcBorders>
              <w:top w:val="nil"/>
              <w:left w:val="nil"/>
              <w:bottom w:val="single" w:sz="4" w:space="0" w:color="auto"/>
              <w:right w:val="single" w:sz="4" w:space="0" w:color="auto"/>
            </w:tcBorders>
            <w:vAlign w:val="center"/>
            <w:hideMark/>
          </w:tcPr>
          <w:p w:rsidR="006A18E9" w:rsidRPr="00F6537A" w:rsidP="006A18E9" w14:paraId="1263A9AE"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147137FA" w14:textId="77777777">
            <w:pPr>
              <w:overflowPunct/>
              <w:autoSpaceDE/>
              <w:autoSpaceDN/>
              <w:adjustRightInd/>
              <w:jc w:val="right"/>
              <w:textAlignment w:val="auto"/>
              <w:rPr>
                <w:color w:val="000000"/>
                <w:sz w:val="18"/>
                <w:szCs w:val="18"/>
              </w:rPr>
            </w:pPr>
            <w:r w:rsidRPr="00F6537A">
              <w:rPr>
                <w:color w:val="000000"/>
                <w:sz w:val="18"/>
                <w:szCs w:val="18"/>
              </w:rPr>
              <w:t>300</w:t>
            </w:r>
          </w:p>
        </w:tc>
        <w:tc>
          <w:tcPr>
            <w:tcW w:w="990" w:type="dxa"/>
            <w:tcBorders>
              <w:top w:val="nil"/>
              <w:left w:val="nil"/>
              <w:bottom w:val="single" w:sz="4" w:space="0" w:color="auto"/>
              <w:right w:val="single" w:sz="4" w:space="0" w:color="auto"/>
            </w:tcBorders>
            <w:vAlign w:val="center"/>
            <w:hideMark/>
          </w:tcPr>
          <w:p w:rsidR="006A18E9" w:rsidRPr="00F6537A" w:rsidP="006A18E9" w14:paraId="567D3B66" w14:textId="77777777">
            <w:pPr>
              <w:overflowPunct/>
              <w:autoSpaceDE/>
              <w:autoSpaceDN/>
              <w:adjustRightInd/>
              <w:jc w:val="right"/>
              <w:textAlignment w:val="auto"/>
              <w:rPr>
                <w:color w:val="000000"/>
                <w:sz w:val="18"/>
                <w:szCs w:val="18"/>
              </w:rPr>
            </w:pPr>
            <w:r w:rsidRPr="00F6537A">
              <w:rPr>
                <w:color w:val="000000"/>
                <w:sz w:val="18"/>
                <w:szCs w:val="18"/>
              </w:rPr>
              <w:t>5</w:t>
            </w:r>
          </w:p>
        </w:tc>
        <w:tc>
          <w:tcPr>
            <w:tcW w:w="1530" w:type="dxa"/>
            <w:tcBorders>
              <w:top w:val="nil"/>
              <w:left w:val="nil"/>
              <w:bottom w:val="single" w:sz="4" w:space="0" w:color="auto"/>
              <w:right w:val="single" w:sz="4" w:space="0" w:color="auto"/>
            </w:tcBorders>
            <w:vAlign w:val="center"/>
            <w:hideMark/>
          </w:tcPr>
          <w:p w:rsidR="006A18E9" w:rsidRPr="00F6537A" w:rsidP="006A18E9" w14:paraId="1D5CA022" w14:textId="77777777">
            <w:pPr>
              <w:overflowPunct/>
              <w:autoSpaceDE/>
              <w:autoSpaceDN/>
              <w:adjustRightInd/>
              <w:jc w:val="right"/>
              <w:textAlignment w:val="auto"/>
              <w:rPr>
                <w:color w:val="000000"/>
                <w:sz w:val="18"/>
                <w:szCs w:val="18"/>
              </w:rPr>
            </w:pPr>
            <w:r w:rsidRPr="00F6537A">
              <w:rPr>
                <w:color w:val="000000"/>
                <w:sz w:val="18"/>
                <w:szCs w:val="18"/>
              </w:rPr>
              <w:t>1,500.00</w:t>
            </w:r>
          </w:p>
        </w:tc>
        <w:tc>
          <w:tcPr>
            <w:tcW w:w="1080" w:type="dxa"/>
            <w:tcBorders>
              <w:top w:val="nil"/>
              <w:left w:val="nil"/>
              <w:bottom w:val="single" w:sz="4" w:space="0" w:color="auto"/>
              <w:right w:val="single" w:sz="4" w:space="0" w:color="auto"/>
            </w:tcBorders>
            <w:vAlign w:val="center"/>
            <w:hideMark/>
          </w:tcPr>
          <w:p w:rsidR="006A18E9" w:rsidRPr="00F6537A" w:rsidP="006A18E9" w14:paraId="0577F74C"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6656C1E6" w14:textId="77777777">
            <w:pPr>
              <w:overflowPunct/>
              <w:autoSpaceDE/>
              <w:autoSpaceDN/>
              <w:adjustRightInd/>
              <w:jc w:val="right"/>
              <w:textAlignment w:val="auto"/>
              <w:rPr>
                <w:color w:val="000000"/>
                <w:sz w:val="18"/>
                <w:szCs w:val="18"/>
              </w:rPr>
            </w:pPr>
            <w:r w:rsidRPr="00F6537A">
              <w:rPr>
                <w:color w:val="000000"/>
                <w:sz w:val="18"/>
                <w:szCs w:val="18"/>
              </w:rPr>
              <w:t xml:space="preserve">$67,710.00 </w:t>
            </w:r>
          </w:p>
        </w:tc>
      </w:tr>
      <w:tr w14:paraId="23673E89" w14:textId="77777777" w:rsidTr="00F6537A">
        <w:tblPrEx>
          <w:tblW w:w="11151" w:type="dxa"/>
          <w:tblInd w:w="-275" w:type="dxa"/>
          <w:tblLayout w:type="fixed"/>
          <w:tblLook w:val="04A0"/>
        </w:tblPrEx>
        <w:trPr>
          <w:cantSplit/>
          <w:trHeight w:val="575"/>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6A1A65C3" w14:textId="77777777">
            <w:pPr>
              <w:overflowPunct/>
              <w:autoSpaceDE/>
              <w:autoSpaceDN/>
              <w:adjustRightInd/>
              <w:textAlignment w:val="auto"/>
              <w:rPr>
                <w:sz w:val="18"/>
                <w:szCs w:val="18"/>
              </w:rPr>
            </w:pPr>
            <w:r w:rsidRPr="00F6537A">
              <w:rPr>
                <w:sz w:val="18"/>
                <w:szCs w:val="18"/>
              </w:rPr>
              <w:t>Request for Tenancy Approval (HUD-52517)</w:t>
            </w:r>
          </w:p>
        </w:tc>
        <w:tc>
          <w:tcPr>
            <w:tcW w:w="1260" w:type="dxa"/>
            <w:tcBorders>
              <w:top w:val="nil"/>
              <w:left w:val="nil"/>
              <w:bottom w:val="single" w:sz="4" w:space="0" w:color="auto"/>
              <w:right w:val="single" w:sz="4" w:space="0" w:color="auto"/>
            </w:tcBorders>
            <w:vAlign w:val="center"/>
            <w:hideMark/>
          </w:tcPr>
          <w:p w:rsidR="006A18E9" w:rsidRPr="00F6537A" w:rsidP="006A18E9" w14:paraId="11BEDA3C"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61C6F4F4" w14:textId="77777777">
            <w:pPr>
              <w:overflowPunct/>
              <w:autoSpaceDE/>
              <w:autoSpaceDN/>
              <w:adjustRightInd/>
              <w:jc w:val="right"/>
              <w:textAlignment w:val="auto"/>
              <w:rPr>
                <w:color w:val="000000"/>
                <w:sz w:val="18"/>
                <w:szCs w:val="18"/>
              </w:rPr>
            </w:pPr>
            <w:r w:rsidRPr="00F6537A">
              <w:rPr>
                <w:color w:val="000000"/>
                <w:sz w:val="18"/>
                <w:szCs w:val="18"/>
              </w:rPr>
              <w:t>55</w:t>
            </w:r>
          </w:p>
        </w:tc>
        <w:tc>
          <w:tcPr>
            <w:tcW w:w="1260" w:type="dxa"/>
            <w:tcBorders>
              <w:top w:val="nil"/>
              <w:left w:val="nil"/>
              <w:bottom w:val="single" w:sz="4" w:space="0" w:color="auto"/>
              <w:right w:val="single" w:sz="4" w:space="0" w:color="auto"/>
            </w:tcBorders>
            <w:vAlign w:val="center"/>
            <w:hideMark/>
          </w:tcPr>
          <w:p w:rsidR="006A18E9" w:rsidRPr="00F6537A" w:rsidP="006A18E9" w14:paraId="28B02795" w14:textId="77777777">
            <w:pPr>
              <w:overflowPunct/>
              <w:autoSpaceDE/>
              <w:autoSpaceDN/>
              <w:adjustRightInd/>
              <w:jc w:val="right"/>
              <w:textAlignment w:val="auto"/>
              <w:rPr>
                <w:color w:val="000000"/>
                <w:sz w:val="18"/>
                <w:szCs w:val="18"/>
              </w:rPr>
            </w:pPr>
            <w:r w:rsidRPr="00F6537A">
              <w:rPr>
                <w:color w:val="000000"/>
                <w:sz w:val="18"/>
                <w:szCs w:val="18"/>
              </w:rPr>
              <w:t>120,560</w:t>
            </w:r>
          </w:p>
        </w:tc>
        <w:tc>
          <w:tcPr>
            <w:tcW w:w="990" w:type="dxa"/>
            <w:tcBorders>
              <w:top w:val="nil"/>
              <w:left w:val="nil"/>
              <w:bottom w:val="single" w:sz="4" w:space="0" w:color="auto"/>
              <w:right w:val="single" w:sz="4" w:space="0" w:color="auto"/>
            </w:tcBorders>
            <w:vAlign w:val="center"/>
            <w:hideMark/>
          </w:tcPr>
          <w:p w:rsidR="006A18E9" w:rsidRPr="00F6537A" w:rsidP="006A18E9" w14:paraId="08EB4B09"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45AA4BD2" w14:textId="77777777">
            <w:pPr>
              <w:overflowPunct/>
              <w:autoSpaceDE/>
              <w:autoSpaceDN/>
              <w:adjustRightInd/>
              <w:jc w:val="right"/>
              <w:textAlignment w:val="auto"/>
              <w:rPr>
                <w:color w:val="000000"/>
                <w:sz w:val="18"/>
                <w:szCs w:val="18"/>
              </w:rPr>
            </w:pPr>
            <w:r w:rsidRPr="00F6537A">
              <w:rPr>
                <w:color w:val="000000"/>
                <w:sz w:val="18"/>
                <w:szCs w:val="18"/>
              </w:rPr>
              <w:t>60,280.00</w:t>
            </w:r>
          </w:p>
        </w:tc>
        <w:tc>
          <w:tcPr>
            <w:tcW w:w="1080" w:type="dxa"/>
            <w:tcBorders>
              <w:top w:val="nil"/>
              <w:left w:val="nil"/>
              <w:bottom w:val="single" w:sz="4" w:space="0" w:color="auto"/>
              <w:right w:val="single" w:sz="4" w:space="0" w:color="auto"/>
            </w:tcBorders>
            <w:vAlign w:val="center"/>
            <w:hideMark/>
          </w:tcPr>
          <w:p w:rsidR="006A18E9" w:rsidRPr="00F6537A" w:rsidP="006A18E9" w14:paraId="312B8FEE"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6F3D72BA" w14:textId="77777777">
            <w:pPr>
              <w:overflowPunct/>
              <w:autoSpaceDE/>
              <w:autoSpaceDN/>
              <w:adjustRightInd/>
              <w:jc w:val="right"/>
              <w:textAlignment w:val="auto"/>
              <w:rPr>
                <w:color w:val="000000"/>
                <w:sz w:val="18"/>
                <w:szCs w:val="18"/>
              </w:rPr>
            </w:pPr>
            <w:r w:rsidRPr="00F6537A">
              <w:rPr>
                <w:color w:val="000000"/>
                <w:sz w:val="18"/>
                <w:szCs w:val="18"/>
              </w:rPr>
              <w:t xml:space="preserve">$2,721,039.20 </w:t>
            </w:r>
          </w:p>
        </w:tc>
      </w:tr>
      <w:tr w14:paraId="76F000D7"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4AD6D613" w14:textId="77777777">
            <w:pPr>
              <w:overflowPunct/>
              <w:autoSpaceDE/>
              <w:autoSpaceDN/>
              <w:adjustRightInd/>
              <w:textAlignment w:val="auto"/>
              <w:rPr>
                <w:sz w:val="18"/>
                <w:szCs w:val="18"/>
              </w:rPr>
            </w:pPr>
            <w:r w:rsidRPr="00F6537A">
              <w:rPr>
                <w:sz w:val="18"/>
                <w:szCs w:val="18"/>
              </w:rPr>
              <w:t>Inspection Checklist (HUD-52580)</w:t>
            </w:r>
          </w:p>
        </w:tc>
        <w:tc>
          <w:tcPr>
            <w:tcW w:w="1260" w:type="dxa"/>
            <w:tcBorders>
              <w:top w:val="nil"/>
              <w:left w:val="nil"/>
              <w:bottom w:val="single" w:sz="4" w:space="0" w:color="auto"/>
              <w:right w:val="single" w:sz="4" w:space="0" w:color="auto"/>
            </w:tcBorders>
            <w:vAlign w:val="center"/>
            <w:hideMark/>
          </w:tcPr>
          <w:p w:rsidR="006A18E9" w:rsidRPr="00F6537A" w:rsidP="006A18E9" w14:paraId="2EDF7B9B"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4E95C7F1" w14:textId="77777777">
            <w:pPr>
              <w:overflowPunct/>
              <w:autoSpaceDE/>
              <w:autoSpaceDN/>
              <w:adjustRightInd/>
              <w:jc w:val="right"/>
              <w:textAlignment w:val="auto"/>
              <w:rPr>
                <w:color w:val="000000"/>
                <w:sz w:val="18"/>
                <w:szCs w:val="18"/>
              </w:rPr>
            </w:pPr>
            <w:r w:rsidRPr="00F6537A">
              <w:rPr>
                <w:color w:val="000000"/>
                <w:sz w:val="18"/>
                <w:szCs w:val="18"/>
              </w:rPr>
              <w:t>950</w:t>
            </w:r>
          </w:p>
        </w:tc>
        <w:tc>
          <w:tcPr>
            <w:tcW w:w="1260" w:type="dxa"/>
            <w:tcBorders>
              <w:top w:val="nil"/>
              <w:left w:val="nil"/>
              <w:bottom w:val="single" w:sz="4" w:space="0" w:color="auto"/>
              <w:right w:val="single" w:sz="4" w:space="0" w:color="auto"/>
            </w:tcBorders>
            <w:vAlign w:val="center"/>
            <w:hideMark/>
          </w:tcPr>
          <w:p w:rsidR="006A18E9" w:rsidRPr="00F6537A" w:rsidP="006A18E9" w14:paraId="63245233" w14:textId="77777777">
            <w:pPr>
              <w:overflowPunct/>
              <w:autoSpaceDE/>
              <w:autoSpaceDN/>
              <w:adjustRightInd/>
              <w:jc w:val="right"/>
              <w:textAlignment w:val="auto"/>
              <w:rPr>
                <w:color w:val="000000"/>
                <w:sz w:val="18"/>
                <w:szCs w:val="18"/>
              </w:rPr>
            </w:pPr>
            <w:r w:rsidRPr="00F6537A">
              <w:rPr>
                <w:color w:val="000000"/>
                <w:sz w:val="18"/>
                <w:szCs w:val="18"/>
              </w:rPr>
              <w:t>2,082,400</w:t>
            </w:r>
          </w:p>
        </w:tc>
        <w:tc>
          <w:tcPr>
            <w:tcW w:w="990" w:type="dxa"/>
            <w:tcBorders>
              <w:top w:val="nil"/>
              <w:left w:val="nil"/>
              <w:bottom w:val="single" w:sz="4" w:space="0" w:color="auto"/>
              <w:right w:val="single" w:sz="4" w:space="0" w:color="auto"/>
            </w:tcBorders>
            <w:vAlign w:val="center"/>
            <w:hideMark/>
          </w:tcPr>
          <w:p w:rsidR="006A18E9" w:rsidRPr="00F6537A" w:rsidP="006A18E9" w14:paraId="03724CB7"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52F5C852" w14:textId="77777777">
            <w:pPr>
              <w:overflowPunct/>
              <w:autoSpaceDE/>
              <w:autoSpaceDN/>
              <w:adjustRightInd/>
              <w:jc w:val="right"/>
              <w:textAlignment w:val="auto"/>
              <w:rPr>
                <w:color w:val="000000"/>
                <w:sz w:val="18"/>
                <w:szCs w:val="18"/>
              </w:rPr>
            </w:pPr>
            <w:r w:rsidRPr="00F6537A">
              <w:rPr>
                <w:color w:val="000000"/>
                <w:sz w:val="18"/>
                <w:szCs w:val="18"/>
              </w:rPr>
              <w:t>1,041,200.00</w:t>
            </w:r>
          </w:p>
        </w:tc>
        <w:tc>
          <w:tcPr>
            <w:tcW w:w="1080" w:type="dxa"/>
            <w:tcBorders>
              <w:top w:val="nil"/>
              <w:left w:val="nil"/>
              <w:bottom w:val="single" w:sz="4" w:space="0" w:color="auto"/>
              <w:right w:val="single" w:sz="4" w:space="0" w:color="auto"/>
            </w:tcBorders>
            <w:vAlign w:val="center"/>
            <w:hideMark/>
          </w:tcPr>
          <w:p w:rsidR="006A18E9" w:rsidRPr="00F6537A" w:rsidP="006A18E9" w14:paraId="3A12C256"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CB64131" w14:textId="77777777">
            <w:pPr>
              <w:overflowPunct/>
              <w:autoSpaceDE/>
              <w:autoSpaceDN/>
              <w:adjustRightInd/>
              <w:jc w:val="right"/>
              <w:textAlignment w:val="auto"/>
              <w:rPr>
                <w:color w:val="000000"/>
                <w:sz w:val="18"/>
                <w:szCs w:val="18"/>
              </w:rPr>
            </w:pPr>
            <w:r w:rsidRPr="00F6537A">
              <w:rPr>
                <w:color w:val="000000"/>
                <w:sz w:val="18"/>
                <w:szCs w:val="18"/>
              </w:rPr>
              <w:t xml:space="preserve">$46,999,768.00 </w:t>
            </w:r>
          </w:p>
        </w:tc>
      </w:tr>
      <w:tr w14:paraId="3BB61428"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705D24AD" w14:textId="77777777">
            <w:pPr>
              <w:overflowPunct/>
              <w:autoSpaceDE/>
              <w:autoSpaceDN/>
              <w:adjustRightInd/>
              <w:textAlignment w:val="auto"/>
              <w:rPr>
                <w:sz w:val="18"/>
                <w:szCs w:val="18"/>
              </w:rPr>
            </w:pPr>
            <w:r w:rsidRPr="00F6537A">
              <w:rPr>
                <w:sz w:val="18"/>
                <w:szCs w:val="18"/>
              </w:rPr>
              <w:t>Inspection Form (HUD-52580A)</w:t>
            </w:r>
          </w:p>
        </w:tc>
        <w:tc>
          <w:tcPr>
            <w:tcW w:w="1260" w:type="dxa"/>
            <w:tcBorders>
              <w:top w:val="nil"/>
              <w:left w:val="nil"/>
              <w:bottom w:val="single" w:sz="4" w:space="0" w:color="auto"/>
              <w:right w:val="single" w:sz="4" w:space="0" w:color="auto"/>
            </w:tcBorders>
            <w:vAlign w:val="center"/>
            <w:hideMark/>
          </w:tcPr>
          <w:p w:rsidR="006A18E9" w:rsidRPr="00F6537A" w:rsidP="006A18E9" w14:paraId="4054E254"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137B967F" w14:textId="77777777">
            <w:pPr>
              <w:overflowPunct/>
              <w:autoSpaceDE/>
              <w:autoSpaceDN/>
              <w:adjustRightInd/>
              <w:jc w:val="right"/>
              <w:textAlignment w:val="auto"/>
              <w:rPr>
                <w:color w:val="000000"/>
                <w:sz w:val="18"/>
                <w:szCs w:val="18"/>
              </w:rPr>
            </w:pPr>
            <w:r w:rsidRPr="00F6537A">
              <w:rPr>
                <w:color w:val="000000"/>
                <w:sz w:val="18"/>
                <w:szCs w:val="18"/>
              </w:rPr>
              <w:t>950</w:t>
            </w:r>
          </w:p>
        </w:tc>
        <w:tc>
          <w:tcPr>
            <w:tcW w:w="1260" w:type="dxa"/>
            <w:tcBorders>
              <w:top w:val="nil"/>
              <w:left w:val="nil"/>
              <w:bottom w:val="single" w:sz="4" w:space="0" w:color="auto"/>
              <w:right w:val="single" w:sz="4" w:space="0" w:color="auto"/>
            </w:tcBorders>
            <w:vAlign w:val="center"/>
            <w:hideMark/>
          </w:tcPr>
          <w:p w:rsidR="006A18E9" w:rsidRPr="00F6537A" w:rsidP="006A18E9" w14:paraId="074941C9" w14:textId="77777777">
            <w:pPr>
              <w:overflowPunct/>
              <w:autoSpaceDE/>
              <w:autoSpaceDN/>
              <w:adjustRightInd/>
              <w:jc w:val="right"/>
              <w:textAlignment w:val="auto"/>
              <w:rPr>
                <w:color w:val="000000"/>
                <w:sz w:val="18"/>
                <w:szCs w:val="18"/>
              </w:rPr>
            </w:pPr>
            <w:r w:rsidRPr="00F6537A">
              <w:rPr>
                <w:color w:val="000000"/>
                <w:sz w:val="18"/>
                <w:szCs w:val="18"/>
              </w:rPr>
              <w:t>2,082,400</w:t>
            </w:r>
          </w:p>
        </w:tc>
        <w:tc>
          <w:tcPr>
            <w:tcW w:w="990" w:type="dxa"/>
            <w:tcBorders>
              <w:top w:val="nil"/>
              <w:left w:val="nil"/>
              <w:bottom w:val="single" w:sz="4" w:space="0" w:color="auto"/>
              <w:right w:val="single" w:sz="4" w:space="0" w:color="auto"/>
            </w:tcBorders>
            <w:vAlign w:val="center"/>
            <w:hideMark/>
          </w:tcPr>
          <w:p w:rsidR="006A18E9" w:rsidRPr="00F6537A" w:rsidP="006A18E9" w14:paraId="206D5F9D"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1EF9C83A" w14:textId="77777777">
            <w:pPr>
              <w:overflowPunct/>
              <w:autoSpaceDE/>
              <w:autoSpaceDN/>
              <w:adjustRightInd/>
              <w:jc w:val="right"/>
              <w:textAlignment w:val="auto"/>
              <w:rPr>
                <w:color w:val="000000"/>
                <w:sz w:val="18"/>
                <w:szCs w:val="18"/>
              </w:rPr>
            </w:pPr>
            <w:r w:rsidRPr="00F6537A">
              <w:rPr>
                <w:color w:val="000000"/>
                <w:sz w:val="18"/>
                <w:szCs w:val="18"/>
              </w:rPr>
              <w:t>1,041,200.00</w:t>
            </w:r>
          </w:p>
        </w:tc>
        <w:tc>
          <w:tcPr>
            <w:tcW w:w="1080" w:type="dxa"/>
            <w:tcBorders>
              <w:top w:val="nil"/>
              <w:left w:val="nil"/>
              <w:bottom w:val="single" w:sz="4" w:space="0" w:color="auto"/>
              <w:right w:val="single" w:sz="4" w:space="0" w:color="auto"/>
            </w:tcBorders>
            <w:vAlign w:val="center"/>
            <w:hideMark/>
          </w:tcPr>
          <w:p w:rsidR="006A18E9" w:rsidRPr="00F6537A" w:rsidP="006A18E9" w14:paraId="6F8329C4"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5E63619" w14:textId="77777777">
            <w:pPr>
              <w:overflowPunct/>
              <w:autoSpaceDE/>
              <w:autoSpaceDN/>
              <w:adjustRightInd/>
              <w:jc w:val="right"/>
              <w:textAlignment w:val="auto"/>
              <w:rPr>
                <w:color w:val="000000"/>
                <w:sz w:val="18"/>
                <w:szCs w:val="18"/>
              </w:rPr>
            </w:pPr>
            <w:r w:rsidRPr="00F6537A">
              <w:rPr>
                <w:color w:val="000000"/>
                <w:sz w:val="18"/>
                <w:szCs w:val="18"/>
              </w:rPr>
              <w:t xml:space="preserve">$46,999,768.00 </w:t>
            </w:r>
          </w:p>
        </w:tc>
      </w:tr>
      <w:tr w14:paraId="0FBB1337" w14:textId="77777777" w:rsidTr="00F6537A">
        <w:tblPrEx>
          <w:tblW w:w="11151" w:type="dxa"/>
          <w:tblInd w:w="-275" w:type="dxa"/>
          <w:tblLayout w:type="fixed"/>
          <w:tblLook w:val="04A0"/>
        </w:tblPrEx>
        <w:trPr>
          <w:cantSplit/>
          <w:trHeight w:val="9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5330096A" w14:textId="77777777">
            <w:pPr>
              <w:overflowPunct/>
              <w:autoSpaceDE/>
              <w:autoSpaceDN/>
              <w:adjustRightInd/>
              <w:textAlignment w:val="auto"/>
              <w:rPr>
                <w:sz w:val="18"/>
                <w:szCs w:val="18"/>
              </w:rPr>
            </w:pPr>
            <w:r w:rsidRPr="00F6537A">
              <w:rPr>
                <w:sz w:val="18"/>
                <w:szCs w:val="18"/>
              </w:rPr>
              <w:t>HAP Contract, Tenant Based Assistance (HUD-52641)</w:t>
            </w:r>
          </w:p>
        </w:tc>
        <w:tc>
          <w:tcPr>
            <w:tcW w:w="1260" w:type="dxa"/>
            <w:tcBorders>
              <w:top w:val="nil"/>
              <w:left w:val="nil"/>
              <w:bottom w:val="single" w:sz="4" w:space="0" w:color="auto"/>
              <w:right w:val="single" w:sz="4" w:space="0" w:color="auto"/>
            </w:tcBorders>
            <w:vAlign w:val="center"/>
            <w:hideMark/>
          </w:tcPr>
          <w:p w:rsidR="006A18E9" w:rsidRPr="00F6537A" w:rsidP="006A18E9" w14:paraId="74E5FAE6"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35D75020" w14:textId="77777777">
            <w:pPr>
              <w:overflowPunct/>
              <w:autoSpaceDE/>
              <w:autoSpaceDN/>
              <w:adjustRightInd/>
              <w:jc w:val="right"/>
              <w:textAlignment w:val="auto"/>
              <w:rPr>
                <w:color w:val="000000"/>
                <w:sz w:val="18"/>
                <w:szCs w:val="18"/>
              </w:rPr>
            </w:pPr>
            <w:r w:rsidRPr="00F6537A">
              <w:rPr>
                <w:color w:val="000000"/>
                <w:sz w:val="18"/>
                <w:szCs w:val="18"/>
              </w:rPr>
              <w:t>30</w:t>
            </w:r>
          </w:p>
        </w:tc>
        <w:tc>
          <w:tcPr>
            <w:tcW w:w="1260" w:type="dxa"/>
            <w:tcBorders>
              <w:top w:val="nil"/>
              <w:left w:val="nil"/>
              <w:bottom w:val="single" w:sz="4" w:space="0" w:color="auto"/>
              <w:right w:val="single" w:sz="4" w:space="0" w:color="auto"/>
            </w:tcBorders>
            <w:vAlign w:val="center"/>
            <w:hideMark/>
          </w:tcPr>
          <w:p w:rsidR="006A18E9" w:rsidRPr="00F6537A" w:rsidP="006A18E9" w14:paraId="2029BE28" w14:textId="77777777">
            <w:pPr>
              <w:overflowPunct/>
              <w:autoSpaceDE/>
              <w:autoSpaceDN/>
              <w:adjustRightInd/>
              <w:jc w:val="right"/>
              <w:textAlignment w:val="auto"/>
              <w:rPr>
                <w:color w:val="000000"/>
                <w:sz w:val="18"/>
                <w:szCs w:val="18"/>
              </w:rPr>
            </w:pPr>
            <w:r w:rsidRPr="00F6537A">
              <w:rPr>
                <w:color w:val="000000"/>
                <w:sz w:val="18"/>
                <w:szCs w:val="18"/>
              </w:rPr>
              <w:t>65,760</w:t>
            </w:r>
          </w:p>
        </w:tc>
        <w:tc>
          <w:tcPr>
            <w:tcW w:w="990" w:type="dxa"/>
            <w:tcBorders>
              <w:top w:val="nil"/>
              <w:left w:val="nil"/>
              <w:bottom w:val="single" w:sz="4" w:space="0" w:color="auto"/>
              <w:right w:val="single" w:sz="4" w:space="0" w:color="auto"/>
            </w:tcBorders>
            <w:vAlign w:val="center"/>
            <w:hideMark/>
          </w:tcPr>
          <w:p w:rsidR="006A18E9" w:rsidRPr="00F6537A" w:rsidP="006A18E9" w14:paraId="7C70D8E6"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103DDDA1" w14:textId="77777777">
            <w:pPr>
              <w:overflowPunct/>
              <w:autoSpaceDE/>
              <w:autoSpaceDN/>
              <w:adjustRightInd/>
              <w:jc w:val="right"/>
              <w:textAlignment w:val="auto"/>
              <w:rPr>
                <w:color w:val="000000"/>
                <w:sz w:val="18"/>
                <w:szCs w:val="18"/>
              </w:rPr>
            </w:pPr>
            <w:r w:rsidRPr="00F6537A">
              <w:rPr>
                <w:color w:val="000000"/>
                <w:sz w:val="18"/>
                <w:szCs w:val="18"/>
              </w:rPr>
              <w:t>32,880.00</w:t>
            </w:r>
          </w:p>
        </w:tc>
        <w:tc>
          <w:tcPr>
            <w:tcW w:w="1080" w:type="dxa"/>
            <w:tcBorders>
              <w:top w:val="nil"/>
              <w:left w:val="nil"/>
              <w:bottom w:val="single" w:sz="4" w:space="0" w:color="auto"/>
              <w:right w:val="single" w:sz="4" w:space="0" w:color="auto"/>
            </w:tcBorders>
            <w:vAlign w:val="center"/>
            <w:hideMark/>
          </w:tcPr>
          <w:p w:rsidR="006A18E9" w:rsidRPr="00F6537A" w:rsidP="006A18E9" w14:paraId="306C1685"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3DA8CC86" w14:textId="77777777">
            <w:pPr>
              <w:overflowPunct/>
              <w:autoSpaceDE/>
              <w:autoSpaceDN/>
              <w:adjustRightInd/>
              <w:jc w:val="right"/>
              <w:textAlignment w:val="auto"/>
              <w:rPr>
                <w:color w:val="000000"/>
                <w:sz w:val="18"/>
                <w:szCs w:val="18"/>
              </w:rPr>
            </w:pPr>
            <w:r w:rsidRPr="00F6537A">
              <w:rPr>
                <w:color w:val="000000"/>
                <w:sz w:val="18"/>
                <w:szCs w:val="18"/>
              </w:rPr>
              <w:t xml:space="preserve">$1,484,203.20 </w:t>
            </w:r>
          </w:p>
        </w:tc>
      </w:tr>
      <w:tr w14:paraId="22338F37" w14:textId="77777777" w:rsidTr="00F6537A">
        <w:tblPrEx>
          <w:tblW w:w="11151" w:type="dxa"/>
          <w:tblInd w:w="-275" w:type="dxa"/>
          <w:tblLayout w:type="fixed"/>
          <w:tblLook w:val="04A0"/>
        </w:tblPrEx>
        <w:trPr>
          <w:cantSplit/>
          <w:trHeight w:val="9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16DCD2FD" w14:textId="77777777">
            <w:pPr>
              <w:overflowPunct/>
              <w:autoSpaceDE/>
              <w:autoSpaceDN/>
              <w:adjustRightInd/>
              <w:textAlignment w:val="auto"/>
              <w:rPr>
                <w:sz w:val="18"/>
                <w:szCs w:val="18"/>
              </w:rPr>
            </w:pPr>
            <w:r w:rsidRPr="00F6537A">
              <w:rPr>
                <w:sz w:val="18"/>
                <w:szCs w:val="18"/>
              </w:rPr>
              <w:t>Tenancy Addendum, Tenant Based Assistance (52641A)</w:t>
            </w:r>
          </w:p>
        </w:tc>
        <w:tc>
          <w:tcPr>
            <w:tcW w:w="1260" w:type="dxa"/>
            <w:tcBorders>
              <w:top w:val="nil"/>
              <w:left w:val="nil"/>
              <w:bottom w:val="single" w:sz="4" w:space="0" w:color="auto"/>
              <w:right w:val="single" w:sz="4" w:space="0" w:color="auto"/>
            </w:tcBorders>
            <w:vAlign w:val="center"/>
            <w:hideMark/>
          </w:tcPr>
          <w:p w:rsidR="006A18E9" w:rsidRPr="00F6537A" w:rsidP="006A18E9" w14:paraId="3096FB9E"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2B3FAFB8" w14:textId="77777777">
            <w:pPr>
              <w:overflowPunct/>
              <w:autoSpaceDE/>
              <w:autoSpaceDN/>
              <w:adjustRightInd/>
              <w:jc w:val="right"/>
              <w:textAlignment w:val="auto"/>
              <w:rPr>
                <w:color w:val="000000"/>
                <w:sz w:val="18"/>
                <w:szCs w:val="18"/>
              </w:rPr>
            </w:pPr>
            <w:r w:rsidRPr="00F6537A">
              <w:rPr>
                <w:color w:val="000000"/>
                <w:sz w:val="18"/>
                <w:szCs w:val="18"/>
              </w:rPr>
              <w:t>30</w:t>
            </w:r>
          </w:p>
        </w:tc>
        <w:tc>
          <w:tcPr>
            <w:tcW w:w="1260" w:type="dxa"/>
            <w:tcBorders>
              <w:top w:val="nil"/>
              <w:left w:val="nil"/>
              <w:bottom w:val="single" w:sz="4" w:space="0" w:color="auto"/>
              <w:right w:val="single" w:sz="4" w:space="0" w:color="auto"/>
            </w:tcBorders>
            <w:vAlign w:val="center"/>
            <w:hideMark/>
          </w:tcPr>
          <w:p w:rsidR="006A18E9" w:rsidRPr="00F6537A" w:rsidP="006A18E9" w14:paraId="4544FF15" w14:textId="77777777">
            <w:pPr>
              <w:overflowPunct/>
              <w:autoSpaceDE/>
              <w:autoSpaceDN/>
              <w:adjustRightInd/>
              <w:jc w:val="right"/>
              <w:textAlignment w:val="auto"/>
              <w:rPr>
                <w:color w:val="000000"/>
                <w:sz w:val="18"/>
                <w:szCs w:val="18"/>
              </w:rPr>
            </w:pPr>
            <w:r w:rsidRPr="00F6537A">
              <w:rPr>
                <w:color w:val="000000"/>
                <w:sz w:val="18"/>
                <w:szCs w:val="18"/>
              </w:rPr>
              <w:t>65,760</w:t>
            </w:r>
          </w:p>
        </w:tc>
        <w:tc>
          <w:tcPr>
            <w:tcW w:w="990" w:type="dxa"/>
            <w:tcBorders>
              <w:top w:val="nil"/>
              <w:left w:val="nil"/>
              <w:bottom w:val="single" w:sz="4" w:space="0" w:color="auto"/>
              <w:right w:val="single" w:sz="4" w:space="0" w:color="auto"/>
            </w:tcBorders>
            <w:vAlign w:val="center"/>
            <w:hideMark/>
          </w:tcPr>
          <w:p w:rsidR="006A18E9" w:rsidRPr="00F6537A" w:rsidP="006A18E9" w14:paraId="02FAAF49"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66233126" w14:textId="77777777">
            <w:pPr>
              <w:overflowPunct/>
              <w:autoSpaceDE/>
              <w:autoSpaceDN/>
              <w:adjustRightInd/>
              <w:jc w:val="right"/>
              <w:textAlignment w:val="auto"/>
              <w:rPr>
                <w:color w:val="000000"/>
                <w:sz w:val="18"/>
                <w:szCs w:val="18"/>
              </w:rPr>
            </w:pPr>
            <w:r w:rsidRPr="00F6537A">
              <w:rPr>
                <w:color w:val="000000"/>
                <w:sz w:val="18"/>
                <w:szCs w:val="18"/>
              </w:rPr>
              <w:t>32,880.00</w:t>
            </w:r>
          </w:p>
        </w:tc>
        <w:tc>
          <w:tcPr>
            <w:tcW w:w="1080" w:type="dxa"/>
            <w:tcBorders>
              <w:top w:val="nil"/>
              <w:left w:val="nil"/>
              <w:bottom w:val="single" w:sz="4" w:space="0" w:color="auto"/>
              <w:right w:val="single" w:sz="4" w:space="0" w:color="auto"/>
            </w:tcBorders>
            <w:vAlign w:val="center"/>
            <w:hideMark/>
          </w:tcPr>
          <w:p w:rsidR="006A18E9" w:rsidRPr="00F6537A" w:rsidP="006A18E9" w14:paraId="6F217065"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0E1D19E" w14:textId="77777777">
            <w:pPr>
              <w:overflowPunct/>
              <w:autoSpaceDE/>
              <w:autoSpaceDN/>
              <w:adjustRightInd/>
              <w:jc w:val="right"/>
              <w:textAlignment w:val="auto"/>
              <w:rPr>
                <w:color w:val="000000"/>
                <w:sz w:val="18"/>
                <w:szCs w:val="18"/>
              </w:rPr>
            </w:pPr>
            <w:r w:rsidRPr="00F6537A">
              <w:rPr>
                <w:color w:val="000000"/>
                <w:sz w:val="18"/>
                <w:szCs w:val="18"/>
              </w:rPr>
              <w:t xml:space="preserve">$1,484,203.20 </w:t>
            </w:r>
          </w:p>
        </w:tc>
      </w:tr>
      <w:tr w14:paraId="38620FAF" w14:textId="77777777" w:rsidTr="00F6537A">
        <w:tblPrEx>
          <w:tblW w:w="11151" w:type="dxa"/>
          <w:tblInd w:w="-275" w:type="dxa"/>
          <w:tblLayout w:type="fixed"/>
          <w:tblLook w:val="04A0"/>
        </w:tblPrEx>
        <w:trPr>
          <w:cantSplit/>
          <w:trHeight w:val="1223"/>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F09EB5A" w14:textId="77777777">
            <w:pPr>
              <w:overflowPunct/>
              <w:autoSpaceDE/>
              <w:autoSpaceDN/>
              <w:adjustRightInd/>
              <w:textAlignment w:val="auto"/>
              <w:rPr>
                <w:sz w:val="18"/>
                <w:szCs w:val="18"/>
              </w:rPr>
            </w:pPr>
            <w:r w:rsidRPr="00F6537A">
              <w:rPr>
                <w:sz w:val="18"/>
                <w:szCs w:val="18"/>
              </w:rPr>
              <w:t>HAP Contract Manufactured Home Space Rental, Tenant Based Assistance (HUD-52642)</w:t>
            </w:r>
          </w:p>
        </w:tc>
        <w:tc>
          <w:tcPr>
            <w:tcW w:w="1260" w:type="dxa"/>
            <w:tcBorders>
              <w:top w:val="nil"/>
              <w:left w:val="nil"/>
              <w:bottom w:val="single" w:sz="4" w:space="0" w:color="auto"/>
              <w:right w:val="single" w:sz="4" w:space="0" w:color="auto"/>
            </w:tcBorders>
            <w:vAlign w:val="center"/>
            <w:hideMark/>
          </w:tcPr>
          <w:p w:rsidR="006A18E9" w:rsidRPr="00F6537A" w:rsidP="006A18E9" w14:paraId="2A96A248"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6FDC5BAD" w14:textId="77777777">
            <w:pPr>
              <w:overflowPunct/>
              <w:autoSpaceDE/>
              <w:autoSpaceDN/>
              <w:adjustRightInd/>
              <w:jc w:val="right"/>
              <w:textAlignment w:val="auto"/>
              <w:rPr>
                <w:color w:val="000000"/>
                <w:sz w:val="18"/>
                <w:szCs w:val="18"/>
              </w:rPr>
            </w:pPr>
            <w:r w:rsidRPr="00F6537A">
              <w:rPr>
                <w:color w:val="000000"/>
                <w:sz w:val="18"/>
                <w:szCs w:val="18"/>
              </w:rPr>
              <w:t>2</w:t>
            </w:r>
          </w:p>
        </w:tc>
        <w:tc>
          <w:tcPr>
            <w:tcW w:w="1260" w:type="dxa"/>
            <w:tcBorders>
              <w:top w:val="nil"/>
              <w:left w:val="nil"/>
              <w:bottom w:val="single" w:sz="4" w:space="0" w:color="auto"/>
              <w:right w:val="single" w:sz="4" w:space="0" w:color="auto"/>
            </w:tcBorders>
            <w:vAlign w:val="center"/>
            <w:hideMark/>
          </w:tcPr>
          <w:p w:rsidR="006A18E9" w:rsidRPr="00F6537A" w:rsidP="006A18E9" w14:paraId="73B5EC89" w14:textId="77777777">
            <w:pPr>
              <w:overflowPunct/>
              <w:autoSpaceDE/>
              <w:autoSpaceDN/>
              <w:adjustRightInd/>
              <w:jc w:val="right"/>
              <w:textAlignment w:val="auto"/>
              <w:rPr>
                <w:color w:val="000000"/>
                <w:sz w:val="18"/>
                <w:szCs w:val="18"/>
              </w:rPr>
            </w:pPr>
            <w:r w:rsidRPr="00F6537A">
              <w:rPr>
                <w:color w:val="000000"/>
                <w:sz w:val="18"/>
                <w:szCs w:val="18"/>
              </w:rPr>
              <w:t>4,384</w:t>
            </w:r>
          </w:p>
        </w:tc>
        <w:tc>
          <w:tcPr>
            <w:tcW w:w="990" w:type="dxa"/>
            <w:tcBorders>
              <w:top w:val="nil"/>
              <w:left w:val="nil"/>
              <w:bottom w:val="single" w:sz="4" w:space="0" w:color="auto"/>
              <w:right w:val="single" w:sz="4" w:space="0" w:color="auto"/>
            </w:tcBorders>
            <w:vAlign w:val="center"/>
            <w:hideMark/>
          </w:tcPr>
          <w:p w:rsidR="006A18E9" w:rsidRPr="00F6537A" w:rsidP="006A18E9" w14:paraId="25404B2B"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2E906CCA" w14:textId="77777777">
            <w:pPr>
              <w:overflowPunct/>
              <w:autoSpaceDE/>
              <w:autoSpaceDN/>
              <w:adjustRightInd/>
              <w:jc w:val="right"/>
              <w:textAlignment w:val="auto"/>
              <w:rPr>
                <w:color w:val="000000"/>
                <w:sz w:val="18"/>
                <w:szCs w:val="18"/>
              </w:rPr>
            </w:pPr>
            <w:r w:rsidRPr="00F6537A">
              <w:rPr>
                <w:color w:val="000000"/>
                <w:sz w:val="18"/>
                <w:szCs w:val="18"/>
              </w:rPr>
              <w:t>2,192.00</w:t>
            </w:r>
          </w:p>
        </w:tc>
        <w:tc>
          <w:tcPr>
            <w:tcW w:w="1080" w:type="dxa"/>
            <w:tcBorders>
              <w:top w:val="nil"/>
              <w:left w:val="nil"/>
              <w:bottom w:val="single" w:sz="4" w:space="0" w:color="auto"/>
              <w:right w:val="single" w:sz="4" w:space="0" w:color="auto"/>
            </w:tcBorders>
            <w:vAlign w:val="center"/>
            <w:hideMark/>
          </w:tcPr>
          <w:p w:rsidR="006A18E9" w:rsidRPr="00F6537A" w:rsidP="006A18E9" w14:paraId="75AA55C0"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22A894D2" w14:textId="77777777">
            <w:pPr>
              <w:overflowPunct/>
              <w:autoSpaceDE/>
              <w:autoSpaceDN/>
              <w:adjustRightInd/>
              <w:jc w:val="right"/>
              <w:textAlignment w:val="auto"/>
              <w:rPr>
                <w:color w:val="000000"/>
                <w:sz w:val="18"/>
                <w:szCs w:val="18"/>
              </w:rPr>
            </w:pPr>
            <w:r w:rsidRPr="00F6537A">
              <w:rPr>
                <w:color w:val="000000"/>
                <w:sz w:val="18"/>
                <w:szCs w:val="18"/>
              </w:rPr>
              <w:t xml:space="preserve">$98,946.88 </w:t>
            </w:r>
          </w:p>
        </w:tc>
      </w:tr>
      <w:tr w14:paraId="4C7B09E7" w14:textId="77777777" w:rsidTr="00F6537A">
        <w:tblPrEx>
          <w:tblW w:w="11151" w:type="dxa"/>
          <w:tblInd w:w="-275" w:type="dxa"/>
          <w:tblLayout w:type="fixed"/>
          <w:tblLook w:val="04A0"/>
        </w:tblPrEx>
        <w:trPr>
          <w:cantSplit/>
          <w:trHeight w:val="3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5008CC9" w14:textId="77777777">
            <w:pPr>
              <w:overflowPunct/>
              <w:autoSpaceDE/>
              <w:autoSpaceDN/>
              <w:adjustRightInd/>
              <w:textAlignment w:val="auto"/>
              <w:rPr>
                <w:sz w:val="18"/>
                <w:szCs w:val="18"/>
              </w:rPr>
            </w:pPr>
            <w:r w:rsidRPr="00F6537A">
              <w:rPr>
                <w:sz w:val="18"/>
                <w:szCs w:val="18"/>
              </w:rPr>
              <w:t>Voucher (HUD-52646)</w:t>
            </w:r>
          </w:p>
        </w:tc>
        <w:tc>
          <w:tcPr>
            <w:tcW w:w="1260" w:type="dxa"/>
            <w:tcBorders>
              <w:top w:val="nil"/>
              <w:left w:val="nil"/>
              <w:bottom w:val="single" w:sz="4" w:space="0" w:color="auto"/>
              <w:right w:val="single" w:sz="4" w:space="0" w:color="auto"/>
            </w:tcBorders>
            <w:vAlign w:val="center"/>
            <w:hideMark/>
          </w:tcPr>
          <w:p w:rsidR="006A18E9" w:rsidRPr="00F6537A" w:rsidP="006A18E9" w14:paraId="2125B730"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3EF180CF" w14:textId="77777777">
            <w:pPr>
              <w:overflowPunct/>
              <w:autoSpaceDE/>
              <w:autoSpaceDN/>
              <w:adjustRightInd/>
              <w:jc w:val="right"/>
              <w:textAlignment w:val="auto"/>
              <w:rPr>
                <w:color w:val="000000"/>
                <w:sz w:val="18"/>
                <w:szCs w:val="18"/>
              </w:rPr>
            </w:pPr>
            <w:r w:rsidRPr="00F6537A">
              <w:rPr>
                <w:color w:val="000000"/>
                <w:sz w:val="18"/>
                <w:szCs w:val="18"/>
              </w:rPr>
              <w:t>60</w:t>
            </w:r>
          </w:p>
        </w:tc>
        <w:tc>
          <w:tcPr>
            <w:tcW w:w="1260" w:type="dxa"/>
            <w:tcBorders>
              <w:top w:val="nil"/>
              <w:left w:val="nil"/>
              <w:bottom w:val="single" w:sz="4" w:space="0" w:color="auto"/>
              <w:right w:val="single" w:sz="4" w:space="0" w:color="auto"/>
            </w:tcBorders>
            <w:vAlign w:val="center"/>
            <w:hideMark/>
          </w:tcPr>
          <w:p w:rsidR="006A18E9" w:rsidRPr="00F6537A" w:rsidP="006A18E9" w14:paraId="51E74CE8" w14:textId="77777777">
            <w:pPr>
              <w:overflowPunct/>
              <w:autoSpaceDE/>
              <w:autoSpaceDN/>
              <w:adjustRightInd/>
              <w:jc w:val="right"/>
              <w:textAlignment w:val="auto"/>
              <w:rPr>
                <w:color w:val="000000"/>
                <w:sz w:val="18"/>
                <w:szCs w:val="18"/>
              </w:rPr>
            </w:pPr>
            <w:r w:rsidRPr="00F6537A">
              <w:rPr>
                <w:color w:val="000000"/>
                <w:sz w:val="18"/>
                <w:szCs w:val="18"/>
              </w:rPr>
              <w:t>131,520</w:t>
            </w:r>
          </w:p>
        </w:tc>
        <w:tc>
          <w:tcPr>
            <w:tcW w:w="990" w:type="dxa"/>
            <w:tcBorders>
              <w:top w:val="nil"/>
              <w:left w:val="nil"/>
              <w:bottom w:val="single" w:sz="4" w:space="0" w:color="auto"/>
              <w:right w:val="single" w:sz="4" w:space="0" w:color="auto"/>
            </w:tcBorders>
            <w:vAlign w:val="center"/>
            <w:hideMark/>
          </w:tcPr>
          <w:p w:rsidR="006A18E9" w:rsidRPr="00F6537A" w:rsidP="006A18E9" w14:paraId="317E339A" w14:textId="77777777">
            <w:pPr>
              <w:overflowPunct/>
              <w:autoSpaceDE/>
              <w:autoSpaceDN/>
              <w:adjustRightInd/>
              <w:jc w:val="right"/>
              <w:textAlignment w:val="auto"/>
              <w:rPr>
                <w:color w:val="000000"/>
                <w:sz w:val="18"/>
                <w:szCs w:val="18"/>
              </w:rPr>
            </w:pPr>
            <w:r w:rsidRPr="00F6537A">
              <w:rPr>
                <w:color w:val="000000"/>
                <w:sz w:val="18"/>
                <w:szCs w:val="18"/>
              </w:rPr>
              <w:t>0.05</w:t>
            </w:r>
          </w:p>
        </w:tc>
        <w:tc>
          <w:tcPr>
            <w:tcW w:w="1530" w:type="dxa"/>
            <w:tcBorders>
              <w:top w:val="nil"/>
              <w:left w:val="nil"/>
              <w:bottom w:val="single" w:sz="4" w:space="0" w:color="auto"/>
              <w:right w:val="single" w:sz="4" w:space="0" w:color="auto"/>
            </w:tcBorders>
            <w:vAlign w:val="center"/>
            <w:hideMark/>
          </w:tcPr>
          <w:p w:rsidR="006A18E9" w:rsidRPr="00F6537A" w:rsidP="006A18E9" w14:paraId="518E742F" w14:textId="77777777">
            <w:pPr>
              <w:overflowPunct/>
              <w:autoSpaceDE/>
              <w:autoSpaceDN/>
              <w:adjustRightInd/>
              <w:jc w:val="right"/>
              <w:textAlignment w:val="auto"/>
              <w:rPr>
                <w:color w:val="000000"/>
                <w:sz w:val="18"/>
                <w:szCs w:val="18"/>
              </w:rPr>
            </w:pPr>
            <w:r w:rsidRPr="00F6537A">
              <w:rPr>
                <w:color w:val="000000"/>
                <w:sz w:val="18"/>
                <w:szCs w:val="18"/>
              </w:rPr>
              <w:t>6,576.00</w:t>
            </w:r>
          </w:p>
        </w:tc>
        <w:tc>
          <w:tcPr>
            <w:tcW w:w="1080" w:type="dxa"/>
            <w:tcBorders>
              <w:top w:val="nil"/>
              <w:left w:val="nil"/>
              <w:bottom w:val="single" w:sz="4" w:space="0" w:color="auto"/>
              <w:right w:val="single" w:sz="4" w:space="0" w:color="auto"/>
            </w:tcBorders>
            <w:vAlign w:val="center"/>
            <w:hideMark/>
          </w:tcPr>
          <w:p w:rsidR="006A18E9" w:rsidRPr="00F6537A" w:rsidP="006A18E9" w14:paraId="610C15B9"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27AA5491" w14:textId="77777777">
            <w:pPr>
              <w:overflowPunct/>
              <w:autoSpaceDE/>
              <w:autoSpaceDN/>
              <w:adjustRightInd/>
              <w:jc w:val="right"/>
              <w:textAlignment w:val="auto"/>
              <w:rPr>
                <w:color w:val="000000"/>
                <w:sz w:val="18"/>
                <w:szCs w:val="18"/>
              </w:rPr>
            </w:pPr>
            <w:r w:rsidRPr="00F6537A">
              <w:rPr>
                <w:color w:val="000000"/>
                <w:sz w:val="18"/>
                <w:szCs w:val="18"/>
              </w:rPr>
              <w:t xml:space="preserve">$296,840.64 </w:t>
            </w:r>
          </w:p>
        </w:tc>
      </w:tr>
      <w:tr w14:paraId="2106EC6D" w14:textId="77777777" w:rsidTr="00F6537A">
        <w:tblPrEx>
          <w:tblW w:w="11151" w:type="dxa"/>
          <w:tblInd w:w="-275" w:type="dxa"/>
          <w:tblLayout w:type="fixed"/>
          <w:tblLook w:val="04A0"/>
        </w:tblPrEx>
        <w:trPr>
          <w:cantSplit/>
          <w:trHeight w:val="935"/>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737CAD8" w14:textId="77777777">
            <w:pPr>
              <w:overflowPunct/>
              <w:autoSpaceDE/>
              <w:autoSpaceDN/>
              <w:adjustRightInd/>
              <w:textAlignment w:val="auto"/>
              <w:rPr>
                <w:sz w:val="18"/>
                <w:szCs w:val="18"/>
              </w:rPr>
            </w:pPr>
            <w:r w:rsidRPr="00F6537A">
              <w:rPr>
                <w:sz w:val="18"/>
                <w:szCs w:val="18"/>
              </w:rPr>
              <w:t>Statement of Homeowner Obligations (HUD-52649)</w:t>
            </w:r>
          </w:p>
        </w:tc>
        <w:tc>
          <w:tcPr>
            <w:tcW w:w="1260" w:type="dxa"/>
            <w:tcBorders>
              <w:top w:val="nil"/>
              <w:left w:val="nil"/>
              <w:bottom w:val="single" w:sz="4" w:space="0" w:color="auto"/>
              <w:right w:val="single" w:sz="4" w:space="0" w:color="auto"/>
            </w:tcBorders>
            <w:vAlign w:val="center"/>
            <w:hideMark/>
          </w:tcPr>
          <w:p w:rsidR="006A18E9" w:rsidRPr="00F6537A" w:rsidP="006A18E9" w14:paraId="226D97D6" w14:textId="77777777">
            <w:pPr>
              <w:overflowPunct/>
              <w:autoSpaceDE/>
              <w:autoSpaceDN/>
              <w:adjustRightInd/>
              <w:jc w:val="right"/>
              <w:textAlignment w:val="auto"/>
              <w:rPr>
                <w:color w:val="000000"/>
                <w:sz w:val="18"/>
                <w:szCs w:val="18"/>
              </w:rPr>
            </w:pPr>
            <w:r w:rsidRPr="00F6537A">
              <w:rPr>
                <w:color w:val="000000"/>
                <w:sz w:val="18"/>
                <w:szCs w:val="18"/>
              </w:rPr>
              <w:t>100</w:t>
            </w:r>
          </w:p>
        </w:tc>
        <w:tc>
          <w:tcPr>
            <w:tcW w:w="1350" w:type="dxa"/>
            <w:tcBorders>
              <w:top w:val="nil"/>
              <w:left w:val="nil"/>
              <w:bottom w:val="single" w:sz="4" w:space="0" w:color="auto"/>
              <w:right w:val="single" w:sz="4" w:space="0" w:color="auto"/>
            </w:tcBorders>
            <w:vAlign w:val="center"/>
            <w:hideMark/>
          </w:tcPr>
          <w:p w:rsidR="006A18E9" w:rsidRPr="00F6537A" w:rsidP="006A18E9" w14:paraId="6166BEA3" w14:textId="77777777">
            <w:pPr>
              <w:overflowPunct/>
              <w:autoSpaceDE/>
              <w:autoSpaceDN/>
              <w:adjustRightInd/>
              <w:jc w:val="right"/>
              <w:textAlignment w:val="auto"/>
              <w:rPr>
                <w:color w:val="000000"/>
                <w:sz w:val="18"/>
                <w:szCs w:val="18"/>
              </w:rPr>
            </w:pPr>
            <w:r w:rsidRPr="00F6537A">
              <w:rPr>
                <w:color w:val="000000"/>
                <w:sz w:val="18"/>
                <w:szCs w:val="18"/>
              </w:rPr>
              <w:t>10</w:t>
            </w:r>
          </w:p>
        </w:tc>
        <w:tc>
          <w:tcPr>
            <w:tcW w:w="1260" w:type="dxa"/>
            <w:tcBorders>
              <w:top w:val="nil"/>
              <w:left w:val="nil"/>
              <w:bottom w:val="single" w:sz="4" w:space="0" w:color="auto"/>
              <w:right w:val="single" w:sz="4" w:space="0" w:color="auto"/>
            </w:tcBorders>
            <w:vAlign w:val="center"/>
            <w:hideMark/>
          </w:tcPr>
          <w:p w:rsidR="006A18E9" w:rsidRPr="00F6537A" w:rsidP="006A18E9" w14:paraId="3DAC6182" w14:textId="77777777">
            <w:pPr>
              <w:overflowPunct/>
              <w:autoSpaceDE/>
              <w:autoSpaceDN/>
              <w:adjustRightInd/>
              <w:jc w:val="right"/>
              <w:textAlignment w:val="auto"/>
              <w:rPr>
                <w:color w:val="000000"/>
                <w:sz w:val="18"/>
                <w:szCs w:val="18"/>
              </w:rPr>
            </w:pPr>
            <w:r w:rsidRPr="00F6537A">
              <w:rPr>
                <w:color w:val="000000"/>
                <w:sz w:val="18"/>
                <w:szCs w:val="18"/>
              </w:rPr>
              <w:t>1,000</w:t>
            </w:r>
          </w:p>
        </w:tc>
        <w:tc>
          <w:tcPr>
            <w:tcW w:w="990" w:type="dxa"/>
            <w:tcBorders>
              <w:top w:val="nil"/>
              <w:left w:val="nil"/>
              <w:bottom w:val="single" w:sz="4" w:space="0" w:color="auto"/>
              <w:right w:val="single" w:sz="4" w:space="0" w:color="auto"/>
            </w:tcBorders>
            <w:vAlign w:val="center"/>
            <w:hideMark/>
          </w:tcPr>
          <w:p w:rsidR="006A18E9" w:rsidRPr="00F6537A" w:rsidP="006A18E9" w14:paraId="1925A074"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53894F04" w14:textId="77777777">
            <w:pPr>
              <w:overflowPunct/>
              <w:autoSpaceDE/>
              <w:autoSpaceDN/>
              <w:adjustRightInd/>
              <w:jc w:val="right"/>
              <w:textAlignment w:val="auto"/>
              <w:rPr>
                <w:color w:val="000000"/>
                <w:sz w:val="18"/>
                <w:szCs w:val="18"/>
              </w:rPr>
            </w:pPr>
            <w:r w:rsidRPr="00F6537A">
              <w:rPr>
                <w:color w:val="000000"/>
                <w:sz w:val="18"/>
                <w:szCs w:val="18"/>
              </w:rPr>
              <w:t>250</w:t>
            </w:r>
          </w:p>
        </w:tc>
        <w:tc>
          <w:tcPr>
            <w:tcW w:w="1080" w:type="dxa"/>
            <w:tcBorders>
              <w:top w:val="nil"/>
              <w:left w:val="nil"/>
              <w:bottom w:val="single" w:sz="4" w:space="0" w:color="auto"/>
              <w:right w:val="single" w:sz="4" w:space="0" w:color="auto"/>
            </w:tcBorders>
            <w:vAlign w:val="center"/>
            <w:hideMark/>
          </w:tcPr>
          <w:p w:rsidR="006A18E9" w:rsidRPr="00F6537A" w:rsidP="006A18E9" w14:paraId="55A9343A"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574584DD" w14:textId="77777777">
            <w:pPr>
              <w:overflowPunct/>
              <w:autoSpaceDE/>
              <w:autoSpaceDN/>
              <w:adjustRightInd/>
              <w:jc w:val="right"/>
              <w:textAlignment w:val="auto"/>
              <w:rPr>
                <w:color w:val="000000"/>
                <w:sz w:val="18"/>
                <w:szCs w:val="18"/>
              </w:rPr>
            </w:pPr>
            <w:r w:rsidRPr="00F6537A">
              <w:rPr>
                <w:color w:val="000000"/>
                <w:sz w:val="18"/>
                <w:szCs w:val="18"/>
              </w:rPr>
              <w:t xml:space="preserve">$11,285.00 </w:t>
            </w:r>
          </w:p>
        </w:tc>
      </w:tr>
      <w:tr w14:paraId="5781D234"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1A8D8C8" w14:textId="77777777">
            <w:pPr>
              <w:overflowPunct/>
              <w:autoSpaceDE/>
              <w:autoSpaceDN/>
              <w:adjustRightInd/>
              <w:textAlignment w:val="auto"/>
              <w:rPr>
                <w:sz w:val="18"/>
                <w:szCs w:val="18"/>
              </w:rPr>
            </w:pPr>
            <w:r w:rsidRPr="00F6537A">
              <w:rPr>
                <w:sz w:val="18"/>
                <w:szCs w:val="18"/>
              </w:rPr>
              <w:t>Portability Information (HUD-52665)</w:t>
            </w:r>
          </w:p>
        </w:tc>
        <w:tc>
          <w:tcPr>
            <w:tcW w:w="1260" w:type="dxa"/>
            <w:tcBorders>
              <w:top w:val="nil"/>
              <w:left w:val="nil"/>
              <w:bottom w:val="single" w:sz="4" w:space="0" w:color="auto"/>
              <w:right w:val="single" w:sz="4" w:space="0" w:color="auto"/>
            </w:tcBorders>
            <w:vAlign w:val="center"/>
            <w:hideMark/>
          </w:tcPr>
          <w:p w:rsidR="006A18E9" w:rsidRPr="00F6537A" w:rsidP="006A18E9" w14:paraId="6591398F"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0F5A190A" w14:textId="77777777">
            <w:pPr>
              <w:overflowPunct/>
              <w:autoSpaceDE/>
              <w:autoSpaceDN/>
              <w:adjustRightInd/>
              <w:jc w:val="right"/>
              <w:textAlignment w:val="auto"/>
              <w:rPr>
                <w:color w:val="000000"/>
                <w:sz w:val="18"/>
                <w:szCs w:val="18"/>
              </w:rPr>
            </w:pPr>
            <w:r w:rsidRPr="00F6537A">
              <w:rPr>
                <w:color w:val="000000"/>
                <w:sz w:val="18"/>
                <w:szCs w:val="18"/>
              </w:rPr>
              <w:t>10</w:t>
            </w:r>
          </w:p>
        </w:tc>
        <w:tc>
          <w:tcPr>
            <w:tcW w:w="1260" w:type="dxa"/>
            <w:tcBorders>
              <w:top w:val="nil"/>
              <w:left w:val="nil"/>
              <w:bottom w:val="single" w:sz="4" w:space="0" w:color="auto"/>
              <w:right w:val="single" w:sz="4" w:space="0" w:color="auto"/>
            </w:tcBorders>
            <w:vAlign w:val="center"/>
            <w:hideMark/>
          </w:tcPr>
          <w:p w:rsidR="006A18E9" w:rsidRPr="00F6537A" w:rsidP="006A18E9" w14:paraId="0E7F524D" w14:textId="77777777">
            <w:pPr>
              <w:overflowPunct/>
              <w:autoSpaceDE/>
              <w:autoSpaceDN/>
              <w:adjustRightInd/>
              <w:jc w:val="right"/>
              <w:textAlignment w:val="auto"/>
              <w:rPr>
                <w:color w:val="000000"/>
                <w:sz w:val="18"/>
                <w:szCs w:val="18"/>
              </w:rPr>
            </w:pPr>
            <w:r w:rsidRPr="00F6537A">
              <w:rPr>
                <w:color w:val="000000"/>
                <w:sz w:val="18"/>
                <w:szCs w:val="18"/>
              </w:rPr>
              <w:t>21,920</w:t>
            </w:r>
          </w:p>
        </w:tc>
        <w:tc>
          <w:tcPr>
            <w:tcW w:w="990" w:type="dxa"/>
            <w:tcBorders>
              <w:top w:val="nil"/>
              <w:left w:val="nil"/>
              <w:bottom w:val="single" w:sz="4" w:space="0" w:color="auto"/>
              <w:right w:val="single" w:sz="4" w:space="0" w:color="auto"/>
            </w:tcBorders>
            <w:vAlign w:val="center"/>
            <w:hideMark/>
          </w:tcPr>
          <w:p w:rsidR="006A18E9" w:rsidRPr="00F6537A" w:rsidP="006A18E9" w14:paraId="45851A41"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1E4D17FE" w14:textId="77777777">
            <w:pPr>
              <w:overflowPunct/>
              <w:autoSpaceDE/>
              <w:autoSpaceDN/>
              <w:adjustRightInd/>
              <w:jc w:val="right"/>
              <w:textAlignment w:val="auto"/>
              <w:rPr>
                <w:color w:val="000000"/>
                <w:sz w:val="18"/>
                <w:szCs w:val="18"/>
              </w:rPr>
            </w:pPr>
            <w:r w:rsidRPr="00F6537A">
              <w:rPr>
                <w:color w:val="000000"/>
                <w:sz w:val="18"/>
                <w:szCs w:val="18"/>
              </w:rPr>
              <w:t>10,960.00</w:t>
            </w:r>
          </w:p>
        </w:tc>
        <w:tc>
          <w:tcPr>
            <w:tcW w:w="1080" w:type="dxa"/>
            <w:tcBorders>
              <w:top w:val="nil"/>
              <w:left w:val="nil"/>
              <w:bottom w:val="single" w:sz="4" w:space="0" w:color="auto"/>
              <w:right w:val="single" w:sz="4" w:space="0" w:color="auto"/>
            </w:tcBorders>
            <w:vAlign w:val="center"/>
            <w:hideMark/>
          </w:tcPr>
          <w:p w:rsidR="006A18E9" w:rsidRPr="00F6537A" w:rsidP="006A18E9" w14:paraId="0E9E1FBA"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6333DBBD" w14:textId="77777777">
            <w:pPr>
              <w:overflowPunct/>
              <w:autoSpaceDE/>
              <w:autoSpaceDN/>
              <w:adjustRightInd/>
              <w:jc w:val="right"/>
              <w:textAlignment w:val="auto"/>
              <w:rPr>
                <w:color w:val="000000"/>
                <w:sz w:val="18"/>
                <w:szCs w:val="18"/>
              </w:rPr>
            </w:pPr>
            <w:r w:rsidRPr="00F6537A">
              <w:rPr>
                <w:color w:val="000000"/>
                <w:sz w:val="18"/>
                <w:szCs w:val="18"/>
              </w:rPr>
              <w:t xml:space="preserve">$494,734.40 </w:t>
            </w:r>
          </w:p>
        </w:tc>
      </w:tr>
      <w:tr w14:paraId="0F71E63A" w14:textId="77777777" w:rsidTr="00F6537A">
        <w:tblPrEx>
          <w:tblW w:w="11151" w:type="dxa"/>
          <w:tblInd w:w="-275" w:type="dxa"/>
          <w:tblLayout w:type="fixed"/>
          <w:tblLook w:val="04A0"/>
        </w:tblPrEx>
        <w:trPr>
          <w:cantSplit/>
          <w:trHeight w:val="557"/>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A69E7FD" w14:textId="77777777">
            <w:pPr>
              <w:overflowPunct/>
              <w:autoSpaceDE/>
              <w:autoSpaceDN/>
              <w:adjustRightInd/>
              <w:textAlignment w:val="auto"/>
              <w:rPr>
                <w:sz w:val="18"/>
                <w:szCs w:val="18"/>
              </w:rPr>
            </w:pPr>
            <w:r w:rsidRPr="00F6537A">
              <w:rPr>
                <w:sz w:val="18"/>
                <w:szCs w:val="18"/>
              </w:rPr>
              <w:t>Utility Allowance Schedule (HUD-52667)</w:t>
            </w:r>
          </w:p>
        </w:tc>
        <w:tc>
          <w:tcPr>
            <w:tcW w:w="1260" w:type="dxa"/>
            <w:tcBorders>
              <w:top w:val="nil"/>
              <w:left w:val="nil"/>
              <w:bottom w:val="single" w:sz="4" w:space="0" w:color="auto"/>
              <w:right w:val="single" w:sz="4" w:space="0" w:color="auto"/>
            </w:tcBorders>
            <w:vAlign w:val="center"/>
            <w:hideMark/>
          </w:tcPr>
          <w:p w:rsidR="006A18E9" w:rsidRPr="00F6537A" w:rsidP="006A18E9" w14:paraId="3BF5993F"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5804D28A" w14:textId="77777777">
            <w:pPr>
              <w:overflowPunct/>
              <w:autoSpaceDE/>
              <w:autoSpaceDN/>
              <w:adjustRightInd/>
              <w:jc w:val="right"/>
              <w:textAlignment w:val="auto"/>
              <w:rPr>
                <w:color w:val="000000"/>
                <w:sz w:val="18"/>
                <w:szCs w:val="18"/>
              </w:rPr>
            </w:pPr>
            <w:r w:rsidRPr="00F6537A">
              <w:rPr>
                <w:color w:val="000000"/>
                <w:sz w:val="18"/>
                <w:szCs w:val="18"/>
              </w:rPr>
              <w:t>350</w:t>
            </w:r>
          </w:p>
        </w:tc>
        <w:tc>
          <w:tcPr>
            <w:tcW w:w="1260" w:type="dxa"/>
            <w:tcBorders>
              <w:top w:val="nil"/>
              <w:left w:val="nil"/>
              <w:bottom w:val="single" w:sz="4" w:space="0" w:color="auto"/>
              <w:right w:val="single" w:sz="4" w:space="0" w:color="auto"/>
            </w:tcBorders>
            <w:vAlign w:val="center"/>
            <w:hideMark/>
          </w:tcPr>
          <w:p w:rsidR="006A18E9" w:rsidRPr="00F6537A" w:rsidP="006A18E9" w14:paraId="4C0DCB01" w14:textId="77777777">
            <w:pPr>
              <w:overflowPunct/>
              <w:autoSpaceDE/>
              <w:autoSpaceDN/>
              <w:adjustRightInd/>
              <w:jc w:val="right"/>
              <w:textAlignment w:val="auto"/>
              <w:rPr>
                <w:color w:val="000000"/>
                <w:sz w:val="18"/>
                <w:szCs w:val="18"/>
              </w:rPr>
            </w:pPr>
            <w:r w:rsidRPr="00F6537A">
              <w:rPr>
                <w:color w:val="000000"/>
                <w:sz w:val="18"/>
                <w:szCs w:val="18"/>
              </w:rPr>
              <w:t>767,200</w:t>
            </w:r>
          </w:p>
        </w:tc>
        <w:tc>
          <w:tcPr>
            <w:tcW w:w="990" w:type="dxa"/>
            <w:tcBorders>
              <w:top w:val="nil"/>
              <w:left w:val="nil"/>
              <w:bottom w:val="single" w:sz="4" w:space="0" w:color="auto"/>
              <w:right w:val="single" w:sz="4" w:space="0" w:color="auto"/>
            </w:tcBorders>
            <w:vAlign w:val="center"/>
            <w:hideMark/>
          </w:tcPr>
          <w:p w:rsidR="006A18E9" w:rsidRPr="00F6537A" w:rsidP="006A18E9" w14:paraId="4831BB28"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36E5C68C" w14:textId="77777777">
            <w:pPr>
              <w:overflowPunct/>
              <w:autoSpaceDE/>
              <w:autoSpaceDN/>
              <w:adjustRightInd/>
              <w:jc w:val="right"/>
              <w:textAlignment w:val="auto"/>
              <w:rPr>
                <w:color w:val="000000"/>
                <w:sz w:val="18"/>
                <w:szCs w:val="18"/>
              </w:rPr>
            </w:pPr>
            <w:r w:rsidRPr="00F6537A">
              <w:rPr>
                <w:color w:val="000000"/>
                <w:sz w:val="18"/>
                <w:szCs w:val="18"/>
              </w:rPr>
              <w:t>191,800.00</w:t>
            </w:r>
          </w:p>
        </w:tc>
        <w:tc>
          <w:tcPr>
            <w:tcW w:w="1080" w:type="dxa"/>
            <w:tcBorders>
              <w:top w:val="nil"/>
              <w:left w:val="nil"/>
              <w:bottom w:val="single" w:sz="4" w:space="0" w:color="auto"/>
              <w:right w:val="single" w:sz="4" w:space="0" w:color="auto"/>
            </w:tcBorders>
            <w:vAlign w:val="center"/>
            <w:hideMark/>
          </w:tcPr>
          <w:p w:rsidR="006A18E9" w:rsidRPr="00F6537A" w:rsidP="006A18E9" w14:paraId="27FEBA9C"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249ACAA" w14:textId="77777777">
            <w:pPr>
              <w:overflowPunct/>
              <w:autoSpaceDE/>
              <w:autoSpaceDN/>
              <w:adjustRightInd/>
              <w:jc w:val="right"/>
              <w:textAlignment w:val="auto"/>
              <w:rPr>
                <w:color w:val="000000"/>
                <w:sz w:val="18"/>
                <w:szCs w:val="18"/>
              </w:rPr>
            </w:pPr>
            <w:r w:rsidRPr="00F6537A">
              <w:rPr>
                <w:color w:val="000000"/>
                <w:sz w:val="18"/>
                <w:szCs w:val="18"/>
              </w:rPr>
              <w:t xml:space="preserve">$8,657,852.00 </w:t>
            </w:r>
          </w:p>
        </w:tc>
      </w:tr>
      <w:tr w14:paraId="620A547C" w14:textId="77777777" w:rsidTr="00262689">
        <w:tblPrEx>
          <w:tblW w:w="11151" w:type="dxa"/>
          <w:tblInd w:w="-275" w:type="dxa"/>
          <w:tblLayout w:type="fixed"/>
          <w:tblLook w:val="04A0"/>
        </w:tblPrEx>
        <w:trPr>
          <w:cantSplit/>
          <w:trHeight w:val="467"/>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96618D" w:rsidRPr="00F6537A" w:rsidP="00F6537A" w14:paraId="59530C43" w14:textId="7C0730F3">
            <w:pPr>
              <w:overflowPunct/>
              <w:autoSpaceDE/>
              <w:autoSpaceDN/>
              <w:adjustRightInd/>
              <w:textAlignment w:val="auto"/>
              <w:rPr>
                <w:color w:val="000000"/>
                <w:sz w:val="18"/>
                <w:szCs w:val="18"/>
              </w:rPr>
            </w:pPr>
            <w:r w:rsidRPr="00F6537A">
              <w:rPr>
                <w:b/>
                <w:bCs/>
                <w:color w:val="000000"/>
                <w:sz w:val="18"/>
                <w:szCs w:val="18"/>
              </w:rPr>
              <w:t>New HCV Forms</w:t>
            </w:r>
          </w:p>
        </w:tc>
      </w:tr>
      <w:tr w14:paraId="6F2F9905" w14:textId="77777777" w:rsidTr="00F6537A">
        <w:tblPrEx>
          <w:tblW w:w="11151" w:type="dxa"/>
          <w:tblInd w:w="-275" w:type="dxa"/>
          <w:tblLayout w:type="fixed"/>
          <w:tblLook w:val="04A0"/>
        </w:tblPrEx>
        <w:trPr>
          <w:cantSplit/>
          <w:trHeight w:val="1214"/>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6FDD8B7" w14:textId="44B31727">
            <w:pPr>
              <w:overflowPunct/>
              <w:autoSpaceDE/>
              <w:autoSpaceDN/>
              <w:adjustRightInd/>
              <w:textAlignment w:val="auto"/>
              <w:rPr>
                <w:sz w:val="18"/>
                <w:szCs w:val="18"/>
              </w:rPr>
            </w:pPr>
            <w:r w:rsidRPr="00F6537A">
              <w:rPr>
                <w:sz w:val="18"/>
                <w:szCs w:val="18"/>
              </w:rPr>
              <w:t>Tenancy Addendum- Following Termination of PBV Assistance to the Project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736FBB52"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207226A3" w14:textId="77777777">
            <w:pPr>
              <w:overflowPunct/>
              <w:autoSpaceDE/>
              <w:autoSpaceDN/>
              <w:adjustRightInd/>
              <w:jc w:val="right"/>
              <w:textAlignment w:val="auto"/>
              <w:rPr>
                <w:color w:val="000000"/>
                <w:sz w:val="18"/>
                <w:szCs w:val="18"/>
              </w:rPr>
            </w:pPr>
            <w:r w:rsidRPr="00F6537A">
              <w:rPr>
                <w:color w:val="000000"/>
                <w:sz w:val="18"/>
                <w:szCs w:val="18"/>
              </w:rPr>
              <w:t>3</w:t>
            </w:r>
          </w:p>
        </w:tc>
        <w:tc>
          <w:tcPr>
            <w:tcW w:w="1260" w:type="dxa"/>
            <w:tcBorders>
              <w:top w:val="nil"/>
              <w:left w:val="nil"/>
              <w:bottom w:val="single" w:sz="4" w:space="0" w:color="auto"/>
              <w:right w:val="single" w:sz="4" w:space="0" w:color="auto"/>
            </w:tcBorders>
            <w:vAlign w:val="center"/>
            <w:hideMark/>
          </w:tcPr>
          <w:p w:rsidR="006A18E9" w:rsidRPr="00F6537A" w:rsidP="006A18E9" w14:paraId="5640F9C7" w14:textId="77777777">
            <w:pPr>
              <w:overflowPunct/>
              <w:autoSpaceDE/>
              <w:autoSpaceDN/>
              <w:adjustRightInd/>
              <w:jc w:val="right"/>
              <w:textAlignment w:val="auto"/>
              <w:rPr>
                <w:color w:val="000000"/>
                <w:sz w:val="18"/>
                <w:szCs w:val="18"/>
              </w:rPr>
            </w:pPr>
            <w:r w:rsidRPr="00F6537A">
              <w:rPr>
                <w:color w:val="000000"/>
                <w:sz w:val="18"/>
                <w:szCs w:val="18"/>
              </w:rPr>
              <w:t>6,576</w:t>
            </w:r>
          </w:p>
        </w:tc>
        <w:tc>
          <w:tcPr>
            <w:tcW w:w="990" w:type="dxa"/>
            <w:tcBorders>
              <w:top w:val="nil"/>
              <w:left w:val="nil"/>
              <w:bottom w:val="single" w:sz="4" w:space="0" w:color="auto"/>
              <w:right w:val="single" w:sz="4" w:space="0" w:color="auto"/>
            </w:tcBorders>
            <w:vAlign w:val="center"/>
            <w:hideMark/>
          </w:tcPr>
          <w:p w:rsidR="006A18E9" w:rsidRPr="00F6537A" w:rsidP="006A18E9" w14:paraId="15BB3AD6"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4ACCDAAA" w14:textId="77777777">
            <w:pPr>
              <w:overflowPunct/>
              <w:autoSpaceDE/>
              <w:autoSpaceDN/>
              <w:adjustRightInd/>
              <w:jc w:val="right"/>
              <w:textAlignment w:val="auto"/>
              <w:rPr>
                <w:color w:val="000000"/>
                <w:sz w:val="18"/>
                <w:szCs w:val="18"/>
              </w:rPr>
            </w:pPr>
            <w:r w:rsidRPr="00F6537A">
              <w:rPr>
                <w:color w:val="000000"/>
                <w:sz w:val="18"/>
                <w:szCs w:val="18"/>
              </w:rPr>
              <w:t>3,288.00</w:t>
            </w:r>
          </w:p>
        </w:tc>
        <w:tc>
          <w:tcPr>
            <w:tcW w:w="1080" w:type="dxa"/>
            <w:tcBorders>
              <w:top w:val="nil"/>
              <w:left w:val="nil"/>
              <w:bottom w:val="single" w:sz="4" w:space="0" w:color="auto"/>
              <w:right w:val="single" w:sz="4" w:space="0" w:color="auto"/>
            </w:tcBorders>
            <w:vAlign w:val="center"/>
            <w:hideMark/>
          </w:tcPr>
          <w:p w:rsidR="006A18E9" w:rsidRPr="00F6537A" w:rsidP="006A18E9" w14:paraId="2FED8B11"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46FCE6D0" w14:textId="77777777">
            <w:pPr>
              <w:overflowPunct/>
              <w:autoSpaceDE/>
              <w:autoSpaceDN/>
              <w:adjustRightInd/>
              <w:jc w:val="right"/>
              <w:textAlignment w:val="auto"/>
              <w:rPr>
                <w:color w:val="000000"/>
                <w:sz w:val="18"/>
                <w:szCs w:val="18"/>
              </w:rPr>
            </w:pPr>
            <w:r w:rsidRPr="00F6537A">
              <w:rPr>
                <w:color w:val="000000"/>
                <w:sz w:val="18"/>
                <w:szCs w:val="18"/>
              </w:rPr>
              <w:t xml:space="preserve">$148,420.32 </w:t>
            </w:r>
          </w:p>
        </w:tc>
      </w:tr>
      <w:tr w14:paraId="5CA3C1C9" w14:textId="77777777" w:rsidTr="00F6537A">
        <w:tblPrEx>
          <w:tblW w:w="11151" w:type="dxa"/>
          <w:tblInd w:w="-275" w:type="dxa"/>
          <w:tblLayout w:type="fixed"/>
          <w:tblLook w:val="04A0"/>
        </w:tblPrEx>
        <w:trPr>
          <w:cantSplit/>
          <w:trHeight w:val="12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100E3E65" w14:textId="77777777">
            <w:pPr>
              <w:overflowPunct/>
              <w:autoSpaceDE/>
              <w:autoSpaceDN/>
              <w:adjustRightInd/>
              <w:textAlignment w:val="auto"/>
              <w:rPr>
                <w:sz w:val="18"/>
                <w:szCs w:val="18"/>
              </w:rPr>
            </w:pPr>
            <w:r w:rsidRPr="00F6537A">
              <w:rPr>
                <w:sz w:val="18"/>
                <w:szCs w:val="18"/>
              </w:rPr>
              <w:t>PHA-Owned Certification– Tenant Based Assistance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0D7C599F" w14:textId="77777777">
            <w:pPr>
              <w:overflowPunct/>
              <w:autoSpaceDE/>
              <w:autoSpaceDN/>
              <w:adjustRightInd/>
              <w:jc w:val="right"/>
              <w:textAlignment w:val="auto"/>
              <w:rPr>
                <w:color w:val="000000"/>
                <w:sz w:val="18"/>
                <w:szCs w:val="18"/>
              </w:rPr>
            </w:pPr>
            <w:r w:rsidRPr="00F6537A">
              <w:rPr>
                <w:color w:val="000000"/>
                <w:sz w:val="18"/>
                <w:szCs w:val="18"/>
              </w:rPr>
              <w:t>300</w:t>
            </w:r>
          </w:p>
        </w:tc>
        <w:tc>
          <w:tcPr>
            <w:tcW w:w="1350" w:type="dxa"/>
            <w:tcBorders>
              <w:top w:val="nil"/>
              <w:left w:val="nil"/>
              <w:bottom w:val="single" w:sz="4" w:space="0" w:color="auto"/>
              <w:right w:val="single" w:sz="4" w:space="0" w:color="auto"/>
            </w:tcBorders>
            <w:vAlign w:val="center"/>
            <w:hideMark/>
          </w:tcPr>
          <w:p w:rsidR="006A18E9" w:rsidRPr="00F6537A" w:rsidP="006A18E9" w14:paraId="7686F3B0" w14:textId="77777777">
            <w:pPr>
              <w:overflowPunct/>
              <w:autoSpaceDE/>
              <w:autoSpaceDN/>
              <w:adjustRightInd/>
              <w:jc w:val="right"/>
              <w:textAlignment w:val="auto"/>
              <w:rPr>
                <w:color w:val="000000"/>
                <w:sz w:val="18"/>
                <w:szCs w:val="18"/>
              </w:rPr>
            </w:pPr>
            <w:r w:rsidRPr="00F6537A">
              <w:rPr>
                <w:color w:val="000000"/>
                <w:sz w:val="18"/>
                <w:szCs w:val="18"/>
              </w:rPr>
              <w:t>10</w:t>
            </w:r>
          </w:p>
        </w:tc>
        <w:tc>
          <w:tcPr>
            <w:tcW w:w="1260" w:type="dxa"/>
            <w:tcBorders>
              <w:top w:val="nil"/>
              <w:left w:val="nil"/>
              <w:bottom w:val="single" w:sz="4" w:space="0" w:color="auto"/>
              <w:right w:val="single" w:sz="4" w:space="0" w:color="auto"/>
            </w:tcBorders>
            <w:vAlign w:val="center"/>
            <w:hideMark/>
          </w:tcPr>
          <w:p w:rsidR="006A18E9" w:rsidRPr="00F6537A" w:rsidP="006A18E9" w14:paraId="323F995B" w14:textId="77777777">
            <w:pPr>
              <w:overflowPunct/>
              <w:autoSpaceDE/>
              <w:autoSpaceDN/>
              <w:adjustRightInd/>
              <w:jc w:val="right"/>
              <w:textAlignment w:val="auto"/>
              <w:rPr>
                <w:color w:val="000000"/>
                <w:sz w:val="18"/>
                <w:szCs w:val="18"/>
              </w:rPr>
            </w:pPr>
            <w:r w:rsidRPr="00F6537A">
              <w:rPr>
                <w:color w:val="000000"/>
                <w:sz w:val="18"/>
                <w:szCs w:val="18"/>
              </w:rPr>
              <w:t>3,000</w:t>
            </w:r>
          </w:p>
        </w:tc>
        <w:tc>
          <w:tcPr>
            <w:tcW w:w="990" w:type="dxa"/>
            <w:tcBorders>
              <w:top w:val="nil"/>
              <w:left w:val="nil"/>
              <w:bottom w:val="single" w:sz="4" w:space="0" w:color="auto"/>
              <w:right w:val="single" w:sz="4" w:space="0" w:color="auto"/>
            </w:tcBorders>
            <w:vAlign w:val="center"/>
            <w:hideMark/>
          </w:tcPr>
          <w:p w:rsidR="006A18E9" w:rsidRPr="00F6537A" w:rsidP="006A18E9" w14:paraId="4CEAF99F"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6D772020" w14:textId="77777777">
            <w:pPr>
              <w:overflowPunct/>
              <w:autoSpaceDE/>
              <w:autoSpaceDN/>
              <w:adjustRightInd/>
              <w:jc w:val="right"/>
              <w:textAlignment w:val="auto"/>
              <w:rPr>
                <w:color w:val="000000"/>
                <w:sz w:val="18"/>
                <w:szCs w:val="18"/>
              </w:rPr>
            </w:pPr>
            <w:r w:rsidRPr="00F6537A">
              <w:rPr>
                <w:color w:val="000000"/>
                <w:sz w:val="18"/>
                <w:szCs w:val="18"/>
              </w:rPr>
              <w:t>1,500.00</w:t>
            </w:r>
          </w:p>
        </w:tc>
        <w:tc>
          <w:tcPr>
            <w:tcW w:w="1080" w:type="dxa"/>
            <w:tcBorders>
              <w:top w:val="nil"/>
              <w:left w:val="nil"/>
              <w:bottom w:val="single" w:sz="4" w:space="0" w:color="auto"/>
              <w:right w:val="single" w:sz="4" w:space="0" w:color="auto"/>
            </w:tcBorders>
            <w:vAlign w:val="center"/>
            <w:hideMark/>
          </w:tcPr>
          <w:p w:rsidR="006A18E9" w:rsidRPr="00F6537A" w:rsidP="006A18E9" w14:paraId="0E1863E3"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58BCC378" w14:textId="77777777">
            <w:pPr>
              <w:overflowPunct/>
              <w:autoSpaceDE/>
              <w:autoSpaceDN/>
              <w:adjustRightInd/>
              <w:jc w:val="right"/>
              <w:textAlignment w:val="auto"/>
              <w:rPr>
                <w:color w:val="000000"/>
                <w:sz w:val="18"/>
                <w:szCs w:val="18"/>
              </w:rPr>
            </w:pPr>
            <w:r w:rsidRPr="00F6537A">
              <w:rPr>
                <w:color w:val="000000"/>
                <w:sz w:val="18"/>
                <w:szCs w:val="18"/>
              </w:rPr>
              <w:t xml:space="preserve">$67,710.00 </w:t>
            </w:r>
          </w:p>
        </w:tc>
      </w:tr>
      <w:tr w14:paraId="28423653" w14:textId="77777777" w:rsidTr="0053578F">
        <w:tblPrEx>
          <w:tblW w:w="11151" w:type="dxa"/>
          <w:tblInd w:w="-275" w:type="dxa"/>
          <w:tblLayout w:type="fixed"/>
          <w:tblLook w:val="04A0"/>
        </w:tblPrEx>
        <w:trPr>
          <w:cantSplit/>
          <w:trHeight w:val="413"/>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53578F" w:rsidRPr="00F6537A" w:rsidP="00F6537A" w14:paraId="280A2535" w14:textId="557229CB">
            <w:pPr>
              <w:overflowPunct/>
              <w:autoSpaceDE/>
              <w:autoSpaceDN/>
              <w:adjustRightInd/>
              <w:textAlignment w:val="auto"/>
              <w:rPr>
                <w:color w:val="000000"/>
                <w:sz w:val="18"/>
                <w:szCs w:val="18"/>
              </w:rPr>
            </w:pPr>
            <w:r w:rsidRPr="00F6537A">
              <w:rPr>
                <w:b/>
                <w:bCs/>
                <w:color w:val="000000"/>
                <w:sz w:val="18"/>
                <w:szCs w:val="18"/>
              </w:rPr>
              <w:t>PBV Renewal Forms</w:t>
            </w:r>
          </w:p>
        </w:tc>
      </w:tr>
      <w:tr w14:paraId="1B1080BE" w14:textId="77777777" w:rsidTr="00F6537A">
        <w:tblPrEx>
          <w:tblW w:w="11151" w:type="dxa"/>
          <w:tblInd w:w="-275" w:type="dxa"/>
          <w:tblLayout w:type="fixed"/>
          <w:tblLook w:val="04A0"/>
        </w:tblPrEx>
        <w:trPr>
          <w:cantSplit/>
          <w:trHeight w:val="935"/>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03889B90" w14:textId="77777777">
            <w:pPr>
              <w:overflowPunct/>
              <w:autoSpaceDE/>
              <w:autoSpaceDN/>
              <w:adjustRightInd/>
              <w:textAlignment w:val="auto"/>
              <w:rPr>
                <w:sz w:val="18"/>
                <w:szCs w:val="18"/>
              </w:rPr>
            </w:pPr>
            <w:r w:rsidRPr="00F6537A">
              <w:rPr>
                <w:sz w:val="18"/>
                <w:szCs w:val="18"/>
              </w:rPr>
              <w:t>PBV HAP Contract– New Construction or Rehabilitation (HUD-52530A, Part 1)</w:t>
            </w:r>
          </w:p>
        </w:tc>
        <w:tc>
          <w:tcPr>
            <w:tcW w:w="1260" w:type="dxa"/>
            <w:tcBorders>
              <w:top w:val="nil"/>
              <w:left w:val="nil"/>
              <w:bottom w:val="single" w:sz="4" w:space="0" w:color="auto"/>
              <w:right w:val="single" w:sz="4" w:space="0" w:color="auto"/>
            </w:tcBorders>
            <w:vAlign w:val="center"/>
            <w:hideMark/>
          </w:tcPr>
          <w:p w:rsidR="006A18E9" w:rsidRPr="00F6537A" w:rsidP="006A18E9" w14:paraId="2AC4828F"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1350" w:type="dxa"/>
            <w:tcBorders>
              <w:top w:val="nil"/>
              <w:left w:val="nil"/>
              <w:bottom w:val="single" w:sz="4" w:space="0" w:color="auto"/>
              <w:right w:val="single" w:sz="4" w:space="0" w:color="auto"/>
            </w:tcBorders>
            <w:vAlign w:val="center"/>
            <w:hideMark/>
          </w:tcPr>
          <w:p w:rsidR="006A18E9" w:rsidRPr="00F6537A" w:rsidP="006A18E9" w14:paraId="4FD177F9"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31F464FF"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990" w:type="dxa"/>
            <w:tcBorders>
              <w:top w:val="nil"/>
              <w:left w:val="nil"/>
              <w:bottom w:val="single" w:sz="4" w:space="0" w:color="auto"/>
              <w:right w:val="single" w:sz="4" w:space="0" w:color="auto"/>
            </w:tcBorders>
            <w:vAlign w:val="center"/>
            <w:hideMark/>
          </w:tcPr>
          <w:p w:rsidR="006A18E9" w:rsidRPr="00F6537A" w:rsidP="006A18E9" w14:paraId="07D366CD"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541B89FB"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1080" w:type="dxa"/>
            <w:tcBorders>
              <w:top w:val="nil"/>
              <w:left w:val="nil"/>
              <w:bottom w:val="single" w:sz="4" w:space="0" w:color="auto"/>
              <w:right w:val="single" w:sz="4" w:space="0" w:color="auto"/>
            </w:tcBorders>
            <w:vAlign w:val="center"/>
            <w:hideMark/>
          </w:tcPr>
          <w:p w:rsidR="006A18E9" w:rsidRPr="00F6537A" w:rsidP="006A18E9" w14:paraId="3F895546"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2993846" w14:textId="77777777">
            <w:pPr>
              <w:overflowPunct/>
              <w:autoSpaceDE/>
              <w:autoSpaceDN/>
              <w:adjustRightInd/>
              <w:jc w:val="right"/>
              <w:textAlignment w:val="auto"/>
              <w:rPr>
                <w:color w:val="000000"/>
                <w:sz w:val="18"/>
                <w:szCs w:val="18"/>
              </w:rPr>
            </w:pPr>
            <w:r w:rsidRPr="00F6537A">
              <w:rPr>
                <w:color w:val="000000"/>
                <w:sz w:val="18"/>
                <w:szCs w:val="18"/>
              </w:rPr>
              <w:t xml:space="preserve">$5,461.94 </w:t>
            </w:r>
          </w:p>
        </w:tc>
      </w:tr>
      <w:tr w14:paraId="29DCDE24" w14:textId="77777777" w:rsidTr="00F6537A">
        <w:tblPrEx>
          <w:tblW w:w="11151" w:type="dxa"/>
          <w:tblInd w:w="-275" w:type="dxa"/>
          <w:tblLayout w:type="fixed"/>
          <w:tblLook w:val="04A0"/>
        </w:tblPrEx>
        <w:trPr>
          <w:cantSplit/>
          <w:trHeight w:val="971"/>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6327AC0C" w14:textId="77777777">
            <w:pPr>
              <w:overflowPunct/>
              <w:autoSpaceDE/>
              <w:autoSpaceDN/>
              <w:adjustRightInd/>
              <w:textAlignment w:val="auto"/>
              <w:rPr>
                <w:sz w:val="18"/>
                <w:szCs w:val="18"/>
              </w:rPr>
            </w:pPr>
            <w:r w:rsidRPr="00F6537A">
              <w:rPr>
                <w:sz w:val="18"/>
                <w:szCs w:val="18"/>
              </w:rPr>
              <w:t>PBV HAP Contract – New Construction or Rehabilitation (HUD-52530A, Part 2)</w:t>
            </w:r>
          </w:p>
        </w:tc>
        <w:tc>
          <w:tcPr>
            <w:tcW w:w="1260" w:type="dxa"/>
            <w:tcBorders>
              <w:top w:val="nil"/>
              <w:left w:val="nil"/>
              <w:bottom w:val="single" w:sz="4" w:space="0" w:color="auto"/>
              <w:right w:val="single" w:sz="4" w:space="0" w:color="auto"/>
            </w:tcBorders>
            <w:vAlign w:val="center"/>
            <w:hideMark/>
          </w:tcPr>
          <w:p w:rsidR="006A18E9" w:rsidRPr="00F6537A" w:rsidP="006A18E9" w14:paraId="04003CF4"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1350" w:type="dxa"/>
            <w:tcBorders>
              <w:top w:val="nil"/>
              <w:left w:val="nil"/>
              <w:bottom w:val="single" w:sz="4" w:space="0" w:color="auto"/>
              <w:right w:val="single" w:sz="4" w:space="0" w:color="auto"/>
            </w:tcBorders>
            <w:vAlign w:val="center"/>
            <w:hideMark/>
          </w:tcPr>
          <w:p w:rsidR="006A18E9" w:rsidRPr="00F6537A" w:rsidP="006A18E9" w14:paraId="182F0208"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5E6DB8E2"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990" w:type="dxa"/>
            <w:tcBorders>
              <w:top w:val="nil"/>
              <w:left w:val="nil"/>
              <w:bottom w:val="single" w:sz="4" w:space="0" w:color="auto"/>
              <w:right w:val="single" w:sz="4" w:space="0" w:color="auto"/>
            </w:tcBorders>
            <w:vAlign w:val="center"/>
            <w:hideMark/>
          </w:tcPr>
          <w:p w:rsidR="006A18E9" w:rsidRPr="00F6537A" w:rsidP="006A18E9" w14:paraId="325A96FC"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585F1611"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1080" w:type="dxa"/>
            <w:tcBorders>
              <w:top w:val="nil"/>
              <w:left w:val="nil"/>
              <w:bottom w:val="single" w:sz="4" w:space="0" w:color="auto"/>
              <w:right w:val="single" w:sz="4" w:space="0" w:color="auto"/>
            </w:tcBorders>
            <w:vAlign w:val="center"/>
            <w:hideMark/>
          </w:tcPr>
          <w:p w:rsidR="006A18E9" w:rsidRPr="00F6537A" w:rsidP="006A18E9" w14:paraId="52DE5FD1"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380EC65E" w14:textId="77777777">
            <w:pPr>
              <w:overflowPunct/>
              <w:autoSpaceDE/>
              <w:autoSpaceDN/>
              <w:adjustRightInd/>
              <w:jc w:val="right"/>
              <w:textAlignment w:val="auto"/>
              <w:rPr>
                <w:color w:val="000000"/>
                <w:sz w:val="18"/>
                <w:szCs w:val="18"/>
              </w:rPr>
            </w:pPr>
            <w:r w:rsidRPr="00F6537A">
              <w:rPr>
                <w:color w:val="000000"/>
                <w:sz w:val="18"/>
                <w:szCs w:val="18"/>
              </w:rPr>
              <w:t xml:space="preserve">$5,461.94 </w:t>
            </w:r>
          </w:p>
        </w:tc>
      </w:tr>
      <w:tr w14:paraId="68D4C64F" w14:textId="77777777" w:rsidTr="00F6537A">
        <w:tblPrEx>
          <w:tblW w:w="11151" w:type="dxa"/>
          <w:tblInd w:w="-275" w:type="dxa"/>
          <w:tblLayout w:type="fixed"/>
          <w:tblLook w:val="04A0"/>
        </w:tblPrEx>
        <w:trPr>
          <w:cantSplit/>
          <w:trHeight w:val="809"/>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1942C453" w14:textId="77777777">
            <w:pPr>
              <w:overflowPunct/>
              <w:autoSpaceDE/>
              <w:autoSpaceDN/>
              <w:adjustRightInd/>
              <w:textAlignment w:val="auto"/>
              <w:rPr>
                <w:sz w:val="18"/>
                <w:szCs w:val="18"/>
              </w:rPr>
            </w:pPr>
            <w:r w:rsidRPr="00F6537A">
              <w:rPr>
                <w:sz w:val="18"/>
                <w:szCs w:val="18"/>
              </w:rPr>
              <w:t>PBV HAP Contract– Existing Housing (HUD-52530B, Part 1)</w:t>
            </w:r>
          </w:p>
        </w:tc>
        <w:tc>
          <w:tcPr>
            <w:tcW w:w="1260" w:type="dxa"/>
            <w:tcBorders>
              <w:top w:val="nil"/>
              <w:left w:val="nil"/>
              <w:bottom w:val="single" w:sz="4" w:space="0" w:color="auto"/>
              <w:right w:val="single" w:sz="4" w:space="0" w:color="auto"/>
            </w:tcBorders>
            <w:vAlign w:val="center"/>
            <w:hideMark/>
          </w:tcPr>
          <w:p w:rsidR="006A18E9" w:rsidRPr="00F6537A" w:rsidP="006A18E9" w14:paraId="3172754D"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1350" w:type="dxa"/>
            <w:tcBorders>
              <w:top w:val="nil"/>
              <w:left w:val="nil"/>
              <w:bottom w:val="single" w:sz="4" w:space="0" w:color="auto"/>
              <w:right w:val="single" w:sz="4" w:space="0" w:color="auto"/>
            </w:tcBorders>
            <w:vAlign w:val="center"/>
            <w:hideMark/>
          </w:tcPr>
          <w:p w:rsidR="006A18E9" w:rsidRPr="00F6537A" w:rsidP="006A18E9" w14:paraId="0F0AD9F3"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2E5803FD"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990" w:type="dxa"/>
            <w:tcBorders>
              <w:top w:val="nil"/>
              <w:left w:val="nil"/>
              <w:bottom w:val="single" w:sz="4" w:space="0" w:color="auto"/>
              <w:right w:val="single" w:sz="4" w:space="0" w:color="auto"/>
            </w:tcBorders>
            <w:vAlign w:val="center"/>
            <w:hideMark/>
          </w:tcPr>
          <w:p w:rsidR="006A18E9" w:rsidRPr="00F6537A" w:rsidP="006A18E9" w14:paraId="019DCA0B"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1D5CC644"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1080" w:type="dxa"/>
            <w:tcBorders>
              <w:top w:val="nil"/>
              <w:left w:val="nil"/>
              <w:bottom w:val="single" w:sz="4" w:space="0" w:color="auto"/>
              <w:right w:val="single" w:sz="4" w:space="0" w:color="auto"/>
            </w:tcBorders>
            <w:vAlign w:val="center"/>
            <w:hideMark/>
          </w:tcPr>
          <w:p w:rsidR="006A18E9" w:rsidRPr="00F6537A" w:rsidP="006A18E9" w14:paraId="0B2ED003"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DEEAFA3" w14:textId="77777777">
            <w:pPr>
              <w:overflowPunct/>
              <w:autoSpaceDE/>
              <w:autoSpaceDN/>
              <w:adjustRightInd/>
              <w:jc w:val="right"/>
              <w:textAlignment w:val="auto"/>
              <w:rPr>
                <w:color w:val="000000"/>
                <w:sz w:val="18"/>
                <w:szCs w:val="18"/>
              </w:rPr>
            </w:pPr>
            <w:r w:rsidRPr="00F6537A">
              <w:rPr>
                <w:color w:val="000000"/>
                <w:sz w:val="18"/>
                <w:szCs w:val="18"/>
              </w:rPr>
              <w:t xml:space="preserve">$5,461.94 </w:t>
            </w:r>
          </w:p>
        </w:tc>
      </w:tr>
      <w:tr w14:paraId="0369FCB5" w14:textId="77777777" w:rsidTr="00F6537A">
        <w:tblPrEx>
          <w:tblW w:w="11151" w:type="dxa"/>
          <w:tblInd w:w="-275" w:type="dxa"/>
          <w:tblLayout w:type="fixed"/>
          <w:tblLook w:val="04A0"/>
        </w:tblPrEx>
        <w:trPr>
          <w:cantSplit/>
          <w:trHeight w:val="9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45C8AED6" w14:textId="77777777">
            <w:pPr>
              <w:overflowPunct/>
              <w:autoSpaceDE/>
              <w:autoSpaceDN/>
              <w:adjustRightInd/>
              <w:textAlignment w:val="auto"/>
              <w:rPr>
                <w:sz w:val="18"/>
                <w:szCs w:val="18"/>
              </w:rPr>
            </w:pPr>
            <w:r w:rsidRPr="00F6537A">
              <w:rPr>
                <w:sz w:val="18"/>
                <w:szCs w:val="18"/>
              </w:rPr>
              <w:t>PBV HAP Contract - Existing Housing (HUD-52530B, Part 2)</w:t>
            </w:r>
          </w:p>
        </w:tc>
        <w:tc>
          <w:tcPr>
            <w:tcW w:w="1260" w:type="dxa"/>
            <w:tcBorders>
              <w:top w:val="nil"/>
              <w:left w:val="nil"/>
              <w:bottom w:val="single" w:sz="4" w:space="0" w:color="auto"/>
              <w:right w:val="single" w:sz="4" w:space="0" w:color="auto"/>
            </w:tcBorders>
            <w:vAlign w:val="center"/>
            <w:hideMark/>
          </w:tcPr>
          <w:p w:rsidR="006A18E9" w:rsidRPr="00F6537A" w:rsidP="006A18E9" w14:paraId="3EE819B7"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1350" w:type="dxa"/>
            <w:tcBorders>
              <w:top w:val="nil"/>
              <w:left w:val="nil"/>
              <w:bottom w:val="single" w:sz="4" w:space="0" w:color="auto"/>
              <w:right w:val="single" w:sz="4" w:space="0" w:color="auto"/>
            </w:tcBorders>
            <w:vAlign w:val="center"/>
            <w:hideMark/>
          </w:tcPr>
          <w:p w:rsidR="006A18E9" w:rsidRPr="00F6537A" w:rsidP="006A18E9" w14:paraId="692F5061"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572B7D57"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990" w:type="dxa"/>
            <w:tcBorders>
              <w:top w:val="nil"/>
              <w:left w:val="nil"/>
              <w:bottom w:val="single" w:sz="4" w:space="0" w:color="auto"/>
              <w:right w:val="single" w:sz="4" w:space="0" w:color="auto"/>
            </w:tcBorders>
            <w:vAlign w:val="center"/>
            <w:hideMark/>
          </w:tcPr>
          <w:p w:rsidR="006A18E9" w:rsidRPr="00F6537A" w:rsidP="006A18E9" w14:paraId="3A746638"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1E82569A" w14:textId="77777777">
            <w:pPr>
              <w:overflowPunct/>
              <w:autoSpaceDE/>
              <w:autoSpaceDN/>
              <w:adjustRightInd/>
              <w:jc w:val="right"/>
              <w:textAlignment w:val="auto"/>
              <w:rPr>
                <w:color w:val="000000"/>
                <w:sz w:val="18"/>
                <w:szCs w:val="18"/>
              </w:rPr>
            </w:pPr>
            <w:r w:rsidRPr="00F6537A">
              <w:rPr>
                <w:color w:val="000000"/>
                <w:sz w:val="18"/>
                <w:szCs w:val="18"/>
              </w:rPr>
              <w:t>121</w:t>
            </w:r>
          </w:p>
        </w:tc>
        <w:tc>
          <w:tcPr>
            <w:tcW w:w="1080" w:type="dxa"/>
            <w:tcBorders>
              <w:top w:val="nil"/>
              <w:left w:val="nil"/>
              <w:bottom w:val="single" w:sz="4" w:space="0" w:color="auto"/>
              <w:right w:val="single" w:sz="4" w:space="0" w:color="auto"/>
            </w:tcBorders>
            <w:vAlign w:val="center"/>
            <w:hideMark/>
          </w:tcPr>
          <w:p w:rsidR="006A18E9" w:rsidRPr="00F6537A" w:rsidP="006A18E9" w14:paraId="094106C6"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EAD8F95" w14:textId="77777777">
            <w:pPr>
              <w:overflowPunct/>
              <w:autoSpaceDE/>
              <w:autoSpaceDN/>
              <w:adjustRightInd/>
              <w:jc w:val="right"/>
              <w:textAlignment w:val="auto"/>
              <w:rPr>
                <w:color w:val="000000"/>
                <w:sz w:val="18"/>
                <w:szCs w:val="18"/>
              </w:rPr>
            </w:pPr>
            <w:r w:rsidRPr="00F6537A">
              <w:rPr>
                <w:color w:val="000000"/>
                <w:sz w:val="18"/>
                <w:szCs w:val="18"/>
              </w:rPr>
              <w:t xml:space="preserve">$5,461.94 </w:t>
            </w:r>
          </w:p>
        </w:tc>
      </w:tr>
      <w:tr w14:paraId="627C21F7" w14:textId="77777777" w:rsidTr="00F6537A">
        <w:tblPrEx>
          <w:tblW w:w="11151" w:type="dxa"/>
          <w:tblInd w:w="-275" w:type="dxa"/>
          <w:tblLayout w:type="fixed"/>
          <w:tblLook w:val="04A0"/>
        </w:tblPrEx>
        <w:trPr>
          <w:cantSplit/>
          <w:trHeight w:val="683"/>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14105A5D" w14:textId="77777777">
            <w:pPr>
              <w:overflowPunct/>
              <w:autoSpaceDE/>
              <w:autoSpaceDN/>
              <w:adjustRightInd/>
              <w:textAlignment w:val="auto"/>
              <w:rPr>
                <w:sz w:val="18"/>
                <w:szCs w:val="18"/>
              </w:rPr>
            </w:pPr>
            <w:r w:rsidRPr="00F6537A">
              <w:rPr>
                <w:sz w:val="18"/>
                <w:szCs w:val="18"/>
              </w:rPr>
              <w:t>PBV Tenancy Addendum (HUD-52530C)</w:t>
            </w:r>
          </w:p>
        </w:tc>
        <w:tc>
          <w:tcPr>
            <w:tcW w:w="1260" w:type="dxa"/>
            <w:tcBorders>
              <w:top w:val="nil"/>
              <w:left w:val="nil"/>
              <w:bottom w:val="single" w:sz="4" w:space="0" w:color="auto"/>
              <w:right w:val="single" w:sz="4" w:space="0" w:color="auto"/>
            </w:tcBorders>
            <w:vAlign w:val="center"/>
            <w:hideMark/>
          </w:tcPr>
          <w:p w:rsidR="006A18E9" w:rsidRPr="00F6537A" w:rsidP="006A18E9" w14:paraId="52675483" w14:textId="77777777">
            <w:pPr>
              <w:overflowPunct/>
              <w:autoSpaceDE/>
              <w:autoSpaceDN/>
              <w:adjustRightInd/>
              <w:jc w:val="right"/>
              <w:textAlignment w:val="auto"/>
              <w:rPr>
                <w:color w:val="000000"/>
                <w:sz w:val="18"/>
                <w:szCs w:val="18"/>
              </w:rPr>
            </w:pPr>
            <w:r w:rsidRPr="00F6537A">
              <w:rPr>
                <w:color w:val="000000"/>
                <w:sz w:val="18"/>
                <w:szCs w:val="18"/>
              </w:rPr>
              <w:t>871</w:t>
            </w:r>
          </w:p>
        </w:tc>
        <w:tc>
          <w:tcPr>
            <w:tcW w:w="1350" w:type="dxa"/>
            <w:tcBorders>
              <w:top w:val="nil"/>
              <w:left w:val="nil"/>
              <w:bottom w:val="single" w:sz="4" w:space="0" w:color="auto"/>
              <w:right w:val="single" w:sz="4" w:space="0" w:color="auto"/>
            </w:tcBorders>
            <w:vAlign w:val="center"/>
            <w:hideMark/>
          </w:tcPr>
          <w:p w:rsidR="006A18E9" w:rsidRPr="00F6537A" w:rsidP="006A18E9" w14:paraId="6121FE4E" w14:textId="77777777">
            <w:pPr>
              <w:overflowPunct/>
              <w:autoSpaceDE/>
              <w:autoSpaceDN/>
              <w:adjustRightInd/>
              <w:jc w:val="right"/>
              <w:textAlignment w:val="auto"/>
              <w:rPr>
                <w:color w:val="000000"/>
                <w:sz w:val="18"/>
                <w:szCs w:val="18"/>
              </w:rPr>
            </w:pPr>
            <w:r w:rsidRPr="00F6537A">
              <w:rPr>
                <w:color w:val="000000"/>
                <w:sz w:val="18"/>
                <w:szCs w:val="18"/>
              </w:rPr>
              <w:t>33</w:t>
            </w:r>
          </w:p>
        </w:tc>
        <w:tc>
          <w:tcPr>
            <w:tcW w:w="1260" w:type="dxa"/>
            <w:tcBorders>
              <w:top w:val="nil"/>
              <w:left w:val="nil"/>
              <w:bottom w:val="single" w:sz="4" w:space="0" w:color="auto"/>
              <w:right w:val="single" w:sz="4" w:space="0" w:color="auto"/>
            </w:tcBorders>
            <w:vAlign w:val="center"/>
            <w:hideMark/>
          </w:tcPr>
          <w:p w:rsidR="006A18E9" w:rsidRPr="00F6537A" w:rsidP="006A18E9" w14:paraId="7025D292" w14:textId="77777777">
            <w:pPr>
              <w:overflowPunct/>
              <w:autoSpaceDE/>
              <w:autoSpaceDN/>
              <w:adjustRightInd/>
              <w:jc w:val="right"/>
              <w:textAlignment w:val="auto"/>
              <w:rPr>
                <w:color w:val="000000"/>
                <w:sz w:val="18"/>
                <w:szCs w:val="18"/>
              </w:rPr>
            </w:pPr>
            <w:r w:rsidRPr="00F6537A">
              <w:rPr>
                <w:color w:val="000000"/>
                <w:sz w:val="18"/>
                <w:szCs w:val="18"/>
              </w:rPr>
              <w:t>28,743</w:t>
            </w:r>
          </w:p>
        </w:tc>
        <w:tc>
          <w:tcPr>
            <w:tcW w:w="990" w:type="dxa"/>
            <w:tcBorders>
              <w:top w:val="nil"/>
              <w:left w:val="nil"/>
              <w:bottom w:val="single" w:sz="4" w:space="0" w:color="auto"/>
              <w:right w:val="single" w:sz="4" w:space="0" w:color="auto"/>
            </w:tcBorders>
            <w:vAlign w:val="center"/>
            <w:hideMark/>
          </w:tcPr>
          <w:p w:rsidR="006A18E9" w:rsidRPr="00F6537A" w:rsidP="006A18E9" w14:paraId="760C1BE1"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499675DB" w14:textId="77777777">
            <w:pPr>
              <w:overflowPunct/>
              <w:autoSpaceDE/>
              <w:autoSpaceDN/>
              <w:adjustRightInd/>
              <w:jc w:val="right"/>
              <w:textAlignment w:val="auto"/>
              <w:rPr>
                <w:color w:val="000000"/>
                <w:sz w:val="18"/>
                <w:szCs w:val="18"/>
              </w:rPr>
            </w:pPr>
            <w:r w:rsidRPr="00F6537A">
              <w:rPr>
                <w:color w:val="000000"/>
                <w:sz w:val="18"/>
                <w:szCs w:val="18"/>
              </w:rPr>
              <w:t>7,185.75</w:t>
            </w:r>
          </w:p>
        </w:tc>
        <w:tc>
          <w:tcPr>
            <w:tcW w:w="1080" w:type="dxa"/>
            <w:tcBorders>
              <w:top w:val="nil"/>
              <w:left w:val="nil"/>
              <w:bottom w:val="single" w:sz="4" w:space="0" w:color="auto"/>
              <w:right w:val="single" w:sz="4" w:space="0" w:color="auto"/>
            </w:tcBorders>
            <w:vAlign w:val="center"/>
            <w:hideMark/>
          </w:tcPr>
          <w:p w:rsidR="006A18E9" w:rsidRPr="00F6537A" w:rsidP="006A18E9" w14:paraId="2C343AC9"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6ABFFDE5" w14:textId="77777777">
            <w:pPr>
              <w:overflowPunct/>
              <w:autoSpaceDE/>
              <w:autoSpaceDN/>
              <w:adjustRightInd/>
              <w:jc w:val="right"/>
              <w:textAlignment w:val="auto"/>
              <w:rPr>
                <w:color w:val="000000"/>
                <w:sz w:val="18"/>
                <w:szCs w:val="18"/>
              </w:rPr>
            </w:pPr>
            <w:r w:rsidRPr="00F6537A">
              <w:rPr>
                <w:color w:val="000000"/>
                <w:sz w:val="18"/>
                <w:szCs w:val="18"/>
              </w:rPr>
              <w:t xml:space="preserve">$324,364.76 </w:t>
            </w:r>
          </w:p>
        </w:tc>
      </w:tr>
      <w:tr w14:paraId="4010CA31" w14:textId="77777777" w:rsidTr="00F6537A">
        <w:tblPrEx>
          <w:tblW w:w="11151" w:type="dxa"/>
          <w:tblInd w:w="-275" w:type="dxa"/>
          <w:tblLayout w:type="fixed"/>
          <w:tblLook w:val="04A0"/>
        </w:tblPrEx>
        <w:trPr>
          <w:cantSplit/>
          <w:trHeight w:val="989"/>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4F2FF086" w14:textId="77777777">
            <w:pPr>
              <w:overflowPunct/>
              <w:autoSpaceDE/>
              <w:autoSpaceDN/>
              <w:adjustRightInd/>
              <w:textAlignment w:val="auto"/>
              <w:rPr>
                <w:sz w:val="18"/>
                <w:szCs w:val="18"/>
              </w:rPr>
            </w:pPr>
            <w:r w:rsidRPr="00F6537A">
              <w:rPr>
                <w:sz w:val="18"/>
                <w:szCs w:val="18"/>
              </w:rPr>
              <w:t xml:space="preserve">PBV Agreement to </w:t>
            </w:r>
            <w:r w:rsidRPr="00F6537A">
              <w:rPr>
                <w:sz w:val="18"/>
                <w:szCs w:val="18"/>
              </w:rPr>
              <w:t>enter into</w:t>
            </w:r>
            <w:r w:rsidRPr="00F6537A">
              <w:rPr>
                <w:sz w:val="18"/>
                <w:szCs w:val="18"/>
              </w:rPr>
              <w:t xml:space="preserve"> a HAP Contract Part 1 (HUD-52531A)</w:t>
            </w:r>
          </w:p>
        </w:tc>
        <w:tc>
          <w:tcPr>
            <w:tcW w:w="1260" w:type="dxa"/>
            <w:tcBorders>
              <w:top w:val="nil"/>
              <w:left w:val="nil"/>
              <w:bottom w:val="single" w:sz="4" w:space="0" w:color="auto"/>
              <w:right w:val="single" w:sz="4" w:space="0" w:color="auto"/>
            </w:tcBorders>
            <w:vAlign w:val="center"/>
            <w:hideMark/>
          </w:tcPr>
          <w:p w:rsidR="006A18E9" w:rsidRPr="00F6537A" w:rsidP="006A18E9" w14:paraId="7D2B1ED1" w14:textId="77777777">
            <w:pPr>
              <w:overflowPunct/>
              <w:autoSpaceDE/>
              <w:autoSpaceDN/>
              <w:adjustRightInd/>
              <w:jc w:val="right"/>
              <w:textAlignment w:val="auto"/>
              <w:rPr>
                <w:color w:val="000000"/>
                <w:sz w:val="18"/>
                <w:szCs w:val="18"/>
              </w:rPr>
            </w:pPr>
            <w:r w:rsidRPr="00F6537A">
              <w:rPr>
                <w:color w:val="000000"/>
                <w:sz w:val="18"/>
                <w:szCs w:val="18"/>
              </w:rPr>
              <w:t>48</w:t>
            </w:r>
          </w:p>
        </w:tc>
        <w:tc>
          <w:tcPr>
            <w:tcW w:w="1350" w:type="dxa"/>
            <w:tcBorders>
              <w:top w:val="nil"/>
              <w:left w:val="nil"/>
              <w:bottom w:val="single" w:sz="4" w:space="0" w:color="auto"/>
              <w:right w:val="single" w:sz="4" w:space="0" w:color="auto"/>
            </w:tcBorders>
            <w:vAlign w:val="center"/>
            <w:hideMark/>
          </w:tcPr>
          <w:p w:rsidR="006A18E9" w:rsidRPr="00F6537A" w:rsidP="006A18E9" w14:paraId="7A4A2578"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098C5C04" w14:textId="77777777">
            <w:pPr>
              <w:overflowPunct/>
              <w:autoSpaceDE/>
              <w:autoSpaceDN/>
              <w:adjustRightInd/>
              <w:jc w:val="right"/>
              <w:textAlignment w:val="auto"/>
              <w:rPr>
                <w:color w:val="000000"/>
                <w:sz w:val="18"/>
                <w:szCs w:val="18"/>
              </w:rPr>
            </w:pPr>
            <w:r w:rsidRPr="00F6537A">
              <w:rPr>
                <w:color w:val="000000"/>
                <w:sz w:val="18"/>
                <w:szCs w:val="18"/>
              </w:rPr>
              <w:t>48</w:t>
            </w:r>
          </w:p>
        </w:tc>
        <w:tc>
          <w:tcPr>
            <w:tcW w:w="990" w:type="dxa"/>
            <w:tcBorders>
              <w:top w:val="nil"/>
              <w:left w:val="nil"/>
              <w:bottom w:val="single" w:sz="4" w:space="0" w:color="auto"/>
              <w:right w:val="single" w:sz="4" w:space="0" w:color="auto"/>
            </w:tcBorders>
            <w:vAlign w:val="center"/>
            <w:hideMark/>
          </w:tcPr>
          <w:p w:rsidR="006A18E9" w:rsidRPr="00F6537A" w:rsidP="006A18E9" w14:paraId="68B2BCD3"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2C02CD69" w14:textId="77777777">
            <w:pPr>
              <w:overflowPunct/>
              <w:autoSpaceDE/>
              <w:autoSpaceDN/>
              <w:adjustRightInd/>
              <w:jc w:val="right"/>
              <w:textAlignment w:val="auto"/>
              <w:rPr>
                <w:color w:val="000000"/>
                <w:sz w:val="18"/>
                <w:szCs w:val="18"/>
              </w:rPr>
            </w:pPr>
            <w:r w:rsidRPr="00F6537A">
              <w:rPr>
                <w:color w:val="000000"/>
                <w:sz w:val="18"/>
                <w:szCs w:val="18"/>
              </w:rPr>
              <w:t>12</w:t>
            </w:r>
          </w:p>
        </w:tc>
        <w:tc>
          <w:tcPr>
            <w:tcW w:w="1080" w:type="dxa"/>
            <w:tcBorders>
              <w:top w:val="nil"/>
              <w:left w:val="nil"/>
              <w:bottom w:val="single" w:sz="4" w:space="0" w:color="auto"/>
              <w:right w:val="single" w:sz="4" w:space="0" w:color="auto"/>
            </w:tcBorders>
            <w:vAlign w:val="center"/>
            <w:hideMark/>
          </w:tcPr>
          <w:p w:rsidR="006A18E9" w:rsidRPr="00F6537A" w:rsidP="006A18E9" w14:paraId="028EF80F"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41CF12CB" w14:textId="77777777">
            <w:pPr>
              <w:overflowPunct/>
              <w:autoSpaceDE/>
              <w:autoSpaceDN/>
              <w:adjustRightInd/>
              <w:jc w:val="right"/>
              <w:textAlignment w:val="auto"/>
              <w:rPr>
                <w:color w:val="000000"/>
                <w:sz w:val="18"/>
                <w:szCs w:val="18"/>
              </w:rPr>
            </w:pPr>
            <w:r w:rsidRPr="00F6537A">
              <w:rPr>
                <w:color w:val="000000"/>
                <w:sz w:val="18"/>
                <w:szCs w:val="18"/>
              </w:rPr>
              <w:t xml:space="preserve">$541.68 </w:t>
            </w:r>
          </w:p>
        </w:tc>
      </w:tr>
      <w:tr w14:paraId="151CD2A0" w14:textId="77777777" w:rsidTr="00F6537A">
        <w:tblPrEx>
          <w:tblW w:w="11151" w:type="dxa"/>
          <w:tblInd w:w="-275" w:type="dxa"/>
          <w:tblLayout w:type="fixed"/>
          <w:tblLook w:val="04A0"/>
        </w:tblPrEx>
        <w:trPr>
          <w:cantSplit/>
          <w:trHeight w:val="89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5F299F7A" w14:textId="77777777">
            <w:pPr>
              <w:overflowPunct/>
              <w:autoSpaceDE/>
              <w:autoSpaceDN/>
              <w:adjustRightInd/>
              <w:textAlignment w:val="auto"/>
              <w:rPr>
                <w:sz w:val="18"/>
                <w:szCs w:val="18"/>
              </w:rPr>
            </w:pPr>
            <w:r w:rsidRPr="00F6537A">
              <w:rPr>
                <w:sz w:val="18"/>
                <w:szCs w:val="18"/>
              </w:rPr>
              <w:t xml:space="preserve">PBV Agreement to </w:t>
            </w:r>
            <w:r w:rsidRPr="00F6537A">
              <w:rPr>
                <w:sz w:val="18"/>
                <w:szCs w:val="18"/>
              </w:rPr>
              <w:t>enter into</w:t>
            </w:r>
            <w:r w:rsidRPr="00F6537A">
              <w:rPr>
                <w:sz w:val="18"/>
                <w:szCs w:val="18"/>
              </w:rPr>
              <w:t xml:space="preserve"> </w:t>
            </w:r>
            <w:r w:rsidRPr="00F6537A">
              <w:rPr>
                <w:sz w:val="18"/>
                <w:szCs w:val="18"/>
              </w:rPr>
              <w:t>a HAP</w:t>
            </w:r>
            <w:r w:rsidRPr="00F6537A">
              <w:rPr>
                <w:sz w:val="18"/>
                <w:szCs w:val="18"/>
              </w:rPr>
              <w:t xml:space="preserve"> Contract Part 2 (HUD-52531B)</w:t>
            </w:r>
          </w:p>
        </w:tc>
        <w:tc>
          <w:tcPr>
            <w:tcW w:w="1260" w:type="dxa"/>
            <w:tcBorders>
              <w:top w:val="nil"/>
              <w:left w:val="nil"/>
              <w:bottom w:val="single" w:sz="4" w:space="0" w:color="auto"/>
              <w:right w:val="single" w:sz="4" w:space="0" w:color="auto"/>
            </w:tcBorders>
            <w:vAlign w:val="center"/>
            <w:hideMark/>
          </w:tcPr>
          <w:p w:rsidR="006A18E9" w:rsidRPr="00F6537A" w:rsidP="006A18E9" w14:paraId="5AD7F7D1" w14:textId="77777777">
            <w:pPr>
              <w:overflowPunct/>
              <w:autoSpaceDE/>
              <w:autoSpaceDN/>
              <w:adjustRightInd/>
              <w:jc w:val="right"/>
              <w:textAlignment w:val="auto"/>
              <w:rPr>
                <w:color w:val="000000"/>
                <w:sz w:val="18"/>
                <w:szCs w:val="18"/>
              </w:rPr>
            </w:pPr>
            <w:r w:rsidRPr="00F6537A">
              <w:rPr>
                <w:color w:val="000000"/>
                <w:sz w:val="18"/>
                <w:szCs w:val="18"/>
              </w:rPr>
              <w:t>47</w:t>
            </w:r>
          </w:p>
        </w:tc>
        <w:tc>
          <w:tcPr>
            <w:tcW w:w="1350" w:type="dxa"/>
            <w:tcBorders>
              <w:top w:val="nil"/>
              <w:left w:val="nil"/>
              <w:bottom w:val="single" w:sz="4" w:space="0" w:color="auto"/>
              <w:right w:val="single" w:sz="4" w:space="0" w:color="auto"/>
            </w:tcBorders>
            <w:vAlign w:val="center"/>
            <w:hideMark/>
          </w:tcPr>
          <w:p w:rsidR="006A18E9" w:rsidRPr="00F6537A" w:rsidP="006A18E9" w14:paraId="2A4AE75E"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169ABDD8" w14:textId="77777777">
            <w:pPr>
              <w:overflowPunct/>
              <w:autoSpaceDE/>
              <w:autoSpaceDN/>
              <w:adjustRightInd/>
              <w:jc w:val="right"/>
              <w:textAlignment w:val="auto"/>
              <w:rPr>
                <w:color w:val="000000"/>
                <w:sz w:val="18"/>
                <w:szCs w:val="18"/>
              </w:rPr>
            </w:pPr>
            <w:r w:rsidRPr="00F6537A">
              <w:rPr>
                <w:color w:val="000000"/>
                <w:sz w:val="18"/>
                <w:szCs w:val="18"/>
              </w:rPr>
              <w:t>47</w:t>
            </w:r>
          </w:p>
        </w:tc>
        <w:tc>
          <w:tcPr>
            <w:tcW w:w="990" w:type="dxa"/>
            <w:tcBorders>
              <w:top w:val="nil"/>
              <w:left w:val="nil"/>
              <w:bottom w:val="single" w:sz="4" w:space="0" w:color="auto"/>
              <w:right w:val="single" w:sz="4" w:space="0" w:color="auto"/>
            </w:tcBorders>
            <w:vAlign w:val="center"/>
            <w:hideMark/>
          </w:tcPr>
          <w:p w:rsidR="006A18E9" w:rsidRPr="00F6537A" w:rsidP="006A18E9" w14:paraId="4971BFE4"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2BDB5F0D" w14:textId="77777777">
            <w:pPr>
              <w:overflowPunct/>
              <w:autoSpaceDE/>
              <w:autoSpaceDN/>
              <w:adjustRightInd/>
              <w:jc w:val="right"/>
              <w:textAlignment w:val="auto"/>
              <w:rPr>
                <w:color w:val="000000"/>
                <w:sz w:val="18"/>
                <w:szCs w:val="18"/>
              </w:rPr>
            </w:pPr>
            <w:r w:rsidRPr="00F6537A">
              <w:rPr>
                <w:color w:val="000000"/>
                <w:sz w:val="18"/>
                <w:szCs w:val="18"/>
              </w:rPr>
              <w:t>11.75</w:t>
            </w:r>
          </w:p>
        </w:tc>
        <w:tc>
          <w:tcPr>
            <w:tcW w:w="1080" w:type="dxa"/>
            <w:tcBorders>
              <w:top w:val="nil"/>
              <w:left w:val="nil"/>
              <w:bottom w:val="single" w:sz="4" w:space="0" w:color="auto"/>
              <w:right w:val="single" w:sz="4" w:space="0" w:color="auto"/>
            </w:tcBorders>
            <w:vAlign w:val="center"/>
            <w:hideMark/>
          </w:tcPr>
          <w:p w:rsidR="006A18E9" w:rsidRPr="00F6537A" w:rsidP="006A18E9" w14:paraId="19DA4BAB"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66959FB5" w14:textId="77777777">
            <w:pPr>
              <w:overflowPunct/>
              <w:autoSpaceDE/>
              <w:autoSpaceDN/>
              <w:adjustRightInd/>
              <w:jc w:val="right"/>
              <w:textAlignment w:val="auto"/>
              <w:rPr>
                <w:color w:val="000000"/>
                <w:sz w:val="18"/>
                <w:szCs w:val="18"/>
              </w:rPr>
            </w:pPr>
            <w:r w:rsidRPr="00F6537A">
              <w:rPr>
                <w:color w:val="000000"/>
                <w:sz w:val="18"/>
                <w:szCs w:val="18"/>
              </w:rPr>
              <w:t xml:space="preserve">$530.40 </w:t>
            </w:r>
          </w:p>
        </w:tc>
      </w:tr>
      <w:tr w14:paraId="1F286E5F" w14:textId="77777777" w:rsidTr="00F6537A">
        <w:tblPrEx>
          <w:tblW w:w="11151" w:type="dxa"/>
          <w:tblInd w:w="-275" w:type="dxa"/>
          <w:tblLayout w:type="fixed"/>
          <w:tblLook w:val="04A0"/>
        </w:tblPrEx>
        <w:trPr>
          <w:cantSplit/>
          <w:trHeight w:val="9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0DC8FEDF" w14:textId="77777777">
            <w:pPr>
              <w:overflowPunct/>
              <w:autoSpaceDE/>
              <w:autoSpaceDN/>
              <w:adjustRightInd/>
              <w:textAlignment w:val="auto"/>
              <w:rPr>
                <w:sz w:val="18"/>
                <w:szCs w:val="18"/>
              </w:rPr>
            </w:pPr>
            <w:r w:rsidRPr="00F6537A">
              <w:rPr>
                <w:sz w:val="18"/>
                <w:szCs w:val="18"/>
              </w:rPr>
              <w:t>PBV Statement of Family Responsibility (HUD-52578b)</w:t>
            </w:r>
          </w:p>
        </w:tc>
        <w:tc>
          <w:tcPr>
            <w:tcW w:w="1260" w:type="dxa"/>
            <w:tcBorders>
              <w:top w:val="nil"/>
              <w:left w:val="nil"/>
              <w:bottom w:val="single" w:sz="4" w:space="0" w:color="auto"/>
              <w:right w:val="single" w:sz="4" w:space="0" w:color="auto"/>
            </w:tcBorders>
            <w:vAlign w:val="center"/>
            <w:hideMark/>
          </w:tcPr>
          <w:p w:rsidR="006A18E9" w:rsidRPr="00F6537A" w:rsidP="006A18E9" w14:paraId="72E67412" w14:textId="77777777">
            <w:pPr>
              <w:overflowPunct/>
              <w:autoSpaceDE/>
              <w:autoSpaceDN/>
              <w:adjustRightInd/>
              <w:jc w:val="right"/>
              <w:textAlignment w:val="auto"/>
              <w:rPr>
                <w:color w:val="000000"/>
                <w:sz w:val="18"/>
                <w:szCs w:val="18"/>
              </w:rPr>
            </w:pPr>
            <w:r w:rsidRPr="00F6537A">
              <w:rPr>
                <w:color w:val="000000"/>
                <w:sz w:val="18"/>
                <w:szCs w:val="18"/>
              </w:rPr>
              <w:t>871</w:t>
            </w:r>
          </w:p>
        </w:tc>
        <w:tc>
          <w:tcPr>
            <w:tcW w:w="1350" w:type="dxa"/>
            <w:tcBorders>
              <w:top w:val="nil"/>
              <w:left w:val="nil"/>
              <w:bottom w:val="single" w:sz="4" w:space="0" w:color="auto"/>
              <w:right w:val="single" w:sz="4" w:space="0" w:color="auto"/>
            </w:tcBorders>
            <w:vAlign w:val="center"/>
            <w:hideMark/>
          </w:tcPr>
          <w:p w:rsidR="006A18E9" w:rsidRPr="00F6537A" w:rsidP="006A18E9" w14:paraId="0DFFC630" w14:textId="77777777">
            <w:pPr>
              <w:overflowPunct/>
              <w:autoSpaceDE/>
              <w:autoSpaceDN/>
              <w:adjustRightInd/>
              <w:jc w:val="right"/>
              <w:textAlignment w:val="auto"/>
              <w:rPr>
                <w:color w:val="000000"/>
                <w:sz w:val="18"/>
                <w:szCs w:val="18"/>
              </w:rPr>
            </w:pPr>
            <w:r w:rsidRPr="00F6537A">
              <w:rPr>
                <w:color w:val="000000"/>
                <w:sz w:val="18"/>
                <w:szCs w:val="18"/>
              </w:rPr>
              <w:t>33</w:t>
            </w:r>
          </w:p>
        </w:tc>
        <w:tc>
          <w:tcPr>
            <w:tcW w:w="1260" w:type="dxa"/>
            <w:tcBorders>
              <w:top w:val="nil"/>
              <w:left w:val="nil"/>
              <w:bottom w:val="single" w:sz="4" w:space="0" w:color="auto"/>
              <w:right w:val="single" w:sz="4" w:space="0" w:color="auto"/>
            </w:tcBorders>
            <w:vAlign w:val="center"/>
            <w:hideMark/>
          </w:tcPr>
          <w:p w:rsidR="006A18E9" w:rsidRPr="00F6537A" w:rsidP="006A18E9" w14:paraId="2862C56E" w14:textId="77777777">
            <w:pPr>
              <w:overflowPunct/>
              <w:autoSpaceDE/>
              <w:autoSpaceDN/>
              <w:adjustRightInd/>
              <w:jc w:val="right"/>
              <w:textAlignment w:val="auto"/>
              <w:rPr>
                <w:color w:val="000000"/>
                <w:sz w:val="18"/>
                <w:szCs w:val="18"/>
              </w:rPr>
            </w:pPr>
            <w:r w:rsidRPr="00F6537A">
              <w:rPr>
                <w:color w:val="000000"/>
                <w:sz w:val="18"/>
                <w:szCs w:val="18"/>
              </w:rPr>
              <w:t>28,743</w:t>
            </w:r>
          </w:p>
        </w:tc>
        <w:tc>
          <w:tcPr>
            <w:tcW w:w="990" w:type="dxa"/>
            <w:tcBorders>
              <w:top w:val="nil"/>
              <w:left w:val="nil"/>
              <w:bottom w:val="single" w:sz="4" w:space="0" w:color="auto"/>
              <w:right w:val="single" w:sz="4" w:space="0" w:color="auto"/>
            </w:tcBorders>
            <w:vAlign w:val="center"/>
            <w:hideMark/>
          </w:tcPr>
          <w:p w:rsidR="006A18E9" w:rsidRPr="00F6537A" w:rsidP="006A18E9" w14:paraId="703CC3F5"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66367447" w14:textId="77777777">
            <w:pPr>
              <w:overflowPunct/>
              <w:autoSpaceDE/>
              <w:autoSpaceDN/>
              <w:adjustRightInd/>
              <w:jc w:val="right"/>
              <w:textAlignment w:val="auto"/>
              <w:rPr>
                <w:color w:val="000000"/>
                <w:sz w:val="18"/>
                <w:szCs w:val="18"/>
              </w:rPr>
            </w:pPr>
            <w:r w:rsidRPr="00F6537A">
              <w:rPr>
                <w:color w:val="000000"/>
                <w:sz w:val="18"/>
                <w:szCs w:val="18"/>
              </w:rPr>
              <w:t>7,185.75</w:t>
            </w:r>
          </w:p>
        </w:tc>
        <w:tc>
          <w:tcPr>
            <w:tcW w:w="1080" w:type="dxa"/>
            <w:tcBorders>
              <w:top w:val="nil"/>
              <w:left w:val="nil"/>
              <w:bottom w:val="single" w:sz="4" w:space="0" w:color="auto"/>
              <w:right w:val="single" w:sz="4" w:space="0" w:color="auto"/>
            </w:tcBorders>
            <w:vAlign w:val="center"/>
            <w:hideMark/>
          </w:tcPr>
          <w:p w:rsidR="006A18E9" w:rsidRPr="00F6537A" w:rsidP="006A18E9" w14:paraId="5217C5BF"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50A172F" w14:textId="77777777">
            <w:pPr>
              <w:overflowPunct/>
              <w:autoSpaceDE/>
              <w:autoSpaceDN/>
              <w:adjustRightInd/>
              <w:jc w:val="right"/>
              <w:textAlignment w:val="auto"/>
              <w:rPr>
                <w:color w:val="000000"/>
                <w:sz w:val="18"/>
                <w:szCs w:val="18"/>
              </w:rPr>
            </w:pPr>
            <w:r w:rsidRPr="00F6537A">
              <w:rPr>
                <w:color w:val="000000"/>
                <w:sz w:val="18"/>
                <w:szCs w:val="18"/>
              </w:rPr>
              <w:t xml:space="preserve">$324,364.76 </w:t>
            </w:r>
          </w:p>
        </w:tc>
      </w:tr>
      <w:tr w14:paraId="209CD461" w14:textId="77777777" w:rsidTr="00262689">
        <w:tblPrEx>
          <w:tblW w:w="11151" w:type="dxa"/>
          <w:tblInd w:w="-275" w:type="dxa"/>
          <w:tblLayout w:type="fixed"/>
          <w:tblLook w:val="04A0"/>
        </w:tblPrEx>
        <w:trPr>
          <w:cantSplit/>
          <w:trHeight w:val="431"/>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96618D" w:rsidRPr="00F6537A" w:rsidP="00F6537A" w14:paraId="6526E7F0" w14:textId="427B7631">
            <w:pPr>
              <w:overflowPunct/>
              <w:autoSpaceDE/>
              <w:autoSpaceDN/>
              <w:adjustRightInd/>
              <w:textAlignment w:val="auto"/>
              <w:rPr>
                <w:color w:val="000000"/>
                <w:sz w:val="18"/>
                <w:szCs w:val="18"/>
              </w:rPr>
            </w:pPr>
            <w:r w:rsidRPr="00F6537A">
              <w:rPr>
                <w:b/>
                <w:bCs/>
                <w:color w:val="000000"/>
                <w:sz w:val="18"/>
                <w:szCs w:val="18"/>
              </w:rPr>
              <w:t>New PBV Forms</w:t>
            </w:r>
          </w:p>
        </w:tc>
      </w:tr>
      <w:tr w14:paraId="4E07FDC0" w14:textId="77777777" w:rsidTr="00F6537A">
        <w:tblPrEx>
          <w:tblW w:w="11151" w:type="dxa"/>
          <w:tblInd w:w="-275" w:type="dxa"/>
          <w:tblLayout w:type="fixed"/>
          <w:tblLook w:val="04A0"/>
        </w:tblPrEx>
        <w:trPr>
          <w:cantSplit/>
          <w:trHeight w:val="116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74DBF2EC" w14:textId="77777777">
            <w:pPr>
              <w:overflowPunct/>
              <w:autoSpaceDE/>
              <w:autoSpaceDN/>
              <w:adjustRightInd/>
              <w:textAlignment w:val="auto"/>
              <w:rPr>
                <w:sz w:val="18"/>
                <w:szCs w:val="18"/>
              </w:rPr>
            </w:pPr>
            <w:r w:rsidRPr="00F6537A">
              <w:rPr>
                <w:sz w:val="18"/>
                <w:szCs w:val="18"/>
              </w:rPr>
              <w:t>PBV PHA-owned Agreement Certification – New Construction or Rehabilitation Part 1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35034B76" w14:textId="77777777">
            <w:pPr>
              <w:overflowPunct/>
              <w:autoSpaceDE/>
              <w:autoSpaceDN/>
              <w:adjustRightInd/>
              <w:jc w:val="right"/>
              <w:textAlignment w:val="auto"/>
              <w:rPr>
                <w:color w:val="000000"/>
                <w:sz w:val="18"/>
                <w:szCs w:val="18"/>
              </w:rPr>
            </w:pPr>
            <w:r w:rsidRPr="00F6537A">
              <w:rPr>
                <w:color w:val="000000"/>
                <w:sz w:val="18"/>
                <w:szCs w:val="18"/>
              </w:rPr>
              <w:t>5</w:t>
            </w:r>
          </w:p>
        </w:tc>
        <w:tc>
          <w:tcPr>
            <w:tcW w:w="1350" w:type="dxa"/>
            <w:tcBorders>
              <w:top w:val="nil"/>
              <w:left w:val="nil"/>
              <w:bottom w:val="single" w:sz="4" w:space="0" w:color="auto"/>
              <w:right w:val="single" w:sz="4" w:space="0" w:color="auto"/>
            </w:tcBorders>
            <w:vAlign w:val="center"/>
            <w:hideMark/>
          </w:tcPr>
          <w:p w:rsidR="006A18E9" w:rsidRPr="00F6537A" w:rsidP="006A18E9" w14:paraId="5A72ADEE"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7C8768E9" w14:textId="77777777">
            <w:pPr>
              <w:overflowPunct/>
              <w:autoSpaceDE/>
              <w:autoSpaceDN/>
              <w:adjustRightInd/>
              <w:jc w:val="right"/>
              <w:textAlignment w:val="auto"/>
              <w:rPr>
                <w:color w:val="000000"/>
                <w:sz w:val="18"/>
                <w:szCs w:val="18"/>
              </w:rPr>
            </w:pPr>
            <w:r w:rsidRPr="00F6537A">
              <w:rPr>
                <w:color w:val="000000"/>
                <w:sz w:val="18"/>
                <w:szCs w:val="18"/>
              </w:rPr>
              <w:t>5</w:t>
            </w:r>
          </w:p>
        </w:tc>
        <w:tc>
          <w:tcPr>
            <w:tcW w:w="990" w:type="dxa"/>
            <w:tcBorders>
              <w:top w:val="nil"/>
              <w:left w:val="nil"/>
              <w:bottom w:val="single" w:sz="4" w:space="0" w:color="auto"/>
              <w:right w:val="single" w:sz="4" w:space="0" w:color="auto"/>
            </w:tcBorders>
            <w:vAlign w:val="center"/>
            <w:hideMark/>
          </w:tcPr>
          <w:p w:rsidR="006A18E9" w:rsidRPr="00F6537A" w:rsidP="006A18E9" w14:paraId="71D0B099"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6E13C475" w14:textId="77777777">
            <w:pPr>
              <w:overflowPunct/>
              <w:autoSpaceDE/>
              <w:autoSpaceDN/>
              <w:adjustRightInd/>
              <w:jc w:val="right"/>
              <w:textAlignment w:val="auto"/>
              <w:rPr>
                <w:color w:val="000000"/>
                <w:sz w:val="18"/>
                <w:szCs w:val="18"/>
              </w:rPr>
            </w:pPr>
            <w:r w:rsidRPr="00F6537A">
              <w:rPr>
                <w:color w:val="000000"/>
                <w:sz w:val="18"/>
                <w:szCs w:val="18"/>
              </w:rPr>
              <w:t>1.25</w:t>
            </w:r>
          </w:p>
        </w:tc>
        <w:tc>
          <w:tcPr>
            <w:tcW w:w="1080" w:type="dxa"/>
            <w:tcBorders>
              <w:top w:val="nil"/>
              <w:left w:val="nil"/>
              <w:bottom w:val="single" w:sz="4" w:space="0" w:color="auto"/>
              <w:right w:val="single" w:sz="4" w:space="0" w:color="auto"/>
            </w:tcBorders>
            <w:vAlign w:val="center"/>
            <w:hideMark/>
          </w:tcPr>
          <w:p w:rsidR="006A18E9" w:rsidRPr="00F6537A" w:rsidP="006A18E9" w14:paraId="0764A57B"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3B2D2598" w14:textId="77777777">
            <w:pPr>
              <w:overflowPunct/>
              <w:autoSpaceDE/>
              <w:autoSpaceDN/>
              <w:adjustRightInd/>
              <w:jc w:val="right"/>
              <w:textAlignment w:val="auto"/>
              <w:rPr>
                <w:color w:val="000000"/>
                <w:sz w:val="18"/>
                <w:szCs w:val="18"/>
              </w:rPr>
            </w:pPr>
            <w:r w:rsidRPr="00F6537A">
              <w:rPr>
                <w:color w:val="000000"/>
                <w:sz w:val="18"/>
                <w:szCs w:val="18"/>
              </w:rPr>
              <w:t xml:space="preserve">$56.43 </w:t>
            </w:r>
          </w:p>
        </w:tc>
      </w:tr>
      <w:tr w14:paraId="228C6CF2" w14:textId="77777777" w:rsidTr="00F6537A">
        <w:tblPrEx>
          <w:tblW w:w="11151" w:type="dxa"/>
          <w:tblInd w:w="-275" w:type="dxa"/>
          <w:tblLayout w:type="fixed"/>
          <w:tblLook w:val="04A0"/>
        </w:tblPrEx>
        <w:trPr>
          <w:cantSplit/>
          <w:trHeight w:val="1151"/>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39E9E2C" w14:textId="77777777">
            <w:pPr>
              <w:overflowPunct/>
              <w:autoSpaceDE/>
              <w:autoSpaceDN/>
              <w:adjustRightInd/>
              <w:textAlignment w:val="auto"/>
              <w:rPr>
                <w:sz w:val="18"/>
                <w:szCs w:val="18"/>
              </w:rPr>
            </w:pPr>
            <w:r w:rsidRPr="00F6537A">
              <w:rPr>
                <w:sz w:val="18"/>
                <w:szCs w:val="18"/>
              </w:rPr>
              <w:t>PBV PHA-owned Agreement Certification – New Construction or Rehabilitation Part 2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1726B549" w14:textId="77777777">
            <w:pPr>
              <w:overflowPunct/>
              <w:autoSpaceDE/>
              <w:autoSpaceDN/>
              <w:adjustRightInd/>
              <w:jc w:val="right"/>
              <w:textAlignment w:val="auto"/>
              <w:rPr>
                <w:color w:val="000000"/>
                <w:sz w:val="18"/>
                <w:szCs w:val="18"/>
              </w:rPr>
            </w:pPr>
            <w:r w:rsidRPr="00F6537A">
              <w:rPr>
                <w:color w:val="000000"/>
                <w:sz w:val="18"/>
                <w:szCs w:val="18"/>
              </w:rPr>
              <w:t>5</w:t>
            </w:r>
          </w:p>
        </w:tc>
        <w:tc>
          <w:tcPr>
            <w:tcW w:w="1350" w:type="dxa"/>
            <w:tcBorders>
              <w:top w:val="nil"/>
              <w:left w:val="nil"/>
              <w:bottom w:val="single" w:sz="4" w:space="0" w:color="auto"/>
              <w:right w:val="single" w:sz="4" w:space="0" w:color="auto"/>
            </w:tcBorders>
            <w:vAlign w:val="center"/>
            <w:hideMark/>
          </w:tcPr>
          <w:p w:rsidR="006A18E9" w:rsidRPr="00F6537A" w:rsidP="006A18E9" w14:paraId="430566F2"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414B18F2" w14:textId="77777777">
            <w:pPr>
              <w:overflowPunct/>
              <w:autoSpaceDE/>
              <w:autoSpaceDN/>
              <w:adjustRightInd/>
              <w:jc w:val="right"/>
              <w:textAlignment w:val="auto"/>
              <w:rPr>
                <w:color w:val="000000"/>
                <w:sz w:val="18"/>
                <w:szCs w:val="18"/>
              </w:rPr>
            </w:pPr>
            <w:r w:rsidRPr="00F6537A">
              <w:rPr>
                <w:color w:val="000000"/>
                <w:sz w:val="18"/>
                <w:szCs w:val="18"/>
              </w:rPr>
              <w:t>5</w:t>
            </w:r>
          </w:p>
        </w:tc>
        <w:tc>
          <w:tcPr>
            <w:tcW w:w="990" w:type="dxa"/>
            <w:tcBorders>
              <w:top w:val="nil"/>
              <w:left w:val="nil"/>
              <w:bottom w:val="single" w:sz="4" w:space="0" w:color="auto"/>
              <w:right w:val="single" w:sz="4" w:space="0" w:color="auto"/>
            </w:tcBorders>
            <w:vAlign w:val="center"/>
            <w:hideMark/>
          </w:tcPr>
          <w:p w:rsidR="006A18E9" w:rsidRPr="00F6537A" w:rsidP="006A18E9" w14:paraId="7908DD3E"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641C91DA" w14:textId="77777777">
            <w:pPr>
              <w:overflowPunct/>
              <w:autoSpaceDE/>
              <w:autoSpaceDN/>
              <w:adjustRightInd/>
              <w:jc w:val="right"/>
              <w:textAlignment w:val="auto"/>
              <w:rPr>
                <w:color w:val="000000"/>
                <w:sz w:val="18"/>
                <w:szCs w:val="18"/>
              </w:rPr>
            </w:pPr>
            <w:r w:rsidRPr="00F6537A">
              <w:rPr>
                <w:color w:val="000000"/>
                <w:sz w:val="18"/>
                <w:szCs w:val="18"/>
              </w:rPr>
              <w:t>5</w:t>
            </w:r>
          </w:p>
        </w:tc>
        <w:tc>
          <w:tcPr>
            <w:tcW w:w="1080" w:type="dxa"/>
            <w:tcBorders>
              <w:top w:val="nil"/>
              <w:left w:val="nil"/>
              <w:bottom w:val="single" w:sz="4" w:space="0" w:color="auto"/>
              <w:right w:val="single" w:sz="4" w:space="0" w:color="auto"/>
            </w:tcBorders>
            <w:vAlign w:val="center"/>
            <w:hideMark/>
          </w:tcPr>
          <w:p w:rsidR="006A18E9" w:rsidRPr="00F6537A" w:rsidP="006A18E9" w14:paraId="37143BA0"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E404464" w14:textId="77777777">
            <w:pPr>
              <w:overflowPunct/>
              <w:autoSpaceDE/>
              <w:autoSpaceDN/>
              <w:adjustRightInd/>
              <w:jc w:val="right"/>
              <w:textAlignment w:val="auto"/>
              <w:rPr>
                <w:color w:val="000000"/>
                <w:sz w:val="18"/>
                <w:szCs w:val="18"/>
              </w:rPr>
            </w:pPr>
            <w:r w:rsidRPr="00F6537A">
              <w:rPr>
                <w:color w:val="000000"/>
                <w:sz w:val="18"/>
                <w:szCs w:val="18"/>
              </w:rPr>
              <w:t xml:space="preserve">$225.70 </w:t>
            </w:r>
          </w:p>
        </w:tc>
      </w:tr>
      <w:tr w14:paraId="4DBEC00A" w14:textId="77777777" w:rsidTr="00F6537A">
        <w:tblPrEx>
          <w:tblW w:w="11151" w:type="dxa"/>
          <w:tblInd w:w="-275" w:type="dxa"/>
          <w:tblLayout w:type="fixed"/>
          <w:tblLook w:val="04A0"/>
        </w:tblPrEx>
        <w:trPr>
          <w:cantSplit/>
          <w:trHeight w:val="89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003C57BC" w14:textId="77777777">
            <w:pPr>
              <w:overflowPunct/>
              <w:autoSpaceDE/>
              <w:autoSpaceDN/>
              <w:adjustRightInd/>
              <w:textAlignment w:val="auto"/>
              <w:rPr>
                <w:sz w:val="18"/>
                <w:szCs w:val="18"/>
              </w:rPr>
            </w:pPr>
            <w:r w:rsidRPr="00F6537A">
              <w:rPr>
                <w:sz w:val="18"/>
                <w:szCs w:val="18"/>
              </w:rPr>
              <w:t>PBV PHA-owned Certification - Existing Housing Part 1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25FE7647"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350" w:type="dxa"/>
            <w:tcBorders>
              <w:top w:val="nil"/>
              <w:left w:val="nil"/>
              <w:bottom w:val="single" w:sz="4" w:space="0" w:color="auto"/>
              <w:right w:val="single" w:sz="4" w:space="0" w:color="auto"/>
            </w:tcBorders>
            <w:vAlign w:val="center"/>
            <w:hideMark/>
          </w:tcPr>
          <w:p w:rsidR="006A18E9" w:rsidRPr="00F6537A" w:rsidP="006A18E9" w14:paraId="2E0C575D"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2A805D48"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990" w:type="dxa"/>
            <w:tcBorders>
              <w:top w:val="nil"/>
              <w:left w:val="nil"/>
              <w:bottom w:val="single" w:sz="4" w:space="0" w:color="auto"/>
              <w:right w:val="single" w:sz="4" w:space="0" w:color="auto"/>
            </w:tcBorders>
            <w:vAlign w:val="center"/>
            <w:hideMark/>
          </w:tcPr>
          <w:p w:rsidR="006A18E9" w:rsidRPr="00F6537A" w:rsidP="006A18E9" w14:paraId="19876C79"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7B592536"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080" w:type="dxa"/>
            <w:tcBorders>
              <w:top w:val="nil"/>
              <w:left w:val="nil"/>
              <w:bottom w:val="single" w:sz="4" w:space="0" w:color="auto"/>
              <w:right w:val="single" w:sz="4" w:space="0" w:color="auto"/>
            </w:tcBorders>
            <w:vAlign w:val="center"/>
            <w:hideMark/>
          </w:tcPr>
          <w:p w:rsidR="006A18E9" w:rsidRPr="00F6537A" w:rsidP="006A18E9" w14:paraId="25F57EDB"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5610634F" w14:textId="77777777">
            <w:pPr>
              <w:overflowPunct/>
              <w:autoSpaceDE/>
              <w:autoSpaceDN/>
              <w:adjustRightInd/>
              <w:jc w:val="right"/>
              <w:textAlignment w:val="auto"/>
              <w:rPr>
                <w:color w:val="000000"/>
                <w:sz w:val="18"/>
                <w:szCs w:val="18"/>
              </w:rPr>
            </w:pPr>
            <w:r w:rsidRPr="00F6537A">
              <w:rPr>
                <w:color w:val="000000"/>
                <w:sz w:val="18"/>
                <w:szCs w:val="18"/>
              </w:rPr>
              <w:t xml:space="preserve">$586.82 </w:t>
            </w:r>
          </w:p>
        </w:tc>
      </w:tr>
      <w:tr w14:paraId="3D2C92B9" w14:textId="77777777" w:rsidTr="00F6537A">
        <w:tblPrEx>
          <w:tblW w:w="11151" w:type="dxa"/>
          <w:tblInd w:w="-275" w:type="dxa"/>
          <w:tblLayout w:type="fixed"/>
          <w:tblLook w:val="04A0"/>
        </w:tblPrEx>
        <w:trPr>
          <w:cantSplit/>
          <w:trHeight w:val="12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9DA2084" w14:textId="77777777">
            <w:pPr>
              <w:overflowPunct/>
              <w:autoSpaceDE/>
              <w:autoSpaceDN/>
              <w:adjustRightInd/>
              <w:textAlignment w:val="auto"/>
              <w:rPr>
                <w:sz w:val="18"/>
                <w:szCs w:val="18"/>
              </w:rPr>
            </w:pPr>
            <w:r w:rsidRPr="00F6537A">
              <w:rPr>
                <w:sz w:val="18"/>
                <w:szCs w:val="18"/>
              </w:rPr>
              <w:t>PBV PHA-owned Certification - Existing Housing Part 2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301E3C79"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350" w:type="dxa"/>
            <w:tcBorders>
              <w:top w:val="nil"/>
              <w:left w:val="nil"/>
              <w:bottom w:val="single" w:sz="4" w:space="0" w:color="auto"/>
              <w:right w:val="single" w:sz="4" w:space="0" w:color="auto"/>
            </w:tcBorders>
            <w:vAlign w:val="center"/>
            <w:hideMark/>
          </w:tcPr>
          <w:p w:rsidR="006A18E9" w:rsidRPr="00F6537A" w:rsidP="006A18E9" w14:paraId="1302C39A"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6C16B605"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990" w:type="dxa"/>
            <w:tcBorders>
              <w:top w:val="nil"/>
              <w:left w:val="nil"/>
              <w:bottom w:val="single" w:sz="4" w:space="0" w:color="auto"/>
              <w:right w:val="single" w:sz="4" w:space="0" w:color="auto"/>
            </w:tcBorders>
            <w:vAlign w:val="center"/>
            <w:hideMark/>
          </w:tcPr>
          <w:p w:rsidR="006A18E9" w:rsidRPr="00F6537A" w:rsidP="006A18E9" w14:paraId="3E51DE2B"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65C4F74D"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080" w:type="dxa"/>
            <w:tcBorders>
              <w:top w:val="nil"/>
              <w:left w:val="nil"/>
              <w:bottom w:val="single" w:sz="4" w:space="0" w:color="auto"/>
              <w:right w:val="single" w:sz="4" w:space="0" w:color="auto"/>
            </w:tcBorders>
            <w:vAlign w:val="center"/>
            <w:hideMark/>
          </w:tcPr>
          <w:p w:rsidR="006A18E9" w:rsidRPr="00F6537A" w:rsidP="006A18E9" w14:paraId="50504373"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323883FF" w14:textId="77777777">
            <w:pPr>
              <w:overflowPunct/>
              <w:autoSpaceDE/>
              <w:autoSpaceDN/>
              <w:adjustRightInd/>
              <w:jc w:val="right"/>
              <w:textAlignment w:val="auto"/>
              <w:rPr>
                <w:color w:val="000000"/>
                <w:sz w:val="18"/>
                <w:szCs w:val="18"/>
              </w:rPr>
            </w:pPr>
            <w:r w:rsidRPr="00F6537A">
              <w:rPr>
                <w:color w:val="000000"/>
                <w:sz w:val="18"/>
                <w:szCs w:val="18"/>
              </w:rPr>
              <w:t xml:space="preserve">$586.82 </w:t>
            </w:r>
          </w:p>
        </w:tc>
      </w:tr>
      <w:tr w14:paraId="3E929BC3" w14:textId="77777777" w:rsidTr="00F6537A">
        <w:tblPrEx>
          <w:tblW w:w="11151" w:type="dxa"/>
          <w:tblInd w:w="-275" w:type="dxa"/>
          <w:tblLayout w:type="fixed"/>
          <w:tblLook w:val="04A0"/>
        </w:tblPrEx>
        <w:trPr>
          <w:cantSplit/>
          <w:trHeight w:val="107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720588D0" w14:textId="77777777">
            <w:pPr>
              <w:overflowPunct/>
              <w:autoSpaceDE/>
              <w:autoSpaceDN/>
              <w:adjustRightInd/>
              <w:textAlignment w:val="auto"/>
              <w:rPr>
                <w:sz w:val="18"/>
                <w:szCs w:val="18"/>
              </w:rPr>
            </w:pPr>
            <w:r w:rsidRPr="00F6537A">
              <w:rPr>
                <w:sz w:val="18"/>
                <w:szCs w:val="18"/>
              </w:rPr>
              <w:t>PBV PHA-owned Certification – New Construction or Rehabilitation Part 1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595E89F3"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350" w:type="dxa"/>
            <w:tcBorders>
              <w:top w:val="nil"/>
              <w:left w:val="nil"/>
              <w:bottom w:val="single" w:sz="4" w:space="0" w:color="auto"/>
              <w:right w:val="single" w:sz="4" w:space="0" w:color="auto"/>
            </w:tcBorders>
            <w:vAlign w:val="center"/>
            <w:hideMark/>
          </w:tcPr>
          <w:p w:rsidR="006A18E9" w:rsidRPr="00F6537A" w:rsidP="006A18E9" w14:paraId="1ADF08D2"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79621616"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990" w:type="dxa"/>
            <w:tcBorders>
              <w:top w:val="nil"/>
              <w:left w:val="nil"/>
              <w:bottom w:val="single" w:sz="4" w:space="0" w:color="auto"/>
              <w:right w:val="single" w:sz="4" w:space="0" w:color="auto"/>
            </w:tcBorders>
            <w:vAlign w:val="center"/>
            <w:hideMark/>
          </w:tcPr>
          <w:p w:rsidR="006A18E9" w:rsidRPr="00F6537A" w:rsidP="006A18E9" w14:paraId="42F633DE"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7A309872"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080" w:type="dxa"/>
            <w:tcBorders>
              <w:top w:val="nil"/>
              <w:left w:val="nil"/>
              <w:bottom w:val="single" w:sz="4" w:space="0" w:color="auto"/>
              <w:right w:val="single" w:sz="4" w:space="0" w:color="auto"/>
            </w:tcBorders>
            <w:vAlign w:val="center"/>
            <w:hideMark/>
          </w:tcPr>
          <w:p w:rsidR="006A18E9" w:rsidRPr="00F6537A" w:rsidP="006A18E9" w14:paraId="35555496"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259ACC0B" w14:textId="77777777">
            <w:pPr>
              <w:overflowPunct/>
              <w:autoSpaceDE/>
              <w:autoSpaceDN/>
              <w:adjustRightInd/>
              <w:jc w:val="right"/>
              <w:textAlignment w:val="auto"/>
              <w:rPr>
                <w:color w:val="000000"/>
                <w:sz w:val="18"/>
                <w:szCs w:val="18"/>
              </w:rPr>
            </w:pPr>
            <w:r w:rsidRPr="00F6537A">
              <w:rPr>
                <w:color w:val="000000"/>
                <w:sz w:val="18"/>
                <w:szCs w:val="18"/>
              </w:rPr>
              <w:t xml:space="preserve">$586.82 </w:t>
            </w:r>
          </w:p>
        </w:tc>
      </w:tr>
      <w:tr w14:paraId="5D11AFB1" w14:textId="77777777" w:rsidTr="00F6537A">
        <w:tblPrEx>
          <w:tblW w:w="11151" w:type="dxa"/>
          <w:tblInd w:w="-275" w:type="dxa"/>
          <w:tblLayout w:type="fixed"/>
          <w:tblLook w:val="04A0"/>
        </w:tblPrEx>
        <w:trPr>
          <w:cantSplit/>
          <w:trHeight w:val="1088"/>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196E528C" w14:textId="77777777">
            <w:pPr>
              <w:overflowPunct/>
              <w:autoSpaceDE/>
              <w:autoSpaceDN/>
              <w:adjustRightInd/>
              <w:textAlignment w:val="auto"/>
              <w:rPr>
                <w:sz w:val="18"/>
                <w:szCs w:val="18"/>
              </w:rPr>
            </w:pPr>
            <w:r w:rsidRPr="00F6537A">
              <w:rPr>
                <w:sz w:val="18"/>
                <w:szCs w:val="18"/>
              </w:rPr>
              <w:t>PBV PHA-owned Certification New Construction or Rehabilitation Part 2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38617C02"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350" w:type="dxa"/>
            <w:tcBorders>
              <w:top w:val="nil"/>
              <w:left w:val="nil"/>
              <w:bottom w:val="single" w:sz="4" w:space="0" w:color="auto"/>
              <w:right w:val="single" w:sz="4" w:space="0" w:color="auto"/>
            </w:tcBorders>
            <w:vAlign w:val="center"/>
            <w:hideMark/>
          </w:tcPr>
          <w:p w:rsidR="006A18E9" w:rsidRPr="00F6537A" w:rsidP="006A18E9" w14:paraId="0EDF2695"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21D7CB0B"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990" w:type="dxa"/>
            <w:tcBorders>
              <w:top w:val="nil"/>
              <w:left w:val="nil"/>
              <w:bottom w:val="single" w:sz="4" w:space="0" w:color="auto"/>
              <w:right w:val="single" w:sz="4" w:space="0" w:color="auto"/>
            </w:tcBorders>
            <w:vAlign w:val="center"/>
            <w:hideMark/>
          </w:tcPr>
          <w:p w:rsidR="006A18E9" w:rsidRPr="00F6537A" w:rsidP="006A18E9" w14:paraId="6E951F36"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69DB5FFD"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080" w:type="dxa"/>
            <w:tcBorders>
              <w:top w:val="nil"/>
              <w:left w:val="nil"/>
              <w:bottom w:val="single" w:sz="4" w:space="0" w:color="auto"/>
              <w:right w:val="single" w:sz="4" w:space="0" w:color="auto"/>
            </w:tcBorders>
            <w:vAlign w:val="center"/>
            <w:hideMark/>
          </w:tcPr>
          <w:p w:rsidR="006A18E9" w:rsidRPr="00F6537A" w:rsidP="006A18E9" w14:paraId="1FFE530A"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AC47036" w14:textId="77777777">
            <w:pPr>
              <w:overflowPunct/>
              <w:autoSpaceDE/>
              <w:autoSpaceDN/>
              <w:adjustRightInd/>
              <w:jc w:val="right"/>
              <w:textAlignment w:val="auto"/>
              <w:rPr>
                <w:color w:val="000000"/>
                <w:sz w:val="18"/>
                <w:szCs w:val="18"/>
              </w:rPr>
            </w:pPr>
            <w:r w:rsidRPr="00F6537A">
              <w:rPr>
                <w:color w:val="000000"/>
                <w:sz w:val="18"/>
                <w:szCs w:val="18"/>
              </w:rPr>
              <w:t xml:space="preserve">$586.82 </w:t>
            </w:r>
          </w:p>
        </w:tc>
      </w:tr>
      <w:tr w14:paraId="61DD4AEE" w14:textId="77777777" w:rsidTr="00F6537A">
        <w:tblPrEx>
          <w:tblW w:w="11151" w:type="dxa"/>
          <w:tblInd w:w="-275" w:type="dxa"/>
          <w:tblLayout w:type="fixed"/>
          <w:tblLook w:val="04A0"/>
        </w:tblPrEx>
        <w:trPr>
          <w:cantSplit/>
          <w:trHeight w:val="872"/>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0A8DFEAF" w14:textId="77777777">
            <w:pPr>
              <w:overflowPunct/>
              <w:autoSpaceDE/>
              <w:autoSpaceDN/>
              <w:adjustRightInd/>
              <w:textAlignment w:val="auto"/>
              <w:rPr>
                <w:sz w:val="18"/>
                <w:szCs w:val="18"/>
              </w:rPr>
            </w:pPr>
            <w:r w:rsidRPr="00F6537A">
              <w:rPr>
                <w:sz w:val="18"/>
                <w:szCs w:val="18"/>
              </w:rPr>
              <w:t>PBV HAP Contract Rider - Rehabilitated Housing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047029D6" w14:textId="77777777">
            <w:pPr>
              <w:overflowPunct/>
              <w:autoSpaceDE/>
              <w:autoSpaceDN/>
              <w:adjustRightInd/>
              <w:jc w:val="right"/>
              <w:textAlignment w:val="auto"/>
              <w:rPr>
                <w:color w:val="000000"/>
                <w:sz w:val="18"/>
                <w:szCs w:val="18"/>
              </w:rPr>
            </w:pPr>
            <w:r w:rsidRPr="00F6537A">
              <w:rPr>
                <w:color w:val="000000"/>
                <w:sz w:val="18"/>
                <w:szCs w:val="18"/>
              </w:rPr>
              <w:t>26</w:t>
            </w:r>
          </w:p>
        </w:tc>
        <w:tc>
          <w:tcPr>
            <w:tcW w:w="1350" w:type="dxa"/>
            <w:tcBorders>
              <w:top w:val="nil"/>
              <w:left w:val="nil"/>
              <w:bottom w:val="single" w:sz="4" w:space="0" w:color="auto"/>
              <w:right w:val="single" w:sz="4" w:space="0" w:color="auto"/>
            </w:tcBorders>
            <w:vAlign w:val="center"/>
            <w:hideMark/>
          </w:tcPr>
          <w:p w:rsidR="006A18E9" w:rsidRPr="00F6537A" w:rsidP="006A18E9" w14:paraId="5E01BB4D"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037B5A89" w14:textId="77777777">
            <w:pPr>
              <w:overflowPunct/>
              <w:autoSpaceDE/>
              <w:autoSpaceDN/>
              <w:adjustRightInd/>
              <w:jc w:val="right"/>
              <w:textAlignment w:val="auto"/>
              <w:rPr>
                <w:color w:val="000000"/>
                <w:sz w:val="18"/>
                <w:szCs w:val="18"/>
              </w:rPr>
            </w:pPr>
            <w:r w:rsidRPr="00F6537A">
              <w:rPr>
                <w:color w:val="000000"/>
                <w:sz w:val="18"/>
                <w:szCs w:val="18"/>
              </w:rPr>
              <w:t>26</w:t>
            </w:r>
          </w:p>
        </w:tc>
        <w:tc>
          <w:tcPr>
            <w:tcW w:w="990" w:type="dxa"/>
            <w:tcBorders>
              <w:top w:val="nil"/>
              <w:left w:val="nil"/>
              <w:bottom w:val="single" w:sz="4" w:space="0" w:color="auto"/>
              <w:right w:val="single" w:sz="4" w:space="0" w:color="auto"/>
            </w:tcBorders>
            <w:vAlign w:val="center"/>
            <w:hideMark/>
          </w:tcPr>
          <w:p w:rsidR="006A18E9" w:rsidRPr="00F6537A" w:rsidP="006A18E9" w14:paraId="2E4CD9EA"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5550BCEC"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080" w:type="dxa"/>
            <w:tcBorders>
              <w:top w:val="nil"/>
              <w:left w:val="nil"/>
              <w:bottom w:val="single" w:sz="4" w:space="0" w:color="auto"/>
              <w:right w:val="single" w:sz="4" w:space="0" w:color="auto"/>
            </w:tcBorders>
            <w:vAlign w:val="center"/>
            <w:hideMark/>
          </w:tcPr>
          <w:p w:rsidR="006A18E9" w:rsidRPr="00F6537A" w:rsidP="006A18E9" w14:paraId="156C9E8D"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030B4185" w14:textId="77777777">
            <w:pPr>
              <w:overflowPunct/>
              <w:autoSpaceDE/>
              <w:autoSpaceDN/>
              <w:adjustRightInd/>
              <w:jc w:val="right"/>
              <w:textAlignment w:val="auto"/>
              <w:rPr>
                <w:color w:val="000000"/>
                <w:sz w:val="18"/>
                <w:szCs w:val="18"/>
              </w:rPr>
            </w:pPr>
            <w:r w:rsidRPr="00F6537A">
              <w:rPr>
                <w:color w:val="000000"/>
                <w:sz w:val="18"/>
                <w:szCs w:val="18"/>
              </w:rPr>
              <w:t xml:space="preserve">$586.82 </w:t>
            </w:r>
          </w:p>
        </w:tc>
      </w:tr>
      <w:tr w14:paraId="5079A7CF" w14:textId="77777777" w:rsidTr="00F6537A">
        <w:tblPrEx>
          <w:tblW w:w="11151" w:type="dxa"/>
          <w:tblInd w:w="-275" w:type="dxa"/>
          <w:tblLayout w:type="fixed"/>
          <w:tblLook w:val="04A0"/>
        </w:tblPrEx>
        <w:trPr>
          <w:cantSplit/>
          <w:trHeight w:val="12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01906E79" w14:textId="77777777">
            <w:pPr>
              <w:overflowPunct/>
              <w:autoSpaceDE/>
              <w:autoSpaceDN/>
              <w:adjustRightInd/>
              <w:textAlignment w:val="auto"/>
              <w:rPr>
                <w:sz w:val="18"/>
                <w:szCs w:val="18"/>
              </w:rPr>
            </w:pPr>
            <w:r w:rsidRPr="00F6537A">
              <w:rPr>
                <w:sz w:val="18"/>
                <w:szCs w:val="18"/>
              </w:rPr>
              <w:t>PBV PHA-owned Certification Rider - Rehabilitated Housing (HUD-XXXXX)</w:t>
            </w:r>
          </w:p>
        </w:tc>
        <w:tc>
          <w:tcPr>
            <w:tcW w:w="1260" w:type="dxa"/>
            <w:tcBorders>
              <w:top w:val="nil"/>
              <w:left w:val="nil"/>
              <w:bottom w:val="single" w:sz="4" w:space="0" w:color="auto"/>
              <w:right w:val="single" w:sz="4" w:space="0" w:color="auto"/>
            </w:tcBorders>
            <w:vAlign w:val="center"/>
            <w:hideMark/>
          </w:tcPr>
          <w:p w:rsidR="006A18E9" w:rsidRPr="00F6537A" w:rsidP="006A18E9" w14:paraId="1CEAD28E" w14:textId="77777777">
            <w:pPr>
              <w:overflowPunct/>
              <w:autoSpaceDE/>
              <w:autoSpaceDN/>
              <w:adjustRightInd/>
              <w:jc w:val="right"/>
              <w:textAlignment w:val="auto"/>
              <w:rPr>
                <w:color w:val="000000"/>
                <w:sz w:val="18"/>
                <w:szCs w:val="18"/>
              </w:rPr>
            </w:pPr>
            <w:r w:rsidRPr="00F6537A">
              <w:rPr>
                <w:color w:val="000000"/>
                <w:sz w:val="18"/>
                <w:szCs w:val="18"/>
              </w:rPr>
              <w:t>3</w:t>
            </w:r>
          </w:p>
        </w:tc>
        <w:tc>
          <w:tcPr>
            <w:tcW w:w="1350" w:type="dxa"/>
            <w:tcBorders>
              <w:top w:val="nil"/>
              <w:left w:val="nil"/>
              <w:bottom w:val="single" w:sz="4" w:space="0" w:color="auto"/>
              <w:right w:val="single" w:sz="4" w:space="0" w:color="auto"/>
            </w:tcBorders>
            <w:vAlign w:val="center"/>
            <w:hideMark/>
          </w:tcPr>
          <w:p w:rsidR="006A18E9" w:rsidRPr="00F6537A" w:rsidP="006A18E9" w14:paraId="779C46B5"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41519124" w14:textId="77777777">
            <w:pPr>
              <w:overflowPunct/>
              <w:autoSpaceDE/>
              <w:autoSpaceDN/>
              <w:adjustRightInd/>
              <w:jc w:val="right"/>
              <w:textAlignment w:val="auto"/>
              <w:rPr>
                <w:color w:val="000000"/>
                <w:sz w:val="18"/>
                <w:szCs w:val="18"/>
              </w:rPr>
            </w:pPr>
            <w:r w:rsidRPr="00F6537A">
              <w:rPr>
                <w:color w:val="000000"/>
                <w:sz w:val="18"/>
                <w:szCs w:val="18"/>
              </w:rPr>
              <w:t>3</w:t>
            </w:r>
          </w:p>
        </w:tc>
        <w:tc>
          <w:tcPr>
            <w:tcW w:w="990" w:type="dxa"/>
            <w:tcBorders>
              <w:top w:val="nil"/>
              <w:left w:val="nil"/>
              <w:bottom w:val="single" w:sz="4" w:space="0" w:color="auto"/>
              <w:right w:val="single" w:sz="4" w:space="0" w:color="auto"/>
            </w:tcBorders>
            <w:vAlign w:val="center"/>
            <w:hideMark/>
          </w:tcPr>
          <w:p w:rsidR="006A18E9" w:rsidRPr="00F6537A" w:rsidP="006A18E9" w14:paraId="7139EC37"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5627E786" w14:textId="77777777">
            <w:pPr>
              <w:overflowPunct/>
              <w:autoSpaceDE/>
              <w:autoSpaceDN/>
              <w:adjustRightInd/>
              <w:jc w:val="right"/>
              <w:textAlignment w:val="auto"/>
              <w:rPr>
                <w:color w:val="000000"/>
                <w:sz w:val="18"/>
                <w:szCs w:val="18"/>
              </w:rPr>
            </w:pPr>
            <w:r w:rsidRPr="00F6537A">
              <w:rPr>
                <w:color w:val="000000"/>
                <w:sz w:val="18"/>
                <w:szCs w:val="18"/>
              </w:rPr>
              <w:t>1.5</w:t>
            </w:r>
          </w:p>
        </w:tc>
        <w:tc>
          <w:tcPr>
            <w:tcW w:w="1080" w:type="dxa"/>
            <w:tcBorders>
              <w:top w:val="nil"/>
              <w:left w:val="nil"/>
              <w:bottom w:val="single" w:sz="4" w:space="0" w:color="auto"/>
              <w:right w:val="single" w:sz="4" w:space="0" w:color="auto"/>
            </w:tcBorders>
            <w:vAlign w:val="center"/>
            <w:hideMark/>
          </w:tcPr>
          <w:p w:rsidR="006A18E9" w:rsidRPr="00F6537A" w:rsidP="006A18E9" w14:paraId="53E9EF19"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50866FBE" w14:textId="77777777">
            <w:pPr>
              <w:overflowPunct/>
              <w:autoSpaceDE/>
              <w:autoSpaceDN/>
              <w:adjustRightInd/>
              <w:jc w:val="right"/>
              <w:textAlignment w:val="auto"/>
              <w:rPr>
                <w:color w:val="000000"/>
                <w:sz w:val="18"/>
                <w:szCs w:val="18"/>
              </w:rPr>
            </w:pPr>
            <w:r w:rsidRPr="00F6537A">
              <w:rPr>
                <w:color w:val="000000"/>
                <w:sz w:val="18"/>
                <w:szCs w:val="18"/>
              </w:rPr>
              <w:t xml:space="preserve">$67.71 </w:t>
            </w:r>
          </w:p>
        </w:tc>
      </w:tr>
      <w:tr w14:paraId="590987EA" w14:textId="77777777" w:rsidTr="00262689">
        <w:tblPrEx>
          <w:tblW w:w="11151" w:type="dxa"/>
          <w:tblInd w:w="-275" w:type="dxa"/>
          <w:tblLayout w:type="fixed"/>
          <w:tblLook w:val="04A0"/>
        </w:tblPrEx>
        <w:trPr>
          <w:cantSplit/>
          <w:trHeight w:val="386"/>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96618D" w:rsidRPr="00F6537A" w:rsidP="00F6537A" w14:paraId="08FFD135" w14:textId="191386F4">
            <w:pPr>
              <w:overflowPunct/>
              <w:autoSpaceDE/>
              <w:autoSpaceDN/>
              <w:adjustRightInd/>
              <w:textAlignment w:val="auto"/>
              <w:rPr>
                <w:color w:val="000000"/>
                <w:sz w:val="18"/>
                <w:szCs w:val="18"/>
              </w:rPr>
            </w:pPr>
            <w:r w:rsidRPr="00F6537A">
              <w:rPr>
                <w:b/>
                <w:bCs/>
                <w:color w:val="000000"/>
                <w:sz w:val="18"/>
                <w:szCs w:val="18"/>
              </w:rPr>
              <w:t>Other Renewal Forms</w:t>
            </w:r>
          </w:p>
        </w:tc>
      </w:tr>
      <w:tr w14:paraId="4C728F6E" w14:textId="77777777" w:rsidTr="00F6537A">
        <w:tblPrEx>
          <w:tblW w:w="11151" w:type="dxa"/>
          <w:tblInd w:w="-275" w:type="dxa"/>
          <w:tblLayout w:type="fixed"/>
          <w:tblLook w:val="04A0"/>
        </w:tblPrEx>
        <w:trPr>
          <w:cantSplit/>
          <w:trHeight w:val="9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59094630" w14:textId="77777777">
            <w:pPr>
              <w:overflowPunct/>
              <w:autoSpaceDE/>
              <w:autoSpaceDN/>
              <w:adjustRightInd/>
              <w:textAlignment w:val="auto"/>
              <w:rPr>
                <w:sz w:val="18"/>
                <w:szCs w:val="18"/>
              </w:rPr>
            </w:pPr>
            <w:r w:rsidRPr="00F6537A">
              <w:rPr>
                <w:sz w:val="18"/>
                <w:szCs w:val="18"/>
              </w:rPr>
              <w:t>Tribal HUD-VASH Leasing Performance Report (HUD-5980)</w:t>
            </w:r>
          </w:p>
        </w:tc>
        <w:tc>
          <w:tcPr>
            <w:tcW w:w="1260" w:type="dxa"/>
            <w:tcBorders>
              <w:top w:val="nil"/>
              <w:left w:val="nil"/>
              <w:bottom w:val="single" w:sz="4" w:space="0" w:color="auto"/>
              <w:right w:val="single" w:sz="4" w:space="0" w:color="auto"/>
            </w:tcBorders>
            <w:vAlign w:val="center"/>
            <w:hideMark/>
          </w:tcPr>
          <w:p w:rsidR="006A18E9" w:rsidRPr="00F6537A" w:rsidP="006A18E9" w14:paraId="53D682B7" w14:textId="77777777">
            <w:pPr>
              <w:overflowPunct/>
              <w:autoSpaceDE/>
              <w:autoSpaceDN/>
              <w:adjustRightInd/>
              <w:jc w:val="right"/>
              <w:textAlignment w:val="auto"/>
              <w:rPr>
                <w:color w:val="000000"/>
                <w:sz w:val="18"/>
                <w:szCs w:val="18"/>
              </w:rPr>
            </w:pPr>
            <w:r w:rsidRPr="00F6537A">
              <w:rPr>
                <w:color w:val="000000"/>
                <w:sz w:val="18"/>
                <w:szCs w:val="18"/>
              </w:rPr>
              <w:t>26</w:t>
            </w:r>
          </w:p>
        </w:tc>
        <w:tc>
          <w:tcPr>
            <w:tcW w:w="1350" w:type="dxa"/>
            <w:tcBorders>
              <w:top w:val="nil"/>
              <w:left w:val="nil"/>
              <w:bottom w:val="single" w:sz="4" w:space="0" w:color="auto"/>
              <w:right w:val="single" w:sz="4" w:space="0" w:color="auto"/>
            </w:tcBorders>
            <w:vAlign w:val="center"/>
            <w:hideMark/>
          </w:tcPr>
          <w:p w:rsidR="006A18E9" w:rsidRPr="00F6537A" w:rsidP="006A18E9" w14:paraId="67619A2B"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26644ED8" w14:textId="77777777">
            <w:pPr>
              <w:overflowPunct/>
              <w:autoSpaceDE/>
              <w:autoSpaceDN/>
              <w:adjustRightInd/>
              <w:jc w:val="right"/>
              <w:textAlignment w:val="auto"/>
              <w:rPr>
                <w:color w:val="000000"/>
                <w:sz w:val="18"/>
                <w:szCs w:val="18"/>
              </w:rPr>
            </w:pPr>
            <w:r w:rsidRPr="00F6537A">
              <w:rPr>
                <w:color w:val="000000"/>
                <w:sz w:val="18"/>
                <w:szCs w:val="18"/>
              </w:rPr>
              <w:t>26</w:t>
            </w:r>
          </w:p>
        </w:tc>
        <w:tc>
          <w:tcPr>
            <w:tcW w:w="990" w:type="dxa"/>
            <w:tcBorders>
              <w:top w:val="nil"/>
              <w:left w:val="nil"/>
              <w:bottom w:val="single" w:sz="4" w:space="0" w:color="auto"/>
              <w:right w:val="single" w:sz="4" w:space="0" w:color="auto"/>
            </w:tcBorders>
            <w:vAlign w:val="center"/>
            <w:hideMark/>
          </w:tcPr>
          <w:p w:rsidR="006A18E9" w:rsidRPr="00F6537A" w:rsidP="006A18E9" w14:paraId="71318B88"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14C2E329" w14:textId="77777777">
            <w:pPr>
              <w:overflowPunct/>
              <w:autoSpaceDE/>
              <w:autoSpaceDN/>
              <w:adjustRightInd/>
              <w:jc w:val="right"/>
              <w:textAlignment w:val="auto"/>
              <w:rPr>
                <w:color w:val="000000"/>
                <w:sz w:val="18"/>
                <w:szCs w:val="18"/>
              </w:rPr>
            </w:pPr>
            <w:r w:rsidRPr="00F6537A">
              <w:rPr>
                <w:color w:val="000000"/>
                <w:sz w:val="18"/>
                <w:szCs w:val="18"/>
              </w:rPr>
              <w:t>13</w:t>
            </w:r>
          </w:p>
        </w:tc>
        <w:tc>
          <w:tcPr>
            <w:tcW w:w="1080" w:type="dxa"/>
            <w:tcBorders>
              <w:top w:val="nil"/>
              <w:left w:val="nil"/>
              <w:bottom w:val="single" w:sz="4" w:space="0" w:color="auto"/>
              <w:right w:val="single" w:sz="4" w:space="0" w:color="auto"/>
            </w:tcBorders>
            <w:vAlign w:val="center"/>
            <w:hideMark/>
          </w:tcPr>
          <w:p w:rsidR="006A18E9" w:rsidRPr="00F6537A" w:rsidP="006A18E9" w14:paraId="13914E06"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486B0383" w14:textId="77777777">
            <w:pPr>
              <w:overflowPunct/>
              <w:autoSpaceDE/>
              <w:autoSpaceDN/>
              <w:adjustRightInd/>
              <w:jc w:val="right"/>
              <w:textAlignment w:val="auto"/>
              <w:rPr>
                <w:color w:val="000000"/>
                <w:sz w:val="18"/>
                <w:szCs w:val="18"/>
              </w:rPr>
            </w:pPr>
            <w:r w:rsidRPr="00F6537A">
              <w:rPr>
                <w:color w:val="000000"/>
                <w:sz w:val="18"/>
                <w:szCs w:val="18"/>
              </w:rPr>
              <w:t xml:space="preserve">$586.82 </w:t>
            </w:r>
          </w:p>
        </w:tc>
      </w:tr>
      <w:tr w14:paraId="7EC23BAA" w14:textId="77777777" w:rsidTr="00F6537A">
        <w:tblPrEx>
          <w:tblW w:w="11151" w:type="dxa"/>
          <w:tblInd w:w="-275" w:type="dxa"/>
          <w:tblLayout w:type="fixed"/>
          <w:tblLook w:val="04A0"/>
        </w:tblPrEx>
        <w:trPr>
          <w:cantSplit/>
          <w:trHeight w:val="9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61F55CCE" w14:textId="77777777">
            <w:pPr>
              <w:overflowPunct/>
              <w:autoSpaceDE/>
              <w:autoSpaceDN/>
              <w:adjustRightInd/>
              <w:textAlignment w:val="auto"/>
              <w:rPr>
                <w:sz w:val="18"/>
                <w:szCs w:val="18"/>
              </w:rPr>
            </w:pPr>
            <w:r w:rsidRPr="00F6537A">
              <w:rPr>
                <w:sz w:val="18"/>
                <w:szCs w:val="18"/>
              </w:rPr>
              <w:t>Unexploded Ordnance Hazards Disclosure (HUD-50164)</w:t>
            </w:r>
          </w:p>
        </w:tc>
        <w:tc>
          <w:tcPr>
            <w:tcW w:w="1260" w:type="dxa"/>
            <w:tcBorders>
              <w:top w:val="nil"/>
              <w:left w:val="nil"/>
              <w:bottom w:val="single" w:sz="4" w:space="0" w:color="auto"/>
              <w:right w:val="single" w:sz="4" w:space="0" w:color="auto"/>
            </w:tcBorders>
            <w:vAlign w:val="center"/>
            <w:hideMark/>
          </w:tcPr>
          <w:p w:rsidR="006A18E9" w:rsidRPr="00F6537A" w:rsidP="006A18E9" w14:paraId="1CF62F9E" w14:textId="77777777">
            <w:pPr>
              <w:overflowPunct/>
              <w:autoSpaceDE/>
              <w:autoSpaceDN/>
              <w:adjustRightInd/>
              <w:jc w:val="right"/>
              <w:textAlignment w:val="auto"/>
              <w:rPr>
                <w:color w:val="000000"/>
                <w:sz w:val="18"/>
                <w:szCs w:val="18"/>
              </w:rPr>
            </w:pPr>
            <w:r w:rsidRPr="00F6537A">
              <w:rPr>
                <w:color w:val="000000"/>
                <w:sz w:val="18"/>
                <w:szCs w:val="18"/>
              </w:rPr>
              <w:t>100</w:t>
            </w:r>
          </w:p>
        </w:tc>
        <w:tc>
          <w:tcPr>
            <w:tcW w:w="1350" w:type="dxa"/>
            <w:tcBorders>
              <w:top w:val="nil"/>
              <w:left w:val="nil"/>
              <w:bottom w:val="single" w:sz="4" w:space="0" w:color="auto"/>
              <w:right w:val="single" w:sz="4" w:space="0" w:color="auto"/>
            </w:tcBorders>
            <w:vAlign w:val="center"/>
            <w:hideMark/>
          </w:tcPr>
          <w:p w:rsidR="006A18E9" w:rsidRPr="00F6537A" w:rsidP="006A18E9" w14:paraId="2B8D7FA4"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6E6675BD" w14:textId="77777777">
            <w:pPr>
              <w:overflowPunct/>
              <w:autoSpaceDE/>
              <w:autoSpaceDN/>
              <w:adjustRightInd/>
              <w:jc w:val="right"/>
              <w:textAlignment w:val="auto"/>
              <w:rPr>
                <w:color w:val="000000"/>
                <w:sz w:val="18"/>
                <w:szCs w:val="18"/>
              </w:rPr>
            </w:pPr>
            <w:r w:rsidRPr="00F6537A">
              <w:rPr>
                <w:color w:val="000000"/>
                <w:sz w:val="18"/>
                <w:szCs w:val="18"/>
              </w:rPr>
              <w:t>100</w:t>
            </w:r>
          </w:p>
        </w:tc>
        <w:tc>
          <w:tcPr>
            <w:tcW w:w="990" w:type="dxa"/>
            <w:tcBorders>
              <w:top w:val="nil"/>
              <w:left w:val="nil"/>
              <w:bottom w:val="single" w:sz="4" w:space="0" w:color="auto"/>
              <w:right w:val="single" w:sz="4" w:space="0" w:color="auto"/>
            </w:tcBorders>
            <w:vAlign w:val="center"/>
            <w:hideMark/>
          </w:tcPr>
          <w:p w:rsidR="006A18E9" w:rsidRPr="00F6537A" w:rsidP="006A18E9" w14:paraId="6BBFD895" w14:textId="77777777">
            <w:pPr>
              <w:overflowPunct/>
              <w:autoSpaceDE/>
              <w:autoSpaceDN/>
              <w:adjustRightInd/>
              <w:jc w:val="right"/>
              <w:textAlignment w:val="auto"/>
              <w:rPr>
                <w:color w:val="000000"/>
                <w:sz w:val="18"/>
                <w:szCs w:val="18"/>
              </w:rPr>
            </w:pPr>
            <w:r w:rsidRPr="00F6537A">
              <w:rPr>
                <w:color w:val="000000"/>
                <w:sz w:val="18"/>
                <w:szCs w:val="18"/>
              </w:rPr>
              <w:t>0.3</w:t>
            </w:r>
          </w:p>
        </w:tc>
        <w:tc>
          <w:tcPr>
            <w:tcW w:w="1530" w:type="dxa"/>
            <w:tcBorders>
              <w:top w:val="nil"/>
              <w:left w:val="nil"/>
              <w:bottom w:val="single" w:sz="4" w:space="0" w:color="auto"/>
              <w:right w:val="single" w:sz="4" w:space="0" w:color="auto"/>
            </w:tcBorders>
            <w:vAlign w:val="center"/>
            <w:hideMark/>
          </w:tcPr>
          <w:p w:rsidR="006A18E9" w:rsidRPr="00F6537A" w:rsidP="006A18E9" w14:paraId="39E4AEF6" w14:textId="77777777">
            <w:pPr>
              <w:overflowPunct/>
              <w:autoSpaceDE/>
              <w:autoSpaceDN/>
              <w:adjustRightInd/>
              <w:jc w:val="right"/>
              <w:textAlignment w:val="auto"/>
              <w:rPr>
                <w:color w:val="000000"/>
                <w:sz w:val="18"/>
                <w:szCs w:val="18"/>
              </w:rPr>
            </w:pPr>
            <w:r w:rsidRPr="00F6537A">
              <w:rPr>
                <w:color w:val="000000"/>
                <w:sz w:val="18"/>
                <w:szCs w:val="18"/>
              </w:rPr>
              <w:t>30</w:t>
            </w:r>
          </w:p>
        </w:tc>
        <w:tc>
          <w:tcPr>
            <w:tcW w:w="1080" w:type="dxa"/>
            <w:tcBorders>
              <w:top w:val="nil"/>
              <w:left w:val="nil"/>
              <w:bottom w:val="single" w:sz="4" w:space="0" w:color="auto"/>
              <w:right w:val="single" w:sz="4" w:space="0" w:color="auto"/>
            </w:tcBorders>
            <w:vAlign w:val="center"/>
            <w:hideMark/>
          </w:tcPr>
          <w:p w:rsidR="006A18E9" w:rsidRPr="00F6537A" w:rsidP="006A18E9" w14:paraId="1518DD53"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5EF7757" w14:textId="77777777">
            <w:pPr>
              <w:overflowPunct/>
              <w:autoSpaceDE/>
              <w:autoSpaceDN/>
              <w:adjustRightInd/>
              <w:jc w:val="right"/>
              <w:textAlignment w:val="auto"/>
              <w:rPr>
                <w:color w:val="000000"/>
                <w:sz w:val="18"/>
                <w:szCs w:val="18"/>
              </w:rPr>
            </w:pPr>
            <w:r w:rsidRPr="00F6537A">
              <w:rPr>
                <w:color w:val="000000"/>
                <w:sz w:val="18"/>
                <w:szCs w:val="18"/>
              </w:rPr>
              <w:t xml:space="preserve">$1,354.20 </w:t>
            </w:r>
          </w:p>
        </w:tc>
      </w:tr>
      <w:tr w14:paraId="323B40C1" w14:textId="77777777" w:rsidTr="0053578F">
        <w:tblPrEx>
          <w:tblW w:w="11151" w:type="dxa"/>
          <w:tblInd w:w="-275" w:type="dxa"/>
          <w:tblLayout w:type="fixed"/>
          <w:tblLook w:val="04A0"/>
        </w:tblPrEx>
        <w:trPr>
          <w:cantSplit/>
          <w:trHeight w:val="413"/>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53578F" w:rsidRPr="00F6537A" w:rsidP="00F6537A" w14:paraId="7D795192" w14:textId="7326C356">
            <w:pPr>
              <w:overflowPunct/>
              <w:autoSpaceDE/>
              <w:autoSpaceDN/>
              <w:adjustRightInd/>
              <w:textAlignment w:val="auto"/>
              <w:rPr>
                <w:color w:val="000000"/>
                <w:sz w:val="18"/>
                <w:szCs w:val="18"/>
              </w:rPr>
            </w:pPr>
            <w:r w:rsidRPr="00F6537A">
              <w:rPr>
                <w:b/>
                <w:bCs/>
                <w:color w:val="000000"/>
                <w:sz w:val="18"/>
                <w:szCs w:val="18"/>
              </w:rPr>
              <w:t>HCV Information Collection - not HUD forms</w:t>
            </w:r>
          </w:p>
        </w:tc>
      </w:tr>
      <w:tr w14:paraId="54863FBF"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5C425CBE" w14:textId="77777777">
            <w:pPr>
              <w:overflowPunct/>
              <w:autoSpaceDE/>
              <w:autoSpaceDN/>
              <w:adjustRightInd/>
              <w:textAlignment w:val="auto"/>
              <w:rPr>
                <w:sz w:val="18"/>
                <w:szCs w:val="18"/>
              </w:rPr>
            </w:pPr>
            <w:r w:rsidRPr="00F6537A">
              <w:rPr>
                <w:sz w:val="18"/>
                <w:szCs w:val="18"/>
              </w:rPr>
              <w:t>Notice of Unit Approval/Denial</w:t>
            </w:r>
          </w:p>
        </w:tc>
        <w:tc>
          <w:tcPr>
            <w:tcW w:w="1260" w:type="dxa"/>
            <w:tcBorders>
              <w:top w:val="nil"/>
              <w:left w:val="nil"/>
              <w:bottom w:val="single" w:sz="4" w:space="0" w:color="auto"/>
              <w:right w:val="single" w:sz="4" w:space="0" w:color="auto"/>
            </w:tcBorders>
            <w:vAlign w:val="center"/>
            <w:hideMark/>
          </w:tcPr>
          <w:p w:rsidR="006A18E9" w:rsidRPr="00F6537A" w:rsidP="006A18E9" w14:paraId="78ECBBA3"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2CE75B85" w14:textId="77777777">
            <w:pPr>
              <w:overflowPunct/>
              <w:autoSpaceDE/>
              <w:autoSpaceDN/>
              <w:adjustRightInd/>
              <w:jc w:val="right"/>
              <w:textAlignment w:val="auto"/>
              <w:rPr>
                <w:color w:val="000000"/>
                <w:sz w:val="18"/>
                <w:szCs w:val="18"/>
              </w:rPr>
            </w:pPr>
            <w:r w:rsidRPr="00F6537A">
              <w:rPr>
                <w:color w:val="000000"/>
                <w:sz w:val="18"/>
                <w:szCs w:val="18"/>
              </w:rPr>
              <w:t>55</w:t>
            </w:r>
          </w:p>
        </w:tc>
        <w:tc>
          <w:tcPr>
            <w:tcW w:w="1260" w:type="dxa"/>
            <w:tcBorders>
              <w:top w:val="nil"/>
              <w:left w:val="nil"/>
              <w:bottom w:val="single" w:sz="4" w:space="0" w:color="auto"/>
              <w:right w:val="single" w:sz="4" w:space="0" w:color="auto"/>
            </w:tcBorders>
            <w:vAlign w:val="center"/>
            <w:hideMark/>
          </w:tcPr>
          <w:p w:rsidR="006A18E9" w:rsidRPr="00F6537A" w:rsidP="006A18E9" w14:paraId="42AEC82C" w14:textId="77777777">
            <w:pPr>
              <w:overflowPunct/>
              <w:autoSpaceDE/>
              <w:autoSpaceDN/>
              <w:adjustRightInd/>
              <w:jc w:val="right"/>
              <w:textAlignment w:val="auto"/>
              <w:rPr>
                <w:color w:val="000000"/>
                <w:sz w:val="18"/>
                <w:szCs w:val="18"/>
              </w:rPr>
            </w:pPr>
            <w:r w:rsidRPr="00F6537A">
              <w:rPr>
                <w:color w:val="000000"/>
                <w:sz w:val="18"/>
                <w:szCs w:val="18"/>
              </w:rPr>
              <w:t>120,560</w:t>
            </w:r>
          </w:p>
        </w:tc>
        <w:tc>
          <w:tcPr>
            <w:tcW w:w="990" w:type="dxa"/>
            <w:tcBorders>
              <w:top w:val="nil"/>
              <w:left w:val="nil"/>
              <w:bottom w:val="single" w:sz="4" w:space="0" w:color="auto"/>
              <w:right w:val="single" w:sz="4" w:space="0" w:color="auto"/>
            </w:tcBorders>
            <w:vAlign w:val="center"/>
            <w:hideMark/>
          </w:tcPr>
          <w:p w:rsidR="006A18E9" w:rsidRPr="00F6537A" w:rsidP="006A18E9" w14:paraId="46420511"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6DC94925" w14:textId="77777777">
            <w:pPr>
              <w:overflowPunct/>
              <w:autoSpaceDE/>
              <w:autoSpaceDN/>
              <w:adjustRightInd/>
              <w:jc w:val="right"/>
              <w:textAlignment w:val="auto"/>
              <w:rPr>
                <w:color w:val="000000"/>
                <w:sz w:val="18"/>
                <w:szCs w:val="18"/>
              </w:rPr>
            </w:pPr>
            <w:r w:rsidRPr="00F6537A">
              <w:rPr>
                <w:color w:val="000000"/>
                <w:sz w:val="18"/>
                <w:szCs w:val="18"/>
              </w:rPr>
              <w:t>60,280.00</w:t>
            </w:r>
          </w:p>
        </w:tc>
        <w:tc>
          <w:tcPr>
            <w:tcW w:w="1080" w:type="dxa"/>
            <w:tcBorders>
              <w:top w:val="nil"/>
              <w:left w:val="nil"/>
              <w:bottom w:val="single" w:sz="4" w:space="0" w:color="auto"/>
              <w:right w:val="single" w:sz="4" w:space="0" w:color="auto"/>
            </w:tcBorders>
            <w:vAlign w:val="center"/>
            <w:hideMark/>
          </w:tcPr>
          <w:p w:rsidR="006A18E9" w:rsidRPr="00F6537A" w:rsidP="006A18E9" w14:paraId="5E0806D4"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4FACC8D" w14:textId="77777777">
            <w:pPr>
              <w:overflowPunct/>
              <w:autoSpaceDE/>
              <w:autoSpaceDN/>
              <w:adjustRightInd/>
              <w:jc w:val="right"/>
              <w:textAlignment w:val="auto"/>
              <w:rPr>
                <w:color w:val="000000"/>
                <w:sz w:val="18"/>
                <w:szCs w:val="18"/>
              </w:rPr>
            </w:pPr>
            <w:r w:rsidRPr="00F6537A">
              <w:rPr>
                <w:color w:val="000000"/>
                <w:sz w:val="18"/>
                <w:szCs w:val="18"/>
              </w:rPr>
              <w:t xml:space="preserve">$2,721,039.20 </w:t>
            </w:r>
          </w:p>
        </w:tc>
      </w:tr>
      <w:tr w14:paraId="07766D2B" w14:textId="77777777" w:rsidTr="00F6537A">
        <w:tblPrEx>
          <w:tblW w:w="11151" w:type="dxa"/>
          <w:tblInd w:w="-275" w:type="dxa"/>
          <w:tblLayout w:type="fixed"/>
          <w:tblLook w:val="04A0"/>
        </w:tblPrEx>
        <w:trPr>
          <w:cantSplit/>
          <w:trHeight w:val="1115"/>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3D486C69" w14:textId="77777777">
            <w:pPr>
              <w:overflowPunct/>
              <w:autoSpaceDE/>
              <w:autoSpaceDN/>
              <w:adjustRightInd/>
              <w:textAlignment w:val="auto"/>
              <w:rPr>
                <w:sz w:val="18"/>
                <w:szCs w:val="18"/>
              </w:rPr>
            </w:pPr>
            <w:r w:rsidRPr="00F6537A">
              <w:rPr>
                <w:sz w:val="18"/>
                <w:szCs w:val="18"/>
              </w:rPr>
              <w:t>Applications (Pre-Application, Application for Continued Occupancy, Interim Change)</w:t>
            </w:r>
            <w:r w:rsidRPr="00F6537A">
              <w:rPr>
                <w:sz w:val="18"/>
                <w:szCs w:val="18"/>
                <w:vertAlign w:val="superscript"/>
              </w:rPr>
              <w:t>4</w:t>
            </w:r>
          </w:p>
        </w:tc>
        <w:tc>
          <w:tcPr>
            <w:tcW w:w="1260" w:type="dxa"/>
            <w:tcBorders>
              <w:top w:val="nil"/>
              <w:left w:val="nil"/>
              <w:bottom w:val="single" w:sz="4" w:space="0" w:color="auto"/>
              <w:right w:val="single" w:sz="4" w:space="0" w:color="auto"/>
            </w:tcBorders>
            <w:vAlign w:val="center"/>
            <w:hideMark/>
          </w:tcPr>
          <w:p w:rsidR="006A18E9" w:rsidRPr="00F6537A" w:rsidP="006A18E9" w14:paraId="1E73D2CF"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5C6B20CB" w14:textId="77777777">
            <w:pPr>
              <w:overflowPunct/>
              <w:autoSpaceDE/>
              <w:autoSpaceDN/>
              <w:adjustRightInd/>
              <w:jc w:val="right"/>
              <w:textAlignment w:val="auto"/>
              <w:rPr>
                <w:color w:val="000000"/>
                <w:sz w:val="18"/>
                <w:szCs w:val="18"/>
              </w:rPr>
            </w:pPr>
            <w:r w:rsidRPr="00F6537A">
              <w:rPr>
                <w:color w:val="000000"/>
                <w:sz w:val="18"/>
                <w:szCs w:val="18"/>
              </w:rPr>
              <w:t>1,400</w:t>
            </w:r>
          </w:p>
        </w:tc>
        <w:tc>
          <w:tcPr>
            <w:tcW w:w="1260" w:type="dxa"/>
            <w:tcBorders>
              <w:top w:val="nil"/>
              <w:left w:val="nil"/>
              <w:bottom w:val="single" w:sz="4" w:space="0" w:color="auto"/>
              <w:right w:val="single" w:sz="4" w:space="0" w:color="auto"/>
            </w:tcBorders>
            <w:vAlign w:val="center"/>
            <w:hideMark/>
          </w:tcPr>
          <w:p w:rsidR="006A18E9" w:rsidRPr="00F6537A" w:rsidP="006A18E9" w14:paraId="14D60489" w14:textId="77777777">
            <w:pPr>
              <w:overflowPunct/>
              <w:autoSpaceDE/>
              <w:autoSpaceDN/>
              <w:adjustRightInd/>
              <w:jc w:val="right"/>
              <w:textAlignment w:val="auto"/>
              <w:rPr>
                <w:color w:val="000000"/>
                <w:sz w:val="18"/>
                <w:szCs w:val="18"/>
              </w:rPr>
            </w:pPr>
            <w:r w:rsidRPr="00F6537A">
              <w:rPr>
                <w:color w:val="000000"/>
                <w:sz w:val="18"/>
                <w:szCs w:val="18"/>
              </w:rPr>
              <w:t>3,068,800</w:t>
            </w:r>
          </w:p>
        </w:tc>
        <w:tc>
          <w:tcPr>
            <w:tcW w:w="990" w:type="dxa"/>
            <w:tcBorders>
              <w:top w:val="nil"/>
              <w:left w:val="nil"/>
              <w:bottom w:val="single" w:sz="4" w:space="0" w:color="auto"/>
              <w:right w:val="single" w:sz="4" w:space="0" w:color="auto"/>
            </w:tcBorders>
            <w:vAlign w:val="center"/>
            <w:hideMark/>
          </w:tcPr>
          <w:p w:rsidR="006A18E9" w:rsidRPr="00F6537A" w:rsidP="006A18E9" w14:paraId="7178A7C0"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3CC8627E" w14:textId="77777777">
            <w:pPr>
              <w:overflowPunct/>
              <w:autoSpaceDE/>
              <w:autoSpaceDN/>
              <w:adjustRightInd/>
              <w:jc w:val="right"/>
              <w:textAlignment w:val="auto"/>
              <w:rPr>
                <w:color w:val="000000"/>
                <w:sz w:val="18"/>
                <w:szCs w:val="18"/>
              </w:rPr>
            </w:pPr>
            <w:r w:rsidRPr="00F6537A">
              <w:rPr>
                <w:color w:val="000000"/>
                <w:sz w:val="18"/>
                <w:szCs w:val="18"/>
              </w:rPr>
              <w:t>767,200.00</w:t>
            </w:r>
          </w:p>
        </w:tc>
        <w:tc>
          <w:tcPr>
            <w:tcW w:w="1080" w:type="dxa"/>
            <w:tcBorders>
              <w:top w:val="nil"/>
              <w:left w:val="nil"/>
              <w:bottom w:val="single" w:sz="4" w:space="0" w:color="auto"/>
              <w:right w:val="single" w:sz="4" w:space="0" w:color="auto"/>
            </w:tcBorders>
            <w:vAlign w:val="center"/>
            <w:hideMark/>
          </w:tcPr>
          <w:p w:rsidR="006A18E9" w:rsidRPr="00F6537A" w:rsidP="006A18E9" w14:paraId="6E774B6B"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1954B4B" w14:textId="77777777">
            <w:pPr>
              <w:overflowPunct/>
              <w:autoSpaceDE/>
              <w:autoSpaceDN/>
              <w:adjustRightInd/>
              <w:jc w:val="right"/>
              <w:textAlignment w:val="auto"/>
              <w:rPr>
                <w:color w:val="000000"/>
                <w:sz w:val="18"/>
                <w:szCs w:val="18"/>
              </w:rPr>
            </w:pPr>
            <w:r w:rsidRPr="00F6537A">
              <w:rPr>
                <w:color w:val="000000"/>
                <w:sz w:val="18"/>
                <w:szCs w:val="18"/>
              </w:rPr>
              <w:t xml:space="preserve">$34,631,408.00 </w:t>
            </w:r>
          </w:p>
        </w:tc>
      </w:tr>
      <w:tr w14:paraId="7C4455A4" w14:textId="77777777" w:rsidTr="00F6537A">
        <w:tblPrEx>
          <w:tblW w:w="11151" w:type="dxa"/>
          <w:tblInd w:w="-275" w:type="dxa"/>
          <w:tblLayout w:type="fixed"/>
          <w:tblLook w:val="04A0"/>
        </w:tblPrEx>
        <w:trPr>
          <w:cantSplit/>
          <w:trHeight w:val="422"/>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6546B3E8" w14:textId="77777777">
            <w:pPr>
              <w:overflowPunct/>
              <w:autoSpaceDE/>
              <w:autoSpaceDN/>
              <w:adjustRightInd/>
              <w:textAlignment w:val="auto"/>
              <w:rPr>
                <w:sz w:val="18"/>
                <w:szCs w:val="18"/>
              </w:rPr>
            </w:pPr>
            <w:r w:rsidRPr="00F6537A">
              <w:rPr>
                <w:sz w:val="18"/>
                <w:szCs w:val="18"/>
              </w:rPr>
              <w:t xml:space="preserve">Information Packet </w:t>
            </w:r>
          </w:p>
        </w:tc>
        <w:tc>
          <w:tcPr>
            <w:tcW w:w="1260" w:type="dxa"/>
            <w:tcBorders>
              <w:top w:val="nil"/>
              <w:left w:val="nil"/>
              <w:bottom w:val="single" w:sz="4" w:space="0" w:color="auto"/>
              <w:right w:val="single" w:sz="4" w:space="0" w:color="auto"/>
            </w:tcBorders>
            <w:vAlign w:val="center"/>
            <w:hideMark/>
          </w:tcPr>
          <w:p w:rsidR="006A18E9" w:rsidRPr="00F6537A" w:rsidP="006A18E9" w14:paraId="6470A857" w14:textId="77777777">
            <w:pPr>
              <w:overflowPunct/>
              <w:autoSpaceDE/>
              <w:autoSpaceDN/>
              <w:adjustRightInd/>
              <w:jc w:val="right"/>
              <w:textAlignment w:val="auto"/>
              <w:rPr>
                <w:color w:val="000000"/>
                <w:sz w:val="18"/>
                <w:szCs w:val="18"/>
              </w:rPr>
            </w:pPr>
            <w:r w:rsidRPr="00F6537A">
              <w:rPr>
                <w:color w:val="000000"/>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50F7025F" w14:textId="77777777">
            <w:pPr>
              <w:overflowPunct/>
              <w:autoSpaceDE/>
              <w:autoSpaceDN/>
              <w:adjustRightInd/>
              <w:jc w:val="right"/>
              <w:textAlignment w:val="auto"/>
              <w:rPr>
                <w:color w:val="000000"/>
                <w:sz w:val="18"/>
                <w:szCs w:val="18"/>
              </w:rPr>
            </w:pPr>
            <w:r w:rsidRPr="00F6537A">
              <w:rPr>
                <w:color w:val="000000"/>
                <w:sz w:val="18"/>
                <w:szCs w:val="18"/>
              </w:rPr>
              <w:t>55</w:t>
            </w:r>
          </w:p>
        </w:tc>
        <w:tc>
          <w:tcPr>
            <w:tcW w:w="1260" w:type="dxa"/>
            <w:tcBorders>
              <w:top w:val="nil"/>
              <w:left w:val="nil"/>
              <w:bottom w:val="single" w:sz="4" w:space="0" w:color="auto"/>
              <w:right w:val="single" w:sz="4" w:space="0" w:color="auto"/>
            </w:tcBorders>
            <w:vAlign w:val="center"/>
            <w:hideMark/>
          </w:tcPr>
          <w:p w:rsidR="006A18E9" w:rsidRPr="00F6537A" w:rsidP="006A18E9" w14:paraId="2F22DE83" w14:textId="77777777">
            <w:pPr>
              <w:overflowPunct/>
              <w:autoSpaceDE/>
              <w:autoSpaceDN/>
              <w:adjustRightInd/>
              <w:jc w:val="right"/>
              <w:textAlignment w:val="auto"/>
              <w:rPr>
                <w:color w:val="000000"/>
                <w:sz w:val="18"/>
                <w:szCs w:val="18"/>
              </w:rPr>
            </w:pPr>
            <w:r w:rsidRPr="00F6537A">
              <w:rPr>
                <w:color w:val="000000"/>
                <w:sz w:val="18"/>
                <w:szCs w:val="18"/>
              </w:rPr>
              <w:t>120,560</w:t>
            </w:r>
          </w:p>
        </w:tc>
        <w:tc>
          <w:tcPr>
            <w:tcW w:w="990" w:type="dxa"/>
            <w:tcBorders>
              <w:top w:val="nil"/>
              <w:left w:val="nil"/>
              <w:bottom w:val="single" w:sz="4" w:space="0" w:color="auto"/>
              <w:right w:val="single" w:sz="4" w:space="0" w:color="auto"/>
            </w:tcBorders>
            <w:vAlign w:val="center"/>
            <w:hideMark/>
          </w:tcPr>
          <w:p w:rsidR="006A18E9" w:rsidRPr="00F6537A" w:rsidP="006A18E9" w14:paraId="67BF25EC"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2B1EC2E0" w14:textId="77777777">
            <w:pPr>
              <w:overflowPunct/>
              <w:autoSpaceDE/>
              <w:autoSpaceDN/>
              <w:adjustRightInd/>
              <w:jc w:val="right"/>
              <w:textAlignment w:val="auto"/>
              <w:rPr>
                <w:color w:val="000000"/>
                <w:sz w:val="18"/>
                <w:szCs w:val="18"/>
              </w:rPr>
            </w:pPr>
            <w:r w:rsidRPr="00F6537A">
              <w:rPr>
                <w:color w:val="000000"/>
                <w:sz w:val="18"/>
                <w:szCs w:val="18"/>
              </w:rPr>
              <w:t>120,560.00</w:t>
            </w:r>
          </w:p>
        </w:tc>
        <w:tc>
          <w:tcPr>
            <w:tcW w:w="1080" w:type="dxa"/>
            <w:tcBorders>
              <w:top w:val="nil"/>
              <w:left w:val="nil"/>
              <w:bottom w:val="single" w:sz="4" w:space="0" w:color="auto"/>
              <w:right w:val="single" w:sz="4" w:space="0" w:color="auto"/>
            </w:tcBorders>
            <w:vAlign w:val="center"/>
            <w:hideMark/>
          </w:tcPr>
          <w:p w:rsidR="006A18E9" w:rsidRPr="00F6537A" w:rsidP="006A18E9" w14:paraId="5626D3AE"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2A939EEB" w14:textId="77777777">
            <w:pPr>
              <w:overflowPunct/>
              <w:autoSpaceDE/>
              <w:autoSpaceDN/>
              <w:adjustRightInd/>
              <w:jc w:val="right"/>
              <w:textAlignment w:val="auto"/>
              <w:rPr>
                <w:color w:val="000000"/>
                <w:sz w:val="18"/>
                <w:szCs w:val="18"/>
              </w:rPr>
            </w:pPr>
            <w:r w:rsidRPr="00F6537A">
              <w:rPr>
                <w:color w:val="000000"/>
                <w:sz w:val="18"/>
                <w:szCs w:val="18"/>
              </w:rPr>
              <w:t xml:space="preserve">$5,442,078.40 </w:t>
            </w:r>
          </w:p>
        </w:tc>
      </w:tr>
      <w:tr w14:paraId="7D0B04DD"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64965E3A" w14:textId="77777777">
            <w:pPr>
              <w:overflowPunct/>
              <w:autoSpaceDE/>
              <w:autoSpaceDN/>
              <w:adjustRightInd/>
              <w:textAlignment w:val="auto"/>
              <w:rPr>
                <w:sz w:val="18"/>
                <w:szCs w:val="18"/>
              </w:rPr>
            </w:pPr>
            <w:r w:rsidRPr="00F6537A">
              <w:rPr>
                <w:sz w:val="18"/>
                <w:szCs w:val="18"/>
              </w:rPr>
              <w:t xml:space="preserve"> PHA Information to Owner about tenant</w:t>
            </w:r>
          </w:p>
        </w:tc>
        <w:tc>
          <w:tcPr>
            <w:tcW w:w="1260" w:type="dxa"/>
            <w:tcBorders>
              <w:top w:val="nil"/>
              <w:left w:val="nil"/>
              <w:bottom w:val="single" w:sz="4" w:space="0" w:color="auto"/>
              <w:right w:val="single" w:sz="4" w:space="0" w:color="auto"/>
            </w:tcBorders>
            <w:vAlign w:val="center"/>
            <w:hideMark/>
          </w:tcPr>
          <w:p w:rsidR="006A18E9" w:rsidRPr="00F6537A" w:rsidP="006A18E9" w14:paraId="77A9B567" w14:textId="77777777">
            <w:pPr>
              <w:overflowPunct/>
              <w:autoSpaceDE/>
              <w:autoSpaceDN/>
              <w:adjustRightInd/>
              <w:jc w:val="right"/>
              <w:textAlignment w:val="auto"/>
              <w:rPr>
                <w:sz w:val="18"/>
                <w:szCs w:val="18"/>
              </w:rPr>
            </w:pPr>
            <w:r w:rsidRPr="00F6537A">
              <w:rPr>
                <w:sz w:val="18"/>
                <w:szCs w:val="18"/>
              </w:rPr>
              <w:t>2,192</w:t>
            </w:r>
          </w:p>
        </w:tc>
        <w:tc>
          <w:tcPr>
            <w:tcW w:w="1350" w:type="dxa"/>
            <w:tcBorders>
              <w:top w:val="nil"/>
              <w:left w:val="nil"/>
              <w:bottom w:val="single" w:sz="4" w:space="0" w:color="auto"/>
              <w:right w:val="single" w:sz="4" w:space="0" w:color="auto"/>
            </w:tcBorders>
            <w:vAlign w:val="center"/>
            <w:hideMark/>
          </w:tcPr>
          <w:p w:rsidR="006A18E9" w:rsidRPr="00F6537A" w:rsidP="006A18E9" w14:paraId="44A1248F" w14:textId="77777777">
            <w:pPr>
              <w:overflowPunct/>
              <w:autoSpaceDE/>
              <w:autoSpaceDN/>
              <w:adjustRightInd/>
              <w:jc w:val="right"/>
              <w:textAlignment w:val="auto"/>
              <w:rPr>
                <w:sz w:val="18"/>
                <w:szCs w:val="18"/>
              </w:rPr>
            </w:pPr>
            <w:r w:rsidRPr="00F6537A">
              <w:rPr>
                <w:sz w:val="18"/>
                <w:szCs w:val="18"/>
              </w:rPr>
              <w:t>55</w:t>
            </w:r>
          </w:p>
        </w:tc>
        <w:tc>
          <w:tcPr>
            <w:tcW w:w="1260" w:type="dxa"/>
            <w:tcBorders>
              <w:top w:val="nil"/>
              <w:left w:val="nil"/>
              <w:bottom w:val="single" w:sz="4" w:space="0" w:color="auto"/>
              <w:right w:val="single" w:sz="4" w:space="0" w:color="auto"/>
            </w:tcBorders>
            <w:vAlign w:val="center"/>
            <w:hideMark/>
          </w:tcPr>
          <w:p w:rsidR="006A18E9" w:rsidRPr="00F6537A" w:rsidP="006A18E9" w14:paraId="75044A67" w14:textId="77777777">
            <w:pPr>
              <w:overflowPunct/>
              <w:autoSpaceDE/>
              <w:autoSpaceDN/>
              <w:adjustRightInd/>
              <w:jc w:val="right"/>
              <w:textAlignment w:val="auto"/>
              <w:rPr>
                <w:color w:val="000000"/>
                <w:sz w:val="18"/>
                <w:szCs w:val="18"/>
              </w:rPr>
            </w:pPr>
            <w:r w:rsidRPr="00F6537A">
              <w:rPr>
                <w:color w:val="000000"/>
                <w:sz w:val="18"/>
                <w:szCs w:val="18"/>
              </w:rPr>
              <w:t>120,560</w:t>
            </w:r>
          </w:p>
        </w:tc>
        <w:tc>
          <w:tcPr>
            <w:tcW w:w="990" w:type="dxa"/>
            <w:tcBorders>
              <w:top w:val="nil"/>
              <w:left w:val="nil"/>
              <w:bottom w:val="single" w:sz="4" w:space="0" w:color="auto"/>
              <w:right w:val="single" w:sz="4" w:space="0" w:color="auto"/>
            </w:tcBorders>
            <w:vAlign w:val="center"/>
            <w:hideMark/>
          </w:tcPr>
          <w:p w:rsidR="006A18E9" w:rsidRPr="00F6537A" w:rsidP="006A18E9" w14:paraId="40A7440F"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6BEAC9FD" w14:textId="77777777">
            <w:pPr>
              <w:overflowPunct/>
              <w:autoSpaceDE/>
              <w:autoSpaceDN/>
              <w:adjustRightInd/>
              <w:jc w:val="right"/>
              <w:textAlignment w:val="auto"/>
              <w:rPr>
                <w:color w:val="000000"/>
                <w:sz w:val="18"/>
                <w:szCs w:val="18"/>
              </w:rPr>
            </w:pPr>
            <w:r w:rsidRPr="00F6537A">
              <w:rPr>
                <w:color w:val="000000"/>
                <w:sz w:val="18"/>
                <w:szCs w:val="18"/>
              </w:rPr>
              <w:t>60,280.00</w:t>
            </w:r>
          </w:p>
        </w:tc>
        <w:tc>
          <w:tcPr>
            <w:tcW w:w="1080" w:type="dxa"/>
            <w:tcBorders>
              <w:top w:val="nil"/>
              <w:left w:val="nil"/>
              <w:bottom w:val="single" w:sz="4" w:space="0" w:color="auto"/>
              <w:right w:val="single" w:sz="4" w:space="0" w:color="auto"/>
            </w:tcBorders>
            <w:vAlign w:val="center"/>
            <w:hideMark/>
          </w:tcPr>
          <w:p w:rsidR="006A18E9" w:rsidRPr="00F6537A" w:rsidP="006A18E9" w14:paraId="2953E73F"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2DB2AF0" w14:textId="77777777">
            <w:pPr>
              <w:overflowPunct/>
              <w:autoSpaceDE/>
              <w:autoSpaceDN/>
              <w:adjustRightInd/>
              <w:jc w:val="right"/>
              <w:textAlignment w:val="auto"/>
              <w:rPr>
                <w:color w:val="000000"/>
                <w:sz w:val="18"/>
                <w:szCs w:val="18"/>
              </w:rPr>
            </w:pPr>
            <w:r w:rsidRPr="00F6537A">
              <w:rPr>
                <w:color w:val="000000"/>
                <w:sz w:val="18"/>
                <w:szCs w:val="18"/>
              </w:rPr>
              <w:t xml:space="preserve">$2,721,039.20 </w:t>
            </w:r>
          </w:p>
        </w:tc>
      </w:tr>
      <w:tr w14:paraId="3BADBACB" w14:textId="77777777" w:rsidTr="00F6537A">
        <w:tblPrEx>
          <w:tblW w:w="11151" w:type="dxa"/>
          <w:tblInd w:w="-275" w:type="dxa"/>
          <w:tblLayout w:type="fixed"/>
          <w:tblLook w:val="04A0"/>
        </w:tblPrEx>
        <w:trPr>
          <w:cantSplit/>
          <w:trHeight w:val="935"/>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2AC67DA9" w14:textId="77777777">
            <w:pPr>
              <w:overflowPunct/>
              <w:autoSpaceDE/>
              <w:autoSpaceDN/>
              <w:adjustRightInd/>
              <w:textAlignment w:val="auto"/>
              <w:rPr>
                <w:sz w:val="18"/>
                <w:szCs w:val="18"/>
              </w:rPr>
            </w:pPr>
            <w:r w:rsidRPr="00F6537A">
              <w:rPr>
                <w:sz w:val="18"/>
                <w:szCs w:val="18"/>
              </w:rPr>
              <w:t>PHA notification to HUD of insufficient funds for portability moves</w:t>
            </w:r>
          </w:p>
        </w:tc>
        <w:tc>
          <w:tcPr>
            <w:tcW w:w="1260" w:type="dxa"/>
            <w:tcBorders>
              <w:top w:val="nil"/>
              <w:left w:val="nil"/>
              <w:bottom w:val="single" w:sz="4" w:space="0" w:color="auto"/>
              <w:right w:val="single" w:sz="4" w:space="0" w:color="auto"/>
            </w:tcBorders>
            <w:vAlign w:val="center"/>
            <w:hideMark/>
          </w:tcPr>
          <w:p w:rsidR="006A18E9" w:rsidRPr="00F6537A" w:rsidP="006A18E9" w14:paraId="1BCF7B1D" w14:textId="77777777">
            <w:pPr>
              <w:overflowPunct/>
              <w:autoSpaceDE/>
              <w:autoSpaceDN/>
              <w:adjustRightInd/>
              <w:jc w:val="right"/>
              <w:textAlignment w:val="auto"/>
              <w:rPr>
                <w:sz w:val="18"/>
                <w:szCs w:val="18"/>
              </w:rPr>
            </w:pPr>
            <w:r w:rsidRPr="00F6537A">
              <w:rPr>
                <w:sz w:val="18"/>
                <w:szCs w:val="18"/>
              </w:rPr>
              <w:t>400</w:t>
            </w:r>
          </w:p>
        </w:tc>
        <w:tc>
          <w:tcPr>
            <w:tcW w:w="1350" w:type="dxa"/>
            <w:tcBorders>
              <w:top w:val="nil"/>
              <w:left w:val="nil"/>
              <w:bottom w:val="single" w:sz="4" w:space="0" w:color="auto"/>
              <w:right w:val="single" w:sz="4" w:space="0" w:color="auto"/>
            </w:tcBorders>
            <w:vAlign w:val="center"/>
            <w:hideMark/>
          </w:tcPr>
          <w:p w:rsidR="006A18E9" w:rsidRPr="00F6537A" w:rsidP="006A18E9" w14:paraId="01B2BC4A" w14:textId="77777777">
            <w:pPr>
              <w:overflowPunct/>
              <w:autoSpaceDE/>
              <w:autoSpaceDN/>
              <w:adjustRightInd/>
              <w:jc w:val="right"/>
              <w:textAlignment w:val="auto"/>
              <w:rPr>
                <w:sz w:val="18"/>
                <w:szCs w:val="18"/>
              </w:rPr>
            </w:pPr>
            <w:r w:rsidRPr="00F6537A">
              <w:rPr>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40EE1190" w14:textId="77777777">
            <w:pPr>
              <w:overflowPunct/>
              <w:autoSpaceDE/>
              <w:autoSpaceDN/>
              <w:adjustRightInd/>
              <w:jc w:val="right"/>
              <w:textAlignment w:val="auto"/>
              <w:rPr>
                <w:color w:val="000000"/>
                <w:sz w:val="18"/>
                <w:szCs w:val="18"/>
              </w:rPr>
            </w:pPr>
            <w:r w:rsidRPr="00F6537A">
              <w:rPr>
                <w:color w:val="000000"/>
                <w:sz w:val="18"/>
                <w:szCs w:val="18"/>
              </w:rPr>
              <w:t>400</w:t>
            </w:r>
          </w:p>
        </w:tc>
        <w:tc>
          <w:tcPr>
            <w:tcW w:w="990" w:type="dxa"/>
            <w:tcBorders>
              <w:top w:val="nil"/>
              <w:left w:val="nil"/>
              <w:bottom w:val="single" w:sz="4" w:space="0" w:color="auto"/>
              <w:right w:val="single" w:sz="4" w:space="0" w:color="auto"/>
            </w:tcBorders>
            <w:vAlign w:val="center"/>
            <w:hideMark/>
          </w:tcPr>
          <w:p w:rsidR="006A18E9" w:rsidRPr="00F6537A" w:rsidP="006A18E9" w14:paraId="0824A160"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004FA51D" w14:textId="77777777">
            <w:pPr>
              <w:overflowPunct/>
              <w:autoSpaceDE/>
              <w:autoSpaceDN/>
              <w:adjustRightInd/>
              <w:jc w:val="right"/>
              <w:textAlignment w:val="auto"/>
              <w:rPr>
                <w:color w:val="000000"/>
                <w:sz w:val="18"/>
                <w:szCs w:val="18"/>
              </w:rPr>
            </w:pPr>
            <w:r w:rsidRPr="00F6537A">
              <w:rPr>
                <w:color w:val="000000"/>
                <w:sz w:val="18"/>
                <w:szCs w:val="18"/>
              </w:rPr>
              <w:t>200</w:t>
            </w:r>
          </w:p>
        </w:tc>
        <w:tc>
          <w:tcPr>
            <w:tcW w:w="1080" w:type="dxa"/>
            <w:tcBorders>
              <w:top w:val="nil"/>
              <w:left w:val="nil"/>
              <w:bottom w:val="single" w:sz="4" w:space="0" w:color="auto"/>
              <w:right w:val="single" w:sz="4" w:space="0" w:color="auto"/>
            </w:tcBorders>
            <w:vAlign w:val="center"/>
            <w:hideMark/>
          </w:tcPr>
          <w:p w:rsidR="006A18E9" w:rsidRPr="00F6537A" w:rsidP="006A18E9" w14:paraId="0A7DF6B8"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D6EB8A1" w14:textId="77777777">
            <w:pPr>
              <w:overflowPunct/>
              <w:autoSpaceDE/>
              <w:autoSpaceDN/>
              <w:adjustRightInd/>
              <w:jc w:val="right"/>
              <w:textAlignment w:val="auto"/>
              <w:rPr>
                <w:color w:val="000000"/>
                <w:sz w:val="18"/>
                <w:szCs w:val="18"/>
              </w:rPr>
            </w:pPr>
            <w:r w:rsidRPr="00F6537A">
              <w:rPr>
                <w:color w:val="000000"/>
                <w:sz w:val="18"/>
                <w:szCs w:val="18"/>
              </w:rPr>
              <w:t xml:space="preserve">$9,028.00 </w:t>
            </w:r>
          </w:p>
        </w:tc>
      </w:tr>
      <w:tr w14:paraId="1BFB140B" w14:textId="77777777" w:rsidTr="00F6537A">
        <w:tblPrEx>
          <w:tblW w:w="11151" w:type="dxa"/>
          <w:tblInd w:w="-275" w:type="dxa"/>
          <w:tblLayout w:type="fixed"/>
          <w:tblLook w:val="04A0"/>
        </w:tblPrEx>
        <w:trPr>
          <w:cantSplit/>
          <w:trHeight w:val="791"/>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12E3BED3" w14:textId="77777777">
            <w:pPr>
              <w:overflowPunct/>
              <w:autoSpaceDE/>
              <w:autoSpaceDN/>
              <w:adjustRightInd/>
              <w:textAlignment w:val="auto"/>
              <w:rPr>
                <w:sz w:val="18"/>
                <w:szCs w:val="18"/>
              </w:rPr>
            </w:pPr>
            <w:r w:rsidRPr="00F6537A">
              <w:rPr>
                <w:sz w:val="18"/>
                <w:szCs w:val="18"/>
              </w:rPr>
              <w:t>Homeownership:  Required Contract of Sale Provisions</w:t>
            </w:r>
          </w:p>
        </w:tc>
        <w:tc>
          <w:tcPr>
            <w:tcW w:w="1260" w:type="dxa"/>
            <w:tcBorders>
              <w:top w:val="nil"/>
              <w:left w:val="nil"/>
              <w:bottom w:val="single" w:sz="4" w:space="0" w:color="auto"/>
              <w:right w:val="single" w:sz="4" w:space="0" w:color="auto"/>
            </w:tcBorders>
            <w:vAlign w:val="center"/>
            <w:hideMark/>
          </w:tcPr>
          <w:p w:rsidR="006A18E9" w:rsidRPr="00F6537A" w:rsidP="006A18E9" w14:paraId="461C61F2" w14:textId="77777777">
            <w:pPr>
              <w:overflowPunct/>
              <w:autoSpaceDE/>
              <w:autoSpaceDN/>
              <w:adjustRightInd/>
              <w:jc w:val="right"/>
              <w:textAlignment w:val="auto"/>
              <w:rPr>
                <w:sz w:val="18"/>
                <w:szCs w:val="18"/>
              </w:rPr>
            </w:pPr>
            <w:r w:rsidRPr="00F6537A">
              <w:rPr>
                <w:sz w:val="18"/>
                <w:szCs w:val="18"/>
              </w:rPr>
              <w:t>100</w:t>
            </w:r>
          </w:p>
        </w:tc>
        <w:tc>
          <w:tcPr>
            <w:tcW w:w="1350" w:type="dxa"/>
            <w:tcBorders>
              <w:top w:val="nil"/>
              <w:left w:val="nil"/>
              <w:bottom w:val="single" w:sz="4" w:space="0" w:color="auto"/>
              <w:right w:val="single" w:sz="4" w:space="0" w:color="auto"/>
            </w:tcBorders>
            <w:vAlign w:val="center"/>
            <w:hideMark/>
          </w:tcPr>
          <w:p w:rsidR="006A18E9" w:rsidRPr="00F6537A" w:rsidP="006A18E9" w14:paraId="49E64AB8" w14:textId="77777777">
            <w:pPr>
              <w:overflowPunct/>
              <w:autoSpaceDE/>
              <w:autoSpaceDN/>
              <w:adjustRightInd/>
              <w:jc w:val="right"/>
              <w:textAlignment w:val="auto"/>
              <w:rPr>
                <w:sz w:val="18"/>
                <w:szCs w:val="18"/>
              </w:rPr>
            </w:pPr>
            <w:r w:rsidRPr="00F6537A">
              <w:rPr>
                <w:sz w:val="18"/>
                <w:szCs w:val="18"/>
              </w:rPr>
              <w:t>10</w:t>
            </w:r>
          </w:p>
        </w:tc>
        <w:tc>
          <w:tcPr>
            <w:tcW w:w="1260" w:type="dxa"/>
            <w:tcBorders>
              <w:top w:val="nil"/>
              <w:left w:val="nil"/>
              <w:bottom w:val="single" w:sz="4" w:space="0" w:color="auto"/>
              <w:right w:val="single" w:sz="4" w:space="0" w:color="auto"/>
            </w:tcBorders>
            <w:vAlign w:val="center"/>
            <w:hideMark/>
          </w:tcPr>
          <w:p w:rsidR="006A18E9" w:rsidRPr="00F6537A" w:rsidP="006A18E9" w14:paraId="22CD4B77" w14:textId="77777777">
            <w:pPr>
              <w:overflowPunct/>
              <w:autoSpaceDE/>
              <w:autoSpaceDN/>
              <w:adjustRightInd/>
              <w:jc w:val="right"/>
              <w:textAlignment w:val="auto"/>
              <w:rPr>
                <w:color w:val="000000"/>
                <w:sz w:val="18"/>
                <w:szCs w:val="18"/>
              </w:rPr>
            </w:pPr>
            <w:r w:rsidRPr="00F6537A">
              <w:rPr>
                <w:color w:val="000000"/>
                <w:sz w:val="18"/>
                <w:szCs w:val="18"/>
              </w:rPr>
              <w:t>1,000</w:t>
            </w:r>
          </w:p>
        </w:tc>
        <w:tc>
          <w:tcPr>
            <w:tcW w:w="990" w:type="dxa"/>
            <w:tcBorders>
              <w:top w:val="nil"/>
              <w:left w:val="nil"/>
              <w:bottom w:val="single" w:sz="4" w:space="0" w:color="auto"/>
              <w:right w:val="single" w:sz="4" w:space="0" w:color="auto"/>
            </w:tcBorders>
            <w:vAlign w:val="center"/>
            <w:hideMark/>
          </w:tcPr>
          <w:p w:rsidR="006A18E9" w:rsidRPr="00F6537A" w:rsidP="006A18E9" w14:paraId="38D4C6CF"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55DBBDFA" w14:textId="77777777">
            <w:pPr>
              <w:overflowPunct/>
              <w:autoSpaceDE/>
              <w:autoSpaceDN/>
              <w:adjustRightInd/>
              <w:jc w:val="right"/>
              <w:textAlignment w:val="auto"/>
              <w:rPr>
                <w:color w:val="000000"/>
                <w:sz w:val="18"/>
                <w:szCs w:val="18"/>
              </w:rPr>
            </w:pPr>
            <w:r w:rsidRPr="00F6537A">
              <w:rPr>
                <w:color w:val="000000"/>
                <w:sz w:val="18"/>
                <w:szCs w:val="18"/>
              </w:rPr>
              <w:t>250</w:t>
            </w:r>
          </w:p>
        </w:tc>
        <w:tc>
          <w:tcPr>
            <w:tcW w:w="1080" w:type="dxa"/>
            <w:tcBorders>
              <w:top w:val="nil"/>
              <w:left w:val="nil"/>
              <w:bottom w:val="single" w:sz="4" w:space="0" w:color="auto"/>
              <w:right w:val="single" w:sz="4" w:space="0" w:color="auto"/>
            </w:tcBorders>
            <w:vAlign w:val="center"/>
            <w:hideMark/>
          </w:tcPr>
          <w:p w:rsidR="006A18E9" w:rsidRPr="00F6537A" w:rsidP="006A18E9" w14:paraId="6A14044C"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CF5C7B4" w14:textId="77777777">
            <w:pPr>
              <w:overflowPunct/>
              <w:autoSpaceDE/>
              <w:autoSpaceDN/>
              <w:adjustRightInd/>
              <w:jc w:val="right"/>
              <w:textAlignment w:val="auto"/>
              <w:rPr>
                <w:color w:val="000000"/>
                <w:sz w:val="18"/>
                <w:szCs w:val="18"/>
              </w:rPr>
            </w:pPr>
            <w:r w:rsidRPr="00F6537A">
              <w:rPr>
                <w:color w:val="000000"/>
                <w:sz w:val="18"/>
                <w:szCs w:val="18"/>
              </w:rPr>
              <w:t xml:space="preserve">$11,285.00 </w:t>
            </w:r>
          </w:p>
        </w:tc>
      </w:tr>
      <w:tr w14:paraId="1AE549EB" w14:textId="77777777" w:rsidTr="00262689">
        <w:tblPrEx>
          <w:tblW w:w="11151" w:type="dxa"/>
          <w:tblInd w:w="-275" w:type="dxa"/>
          <w:tblLayout w:type="fixed"/>
          <w:tblLook w:val="04A0"/>
        </w:tblPrEx>
        <w:trPr>
          <w:cantSplit/>
          <w:trHeight w:val="422"/>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96618D" w:rsidRPr="00F6537A" w:rsidP="00F6537A" w14:paraId="67CC1242" w14:textId="10D80033">
            <w:pPr>
              <w:overflowPunct/>
              <w:autoSpaceDE/>
              <w:autoSpaceDN/>
              <w:adjustRightInd/>
              <w:textAlignment w:val="auto"/>
              <w:rPr>
                <w:color w:val="000000"/>
                <w:sz w:val="18"/>
                <w:szCs w:val="18"/>
              </w:rPr>
            </w:pPr>
            <w:r w:rsidRPr="00F6537A">
              <w:rPr>
                <w:b/>
                <w:bCs/>
                <w:sz w:val="18"/>
                <w:szCs w:val="18"/>
              </w:rPr>
              <w:t>PBV Information Collection - Not HUD forms</w:t>
            </w:r>
          </w:p>
        </w:tc>
      </w:tr>
      <w:tr w14:paraId="28866FE3" w14:textId="77777777" w:rsidTr="00F6537A">
        <w:tblPrEx>
          <w:tblW w:w="11151" w:type="dxa"/>
          <w:tblInd w:w="-275" w:type="dxa"/>
          <w:tblLayout w:type="fixed"/>
          <w:tblLook w:val="04A0"/>
        </w:tblPrEx>
        <w:trPr>
          <w:cantSplit/>
          <w:trHeight w:val="9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7FC94F2C" w14:textId="77777777">
            <w:pPr>
              <w:overflowPunct/>
              <w:autoSpaceDE/>
              <w:autoSpaceDN/>
              <w:adjustRightInd/>
              <w:textAlignment w:val="auto"/>
              <w:rPr>
                <w:sz w:val="18"/>
                <w:szCs w:val="18"/>
              </w:rPr>
            </w:pPr>
            <w:r w:rsidRPr="00F6537A">
              <w:rPr>
                <w:sz w:val="18"/>
                <w:szCs w:val="18"/>
              </w:rPr>
              <w:t>Public Notice of PHA Requests for PBV Proposals</w:t>
            </w:r>
          </w:p>
        </w:tc>
        <w:tc>
          <w:tcPr>
            <w:tcW w:w="1260" w:type="dxa"/>
            <w:tcBorders>
              <w:top w:val="nil"/>
              <w:left w:val="nil"/>
              <w:bottom w:val="single" w:sz="4" w:space="0" w:color="auto"/>
              <w:right w:val="single" w:sz="4" w:space="0" w:color="auto"/>
            </w:tcBorders>
            <w:vAlign w:val="center"/>
            <w:hideMark/>
          </w:tcPr>
          <w:p w:rsidR="006A18E9" w:rsidRPr="00F6537A" w:rsidP="006A18E9" w14:paraId="68EF4FAE" w14:textId="77777777">
            <w:pPr>
              <w:overflowPunct/>
              <w:autoSpaceDE/>
              <w:autoSpaceDN/>
              <w:adjustRightInd/>
              <w:jc w:val="right"/>
              <w:textAlignment w:val="auto"/>
              <w:rPr>
                <w:color w:val="000000"/>
                <w:sz w:val="18"/>
                <w:szCs w:val="18"/>
              </w:rPr>
            </w:pPr>
            <w:r w:rsidRPr="00F6537A">
              <w:rPr>
                <w:color w:val="000000"/>
                <w:sz w:val="18"/>
                <w:szCs w:val="18"/>
              </w:rPr>
              <w:t>268</w:t>
            </w:r>
          </w:p>
        </w:tc>
        <w:tc>
          <w:tcPr>
            <w:tcW w:w="1350" w:type="dxa"/>
            <w:tcBorders>
              <w:top w:val="nil"/>
              <w:left w:val="nil"/>
              <w:bottom w:val="single" w:sz="4" w:space="0" w:color="auto"/>
              <w:right w:val="single" w:sz="4" w:space="0" w:color="auto"/>
            </w:tcBorders>
            <w:vAlign w:val="center"/>
            <w:hideMark/>
          </w:tcPr>
          <w:p w:rsidR="006A18E9" w:rsidRPr="00F6537A" w:rsidP="006A18E9" w14:paraId="3FD0BA6D"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458CB6DF" w14:textId="77777777">
            <w:pPr>
              <w:overflowPunct/>
              <w:autoSpaceDE/>
              <w:autoSpaceDN/>
              <w:adjustRightInd/>
              <w:jc w:val="right"/>
              <w:textAlignment w:val="auto"/>
              <w:rPr>
                <w:color w:val="000000"/>
                <w:sz w:val="18"/>
                <w:szCs w:val="18"/>
              </w:rPr>
            </w:pPr>
            <w:r w:rsidRPr="00F6537A">
              <w:rPr>
                <w:color w:val="000000"/>
                <w:sz w:val="18"/>
                <w:szCs w:val="18"/>
              </w:rPr>
              <w:t>268</w:t>
            </w:r>
          </w:p>
        </w:tc>
        <w:tc>
          <w:tcPr>
            <w:tcW w:w="990" w:type="dxa"/>
            <w:tcBorders>
              <w:top w:val="nil"/>
              <w:left w:val="nil"/>
              <w:bottom w:val="single" w:sz="4" w:space="0" w:color="auto"/>
              <w:right w:val="single" w:sz="4" w:space="0" w:color="auto"/>
            </w:tcBorders>
            <w:vAlign w:val="center"/>
            <w:hideMark/>
          </w:tcPr>
          <w:p w:rsidR="006A18E9" w:rsidRPr="00F6537A" w:rsidP="006A18E9" w14:paraId="42506998"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21EFCB3B" w14:textId="77777777">
            <w:pPr>
              <w:overflowPunct/>
              <w:autoSpaceDE/>
              <w:autoSpaceDN/>
              <w:adjustRightInd/>
              <w:jc w:val="right"/>
              <w:textAlignment w:val="auto"/>
              <w:rPr>
                <w:color w:val="000000"/>
                <w:sz w:val="18"/>
                <w:szCs w:val="18"/>
              </w:rPr>
            </w:pPr>
            <w:r w:rsidRPr="00F6537A">
              <w:rPr>
                <w:color w:val="000000"/>
                <w:sz w:val="18"/>
                <w:szCs w:val="18"/>
              </w:rPr>
              <w:t>268</w:t>
            </w:r>
          </w:p>
        </w:tc>
        <w:tc>
          <w:tcPr>
            <w:tcW w:w="1080" w:type="dxa"/>
            <w:tcBorders>
              <w:top w:val="nil"/>
              <w:left w:val="nil"/>
              <w:bottom w:val="single" w:sz="4" w:space="0" w:color="auto"/>
              <w:right w:val="single" w:sz="4" w:space="0" w:color="auto"/>
            </w:tcBorders>
            <w:vAlign w:val="center"/>
            <w:hideMark/>
          </w:tcPr>
          <w:p w:rsidR="006A18E9" w:rsidRPr="00F6537A" w:rsidP="006A18E9" w14:paraId="07545634"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497BAC1B" w14:textId="77777777">
            <w:pPr>
              <w:overflowPunct/>
              <w:autoSpaceDE/>
              <w:autoSpaceDN/>
              <w:adjustRightInd/>
              <w:jc w:val="right"/>
              <w:textAlignment w:val="auto"/>
              <w:rPr>
                <w:color w:val="000000"/>
                <w:sz w:val="18"/>
                <w:szCs w:val="18"/>
              </w:rPr>
            </w:pPr>
            <w:r w:rsidRPr="00F6537A">
              <w:rPr>
                <w:color w:val="000000"/>
                <w:sz w:val="18"/>
                <w:szCs w:val="18"/>
              </w:rPr>
              <w:t xml:space="preserve">$12,097.52 </w:t>
            </w:r>
          </w:p>
        </w:tc>
      </w:tr>
      <w:tr w14:paraId="437A550F" w14:textId="77777777" w:rsidTr="00F6537A">
        <w:tblPrEx>
          <w:tblW w:w="11151" w:type="dxa"/>
          <w:tblInd w:w="-275" w:type="dxa"/>
          <w:tblLayout w:type="fixed"/>
          <w:tblLook w:val="04A0"/>
        </w:tblPrEx>
        <w:trPr>
          <w:cantSplit/>
          <w:trHeight w:val="71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487F1668" w14:textId="77777777">
            <w:pPr>
              <w:overflowPunct/>
              <w:autoSpaceDE/>
              <w:autoSpaceDN/>
              <w:adjustRightInd/>
              <w:textAlignment w:val="auto"/>
              <w:rPr>
                <w:sz w:val="18"/>
                <w:szCs w:val="18"/>
              </w:rPr>
            </w:pPr>
            <w:r w:rsidRPr="00F6537A">
              <w:rPr>
                <w:sz w:val="18"/>
                <w:szCs w:val="18"/>
              </w:rPr>
              <w:t>PHA PBV Notice of Proposal or Project Selection</w:t>
            </w:r>
          </w:p>
        </w:tc>
        <w:tc>
          <w:tcPr>
            <w:tcW w:w="1260" w:type="dxa"/>
            <w:tcBorders>
              <w:top w:val="nil"/>
              <w:left w:val="nil"/>
              <w:bottom w:val="single" w:sz="4" w:space="0" w:color="auto"/>
              <w:right w:val="single" w:sz="4" w:space="0" w:color="auto"/>
            </w:tcBorders>
            <w:vAlign w:val="center"/>
            <w:hideMark/>
          </w:tcPr>
          <w:p w:rsidR="006A18E9" w:rsidRPr="00F6537A" w:rsidP="006A18E9" w14:paraId="4E8B5D6F" w14:textId="77777777">
            <w:pPr>
              <w:overflowPunct/>
              <w:autoSpaceDE/>
              <w:autoSpaceDN/>
              <w:adjustRightInd/>
              <w:jc w:val="right"/>
              <w:textAlignment w:val="auto"/>
              <w:rPr>
                <w:color w:val="000000"/>
                <w:sz w:val="18"/>
                <w:szCs w:val="18"/>
              </w:rPr>
            </w:pPr>
            <w:r w:rsidRPr="00F6537A">
              <w:rPr>
                <w:color w:val="000000"/>
                <w:sz w:val="18"/>
                <w:szCs w:val="18"/>
              </w:rPr>
              <w:t>268</w:t>
            </w:r>
          </w:p>
        </w:tc>
        <w:tc>
          <w:tcPr>
            <w:tcW w:w="1350" w:type="dxa"/>
            <w:tcBorders>
              <w:top w:val="nil"/>
              <w:left w:val="nil"/>
              <w:bottom w:val="single" w:sz="4" w:space="0" w:color="auto"/>
              <w:right w:val="single" w:sz="4" w:space="0" w:color="auto"/>
            </w:tcBorders>
            <w:vAlign w:val="center"/>
            <w:hideMark/>
          </w:tcPr>
          <w:p w:rsidR="006A18E9" w:rsidRPr="00F6537A" w:rsidP="006A18E9" w14:paraId="538C5A5E"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4A73A955" w14:textId="77777777">
            <w:pPr>
              <w:overflowPunct/>
              <w:autoSpaceDE/>
              <w:autoSpaceDN/>
              <w:adjustRightInd/>
              <w:jc w:val="right"/>
              <w:textAlignment w:val="auto"/>
              <w:rPr>
                <w:color w:val="000000"/>
                <w:sz w:val="18"/>
                <w:szCs w:val="18"/>
              </w:rPr>
            </w:pPr>
            <w:r w:rsidRPr="00F6537A">
              <w:rPr>
                <w:color w:val="000000"/>
                <w:sz w:val="18"/>
                <w:szCs w:val="18"/>
              </w:rPr>
              <w:t>268</w:t>
            </w:r>
          </w:p>
        </w:tc>
        <w:tc>
          <w:tcPr>
            <w:tcW w:w="990" w:type="dxa"/>
            <w:tcBorders>
              <w:top w:val="nil"/>
              <w:left w:val="nil"/>
              <w:bottom w:val="single" w:sz="4" w:space="0" w:color="auto"/>
              <w:right w:val="single" w:sz="4" w:space="0" w:color="auto"/>
            </w:tcBorders>
            <w:vAlign w:val="center"/>
            <w:hideMark/>
          </w:tcPr>
          <w:p w:rsidR="006A18E9" w:rsidRPr="00F6537A" w:rsidP="006A18E9" w14:paraId="5233EBE8"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2CEE0ECE" w14:textId="77777777">
            <w:pPr>
              <w:overflowPunct/>
              <w:autoSpaceDE/>
              <w:autoSpaceDN/>
              <w:adjustRightInd/>
              <w:jc w:val="right"/>
              <w:textAlignment w:val="auto"/>
              <w:rPr>
                <w:color w:val="000000"/>
                <w:sz w:val="18"/>
                <w:szCs w:val="18"/>
              </w:rPr>
            </w:pPr>
            <w:r w:rsidRPr="00F6537A">
              <w:rPr>
                <w:color w:val="000000"/>
                <w:sz w:val="18"/>
                <w:szCs w:val="18"/>
              </w:rPr>
              <w:t>134</w:t>
            </w:r>
          </w:p>
        </w:tc>
        <w:tc>
          <w:tcPr>
            <w:tcW w:w="1080" w:type="dxa"/>
            <w:tcBorders>
              <w:top w:val="nil"/>
              <w:left w:val="nil"/>
              <w:bottom w:val="single" w:sz="4" w:space="0" w:color="auto"/>
              <w:right w:val="single" w:sz="4" w:space="0" w:color="auto"/>
            </w:tcBorders>
            <w:vAlign w:val="center"/>
            <w:hideMark/>
          </w:tcPr>
          <w:p w:rsidR="006A18E9" w:rsidRPr="00F6537A" w:rsidP="006A18E9" w14:paraId="43BAC16A"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6E9ACB68" w14:textId="77777777">
            <w:pPr>
              <w:overflowPunct/>
              <w:autoSpaceDE/>
              <w:autoSpaceDN/>
              <w:adjustRightInd/>
              <w:jc w:val="right"/>
              <w:textAlignment w:val="auto"/>
              <w:rPr>
                <w:color w:val="000000"/>
                <w:sz w:val="18"/>
                <w:szCs w:val="18"/>
              </w:rPr>
            </w:pPr>
            <w:r w:rsidRPr="00F6537A">
              <w:rPr>
                <w:color w:val="000000"/>
                <w:sz w:val="18"/>
                <w:szCs w:val="18"/>
              </w:rPr>
              <w:t xml:space="preserve">$6,048.76 </w:t>
            </w:r>
          </w:p>
        </w:tc>
      </w:tr>
      <w:tr w14:paraId="66FF4032" w14:textId="77777777" w:rsidTr="00F6537A">
        <w:tblPrEx>
          <w:tblW w:w="11151" w:type="dxa"/>
          <w:tblInd w:w="-275" w:type="dxa"/>
          <w:tblLayout w:type="fixed"/>
          <w:tblLook w:val="04A0"/>
        </w:tblPrEx>
        <w:trPr>
          <w:cantSplit/>
          <w:trHeight w:val="638"/>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471DF917" w14:textId="77777777">
            <w:pPr>
              <w:overflowPunct/>
              <w:autoSpaceDE/>
              <w:autoSpaceDN/>
              <w:adjustRightInd/>
              <w:textAlignment w:val="auto"/>
              <w:rPr>
                <w:sz w:val="18"/>
                <w:szCs w:val="18"/>
              </w:rPr>
            </w:pPr>
            <w:r w:rsidRPr="00F6537A">
              <w:rPr>
                <w:sz w:val="18"/>
                <w:szCs w:val="18"/>
              </w:rPr>
              <w:t>PHA Notice of Intent to Project-Base Vouchers</w:t>
            </w:r>
          </w:p>
        </w:tc>
        <w:tc>
          <w:tcPr>
            <w:tcW w:w="1260" w:type="dxa"/>
            <w:tcBorders>
              <w:top w:val="nil"/>
              <w:left w:val="nil"/>
              <w:bottom w:val="single" w:sz="4" w:space="0" w:color="auto"/>
              <w:right w:val="single" w:sz="4" w:space="0" w:color="auto"/>
            </w:tcBorders>
            <w:vAlign w:val="center"/>
            <w:hideMark/>
          </w:tcPr>
          <w:p w:rsidR="006A18E9" w:rsidRPr="00F6537A" w:rsidP="006A18E9" w14:paraId="63E9BC9F" w14:textId="77777777">
            <w:pPr>
              <w:overflowPunct/>
              <w:autoSpaceDE/>
              <w:autoSpaceDN/>
              <w:adjustRightInd/>
              <w:jc w:val="right"/>
              <w:textAlignment w:val="auto"/>
              <w:rPr>
                <w:color w:val="000000"/>
                <w:sz w:val="18"/>
                <w:szCs w:val="18"/>
              </w:rPr>
            </w:pPr>
            <w:r w:rsidRPr="00F6537A">
              <w:rPr>
                <w:color w:val="000000"/>
                <w:sz w:val="18"/>
                <w:szCs w:val="18"/>
              </w:rPr>
              <w:t>292</w:t>
            </w:r>
          </w:p>
        </w:tc>
        <w:tc>
          <w:tcPr>
            <w:tcW w:w="1350" w:type="dxa"/>
            <w:tcBorders>
              <w:top w:val="nil"/>
              <w:left w:val="nil"/>
              <w:bottom w:val="single" w:sz="4" w:space="0" w:color="auto"/>
              <w:right w:val="single" w:sz="4" w:space="0" w:color="auto"/>
            </w:tcBorders>
            <w:vAlign w:val="center"/>
            <w:hideMark/>
          </w:tcPr>
          <w:p w:rsidR="006A18E9" w:rsidRPr="00F6537A" w:rsidP="006A18E9" w14:paraId="18F614BA"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3385EBCD" w14:textId="77777777">
            <w:pPr>
              <w:overflowPunct/>
              <w:autoSpaceDE/>
              <w:autoSpaceDN/>
              <w:adjustRightInd/>
              <w:jc w:val="right"/>
              <w:textAlignment w:val="auto"/>
              <w:rPr>
                <w:color w:val="000000"/>
                <w:sz w:val="18"/>
                <w:szCs w:val="18"/>
              </w:rPr>
            </w:pPr>
            <w:r w:rsidRPr="00F6537A">
              <w:rPr>
                <w:color w:val="000000"/>
                <w:sz w:val="18"/>
                <w:szCs w:val="18"/>
              </w:rPr>
              <w:t>292</w:t>
            </w:r>
          </w:p>
        </w:tc>
        <w:tc>
          <w:tcPr>
            <w:tcW w:w="990" w:type="dxa"/>
            <w:tcBorders>
              <w:top w:val="nil"/>
              <w:left w:val="nil"/>
              <w:bottom w:val="single" w:sz="4" w:space="0" w:color="auto"/>
              <w:right w:val="single" w:sz="4" w:space="0" w:color="auto"/>
            </w:tcBorders>
            <w:vAlign w:val="center"/>
            <w:hideMark/>
          </w:tcPr>
          <w:p w:rsidR="006A18E9" w:rsidRPr="00F6537A" w:rsidP="006A18E9" w14:paraId="33B3F536"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19D2D503" w14:textId="77777777">
            <w:pPr>
              <w:overflowPunct/>
              <w:autoSpaceDE/>
              <w:autoSpaceDN/>
              <w:adjustRightInd/>
              <w:jc w:val="right"/>
              <w:textAlignment w:val="auto"/>
              <w:rPr>
                <w:color w:val="000000"/>
                <w:sz w:val="18"/>
                <w:szCs w:val="18"/>
              </w:rPr>
            </w:pPr>
            <w:r w:rsidRPr="00F6537A">
              <w:rPr>
                <w:color w:val="000000"/>
                <w:sz w:val="18"/>
                <w:szCs w:val="18"/>
              </w:rPr>
              <w:t>292</w:t>
            </w:r>
          </w:p>
        </w:tc>
        <w:tc>
          <w:tcPr>
            <w:tcW w:w="1080" w:type="dxa"/>
            <w:tcBorders>
              <w:top w:val="nil"/>
              <w:left w:val="nil"/>
              <w:bottom w:val="single" w:sz="4" w:space="0" w:color="auto"/>
              <w:right w:val="single" w:sz="4" w:space="0" w:color="auto"/>
            </w:tcBorders>
            <w:vAlign w:val="center"/>
            <w:hideMark/>
          </w:tcPr>
          <w:p w:rsidR="006A18E9" w:rsidRPr="00F6537A" w:rsidP="006A18E9" w14:paraId="48429700"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3DA7BCB5" w14:textId="77777777">
            <w:pPr>
              <w:overflowPunct/>
              <w:autoSpaceDE/>
              <w:autoSpaceDN/>
              <w:adjustRightInd/>
              <w:jc w:val="right"/>
              <w:textAlignment w:val="auto"/>
              <w:rPr>
                <w:color w:val="000000"/>
                <w:sz w:val="18"/>
                <w:szCs w:val="18"/>
              </w:rPr>
            </w:pPr>
            <w:r w:rsidRPr="00F6537A">
              <w:rPr>
                <w:color w:val="000000"/>
                <w:sz w:val="18"/>
                <w:szCs w:val="18"/>
              </w:rPr>
              <w:t xml:space="preserve">$13,180.88 </w:t>
            </w:r>
          </w:p>
        </w:tc>
      </w:tr>
      <w:tr w14:paraId="7BCC0DA9" w14:textId="77777777" w:rsidTr="00F6537A">
        <w:tblPrEx>
          <w:tblW w:w="11151" w:type="dxa"/>
          <w:tblInd w:w="-275" w:type="dxa"/>
          <w:tblLayout w:type="fixed"/>
          <w:tblLook w:val="04A0"/>
        </w:tblPrEx>
        <w:trPr>
          <w:cantSplit/>
          <w:trHeight w:val="971"/>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694EB333" w14:textId="77777777">
            <w:pPr>
              <w:overflowPunct/>
              <w:autoSpaceDE/>
              <w:autoSpaceDN/>
              <w:adjustRightInd/>
              <w:textAlignment w:val="auto"/>
              <w:rPr>
                <w:sz w:val="18"/>
                <w:szCs w:val="18"/>
              </w:rPr>
            </w:pPr>
            <w:r w:rsidRPr="00F6537A">
              <w:rPr>
                <w:sz w:val="18"/>
                <w:szCs w:val="18"/>
              </w:rPr>
              <w:t>PHA Request to HUD for Approval to Terminate PBV HAP Contract</w:t>
            </w:r>
          </w:p>
        </w:tc>
        <w:tc>
          <w:tcPr>
            <w:tcW w:w="1260" w:type="dxa"/>
            <w:tcBorders>
              <w:top w:val="nil"/>
              <w:left w:val="nil"/>
              <w:bottom w:val="single" w:sz="4" w:space="0" w:color="auto"/>
              <w:right w:val="single" w:sz="4" w:space="0" w:color="auto"/>
            </w:tcBorders>
            <w:vAlign w:val="center"/>
            <w:hideMark/>
          </w:tcPr>
          <w:p w:rsidR="006A18E9" w:rsidRPr="00F6537A" w:rsidP="006A18E9" w14:paraId="0B3DA118" w14:textId="77777777">
            <w:pPr>
              <w:overflowPunct/>
              <w:autoSpaceDE/>
              <w:autoSpaceDN/>
              <w:adjustRightInd/>
              <w:jc w:val="right"/>
              <w:textAlignment w:val="auto"/>
              <w:rPr>
                <w:color w:val="000000"/>
                <w:sz w:val="18"/>
                <w:szCs w:val="18"/>
              </w:rPr>
            </w:pPr>
            <w:r w:rsidRPr="00F6537A">
              <w:rPr>
                <w:color w:val="000000"/>
                <w:sz w:val="18"/>
                <w:szCs w:val="18"/>
              </w:rPr>
              <w:t>20</w:t>
            </w:r>
          </w:p>
        </w:tc>
        <w:tc>
          <w:tcPr>
            <w:tcW w:w="1350" w:type="dxa"/>
            <w:tcBorders>
              <w:top w:val="nil"/>
              <w:left w:val="nil"/>
              <w:bottom w:val="single" w:sz="4" w:space="0" w:color="auto"/>
              <w:right w:val="single" w:sz="4" w:space="0" w:color="auto"/>
            </w:tcBorders>
            <w:vAlign w:val="center"/>
            <w:hideMark/>
          </w:tcPr>
          <w:p w:rsidR="006A18E9" w:rsidRPr="00F6537A" w:rsidP="006A18E9" w14:paraId="5659C8F8"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4D7FB539" w14:textId="77777777">
            <w:pPr>
              <w:overflowPunct/>
              <w:autoSpaceDE/>
              <w:autoSpaceDN/>
              <w:adjustRightInd/>
              <w:jc w:val="right"/>
              <w:textAlignment w:val="auto"/>
              <w:rPr>
                <w:color w:val="000000"/>
                <w:sz w:val="18"/>
                <w:szCs w:val="18"/>
              </w:rPr>
            </w:pPr>
            <w:r w:rsidRPr="00F6537A">
              <w:rPr>
                <w:color w:val="000000"/>
                <w:sz w:val="18"/>
                <w:szCs w:val="18"/>
              </w:rPr>
              <w:t>20</w:t>
            </w:r>
          </w:p>
        </w:tc>
        <w:tc>
          <w:tcPr>
            <w:tcW w:w="990" w:type="dxa"/>
            <w:tcBorders>
              <w:top w:val="nil"/>
              <w:left w:val="nil"/>
              <w:bottom w:val="single" w:sz="4" w:space="0" w:color="auto"/>
              <w:right w:val="single" w:sz="4" w:space="0" w:color="auto"/>
            </w:tcBorders>
            <w:vAlign w:val="center"/>
            <w:hideMark/>
          </w:tcPr>
          <w:p w:rsidR="006A18E9" w:rsidRPr="00F6537A" w:rsidP="006A18E9" w14:paraId="37583176"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4D6E48F8" w14:textId="77777777">
            <w:pPr>
              <w:overflowPunct/>
              <w:autoSpaceDE/>
              <w:autoSpaceDN/>
              <w:adjustRightInd/>
              <w:jc w:val="right"/>
              <w:textAlignment w:val="auto"/>
              <w:rPr>
                <w:color w:val="000000"/>
                <w:sz w:val="18"/>
                <w:szCs w:val="18"/>
              </w:rPr>
            </w:pPr>
            <w:r w:rsidRPr="00F6537A">
              <w:rPr>
                <w:color w:val="000000"/>
                <w:sz w:val="18"/>
                <w:szCs w:val="18"/>
              </w:rPr>
              <w:t>20</w:t>
            </w:r>
          </w:p>
        </w:tc>
        <w:tc>
          <w:tcPr>
            <w:tcW w:w="1080" w:type="dxa"/>
            <w:tcBorders>
              <w:top w:val="nil"/>
              <w:left w:val="nil"/>
              <w:bottom w:val="single" w:sz="4" w:space="0" w:color="auto"/>
              <w:right w:val="single" w:sz="4" w:space="0" w:color="auto"/>
            </w:tcBorders>
            <w:vAlign w:val="center"/>
            <w:hideMark/>
          </w:tcPr>
          <w:p w:rsidR="006A18E9" w:rsidRPr="00F6537A" w:rsidP="006A18E9" w14:paraId="1AF2286A"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57052793" w14:textId="77777777">
            <w:pPr>
              <w:overflowPunct/>
              <w:autoSpaceDE/>
              <w:autoSpaceDN/>
              <w:adjustRightInd/>
              <w:jc w:val="right"/>
              <w:textAlignment w:val="auto"/>
              <w:rPr>
                <w:color w:val="000000"/>
                <w:sz w:val="18"/>
                <w:szCs w:val="18"/>
              </w:rPr>
            </w:pPr>
            <w:r w:rsidRPr="00F6537A">
              <w:rPr>
                <w:color w:val="000000"/>
                <w:sz w:val="18"/>
                <w:szCs w:val="18"/>
              </w:rPr>
              <w:t xml:space="preserve">$902.80 </w:t>
            </w:r>
          </w:p>
        </w:tc>
      </w:tr>
      <w:tr w14:paraId="3F8EF8E8" w14:textId="77777777" w:rsidTr="00F6537A">
        <w:tblPrEx>
          <w:tblW w:w="11151" w:type="dxa"/>
          <w:tblInd w:w="-275" w:type="dxa"/>
          <w:tblLayout w:type="fixed"/>
          <w:tblLook w:val="04A0"/>
        </w:tblPrEx>
        <w:trPr>
          <w:cantSplit/>
          <w:trHeight w:val="629"/>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5E3515BD" w14:textId="77777777">
            <w:pPr>
              <w:overflowPunct/>
              <w:autoSpaceDE/>
              <w:autoSpaceDN/>
              <w:adjustRightInd/>
              <w:textAlignment w:val="auto"/>
              <w:rPr>
                <w:sz w:val="18"/>
                <w:szCs w:val="18"/>
              </w:rPr>
            </w:pPr>
            <w:r w:rsidRPr="00F6537A">
              <w:rPr>
                <w:sz w:val="18"/>
                <w:szCs w:val="18"/>
              </w:rPr>
              <w:t>Owner Notice to Terminate PBV HAP Contract</w:t>
            </w:r>
          </w:p>
        </w:tc>
        <w:tc>
          <w:tcPr>
            <w:tcW w:w="1260" w:type="dxa"/>
            <w:tcBorders>
              <w:top w:val="nil"/>
              <w:left w:val="nil"/>
              <w:bottom w:val="single" w:sz="4" w:space="0" w:color="auto"/>
              <w:right w:val="single" w:sz="4" w:space="0" w:color="auto"/>
            </w:tcBorders>
            <w:vAlign w:val="center"/>
            <w:hideMark/>
          </w:tcPr>
          <w:p w:rsidR="006A18E9" w:rsidRPr="00F6537A" w:rsidP="006A18E9" w14:paraId="358FCB8D" w14:textId="77777777">
            <w:pPr>
              <w:overflowPunct/>
              <w:autoSpaceDE/>
              <w:autoSpaceDN/>
              <w:adjustRightInd/>
              <w:jc w:val="right"/>
              <w:textAlignment w:val="auto"/>
              <w:rPr>
                <w:color w:val="000000"/>
                <w:sz w:val="18"/>
                <w:szCs w:val="18"/>
              </w:rPr>
            </w:pPr>
            <w:r w:rsidRPr="00F6537A">
              <w:rPr>
                <w:color w:val="000000"/>
                <w:sz w:val="18"/>
                <w:szCs w:val="18"/>
              </w:rPr>
              <w:t>27</w:t>
            </w:r>
          </w:p>
        </w:tc>
        <w:tc>
          <w:tcPr>
            <w:tcW w:w="1350" w:type="dxa"/>
            <w:tcBorders>
              <w:top w:val="nil"/>
              <w:left w:val="nil"/>
              <w:bottom w:val="single" w:sz="4" w:space="0" w:color="auto"/>
              <w:right w:val="single" w:sz="4" w:space="0" w:color="auto"/>
            </w:tcBorders>
            <w:vAlign w:val="center"/>
            <w:hideMark/>
          </w:tcPr>
          <w:p w:rsidR="006A18E9" w:rsidRPr="00F6537A" w:rsidP="006A18E9" w14:paraId="6880BC88" w14:textId="77777777">
            <w:pPr>
              <w:overflowPunct/>
              <w:autoSpaceDE/>
              <w:autoSpaceDN/>
              <w:adjustRightInd/>
              <w:jc w:val="right"/>
              <w:textAlignment w:val="auto"/>
              <w:rPr>
                <w:color w:val="000000"/>
                <w:sz w:val="18"/>
                <w:szCs w:val="18"/>
              </w:rPr>
            </w:pPr>
            <w:r w:rsidRPr="00F6537A">
              <w:rPr>
                <w:color w:val="000000"/>
                <w:sz w:val="18"/>
                <w:szCs w:val="18"/>
              </w:rPr>
              <w:t>30</w:t>
            </w:r>
          </w:p>
        </w:tc>
        <w:tc>
          <w:tcPr>
            <w:tcW w:w="1260" w:type="dxa"/>
            <w:tcBorders>
              <w:top w:val="nil"/>
              <w:left w:val="nil"/>
              <w:bottom w:val="single" w:sz="4" w:space="0" w:color="auto"/>
              <w:right w:val="single" w:sz="4" w:space="0" w:color="auto"/>
            </w:tcBorders>
            <w:vAlign w:val="center"/>
            <w:hideMark/>
          </w:tcPr>
          <w:p w:rsidR="006A18E9" w:rsidRPr="00F6537A" w:rsidP="006A18E9" w14:paraId="2DCDA538" w14:textId="77777777">
            <w:pPr>
              <w:overflowPunct/>
              <w:autoSpaceDE/>
              <w:autoSpaceDN/>
              <w:adjustRightInd/>
              <w:jc w:val="right"/>
              <w:textAlignment w:val="auto"/>
              <w:rPr>
                <w:color w:val="000000"/>
                <w:sz w:val="18"/>
                <w:szCs w:val="18"/>
              </w:rPr>
            </w:pPr>
            <w:r w:rsidRPr="00F6537A">
              <w:rPr>
                <w:color w:val="000000"/>
                <w:sz w:val="18"/>
                <w:szCs w:val="18"/>
              </w:rPr>
              <w:t>810</w:t>
            </w:r>
          </w:p>
        </w:tc>
        <w:tc>
          <w:tcPr>
            <w:tcW w:w="990" w:type="dxa"/>
            <w:tcBorders>
              <w:top w:val="nil"/>
              <w:left w:val="nil"/>
              <w:bottom w:val="single" w:sz="4" w:space="0" w:color="auto"/>
              <w:right w:val="single" w:sz="4" w:space="0" w:color="auto"/>
            </w:tcBorders>
            <w:vAlign w:val="center"/>
            <w:hideMark/>
          </w:tcPr>
          <w:p w:rsidR="006A18E9" w:rsidRPr="00F6537A" w:rsidP="006A18E9" w14:paraId="454819D4" w14:textId="77777777">
            <w:pPr>
              <w:overflowPunct/>
              <w:autoSpaceDE/>
              <w:autoSpaceDN/>
              <w:adjustRightInd/>
              <w:jc w:val="right"/>
              <w:textAlignment w:val="auto"/>
              <w:rPr>
                <w:color w:val="000000"/>
                <w:sz w:val="18"/>
                <w:szCs w:val="18"/>
              </w:rPr>
            </w:pPr>
            <w:r w:rsidRPr="00F6537A">
              <w:rPr>
                <w:color w:val="000000"/>
                <w:sz w:val="18"/>
                <w:szCs w:val="18"/>
              </w:rPr>
              <w:t>0.25</w:t>
            </w:r>
          </w:p>
        </w:tc>
        <w:tc>
          <w:tcPr>
            <w:tcW w:w="1530" w:type="dxa"/>
            <w:tcBorders>
              <w:top w:val="nil"/>
              <w:left w:val="nil"/>
              <w:bottom w:val="single" w:sz="4" w:space="0" w:color="auto"/>
              <w:right w:val="single" w:sz="4" w:space="0" w:color="auto"/>
            </w:tcBorders>
            <w:vAlign w:val="center"/>
            <w:hideMark/>
          </w:tcPr>
          <w:p w:rsidR="006A18E9" w:rsidRPr="00F6537A" w:rsidP="006A18E9" w14:paraId="7A13B49A" w14:textId="77777777">
            <w:pPr>
              <w:overflowPunct/>
              <w:autoSpaceDE/>
              <w:autoSpaceDN/>
              <w:adjustRightInd/>
              <w:jc w:val="right"/>
              <w:textAlignment w:val="auto"/>
              <w:rPr>
                <w:color w:val="000000"/>
                <w:sz w:val="18"/>
                <w:szCs w:val="18"/>
              </w:rPr>
            </w:pPr>
            <w:r w:rsidRPr="00F6537A">
              <w:rPr>
                <w:color w:val="000000"/>
                <w:sz w:val="18"/>
                <w:szCs w:val="18"/>
              </w:rPr>
              <w:t>202.5</w:t>
            </w:r>
          </w:p>
        </w:tc>
        <w:tc>
          <w:tcPr>
            <w:tcW w:w="1080" w:type="dxa"/>
            <w:tcBorders>
              <w:top w:val="nil"/>
              <w:left w:val="nil"/>
              <w:bottom w:val="single" w:sz="4" w:space="0" w:color="auto"/>
              <w:right w:val="single" w:sz="4" w:space="0" w:color="auto"/>
            </w:tcBorders>
            <w:vAlign w:val="center"/>
            <w:hideMark/>
          </w:tcPr>
          <w:p w:rsidR="006A18E9" w:rsidRPr="00F6537A" w:rsidP="006A18E9" w14:paraId="610468EF"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013A95BC" w14:textId="77777777">
            <w:pPr>
              <w:overflowPunct/>
              <w:autoSpaceDE/>
              <w:autoSpaceDN/>
              <w:adjustRightInd/>
              <w:jc w:val="right"/>
              <w:textAlignment w:val="auto"/>
              <w:rPr>
                <w:color w:val="000000"/>
                <w:sz w:val="18"/>
                <w:szCs w:val="18"/>
              </w:rPr>
            </w:pPr>
            <w:r w:rsidRPr="00F6537A">
              <w:rPr>
                <w:color w:val="000000"/>
                <w:sz w:val="18"/>
                <w:szCs w:val="18"/>
              </w:rPr>
              <w:t xml:space="preserve">$9,140.85 </w:t>
            </w:r>
          </w:p>
        </w:tc>
      </w:tr>
      <w:tr w14:paraId="74B580D3" w14:textId="77777777" w:rsidTr="00F6537A">
        <w:tblPrEx>
          <w:tblW w:w="11151" w:type="dxa"/>
          <w:tblInd w:w="-275" w:type="dxa"/>
          <w:tblLayout w:type="fixed"/>
          <w:tblLook w:val="04A0"/>
        </w:tblPrEx>
        <w:trPr>
          <w:cantSplit/>
          <w:trHeight w:val="89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6AEFAB2E" w14:textId="77777777">
            <w:pPr>
              <w:overflowPunct/>
              <w:autoSpaceDE/>
              <w:autoSpaceDN/>
              <w:adjustRightInd/>
              <w:textAlignment w:val="auto"/>
              <w:rPr>
                <w:sz w:val="18"/>
                <w:szCs w:val="18"/>
              </w:rPr>
            </w:pPr>
            <w:r w:rsidRPr="00F6537A">
              <w:rPr>
                <w:sz w:val="18"/>
                <w:szCs w:val="18"/>
              </w:rPr>
              <w:t>Legal Opinion that PHA's Unit/Project is No Longer PHA-owned</w:t>
            </w:r>
          </w:p>
        </w:tc>
        <w:tc>
          <w:tcPr>
            <w:tcW w:w="1260" w:type="dxa"/>
            <w:tcBorders>
              <w:top w:val="nil"/>
              <w:left w:val="nil"/>
              <w:bottom w:val="single" w:sz="4" w:space="0" w:color="auto"/>
              <w:right w:val="single" w:sz="4" w:space="0" w:color="auto"/>
            </w:tcBorders>
            <w:vAlign w:val="center"/>
            <w:hideMark/>
          </w:tcPr>
          <w:p w:rsidR="006A18E9" w:rsidRPr="00F6537A" w:rsidP="006A18E9" w14:paraId="0786F348" w14:textId="77777777">
            <w:pPr>
              <w:overflowPunct/>
              <w:autoSpaceDE/>
              <w:autoSpaceDN/>
              <w:adjustRightInd/>
              <w:jc w:val="right"/>
              <w:textAlignment w:val="auto"/>
              <w:rPr>
                <w:color w:val="000000"/>
                <w:sz w:val="18"/>
                <w:szCs w:val="18"/>
              </w:rPr>
            </w:pPr>
            <w:r w:rsidRPr="00F6537A">
              <w:rPr>
                <w:color w:val="000000"/>
                <w:sz w:val="18"/>
                <w:szCs w:val="18"/>
              </w:rPr>
              <w:t>45</w:t>
            </w:r>
          </w:p>
        </w:tc>
        <w:tc>
          <w:tcPr>
            <w:tcW w:w="1350" w:type="dxa"/>
            <w:tcBorders>
              <w:top w:val="nil"/>
              <w:left w:val="nil"/>
              <w:bottom w:val="single" w:sz="4" w:space="0" w:color="auto"/>
              <w:right w:val="single" w:sz="4" w:space="0" w:color="auto"/>
            </w:tcBorders>
            <w:vAlign w:val="center"/>
            <w:hideMark/>
          </w:tcPr>
          <w:p w:rsidR="006A18E9" w:rsidRPr="00F6537A" w:rsidP="006A18E9" w14:paraId="5F2FD677"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49436DBE" w14:textId="77777777">
            <w:pPr>
              <w:overflowPunct/>
              <w:autoSpaceDE/>
              <w:autoSpaceDN/>
              <w:adjustRightInd/>
              <w:jc w:val="right"/>
              <w:textAlignment w:val="auto"/>
              <w:rPr>
                <w:color w:val="000000"/>
                <w:sz w:val="18"/>
                <w:szCs w:val="18"/>
              </w:rPr>
            </w:pPr>
            <w:r w:rsidRPr="00F6537A">
              <w:rPr>
                <w:color w:val="000000"/>
                <w:sz w:val="18"/>
                <w:szCs w:val="18"/>
              </w:rPr>
              <w:t>45</w:t>
            </w:r>
          </w:p>
        </w:tc>
        <w:tc>
          <w:tcPr>
            <w:tcW w:w="990" w:type="dxa"/>
            <w:tcBorders>
              <w:top w:val="nil"/>
              <w:left w:val="nil"/>
              <w:bottom w:val="single" w:sz="4" w:space="0" w:color="auto"/>
              <w:right w:val="single" w:sz="4" w:space="0" w:color="auto"/>
            </w:tcBorders>
            <w:vAlign w:val="center"/>
            <w:hideMark/>
          </w:tcPr>
          <w:p w:rsidR="006A18E9" w:rsidRPr="00F6537A" w:rsidP="006A18E9" w14:paraId="3AD5FC0C"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3E333306" w14:textId="77777777">
            <w:pPr>
              <w:overflowPunct/>
              <w:autoSpaceDE/>
              <w:autoSpaceDN/>
              <w:adjustRightInd/>
              <w:jc w:val="right"/>
              <w:textAlignment w:val="auto"/>
              <w:rPr>
                <w:color w:val="000000"/>
                <w:sz w:val="18"/>
                <w:szCs w:val="18"/>
              </w:rPr>
            </w:pPr>
            <w:r w:rsidRPr="00F6537A">
              <w:rPr>
                <w:color w:val="000000"/>
                <w:sz w:val="18"/>
                <w:szCs w:val="18"/>
              </w:rPr>
              <w:t>45</w:t>
            </w:r>
          </w:p>
        </w:tc>
        <w:tc>
          <w:tcPr>
            <w:tcW w:w="1080" w:type="dxa"/>
            <w:tcBorders>
              <w:top w:val="nil"/>
              <w:left w:val="nil"/>
              <w:bottom w:val="single" w:sz="4" w:space="0" w:color="auto"/>
              <w:right w:val="single" w:sz="4" w:space="0" w:color="auto"/>
            </w:tcBorders>
            <w:vAlign w:val="center"/>
            <w:hideMark/>
          </w:tcPr>
          <w:p w:rsidR="006A18E9" w:rsidRPr="00F6537A" w:rsidP="006A18E9" w14:paraId="4D393EC7"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282A2AB7" w14:textId="77777777">
            <w:pPr>
              <w:overflowPunct/>
              <w:autoSpaceDE/>
              <w:autoSpaceDN/>
              <w:adjustRightInd/>
              <w:jc w:val="right"/>
              <w:textAlignment w:val="auto"/>
              <w:rPr>
                <w:color w:val="000000"/>
                <w:sz w:val="18"/>
                <w:szCs w:val="18"/>
              </w:rPr>
            </w:pPr>
            <w:r w:rsidRPr="00F6537A">
              <w:rPr>
                <w:color w:val="000000"/>
                <w:sz w:val="18"/>
                <w:szCs w:val="18"/>
              </w:rPr>
              <w:t xml:space="preserve">$2,031.30 </w:t>
            </w:r>
          </w:p>
        </w:tc>
      </w:tr>
      <w:tr w14:paraId="5E10CF2D" w14:textId="77777777" w:rsidTr="00F6537A">
        <w:tblPrEx>
          <w:tblW w:w="11151" w:type="dxa"/>
          <w:tblInd w:w="-275" w:type="dxa"/>
          <w:tblLayout w:type="fixed"/>
          <w:tblLook w:val="04A0"/>
        </w:tblPrEx>
        <w:trPr>
          <w:cantSplit/>
          <w:trHeight w:val="971"/>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721C1064" w14:textId="77777777">
            <w:pPr>
              <w:overflowPunct/>
              <w:autoSpaceDE/>
              <w:autoSpaceDN/>
              <w:adjustRightInd/>
              <w:textAlignment w:val="auto"/>
              <w:rPr>
                <w:sz w:val="18"/>
                <w:szCs w:val="18"/>
              </w:rPr>
            </w:pPr>
            <w:r w:rsidRPr="00F6537A">
              <w:rPr>
                <w:sz w:val="18"/>
                <w:szCs w:val="18"/>
              </w:rPr>
              <w:t>Notification of Ownership if Unit/Project is PHA-owned</w:t>
            </w:r>
          </w:p>
        </w:tc>
        <w:tc>
          <w:tcPr>
            <w:tcW w:w="1260" w:type="dxa"/>
            <w:tcBorders>
              <w:top w:val="nil"/>
              <w:left w:val="nil"/>
              <w:bottom w:val="single" w:sz="4" w:space="0" w:color="auto"/>
              <w:right w:val="single" w:sz="4" w:space="0" w:color="auto"/>
            </w:tcBorders>
            <w:vAlign w:val="center"/>
            <w:hideMark/>
          </w:tcPr>
          <w:p w:rsidR="006A18E9" w:rsidRPr="00F6537A" w:rsidP="006A18E9" w14:paraId="39ADC257" w14:textId="77777777">
            <w:pPr>
              <w:overflowPunct/>
              <w:autoSpaceDE/>
              <w:autoSpaceDN/>
              <w:adjustRightInd/>
              <w:jc w:val="right"/>
              <w:textAlignment w:val="auto"/>
              <w:rPr>
                <w:color w:val="000000"/>
                <w:sz w:val="18"/>
                <w:szCs w:val="18"/>
              </w:rPr>
            </w:pPr>
            <w:r w:rsidRPr="00F6537A">
              <w:rPr>
                <w:color w:val="000000"/>
                <w:sz w:val="18"/>
                <w:szCs w:val="18"/>
              </w:rPr>
              <w:t>150</w:t>
            </w:r>
          </w:p>
        </w:tc>
        <w:tc>
          <w:tcPr>
            <w:tcW w:w="1350" w:type="dxa"/>
            <w:tcBorders>
              <w:top w:val="nil"/>
              <w:left w:val="nil"/>
              <w:bottom w:val="single" w:sz="4" w:space="0" w:color="auto"/>
              <w:right w:val="single" w:sz="4" w:space="0" w:color="auto"/>
            </w:tcBorders>
            <w:vAlign w:val="center"/>
            <w:hideMark/>
          </w:tcPr>
          <w:p w:rsidR="006A18E9" w:rsidRPr="00F6537A" w:rsidP="006A18E9" w14:paraId="5A0560BD"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1B5D2A66" w14:textId="77777777">
            <w:pPr>
              <w:overflowPunct/>
              <w:autoSpaceDE/>
              <w:autoSpaceDN/>
              <w:adjustRightInd/>
              <w:jc w:val="right"/>
              <w:textAlignment w:val="auto"/>
              <w:rPr>
                <w:color w:val="000000"/>
                <w:sz w:val="18"/>
                <w:szCs w:val="18"/>
              </w:rPr>
            </w:pPr>
            <w:r w:rsidRPr="00F6537A">
              <w:rPr>
                <w:color w:val="000000"/>
                <w:sz w:val="18"/>
                <w:szCs w:val="18"/>
              </w:rPr>
              <w:t>150</w:t>
            </w:r>
          </w:p>
        </w:tc>
        <w:tc>
          <w:tcPr>
            <w:tcW w:w="990" w:type="dxa"/>
            <w:tcBorders>
              <w:top w:val="nil"/>
              <w:left w:val="nil"/>
              <w:bottom w:val="single" w:sz="4" w:space="0" w:color="auto"/>
              <w:right w:val="single" w:sz="4" w:space="0" w:color="auto"/>
            </w:tcBorders>
            <w:vAlign w:val="center"/>
            <w:hideMark/>
          </w:tcPr>
          <w:p w:rsidR="006A18E9" w:rsidRPr="00F6537A" w:rsidP="006A18E9" w14:paraId="60304892"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530" w:type="dxa"/>
            <w:tcBorders>
              <w:top w:val="nil"/>
              <w:left w:val="nil"/>
              <w:bottom w:val="single" w:sz="4" w:space="0" w:color="auto"/>
              <w:right w:val="single" w:sz="4" w:space="0" w:color="auto"/>
            </w:tcBorders>
            <w:vAlign w:val="center"/>
            <w:hideMark/>
          </w:tcPr>
          <w:p w:rsidR="006A18E9" w:rsidRPr="00F6537A" w:rsidP="006A18E9" w14:paraId="375CE7C0" w14:textId="77777777">
            <w:pPr>
              <w:overflowPunct/>
              <w:autoSpaceDE/>
              <w:autoSpaceDN/>
              <w:adjustRightInd/>
              <w:jc w:val="right"/>
              <w:textAlignment w:val="auto"/>
              <w:rPr>
                <w:color w:val="000000"/>
                <w:sz w:val="18"/>
                <w:szCs w:val="18"/>
              </w:rPr>
            </w:pPr>
            <w:r w:rsidRPr="00F6537A">
              <w:rPr>
                <w:color w:val="000000"/>
                <w:sz w:val="18"/>
                <w:szCs w:val="18"/>
              </w:rPr>
              <w:t>150</w:t>
            </w:r>
          </w:p>
        </w:tc>
        <w:tc>
          <w:tcPr>
            <w:tcW w:w="1080" w:type="dxa"/>
            <w:tcBorders>
              <w:top w:val="nil"/>
              <w:left w:val="nil"/>
              <w:bottom w:val="single" w:sz="4" w:space="0" w:color="auto"/>
              <w:right w:val="single" w:sz="4" w:space="0" w:color="auto"/>
            </w:tcBorders>
            <w:vAlign w:val="center"/>
            <w:hideMark/>
          </w:tcPr>
          <w:p w:rsidR="006A18E9" w:rsidRPr="00F6537A" w:rsidP="006A18E9" w14:paraId="02337B02"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0C02AF6E" w14:textId="77777777">
            <w:pPr>
              <w:overflowPunct/>
              <w:autoSpaceDE/>
              <w:autoSpaceDN/>
              <w:adjustRightInd/>
              <w:jc w:val="right"/>
              <w:textAlignment w:val="auto"/>
              <w:rPr>
                <w:color w:val="000000"/>
                <w:sz w:val="18"/>
                <w:szCs w:val="18"/>
              </w:rPr>
            </w:pPr>
            <w:r w:rsidRPr="00F6537A">
              <w:rPr>
                <w:color w:val="000000"/>
                <w:sz w:val="18"/>
                <w:szCs w:val="18"/>
              </w:rPr>
              <w:t xml:space="preserve">$6,771.00 </w:t>
            </w:r>
          </w:p>
        </w:tc>
      </w:tr>
      <w:tr w14:paraId="26BBB00D" w14:textId="77777777" w:rsidTr="00F6537A">
        <w:tblPrEx>
          <w:tblW w:w="11151" w:type="dxa"/>
          <w:tblInd w:w="-275" w:type="dxa"/>
          <w:tblLayout w:type="fixed"/>
          <w:tblLook w:val="04A0"/>
        </w:tblPrEx>
        <w:trPr>
          <w:cantSplit/>
          <w:trHeight w:val="1079"/>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45E8D55E" w14:textId="77777777">
            <w:pPr>
              <w:overflowPunct/>
              <w:autoSpaceDE/>
              <w:autoSpaceDN/>
              <w:adjustRightInd/>
              <w:textAlignment w:val="auto"/>
              <w:rPr>
                <w:sz w:val="18"/>
                <w:szCs w:val="18"/>
              </w:rPr>
            </w:pPr>
            <w:r w:rsidRPr="00F6537A">
              <w:rPr>
                <w:sz w:val="18"/>
                <w:szCs w:val="18"/>
              </w:rPr>
              <w:t>Joint PHA/Independent Entity Certification Regarding No Legal, Financial, Other Ties.</w:t>
            </w:r>
          </w:p>
        </w:tc>
        <w:tc>
          <w:tcPr>
            <w:tcW w:w="1260" w:type="dxa"/>
            <w:tcBorders>
              <w:top w:val="nil"/>
              <w:left w:val="nil"/>
              <w:bottom w:val="single" w:sz="4" w:space="0" w:color="auto"/>
              <w:right w:val="single" w:sz="4" w:space="0" w:color="auto"/>
            </w:tcBorders>
            <w:vAlign w:val="center"/>
            <w:hideMark/>
          </w:tcPr>
          <w:p w:rsidR="006A18E9" w:rsidRPr="00F6537A" w:rsidP="006A18E9" w14:paraId="104E5483" w14:textId="77777777">
            <w:pPr>
              <w:overflowPunct/>
              <w:autoSpaceDE/>
              <w:autoSpaceDN/>
              <w:adjustRightInd/>
              <w:jc w:val="right"/>
              <w:textAlignment w:val="auto"/>
              <w:rPr>
                <w:color w:val="000000"/>
                <w:sz w:val="18"/>
                <w:szCs w:val="18"/>
              </w:rPr>
            </w:pPr>
            <w:r w:rsidRPr="00F6537A">
              <w:rPr>
                <w:color w:val="000000"/>
                <w:sz w:val="18"/>
                <w:szCs w:val="18"/>
              </w:rPr>
              <w:t>150</w:t>
            </w:r>
          </w:p>
        </w:tc>
        <w:tc>
          <w:tcPr>
            <w:tcW w:w="1350" w:type="dxa"/>
            <w:tcBorders>
              <w:top w:val="nil"/>
              <w:left w:val="nil"/>
              <w:bottom w:val="single" w:sz="4" w:space="0" w:color="auto"/>
              <w:right w:val="single" w:sz="4" w:space="0" w:color="auto"/>
            </w:tcBorders>
            <w:vAlign w:val="center"/>
            <w:hideMark/>
          </w:tcPr>
          <w:p w:rsidR="006A18E9" w:rsidRPr="00F6537A" w:rsidP="006A18E9" w14:paraId="280CE581"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11CD5D62" w14:textId="77777777">
            <w:pPr>
              <w:overflowPunct/>
              <w:autoSpaceDE/>
              <w:autoSpaceDN/>
              <w:adjustRightInd/>
              <w:jc w:val="right"/>
              <w:textAlignment w:val="auto"/>
              <w:rPr>
                <w:color w:val="000000"/>
                <w:sz w:val="18"/>
                <w:szCs w:val="18"/>
              </w:rPr>
            </w:pPr>
            <w:r w:rsidRPr="00F6537A">
              <w:rPr>
                <w:color w:val="000000"/>
                <w:sz w:val="18"/>
                <w:szCs w:val="18"/>
              </w:rPr>
              <w:t>150</w:t>
            </w:r>
          </w:p>
        </w:tc>
        <w:tc>
          <w:tcPr>
            <w:tcW w:w="990" w:type="dxa"/>
            <w:tcBorders>
              <w:top w:val="nil"/>
              <w:left w:val="nil"/>
              <w:bottom w:val="single" w:sz="4" w:space="0" w:color="auto"/>
              <w:right w:val="single" w:sz="4" w:space="0" w:color="auto"/>
            </w:tcBorders>
            <w:vAlign w:val="center"/>
            <w:hideMark/>
          </w:tcPr>
          <w:p w:rsidR="006A18E9" w:rsidRPr="00F6537A" w:rsidP="006A18E9" w14:paraId="0E843213"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0081C298" w14:textId="77777777">
            <w:pPr>
              <w:overflowPunct/>
              <w:autoSpaceDE/>
              <w:autoSpaceDN/>
              <w:adjustRightInd/>
              <w:jc w:val="right"/>
              <w:textAlignment w:val="auto"/>
              <w:rPr>
                <w:color w:val="000000"/>
                <w:sz w:val="18"/>
                <w:szCs w:val="18"/>
              </w:rPr>
            </w:pPr>
            <w:r w:rsidRPr="00F6537A">
              <w:rPr>
                <w:color w:val="000000"/>
                <w:sz w:val="18"/>
                <w:szCs w:val="18"/>
              </w:rPr>
              <w:t>75</w:t>
            </w:r>
          </w:p>
        </w:tc>
        <w:tc>
          <w:tcPr>
            <w:tcW w:w="1080" w:type="dxa"/>
            <w:tcBorders>
              <w:top w:val="nil"/>
              <w:left w:val="nil"/>
              <w:bottom w:val="single" w:sz="4" w:space="0" w:color="auto"/>
              <w:right w:val="single" w:sz="4" w:space="0" w:color="auto"/>
            </w:tcBorders>
            <w:vAlign w:val="center"/>
            <w:hideMark/>
          </w:tcPr>
          <w:p w:rsidR="006A18E9" w:rsidRPr="00F6537A" w:rsidP="006A18E9" w14:paraId="0D1303D5"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2D86C837" w14:textId="77777777">
            <w:pPr>
              <w:overflowPunct/>
              <w:autoSpaceDE/>
              <w:autoSpaceDN/>
              <w:adjustRightInd/>
              <w:jc w:val="right"/>
              <w:textAlignment w:val="auto"/>
              <w:rPr>
                <w:color w:val="000000"/>
                <w:sz w:val="18"/>
                <w:szCs w:val="18"/>
              </w:rPr>
            </w:pPr>
            <w:r w:rsidRPr="00F6537A">
              <w:rPr>
                <w:color w:val="000000"/>
                <w:sz w:val="18"/>
                <w:szCs w:val="18"/>
              </w:rPr>
              <w:t xml:space="preserve">$3,385.50 </w:t>
            </w:r>
          </w:p>
        </w:tc>
      </w:tr>
      <w:tr w14:paraId="0EC6EAB1" w14:textId="77777777" w:rsidTr="00F6537A">
        <w:tblPrEx>
          <w:tblW w:w="11151" w:type="dxa"/>
          <w:tblInd w:w="-275" w:type="dxa"/>
          <w:tblLayout w:type="fixed"/>
          <w:tblLook w:val="04A0"/>
        </w:tblPrEx>
        <w:trPr>
          <w:cantSplit/>
          <w:trHeight w:val="701"/>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095D9830" w14:textId="77777777">
            <w:pPr>
              <w:overflowPunct/>
              <w:autoSpaceDE/>
              <w:autoSpaceDN/>
              <w:adjustRightInd/>
              <w:textAlignment w:val="auto"/>
              <w:rPr>
                <w:sz w:val="18"/>
                <w:szCs w:val="18"/>
              </w:rPr>
            </w:pPr>
            <w:r w:rsidRPr="00F6537A">
              <w:rPr>
                <w:sz w:val="18"/>
                <w:szCs w:val="18"/>
              </w:rPr>
              <w:t>Certification Regarding Previously Approved Independent Entity</w:t>
            </w:r>
          </w:p>
        </w:tc>
        <w:tc>
          <w:tcPr>
            <w:tcW w:w="1260" w:type="dxa"/>
            <w:tcBorders>
              <w:top w:val="nil"/>
              <w:left w:val="nil"/>
              <w:bottom w:val="single" w:sz="4" w:space="0" w:color="auto"/>
              <w:right w:val="single" w:sz="4" w:space="0" w:color="auto"/>
            </w:tcBorders>
            <w:vAlign w:val="center"/>
            <w:hideMark/>
          </w:tcPr>
          <w:p w:rsidR="006A18E9" w:rsidRPr="00F6537A" w:rsidP="006A18E9" w14:paraId="66A420C5" w14:textId="77777777">
            <w:pPr>
              <w:overflowPunct/>
              <w:autoSpaceDE/>
              <w:autoSpaceDN/>
              <w:adjustRightInd/>
              <w:jc w:val="right"/>
              <w:textAlignment w:val="auto"/>
              <w:rPr>
                <w:color w:val="000000"/>
                <w:sz w:val="18"/>
                <w:szCs w:val="18"/>
              </w:rPr>
            </w:pPr>
            <w:r w:rsidRPr="00F6537A">
              <w:rPr>
                <w:color w:val="000000"/>
                <w:sz w:val="18"/>
                <w:szCs w:val="18"/>
              </w:rPr>
              <w:t>180</w:t>
            </w:r>
          </w:p>
        </w:tc>
        <w:tc>
          <w:tcPr>
            <w:tcW w:w="1350" w:type="dxa"/>
            <w:tcBorders>
              <w:top w:val="nil"/>
              <w:left w:val="nil"/>
              <w:bottom w:val="single" w:sz="4" w:space="0" w:color="auto"/>
              <w:right w:val="single" w:sz="4" w:space="0" w:color="auto"/>
            </w:tcBorders>
            <w:vAlign w:val="center"/>
            <w:hideMark/>
          </w:tcPr>
          <w:p w:rsidR="006A18E9" w:rsidRPr="00F6537A" w:rsidP="006A18E9" w14:paraId="418A1805"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69C84FEE" w14:textId="77777777">
            <w:pPr>
              <w:overflowPunct/>
              <w:autoSpaceDE/>
              <w:autoSpaceDN/>
              <w:adjustRightInd/>
              <w:jc w:val="right"/>
              <w:textAlignment w:val="auto"/>
              <w:rPr>
                <w:color w:val="000000"/>
                <w:sz w:val="18"/>
                <w:szCs w:val="18"/>
              </w:rPr>
            </w:pPr>
            <w:r w:rsidRPr="00F6537A">
              <w:rPr>
                <w:color w:val="000000"/>
                <w:sz w:val="18"/>
                <w:szCs w:val="18"/>
              </w:rPr>
              <w:t>180</w:t>
            </w:r>
          </w:p>
        </w:tc>
        <w:tc>
          <w:tcPr>
            <w:tcW w:w="990" w:type="dxa"/>
            <w:tcBorders>
              <w:top w:val="nil"/>
              <w:left w:val="nil"/>
              <w:bottom w:val="single" w:sz="4" w:space="0" w:color="auto"/>
              <w:right w:val="single" w:sz="4" w:space="0" w:color="auto"/>
            </w:tcBorders>
            <w:vAlign w:val="center"/>
            <w:hideMark/>
          </w:tcPr>
          <w:p w:rsidR="006A18E9" w:rsidRPr="00F6537A" w:rsidP="006A18E9" w14:paraId="44AF4EAD"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146A2E4C" w14:textId="77777777">
            <w:pPr>
              <w:overflowPunct/>
              <w:autoSpaceDE/>
              <w:autoSpaceDN/>
              <w:adjustRightInd/>
              <w:jc w:val="right"/>
              <w:textAlignment w:val="auto"/>
              <w:rPr>
                <w:color w:val="000000"/>
                <w:sz w:val="18"/>
                <w:szCs w:val="18"/>
              </w:rPr>
            </w:pPr>
            <w:r w:rsidRPr="00F6537A">
              <w:rPr>
                <w:color w:val="000000"/>
                <w:sz w:val="18"/>
                <w:szCs w:val="18"/>
              </w:rPr>
              <w:t>90</w:t>
            </w:r>
          </w:p>
        </w:tc>
        <w:tc>
          <w:tcPr>
            <w:tcW w:w="1080" w:type="dxa"/>
            <w:tcBorders>
              <w:top w:val="nil"/>
              <w:left w:val="nil"/>
              <w:bottom w:val="single" w:sz="4" w:space="0" w:color="auto"/>
              <w:right w:val="single" w:sz="4" w:space="0" w:color="auto"/>
            </w:tcBorders>
            <w:vAlign w:val="center"/>
            <w:hideMark/>
          </w:tcPr>
          <w:p w:rsidR="006A18E9" w:rsidRPr="00F6537A" w:rsidP="006A18E9" w14:paraId="487EDF38"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4646375E" w14:textId="77777777">
            <w:pPr>
              <w:overflowPunct/>
              <w:autoSpaceDE/>
              <w:autoSpaceDN/>
              <w:adjustRightInd/>
              <w:jc w:val="right"/>
              <w:textAlignment w:val="auto"/>
              <w:rPr>
                <w:color w:val="000000"/>
                <w:sz w:val="18"/>
                <w:szCs w:val="18"/>
              </w:rPr>
            </w:pPr>
            <w:r w:rsidRPr="00F6537A">
              <w:rPr>
                <w:color w:val="000000"/>
                <w:sz w:val="18"/>
                <w:szCs w:val="18"/>
              </w:rPr>
              <w:t xml:space="preserve">$4,062.60 </w:t>
            </w:r>
          </w:p>
        </w:tc>
      </w:tr>
      <w:tr w14:paraId="57EDB03C" w14:textId="77777777" w:rsidTr="00F6537A">
        <w:tblPrEx>
          <w:tblW w:w="11151" w:type="dxa"/>
          <w:tblInd w:w="-275" w:type="dxa"/>
          <w:tblLayout w:type="fixed"/>
          <w:tblLook w:val="04A0"/>
        </w:tblPrEx>
        <w:trPr>
          <w:cantSplit/>
          <w:trHeight w:val="602"/>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00263E1B" w14:textId="77777777">
            <w:pPr>
              <w:overflowPunct/>
              <w:autoSpaceDE/>
              <w:autoSpaceDN/>
              <w:adjustRightInd/>
              <w:textAlignment w:val="auto"/>
              <w:rPr>
                <w:sz w:val="18"/>
                <w:szCs w:val="18"/>
              </w:rPr>
            </w:pPr>
            <w:r w:rsidRPr="00F6537A">
              <w:rPr>
                <w:sz w:val="18"/>
                <w:szCs w:val="18"/>
              </w:rPr>
              <w:t>Notice of Determination of Rent Reasonableness</w:t>
            </w:r>
          </w:p>
        </w:tc>
        <w:tc>
          <w:tcPr>
            <w:tcW w:w="1260" w:type="dxa"/>
            <w:tcBorders>
              <w:top w:val="nil"/>
              <w:left w:val="nil"/>
              <w:bottom w:val="single" w:sz="4" w:space="0" w:color="auto"/>
              <w:right w:val="single" w:sz="4" w:space="0" w:color="auto"/>
            </w:tcBorders>
            <w:vAlign w:val="center"/>
            <w:hideMark/>
          </w:tcPr>
          <w:p w:rsidR="006A18E9" w:rsidRPr="00F6537A" w:rsidP="006A18E9" w14:paraId="56292EF4" w14:textId="77777777">
            <w:pPr>
              <w:overflowPunct/>
              <w:autoSpaceDE/>
              <w:autoSpaceDN/>
              <w:adjustRightInd/>
              <w:jc w:val="right"/>
              <w:textAlignment w:val="auto"/>
              <w:rPr>
                <w:color w:val="000000"/>
                <w:sz w:val="18"/>
                <w:szCs w:val="18"/>
              </w:rPr>
            </w:pPr>
            <w:r w:rsidRPr="00F6537A">
              <w:rPr>
                <w:color w:val="000000"/>
                <w:sz w:val="18"/>
                <w:szCs w:val="18"/>
              </w:rPr>
              <w:t>150</w:t>
            </w:r>
          </w:p>
        </w:tc>
        <w:tc>
          <w:tcPr>
            <w:tcW w:w="1350" w:type="dxa"/>
            <w:tcBorders>
              <w:top w:val="nil"/>
              <w:left w:val="nil"/>
              <w:bottom w:val="single" w:sz="4" w:space="0" w:color="auto"/>
              <w:right w:val="single" w:sz="4" w:space="0" w:color="auto"/>
            </w:tcBorders>
            <w:vAlign w:val="center"/>
            <w:hideMark/>
          </w:tcPr>
          <w:p w:rsidR="006A18E9" w:rsidRPr="00F6537A" w:rsidP="006A18E9" w14:paraId="04FB39BC" w14:textId="77777777">
            <w:pPr>
              <w:overflowPunct/>
              <w:autoSpaceDE/>
              <w:autoSpaceDN/>
              <w:adjustRightInd/>
              <w:jc w:val="right"/>
              <w:textAlignment w:val="auto"/>
              <w:rPr>
                <w:color w:val="000000"/>
                <w:sz w:val="18"/>
                <w:szCs w:val="18"/>
              </w:rPr>
            </w:pPr>
            <w:r w:rsidRPr="00F6537A">
              <w:rPr>
                <w:color w:val="000000"/>
                <w:sz w:val="18"/>
                <w:szCs w:val="18"/>
              </w:rPr>
              <w:t>3</w:t>
            </w:r>
          </w:p>
        </w:tc>
        <w:tc>
          <w:tcPr>
            <w:tcW w:w="1260" w:type="dxa"/>
            <w:tcBorders>
              <w:top w:val="nil"/>
              <w:left w:val="nil"/>
              <w:bottom w:val="single" w:sz="4" w:space="0" w:color="auto"/>
              <w:right w:val="single" w:sz="4" w:space="0" w:color="auto"/>
            </w:tcBorders>
            <w:vAlign w:val="center"/>
            <w:hideMark/>
          </w:tcPr>
          <w:p w:rsidR="006A18E9" w:rsidRPr="00F6537A" w:rsidP="006A18E9" w14:paraId="34E2A329" w14:textId="77777777">
            <w:pPr>
              <w:overflowPunct/>
              <w:autoSpaceDE/>
              <w:autoSpaceDN/>
              <w:adjustRightInd/>
              <w:jc w:val="right"/>
              <w:textAlignment w:val="auto"/>
              <w:rPr>
                <w:color w:val="000000"/>
                <w:sz w:val="18"/>
                <w:szCs w:val="18"/>
              </w:rPr>
            </w:pPr>
            <w:r w:rsidRPr="00F6537A">
              <w:rPr>
                <w:color w:val="000000"/>
                <w:sz w:val="18"/>
                <w:szCs w:val="18"/>
              </w:rPr>
              <w:t>450</w:t>
            </w:r>
          </w:p>
        </w:tc>
        <w:tc>
          <w:tcPr>
            <w:tcW w:w="990" w:type="dxa"/>
            <w:tcBorders>
              <w:top w:val="nil"/>
              <w:left w:val="nil"/>
              <w:bottom w:val="single" w:sz="4" w:space="0" w:color="auto"/>
              <w:right w:val="single" w:sz="4" w:space="0" w:color="auto"/>
            </w:tcBorders>
            <w:vAlign w:val="center"/>
            <w:hideMark/>
          </w:tcPr>
          <w:p w:rsidR="006A18E9" w:rsidRPr="00F6537A" w:rsidP="006A18E9" w14:paraId="759A28C5" w14:textId="77777777">
            <w:pPr>
              <w:overflowPunct/>
              <w:autoSpaceDE/>
              <w:autoSpaceDN/>
              <w:adjustRightInd/>
              <w:jc w:val="right"/>
              <w:textAlignment w:val="auto"/>
              <w:rPr>
                <w:color w:val="000000"/>
                <w:sz w:val="18"/>
                <w:szCs w:val="18"/>
              </w:rPr>
            </w:pPr>
            <w:r w:rsidRPr="00F6537A">
              <w:rPr>
                <w:color w:val="000000"/>
                <w:sz w:val="18"/>
                <w:szCs w:val="18"/>
              </w:rPr>
              <w:t>2</w:t>
            </w:r>
          </w:p>
        </w:tc>
        <w:tc>
          <w:tcPr>
            <w:tcW w:w="1530" w:type="dxa"/>
            <w:tcBorders>
              <w:top w:val="nil"/>
              <w:left w:val="nil"/>
              <w:bottom w:val="single" w:sz="4" w:space="0" w:color="auto"/>
              <w:right w:val="single" w:sz="4" w:space="0" w:color="auto"/>
            </w:tcBorders>
            <w:vAlign w:val="center"/>
            <w:hideMark/>
          </w:tcPr>
          <w:p w:rsidR="006A18E9" w:rsidRPr="00F6537A" w:rsidP="006A18E9" w14:paraId="361AF558" w14:textId="77777777">
            <w:pPr>
              <w:overflowPunct/>
              <w:autoSpaceDE/>
              <w:autoSpaceDN/>
              <w:adjustRightInd/>
              <w:jc w:val="right"/>
              <w:textAlignment w:val="auto"/>
              <w:rPr>
                <w:color w:val="000000"/>
                <w:sz w:val="18"/>
                <w:szCs w:val="18"/>
              </w:rPr>
            </w:pPr>
            <w:r w:rsidRPr="00F6537A">
              <w:rPr>
                <w:color w:val="000000"/>
                <w:sz w:val="18"/>
                <w:szCs w:val="18"/>
              </w:rPr>
              <w:t>900</w:t>
            </w:r>
          </w:p>
        </w:tc>
        <w:tc>
          <w:tcPr>
            <w:tcW w:w="1080" w:type="dxa"/>
            <w:tcBorders>
              <w:top w:val="nil"/>
              <w:left w:val="nil"/>
              <w:bottom w:val="single" w:sz="4" w:space="0" w:color="auto"/>
              <w:right w:val="single" w:sz="4" w:space="0" w:color="auto"/>
            </w:tcBorders>
            <w:vAlign w:val="center"/>
            <w:hideMark/>
          </w:tcPr>
          <w:p w:rsidR="006A18E9" w:rsidRPr="00F6537A" w:rsidP="006A18E9" w14:paraId="4342FA79"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B8FD510" w14:textId="77777777">
            <w:pPr>
              <w:overflowPunct/>
              <w:autoSpaceDE/>
              <w:autoSpaceDN/>
              <w:adjustRightInd/>
              <w:jc w:val="right"/>
              <w:textAlignment w:val="auto"/>
              <w:rPr>
                <w:color w:val="000000"/>
                <w:sz w:val="18"/>
                <w:szCs w:val="18"/>
              </w:rPr>
            </w:pPr>
            <w:r w:rsidRPr="00F6537A">
              <w:rPr>
                <w:color w:val="000000"/>
                <w:sz w:val="18"/>
                <w:szCs w:val="18"/>
              </w:rPr>
              <w:t xml:space="preserve">$40,626.00 </w:t>
            </w:r>
          </w:p>
        </w:tc>
      </w:tr>
      <w:tr w14:paraId="0635472F"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548EDD84" w14:textId="77777777">
            <w:pPr>
              <w:overflowPunct/>
              <w:autoSpaceDE/>
              <w:autoSpaceDN/>
              <w:adjustRightInd/>
              <w:textAlignment w:val="auto"/>
              <w:rPr>
                <w:sz w:val="18"/>
                <w:szCs w:val="18"/>
              </w:rPr>
            </w:pPr>
            <w:r w:rsidRPr="00F6537A">
              <w:rPr>
                <w:sz w:val="18"/>
                <w:szCs w:val="18"/>
              </w:rPr>
              <w:t xml:space="preserve">Review of PHA’s PBV Selection Process </w:t>
            </w:r>
          </w:p>
        </w:tc>
        <w:tc>
          <w:tcPr>
            <w:tcW w:w="1260" w:type="dxa"/>
            <w:tcBorders>
              <w:top w:val="nil"/>
              <w:left w:val="nil"/>
              <w:bottom w:val="single" w:sz="4" w:space="0" w:color="auto"/>
              <w:right w:val="single" w:sz="4" w:space="0" w:color="auto"/>
            </w:tcBorders>
            <w:vAlign w:val="center"/>
            <w:hideMark/>
          </w:tcPr>
          <w:p w:rsidR="006A18E9" w:rsidRPr="00F6537A" w:rsidP="006A18E9" w14:paraId="07D4E421" w14:textId="77777777">
            <w:pPr>
              <w:overflowPunct/>
              <w:autoSpaceDE/>
              <w:autoSpaceDN/>
              <w:adjustRightInd/>
              <w:jc w:val="right"/>
              <w:textAlignment w:val="auto"/>
              <w:rPr>
                <w:color w:val="000000"/>
                <w:sz w:val="18"/>
                <w:szCs w:val="18"/>
              </w:rPr>
            </w:pPr>
            <w:r w:rsidRPr="00F6537A">
              <w:rPr>
                <w:color w:val="000000"/>
                <w:sz w:val="18"/>
                <w:szCs w:val="18"/>
              </w:rPr>
              <w:t>90</w:t>
            </w:r>
          </w:p>
        </w:tc>
        <w:tc>
          <w:tcPr>
            <w:tcW w:w="1350" w:type="dxa"/>
            <w:tcBorders>
              <w:top w:val="nil"/>
              <w:left w:val="nil"/>
              <w:bottom w:val="single" w:sz="4" w:space="0" w:color="auto"/>
              <w:right w:val="single" w:sz="4" w:space="0" w:color="auto"/>
            </w:tcBorders>
            <w:vAlign w:val="center"/>
            <w:hideMark/>
          </w:tcPr>
          <w:p w:rsidR="006A18E9" w:rsidRPr="00F6537A" w:rsidP="006A18E9" w14:paraId="0D406AEE" w14:textId="77777777">
            <w:pPr>
              <w:overflowPunct/>
              <w:autoSpaceDE/>
              <w:autoSpaceDN/>
              <w:adjustRightInd/>
              <w:jc w:val="right"/>
              <w:textAlignment w:val="auto"/>
              <w:rPr>
                <w:color w:val="000000"/>
                <w:sz w:val="18"/>
                <w:szCs w:val="18"/>
              </w:rPr>
            </w:pPr>
            <w:r w:rsidRPr="00F6537A">
              <w:rPr>
                <w:color w:val="000000"/>
                <w:sz w:val="18"/>
                <w:szCs w:val="18"/>
              </w:rPr>
              <w:t>2</w:t>
            </w:r>
          </w:p>
        </w:tc>
        <w:tc>
          <w:tcPr>
            <w:tcW w:w="1260" w:type="dxa"/>
            <w:tcBorders>
              <w:top w:val="nil"/>
              <w:left w:val="nil"/>
              <w:bottom w:val="single" w:sz="4" w:space="0" w:color="auto"/>
              <w:right w:val="single" w:sz="4" w:space="0" w:color="auto"/>
            </w:tcBorders>
            <w:vAlign w:val="center"/>
            <w:hideMark/>
          </w:tcPr>
          <w:p w:rsidR="006A18E9" w:rsidRPr="00F6537A" w:rsidP="006A18E9" w14:paraId="7B52F4FD" w14:textId="77777777">
            <w:pPr>
              <w:overflowPunct/>
              <w:autoSpaceDE/>
              <w:autoSpaceDN/>
              <w:adjustRightInd/>
              <w:jc w:val="right"/>
              <w:textAlignment w:val="auto"/>
              <w:rPr>
                <w:color w:val="000000"/>
                <w:sz w:val="18"/>
                <w:szCs w:val="18"/>
              </w:rPr>
            </w:pPr>
            <w:r w:rsidRPr="00F6537A">
              <w:rPr>
                <w:color w:val="000000"/>
                <w:sz w:val="18"/>
                <w:szCs w:val="18"/>
              </w:rPr>
              <w:t>180</w:t>
            </w:r>
          </w:p>
        </w:tc>
        <w:tc>
          <w:tcPr>
            <w:tcW w:w="990" w:type="dxa"/>
            <w:tcBorders>
              <w:top w:val="nil"/>
              <w:left w:val="nil"/>
              <w:bottom w:val="single" w:sz="4" w:space="0" w:color="auto"/>
              <w:right w:val="single" w:sz="4" w:space="0" w:color="auto"/>
            </w:tcBorders>
            <w:vAlign w:val="center"/>
            <w:hideMark/>
          </w:tcPr>
          <w:p w:rsidR="006A18E9" w:rsidRPr="00F6537A" w:rsidP="006A18E9" w14:paraId="388D8785" w14:textId="77777777">
            <w:pPr>
              <w:overflowPunct/>
              <w:autoSpaceDE/>
              <w:autoSpaceDN/>
              <w:adjustRightInd/>
              <w:jc w:val="right"/>
              <w:textAlignment w:val="auto"/>
              <w:rPr>
                <w:color w:val="000000"/>
                <w:sz w:val="18"/>
                <w:szCs w:val="18"/>
              </w:rPr>
            </w:pPr>
            <w:r w:rsidRPr="00F6537A">
              <w:rPr>
                <w:color w:val="000000"/>
                <w:sz w:val="18"/>
                <w:szCs w:val="18"/>
              </w:rPr>
              <w:t>3</w:t>
            </w:r>
          </w:p>
        </w:tc>
        <w:tc>
          <w:tcPr>
            <w:tcW w:w="1530" w:type="dxa"/>
            <w:tcBorders>
              <w:top w:val="nil"/>
              <w:left w:val="nil"/>
              <w:bottom w:val="single" w:sz="4" w:space="0" w:color="auto"/>
              <w:right w:val="single" w:sz="4" w:space="0" w:color="auto"/>
            </w:tcBorders>
            <w:vAlign w:val="center"/>
            <w:hideMark/>
          </w:tcPr>
          <w:p w:rsidR="006A18E9" w:rsidRPr="00F6537A" w:rsidP="006A18E9" w14:paraId="2894CBAA" w14:textId="77777777">
            <w:pPr>
              <w:overflowPunct/>
              <w:autoSpaceDE/>
              <w:autoSpaceDN/>
              <w:adjustRightInd/>
              <w:jc w:val="right"/>
              <w:textAlignment w:val="auto"/>
              <w:rPr>
                <w:color w:val="000000"/>
                <w:sz w:val="18"/>
                <w:szCs w:val="18"/>
              </w:rPr>
            </w:pPr>
            <w:r w:rsidRPr="00F6537A">
              <w:rPr>
                <w:color w:val="000000"/>
                <w:sz w:val="18"/>
                <w:szCs w:val="18"/>
              </w:rPr>
              <w:t>540</w:t>
            </w:r>
          </w:p>
        </w:tc>
        <w:tc>
          <w:tcPr>
            <w:tcW w:w="1080" w:type="dxa"/>
            <w:tcBorders>
              <w:top w:val="nil"/>
              <w:left w:val="nil"/>
              <w:bottom w:val="single" w:sz="4" w:space="0" w:color="auto"/>
              <w:right w:val="single" w:sz="4" w:space="0" w:color="auto"/>
            </w:tcBorders>
            <w:vAlign w:val="center"/>
            <w:hideMark/>
          </w:tcPr>
          <w:p w:rsidR="006A18E9" w:rsidRPr="00F6537A" w:rsidP="006A18E9" w14:paraId="6F560422"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51E98237" w14:textId="77777777">
            <w:pPr>
              <w:overflowPunct/>
              <w:autoSpaceDE/>
              <w:autoSpaceDN/>
              <w:adjustRightInd/>
              <w:jc w:val="right"/>
              <w:textAlignment w:val="auto"/>
              <w:rPr>
                <w:color w:val="000000"/>
                <w:sz w:val="18"/>
                <w:szCs w:val="18"/>
              </w:rPr>
            </w:pPr>
            <w:r w:rsidRPr="00F6537A">
              <w:rPr>
                <w:color w:val="000000"/>
                <w:sz w:val="18"/>
                <w:szCs w:val="18"/>
              </w:rPr>
              <w:t xml:space="preserve">$24,375.60 </w:t>
            </w:r>
          </w:p>
        </w:tc>
      </w:tr>
      <w:tr w14:paraId="1285C74D" w14:textId="77777777" w:rsidTr="00262689">
        <w:tblPrEx>
          <w:tblW w:w="11151" w:type="dxa"/>
          <w:tblInd w:w="-275" w:type="dxa"/>
          <w:tblLayout w:type="fixed"/>
          <w:tblLook w:val="04A0"/>
        </w:tblPrEx>
        <w:trPr>
          <w:cantSplit/>
          <w:trHeight w:val="359"/>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96618D" w:rsidRPr="00F6537A" w:rsidP="00F6537A" w14:paraId="08507ADB" w14:textId="7C3F0356">
            <w:pPr>
              <w:overflowPunct/>
              <w:autoSpaceDE/>
              <w:autoSpaceDN/>
              <w:adjustRightInd/>
              <w:textAlignment w:val="auto"/>
              <w:rPr>
                <w:color w:val="000000"/>
                <w:sz w:val="18"/>
                <w:szCs w:val="18"/>
              </w:rPr>
            </w:pPr>
            <w:r w:rsidRPr="00F6537A">
              <w:rPr>
                <w:b/>
                <w:bCs/>
                <w:sz w:val="18"/>
                <w:szCs w:val="18"/>
              </w:rPr>
              <w:t>Family Unification Program Information Collection- Not HUD forms</w:t>
            </w:r>
          </w:p>
        </w:tc>
      </w:tr>
      <w:tr w14:paraId="124281A7" w14:textId="77777777" w:rsidTr="00F6537A">
        <w:tblPrEx>
          <w:tblW w:w="11151" w:type="dxa"/>
          <w:tblInd w:w="-275" w:type="dxa"/>
          <w:tblLayout w:type="fixed"/>
          <w:tblLook w:val="04A0"/>
        </w:tblPrEx>
        <w:trPr>
          <w:cantSplit/>
          <w:trHeight w:val="359"/>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10E567E9" w14:textId="77777777">
            <w:pPr>
              <w:overflowPunct/>
              <w:autoSpaceDE/>
              <w:autoSpaceDN/>
              <w:adjustRightInd/>
              <w:textAlignment w:val="auto"/>
              <w:rPr>
                <w:sz w:val="18"/>
                <w:szCs w:val="18"/>
              </w:rPr>
            </w:pPr>
            <w:r w:rsidRPr="00F6537A">
              <w:rPr>
                <w:sz w:val="18"/>
                <w:szCs w:val="18"/>
              </w:rPr>
              <w:t>FUP Statement of Need</w:t>
            </w:r>
          </w:p>
        </w:tc>
        <w:tc>
          <w:tcPr>
            <w:tcW w:w="1260" w:type="dxa"/>
            <w:tcBorders>
              <w:top w:val="nil"/>
              <w:left w:val="nil"/>
              <w:bottom w:val="single" w:sz="4" w:space="0" w:color="auto"/>
              <w:right w:val="single" w:sz="4" w:space="0" w:color="auto"/>
            </w:tcBorders>
            <w:vAlign w:val="center"/>
            <w:hideMark/>
          </w:tcPr>
          <w:p w:rsidR="006A18E9" w:rsidRPr="00F6537A" w:rsidP="006A18E9" w14:paraId="4BD022BF" w14:textId="77777777">
            <w:pPr>
              <w:overflowPunct/>
              <w:autoSpaceDE/>
              <w:autoSpaceDN/>
              <w:adjustRightInd/>
              <w:jc w:val="right"/>
              <w:textAlignment w:val="auto"/>
              <w:rPr>
                <w:color w:val="000000"/>
                <w:sz w:val="18"/>
                <w:szCs w:val="18"/>
              </w:rPr>
            </w:pPr>
            <w:r w:rsidRPr="00F6537A">
              <w:rPr>
                <w:color w:val="000000"/>
                <w:sz w:val="18"/>
                <w:szCs w:val="18"/>
              </w:rPr>
              <w:t>300</w:t>
            </w:r>
          </w:p>
        </w:tc>
        <w:tc>
          <w:tcPr>
            <w:tcW w:w="1350" w:type="dxa"/>
            <w:tcBorders>
              <w:top w:val="nil"/>
              <w:left w:val="nil"/>
              <w:bottom w:val="single" w:sz="4" w:space="0" w:color="auto"/>
              <w:right w:val="single" w:sz="4" w:space="0" w:color="auto"/>
            </w:tcBorders>
            <w:vAlign w:val="center"/>
            <w:hideMark/>
          </w:tcPr>
          <w:p w:rsidR="006A18E9" w:rsidRPr="00F6537A" w:rsidP="006A18E9" w14:paraId="0AD1CFB5"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2E1A0FD2" w14:textId="77777777">
            <w:pPr>
              <w:overflowPunct/>
              <w:autoSpaceDE/>
              <w:autoSpaceDN/>
              <w:adjustRightInd/>
              <w:jc w:val="right"/>
              <w:textAlignment w:val="auto"/>
              <w:rPr>
                <w:color w:val="000000"/>
                <w:sz w:val="18"/>
                <w:szCs w:val="18"/>
              </w:rPr>
            </w:pPr>
            <w:r w:rsidRPr="00F6537A">
              <w:rPr>
                <w:color w:val="000000"/>
                <w:sz w:val="18"/>
                <w:szCs w:val="18"/>
              </w:rPr>
              <w:t>300</w:t>
            </w:r>
          </w:p>
        </w:tc>
        <w:tc>
          <w:tcPr>
            <w:tcW w:w="990" w:type="dxa"/>
            <w:tcBorders>
              <w:top w:val="nil"/>
              <w:left w:val="nil"/>
              <w:bottom w:val="single" w:sz="4" w:space="0" w:color="auto"/>
              <w:right w:val="single" w:sz="4" w:space="0" w:color="auto"/>
            </w:tcBorders>
            <w:vAlign w:val="center"/>
            <w:hideMark/>
          </w:tcPr>
          <w:p w:rsidR="006A18E9" w:rsidRPr="00F6537A" w:rsidP="006A18E9" w14:paraId="38DDC68D" w14:textId="77777777">
            <w:pPr>
              <w:overflowPunct/>
              <w:autoSpaceDE/>
              <w:autoSpaceDN/>
              <w:adjustRightInd/>
              <w:jc w:val="right"/>
              <w:textAlignment w:val="auto"/>
              <w:rPr>
                <w:color w:val="000000"/>
                <w:sz w:val="18"/>
                <w:szCs w:val="18"/>
              </w:rPr>
            </w:pPr>
            <w:r w:rsidRPr="00F6537A">
              <w:rPr>
                <w:color w:val="000000"/>
                <w:sz w:val="18"/>
                <w:szCs w:val="18"/>
              </w:rPr>
              <w:t>2</w:t>
            </w:r>
          </w:p>
        </w:tc>
        <w:tc>
          <w:tcPr>
            <w:tcW w:w="1530" w:type="dxa"/>
            <w:tcBorders>
              <w:top w:val="nil"/>
              <w:left w:val="nil"/>
              <w:bottom w:val="single" w:sz="4" w:space="0" w:color="auto"/>
              <w:right w:val="single" w:sz="4" w:space="0" w:color="auto"/>
            </w:tcBorders>
            <w:vAlign w:val="center"/>
            <w:hideMark/>
          </w:tcPr>
          <w:p w:rsidR="006A18E9" w:rsidRPr="00F6537A" w:rsidP="006A18E9" w14:paraId="2F16F234" w14:textId="77777777">
            <w:pPr>
              <w:overflowPunct/>
              <w:autoSpaceDE/>
              <w:autoSpaceDN/>
              <w:adjustRightInd/>
              <w:jc w:val="right"/>
              <w:textAlignment w:val="auto"/>
              <w:rPr>
                <w:color w:val="000000"/>
                <w:sz w:val="18"/>
                <w:szCs w:val="18"/>
              </w:rPr>
            </w:pPr>
            <w:r w:rsidRPr="00F6537A">
              <w:rPr>
                <w:color w:val="000000"/>
                <w:sz w:val="18"/>
                <w:szCs w:val="18"/>
              </w:rPr>
              <w:t>600</w:t>
            </w:r>
          </w:p>
        </w:tc>
        <w:tc>
          <w:tcPr>
            <w:tcW w:w="1080" w:type="dxa"/>
            <w:tcBorders>
              <w:top w:val="nil"/>
              <w:left w:val="nil"/>
              <w:bottom w:val="single" w:sz="4" w:space="0" w:color="auto"/>
              <w:right w:val="single" w:sz="4" w:space="0" w:color="auto"/>
            </w:tcBorders>
            <w:vAlign w:val="center"/>
            <w:hideMark/>
          </w:tcPr>
          <w:p w:rsidR="006A18E9" w:rsidRPr="00F6537A" w:rsidP="006A18E9" w14:paraId="1E568CB5"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960D118" w14:textId="77777777">
            <w:pPr>
              <w:overflowPunct/>
              <w:autoSpaceDE/>
              <w:autoSpaceDN/>
              <w:adjustRightInd/>
              <w:jc w:val="right"/>
              <w:textAlignment w:val="auto"/>
              <w:rPr>
                <w:color w:val="000000"/>
                <w:sz w:val="18"/>
                <w:szCs w:val="18"/>
              </w:rPr>
            </w:pPr>
            <w:r w:rsidRPr="00F6537A">
              <w:rPr>
                <w:color w:val="000000"/>
                <w:sz w:val="18"/>
                <w:szCs w:val="18"/>
              </w:rPr>
              <w:t xml:space="preserve">$27,084.00 </w:t>
            </w:r>
          </w:p>
        </w:tc>
      </w:tr>
      <w:tr w14:paraId="0D330495" w14:textId="77777777" w:rsidTr="00F6537A">
        <w:tblPrEx>
          <w:tblW w:w="11151" w:type="dxa"/>
          <w:tblInd w:w="-275" w:type="dxa"/>
          <w:tblLayout w:type="fixed"/>
          <w:tblLook w:val="04A0"/>
        </w:tblPrEx>
        <w:trPr>
          <w:cantSplit/>
          <w:trHeight w:val="449"/>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1C74A7EE" w14:textId="77777777">
            <w:pPr>
              <w:overflowPunct/>
              <w:autoSpaceDE/>
              <w:autoSpaceDN/>
              <w:adjustRightInd/>
              <w:textAlignment w:val="auto"/>
              <w:rPr>
                <w:sz w:val="18"/>
                <w:szCs w:val="18"/>
              </w:rPr>
            </w:pPr>
            <w:r w:rsidRPr="00F6537A">
              <w:rPr>
                <w:sz w:val="18"/>
                <w:szCs w:val="18"/>
              </w:rPr>
              <w:t>FUP Memorandum of Understanding</w:t>
            </w:r>
          </w:p>
        </w:tc>
        <w:tc>
          <w:tcPr>
            <w:tcW w:w="1260" w:type="dxa"/>
            <w:tcBorders>
              <w:top w:val="nil"/>
              <w:left w:val="nil"/>
              <w:bottom w:val="single" w:sz="4" w:space="0" w:color="auto"/>
              <w:right w:val="single" w:sz="4" w:space="0" w:color="auto"/>
            </w:tcBorders>
            <w:vAlign w:val="center"/>
            <w:hideMark/>
          </w:tcPr>
          <w:p w:rsidR="006A18E9" w:rsidRPr="00F6537A" w:rsidP="006A18E9" w14:paraId="425B1B25" w14:textId="77777777">
            <w:pPr>
              <w:overflowPunct/>
              <w:autoSpaceDE/>
              <w:autoSpaceDN/>
              <w:adjustRightInd/>
              <w:jc w:val="right"/>
              <w:textAlignment w:val="auto"/>
              <w:rPr>
                <w:color w:val="000000"/>
                <w:sz w:val="18"/>
                <w:szCs w:val="18"/>
              </w:rPr>
            </w:pPr>
            <w:r w:rsidRPr="00F6537A">
              <w:rPr>
                <w:color w:val="000000"/>
                <w:sz w:val="18"/>
                <w:szCs w:val="18"/>
              </w:rPr>
              <w:t>300</w:t>
            </w:r>
          </w:p>
        </w:tc>
        <w:tc>
          <w:tcPr>
            <w:tcW w:w="1350" w:type="dxa"/>
            <w:tcBorders>
              <w:top w:val="nil"/>
              <w:left w:val="nil"/>
              <w:bottom w:val="single" w:sz="4" w:space="0" w:color="auto"/>
              <w:right w:val="single" w:sz="4" w:space="0" w:color="auto"/>
            </w:tcBorders>
            <w:vAlign w:val="center"/>
            <w:hideMark/>
          </w:tcPr>
          <w:p w:rsidR="006A18E9" w:rsidRPr="00F6537A" w:rsidP="006A18E9" w14:paraId="3C2D316F"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2CCE44BE" w14:textId="77777777">
            <w:pPr>
              <w:overflowPunct/>
              <w:autoSpaceDE/>
              <w:autoSpaceDN/>
              <w:adjustRightInd/>
              <w:jc w:val="right"/>
              <w:textAlignment w:val="auto"/>
              <w:rPr>
                <w:color w:val="000000"/>
                <w:sz w:val="18"/>
                <w:szCs w:val="18"/>
              </w:rPr>
            </w:pPr>
            <w:r w:rsidRPr="00F6537A">
              <w:rPr>
                <w:color w:val="000000"/>
                <w:sz w:val="18"/>
                <w:szCs w:val="18"/>
              </w:rPr>
              <w:t>300</w:t>
            </w:r>
          </w:p>
        </w:tc>
        <w:tc>
          <w:tcPr>
            <w:tcW w:w="990" w:type="dxa"/>
            <w:tcBorders>
              <w:top w:val="nil"/>
              <w:left w:val="nil"/>
              <w:bottom w:val="single" w:sz="4" w:space="0" w:color="auto"/>
              <w:right w:val="single" w:sz="4" w:space="0" w:color="auto"/>
            </w:tcBorders>
            <w:vAlign w:val="center"/>
            <w:hideMark/>
          </w:tcPr>
          <w:p w:rsidR="006A18E9" w:rsidRPr="00F6537A" w:rsidP="006A18E9" w14:paraId="00300990" w14:textId="77777777">
            <w:pPr>
              <w:overflowPunct/>
              <w:autoSpaceDE/>
              <w:autoSpaceDN/>
              <w:adjustRightInd/>
              <w:jc w:val="right"/>
              <w:textAlignment w:val="auto"/>
              <w:rPr>
                <w:color w:val="000000"/>
                <w:sz w:val="18"/>
                <w:szCs w:val="18"/>
              </w:rPr>
            </w:pPr>
            <w:r w:rsidRPr="00F6537A">
              <w:rPr>
                <w:color w:val="000000"/>
                <w:sz w:val="18"/>
                <w:szCs w:val="18"/>
              </w:rPr>
              <w:t>5</w:t>
            </w:r>
          </w:p>
        </w:tc>
        <w:tc>
          <w:tcPr>
            <w:tcW w:w="1530" w:type="dxa"/>
            <w:tcBorders>
              <w:top w:val="nil"/>
              <w:left w:val="nil"/>
              <w:bottom w:val="single" w:sz="4" w:space="0" w:color="auto"/>
              <w:right w:val="single" w:sz="4" w:space="0" w:color="auto"/>
            </w:tcBorders>
            <w:vAlign w:val="center"/>
            <w:hideMark/>
          </w:tcPr>
          <w:p w:rsidR="006A18E9" w:rsidRPr="00F6537A" w:rsidP="006A18E9" w14:paraId="4DEB994D" w14:textId="77777777">
            <w:pPr>
              <w:overflowPunct/>
              <w:autoSpaceDE/>
              <w:autoSpaceDN/>
              <w:adjustRightInd/>
              <w:jc w:val="right"/>
              <w:textAlignment w:val="auto"/>
              <w:rPr>
                <w:color w:val="000000"/>
                <w:sz w:val="18"/>
                <w:szCs w:val="18"/>
              </w:rPr>
            </w:pPr>
            <w:r w:rsidRPr="00F6537A">
              <w:rPr>
                <w:color w:val="000000"/>
                <w:sz w:val="18"/>
                <w:szCs w:val="18"/>
              </w:rPr>
              <w:t>1,500.00</w:t>
            </w:r>
          </w:p>
        </w:tc>
        <w:tc>
          <w:tcPr>
            <w:tcW w:w="1080" w:type="dxa"/>
            <w:tcBorders>
              <w:top w:val="nil"/>
              <w:left w:val="nil"/>
              <w:bottom w:val="single" w:sz="4" w:space="0" w:color="auto"/>
              <w:right w:val="single" w:sz="4" w:space="0" w:color="auto"/>
            </w:tcBorders>
            <w:vAlign w:val="center"/>
            <w:hideMark/>
          </w:tcPr>
          <w:p w:rsidR="006A18E9" w:rsidRPr="00F6537A" w:rsidP="006A18E9" w14:paraId="6264FD75"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575C5B9A" w14:textId="77777777">
            <w:pPr>
              <w:overflowPunct/>
              <w:autoSpaceDE/>
              <w:autoSpaceDN/>
              <w:adjustRightInd/>
              <w:jc w:val="right"/>
              <w:textAlignment w:val="auto"/>
              <w:rPr>
                <w:color w:val="000000"/>
                <w:sz w:val="18"/>
                <w:szCs w:val="18"/>
              </w:rPr>
            </w:pPr>
            <w:r w:rsidRPr="00F6537A">
              <w:rPr>
                <w:color w:val="000000"/>
                <w:sz w:val="18"/>
                <w:szCs w:val="18"/>
              </w:rPr>
              <w:t xml:space="preserve">$67,710.00 </w:t>
            </w:r>
          </w:p>
        </w:tc>
      </w:tr>
      <w:tr w14:paraId="2A2A3C9F"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79436F3D" w14:textId="77777777">
            <w:pPr>
              <w:overflowPunct/>
              <w:autoSpaceDE/>
              <w:autoSpaceDN/>
              <w:adjustRightInd/>
              <w:textAlignment w:val="auto"/>
              <w:rPr>
                <w:sz w:val="18"/>
                <w:szCs w:val="18"/>
              </w:rPr>
            </w:pPr>
            <w:r w:rsidRPr="00F6537A">
              <w:rPr>
                <w:sz w:val="18"/>
                <w:szCs w:val="18"/>
              </w:rPr>
              <w:t>FUP Evidence of a self-sufficiency program</w:t>
            </w:r>
          </w:p>
        </w:tc>
        <w:tc>
          <w:tcPr>
            <w:tcW w:w="1260" w:type="dxa"/>
            <w:tcBorders>
              <w:top w:val="nil"/>
              <w:left w:val="nil"/>
              <w:bottom w:val="single" w:sz="4" w:space="0" w:color="auto"/>
              <w:right w:val="single" w:sz="4" w:space="0" w:color="auto"/>
            </w:tcBorders>
            <w:vAlign w:val="center"/>
            <w:hideMark/>
          </w:tcPr>
          <w:p w:rsidR="006A18E9" w:rsidRPr="00F6537A" w:rsidP="006A18E9" w14:paraId="2B0F7052" w14:textId="77777777">
            <w:pPr>
              <w:overflowPunct/>
              <w:autoSpaceDE/>
              <w:autoSpaceDN/>
              <w:adjustRightInd/>
              <w:jc w:val="right"/>
              <w:textAlignment w:val="auto"/>
              <w:rPr>
                <w:color w:val="000000"/>
                <w:sz w:val="18"/>
                <w:szCs w:val="18"/>
              </w:rPr>
            </w:pPr>
            <w:r w:rsidRPr="00F6537A">
              <w:rPr>
                <w:color w:val="000000"/>
                <w:sz w:val="18"/>
                <w:szCs w:val="18"/>
              </w:rPr>
              <w:t>175</w:t>
            </w:r>
          </w:p>
        </w:tc>
        <w:tc>
          <w:tcPr>
            <w:tcW w:w="1350" w:type="dxa"/>
            <w:tcBorders>
              <w:top w:val="nil"/>
              <w:left w:val="nil"/>
              <w:bottom w:val="single" w:sz="4" w:space="0" w:color="auto"/>
              <w:right w:val="single" w:sz="4" w:space="0" w:color="auto"/>
            </w:tcBorders>
            <w:vAlign w:val="center"/>
            <w:hideMark/>
          </w:tcPr>
          <w:p w:rsidR="006A18E9" w:rsidRPr="00F6537A" w:rsidP="006A18E9" w14:paraId="0A54C8B1"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71A3EC0A" w14:textId="77777777">
            <w:pPr>
              <w:overflowPunct/>
              <w:autoSpaceDE/>
              <w:autoSpaceDN/>
              <w:adjustRightInd/>
              <w:jc w:val="right"/>
              <w:textAlignment w:val="auto"/>
              <w:rPr>
                <w:color w:val="000000"/>
                <w:sz w:val="18"/>
                <w:szCs w:val="18"/>
              </w:rPr>
            </w:pPr>
            <w:r w:rsidRPr="00F6537A">
              <w:rPr>
                <w:color w:val="000000"/>
                <w:sz w:val="18"/>
                <w:szCs w:val="18"/>
              </w:rPr>
              <w:t>175</w:t>
            </w:r>
          </w:p>
        </w:tc>
        <w:tc>
          <w:tcPr>
            <w:tcW w:w="990" w:type="dxa"/>
            <w:tcBorders>
              <w:top w:val="nil"/>
              <w:left w:val="nil"/>
              <w:bottom w:val="single" w:sz="4" w:space="0" w:color="auto"/>
              <w:right w:val="single" w:sz="4" w:space="0" w:color="auto"/>
            </w:tcBorders>
            <w:vAlign w:val="center"/>
            <w:hideMark/>
          </w:tcPr>
          <w:p w:rsidR="006A18E9" w:rsidRPr="00F6537A" w:rsidP="006A18E9" w14:paraId="38A32F3F"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67586837" w14:textId="77777777">
            <w:pPr>
              <w:overflowPunct/>
              <w:autoSpaceDE/>
              <w:autoSpaceDN/>
              <w:adjustRightInd/>
              <w:jc w:val="right"/>
              <w:textAlignment w:val="auto"/>
              <w:rPr>
                <w:color w:val="000000"/>
                <w:sz w:val="18"/>
                <w:szCs w:val="18"/>
              </w:rPr>
            </w:pPr>
            <w:r w:rsidRPr="00F6537A">
              <w:rPr>
                <w:color w:val="000000"/>
                <w:sz w:val="18"/>
                <w:szCs w:val="18"/>
              </w:rPr>
              <w:t>87.5</w:t>
            </w:r>
          </w:p>
        </w:tc>
        <w:tc>
          <w:tcPr>
            <w:tcW w:w="1080" w:type="dxa"/>
            <w:tcBorders>
              <w:top w:val="nil"/>
              <w:left w:val="nil"/>
              <w:bottom w:val="single" w:sz="4" w:space="0" w:color="auto"/>
              <w:right w:val="single" w:sz="4" w:space="0" w:color="auto"/>
            </w:tcBorders>
            <w:vAlign w:val="center"/>
            <w:hideMark/>
          </w:tcPr>
          <w:p w:rsidR="006A18E9" w:rsidRPr="00F6537A" w:rsidP="006A18E9" w14:paraId="45A2E823"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15B05E9C" w14:textId="77777777">
            <w:pPr>
              <w:overflowPunct/>
              <w:autoSpaceDE/>
              <w:autoSpaceDN/>
              <w:adjustRightInd/>
              <w:jc w:val="right"/>
              <w:textAlignment w:val="auto"/>
              <w:rPr>
                <w:color w:val="000000"/>
                <w:sz w:val="18"/>
                <w:szCs w:val="18"/>
              </w:rPr>
            </w:pPr>
            <w:r w:rsidRPr="00F6537A">
              <w:rPr>
                <w:color w:val="000000"/>
                <w:sz w:val="18"/>
                <w:szCs w:val="18"/>
              </w:rPr>
              <w:t xml:space="preserve">$3,949.75 </w:t>
            </w:r>
          </w:p>
        </w:tc>
      </w:tr>
      <w:tr w14:paraId="2CACFEF7" w14:textId="77777777" w:rsidTr="00262689">
        <w:tblPrEx>
          <w:tblW w:w="11151" w:type="dxa"/>
          <w:tblInd w:w="-275" w:type="dxa"/>
          <w:tblLayout w:type="fixed"/>
          <w:tblLook w:val="04A0"/>
        </w:tblPrEx>
        <w:trPr>
          <w:cantSplit/>
          <w:trHeight w:val="341"/>
          <w:tblHeader/>
        </w:trPr>
        <w:tc>
          <w:tcPr>
            <w:tcW w:w="11151" w:type="dxa"/>
            <w:gridSpan w:val="8"/>
            <w:tcBorders>
              <w:top w:val="nil"/>
              <w:left w:val="single" w:sz="4" w:space="0" w:color="auto"/>
              <w:bottom w:val="single" w:sz="4" w:space="0" w:color="auto"/>
              <w:right w:val="single" w:sz="4" w:space="0" w:color="auto"/>
            </w:tcBorders>
            <w:shd w:val="clear" w:color="auto" w:fill="E8E8E8" w:themeFill="background2"/>
            <w:vAlign w:val="center"/>
          </w:tcPr>
          <w:p w:rsidR="0096618D" w:rsidRPr="00F6537A" w:rsidP="00F6537A" w14:paraId="267D36D3" w14:textId="311D7B9A">
            <w:pPr>
              <w:overflowPunct/>
              <w:autoSpaceDE/>
              <w:autoSpaceDN/>
              <w:adjustRightInd/>
              <w:textAlignment w:val="auto"/>
              <w:rPr>
                <w:color w:val="000000"/>
                <w:sz w:val="18"/>
                <w:szCs w:val="18"/>
              </w:rPr>
            </w:pPr>
            <w:r w:rsidRPr="00F6537A">
              <w:rPr>
                <w:b/>
                <w:bCs/>
                <w:sz w:val="18"/>
                <w:szCs w:val="18"/>
              </w:rPr>
              <w:t xml:space="preserve">Tribal HUD-VASH Information Collections - </w:t>
            </w:r>
            <w:r w:rsidRPr="00F6537A" w:rsidR="00262689">
              <w:rPr>
                <w:b/>
                <w:bCs/>
                <w:sz w:val="18"/>
                <w:szCs w:val="18"/>
              </w:rPr>
              <w:t>N</w:t>
            </w:r>
            <w:r w:rsidRPr="00F6537A">
              <w:rPr>
                <w:b/>
                <w:bCs/>
                <w:sz w:val="18"/>
                <w:szCs w:val="18"/>
              </w:rPr>
              <w:t>ot HUD forms</w:t>
            </w:r>
          </w:p>
        </w:tc>
      </w:tr>
      <w:tr w14:paraId="6C4F153C"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48966509" w14:textId="77777777">
            <w:pPr>
              <w:overflowPunct/>
              <w:autoSpaceDE/>
              <w:autoSpaceDN/>
              <w:adjustRightInd/>
              <w:textAlignment w:val="auto"/>
              <w:rPr>
                <w:sz w:val="18"/>
                <w:szCs w:val="18"/>
              </w:rPr>
            </w:pPr>
            <w:r w:rsidRPr="00F6537A">
              <w:rPr>
                <w:sz w:val="18"/>
                <w:szCs w:val="18"/>
              </w:rPr>
              <w:t xml:space="preserve">HUD-VASH VAMC letter of support </w:t>
            </w:r>
          </w:p>
        </w:tc>
        <w:tc>
          <w:tcPr>
            <w:tcW w:w="1260" w:type="dxa"/>
            <w:tcBorders>
              <w:top w:val="nil"/>
              <w:left w:val="nil"/>
              <w:bottom w:val="single" w:sz="4" w:space="0" w:color="auto"/>
              <w:right w:val="single" w:sz="4" w:space="0" w:color="auto"/>
            </w:tcBorders>
            <w:vAlign w:val="center"/>
            <w:hideMark/>
          </w:tcPr>
          <w:p w:rsidR="006A18E9" w:rsidRPr="00F6537A" w:rsidP="00FC2339" w14:paraId="4CAED4F9" w14:textId="77777777">
            <w:pPr>
              <w:tabs>
                <w:tab w:val="left" w:pos="1179"/>
              </w:tabs>
              <w:overflowPunct/>
              <w:autoSpaceDE/>
              <w:autoSpaceDN/>
              <w:adjustRightInd/>
              <w:jc w:val="right"/>
              <w:textAlignment w:val="auto"/>
              <w:rPr>
                <w:color w:val="000000"/>
                <w:sz w:val="18"/>
                <w:szCs w:val="18"/>
              </w:rPr>
            </w:pPr>
            <w:r w:rsidRPr="00F6537A">
              <w:rPr>
                <w:color w:val="000000"/>
                <w:sz w:val="18"/>
                <w:szCs w:val="18"/>
              </w:rPr>
              <w:t>50</w:t>
            </w:r>
          </w:p>
        </w:tc>
        <w:tc>
          <w:tcPr>
            <w:tcW w:w="1350" w:type="dxa"/>
            <w:tcBorders>
              <w:top w:val="nil"/>
              <w:left w:val="nil"/>
              <w:bottom w:val="single" w:sz="4" w:space="0" w:color="auto"/>
              <w:right w:val="single" w:sz="4" w:space="0" w:color="auto"/>
            </w:tcBorders>
            <w:vAlign w:val="center"/>
            <w:hideMark/>
          </w:tcPr>
          <w:p w:rsidR="006A18E9" w:rsidRPr="00F6537A" w:rsidP="006A18E9" w14:paraId="6A2D31F7"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62E2C4F1" w14:textId="77777777">
            <w:pPr>
              <w:overflowPunct/>
              <w:autoSpaceDE/>
              <w:autoSpaceDN/>
              <w:adjustRightInd/>
              <w:jc w:val="right"/>
              <w:textAlignment w:val="auto"/>
              <w:rPr>
                <w:color w:val="000000"/>
                <w:sz w:val="18"/>
                <w:szCs w:val="18"/>
              </w:rPr>
            </w:pPr>
            <w:r w:rsidRPr="00F6537A">
              <w:rPr>
                <w:color w:val="000000"/>
                <w:sz w:val="18"/>
                <w:szCs w:val="18"/>
              </w:rPr>
              <w:t>50</w:t>
            </w:r>
          </w:p>
        </w:tc>
        <w:tc>
          <w:tcPr>
            <w:tcW w:w="990" w:type="dxa"/>
            <w:tcBorders>
              <w:top w:val="nil"/>
              <w:left w:val="nil"/>
              <w:bottom w:val="single" w:sz="4" w:space="0" w:color="auto"/>
              <w:right w:val="single" w:sz="4" w:space="0" w:color="auto"/>
            </w:tcBorders>
            <w:vAlign w:val="center"/>
            <w:hideMark/>
          </w:tcPr>
          <w:p w:rsidR="006A18E9" w:rsidRPr="00F6537A" w:rsidP="006A18E9" w14:paraId="30AA4731" w14:textId="77777777">
            <w:pPr>
              <w:overflowPunct/>
              <w:autoSpaceDE/>
              <w:autoSpaceDN/>
              <w:adjustRightInd/>
              <w:jc w:val="right"/>
              <w:textAlignment w:val="auto"/>
              <w:rPr>
                <w:color w:val="000000"/>
                <w:sz w:val="18"/>
                <w:szCs w:val="18"/>
              </w:rPr>
            </w:pPr>
            <w:r w:rsidRPr="00F6537A">
              <w:rPr>
                <w:color w:val="000000"/>
                <w:sz w:val="18"/>
                <w:szCs w:val="18"/>
              </w:rPr>
              <w:t>5</w:t>
            </w:r>
          </w:p>
        </w:tc>
        <w:tc>
          <w:tcPr>
            <w:tcW w:w="1530" w:type="dxa"/>
            <w:tcBorders>
              <w:top w:val="nil"/>
              <w:left w:val="nil"/>
              <w:bottom w:val="single" w:sz="4" w:space="0" w:color="auto"/>
              <w:right w:val="single" w:sz="4" w:space="0" w:color="auto"/>
            </w:tcBorders>
            <w:vAlign w:val="center"/>
            <w:hideMark/>
          </w:tcPr>
          <w:p w:rsidR="006A18E9" w:rsidRPr="00F6537A" w:rsidP="006A18E9" w14:paraId="0F79DD06" w14:textId="77777777">
            <w:pPr>
              <w:overflowPunct/>
              <w:autoSpaceDE/>
              <w:autoSpaceDN/>
              <w:adjustRightInd/>
              <w:jc w:val="right"/>
              <w:textAlignment w:val="auto"/>
              <w:rPr>
                <w:color w:val="000000"/>
                <w:sz w:val="18"/>
                <w:szCs w:val="18"/>
              </w:rPr>
            </w:pPr>
            <w:r w:rsidRPr="00F6537A">
              <w:rPr>
                <w:color w:val="000000"/>
                <w:sz w:val="18"/>
                <w:szCs w:val="18"/>
              </w:rPr>
              <w:t>250</w:t>
            </w:r>
          </w:p>
        </w:tc>
        <w:tc>
          <w:tcPr>
            <w:tcW w:w="1080" w:type="dxa"/>
            <w:tcBorders>
              <w:top w:val="nil"/>
              <w:left w:val="nil"/>
              <w:bottom w:val="single" w:sz="4" w:space="0" w:color="auto"/>
              <w:right w:val="single" w:sz="4" w:space="0" w:color="auto"/>
            </w:tcBorders>
            <w:vAlign w:val="center"/>
            <w:hideMark/>
          </w:tcPr>
          <w:p w:rsidR="006A18E9" w:rsidRPr="00F6537A" w:rsidP="006A18E9" w14:paraId="5120E7D3"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766A6FC7" w14:textId="77777777">
            <w:pPr>
              <w:overflowPunct/>
              <w:autoSpaceDE/>
              <w:autoSpaceDN/>
              <w:adjustRightInd/>
              <w:jc w:val="right"/>
              <w:textAlignment w:val="auto"/>
              <w:rPr>
                <w:color w:val="000000"/>
                <w:sz w:val="18"/>
                <w:szCs w:val="18"/>
              </w:rPr>
            </w:pPr>
            <w:r w:rsidRPr="00F6537A">
              <w:rPr>
                <w:color w:val="000000"/>
                <w:sz w:val="18"/>
                <w:szCs w:val="18"/>
              </w:rPr>
              <w:t xml:space="preserve">$11,285.00 </w:t>
            </w:r>
          </w:p>
        </w:tc>
      </w:tr>
      <w:tr w14:paraId="283AF0C9"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30EE8706" w14:textId="77777777">
            <w:pPr>
              <w:overflowPunct/>
              <w:autoSpaceDE/>
              <w:autoSpaceDN/>
              <w:adjustRightInd/>
              <w:textAlignment w:val="auto"/>
              <w:rPr>
                <w:sz w:val="18"/>
                <w:szCs w:val="18"/>
              </w:rPr>
            </w:pPr>
            <w:r w:rsidRPr="00F6537A">
              <w:rPr>
                <w:sz w:val="18"/>
                <w:szCs w:val="18"/>
              </w:rPr>
              <w:t xml:space="preserve">HUD-VASH signed formal agreement </w:t>
            </w:r>
          </w:p>
        </w:tc>
        <w:tc>
          <w:tcPr>
            <w:tcW w:w="1260" w:type="dxa"/>
            <w:tcBorders>
              <w:top w:val="nil"/>
              <w:left w:val="nil"/>
              <w:bottom w:val="single" w:sz="4" w:space="0" w:color="auto"/>
              <w:right w:val="single" w:sz="4" w:space="0" w:color="auto"/>
            </w:tcBorders>
            <w:vAlign w:val="center"/>
            <w:hideMark/>
          </w:tcPr>
          <w:p w:rsidR="006A18E9" w:rsidRPr="00F6537A" w:rsidP="006A18E9" w14:paraId="49BEBE21" w14:textId="77777777">
            <w:pPr>
              <w:overflowPunct/>
              <w:autoSpaceDE/>
              <w:autoSpaceDN/>
              <w:adjustRightInd/>
              <w:jc w:val="right"/>
              <w:textAlignment w:val="auto"/>
              <w:rPr>
                <w:color w:val="000000"/>
                <w:sz w:val="18"/>
                <w:szCs w:val="18"/>
              </w:rPr>
            </w:pPr>
            <w:r w:rsidRPr="00F6537A">
              <w:rPr>
                <w:color w:val="000000"/>
                <w:sz w:val="18"/>
                <w:szCs w:val="18"/>
              </w:rPr>
              <w:t>50</w:t>
            </w:r>
          </w:p>
        </w:tc>
        <w:tc>
          <w:tcPr>
            <w:tcW w:w="1350" w:type="dxa"/>
            <w:tcBorders>
              <w:top w:val="nil"/>
              <w:left w:val="nil"/>
              <w:bottom w:val="single" w:sz="4" w:space="0" w:color="auto"/>
              <w:right w:val="single" w:sz="4" w:space="0" w:color="auto"/>
            </w:tcBorders>
            <w:vAlign w:val="center"/>
            <w:hideMark/>
          </w:tcPr>
          <w:p w:rsidR="006A18E9" w:rsidRPr="00F6537A" w:rsidP="006A18E9" w14:paraId="3590E6BC"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12F07F9C" w14:textId="77777777">
            <w:pPr>
              <w:overflowPunct/>
              <w:autoSpaceDE/>
              <w:autoSpaceDN/>
              <w:adjustRightInd/>
              <w:jc w:val="right"/>
              <w:textAlignment w:val="auto"/>
              <w:rPr>
                <w:color w:val="000000"/>
                <w:sz w:val="18"/>
                <w:szCs w:val="18"/>
              </w:rPr>
            </w:pPr>
            <w:r w:rsidRPr="00F6537A">
              <w:rPr>
                <w:color w:val="000000"/>
                <w:sz w:val="18"/>
                <w:szCs w:val="18"/>
              </w:rPr>
              <w:t>50</w:t>
            </w:r>
          </w:p>
        </w:tc>
        <w:tc>
          <w:tcPr>
            <w:tcW w:w="990" w:type="dxa"/>
            <w:tcBorders>
              <w:top w:val="nil"/>
              <w:left w:val="nil"/>
              <w:bottom w:val="single" w:sz="4" w:space="0" w:color="auto"/>
              <w:right w:val="single" w:sz="4" w:space="0" w:color="auto"/>
            </w:tcBorders>
            <w:vAlign w:val="center"/>
            <w:hideMark/>
          </w:tcPr>
          <w:p w:rsidR="006A18E9" w:rsidRPr="00F6537A" w:rsidP="006A18E9" w14:paraId="2F5C37D3" w14:textId="77777777">
            <w:pPr>
              <w:overflowPunct/>
              <w:autoSpaceDE/>
              <w:autoSpaceDN/>
              <w:adjustRightInd/>
              <w:jc w:val="right"/>
              <w:textAlignment w:val="auto"/>
              <w:rPr>
                <w:color w:val="000000"/>
                <w:sz w:val="18"/>
                <w:szCs w:val="18"/>
              </w:rPr>
            </w:pPr>
            <w:r w:rsidRPr="00F6537A">
              <w:rPr>
                <w:color w:val="000000"/>
                <w:sz w:val="18"/>
                <w:szCs w:val="18"/>
              </w:rPr>
              <w:t>6</w:t>
            </w:r>
          </w:p>
        </w:tc>
        <w:tc>
          <w:tcPr>
            <w:tcW w:w="1530" w:type="dxa"/>
            <w:tcBorders>
              <w:top w:val="nil"/>
              <w:left w:val="nil"/>
              <w:bottom w:val="single" w:sz="4" w:space="0" w:color="auto"/>
              <w:right w:val="single" w:sz="4" w:space="0" w:color="auto"/>
            </w:tcBorders>
            <w:vAlign w:val="center"/>
            <w:hideMark/>
          </w:tcPr>
          <w:p w:rsidR="006A18E9" w:rsidRPr="00F6537A" w:rsidP="006A18E9" w14:paraId="7FD65D4F" w14:textId="77777777">
            <w:pPr>
              <w:overflowPunct/>
              <w:autoSpaceDE/>
              <w:autoSpaceDN/>
              <w:adjustRightInd/>
              <w:jc w:val="right"/>
              <w:textAlignment w:val="auto"/>
              <w:rPr>
                <w:color w:val="000000"/>
                <w:sz w:val="18"/>
                <w:szCs w:val="18"/>
              </w:rPr>
            </w:pPr>
            <w:r w:rsidRPr="00F6537A">
              <w:rPr>
                <w:color w:val="000000"/>
                <w:sz w:val="18"/>
                <w:szCs w:val="18"/>
              </w:rPr>
              <w:t>300</w:t>
            </w:r>
          </w:p>
        </w:tc>
        <w:tc>
          <w:tcPr>
            <w:tcW w:w="1080" w:type="dxa"/>
            <w:tcBorders>
              <w:top w:val="nil"/>
              <w:left w:val="nil"/>
              <w:bottom w:val="single" w:sz="4" w:space="0" w:color="auto"/>
              <w:right w:val="single" w:sz="4" w:space="0" w:color="auto"/>
            </w:tcBorders>
            <w:vAlign w:val="center"/>
            <w:hideMark/>
          </w:tcPr>
          <w:p w:rsidR="006A18E9" w:rsidRPr="00F6537A" w:rsidP="006A18E9" w14:paraId="5DC6A0B9"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2810D152" w14:textId="77777777">
            <w:pPr>
              <w:overflowPunct/>
              <w:autoSpaceDE/>
              <w:autoSpaceDN/>
              <w:adjustRightInd/>
              <w:jc w:val="right"/>
              <w:textAlignment w:val="auto"/>
              <w:rPr>
                <w:color w:val="000000"/>
                <w:sz w:val="18"/>
                <w:szCs w:val="18"/>
              </w:rPr>
            </w:pPr>
            <w:r w:rsidRPr="00F6537A">
              <w:rPr>
                <w:color w:val="000000"/>
                <w:sz w:val="18"/>
                <w:szCs w:val="18"/>
              </w:rPr>
              <w:t xml:space="preserve">$13,542.00 </w:t>
            </w:r>
          </w:p>
        </w:tc>
      </w:tr>
      <w:tr w14:paraId="74B18C69" w14:textId="77777777" w:rsidTr="00F6537A">
        <w:tblPrEx>
          <w:tblW w:w="11151" w:type="dxa"/>
          <w:tblInd w:w="-275" w:type="dxa"/>
          <w:tblLayout w:type="fixed"/>
          <w:tblLook w:val="04A0"/>
        </w:tblPrEx>
        <w:trPr>
          <w:cantSplit/>
          <w:trHeight w:val="53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7834191F" w14:textId="77777777">
            <w:pPr>
              <w:overflowPunct/>
              <w:autoSpaceDE/>
              <w:autoSpaceDN/>
              <w:adjustRightInd/>
              <w:textAlignment w:val="auto"/>
              <w:rPr>
                <w:sz w:val="18"/>
                <w:szCs w:val="18"/>
              </w:rPr>
            </w:pPr>
            <w:r w:rsidRPr="00F6537A">
              <w:rPr>
                <w:sz w:val="18"/>
                <w:szCs w:val="18"/>
              </w:rPr>
              <w:t>HUD-VASH boundary description</w:t>
            </w:r>
          </w:p>
        </w:tc>
        <w:tc>
          <w:tcPr>
            <w:tcW w:w="1260" w:type="dxa"/>
            <w:tcBorders>
              <w:top w:val="nil"/>
              <w:left w:val="nil"/>
              <w:bottom w:val="single" w:sz="4" w:space="0" w:color="auto"/>
              <w:right w:val="single" w:sz="4" w:space="0" w:color="auto"/>
            </w:tcBorders>
            <w:vAlign w:val="center"/>
            <w:hideMark/>
          </w:tcPr>
          <w:p w:rsidR="006A18E9" w:rsidRPr="00F6537A" w:rsidP="006A18E9" w14:paraId="01B4ACC2" w14:textId="77777777">
            <w:pPr>
              <w:overflowPunct/>
              <w:autoSpaceDE/>
              <w:autoSpaceDN/>
              <w:adjustRightInd/>
              <w:jc w:val="right"/>
              <w:textAlignment w:val="auto"/>
              <w:rPr>
                <w:color w:val="000000"/>
                <w:sz w:val="18"/>
                <w:szCs w:val="18"/>
              </w:rPr>
            </w:pPr>
            <w:r w:rsidRPr="00F6537A">
              <w:rPr>
                <w:color w:val="000000"/>
                <w:sz w:val="18"/>
                <w:szCs w:val="18"/>
              </w:rPr>
              <w:t>50</w:t>
            </w:r>
          </w:p>
        </w:tc>
        <w:tc>
          <w:tcPr>
            <w:tcW w:w="1350" w:type="dxa"/>
            <w:tcBorders>
              <w:top w:val="nil"/>
              <w:left w:val="nil"/>
              <w:bottom w:val="single" w:sz="4" w:space="0" w:color="auto"/>
              <w:right w:val="single" w:sz="4" w:space="0" w:color="auto"/>
            </w:tcBorders>
            <w:vAlign w:val="center"/>
            <w:hideMark/>
          </w:tcPr>
          <w:p w:rsidR="006A18E9" w:rsidRPr="00F6537A" w:rsidP="006A18E9" w14:paraId="0B543093"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37D81D52" w14:textId="77777777">
            <w:pPr>
              <w:overflowPunct/>
              <w:autoSpaceDE/>
              <w:autoSpaceDN/>
              <w:adjustRightInd/>
              <w:jc w:val="right"/>
              <w:textAlignment w:val="auto"/>
              <w:rPr>
                <w:color w:val="000000"/>
                <w:sz w:val="18"/>
                <w:szCs w:val="18"/>
              </w:rPr>
            </w:pPr>
            <w:r w:rsidRPr="00F6537A">
              <w:rPr>
                <w:color w:val="000000"/>
                <w:sz w:val="18"/>
                <w:szCs w:val="18"/>
              </w:rPr>
              <w:t>50</w:t>
            </w:r>
          </w:p>
        </w:tc>
        <w:tc>
          <w:tcPr>
            <w:tcW w:w="990" w:type="dxa"/>
            <w:tcBorders>
              <w:top w:val="nil"/>
              <w:left w:val="nil"/>
              <w:bottom w:val="single" w:sz="4" w:space="0" w:color="auto"/>
              <w:right w:val="single" w:sz="4" w:space="0" w:color="auto"/>
            </w:tcBorders>
            <w:vAlign w:val="center"/>
            <w:hideMark/>
          </w:tcPr>
          <w:p w:rsidR="006A18E9" w:rsidRPr="00F6537A" w:rsidP="006A18E9" w14:paraId="78E999CF" w14:textId="77777777">
            <w:pPr>
              <w:overflowPunct/>
              <w:autoSpaceDE/>
              <w:autoSpaceDN/>
              <w:adjustRightInd/>
              <w:jc w:val="right"/>
              <w:textAlignment w:val="auto"/>
              <w:rPr>
                <w:color w:val="000000"/>
                <w:sz w:val="18"/>
                <w:szCs w:val="18"/>
              </w:rPr>
            </w:pPr>
            <w:r w:rsidRPr="00F6537A">
              <w:rPr>
                <w:color w:val="000000"/>
                <w:sz w:val="18"/>
                <w:szCs w:val="18"/>
              </w:rPr>
              <w:t>0.5</w:t>
            </w:r>
          </w:p>
        </w:tc>
        <w:tc>
          <w:tcPr>
            <w:tcW w:w="1530" w:type="dxa"/>
            <w:tcBorders>
              <w:top w:val="nil"/>
              <w:left w:val="nil"/>
              <w:bottom w:val="single" w:sz="4" w:space="0" w:color="auto"/>
              <w:right w:val="single" w:sz="4" w:space="0" w:color="auto"/>
            </w:tcBorders>
            <w:vAlign w:val="center"/>
            <w:hideMark/>
          </w:tcPr>
          <w:p w:rsidR="006A18E9" w:rsidRPr="00F6537A" w:rsidP="006A18E9" w14:paraId="34BE929C" w14:textId="77777777">
            <w:pPr>
              <w:overflowPunct/>
              <w:autoSpaceDE/>
              <w:autoSpaceDN/>
              <w:adjustRightInd/>
              <w:jc w:val="right"/>
              <w:textAlignment w:val="auto"/>
              <w:rPr>
                <w:color w:val="000000"/>
                <w:sz w:val="18"/>
                <w:szCs w:val="18"/>
              </w:rPr>
            </w:pPr>
            <w:r w:rsidRPr="00F6537A">
              <w:rPr>
                <w:color w:val="000000"/>
                <w:sz w:val="18"/>
                <w:szCs w:val="18"/>
              </w:rPr>
              <w:t>25</w:t>
            </w:r>
          </w:p>
        </w:tc>
        <w:tc>
          <w:tcPr>
            <w:tcW w:w="1080" w:type="dxa"/>
            <w:tcBorders>
              <w:top w:val="nil"/>
              <w:left w:val="nil"/>
              <w:bottom w:val="single" w:sz="4" w:space="0" w:color="auto"/>
              <w:right w:val="single" w:sz="4" w:space="0" w:color="auto"/>
            </w:tcBorders>
            <w:vAlign w:val="center"/>
            <w:hideMark/>
          </w:tcPr>
          <w:p w:rsidR="006A18E9" w:rsidRPr="00F6537A" w:rsidP="006A18E9" w14:paraId="0E0B409E"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60BAADFC" w14:textId="77777777">
            <w:pPr>
              <w:overflowPunct/>
              <w:autoSpaceDE/>
              <w:autoSpaceDN/>
              <w:adjustRightInd/>
              <w:jc w:val="right"/>
              <w:textAlignment w:val="auto"/>
              <w:rPr>
                <w:color w:val="000000"/>
                <w:sz w:val="18"/>
                <w:szCs w:val="18"/>
              </w:rPr>
            </w:pPr>
            <w:r w:rsidRPr="00F6537A">
              <w:rPr>
                <w:color w:val="000000"/>
                <w:sz w:val="18"/>
                <w:szCs w:val="18"/>
              </w:rPr>
              <w:t xml:space="preserve">$1,128.50 </w:t>
            </w:r>
          </w:p>
        </w:tc>
      </w:tr>
      <w:tr w14:paraId="0F443438" w14:textId="77777777" w:rsidTr="00F6537A">
        <w:tblPrEx>
          <w:tblW w:w="11151" w:type="dxa"/>
          <w:tblInd w:w="-275" w:type="dxa"/>
          <w:tblLayout w:type="fixed"/>
          <w:tblLook w:val="04A0"/>
        </w:tblPrEx>
        <w:trPr>
          <w:cantSplit/>
          <w:trHeight w:val="6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5A649F9D" w14:textId="77777777">
            <w:pPr>
              <w:overflowPunct/>
              <w:autoSpaceDE/>
              <w:autoSpaceDN/>
              <w:adjustRightInd/>
              <w:textAlignment w:val="auto"/>
              <w:rPr>
                <w:sz w:val="18"/>
                <w:szCs w:val="18"/>
              </w:rPr>
            </w:pPr>
            <w:r w:rsidRPr="00F6537A">
              <w:rPr>
                <w:sz w:val="18"/>
                <w:szCs w:val="18"/>
              </w:rPr>
              <w:t>Tribal HUD-VASH application materials</w:t>
            </w:r>
          </w:p>
        </w:tc>
        <w:tc>
          <w:tcPr>
            <w:tcW w:w="1260" w:type="dxa"/>
            <w:tcBorders>
              <w:top w:val="nil"/>
              <w:left w:val="nil"/>
              <w:bottom w:val="single" w:sz="4" w:space="0" w:color="auto"/>
              <w:right w:val="single" w:sz="4" w:space="0" w:color="auto"/>
            </w:tcBorders>
            <w:vAlign w:val="center"/>
            <w:hideMark/>
          </w:tcPr>
          <w:p w:rsidR="006A18E9" w:rsidRPr="00F6537A" w:rsidP="006A18E9" w14:paraId="614C3375" w14:textId="77777777">
            <w:pPr>
              <w:overflowPunct/>
              <w:autoSpaceDE/>
              <w:autoSpaceDN/>
              <w:adjustRightInd/>
              <w:jc w:val="right"/>
              <w:textAlignment w:val="auto"/>
              <w:rPr>
                <w:color w:val="000000"/>
                <w:sz w:val="18"/>
                <w:szCs w:val="18"/>
              </w:rPr>
            </w:pPr>
            <w:r w:rsidRPr="00F6537A">
              <w:rPr>
                <w:color w:val="000000"/>
                <w:sz w:val="18"/>
                <w:szCs w:val="18"/>
              </w:rPr>
              <w:t>29</w:t>
            </w:r>
          </w:p>
        </w:tc>
        <w:tc>
          <w:tcPr>
            <w:tcW w:w="1350" w:type="dxa"/>
            <w:tcBorders>
              <w:top w:val="nil"/>
              <w:left w:val="nil"/>
              <w:bottom w:val="single" w:sz="4" w:space="0" w:color="auto"/>
              <w:right w:val="single" w:sz="4" w:space="0" w:color="auto"/>
            </w:tcBorders>
            <w:vAlign w:val="center"/>
            <w:hideMark/>
          </w:tcPr>
          <w:p w:rsidR="006A18E9" w:rsidRPr="00F6537A" w:rsidP="006A18E9" w14:paraId="435EFF26" w14:textId="77777777">
            <w:pPr>
              <w:overflowPunct/>
              <w:autoSpaceDE/>
              <w:autoSpaceDN/>
              <w:adjustRightInd/>
              <w:jc w:val="right"/>
              <w:textAlignment w:val="auto"/>
              <w:rPr>
                <w:color w:val="000000"/>
                <w:sz w:val="18"/>
                <w:szCs w:val="18"/>
              </w:rPr>
            </w:pPr>
            <w:r w:rsidRPr="00F6537A">
              <w:rPr>
                <w:color w:val="000000"/>
                <w:sz w:val="18"/>
                <w:szCs w:val="18"/>
              </w:rPr>
              <w:t>1</w:t>
            </w:r>
          </w:p>
        </w:tc>
        <w:tc>
          <w:tcPr>
            <w:tcW w:w="1260" w:type="dxa"/>
            <w:tcBorders>
              <w:top w:val="nil"/>
              <w:left w:val="nil"/>
              <w:bottom w:val="single" w:sz="4" w:space="0" w:color="auto"/>
              <w:right w:val="single" w:sz="4" w:space="0" w:color="auto"/>
            </w:tcBorders>
            <w:vAlign w:val="center"/>
            <w:hideMark/>
          </w:tcPr>
          <w:p w:rsidR="006A18E9" w:rsidRPr="00F6537A" w:rsidP="006A18E9" w14:paraId="2E6F2102" w14:textId="77777777">
            <w:pPr>
              <w:overflowPunct/>
              <w:autoSpaceDE/>
              <w:autoSpaceDN/>
              <w:adjustRightInd/>
              <w:jc w:val="right"/>
              <w:textAlignment w:val="auto"/>
              <w:rPr>
                <w:color w:val="000000"/>
                <w:sz w:val="18"/>
                <w:szCs w:val="18"/>
              </w:rPr>
            </w:pPr>
            <w:r w:rsidRPr="00F6537A">
              <w:rPr>
                <w:color w:val="000000"/>
                <w:sz w:val="18"/>
                <w:szCs w:val="18"/>
              </w:rPr>
              <w:t>29</w:t>
            </w:r>
          </w:p>
        </w:tc>
        <w:tc>
          <w:tcPr>
            <w:tcW w:w="990" w:type="dxa"/>
            <w:tcBorders>
              <w:top w:val="nil"/>
              <w:left w:val="nil"/>
              <w:bottom w:val="single" w:sz="4" w:space="0" w:color="auto"/>
              <w:right w:val="single" w:sz="4" w:space="0" w:color="auto"/>
            </w:tcBorders>
            <w:vAlign w:val="center"/>
            <w:hideMark/>
          </w:tcPr>
          <w:p w:rsidR="006A18E9" w:rsidRPr="00F6537A" w:rsidP="006A18E9" w14:paraId="78521926" w14:textId="77777777">
            <w:pPr>
              <w:overflowPunct/>
              <w:autoSpaceDE/>
              <w:autoSpaceDN/>
              <w:adjustRightInd/>
              <w:jc w:val="right"/>
              <w:textAlignment w:val="auto"/>
              <w:rPr>
                <w:color w:val="000000"/>
                <w:sz w:val="18"/>
                <w:szCs w:val="18"/>
              </w:rPr>
            </w:pPr>
            <w:r w:rsidRPr="00F6537A">
              <w:rPr>
                <w:color w:val="000000"/>
                <w:sz w:val="18"/>
                <w:szCs w:val="18"/>
              </w:rPr>
              <w:t>8</w:t>
            </w:r>
          </w:p>
        </w:tc>
        <w:tc>
          <w:tcPr>
            <w:tcW w:w="1530" w:type="dxa"/>
            <w:tcBorders>
              <w:top w:val="nil"/>
              <w:left w:val="nil"/>
              <w:bottom w:val="single" w:sz="4" w:space="0" w:color="auto"/>
              <w:right w:val="single" w:sz="4" w:space="0" w:color="auto"/>
            </w:tcBorders>
            <w:vAlign w:val="center"/>
            <w:hideMark/>
          </w:tcPr>
          <w:p w:rsidR="006A18E9" w:rsidRPr="00F6537A" w:rsidP="006A18E9" w14:paraId="009BB554" w14:textId="77777777">
            <w:pPr>
              <w:overflowPunct/>
              <w:autoSpaceDE/>
              <w:autoSpaceDN/>
              <w:adjustRightInd/>
              <w:jc w:val="right"/>
              <w:textAlignment w:val="auto"/>
              <w:rPr>
                <w:color w:val="000000"/>
                <w:sz w:val="18"/>
                <w:szCs w:val="18"/>
              </w:rPr>
            </w:pPr>
            <w:r w:rsidRPr="00F6537A">
              <w:rPr>
                <w:color w:val="000000"/>
                <w:sz w:val="18"/>
                <w:szCs w:val="18"/>
              </w:rPr>
              <w:t>232</w:t>
            </w:r>
          </w:p>
        </w:tc>
        <w:tc>
          <w:tcPr>
            <w:tcW w:w="1080" w:type="dxa"/>
            <w:tcBorders>
              <w:top w:val="nil"/>
              <w:left w:val="nil"/>
              <w:bottom w:val="single" w:sz="4" w:space="0" w:color="auto"/>
              <w:right w:val="single" w:sz="4" w:space="0" w:color="auto"/>
            </w:tcBorders>
            <w:vAlign w:val="center"/>
            <w:hideMark/>
          </w:tcPr>
          <w:p w:rsidR="006A18E9" w:rsidRPr="00F6537A" w:rsidP="006A18E9" w14:paraId="708807FE" w14:textId="77777777">
            <w:pPr>
              <w:overflowPunct/>
              <w:autoSpaceDE/>
              <w:autoSpaceDN/>
              <w:adjustRightInd/>
              <w:jc w:val="right"/>
              <w:textAlignment w:val="auto"/>
              <w:rPr>
                <w:color w:val="000000"/>
                <w:sz w:val="18"/>
                <w:szCs w:val="18"/>
              </w:rPr>
            </w:pPr>
            <w:r w:rsidRPr="00F6537A">
              <w:rPr>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2DA7891F" w14:textId="77777777">
            <w:pPr>
              <w:overflowPunct/>
              <w:autoSpaceDE/>
              <w:autoSpaceDN/>
              <w:adjustRightInd/>
              <w:jc w:val="right"/>
              <w:textAlignment w:val="auto"/>
              <w:rPr>
                <w:color w:val="000000"/>
                <w:sz w:val="18"/>
                <w:szCs w:val="18"/>
              </w:rPr>
            </w:pPr>
            <w:r w:rsidRPr="00F6537A">
              <w:rPr>
                <w:color w:val="000000"/>
                <w:sz w:val="18"/>
                <w:szCs w:val="18"/>
              </w:rPr>
              <w:t xml:space="preserve">$10,472.48 </w:t>
            </w:r>
          </w:p>
        </w:tc>
      </w:tr>
      <w:tr w14:paraId="437BB096" w14:textId="77777777" w:rsidTr="00F6537A">
        <w:tblPrEx>
          <w:tblW w:w="11151" w:type="dxa"/>
          <w:tblInd w:w="-275" w:type="dxa"/>
          <w:tblLayout w:type="fixed"/>
          <w:tblLook w:val="04A0"/>
        </w:tblPrEx>
        <w:trPr>
          <w:cantSplit/>
          <w:trHeight w:val="300"/>
          <w:tblHeader/>
        </w:trPr>
        <w:tc>
          <w:tcPr>
            <w:tcW w:w="1980" w:type="dxa"/>
            <w:tcBorders>
              <w:top w:val="nil"/>
              <w:left w:val="single" w:sz="4" w:space="0" w:color="auto"/>
              <w:bottom w:val="single" w:sz="4" w:space="0" w:color="auto"/>
              <w:right w:val="single" w:sz="4" w:space="0" w:color="auto"/>
            </w:tcBorders>
            <w:vAlign w:val="center"/>
            <w:hideMark/>
          </w:tcPr>
          <w:p w:rsidR="006A18E9" w:rsidRPr="00F6537A" w:rsidP="00F6537A" w14:paraId="46940689" w14:textId="77777777">
            <w:pPr>
              <w:overflowPunct/>
              <w:autoSpaceDE/>
              <w:autoSpaceDN/>
              <w:adjustRightInd/>
              <w:textAlignment w:val="auto"/>
              <w:rPr>
                <w:b/>
                <w:bCs/>
                <w:sz w:val="18"/>
                <w:szCs w:val="18"/>
              </w:rPr>
            </w:pPr>
            <w:r w:rsidRPr="00F6537A">
              <w:rPr>
                <w:b/>
                <w:bCs/>
                <w:sz w:val="18"/>
                <w:szCs w:val="18"/>
              </w:rPr>
              <w:t>Totals</w:t>
            </w:r>
          </w:p>
        </w:tc>
        <w:tc>
          <w:tcPr>
            <w:tcW w:w="1260" w:type="dxa"/>
            <w:tcBorders>
              <w:top w:val="nil"/>
              <w:left w:val="nil"/>
              <w:bottom w:val="single" w:sz="4" w:space="0" w:color="auto"/>
              <w:right w:val="single" w:sz="4" w:space="0" w:color="auto"/>
            </w:tcBorders>
            <w:vAlign w:val="center"/>
            <w:hideMark/>
          </w:tcPr>
          <w:p w:rsidR="006A18E9" w:rsidRPr="00F6537A" w:rsidP="006A18E9" w14:paraId="37CB8678" w14:textId="77777777">
            <w:pPr>
              <w:overflowPunct/>
              <w:autoSpaceDE/>
              <w:autoSpaceDN/>
              <w:adjustRightInd/>
              <w:jc w:val="right"/>
              <w:textAlignment w:val="auto"/>
              <w:rPr>
                <w:b/>
                <w:bCs/>
                <w:color w:val="000000"/>
                <w:sz w:val="18"/>
                <w:szCs w:val="18"/>
              </w:rPr>
            </w:pPr>
            <w:r w:rsidRPr="00F6537A">
              <w:rPr>
                <w:b/>
                <w:bCs/>
                <w:color w:val="000000"/>
                <w:sz w:val="18"/>
                <w:szCs w:val="18"/>
              </w:rPr>
              <w:t>37,020</w:t>
            </w:r>
          </w:p>
        </w:tc>
        <w:tc>
          <w:tcPr>
            <w:tcW w:w="1350" w:type="dxa"/>
            <w:tcBorders>
              <w:top w:val="nil"/>
              <w:left w:val="nil"/>
              <w:bottom w:val="single" w:sz="4" w:space="0" w:color="auto"/>
              <w:right w:val="single" w:sz="4" w:space="0" w:color="auto"/>
            </w:tcBorders>
            <w:vAlign w:val="center"/>
            <w:hideMark/>
          </w:tcPr>
          <w:p w:rsidR="006A18E9" w:rsidRPr="00F6537A" w:rsidP="006A18E9" w14:paraId="15F27520" w14:textId="1B036E43">
            <w:pPr>
              <w:overflowPunct/>
              <w:autoSpaceDE/>
              <w:autoSpaceDN/>
              <w:adjustRightInd/>
              <w:jc w:val="right"/>
              <w:textAlignment w:val="auto"/>
              <w:rPr>
                <w:b/>
                <w:bCs/>
                <w:color w:val="000000"/>
                <w:sz w:val="18"/>
                <w:szCs w:val="18"/>
              </w:rPr>
            </w:pPr>
          </w:p>
        </w:tc>
        <w:tc>
          <w:tcPr>
            <w:tcW w:w="1260" w:type="dxa"/>
            <w:tcBorders>
              <w:top w:val="nil"/>
              <w:left w:val="nil"/>
              <w:bottom w:val="single" w:sz="4" w:space="0" w:color="auto"/>
              <w:right w:val="single" w:sz="4" w:space="0" w:color="auto"/>
            </w:tcBorders>
            <w:vAlign w:val="center"/>
            <w:hideMark/>
          </w:tcPr>
          <w:p w:rsidR="006A18E9" w:rsidRPr="00F6537A" w:rsidP="006A18E9" w14:paraId="118403B3" w14:textId="5B1EC051">
            <w:pPr>
              <w:overflowPunct/>
              <w:autoSpaceDE/>
              <w:autoSpaceDN/>
              <w:adjustRightInd/>
              <w:jc w:val="right"/>
              <w:textAlignment w:val="auto"/>
              <w:rPr>
                <w:b/>
                <w:bCs/>
                <w:color w:val="000000"/>
                <w:sz w:val="18"/>
                <w:szCs w:val="18"/>
              </w:rPr>
            </w:pPr>
            <w:r w:rsidRPr="00F6537A">
              <w:rPr>
                <w:b/>
                <w:bCs/>
                <w:color w:val="000000"/>
                <w:sz w:val="18"/>
                <w:szCs w:val="18"/>
              </w:rPr>
              <w:t>8,846,709</w:t>
            </w:r>
            <w:r w:rsidRPr="00F6537A" w:rsidR="0096618D">
              <w:rPr>
                <w:b/>
                <w:bCs/>
                <w:color w:val="000000"/>
                <w:sz w:val="18"/>
                <w:szCs w:val="18"/>
                <w:vertAlign w:val="superscript"/>
              </w:rPr>
              <w:t>5</w:t>
            </w:r>
          </w:p>
        </w:tc>
        <w:tc>
          <w:tcPr>
            <w:tcW w:w="990" w:type="dxa"/>
            <w:tcBorders>
              <w:top w:val="nil"/>
              <w:left w:val="nil"/>
              <w:bottom w:val="single" w:sz="4" w:space="0" w:color="auto"/>
              <w:right w:val="single" w:sz="4" w:space="0" w:color="auto"/>
            </w:tcBorders>
            <w:vAlign w:val="center"/>
            <w:hideMark/>
          </w:tcPr>
          <w:p w:rsidR="006A18E9" w:rsidRPr="00F6537A" w:rsidP="006A18E9" w14:paraId="108EB0EA" w14:textId="6DA9AE45">
            <w:pPr>
              <w:overflowPunct/>
              <w:autoSpaceDE/>
              <w:autoSpaceDN/>
              <w:adjustRightInd/>
              <w:jc w:val="right"/>
              <w:textAlignment w:val="auto"/>
              <w:rPr>
                <w:b/>
                <w:bCs/>
                <w:color w:val="000000"/>
                <w:sz w:val="18"/>
                <w:szCs w:val="18"/>
              </w:rPr>
            </w:pPr>
          </w:p>
        </w:tc>
        <w:tc>
          <w:tcPr>
            <w:tcW w:w="1530" w:type="dxa"/>
            <w:tcBorders>
              <w:top w:val="nil"/>
              <w:left w:val="nil"/>
              <w:bottom w:val="single" w:sz="4" w:space="0" w:color="auto"/>
              <w:right w:val="single" w:sz="4" w:space="0" w:color="auto"/>
            </w:tcBorders>
            <w:vAlign w:val="center"/>
            <w:hideMark/>
          </w:tcPr>
          <w:p w:rsidR="006A18E9" w:rsidRPr="00F6537A" w:rsidP="006A18E9" w14:paraId="4D25AE0A" w14:textId="3A0E496D">
            <w:pPr>
              <w:overflowPunct/>
              <w:autoSpaceDE/>
              <w:autoSpaceDN/>
              <w:adjustRightInd/>
              <w:jc w:val="right"/>
              <w:textAlignment w:val="auto"/>
              <w:rPr>
                <w:b/>
                <w:bCs/>
                <w:color w:val="000000"/>
                <w:sz w:val="18"/>
                <w:szCs w:val="18"/>
              </w:rPr>
            </w:pPr>
            <w:r w:rsidRPr="00F6537A">
              <w:rPr>
                <w:b/>
                <w:bCs/>
                <w:color w:val="000000"/>
                <w:sz w:val="18"/>
                <w:szCs w:val="18"/>
              </w:rPr>
              <w:t>3,455,982.00</w:t>
            </w:r>
            <w:r w:rsidRPr="00F6537A" w:rsidR="00262689">
              <w:rPr>
                <w:b/>
                <w:bCs/>
                <w:color w:val="000000"/>
                <w:sz w:val="18"/>
                <w:szCs w:val="18"/>
                <w:vertAlign w:val="superscript"/>
              </w:rPr>
              <w:t>6</w:t>
            </w:r>
          </w:p>
        </w:tc>
        <w:tc>
          <w:tcPr>
            <w:tcW w:w="1080" w:type="dxa"/>
            <w:tcBorders>
              <w:top w:val="nil"/>
              <w:left w:val="nil"/>
              <w:bottom w:val="single" w:sz="4" w:space="0" w:color="auto"/>
              <w:right w:val="single" w:sz="4" w:space="0" w:color="auto"/>
            </w:tcBorders>
            <w:vAlign w:val="center"/>
            <w:hideMark/>
          </w:tcPr>
          <w:p w:rsidR="006A18E9" w:rsidRPr="00F6537A" w:rsidP="006A18E9" w14:paraId="399295D7" w14:textId="77777777">
            <w:pPr>
              <w:overflowPunct/>
              <w:autoSpaceDE/>
              <w:autoSpaceDN/>
              <w:adjustRightInd/>
              <w:jc w:val="right"/>
              <w:textAlignment w:val="auto"/>
              <w:rPr>
                <w:b/>
                <w:bCs/>
                <w:color w:val="000000"/>
                <w:sz w:val="18"/>
                <w:szCs w:val="18"/>
              </w:rPr>
            </w:pPr>
            <w:r w:rsidRPr="00F6537A">
              <w:rPr>
                <w:b/>
                <w:bCs/>
                <w:color w:val="000000"/>
                <w:sz w:val="18"/>
                <w:szCs w:val="18"/>
              </w:rPr>
              <w:t xml:space="preserve">$45.14 </w:t>
            </w:r>
          </w:p>
        </w:tc>
        <w:tc>
          <w:tcPr>
            <w:tcW w:w="1701" w:type="dxa"/>
            <w:tcBorders>
              <w:top w:val="nil"/>
              <w:left w:val="nil"/>
              <w:bottom w:val="single" w:sz="4" w:space="0" w:color="auto"/>
              <w:right w:val="single" w:sz="4" w:space="0" w:color="auto"/>
            </w:tcBorders>
            <w:vAlign w:val="center"/>
            <w:hideMark/>
          </w:tcPr>
          <w:p w:rsidR="006A18E9" w:rsidRPr="00F6537A" w:rsidP="006A18E9" w14:paraId="478B3BA3" w14:textId="77777777">
            <w:pPr>
              <w:overflowPunct/>
              <w:autoSpaceDE/>
              <w:autoSpaceDN/>
              <w:adjustRightInd/>
              <w:jc w:val="right"/>
              <w:textAlignment w:val="auto"/>
              <w:rPr>
                <w:b/>
                <w:bCs/>
                <w:color w:val="000000"/>
                <w:sz w:val="18"/>
                <w:szCs w:val="18"/>
              </w:rPr>
            </w:pPr>
            <w:r w:rsidRPr="00F6537A">
              <w:rPr>
                <w:b/>
                <w:bCs/>
                <w:color w:val="000000"/>
                <w:sz w:val="18"/>
                <w:szCs w:val="18"/>
              </w:rPr>
              <w:t xml:space="preserve">$156,003,027.50 </w:t>
            </w:r>
          </w:p>
        </w:tc>
      </w:tr>
    </w:tbl>
    <w:p w:rsidR="003E0A00" w:rsidRPr="000F09F5" w:rsidP="002716E8" w14:paraId="6ACBCC2A" w14:textId="77777777">
      <w:pPr>
        <w:pStyle w:val="FootnoteText"/>
        <w:spacing w:after="0" w:line="240" w:lineRule="auto"/>
        <w:rPr>
          <w:rFonts w:ascii="Times New Roman" w:hAnsi="Times New Roman" w:cs="Times New Roman"/>
          <w:sz w:val="20"/>
          <w:szCs w:val="20"/>
        </w:rPr>
      </w:pPr>
      <w:r w:rsidRPr="000F09F5">
        <w:rPr>
          <w:rStyle w:val="FootnoteReference"/>
          <w:rFonts w:ascii="Times New Roman" w:hAnsi="Times New Roman" w:cs="Times New Roman"/>
          <w:sz w:val="20"/>
          <w:szCs w:val="20"/>
        </w:rPr>
        <w:t>1</w:t>
      </w:r>
      <w:r w:rsidRPr="000F09F5">
        <w:rPr>
          <w:rFonts w:ascii="Times New Roman" w:hAnsi="Times New Roman" w:cs="Times New Roman"/>
          <w:sz w:val="20"/>
          <w:szCs w:val="20"/>
        </w:rPr>
        <w:t xml:space="preserve"> This column represents number of PHA respondents.</w:t>
      </w:r>
    </w:p>
    <w:p w:rsidR="003E0A00" w:rsidRPr="000F09F5" w:rsidP="002716E8" w14:paraId="27645075" w14:textId="77777777">
      <w:pPr>
        <w:pStyle w:val="FootnoteText"/>
        <w:spacing w:after="0" w:line="240" w:lineRule="auto"/>
        <w:rPr>
          <w:rFonts w:ascii="Times New Roman" w:hAnsi="Times New Roman" w:cs="Times New Roman"/>
          <w:sz w:val="20"/>
          <w:szCs w:val="20"/>
        </w:rPr>
      </w:pPr>
      <w:r w:rsidRPr="000F09F5">
        <w:rPr>
          <w:rStyle w:val="FootnoteReference"/>
          <w:rFonts w:ascii="Times New Roman" w:hAnsi="Times New Roman" w:cs="Times New Roman"/>
          <w:sz w:val="20"/>
          <w:szCs w:val="20"/>
        </w:rPr>
        <w:t>2</w:t>
      </w:r>
      <w:r w:rsidRPr="000F09F5">
        <w:rPr>
          <w:rFonts w:ascii="Times New Roman" w:hAnsi="Times New Roman" w:cs="Times New Roman"/>
          <w:sz w:val="20"/>
          <w:szCs w:val="20"/>
        </w:rPr>
        <w:t xml:space="preserve"> This column represents the number of responses per PHA.  For example, for the HUD-52517 this means that 2,192 PHAs are expected to have an average of 950 forms submitted on behalf of families totaling 2,082,400 forms submitted nationwide annually.</w:t>
      </w:r>
    </w:p>
    <w:p w:rsidR="000F09F5" w:rsidRPr="000F09F5" w:rsidP="002716E8" w14:paraId="466AE9E8" w14:textId="5F63632A">
      <w:pPr>
        <w:rPr>
          <w:sz w:val="20"/>
        </w:rPr>
      </w:pPr>
      <w:r w:rsidRPr="000F09F5">
        <w:rPr>
          <w:sz w:val="20"/>
          <w:vertAlign w:val="superscript"/>
        </w:rPr>
        <w:t xml:space="preserve">3 </w:t>
      </w:r>
      <w:r w:rsidRPr="000F09F5">
        <w:rPr>
          <w:sz w:val="20"/>
        </w:rPr>
        <w:t xml:space="preserve">To estimate the hourly cost per respondent, </w:t>
      </w:r>
      <w:r w:rsidRPr="000F09F5">
        <w:rPr>
          <w:rFonts w:eastAsia="Segoe UI"/>
          <w:sz w:val="20"/>
        </w:rPr>
        <w:t xml:space="preserve">HUD used the </w:t>
      </w:r>
      <w:hyperlink r:id="rId9" w:history="1">
        <w:r w:rsidRPr="00B636D3">
          <w:rPr>
            <w:rStyle w:val="Hyperlink"/>
            <w:rFonts w:eastAsia="Segoe UI"/>
            <w:sz w:val="20"/>
          </w:rPr>
          <w:t>U.S. Bureau of Labor Statistics’ most recent (May 2024) Occupational Employment and Wage Statistics</w:t>
        </w:r>
      </w:hyperlink>
      <w:r w:rsidRPr="000F09F5">
        <w:rPr>
          <w:rFonts w:eastAsia="Segoe UI"/>
          <w:sz w:val="20"/>
        </w:rPr>
        <w:t xml:space="preserve"> data. We estimate Financial Specialists, All Other, professional series in the Washington DC metropolitan area to have an average hourly rate of $45.14.</w:t>
      </w:r>
    </w:p>
    <w:p w:rsidR="003E0A00" w:rsidRPr="000F09F5" w:rsidP="002716E8" w14:paraId="2E509491" w14:textId="0E9C39E8">
      <w:pPr>
        <w:rPr>
          <w:sz w:val="20"/>
        </w:rPr>
      </w:pPr>
      <w:r w:rsidRPr="000F09F5">
        <w:rPr>
          <w:rStyle w:val="FootnoteReference"/>
          <w:sz w:val="20"/>
        </w:rPr>
        <w:t>4</w:t>
      </w:r>
      <w:r w:rsidRPr="000F09F5">
        <w:rPr>
          <w:sz w:val="20"/>
        </w:rPr>
        <w:t xml:space="preserve"> </w:t>
      </w:r>
      <w:r w:rsidRPr="000F09F5">
        <w:rPr>
          <w:rFonts w:eastAsia="Segoe UI"/>
          <w:sz w:val="20"/>
        </w:rPr>
        <w:t>The burden calculated here reflects the burden associated with the federal requirements of this information collection. The number of respondents reflects the total number of federal grantees (PHAs) and not the number of individual respondents submitting pre-application, application, and interim changes associated with the HCV process. As indicated in this row, HUD estimates that the time it takes a respondent to provide the federally required information associated with the HCV application, pre-application, or interim change is, on average, 15 minutes or 0.25 hours. The actual time to complete a form may be greater reflecting additional information collection requirements or submission processes that are not associated with federal requirements.</w:t>
      </w:r>
    </w:p>
    <w:p w:rsidR="003E0A00" w:rsidRPr="000F09F5" w:rsidP="002716E8" w14:paraId="64603B97" w14:textId="2A69ADA3">
      <w:pPr>
        <w:rPr>
          <w:sz w:val="20"/>
        </w:rPr>
      </w:pPr>
      <w:r w:rsidRPr="000F09F5">
        <w:rPr>
          <w:rStyle w:val="FootnoteReference"/>
          <w:rFonts w:eastAsiaTheme="majorEastAsia"/>
          <w:sz w:val="20"/>
        </w:rPr>
        <w:t>5</w:t>
      </w:r>
      <w:r w:rsidRPr="000F09F5">
        <w:rPr>
          <w:sz w:val="20"/>
        </w:rPr>
        <w:t xml:space="preserve"> </w:t>
      </w:r>
      <w:r w:rsidRPr="000F09F5">
        <w:rPr>
          <w:sz w:val="20"/>
        </w:rPr>
        <w:t>The number of Total Annual Responses has been reduced to reflect the expected decrease in Interim Change Forms needed as a result of the Housing Opportunity Through Modernization Act of 2015 (HOTMA) sections 102 and 104 as detailed in the final rule published in Federal Register Notice 88 FR 9600 on February 13, 2023. The Regulatory Impact Analysis for the HOTMA Final Rule (</w:t>
      </w:r>
      <w:hyperlink r:id="rId10" w:history="1">
        <w:r w:rsidRPr="00E57DA1">
          <w:rPr>
            <w:rStyle w:val="Hyperlink"/>
            <w:sz w:val="20"/>
          </w:rPr>
          <w:t>FR-6057-F-03</w:t>
        </w:r>
      </w:hyperlink>
      <w:r w:rsidRPr="000F09F5">
        <w:rPr>
          <w:sz w:val="20"/>
        </w:rPr>
        <w:t>) estimated that there would be a decrease of 120,000 fewer interims for Public Housing and the Housing Choice Voucher Program combined. The HCV Program consists of about two thirds of the total combined households, so HUD estimates that interim reexaminations for the HCV program will decrease by about 81,120 annually.</w:t>
      </w:r>
    </w:p>
    <w:p w:rsidR="003E0A00" w:rsidRPr="000F09F5" w:rsidP="002716E8" w14:paraId="5ADB038B" w14:textId="23EC8085">
      <w:pPr>
        <w:pStyle w:val="FootnoteText"/>
        <w:spacing w:after="0" w:line="240" w:lineRule="auto"/>
        <w:rPr>
          <w:rFonts w:ascii="Times New Roman" w:hAnsi="Times New Roman" w:cs="Times New Roman"/>
          <w:sz w:val="20"/>
          <w:szCs w:val="20"/>
        </w:rPr>
      </w:pPr>
      <w:r w:rsidRPr="000F09F5">
        <w:rPr>
          <w:rFonts w:ascii="Times New Roman" w:hAnsi="Times New Roman" w:cs="Times New Roman"/>
          <w:sz w:val="20"/>
          <w:szCs w:val="20"/>
          <w:vertAlign w:val="superscript"/>
        </w:rPr>
        <w:t>6</w:t>
      </w:r>
      <w:r w:rsidRPr="000F09F5">
        <w:rPr>
          <w:rFonts w:ascii="Times New Roman" w:hAnsi="Times New Roman" w:cs="Times New Roman"/>
          <w:sz w:val="20"/>
          <w:szCs w:val="20"/>
        </w:rPr>
        <w:t xml:space="preserve"> </w:t>
      </w:r>
      <w:r w:rsidRPr="000F09F5">
        <w:rPr>
          <w:rFonts w:ascii="Times New Roman" w:hAnsi="Times New Roman" w:cs="Times New Roman"/>
          <w:sz w:val="20"/>
          <w:szCs w:val="20"/>
        </w:rPr>
        <w:t xml:space="preserve">This represents an </w:t>
      </w:r>
      <w:r w:rsidR="00827BFC">
        <w:rPr>
          <w:rFonts w:ascii="Times New Roman" w:hAnsi="Times New Roman" w:cs="Times New Roman"/>
          <w:sz w:val="20"/>
          <w:szCs w:val="20"/>
        </w:rPr>
        <w:t>overall</w:t>
      </w:r>
      <w:r w:rsidR="002F0550">
        <w:rPr>
          <w:rFonts w:ascii="Times New Roman" w:hAnsi="Times New Roman" w:cs="Times New Roman"/>
          <w:sz w:val="20"/>
          <w:szCs w:val="20"/>
        </w:rPr>
        <w:t xml:space="preserve"> 0.</w:t>
      </w:r>
      <w:r w:rsidR="00827BFC">
        <w:rPr>
          <w:rFonts w:ascii="Times New Roman" w:hAnsi="Times New Roman" w:cs="Times New Roman"/>
          <w:sz w:val="20"/>
          <w:szCs w:val="20"/>
        </w:rPr>
        <w:t>17%increase</w:t>
      </w:r>
      <w:r w:rsidR="002F73C3">
        <w:rPr>
          <w:rFonts w:ascii="Times New Roman" w:hAnsi="Times New Roman" w:cs="Times New Roman"/>
          <w:sz w:val="20"/>
          <w:szCs w:val="20"/>
        </w:rPr>
        <w:t xml:space="preserve"> </w:t>
      </w:r>
      <w:r w:rsidRPr="000F09F5">
        <w:rPr>
          <w:rFonts w:ascii="Times New Roman" w:hAnsi="Times New Roman" w:cs="Times New Roman"/>
          <w:sz w:val="20"/>
          <w:szCs w:val="20"/>
        </w:rPr>
        <w:t xml:space="preserve">in burden since 2023 due to </w:t>
      </w:r>
      <w:r w:rsidR="00827BFC">
        <w:rPr>
          <w:rFonts w:ascii="Times New Roman" w:hAnsi="Times New Roman" w:cs="Times New Roman"/>
          <w:sz w:val="20"/>
          <w:szCs w:val="20"/>
        </w:rPr>
        <w:t>the addition of new forms</w:t>
      </w:r>
      <w:r w:rsidR="0077613A">
        <w:rPr>
          <w:rFonts w:ascii="Times New Roman" w:hAnsi="Times New Roman" w:cs="Times New Roman"/>
          <w:sz w:val="20"/>
          <w:szCs w:val="20"/>
        </w:rPr>
        <w:t>.</w:t>
      </w:r>
      <w:r w:rsidRPr="000F09F5">
        <w:rPr>
          <w:rFonts w:ascii="Times New Roman" w:hAnsi="Times New Roman" w:cs="Times New Roman"/>
          <w:sz w:val="20"/>
          <w:szCs w:val="20"/>
        </w:rPr>
        <w:t xml:space="preserve"> HUD discovered an error in the 2023 </w:t>
      </w:r>
      <w:r w:rsidR="00E23427">
        <w:rPr>
          <w:rFonts w:ascii="Times New Roman" w:hAnsi="Times New Roman" w:cs="Times New Roman"/>
          <w:sz w:val="20"/>
          <w:szCs w:val="20"/>
        </w:rPr>
        <w:t>Supporting Statement</w:t>
      </w:r>
      <w:r w:rsidRPr="000F09F5">
        <w:rPr>
          <w:rFonts w:ascii="Times New Roman" w:hAnsi="Times New Roman" w:cs="Times New Roman"/>
          <w:sz w:val="20"/>
          <w:szCs w:val="20"/>
        </w:rPr>
        <w:t xml:space="preserve"> estimate of burden</w:t>
      </w:r>
      <w:r w:rsidR="00E23427">
        <w:rPr>
          <w:rFonts w:ascii="Times New Roman" w:hAnsi="Times New Roman" w:cs="Times New Roman"/>
          <w:sz w:val="20"/>
          <w:szCs w:val="20"/>
        </w:rPr>
        <w:t>;</w:t>
      </w:r>
      <w:r w:rsidRPr="000F09F5">
        <w:rPr>
          <w:rFonts w:ascii="Times New Roman" w:hAnsi="Times New Roman" w:cs="Times New Roman"/>
          <w:sz w:val="20"/>
          <w:szCs w:val="20"/>
        </w:rPr>
        <w:t xml:space="preserve"> HUD erroneously reported its overall burden in 2023 as 5,762,595 </w:t>
      </w:r>
      <w:r w:rsidRPr="000F09F5" w:rsidR="00526FF3">
        <w:rPr>
          <w:rFonts w:ascii="Times New Roman" w:hAnsi="Times New Roman" w:cs="Times New Roman"/>
          <w:sz w:val="20"/>
          <w:szCs w:val="20"/>
        </w:rPr>
        <w:t>hours</w:t>
      </w:r>
      <w:r w:rsidR="00526FF3">
        <w:rPr>
          <w:rFonts w:ascii="Times New Roman" w:hAnsi="Times New Roman" w:cs="Times New Roman"/>
          <w:sz w:val="20"/>
          <w:szCs w:val="20"/>
        </w:rPr>
        <w:t>;</w:t>
      </w:r>
      <w:r w:rsidRPr="000F09F5">
        <w:rPr>
          <w:rFonts w:ascii="Times New Roman" w:hAnsi="Times New Roman" w:cs="Times New Roman"/>
          <w:sz w:val="20"/>
          <w:szCs w:val="20"/>
        </w:rPr>
        <w:t xml:space="preserve"> </w:t>
      </w:r>
      <w:r w:rsidR="00F02DBD">
        <w:rPr>
          <w:rFonts w:ascii="Times New Roman" w:hAnsi="Times New Roman" w:cs="Times New Roman"/>
          <w:sz w:val="20"/>
          <w:szCs w:val="20"/>
        </w:rPr>
        <w:t>however</w:t>
      </w:r>
      <w:r w:rsidRPr="000F09F5" w:rsidR="00F02DBD">
        <w:rPr>
          <w:rFonts w:ascii="Times New Roman" w:hAnsi="Times New Roman" w:cs="Times New Roman"/>
          <w:sz w:val="20"/>
          <w:szCs w:val="20"/>
        </w:rPr>
        <w:t xml:space="preserve"> </w:t>
      </w:r>
      <w:r w:rsidRPr="000F09F5">
        <w:rPr>
          <w:rFonts w:ascii="Times New Roman" w:hAnsi="Times New Roman" w:cs="Times New Roman"/>
          <w:sz w:val="20"/>
          <w:szCs w:val="20"/>
        </w:rPr>
        <w:t xml:space="preserve">it should have been 8,831,401 hours. </w:t>
      </w:r>
      <w:r w:rsidR="00217E9D">
        <w:rPr>
          <w:rFonts w:ascii="Times New Roman" w:hAnsi="Times New Roman" w:cs="Times New Roman"/>
          <w:sz w:val="20"/>
          <w:szCs w:val="20"/>
        </w:rPr>
        <w:t xml:space="preserve">The increase in burden is </w:t>
      </w:r>
      <w:r w:rsidR="00737E45">
        <w:rPr>
          <w:rFonts w:ascii="Times New Roman" w:hAnsi="Times New Roman" w:cs="Times New Roman"/>
          <w:sz w:val="20"/>
          <w:szCs w:val="20"/>
        </w:rPr>
        <w:t>partially offset as a result of</w:t>
      </w:r>
      <w:r w:rsidRPr="000F09F5" w:rsidR="00F35FE0">
        <w:rPr>
          <w:rFonts w:ascii="Times New Roman" w:hAnsi="Times New Roman" w:cs="Times New Roman"/>
          <w:sz w:val="20"/>
          <w:szCs w:val="20"/>
        </w:rPr>
        <w:t xml:space="preserve"> removing </w:t>
      </w:r>
      <w:r w:rsidRPr="000F09F5" w:rsidR="006658F6">
        <w:rPr>
          <w:rFonts w:ascii="Times New Roman" w:hAnsi="Times New Roman" w:cs="Times New Roman"/>
          <w:sz w:val="20"/>
          <w:szCs w:val="20"/>
        </w:rPr>
        <w:t>forms SF-424, HUD-2880, HUD-2993, HUD-2991</w:t>
      </w:r>
      <w:r w:rsidRPr="000F09F5" w:rsidR="00A2310E">
        <w:rPr>
          <w:rFonts w:ascii="Times New Roman" w:hAnsi="Times New Roman" w:cs="Times New Roman"/>
          <w:sz w:val="20"/>
          <w:szCs w:val="20"/>
        </w:rPr>
        <w:t xml:space="preserve"> and SF-LLL because the</w:t>
      </w:r>
      <w:r w:rsidRPr="000F09F5" w:rsidR="007338F1">
        <w:rPr>
          <w:rFonts w:ascii="Times New Roman" w:hAnsi="Times New Roman" w:cs="Times New Roman"/>
          <w:sz w:val="20"/>
          <w:szCs w:val="20"/>
        </w:rPr>
        <w:t>y</w:t>
      </w:r>
      <w:r w:rsidRPr="000F09F5" w:rsidR="00A2310E">
        <w:rPr>
          <w:rFonts w:ascii="Times New Roman" w:hAnsi="Times New Roman" w:cs="Times New Roman"/>
          <w:sz w:val="20"/>
          <w:szCs w:val="20"/>
        </w:rPr>
        <w:t xml:space="preserve"> are covered under </w:t>
      </w:r>
      <w:r w:rsidRPr="000F09F5" w:rsidR="007338F1">
        <w:rPr>
          <w:rFonts w:ascii="Times New Roman" w:hAnsi="Times New Roman" w:cs="Times New Roman"/>
          <w:sz w:val="20"/>
          <w:szCs w:val="20"/>
        </w:rPr>
        <w:t>separate PRAs.</w:t>
      </w:r>
    </w:p>
    <w:p w:rsidR="00D43E4E" w:rsidRPr="00887EAA" w:rsidP="00D43E4E" w14:paraId="143060C0" w14:textId="77777777">
      <w:pPr>
        <w:shd w:val="clear" w:color="auto" w:fill="FFFFFF" w:themeFill="background1"/>
        <w:tabs>
          <w:tab w:val="left" w:pos="360"/>
        </w:tabs>
        <w:ind w:left="360" w:hanging="360"/>
        <w:rPr>
          <w:outline/>
          <w:color w:val="156082" w:themeColor="accent1"/>
          <w:sz w:val="24"/>
          <w:szCs w:val="24"/>
          <w14:shadow w14:blurRad="50800" w14:dist="50800" w14:dir="5400000" w14:sx="0" w14:sy="0" w14:kx="0" w14:ky="0" w14:algn="ctr">
            <w14:schemeClr w14:val="bg1">
              <w14:lumMod w14:val="95000"/>
            </w14:schemeClr>
          </w14:shadow>
          <w14:textOutline w14:w="9525" w14:cap="rnd">
            <w14:solidFill>
              <w14:schemeClr w14:val="accent1">
                <w14:alpha w14:val="19000"/>
              </w14:schemeClr>
            </w14:solidFill>
            <w14:prstDash w14:val="solid"/>
            <w14:bevel/>
          </w14:textOutline>
          <w14:textFill>
            <w14:noFill/>
          </w14:textFill>
        </w:rPr>
      </w:pPr>
    </w:p>
    <w:p w:rsidR="006765EA" w:rsidRPr="00887EAA" w:rsidP="00673206" w14:paraId="01687B74" w14:textId="2054C225">
      <w:pPr>
        <w:pStyle w:val="ListParagraph"/>
        <w:numPr>
          <w:ilvl w:val="0"/>
          <w:numId w:val="13"/>
        </w:numPr>
        <w:tabs>
          <w:tab w:val="left" w:pos="360"/>
        </w:tabs>
        <w:spacing w:after="180"/>
        <w:contextualSpacing w:val="0"/>
        <w:rPr>
          <w:b/>
          <w:bCs/>
          <w:sz w:val="24"/>
          <w:szCs w:val="24"/>
        </w:rPr>
      </w:pPr>
      <w:r w:rsidRPr="00887EAA">
        <w:rPr>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3C4D17" w:rsidP="00673206" w14:paraId="63C232BA" w14:textId="26FB95CE">
      <w:pPr>
        <w:pStyle w:val="ListParagraph"/>
        <w:tabs>
          <w:tab w:val="left" w:pos="360"/>
        </w:tabs>
        <w:ind w:left="360"/>
        <w:rPr>
          <w:sz w:val="24"/>
          <w:szCs w:val="24"/>
        </w:rPr>
      </w:pPr>
      <w:r w:rsidRPr="00887EAA">
        <w:rPr>
          <w:sz w:val="24"/>
          <w:szCs w:val="24"/>
        </w:rPr>
        <w:t xml:space="preserve">There are no additional costs </w:t>
      </w:r>
      <w:r w:rsidRPr="00887EAA" w:rsidR="009C564C">
        <w:rPr>
          <w:sz w:val="24"/>
          <w:szCs w:val="24"/>
        </w:rPr>
        <w:t>to respondents.</w:t>
      </w:r>
    </w:p>
    <w:p w:rsidR="00673206" w:rsidRPr="00887EAA" w:rsidP="00673206" w14:paraId="7582EA0A" w14:textId="77777777">
      <w:pPr>
        <w:pStyle w:val="ListParagraph"/>
        <w:tabs>
          <w:tab w:val="left" w:pos="360"/>
        </w:tabs>
        <w:ind w:left="360"/>
        <w:rPr>
          <w:sz w:val="24"/>
          <w:szCs w:val="24"/>
        </w:rPr>
      </w:pPr>
    </w:p>
    <w:p w:rsidR="009F6F1C" w:rsidRPr="00887EAA" w:rsidP="00673206" w14:paraId="7A452547" w14:textId="24A83FA7">
      <w:pPr>
        <w:keepLines/>
        <w:tabs>
          <w:tab w:val="left" w:pos="360"/>
        </w:tabs>
        <w:spacing w:after="180"/>
        <w:ind w:left="360" w:hanging="360"/>
        <w:rPr>
          <w:b/>
          <w:bCs/>
          <w:sz w:val="24"/>
          <w:szCs w:val="24"/>
        </w:rPr>
      </w:pPr>
      <w:r w:rsidRPr="00887EAA">
        <w:rPr>
          <w:b/>
          <w:bCs/>
          <w:sz w:val="24"/>
          <w:szCs w:val="24"/>
        </w:rPr>
        <w:t>14.</w:t>
      </w:r>
      <w:r w:rsidRPr="00887EAA">
        <w:rPr>
          <w:sz w:val="24"/>
          <w:szCs w:val="24"/>
        </w:rPr>
        <w:tab/>
      </w:r>
      <w:r w:rsidRPr="00887EAA" w:rsidR="00495854">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108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70"/>
        <w:gridCol w:w="1523"/>
        <w:gridCol w:w="1242"/>
        <w:gridCol w:w="1270"/>
        <w:gridCol w:w="1160"/>
        <w:gridCol w:w="1440"/>
        <w:gridCol w:w="1170"/>
        <w:gridCol w:w="1620"/>
      </w:tblGrid>
      <w:tr w14:paraId="51594D00" w14:textId="77777777" w:rsidTr="00F6537A">
        <w:tblPrEx>
          <w:tblW w:w="108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602"/>
        </w:trPr>
        <w:tc>
          <w:tcPr>
            <w:tcW w:w="1470" w:type="dxa"/>
            <w:tcMar>
              <w:top w:w="0" w:type="dxa"/>
              <w:left w:w="108" w:type="dxa"/>
              <w:bottom w:w="0" w:type="dxa"/>
              <w:right w:w="108" w:type="dxa"/>
            </w:tcMar>
            <w:vAlign w:val="center"/>
            <w:hideMark/>
          </w:tcPr>
          <w:p w:rsidR="00910496" w:rsidRPr="00F6537A" w:rsidP="00AE11AF" w14:paraId="48EBAA5C" w14:textId="77777777">
            <w:pPr>
              <w:adjustRightInd/>
              <w:jc w:val="center"/>
              <w:textAlignment w:val="auto"/>
              <w:rPr>
                <w:rFonts w:eastAsia="Calibri"/>
                <w:b/>
                <w:bCs/>
                <w:color w:val="000000"/>
                <w:sz w:val="18"/>
                <w:szCs w:val="18"/>
              </w:rPr>
            </w:pPr>
            <w:r w:rsidRPr="00F6537A">
              <w:rPr>
                <w:rFonts w:eastAsia="Calibri"/>
                <w:b/>
                <w:bCs/>
                <w:color w:val="000000"/>
                <w:sz w:val="18"/>
                <w:szCs w:val="18"/>
              </w:rPr>
              <w:t>Information Collection</w:t>
            </w:r>
          </w:p>
        </w:tc>
        <w:tc>
          <w:tcPr>
            <w:tcW w:w="1523" w:type="dxa"/>
            <w:tcMar>
              <w:top w:w="0" w:type="dxa"/>
              <w:left w:w="108" w:type="dxa"/>
              <w:bottom w:w="0" w:type="dxa"/>
              <w:right w:w="108" w:type="dxa"/>
            </w:tcMar>
            <w:vAlign w:val="center"/>
            <w:hideMark/>
          </w:tcPr>
          <w:p w:rsidR="00910496" w:rsidRPr="00F6537A" w:rsidP="00AE11AF" w14:paraId="13F3554E" w14:textId="77777777">
            <w:pPr>
              <w:adjustRightInd/>
              <w:jc w:val="center"/>
              <w:textAlignment w:val="auto"/>
              <w:rPr>
                <w:rFonts w:eastAsia="Calibri"/>
                <w:b/>
                <w:bCs/>
                <w:color w:val="000000"/>
                <w:sz w:val="18"/>
                <w:szCs w:val="18"/>
              </w:rPr>
            </w:pPr>
            <w:r w:rsidRPr="00F6537A">
              <w:rPr>
                <w:rFonts w:eastAsia="Calibri"/>
                <w:b/>
                <w:bCs/>
                <w:color w:val="000000"/>
                <w:sz w:val="18"/>
                <w:szCs w:val="18"/>
              </w:rPr>
              <w:t>Number of Respondents</w:t>
            </w:r>
          </w:p>
        </w:tc>
        <w:tc>
          <w:tcPr>
            <w:tcW w:w="1242" w:type="dxa"/>
            <w:tcMar>
              <w:top w:w="0" w:type="dxa"/>
              <w:left w:w="108" w:type="dxa"/>
              <w:bottom w:w="0" w:type="dxa"/>
              <w:right w:w="108" w:type="dxa"/>
            </w:tcMar>
            <w:vAlign w:val="center"/>
            <w:hideMark/>
          </w:tcPr>
          <w:p w:rsidR="00910496" w:rsidRPr="00F6537A" w:rsidP="00AE11AF" w14:paraId="791C488E" w14:textId="77777777">
            <w:pPr>
              <w:adjustRightInd/>
              <w:jc w:val="center"/>
              <w:textAlignment w:val="auto"/>
              <w:rPr>
                <w:rFonts w:eastAsia="Calibri"/>
                <w:b/>
                <w:bCs/>
                <w:color w:val="000000"/>
                <w:sz w:val="18"/>
                <w:szCs w:val="18"/>
              </w:rPr>
            </w:pPr>
            <w:r w:rsidRPr="00F6537A">
              <w:rPr>
                <w:rFonts w:eastAsia="Calibri"/>
                <w:b/>
                <w:bCs/>
                <w:color w:val="000000"/>
                <w:sz w:val="18"/>
                <w:szCs w:val="18"/>
              </w:rPr>
              <w:t>Frequency of Response</w:t>
            </w:r>
          </w:p>
        </w:tc>
        <w:tc>
          <w:tcPr>
            <w:tcW w:w="1270" w:type="dxa"/>
            <w:tcMar>
              <w:top w:w="0" w:type="dxa"/>
              <w:left w:w="108" w:type="dxa"/>
              <w:bottom w:w="0" w:type="dxa"/>
              <w:right w:w="108" w:type="dxa"/>
            </w:tcMar>
            <w:vAlign w:val="center"/>
            <w:hideMark/>
          </w:tcPr>
          <w:p w:rsidR="00910496" w:rsidRPr="00F6537A" w:rsidP="00AE11AF" w14:paraId="4D186AC4" w14:textId="77777777">
            <w:pPr>
              <w:overflowPunct/>
              <w:autoSpaceDE/>
              <w:autoSpaceDN/>
              <w:adjustRightInd/>
              <w:jc w:val="center"/>
              <w:textAlignment w:val="auto"/>
              <w:rPr>
                <w:rFonts w:eastAsia="Calibri"/>
                <w:b/>
                <w:bCs/>
                <w:color w:val="000000"/>
                <w:sz w:val="18"/>
                <w:szCs w:val="18"/>
              </w:rPr>
            </w:pPr>
            <w:r w:rsidRPr="00F6537A">
              <w:rPr>
                <w:rFonts w:eastAsia="Calibri"/>
                <w:b/>
                <w:bCs/>
                <w:color w:val="000000"/>
                <w:sz w:val="18"/>
                <w:szCs w:val="18"/>
              </w:rPr>
              <w:t>Responses</w:t>
            </w:r>
          </w:p>
          <w:p w:rsidR="00910496" w:rsidRPr="00F6537A" w:rsidP="00AE11AF" w14:paraId="3CC4D2B8" w14:textId="77777777">
            <w:pPr>
              <w:adjustRightInd/>
              <w:jc w:val="center"/>
              <w:textAlignment w:val="auto"/>
              <w:rPr>
                <w:rFonts w:eastAsia="Calibri"/>
                <w:b/>
                <w:bCs/>
                <w:color w:val="000000"/>
                <w:sz w:val="18"/>
                <w:szCs w:val="18"/>
              </w:rPr>
            </w:pPr>
            <w:r w:rsidRPr="00F6537A">
              <w:rPr>
                <w:rFonts w:eastAsia="Calibri"/>
                <w:b/>
                <w:bCs/>
                <w:color w:val="000000"/>
                <w:sz w:val="18"/>
                <w:szCs w:val="18"/>
              </w:rPr>
              <w:t>Per Annum</w:t>
            </w:r>
          </w:p>
        </w:tc>
        <w:tc>
          <w:tcPr>
            <w:tcW w:w="1160" w:type="dxa"/>
            <w:tcMar>
              <w:top w:w="0" w:type="dxa"/>
              <w:left w:w="108" w:type="dxa"/>
              <w:bottom w:w="0" w:type="dxa"/>
              <w:right w:w="108" w:type="dxa"/>
            </w:tcMar>
            <w:vAlign w:val="center"/>
            <w:hideMark/>
          </w:tcPr>
          <w:p w:rsidR="00910496" w:rsidRPr="00F6537A" w:rsidP="00AE11AF" w14:paraId="65D4BDCD" w14:textId="77777777">
            <w:pPr>
              <w:adjustRightInd/>
              <w:jc w:val="center"/>
              <w:textAlignment w:val="auto"/>
              <w:rPr>
                <w:rFonts w:eastAsia="Calibri"/>
                <w:b/>
                <w:bCs/>
                <w:color w:val="000000"/>
                <w:sz w:val="18"/>
                <w:szCs w:val="18"/>
              </w:rPr>
            </w:pPr>
            <w:r w:rsidRPr="00F6537A">
              <w:rPr>
                <w:rFonts w:eastAsia="Calibri"/>
                <w:b/>
                <w:bCs/>
                <w:color w:val="000000"/>
                <w:sz w:val="18"/>
                <w:szCs w:val="18"/>
              </w:rPr>
              <w:t>Burden Hour Per Response</w:t>
            </w:r>
          </w:p>
        </w:tc>
        <w:tc>
          <w:tcPr>
            <w:tcW w:w="1440" w:type="dxa"/>
            <w:tcMar>
              <w:top w:w="0" w:type="dxa"/>
              <w:left w:w="108" w:type="dxa"/>
              <w:bottom w:w="0" w:type="dxa"/>
              <w:right w:w="108" w:type="dxa"/>
            </w:tcMar>
            <w:vAlign w:val="center"/>
            <w:hideMark/>
          </w:tcPr>
          <w:p w:rsidR="00910496" w:rsidRPr="00F6537A" w:rsidP="00AE11AF" w14:paraId="2D823CF6" w14:textId="77777777">
            <w:pPr>
              <w:adjustRightInd/>
              <w:jc w:val="center"/>
              <w:textAlignment w:val="auto"/>
              <w:rPr>
                <w:rFonts w:eastAsia="Calibri"/>
                <w:b/>
                <w:bCs/>
                <w:color w:val="000000"/>
                <w:sz w:val="18"/>
                <w:szCs w:val="18"/>
              </w:rPr>
            </w:pPr>
            <w:r w:rsidRPr="00F6537A">
              <w:rPr>
                <w:rFonts w:eastAsia="Calibri"/>
                <w:b/>
                <w:bCs/>
                <w:color w:val="000000"/>
                <w:sz w:val="18"/>
                <w:szCs w:val="18"/>
              </w:rPr>
              <w:t>Annual Burden Hours</w:t>
            </w:r>
          </w:p>
        </w:tc>
        <w:tc>
          <w:tcPr>
            <w:tcW w:w="1170" w:type="dxa"/>
            <w:tcMar>
              <w:top w:w="0" w:type="dxa"/>
              <w:left w:w="108" w:type="dxa"/>
              <w:bottom w:w="0" w:type="dxa"/>
              <w:right w:w="108" w:type="dxa"/>
            </w:tcMar>
            <w:vAlign w:val="center"/>
            <w:hideMark/>
          </w:tcPr>
          <w:p w:rsidR="00910496" w:rsidRPr="00F6537A" w:rsidP="00AE11AF" w14:paraId="78697AE3" w14:textId="0CB30DB5">
            <w:pPr>
              <w:adjustRightInd/>
              <w:jc w:val="center"/>
              <w:textAlignment w:val="auto"/>
              <w:rPr>
                <w:rFonts w:eastAsia="Calibri"/>
                <w:b/>
                <w:bCs/>
                <w:color w:val="000000"/>
                <w:sz w:val="18"/>
                <w:szCs w:val="18"/>
              </w:rPr>
            </w:pPr>
            <w:r w:rsidRPr="00F6537A">
              <w:rPr>
                <w:rFonts w:eastAsia="Calibri"/>
                <w:b/>
                <w:bCs/>
                <w:color w:val="000000"/>
                <w:sz w:val="18"/>
                <w:szCs w:val="18"/>
              </w:rPr>
              <w:t>Hourly Cost Per Response</w:t>
            </w:r>
            <w:r w:rsidRPr="00F6537A" w:rsidR="001F3BE9">
              <w:rPr>
                <w:rFonts w:eastAsia="Calibri"/>
                <w:b/>
                <w:bCs/>
                <w:color w:val="000000"/>
                <w:sz w:val="18"/>
                <w:szCs w:val="18"/>
                <w:vertAlign w:val="superscript"/>
              </w:rPr>
              <w:t>7</w:t>
            </w:r>
          </w:p>
        </w:tc>
        <w:tc>
          <w:tcPr>
            <w:tcW w:w="1620" w:type="dxa"/>
            <w:tcMar>
              <w:top w:w="0" w:type="dxa"/>
              <w:left w:w="108" w:type="dxa"/>
              <w:bottom w:w="0" w:type="dxa"/>
              <w:right w:w="108" w:type="dxa"/>
            </w:tcMar>
            <w:vAlign w:val="center"/>
          </w:tcPr>
          <w:p w:rsidR="00910496" w:rsidRPr="00F6537A" w:rsidP="00AE11AF" w14:paraId="019C4849" w14:textId="77777777">
            <w:pPr>
              <w:overflowPunct/>
              <w:autoSpaceDE/>
              <w:autoSpaceDN/>
              <w:adjustRightInd/>
              <w:jc w:val="center"/>
              <w:textAlignment w:val="auto"/>
              <w:rPr>
                <w:rFonts w:eastAsia="Calibri"/>
                <w:b/>
                <w:bCs/>
                <w:color w:val="000000"/>
                <w:sz w:val="18"/>
                <w:szCs w:val="18"/>
              </w:rPr>
            </w:pPr>
            <w:r w:rsidRPr="00F6537A">
              <w:rPr>
                <w:rFonts w:eastAsia="Calibri"/>
                <w:b/>
                <w:bCs/>
                <w:color w:val="000000"/>
                <w:sz w:val="18"/>
                <w:szCs w:val="18"/>
              </w:rPr>
              <w:t>Annual Cost</w:t>
            </w:r>
          </w:p>
          <w:p w:rsidR="00910496" w:rsidRPr="00F6537A" w:rsidP="00AE11AF" w14:paraId="638DC8B2" w14:textId="77777777">
            <w:pPr>
              <w:adjustRightInd/>
              <w:jc w:val="center"/>
              <w:textAlignment w:val="auto"/>
              <w:rPr>
                <w:rFonts w:eastAsia="Calibri"/>
                <w:b/>
                <w:bCs/>
                <w:color w:val="000000"/>
                <w:sz w:val="18"/>
                <w:szCs w:val="18"/>
              </w:rPr>
            </w:pPr>
          </w:p>
        </w:tc>
      </w:tr>
      <w:tr w14:paraId="05890E3A" w14:textId="77777777" w:rsidTr="00F6537A">
        <w:tblPrEx>
          <w:tblW w:w="10895" w:type="dxa"/>
          <w:tblInd w:w="-113" w:type="dxa"/>
          <w:tblLayout w:type="fixed"/>
          <w:tblCellMar>
            <w:left w:w="0" w:type="dxa"/>
            <w:right w:w="0" w:type="dxa"/>
          </w:tblCellMar>
          <w:tblLook w:val="04A0"/>
        </w:tblPrEx>
        <w:trPr>
          <w:trHeight w:val="422"/>
        </w:trPr>
        <w:tc>
          <w:tcPr>
            <w:tcW w:w="1470" w:type="dxa"/>
            <w:tcMar>
              <w:top w:w="0" w:type="dxa"/>
              <w:left w:w="108" w:type="dxa"/>
              <w:bottom w:w="0" w:type="dxa"/>
              <w:right w:w="108" w:type="dxa"/>
            </w:tcMar>
          </w:tcPr>
          <w:p w:rsidR="006F4A66" w:rsidRPr="00F6537A" w:rsidP="00AE11AF" w14:paraId="69EBD35C" w14:textId="4C218E54">
            <w:pPr>
              <w:adjustRightInd/>
              <w:jc w:val="right"/>
              <w:textAlignment w:val="auto"/>
              <w:rPr>
                <w:rFonts w:eastAsia="Calibri"/>
                <w:color w:val="000000"/>
                <w:sz w:val="18"/>
                <w:szCs w:val="18"/>
              </w:rPr>
            </w:pPr>
            <w:r w:rsidRPr="00F6537A">
              <w:rPr>
                <w:rFonts w:eastAsia="Calibri"/>
                <w:color w:val="000000"/>
                <w:sz w:val="18"/>
                <w:szCs w:val="18"/>
              </w:rPr>
              <w:t>NOFO Review</w:t>
            </w:r>
            <w:r w:rsidRPr="00F6537A" w:rsidR="001F3BE9">
              <w:rPr>
                <w:rFonts w:eastAsia="Calibri"/>
                <w:color w:val="000000"/>
                <w:sz w:val="18"/>
                <w:szCs w:val="18"/>
                <w:vertAlign w:val="superscript"/>
              </w:rPr>
              <w:t>8</w:t>
            </w:r>
          </w:p>
        </w:tc>
        <w:tc>
          <w:tcPr>
            <w:tcW w:w="1523" w:type="dxa"/>
            <w:tcMar>
              <w:top w:w="0" w:type="dxa"/>
              <w:left w:w="108" w:type="dxa"/>
              <w:bottom w:w="0" w:type="dxa"/>
              <w:right w:w="108" w:type="dxa"/>
            </w:tcMar>
          </w:tcPr>
          <w:p w:rsidR="006F4A66" w:rsidRPr="00F6537A" w:rsidP="00AE11AF" w14:paraId="171872E0" w14:textId="634D2B96">
            <w:pPr>
              <w:adjustRightInd/>
              <w:jc w:val="right"/>
              <w:textAlignment w:val="auto"/>
              <w:rPr>
                <w:rFonts w:eastAsia="Calibri"/>
                <w:color w:val="000000"/>
                <w:sz w:val="18"/>
                <w:szCs w:val="18"/>
              </w:rPr>
            </w:pPr>
            <w:r w:rsidRPr="00F6537A">
              <w:rPr>
                <w:rFonts w:eastAsia="Calibri"/>
                <w:color w:val="000000"/>
                <w:sz w:val="18"/>
                <w:szCs w:val="18"/>
              </w:rPr>
              <w:t>300</w:t>
            </w:r>
          </w:p>
        </w:tc>
        <w:tc>
          <w:tcPr>
            <w:tcW w:w="1242" w:type="dxa"/>
            <w:tcMar>
              <w:top w:w="0" w:type="dxa"/>
              <w:left w:w="108" w:type="dxa"/>
              <w:bottom w:w="0" w:type="dxa"/>
              <w:right w:w="108" w:type="dxa"/>
            </w:tcMar>
          </w:tcPr>
          <w:p w:rsidR="006F4A66" w:rsidRPr="00F6537A" w:rsidP="00AE11AF" w14:paraId="1FFBB7EB" w14:textId="3C88C0DC">
            <w:pPr>
              <w:adjustRightInd/>
              <w:jc w:val="right"/>
              <w:textAlignment w:val="auto"/>
              <w:rPr>
                <w:rFonts w:eastAsia="Calibri"/>
                <w:color w:val="000000"/>
                <w:sz w:val="18"/>
                <w:szCs w:val="18"/>
              </w:rPr>
            </w:pPr>
            <w:r w:rsidRPr="00F6537A">
              <w:rPr>
                <w:rFonts w:eastAsia="Calibri"/>
                <w:color w:val="000000"/>
                <w:sz w:val="18"/>
                <w:szCs w:val="18"/>
              </w:rPr>
              <w:t>1</w:t>
            </w:r>
          </w:p>
        </w:tc>
        <w:tc>
          <w:tcPr>
            <w:tcW w:w="1270" w:type="dxa"/>
            <w:tcMar>
              <w:top w:w="0" w:type="dxa"/>
              <w:left w:w="108" w:type="dxa"/>
              <w:bottom w:w="0" w:type="dxa"/>
              <w:right w:w="108" w:type="dxa"/>
            </w:tcMar>
          </w:tcPr>
          <w:p w:rsidR="006F4A66" w:rsidRPr="00F6537A" w:rsidP="00AE11AF" w14:paraId="16CB8339" w14:textId="0F821A10">
            <w:pPr>
              <w:adjustRightInd/>
              <w:jc w:val="right"/>
              <w:textAlignment w:val="auto"/>
              <w:rPr>
                <w:rFonts w:eastAsia="Calibri"/>
                <w:color w:val="000000"/>
                <w:sz w:val="18"/>
                <w:szCs w:val="18"/>
              </w:rPr>
            </w:pPr>
            <w:r w:rsidRPr="00F6537A">
              <w:rPr>
                <w:rFonts w:eastAsia="Calibri"/>
                <w:color w:val="000000"/>
                <w:sz w:val="18"/>
                <w:szCs w:val="18"/>
              </w:rPr>
              <w:t>300</w:t>
            </w:r>
          </w:p>
        </w:tc>
        <w:tc>
          <w:tcPr>
            <w:tcW w:w="1160" w:type="dxa"/>
            <w:tcMar>
              <w:top w:w="0" w:type="dxa"/>
              <w:left w:w="108" w:type="dxa"/>
              <w:bottom w:w="0" w:type="dxa"/>
              <w:right w:w="108" w:type="dxa"/>
            </w:tcMar>
          </w:tcPr>
          <w:p w:rsidR="006F4A66" w:rsidRPr="00F6537A" w:rsidP="00AE11AF" w14:paraId="1875D4D0" w14:textId="0D2E99AE">
            <w:pPr>
              <w:adjustRightInd/>
              <w:jc w:val="right"/>
              <w:textAlignment w:val="auto"/>
              <w:rPr>
                <w:rFonts w:eastAsia="Calibri"/>
                <w:color w:val="000000"/>
                <w:sz w:val="18"/>
                <w:szCs w:val="18"/>
              </w:rPr>
            </w:pPr>
            <w:r w:rsidRPr="00F6537A">
              <w:rPr>
                <w:rFonts w:eastAsia="Calibri"/>
                <w:color w:val="000000"/>
                <w:sz w:val="18"/>
                <w:szCs w:val="18"/>
              </w:rPr>
              <w:t>6</w:t>
            </w:r>
          </w:p>
        </w:tc>
        <w:tc>
          <w:tcPr>
            <w:tcW w:w="1440" w:type="dxa"/>
            <w:tcMar>
              <w:top w:w="0" w:type="dxa"/>
              <w:left w:w="108" w:type="dxa"/>
              <w:bottom w:w="0" w:type="dxa"/>
              <w:right w:w="108" w:type="dxa"/>
            </w:tcMar>
          </w:tcPr>
          <w:p w:rsidR="006F4A66" w:rsidRPr="00F6537A" w:rsidP="00AE11AF" w14:paraId="7B71DE64" w14:textId="144052F6">
            <w:pPr>
              <w:adjustRightInd/>
              <w:jc w:val="right"/>
              <w:textAlignment w:val="auto"/>
              <w:rPr>
                <w:rFonts w:eastAsia="Calibri"/>
                <w:color w:val="000000"/>
                <w:sz w:val="18"/>
                <w:szCs w:val="18"/>
              </w:rPr>
            </w:pPr>
            <w:r w:rsidRPr="00F6537A">
              <w:rPr>
                <w:rFonts w:eastAsia="Calibri"/>
                <w:color w:val="000000"/>
                <w:sz w:val="18"/>
                <w:szCs w:val="18"/>
              </w:rPr>
              <w:t>1800</w:t>
            </w:r>
          </w:p>
        </w:tc>
        <w:tc>
          <w:tcPr>
            <w:tcW w:w="1170" w:type="dxa"/>
            <w:tcMar>
              <w:top w:w="0" w:type="dxa"/>
              <w:left w:w="108" w:type="dxa"/>
              <w:bottom w:w="0" w:type="dxa"/>
              <w:right w:w="108" w:type="dxa"/>
            </w:tcMar>
          </w:tcPr>
          <w:p w:rsidR="006F4A66" w:rsidRPr="00F6537A" w:rsidP="00AE11AF" w14:paraId="5A6D9052" w14:textId="72E50BEF">
            <w:pPr>
              <w:adjustRightInd/>
              <w:jc w:val="right"/>
              <w:textAlignment w:val="auto"/>
              <w:rPr>
                <w:rFonts w:eastAsia="Calibri"/>
                <w:color w:val="000000"/>
                <w:sz w:val="18"/>
                <w:szCs w:val="18"/>
              </w:rPr>
            </w:pPr>
            <w:r w:rsidRPr="00F6537A">
              <w:rPr>
                <w:rFonts w:eastAsia="Calibri"/>
                <w:color w:val="000000"/>
                <w:sz w:val="18"/>
                <w:szCs w:val="18"/>
              </w:rPr>
              <w:t>$30.57</w:t>
            </w:r>
          </w:p>
        </w:tc>
        <w:tc>
          <w:tcPr>
            <w:tcW w:w="1620" w:type="dxa"/>
            <w:tcMar>
              <w:top w:w="0" w:type="dxa"/>
              <w:left w:w="108" w:type="dxa"/>
              <w:bottom w:w="0" w:type="dxa"/>
              <w:right w:w="108" w:type="dxa"/>
            </w:tcMar>
          </w:tcPr>
          <w:p w:rsidR="006F4A66" w:rsidRPr="00F6537A" w:rsidP="00AE11AF" w14:paraId="38468C81" w14:textId="692B9940">
            <w:pPr>
              <w:adjustRightInd/>
              <w:jc w:val="right"/>
              <w:textAlignment w:val="auto"/>
              <w:rPr>
                <w:rFonts w:eastAsia="Calibri"/>
                <w:color w:val="000000"/>
                <w:sz w:val="18"/>
                <w:szCs w:val="18"/>
              </w:rPr>
            </w:pPr>
            <w:r w:rsidRPr="00F6537A">
              <w:rPr>
                <w:rFonts w:eastAsia="Calibri"/>
                <w:color w:val="000000"/>
                <w:sz w:val="18"/>
                <w:szCs w:val="18"/>
              </w:rPr>
              <w:t>$55,026</w:t>
            </w:r>
            <w:r w:rsidRPr="00F6537A" w:rsidR="00D279FC">
              <w:rPr>
                <w:rFonts w:eastAsia="Calibri"/>
                <w:color w:val="000000"/>
                <w:sz w:val="18"/>
                <w:szCs w:val="18"/>
              </w:rPr>
              <w:t>.00</w:t>
            </w:r>
          </w:p>
        </w:tc>
      </w:tr>
      <w:tr w14:paraId="107658BE" w14:textId="77777777" w:rsidTr="00F6537A">
        <w:tblPrEx>
          <w:tblW w:w="10895" w:type="dxa"/>
          <w:tblInd w:w="-113" w:type="dxa"/>
          <w:tblLayout w:type="fixed"/>
          <w:tblCellMar>
            <w:left w:w="0" w:type="dxa"/>
            <w:right w:w="0" w:type="dxa"/>
          </w:tblCellMar>
          <w:tblLook w:val="04A0"/>
        </w:tblPrEx>
        <w:trPr>
          <w:trHeight w:val="530"/>
        </w:trPr>
        <w:tc>
          <w:tcPr>
            <w:tcW w:w="1470" w:type="dxa"/>
            <w:tcMar>
              <w:top w:w="0" w:type="dxa"/>
              <w:left w:w="108" w:type="dxa"/>
              <w:bottom w:w="0" w:type="dxa"/>
              <w:right w:w="108" w:type="dxa"/>
            </w:tcMar>
          </w:tcPr>
          <w:p w:rsidR="006F4A66" w:rsidRPr="00F6537A" w:rsidP="00AE11AF" w14:paraId="19225889" w14:textId="3E5E017C">
            <w:pPr>
              <w:adjustRightInd/>
              <w:jc w:val="right"/>
              <w:textAlignment w:val="auto"/>
              <w:rPr>
                <w:rFonts w:eastAsia="Calibri"/>
                <w:color w:val="000000"/>
                <w:sz w:val="18"/>
                <w:szCs w:val="18"/>
              </w:rPr>
            </w:pPr>
            <w:r w:rsidRPr="00F6537A">
              <w:rPr>
                <w:sz w:val="18"/>
                <w:szCs w:val="18"/>
              </w:rPr>
              <w:t>Compliance Monitoring</w:t>
            </w:r>
            <w:r w:rsidRPr="00F6537A" w:rsidR="001F3BE9">
              <w:rPr>
                <w:sz w:val="18"/>
                <w:szCs w:val="18"/>
                <w:vertAlign w:val="superscript"/>
              </w:rPr>
              <w:t>9</w:t>
            </w:r>
          </w:p>
        </w:tc>
        <w:tc>
          <w:tcPr>
            <w:tcW w:w="1523" w:type="dxa"/>
            <w:tcMar>
              <w:top w:w="0" w:type="dxa"/>
              <w:left w:w="108" w:type="dxa"/>
              <w:bottom w:w="0" w:type="dxa"/>
              <w:right w:w="108" w:type="dxa"/>
            </w:tcMar>
          </w:tcPr>
          <w:p w:rsidR="006F4A66" w:rsidRPr="00F6537A" w:rsidP="00AE11AF" w14:paraId="55AB4E5E" w14:textId="046568B0">
            <w:pPr>
              <w:adjustRightInd/>
              <w:jc w:val="right"/>
              <w:textAlignment w:val="auto"/>
              <w:rPr>
                <w:rFonts w:eastAsia="Calibri"/>
                <w:color w:val="000000"/>
                <w:sz w:val="18"/>
                <w:szCs w:val="18"/>
              </w:rPr>
            </w:pPr>
            <w:r w:rsidRPr="00F6537A">
              <w:rPr>
                <w:rFonts w:eastAsia="Calibri"/>
                <w:color w:val="000000"/>
                <w:sz w:val="18"/>
                <w:szCs w:val="18"/>
              </w:rPr>
              <w:t>10,000</w:t>
            </w:r>
          </w:p>
        </w:tc>
        <w:tc>
          <w:tcPr>
            <w:tcW w:w="1242" w:type="dxa"/>
            <w:tcMar>
              <w:top w:w="0" w:type="dxa"/>
              <w:left w:w="108" w:type="dxa"/>
              <w:bottom w:w="0" w:type="dxa"/>
              <w:right w:w="108" w:type="dxa"/>
            </w:tcMar>
          </w:tcPr>
          <w:p w:rsidR="006F4A66" w:rsidRPr="00F6537A" w:rsidP="00AE11AF" w14:paraId="27EA5ABF" w14:textId="2CE0B631">
            <w:pPr>
              <w:adjustRightInd/>
              <w:jc w:val="right"/>
              <w:textAlignment w:val="auto"/>
              <w:rPr>
                <w:rFonts w:eastAsia="Calibri"/>
                <w:color w:val="000000"/>
                <w:sz w:val="18"/>
                <w:szCs w:val="18"/>
              </w:rPr>
            </w:pPr>
            <w:r w:rsidRPr="00F6537A">
              <w:rPr>
                <w:rFonts w:eastAsia="Calibri"/>
                <w:color w:val="000000"/>
                <w:sz w:val="18"/>
                <w:szCs w:val="18"/>
              </w:rPr>
              <w:t>1</w:t>
            </w:r>
          </w:p>
        </w:tc>
        <w:tc>
          <w:tcPr>
            <w:tcW w:w="1270" w:type="dxa"/>
            <w:tcMar>
              <w:top w:w="0" w:type="dxa"/>
              <w:left w:w="108" w:type="dxa"/>
              <w:bottom w:w="0" w:type="dxa"/>
              <w:right w:w="108" w:type="dxa"/>
            </w:tcMar>
          </w:tcPr>
          <w:p w:rsidR="006F4A66" w:rsidRPr="00F6537A" w:rsidP="00AE11AF" w14:paraId="64A808C2" w14:textId="2D8653D9">
            <w:pPr>
              <w:adjustRightInd/>
              <w:jc w:val="right"/>
              <w:textAlignment w:val="auto"/>
              <w:rPr>
                <w:rFonts w:eastAsia="Calibri"/>
                <w:color w:val="000000"/>
                <w:sz w:val="18"/>
                <w:szCs w:val="18"/>
              </w:rPr>
            </w:pPr>
            <w:r w:rsidRPr="00F6537A">
              <w:rPr>
                <w:rFonts w:eastAsia="Calibri"/>
                <w:color w:val="000000"/>
                <w:sz w:val="18"/>
                <w:szCs w:val="18"/>
              </w:rPr>
              <w:t>10,000</w:t>
            </w:r>
          </w:p>
        </w:tc>
        <w:tc>
          <w:tcPr>
            <w:tcW w:w="1160" w:type="dxa"/>
            <w:tcMar>
              <w:top w:w="0" w:type="dxa"/>
              <w:left w:w="108" w:type="dxa"/>
              <w:bottom w:w="0" w:type="dxa"/>
              <w:right w:w="108" w:type="dxa"/>
            </w:tcMar>
          </w:tcPr>
          <w:p w:rsidR="006F4A66" w:rsidRPr="00F6537A" w:rsidP="00AE11AF" w14:paraId="1D64DD3C" w14:textId="557B4102">
            <w:pPr>
              <w:adjustRightInd/>
              <w:jc w:val="right"/>
              <w:textAlignment w:val="auto"/>
              <w:rPr>
                <w:rFonts w:eastAsia="Calibri"/>
                <w:color w:val="000000"/>
                <w:sz w:val="18"/>
                <w:szCs w:val="18"/>
              </w:rPr>
            </w:pPr>
            <w:r w:rsidRPr="00F6537A">
              <w:rPr>
                <w:rFonts w:eastAsia="Calibri"/>
                <w:color w:val="000000"/>
                <w:sz w:val="18"/>
                <w:szCs w:val="18"/>
              </w:rPr>
              <w:t>1</w:t>
            </w:r>
          </w:p>
        </w:tc>
        <w:tc>
          <w:tcPr>
            <w:tcW w:w="1440" w:type="dxa"/>
            <w:tcMar>
              <w:top w:w="0" w:type="dxa"/>
              <w:left w:w="108" w:type="dxa"/>
              <w:bottom w:w="0" w:type="dxa"/>
              <w:right w:w="108" w:type="dxa"/>
            </w:tcMar>
          </w:tcPr>
          <w:p w:rsidR="006F4A66" w:rsidRPr="00F6537A" w:rsidP="00AE11AF" w14:paraId="418809B5" w14:textId="2C84A86F">
            <w:pPr>
              <w:adjustRightInd/>
              <w:jc w:val="right"/>
              <w:textAlignment w:val="auto"/>
              <w:rPr>
                <w:rFonts w:eastAsia="Calibri"/>
                <w:color w:val="000000"/>
                <w:sz w:val="18"/>
                <w:szCs w:val="18"/>
              </w:rPr>
            </w:pPr>
            <w:r w:rsidRPr="00F6537A">
              <w:rPr>
                <w:rFonts w:eastAsia="Calibri"/>
                <w:color w:val="000000"/>
                <w:sz w:val="18"/>
                <w:szCs w:val="18"/>
              </w:rPr>
              <w:t>10,000</w:t>
            </w:r>
          </w:p>
        </w:tc>
        <w:tc>
          <w:tcPr>
            <w:tcW w:w="1170" w:type="dxa"/>
            <w:tcMar>
              <w:top w:w="0" w:type="dxa"/>
              <w:left w:w="108" w:type="dxa"/>
              <w:bottom w:w="0" w:type="dxa"/>
              <w:right w:w="108" w:type="dxa"/>
            </w:tcMar>
          </w:tcPr>
          <w:p w:rsidR="006F4A66" w:rsidRPr="00F6537A" w:rsidP="00AE11AF" w14:paraId="1AE94677" w14:textId="4063D590">
            <w:pPr>
              <w:adjustRightInd/>
              <w:jc w:val="right"/>
              <w:textAlignment w:val="auto"/>
              <w:rPr>
                <w:rFonts w:eastAsia="Calibri"/>
                <w:color w:val="000000"/>
                <w:sz w:val="18"/>
                <w:szCs w:val="18"/>
              </w:rPr>
            </w:pPr>
            <w:r w:rsidRPr="00F6537A">
              <w:rPr>
                <w:rFonts w:eastAsia="Calibri"/>
                <w:color w:val="000000"/>
                <w:sz w:val="18"/>
                <w:szCs w:val="18"/>
              </w:rPr>
              <w:t>$30.57</w:t>
            </w:r>
          </w:p>
        </w:tc>
        <w:tc>
          <w:tcPr>
            <w:tcW w:w="1620" w:type="dxa"/>
            <w:tcMar>
              <w:top w:w="0" w:type="dxa"/>
              <w:left w:w="108" w:type="dxa"/>
              <w:bottom w:w="0" w:type="dxa"/>
              <w:right w:w="108" w:type="dxa"/>
            </w:tcMar>
          </w:tcPr>
          <w:p w:rsidR="006F4A66" w:rsidRPr="00F6537A" w:rsidP="00AE11AF" w14:paraId="0240F151" w14:textId="2ADBD47B">
            <w:pPr>
              <w:adjustRightInd/>
              <w:jc w:val="right"/>
              <w:textAlignment w:val="auto"/>
              <w:rPr>
                <w:rFonts w:eastAsia="Calibri"/>
                <w:color w:val="000000"/>
                <w:sz w:val="18"/>
                <w:szCs w:val="18"/>
              </w:rPr>
            </w:pPr>
            <w:r w:rsidRPr="00F6537A">
              <w:rPr>
                <w:rFonts w:eastAsia="Calibri"/>
                <w:color w:val="000000"/>
                <w:sz w:val="18"/>
                <w:szCs w:val="18"/>
              </w:rPr>
              <w:t>$305,700</w:t>
            </w:r>
            <w:r w:rsidRPr="00F6537A" w:rsidR="00D279FC">
              <w:rPr>
                <w:rFonts w:eastAsia="Calibri"/>
                <w:color w:val="000000"/>
                <w:sz w:val="18"/>
                <w:szCs w:val="18"/>
              </w:rPr>
              <w:t>.00</w:t>
            </w:r>
          </w:p>
        </w:tc>
      </w:tr>
      <w:tr w14:paraId="6679F8E9" w14:textId="77777777" w:rsidTr="00F6537A">
        <w:tblPrEx>
          <w:tblW w:w="10895" w:type="dxa"/>
          <w:tblInd w:w="-113" w:type="dxa"/>
          <w:tblLayout w:type="fixed"/>
          <w:tblCellMar>
            <w:left w:w="0" w:type="dxa"/>
            <w:right w:w="0" w:type="dxa"/>
          </w:tblCellMar>
          <w:tblLook w:val="04A0"/>
        </w:tblPrEx>
        <w:trPr>
          <w:trHeight w:val="350"/>
        </w:trPr>
        <w:tc>
          <w:tcPr>
            <w:tcW w:w="1470" w:type="dxa"/>
            <w:tcMar>
              <w:top w:w="0" w:type="dxa"/>
              <w:left w:w="108" w:type="dxa"/>
              <w:bottom w:w="0" w:type="dxa"/>
              <w:right w:w="108" w:type="dxa"/>
            </w:tcMar>
            <w:vAlign w:val="center"/>
          </w:tcPr>
          <w:p w:rsidR="006F4A66" w:rsidRPr="00F6537A" w:rsidP="00AE11AF" w14:paraId="75F386FB" w14:textId="2533E0B3">
            <w:pPr>
              <w:adjustRightInd/>
              <w:jc w:val="right"/>
              <w:textAlignment w:val="auto"/>
              <w:rPr>
                <w:rFonts w:eastAsia="Calibri"/>
                <w:b/>
                <w:bCs/>
                <w:color w:val="000000"/>
                <w:sz w:val="18"/>
                <w:szCs w:val="18"/>
              </w:rPr>
            </w:pPr>
            <w:r w:rsidRPr="00F6537A">
              <w:rPr>
                <w:b/>
                <w:bCs/>
                <w:sz w:val="18"/>
                <w:szCs w:val="18"/>
              </w:rPr>
              <w:t>Total</w:t>
            </w:r>
          </w:p>
        </w:tc>
        <w:tc>
          <w:tcPr>
            <w:tcW w:w="1523" w:type="dxa"/>
            <w:tcMar>
              <w:top w:w="0" w:type="dxa"/>
              <w:left w:w="108" w:type="dxa"/>
              <w:bottom w:w="0" w:type="dxa"/>
              <w:right w:w="108" w:type="dxa"/>
            </w:tcMar>
            <w:vAlign w:val="center"/>
          </w:tcPr>
          <w:p w:rsidR="006F4A66" w:rsidRPr="00F6537A" w:rsidP="00AE11AF" w14:paraId="1A8E4911" w14:textId="33A8AE69">
            <w:pPr>
              <w:adjustRightInd/>
              <w:jc w:val="right"/>
              <w:textAlignment w:val="auto"/>
              <w:rPr>
                <w:rFonts w:eastAsia="Calibri"/>
                <w:b/>
                <w:bCs/>
                <w:color w:val="000000"/>
                <w:sz w:val="18"/>
                <w:szCs w:val="18"/>
              </w:rPr>
            </w:pPr>
            <w:r w:rsidRPr="00F6537A">
              <w:rPr>
                <w:rFonts w:eastAsia="Calibri"/>
                <w:b/>
                <w:bCs/>
                <w:color w:val="000000"/>
                <w:sz w:val="18"/>
                <w:szCs w:val="18"/>
              </w:rPr>
              <w:t>10,300</w:t>
            </w:r>
          </w:p>
        </w:tc>
        <w:tc>
          <w:tcPr>
            <w:tcW w:w="1242" w:type="dxa"/>
            <w:tcMar>
              <w:top w:w="0" w:type="dxa"/>
              <w:left w:w="108" w:type="dxa"/>
              <w:bottom w:w="0" w:type="dxa"/>
              <w:right w:w="108" w:type="dxa"/>
            </w:tcMar>
            <w:vAlign w:val="center"/>
          </w:tcPr>
          <w:p w:rsidR="006F4A66" w:rsidRPr="00F6537A" w:rsidP="00AE11AF" w14:paraId="5F95CAA5" w14:textId="46E35A13">
            <w:pPr>
              <w:adjustRightInd/>
              <w:jc w:val="right"/>
              <w:textAlignment w:val="auto"/>
              <w:rPr>
                <w:rFonts w:eastAsia="Calibri"/>
                <w:b/>
                <w:bCs/>
                <w:color w:val="000000"/>
                <w:sz w:val="18"/>
                <w:szCs w:val="18"/>
              </w:rPr>
            </w:pPr>
          </w:p>
        </w:tc>
        <w:tc>
          <w:tcPr>
            <w:tcW w:w="1270" w:type="dxa"/>
            <w:tcMar>
              <w:top w:w="0" w:type="dxa"/>
              <w:left w:w="108" w:type="dxa"/>
              <w:bottom w:w="0" w:type="dxa"/>
              <w:right w:w="108" w:type="dxa"/>
            </w:tcMar>
            <w:vAlign w:val="center"/>
          </w:tcPr>
          <w:p w:rsidR="006F4A66" w:rsidRPr="00F6537A" w:rsidP="00AE11AF" w14:paraId="108C01FF" w14:textId="63F51743">
            <w:pPr>
              <w:adjustRightInd/>
              <w:jc w:val="right"/>
              <w:textAlignment w:val="auto"/>
              <w:rPr>
                <w:rFonts w:eastAsia="Calibri"/>
                <w:b/>
                <w:bCs/>
                <w:color w:val="000000"/>
                <w:sz w:val="18"/>
                <w:szCs w:val="18"/>
              </w:rPr>
            </w:pPr>
            <w:r w:rsidRPr="00F6537A">
              <w:rPr>
                <w:b/>
                <w:bCs/>
                <w:color w:val="000000"/>
                <w:sz w:val="18"/>
                <w:szCs w:val="18"/>
              </w:rPr>
              <w:t>10,300</w:t>
            </w:r>
          </w:p>
        </w:tc>
        <w:tc>
          <w:tcPr>
            <w:tcW w:w="1160" w:type="dxa"/>
            <w:tcMar>
              <w:top w:w="0" w:type="dxa"/>
              <w:left w:w="108" w:type="dxa"/>
              <w:bottom w:w="0" w:type="dxa"/>
              <w:right w:w="108" w:type="dxa"/>
            </w:tcMar>
            <w:vAlign w:val="center"/>
          </w:tcPr>
          <w:p w:rsidR="006F4A66" w:rsidRPr="00F6537A" w:rsidP="00EF7C6F" w14:paraId="6635563F" w14:textId="3462A1BB">
            <w:pPr>
              <w:adjustRightInd/>
              <w:jc w:val="center"/>
              <w:textAlignment w:val="auto"/>
              <w:rPr>
                <w:rFonts w:eastAsia="Calibri"/>
                <w:b/>
                <w:bCs/>
                <w:color w:val="000000"/>
                <w:sz w:val="18"/>
                <w:szCs w:val="18"/>
              </w:rPr>
            </w:pPr>
          </w:p>
        </w:tc>
        <w:tc>
          <w:tcPr>
            <w:tcW w:w="1440" w:type="dxa"/>
            <w:tcMar>
              <w:top w:w="0" w:type="dxa"/>
              <w:left w:w="108" w:type="dxa"/>
              <w:bottom w:w="0" w:type="dxa"/>
              <w:right w:w="108" w:type="dxa"/>
            </w:tcMar>
            <w:vAlign w:val="center"/>
          </w:tcPr>
          <w:p w:rsidR="006F4A66" w:rsidRPr="00F6537A" w:rsidP="00AE11AF" w14:paraId="273A9B16" w14:textId="37CF385A">
            <w:pPr>
              <w:adjustRightInd/>
              <w:jc w:val="right"/>
              <w:textAlignment w:val="auto"/>
              <w:rPr>
                <w:rFonts w:eastAsia="Calibri"/>
                <w:b/>
                <w:bCs/>
                <w:color w:val="000000"/>
                <w:sz w:val="18"/>
                <w:szCs w:val="18"/>
              </w:rPr>
            </w:pPr>
            <w:r w:rsidRPr="00F6537A">
              <w:rPr>
                <w:b/>
                <w:bCs/>
                <w:color w:val="000000"/>
                <w:sz w:val="18"/>
                <w:szCs w:val="18"/>
              </w:rPr>
              <w:t>11,800</w:t>
            </w:r>
          </w:p>
        </w:tc>
        <w:tc>
          <w:tcPr>
            <w:tcW w:w="1170" w:type="dxa"/>
            <w:tcMar>
              <w:top w:w="0" w:type="dxa"/>
              <w:left w:w="108" w:type="dxa"/>
              <w:bottom w:w="0" w:type="dxa"/>
              <w:right w:w="108" w:type="dxa"/>
            </w:tcMar>
            <w:vAlign w:val="center"/>
          </w:tcPr>
          <w:p w:rsidR="006F4A66" w:rsidRPr="00F6537A" w:rsidP="00AE11AF" w14:paraId="0E5C5990" w14:textId="6A55332F">
            <w:pPr>
              <w:adjustRightInd/>
              <w:jc w:val="right"/>
              <w:textAlignment w:val="auto"/>
              <w:rPr>
                <w:rFonts w:eastAsia="Calibri"/>
                <w:b/>
                <w:bCs/>
                <w:color w:val="000000"/>
                <w:sz w:val="18"/>
                <w:szCs w:val="18"/>
              </w:rPr>
            </w:pPr>
            <w:r w:rsidRPr="00F6537A">
              <w:rPr>
                <w:rFonts w:eastAsia="Calibri"/>
                <w:b/>
                <w:bCs/>
                <w:color w:val="000000"/>
                <w:sz w:val="18"/>
                <w:szCs w:val="18"/>
              </w:rPr>
              <w:t>$30.57</w:t>
            </w:r>
          </w:p>
        </w:tc>
        <w:tc>
          <w:tcPr>
            <w:tcW w:w="1620" w:type="dxa"/>
            <w:tcMar>
              <w:top w:w="0" w:type="dxa"/>
              <w:left w:w="108" w:type="dxa"/>
              <w:bottom w:w="0" w:type="dxa"/>
              <w:right w:w="108" w:type="dxa"/>
            </w:tcMar>
            <w:vAlign w:val="center"/>
          </w:tcPr>
          <w:p w:rsidR="006F4A66" w:rsidRPr="00F6537A" w:rsidP="00AE11AF" w14:paraId="07E49021" w14:textId="33B74AFA">
            <w:pPr>
              <w:adjustRightInd/>
              <w:jc w:val="right"/>
              <w:textAlignment w:val="auto"/>
              <w:rPr>
                <w:rFonts w:eastAsia="Calibri"/>
                <w:b/>
                <w:bCs/>
                <w:color w:val="000000"/>
                <w:sz w:val="18"/>
                <w:szCs w:val="18"/>
              </w:rPr>
            </w:pPr>
            <w:r w:rsidRPr="00F6537A">
              <w:rPr>
                <w:b/>
                <w:bCs/>
                <w:color w:val="000000"/>
                <w:sz w:val="18"/>
                <w:szCs w:val="18"/>
              </w:rPr>
              <w:t>$360,726.00</w:t>
            </w:r>
          </w:p>
        </w:tc>
      </w:tr>
    </w:tbl>
    <w:p w:rsidR="009F6F1C" w:rsidRPr="005065BE" w:rsidP="002716E8" w14:paraId="04979831" w14:textId="737C5CBC">
      <w:pPr>
        <w:tabs>
          <w:tab w:val="right" w:pos="2760"/>
          <w:tab w:val="right" w:pos="3720"/>
          <w:tab w:val="right" w:pos="4800"/>
          <w:tab w:val="right" w:pos="6000"/>
          <w:tab w:val="right" w:pos="7200"/>
        </w:tabs>
        <w:spacing w:before="60"/>
        <w:rPr>
          <w:sz w:val="20"/>
        </w:rPr>
      </w:pPr>
      <w:r w:rsidRPr="00C256F2">
        <w:rPr>
          <w:sz w:val="24"/>
          <w:szCs w:val="24"/>
        </w:rPr>
        <w:tab/>
      </w:r>
      <w:r w:rsidRPr="005065BE" w:rsidR="001F3BE9">
        <w:rPr>
          <w:sz w:val="20"/>
          <w:vertAlign w:val="superscript"/>
        </w:rPr>
        <w:t xml:space="preserve">7 </w:t>
      </w:r>
      <w:r w:rsidRPr="005065BE">
        <w:rPr>
          <w:sz w:val="20"/>
        </w:rPr>
        <w:t>Assumes an hourly rate at the</w:t>
      </w:r>
      <w:r w:rsidRPr="005065BE" w:rsidR="006F4A66">
        <w:rPr>
          <w:sz w:val="20"/>
        </w:rPr>
        <w:t xml:space="preserve"> base pay</w:t>
      </w:r>
      <w:r w:rsidR="00E43971">
        <w:rPr>
          <w:sz w:val="20"/>
        </w:rPr>
        <w:t xml:space="preserve"> </w:t>
      </w:r>
      <w:r w:rsidRPr="002F259F" w:rsidR="00E43971">
        <w:rPr>
          <w:b/>
          <w:bCs/>
          <w:sz w:val="20"/>
        </w:rPr>
        <w:t>2026 General Schedule (Base)</w:t>
      </w:r>
      <w:r w:rsidRPr="002F259F">
        <w:rPr>
          <w:b/>
          <w:bCs/>
          <w:sz w:val="20"/>
        </w:rPr>
        <w:t xml:space="preserve"> </w:t>
      </w:r>
      <w:hyperlink r:id="rId11" w:history="1">
        <w:r w:rsidRPr="005065BE">
          <w:rPr>
            <w:rStyle w:val="Hyperlink"/>
            <w:sz w:val="20"/>
          </w:rPr>
          <w:t>GS-1</w:t>
        </w:r>
        <w:r w:rsidRPr="005065BE" w:rsidR="007F6B65">
          <w:rPr>
            <w:rStyle w:val="Hyperlink"/>
            <w:sz w:val="20"/>
          </w:rPr>
          <w:t>1</w:t>
        </w:r>
        <w:r w:rsidRPr="005065BE">
          <w:rPr>
            <w:rStyle w:val="Hyperlink"/>
            <w:sz w:val="20"/>
          </w:rPr>
          <w:t>/Step1 level</w:t>
        </w:r>
      </w:hyperlink>
      <w:r w:rsidRPr="005065BE" w:rsidR="007743DC">
        <w:rPr>
          <w:sz w:val="20"/>
        </w:rPr>
        <w:t>.</w:t>
      </w:r>
    </w:p>
    <w:p w:rsidR="006349F7" w:rsidRPr="005065BE" w:rsidP="002716E8" w14:paraId="416FFCB2" w14:textId="31AF6D02">
      <w:pPr>
        <w:tabs>
          <w:tab w:val="right" w:pos="2760"/>
          <w:tab w:val="right" w:pos="3720"/>
          <w:tab w:val="right" w:pos="4800"/>
          <w:tab w:val="right" w:pos="6000"/>
          <w:tab w:val="right" w:pos="7200"/>
        </w:tabs>
        <w:spacing w:before="60"/>
        <w:rPr>
          <w:sz w:val="20"/>
        </w:rPr>
      </w:pPr>
      <w:r w:rsidRPr="005065BE">
        <w:rPr>
          <w:sz w:val="20"/>
          <w:vertAlign w:val="superscript"/>
        </w:rPr>
        <w:t>8</w:t>
      </w:r>
      <w:r w:rsidRPr="005065BE">
        <w:rPr>
          <w:sz w:val="20"/>
        </w:rPr>
        <w:t xml:space="preserve"> </w:t>
      </w:r>
      <w:r w:rsidRPr="005065BE" w:rsidR="007743DC">
        <w:rPr>
          <w:sz w:val="20"/>
        </w:rPr>
        <w:t>HUD reviews approximately 300 applications submitted in response to NOFOs annually.  Each of these reviews takes about 6 total hours of HUD staff time because applications are typically reviewed by 2 staff members with a total review time per person of 3 hours.</w:t>
      </w:r>
    </w:p>
    <w:p w:rsidR="00501170" w:rsidRPr="005065BE" w:rsidP="002716E8" w14:paraId="56DE10E4" w14:textId="2D21DFDF">
      <w:pPr>
        <w:tabs>
          <w:tab w:val="right" w:pos="2760"/>
          <w:tab w:val="right" w:pos="3720"/>
          <w:tab w:val="right" w:pos="4800"/>
          <w:tab w:val="right" w:pos="6000"/>
          <w:tab w:val="right" w:pos="7200"/>
        </w:tabs>
        <w:spacing w:before="60"/>
        <w:rPr>
          <w:sz w:val="20"/>
        </w:rPr>
      </w:pPr>
      <w:r w:rsidRPr="005065BE">
        <w:rPr>
          <w:sz w:val="20"/>
          <w:vertAlign w:val="superscript"/>
        </w:rPr>
        <w:t>9</w:t>
      </w:r>
      <w:r w:rsidRPr="005065BE">
        <w:rPr>
          <w:sz w:val="20"/>
        </w:rPr>
        <w:t xml:space="preserve"> </w:t>
      </w:r>
      <w:r w:rsidRPr="005065BE">
        <w:rPr>
          <w:sz w:val="20"/>
        </w:rPr>
        <w:t xml:space="preserve">HUD is not involved in the </w:t>
      </w:r>
      <w:r w:rsidRPr="005065BE" w:rsidR="005902F8">
        <w:rPr>
          <w:sz w:val="20"/>
        </w:rPr>
        <w:t>actual collection of information</w:t>
      </w:r>
      <w:r w:rsidRPr="005065BE">
        <w:rPr>
          <w:sz w:val="20"/>
        </w:rPr>
        <w:t xml:space="preserve"> for most forms in this PRA package</w:t>
      </w:r>
      <w:r w:rsidRPr="005065BE" w:rsidR="00D7042E">
        <w:rPr>
          <w:sz w:val="20"/>
        </w:rPr>
        <w:t xml:space="preserve"> which is mainly completed at the PHA level</w:t>
      </w:r>
      <w:r w:rsidRPr="005065BE">
        <w:rPr>
          <w:sz w:val="20"/>
        </w:rPr>
        <w:t xml:space="preserve">. All forms except the HUD-52515, SF-424, HUD-2880, HUD-2991, HUD-2993, and SF-LLL are completed at the PHA level.  HUD only reviews those forms as part of compliance reviews.  HUD roughly estimates that the Office of Field Operations conducts approximately 10,000 file reviews annually.  These reviews may be done for a variety of reasons, </w:t>
      </w:r>
      <w:r w:rsidRPr="005065BE">
        <w:rPr>
          <w:sz w:val="20"/>
        </w:rPr>
        <w:t>including comprehensive file reviews and confirming an agency’s score under the Section Eight Management Assessment Program (SEMAP).  While reviews may vary in length, they typically take about 1 hour per file.</w:t>
      </w:r>
    </w:p>
    <w:p w:rsidR="009F6F1C" w:rsidRPr="00C256F2" w:rsidP="009F6F1C" w14:paraId="46B63B8F" w14:textId="77777777">
      <w:pPr>
        <w:keepLines/>
        <w:tabs>
          <w:tab w:val="left" w:pos="360"/>
          <w:tab w:val="left" w:pos="720"/>
        </w:tabs>
        <w:rPr>
          <w:sz w:val="24"/>
          <w:szCs w:val="24"/>
        </w:rPr>
      </w:pPr>
    </w:p>
    <w:p w:rsidR="009F6F1C" w:rsidRPr="00887EAA" w:rsidP="005065BE" w14:paraId="101CBF1B" w14:textId="69AE768D">
      <w:pPr>
        <w:keepLines/>
        <w:tabs>
          <w:tab w:val="left" w:pos="360"/>
        </w:tabs>
        <w:spacing w:after="180"/>
        <w:ind w:left="360" w:hanging="360"/>
        <w:rPr>
          <w:b/>
          <w:bCs/>
          <w:sz w:val="24"/>
          <w:szCs w:val="24"/>
        </w:rPr>
      </w:pPr>
      <w:r w:rsidRPr="00887EAA">
        <w:rPr>
          <w:sz w:val="24"/>
          <w:szCs w:val="24"/>
        </w:rPr>
        <w:t>15.</w:t>
      </w:r>
      <w:r w:rsidRPr="00887EAA">
        <w:rPr>
          <w:sz w:val="24"/>
          <w:szCs w:val="24"/>
        </w:rPr>
        <w:tab/>
      </w:r>
      <w:r w:rsidRPr="00887EAA">
        <w:rPr>
          <w:b/>
          <w:bCs/>
          <w:sz w:val="24"/>
          <w:szCs w:val="24"/>
        </w:rPr>
        <w:t>Explain the reasons for any program changes or adjustments reported in Items 12 and 14 of the Supporting Statement.</w:t>
      </w:r>
    </w:p>
    <w:p w:rsidR="00C453BD" w:rsidP="005065BE" w14:paraId="04A7CB11" w14:textId="29A592D8">
      <w:pPr>
        <w:tabs>
          <w:tab w:val="left" w:pos="-720"/>
        </w:tabs>
        <w:suppressAutoHyphens/>
        <w:spacing w:after="180"/>
        <w:ind w:left="360"/>
        <w:rPr>
          <w:color w:val="000000"/>
          <w:sz w:val="24"/>
          <w:szCs w:val="24"/>
        </w:rPr>
      </w:pPr>
      <w:r>
        <w:rPr>
          <w:color w:val="000000"/>
          <w:sz w:val="24"/>
          <w:szCs w:val="24"/>
        </w:rPr>
        <w:t xml:space="preserve">All forms will be converted </w:t>
      </w:r>
      <w:r>
        <w:rPr>
          <w:color w:val="000000"/>
          <w:sz w:val="24"/>
          <w:szCs w:val="24"/>
        </w:rPr>
        <w:t>to</w:t>
      </w:r>
      <w:r>
        <w:rPr>
          <w:color w:val="000000"/>
          <w:sz w:val="24"/>
          <w:szCs w:val="24"/>
        </w:rPr>
        <w:t xml:space="preserve"> </w:t>
      </w:r>
      <w:r w:rsidR="00FD4E96">
        <w:rPr>
          <w:color w:val="000000"/>
          <w:sz w:val="24"/>
          <w:szCs w:val="24"/>
        </w:rPr>
        <w:t xml:space="preserve">a PDF fillable format once approved by OMB. Once approved, all forms will include the updated approval and expiration date and will have form numbers assigned for all new forms. </w:t>
      </w:r>
    </w:p>
    <w:p w:rsidR="006067F9" w:rsidRPr="00887EAA" w:rsidP="005065BE" w14:paraId="63C35D4B" w14:textId="01E68C7A">
      <w:pPr>
        <w:tabs>
          <w:tab w:val="left" w:pos="-720"/>
        </w:tabs>
        <w:suppressAutoHyphens/>
        <w:spacing w:after="180"/>
        <w:ind w:left="360"/>
        <w:rPr>
          <w:color w:val="000000"/>
          <w:sz w:val="24"/>
          <w:szCs w:val="24"/>
        </w:rPr>
      </w:pPr>
      <w:r w:rsidRPr="00887EAA">
        <w:rPr>
          <w:color w:val="000000"/>
          <w:sz w:val="24"/>
          <w:szCs w:val="24"/>
        </w:rPr>
        <w:t xml:space="preserve">Changes were made to the following HUD forms to comply with current laws, regulations, and executive orders, update definitions, fix typos and update the burden hour language: </w:t>
      </w:r>
      <w:r w:rsidRPr="00887EAA">
        <w:rPr>
          <w:sz w:val="24"/>
          <w:szCs w:val="24"/>
        </w:rPr>
        <w:t>HUD-52517 Request for Tenancy Approval, HUD 52641 HAP Contract</w:t>
      </w:r>
      <w:r w:rsidR="00321A68">
        <w:rPr>
          <w:sz w:val="24"/>
          <w:szCs w:val="24"/>
        </w:rPr>
        <w:t xml:space="preserve"> -</w:t>
      </w:r>
      <w:r w:rsidRPr="00887EAA">
        <w:rPr>
          <w:sz w:val="24"/>
          <w:szCs w:val="24"/>
        </w:rPr>
        <w:t xml:space="preserve"> Tenant Based Assistance, HUD 52641A Tenancy Addendum</w:t>
      </w:r>
      <w:r w:rsidR="00321A68">
        <w:rPr>
          <w:sz w:val="24"/>
          <w:szCs w:val="24"/>
        </w:rPr>
        <w:t xml:space="preserve"> -</w:t>
      </w:r>
      <w:r w:rsidRPr="00887EAA">
        <w:rPr>
          <w:sz w:val="24"/>
          <w:szCs w:val="24"/>
        </w:rPr>
        <w:t xml:space="preserve"> Tenant Based Assistance, HUD 52642 HAP Contract</w:t>
      </w:r>
      <w:r w:rsidR="00321A68">
        <w:rPr>
          <w:sz w:val="24"/>
          <w:szCs w:val="24"/>
        </w:rPr>
        <w:t xml:space="preserve"> -</w:t>
      </w:r>
      <w:r w:rsidRPr="00887EAA">
        <w:rPr>
          <w:sz w:val="24"/>
          <w:szCs w:val="24"/>
        </w:rPr>
        <w:t xml:space="preserve"> Manufactured Home Space Rental, HUD-52646 Voucher, HUD-52649 Statement of Homeowner Obligations, </w:t>
      </w:r>
      <w:r w:rsidRPr="00887EAA" w:rsidR="00060627">
        <w:rPr>
          <w:sz w:val="24"/>
          <w:szCs w:val="24"/>
        </w:rPr>
        <w:t xml:space="preserve">HUD-52667 Utility Allowance Schedule, </w:t>
      </w:r>
      <w:r w:rsidRPr="00887EAA">
        <w:rPr>
          <w:sz w:val="24"/>
          <w:szCs w:val="24"/>
        </w:rPr>
        <w:t xml:space="preserve">HUD-50164 Unexploded Ordnance, HUD-52530A, Part 1 and Part 2 PBV HAP Contract for New Construction or Rehabilitation, HUD-52530B, Part 1 and Part 2 PBV HAP Contract for Existing, HUD-52530C PBV Tenancy Addendum, </w:t>
      </w:r>
      <w:r w:rsidRPr="00887EAA" w:rsidR="00DA153A">
        <w:rPr>
          <w:sz w:val="24"/>
          <w:szCs w:val="24"/>
        </w:rPr>
        <w:t xml:space="preserve">HUD-52531A and HUD-52531B Agreement to Enter into a Housing Assistance Payments Contract, </w:t>
      </w:r>
      <w:r w:rsidRPr="00887EAA">
        <w:rPr>
          <w:sz w:val="24"/>
          <w:szCs w:val="24"/>
        </w:rPr>
        <w:t>HUD-52578B PBV Statement of Family Responsibilities.</w:t>
      </w:r>
    </w:p>
    <w:p w:rsidR="006067F9" w:rsidRPr="00887EAA" w:rsidP="00BA7857" w14:paraId="58DEE10F" w14:textId="7BFC5DEB">
      <w:pPr>
        <w:tabs>
          <w:tab w:val="left" w:pos="-720"/>
        </w:tabs>
        <w:suppressAutoHyphens/>
        <w:spacing w:after="180"/>
        <w:ind w:left="360"/>
        <w:rPr>
          <w:color w:val="000000"/>
          <w:sz w:val="24"/>
          <w:szCs w:val="24"/>
        </w:rPr>
      </w:pPr>
      <w:r w:rsidRPr="00887EAA">
        <w:rPr>
          <w:b/>
          <w:bCs/>
          <w:color w:val="000000"/>
          <w:sz w:val="24"/>
          <w:szCs w:val="24"/>
        </w:rPr>
        <w:t>HUD-52517 Request for Tenancy Approval</w:t>
      </w:r>
      <w:r w:rsidR="00BE0822">
        <w:rPr>
          <w:color w:val="000000"/>
          <w:sz w:val="24"/>
          <w:szCs w:val="24"/>
        </w:rPr>
        <w:t>.</w:t>
      </w:r>
      <w:r w:rsidRPr="00887EAA">
        <w:rPr>
          <w:color w:val="000000"/>
          <w:sz w:val="24"/>
          <w:szCs w:val="24"/>
        </w:rPr>
        <w:t xml:space="preserve"> Added a utility allowance flat fee option (24 CFR 982.517(b)), added a field for owner’s email address. </w:t>
      </w:r>
    </w:p>
    <w:p w:rsidR="006067F9" w:rsidRPr="00887EAA" w:rsidP="00BA7857" w14:paraId="60401CB9" w14:textId="2FCE84D0">
      <w:pPr>
        <w:tabs>
          <w:tab w:val="left" w:pos="-720"/>
        </w:tabs>
        <w:suppressAutoHyphens/>
        <w:spacing w:after="180"/>
        <w:ind w:left="360"/>
        <w:rPr>
          <w:color w:val="000000"/>
          <w:sz w:val="24"/>
          <w:szCs w:val="24"/>
        </w:rPr>
      </w:pPr>
      <w:r w:rsidRPr="00887EAA">
        <w:rPr>
          <w:b/>
          <w:bCs/>
          <w:color w:val="000000"/>
          <w:sz w:val="24"/>
          <w:szCs w:val="24"/>
        </w:rPr>
        <w:t>HUD 52641 HAP Contract</w:t>
      </w:r>
      <w:r w:rsidR="00321A68">
        <w:rPr>
          <w:b/>
          <w:bCs/>
          <w:color w:val="000000"/>
          <w:sz w:val="24"/>
          <w:szCs w:val="24"/>
        </w:rPr>
        <w:t xml:space="preserve"> -</w:t>
      </w:r>
      <w:r w:rsidRPr="00887EAA">
        <w:rPr>
          <w:b/>
          <w:bCs/>
          <w:color w:val="000000"/>
          <w:sz w:val="24"/>
          <w:szCs w:val="24"/>
        </w:rPr>
        <w:t xml:space="preserve"> Tenant Based Assistance</w:t>
      </w:r>
      <w:r w:rsidR="00BE0822">
        <w:rPr>
          <w:b/>
          <w:bCs/>
          <w:color w:val="000000"/>
          <w:sz w:val="24"/>
          <w:szCs w:val="24"/>
        </w:rPr>
        <w:t>.</w:t>
      </w:r>
      <w:r w:rsidRPr="00887EAA">
        <w:rPr>
          <w:color w:val="000000"/>
          <w:sz w:val="24"/>
          <w:szCs w:val="24"/>
        </w:rPr>
        <w:t xml:space="preserve"> Added utility flat fee option (24 CFR 982.517(b)) and language to reflect that the PHA may waive the owner’s responsibility for tenant-caused HQS deficiencies (24 CFR 982.404(a)(4)). Added an instruction to select one of two tenancy addendums, as appropriate, and added a second tenancy addendum to the HAP Contract to apply when a family has elected to use its tenant-based assistance to remain in the same project after termination or expiration without extension of the project’s PBV contract. Aligned fair housing language with PBV forms.</w:t>
      </w:r>
    </w:p>
    <w:p w:rsidR="006067F9" w:rsidRPr="00887EAA" w:rsidP="00BA7857" w14:paraId="169ADED2" w14:textId="2297E4C6">
      <w:pPr>
        <w:tabs>
          <w:tab w:val="left" w:pos="-720"/>
        </w:tabs>
        <w:suppressAutoHyphens/>
        <w:spacing w:after="180"/>
        <w:ind w:left="360"/>
        <w:rPr>
          <w:color w:val="000000"/>
          <w:sz w:val="24"/>
          <w:szCs w:val="24"/>
        </w:rPr>
      </w:pPr>
      <w:r w:rsidRPr="00887EAA">
        <w:rPr>
          <w:b/>
          <w:bCs/>
          <w:color w:val="000000"/>
          <w:sz w:val="24"/>
          <w:szCs w:val="24"/>
        </w:rPr>
        <w:t>HUD 52641A Tenancy Addendum</w:t>
      </w:r>
      <w:r w:rsidR="00321A68">
        <w:rPr>
          <w:b/>
          <w:bCs/>
          <w:color w:val="000000"/>
          <w:sz w:val="24"/>
          <w:szCs w:val="24"/>
        </w:rPr>
        <w:t xml:space="preserve"> -</w:t>
      </w:r>
      <w:r w:rsidRPr="00887EAA">
        <w:rPr>
          <w:b/>
          <w:bCs/>
          <w:color w:val="000000"/>
          <w:sz w:val="24"/>
          <w:szCs w:val="24"/>
        </w:rPr>
        <w:t xml:space="preserve"> Tenant Based Assistance</w:t>
      </w:r>
      <w:r w:rsidR="00BE0822">
        <w:rPr>
          <w:b/>
          <w:bCs/>
          <w:color w:val="000000"/>
          <w:sz w:val="24"/>
          <w:szCs w:val="24"/>
        </w:rPr>
        <w:t>.</w:t>
      </w:r>
      <w:r w:rsidRPr="00887EAA">
        <w:rPr>
          <w:color w:val="000000"/>
          <w:sz w:val="24"/>
          <w:szCs w:val="24"/>
        </w:rPr>
        <w:t xml:space="preserve"> Updated language to reflect that the PHA may waive the owner’s responsibility for tenant-caused HQS deficiencies (24 CFR 982.404(a)(4)).</w:t>
      </w:r>
    </w:p>
    <w:p w:rsidR="006067F9" w:rsidRPr="00887EAA" w:rsidP="00BA7857" w14:paraId="4E62CA32" w14:textId="3F1C3C8C">
      <w:pPr>
        <w:tabs>
          <w:tab w:val="left" w:pos="-720"/>
        </w:tabs>
        <w:suppressAutoHyphens/>
        <w:spacing w:after="180"/>
        <w:ind w:left="360"/>
        <w:rPr>
          <w:color w:val="000000"/>
          <w:sz w:val="24"/>
          <w:szCs w:val="24"/>
        </w:rPr>
      </w:pPr>
      <w:r w:rsidRPr="00887EAA">
        <w:rPr>
          <w:b/>
          <w:bCs/>
          <w:color w:val="000000"/>
          <w:sz w:val="24"/>
          <w:szCs w:val="24"/>
        </w:rPr>
        <w:t xml:space="preserve">HUD 52642 HAP Contract </w:t>
      </w:r>
      <w:r w:rsidR="00321A68">
        <w:rPr>
          <w:b/>
          <w:bCs/>
          <w:color w:val="000000"/>
          <w:sz w:val="24"/>
          <w:szCs w:val="24"/>
        </w:rPr>
        <w:t xml:space="preserve">- </w:t>
      </w:r>
      <w:r w:rsidRPr="00887EAA">
        <w:rPr>
          <w:b/>
          <w:bCs/>
          <w:color w:val="000000"/>
          <w:sz w:val="24"/>
          <w:szCs w:val="24"/>
        </w:rPr>
        <w:t>Manufactured Home Space Rental</w:t>
      </w:r>
      <w:r w:rsidR="00BE0822">
        <w:rPr>
          <w:b/>
          <w:bCs/>
          <w:color w:val="000000"/>
          <w:sz w:val="24"/>
          <w:szCs w:val="24"/>
        </w:rPr>
        <w:t>.</w:t>
      </w:r>
      <w:r w:rsidRPr="00887EAA">
        <w:rPr>
          <w:color w:val="000000"/>
          <w:sz w:val="24"/>
          <w:szCs w:val="24"/>
        </w:rPr>
        <w:t xml:space="preserve"> Added an option for a single HAP payment made to the family (24 CFR 982.622(a)(1)), updated language to reflect that the PHA may waive the owner’s responsibility for tenant-caused HQS deficiencies (24 CFR 982.404(a)(4)), aligned fair housing language with PBV forms.</w:t>
      </w:r>
    </w:p>
    <w:p w:rsidR="006067F9" w:rsidRPr="00887EAA" w:rsidP="00BA7857" w14:paraId="3EF3CAF0" w14:textId="359D9CC8">
      <w:pPr>
        <w:tabs>
          <w:tab w:val="left" w:pos="-720"/>
        </w:tabs>
        <w:suppressAutoHyphens/>
        <w:spacing w:after="180"/>
        <w:ind w:left="360"/>
        <w:rPr>
          <w:color w:val="000000"/>
          <w:sz w:val="24"/>
          <w:szCs w:val="24"/>
        </w:rPr>
      </w:pPr>
      <w:r w:rsidRPr="00887EAA">
        <w:rPr>
          <w:b/>
          <w:bCs/>
          <w:color w:val="000000"/>
          <w:sz w:val="24"/>
          <w:szCs w:val="24"/>
        </w:rPr>
        <w:t>HUD-52646 Voucher</w:t>
      </w:r>
      <w:r w:rsidR="00BE0822">
        <w:rPr>
          <w:b/>
          <w:bCs/>
          <w:color w:val="000000"/>
          <w:sz w:val="24"/>
          <w:szCs w:val="24"/>
        </w:rPr>
        <w:t>.</w:t>
      </w:r>
      <w:r w:rsidRPr="00887EAA">
        <w:rPr>
          <w:color w:val="000000"/>
          <w:sz w:val="24"/>
          <w:szCs w:val="24"/>
        </w:rPr>
        <w:t xml:space="preserve"> Added language to state that the unit has passed HQS unless the PHA has approved the unit with only </w:t>
      </w:r>
      <w:r w:rsidR="00C27116">
        <w:rPr>
          <w:color w:val="000000"/>
          <w:sz w:val="24"/>
          <w:szCs w:val="24"/>
        </w:rPr>
        <w:t>non-life threatening (</w:t>
      </w:r>
      <w:r w:rsidRPr="00887EAA">
        <w:rPr>
          <w:color w:val="000000"/>
          <w:sz w:val="24"/>
          <w:szCs w:val="24"/>
        </w:rPr>
        <w:t>NLT</w:t>
      </w:r>
      <w:r w:rsidR="00C27116">
        <w:rPr>
          <w:color w:val="000000"/>
          <w:sz w:val="24"/>
          <w:szCs w:val="24"/>
        </w:rPr>
        <w:t>)</w:t>
      </w:r>
      <w:r w:rsidRPr="00887EAA">
        <w:rPr>
          <w:color w:val="000000"/>
          <w:sz w:val="24"/>
          <w:szCs w:val="24"/>
        </w:rPr>
        <w:t xml:space="preserve"> deficiencies (24 CFR 982.406(e)) or passed an alternative inspection in the past 24 months (24 CFR 982.405(j)). Added language to comply with the new requirement that if the HAP contract terminates due to a failure to correct HQS deficiencies, the PHA must give the family at least 90 days following the termination of the HAP contract to lease a new unit (24 CFR 982.404(e)(1)). </w:t>
      </w:r>
    </w:p>
    <w:p w:rsidR="006067F9" w:rsidRPr="00887EAA" w:rsidP="00BA7857" w14:paraId="29BD2CCF" w14:textId="0F0833F0">
      <w:pPr>
        <w:tabs>
          <w:tab w:val="left" w:pos="-720"/>
        </w:tabs>
        <w:suppressAutoHyphens/>
        <w:spacing w:after="180"/>
        <w:ind w:left="360"/>
        <w:rPr>
          <w:color w:val="000000"/>
          <w:sz w:val="24"/>
          <w:szCs w:val="24"/>
        </w:rPr>
      </w:pPr>
      <w:r w:rsidRPr="00887EAA">
        <w:rPr>
          <w:b/>
          <w:bCs/>
          <w:color w:val="000000"/>
          <w:sz w:val="24"/>
          <w:szCs w:val="24"/>
        </w:rPr>
        <w:t>HUD-52649 Statement of Homeowner Obligations</w:t>
      </w:r>
      <w:r w:rsidR="00BE0822">
        <w:rPr>
          <w:b/>
          <w:bCs/>
          <w:color w:val="000000"/>
          <w:sz w:val="24"/>
          <w:szCs w:val="24"/>
        </w:rPr>
        <w:t>.</w:t>
      </w:r>
      <w:r w:rsidRPr="00887EAA">
        <w:rPr>
          <w:color w:val="000000"/>
          <w:sz w:val="24"/>
          <w:szCs w:val="24"/>
        </w:rPr>
        <w:t xml:space="preserve"> Removed 2(I) that stated The family fails, willfully and persistently, to fulfill any welfare to work program obligations, as all references to the welfare to work program were removed under the HOTMA Voucher final rule.</w:t>
      </w:r>
    </w:p>
    <w:p w:rsidR="00DA153A" w:rsidRPr="00887EAA" w:rsidP="00DA153A" w14:paraId="6653DCA0" w14:textId="1DF04F61">
      <w:pPr>
        <w:tabs>
          <w:tab w:val="left" w:pos="-720"/>
        </w:tabs>
        <w:suppressAutoHyphens/>
        <w:spacing w:after="180"/>
        <w:ind w:left="360"/>
        <w:rPr>
          <w:color w:val="000000"/>
          <w:sz w:val="24"/>
          <w:szCs w:val="24"/>
        </w:rPr>
      </w:pPr>
      <w:r w:rsidRPr="00887EAA">
        <w:rPr>
          <w:b/>
          <w:bCs/>
          <w:color w:val="000000"/>
          <w:sz w:val="24"/>
          <w:szCs w:val="24"/>
        </w:rPr>
        <w:t>HUD-52667 Utility Allowance Schedule</w:t>
      </w:r>
      <w:r w:rsidR="00BE0822">
        <w:rPr>
          <w:color w:val="000000"/>
          <w:sz w:val="24"/>
          <w:szCs w:val="24"/>
        </w:rPr>
        <w:t>.</w:t>
      </w:r>
      <w:r w:rsidRPr="00887EAA">
        <w:rPr>
          <w:color w:val="000000"/>
          <w:sz w:val="24"/>
          <w:szCs w:val="24"/>
        </w:rPr>
        <w:t xml:space="preserve"> Added “applicable surcharges” (24 CFR 982.517(b)(2)(ii))</w:t>
      </w:r>
    </w:p>
    <w:p w:rsidR="006067F9" w:rsidRPr="00887EAA" w:rsidP="00BA7857" w14:paraId="596CCFF3" w14:textId="24F162D1">
      <w:pPr>
        <w:tabs>
          <w:tab w:val="left" w:pos="-720"/>
        </w:tabs>
        <w:suppressAutoHyphens/>
        <w:spacing w:after="180"/>
        <w:ind w:left="360"/>
        <w:rPr>
          <w:color w:val="000000"/>
          <w:sz w:val="24"/>
          <w:szCs w:val="24"/>
        </w:rPr>
      </w:pPr>
      <w:r w:rsidRPr="00887EAA">
        <w:rPr>
          <w:b/>
          <w:bCs/>
          <w:color w:val="000000"/>
          <w:sz w:val="24"/>
          <w:szCs w:val="24"/>
        </w:rPr>
        <w:t>HUD-50164 Unexploded Ordnanc</w:t>
      </w:r>
      <w:r w:rsidRPr="00BE0822">
        <w:rPr>
          <w:b/>
          <w:bCs/>
          <w:color w:val="000000"/>
          <w:sz w:val="24"/>
          <w:szCs w:val="24"/>
        </w:rPr>
        <w:t>e</w:t>
      </w:r>
      <w:r w:rsidRPr="00BE0822" w:rsidR="00BE0822">
        <w:rPr>
          <w:b/>
          <w:bCs/>
          <w:color w:val="000000"/>
          <w:sz w:val="24"/>
          <w:szCs w:val="24"/>
        </w:rPr>
        <w:t xml:space="preserve"> Hazards Disclosure.</w:t>
      </w:r>
      <w:r w:rsidRPr="00887EAA">
        <w:rPr>
          <w:color w:val="000000"/>
          <w:sz w:val="24"/>
          <w:szCs w:val="24"/>
        </w:rPr>
        <w:t xml:space="preserve"> Updated contact information for submitting a complaint.</w:t>
      </w:r>
    </w:p>
    <w:p w:rsidR="006067F9" w:rsidRPr="00887EAA" w:rsidP="00BA7857" w14:paraId="47C3B1E8" w14:textId="379B7665">
      <w:pPr>
        <w:tabs>
          <w:tab w:val="left" w:pos="-720"/>
        </w:tabs>
        <w:suppressAutoHyphens/>
        <w:spacing w:after="180"/>
        <w:ind w:left="360"/>
        <w:rPr>
          <w:color w:val="000000"/>
          <w:sz w:val="24"/>
          <w:szCs w:val="24"/>
        </w:rPr>
      </w:pPr>
      <w:r w:rsidRPr="00887EAA">
        <w:rPr>
          <w:b/>
          <w:bCs/>
          <w:color w:val="000000"/>
          <w:sz w:val="24"/>
          <w:szCs w:val="24"/>
        </w:rPr>
        <w:t xml:space="preserve">HUD-52530A, Part 1 and Part 2 PBV HAP Contract </w:t>
      </w:r>
      <w:r w:rsidR="00AE53CA">
        <w:rPr>
          <w:b/>
          <w:bCs/>
          <w:color w:val="000000"/>
          <w:sz w:val="24"/>
          <w:szCs w:val="24"/>
        </w:rPr>
        <w:t>-</w:t>
      </w:r>
      <w:r w:rsidRPr="00887EAA">
        <w:rPr>
          <w:b/>
          <w:bCs/>
          <w:color w:val="000000"/>
          <w:sz w:val="24"/>
          <w:szCs w:val="24"/>
        </w:rPr>
        <w:t xml:space="preserve"> New Construction or Rehabilitation</w:t>
      </w:r>
      <w:r w:rsidR="00AE53CA">
        <w:rPr>
          <w:b/>
          <w:bCs/>
          <w:color w:val="000000"/>
          <w:sz w:val="24"/>
          <w:szCs w:val="24"/>
        </w:rPr>
        <w:t>.</w:t>
      </w:r>
      <w:r w:rsidRPr="00887EAA">
        <w:rPr>
          <w:color w:val="000000"/>
          <w:sz w:val="24"/>
          <w:szCs w:val="24"/>
        </w:rPr>
        <w:t xml:space="preserve"> Edited to address typos, comply with recent executive orders, conform with 24 CFR 982.451 regarding payments, conform with 24 CFR 982.453 regarding owner breach, and conform with changes made in the HOTMA Voucher Final Rule, including those changes to 24 CFR 5.100 (definitions), 982.4 (definitions), 982.405 (inspection), 983.3 (definitions), 983.51 (selection), 983.54 (income-mixing), 983.57 (PHA-owned units), 983.59 (units excluded from program cap and project cap), 983.103 (inspecting units), 983.157 (development activity after HAP contract execution), 983.203 (HAP contract information), 983.204 (execution of HAP contract), 983.205 (term of HAP contract), 983.206 (contract termination), 983.207 (contract amendments to add or substitute units), 983.208 (condition of contract units), 983.210 (owner certification), 983.212 (substantial improvement), 983.251 (how participants are selected), 983.253 (leasing), 983.254 (vacancies), 983.255 (tenant screening), 983.259 (security deposit), 983.260 (overcrowded, under-occupied, and accessible units), 983.261 (family right to move), 983.302 (redetermination of rent to owner), 983.351 (payment for occupied unit).</w:t>
      </w:r>
    </w:p>
    <w:p w:rsidR="006067F9" w:rsidP="00BA7857" w14:paraId="398CF4C9" w14:textId="327706DB">
      <w:pPr>
        <w:tabs>
          <w:tab w:val="left" w:pos="-720"/>
        </w:tabs>
        <w:suppressAutoHyphens/>
        <w:spacing w:after="180"/>
        <w:ind w:left="360"/>
        <w:rPr>
          <w:color w:val="000000"/>
          <w:sz w:val="24"/>
          <w:szCs w:val="24"/>
        </w:rPr>
      </w:pPr>
      <w:r w:rsidRPr="00887EAA">
        <w:rPr>
          <w:b/>
          <w:bCs/>
          <w:color w:val="000000"/>
          <w:sz w:val="24"/>
          <w:szCs w:val="24"/>
        </w:rPr>
        <w:t xml:space="preserve">HUD-52530B, Part 1 and Part 2 PBV HAP Contract </w:t>
      </w:r>
      <w:r w:rsidR="00AE53CA">
        <w:rPr>
          <w:b/>
          <w:bCs/>
          <w:color w:val="000000"/>
          <w:sz w:val="24"/>
          <w:szCs w:val="24"/>
        </w:rPr>
        <w:t>-</w:t>
      </w:r>
      <w:r w:rsidRPr="00887EAA">
        <w:rPr>
          <w:b/>
          <w:bCs/>
          <w:color w:val="000000"/>
          <w:sz w:val="24"/>
          <w:szCs w:val="24"/>
        </w:rPr>
        <w:t xml:space="preserve"> Existing </w:t>
      </w:r>
      <w:r w:rsidR="00AE53CA">
        <w:rPr>
          <w:b/>
          <w:bCs/>
          <w:color w:val="000000"/>
          <w:sz w:val="24"/>
          <w:szCs w:val="24"/>
        </w:rPr>
        <w:t xml:space="preserve">Housing. </w:t>
      </w:r>
      <w:r w:rsidRPr="00887EAA">
        <w:rPr>
          <w:color w:val="000000"/>
          <w:sz w:val="24"/>
          <w:szCs w:val="24"/>
        </w:rPr>
        <w:t>Edited to address typos, comply with recent executive orders, conform with 24 CFR 982.451 regarding payments, conform with 24 CFR 982.453 regarding owner breach, and conform with changes made in the HOTMA Voucher Final Rule, including those changes to 24 CFR 5.100 (definitions), 982.4 (definitions), 982.405 (inspection), 983.3 (definitions), 983.51 (selection), 983.54 (income-mixing), 983.57 (PHA-owned units), 983.59 (units excluded from program cap and project cap), 983.103 (inspecting units), 983.203 (HAP contract information), 983.204 (execution of HAP contract), 983.205 (term of HAP contract), 983.206 (contract termination), 983.208 (condition of contract units), 983.210 (owner certification), 983.212 (substantial improvement), 983.251 (how participants are selected), 983.253 (leasing), 983.254 (vacancies), 983.255 (tenant screening), 983.259 (security deposit), 983.260 (overcrowded, under-occupied, and accessible units), 983.261 (family right to move), 983.302 (redetermination of rent to owner), 983.351 (payment for occupied unit).</w:t>
      </w:r>
    </w:p>
    <w:p w:rsidR="00910CD5" w:rsidRPr="00910CD5" w:rsidP="00910CD5" w14:paraId="52A7CBC1" w14:textId="5331E2BA">
      <w:pPr>
        <w:tabs>
          <w:tab w:val="left" w:pos="-720"/>
        </w:tabs>
        <w:suppressAutoHyphens/>
        <w:spacing w:after="180"/>
        <w:ind w:left="360"/>
        <w:rPr>
          <w:color w:val="000000"/>
          <w:sz w:val="24"/>
          <w:szCs w:val="24"/>
        </w:rPr>
      </w:pPr>
      <w:r>
        <w:rPr>
          <w:color w:val="000000"/>
          <w:sz w:val="24"/>
          <w:szCs w:val="24"/>
        </w:rPr>
        <w:t xml:space="preserve">Part 2: </w:t>
      </w:r>
      <w:r w:rsidRPr="00910CD5">
        <w:rPr>
          <w:color w:val="000000"/>
          <w:sz w:val="24"/>
          <w:szCs w:val="24"/>
        </w:rPr>
        <w:t xml:space="preserve">We have removed reference to the revoked Executive Order 11246 (as amended), in acknowledgment of the proposed rule </w:t>
      </w:r>
      <w:hyperlink r:id="rId12" w:history="1">
        <w:r w:rsidRPr="00910CD5">
          <w:rPr>
            <w:rStyle w:val="Hyperlink"/>
            <w:sz w:val="24"/>
            <w:szCs w:val="24"/>
          </w:rPr>
          <w:t>Federal Register :: Rescission of Executive Order 11246 Implementing Regulations</w:t>
        </w:r>
      </w:hyperlink>
      <w:r w:rsidRPr="00910CD5">
        <w:rPr>
          <w:color w:val="000000"/>
          <w:sz w:val="24"/>
          <w:szCs w:val="24"/>
        </w:rPr>
        <w:t xml:space="preserve"> at 90 FR 28472 (Jul. 1, 2025) that provide: “On January 21, 2025, President Trump issued </w:t>
      </w:r>
      <w:hyperlink r:id="rId13" w:history="1">
        <w:r w:rsidRPr="00910CD5">
          <w:rPr>
            <w:rStyle w:val="Hyperlink"/>
            <w:sz w:val="24"/>
            <w:szCs w:val="24"/>
          </w:rPr>
          <w:t>E.O. 14173</w:t>
        </w:r>
      </w:hyperlink>
      <w:r w:rsidRPr="00910CD5">
        <w:rPr>
          <w:color w:val="000000"/>
          <w:sz w:val="24"/>
          <w:szCs w:val="24"/>
        </w:rPr>
        <w:t xml:space="preserve">, “Ending Illegal Discrimination and Restoring Merit-Based Opportunity,” </w:t>
      </w:r>
      <w:hyperlink r:id="rId14" w:history="1">
        <w:r w:rsidRPr="00910CD5">
          <w:rPr>
            <w:rStyle w:val="Hyperlink"/>
            <w:sz w:val="24"/>
            <w:szCs w:val="24"/>
          </w:rPr>
          <w:t>90 FR 8633</w:t>
        </w:r>
      </w:hyperlink>
      <w:r w:rsidRPr="00910CD5">
        <w:rPr>
          <w:color w:val="000000"/>
          <w:sz w:val="24"/>
          <w:szCs w:val="24"/>
        </w:rPr>
        <w:t xml:space="preserve"> (Jan. 31, 2025). In addition to revoking </w:t>
      </w:r>
      <w:hyperlink r:id="rId15" w:history="1">
        <w:r w:rsidRPr="00910CD5">
          <w:rPr>
            <w:rStyle w:val="Hyperlink"/>
            <w:sz w:val="24"/>
            <w:szCs w:val="24"/>
          </w:rPr>
          <w:t>E.O. 11246</w:t>
        </w:r>
      </w:hyperlink>
      <w:r w:rsidRPr="00910CD5">
        <w:rPr>
          <w:color w:val="000000"/>
          <w:sz w:val="24"/>
          <w:szCs w:val="24"/>
        </w:rPr>
        <w:t xml:space="preserve">, </w:t>
      </w:r>
      <w:hyperlink r:id="rId13" w:history="1">
        <w:r w:rsidRPr="00910CD5">
          <w:rPr>
            <w:rStyle w:val="Hyperlink"/>
            <w:sz w:val="24"/>
            <w:szCs w:val="24"/>
          </w:rPr>
          <w:t>E.O. 14173</w:t>
        </w:r>
      </w:hyperlink>
      <w:r w:rsidRPr="00910CD5">
        <w:rPr>
          <w:color w:val="000000"/>
          <w:sz w:val="24"/>
          <w:szCs w:val="24"/>
        </w:rPr>
        <w:t xml:space="preserve"> directed DOL to immediately cease the following: promoting “diversity,” holding Federal contractors and subcontractors responsible for taking “affirmative action,” and allowing or encouraging Federal contractors and subcontractors to engage in workforce balancing based on race, color, sex, sexual preference, religion, or national origin. </w:t>
      </w:r>
      <w:r w:rsidRPr="00910CD5">
        <w:rPr>
          <w:i/>
          <w:iCs/>
          <w:color w:val="000000"/>
          <w:sz w:val="24"/>
          <w:szCs w:val="24"/>
        </w:rPr>
        <w:t>Id.</w:t>
      </w:r>
      <w:r w:rsidRPr="00910CD5">
        <w:rPr>
          <w:color w:val="000000"/>
          <w:sz w:val="24"/>
          <w:szCs w:val="24"/>
        </w:rPr>
        <w:t xml:space="preserve"> at 8634. Accordingly, DOL has determined that it must rescind the regulations at </w:t>
      </w:r>
      <w:hyperlink r:id="rId16" w:history="1">
        <w:r w:rsidRPr="00910CD5">
          <w:rPr>
            <w:rStyle w:val="Hyperlink"/>
            <w:sz w:val="24"/>
            <w:szCs w:val="24"/>
          </w:rPr>
          <w:t>41 CFR parts 60-1</w:t>
        </w:r>
      </w:hyperlink>
      <w:r w:rsidRPr="00910CD5">
        <w:rPr>
          <w:color w:val="000000"/>
          <w:sz w:val="24"/>
          <w:szCs w:val="24"/>
        </w:rPr>
        <w:t xml:space="preserve">, </w:t>
      </w:r>
      <w:hyperlink r:id="rId17" w:history="1">
        <w:r w:rsidRPr="00910CD5">
          <w:rPr>
            <w:rStyle w:val="Hyperlink"/>
            <w:sz w:val="24"/>
            <w:szCs w:val="24"/>
          </w:rPr>
          <w:t>60-2</w:t>
        </w:r>
      </w:hyperlink>
      <w:r w:rsidRPr="00910CD5">
        <w:rPr>
          <w:color w:val="000000"/>
          <w:sz w:val="24"/>
          <w:szCs w:val="24"/>
        </w:rPr>
        <w:t xml:space="preserve">, </w:t>
      </w:r>
      <w:hyperlink r:id="rId18" w:history="1">
        <w:r w:rsidRPr="00910CD5">
          <w:rPr>
            <w:rStyle w:val="Hyperlink"/>
            <w:sz w:val="24"/>
            <w:szCs w:val="24"/>
          </w:rPr>
          <w:t>60-3</w:t>
        </w:r>
      </w:hyperlink>
      <w:r w:rsidRPr="00910CD5">
        <w:rPr>
          <w:color w:val="000000"/>
          <w:sz w:val="24"/>
          <w:szCs w:val="24"/>
        </w:rPr>
        <w:t xml:space="preserve">, </w:t>
      </w:r>
      <w:hyperlink r:id="rId19" w:history="1">
        <w:r w:rsidRPr="00910CD5">
          <w:rPr>
            <w:rStyle w:val="Hyperlink"/>
            <w:sz w:val="24"/>
            <w:szCs w:val="24"/>
          </w:rPr>
          <w:t>60-4</w:t>
        </w:r>
      </w:hyperlink>
      <w:r w:rsidRPr="00910CD5">
        <w:rPr>
          <w:color w:val="000000"/>
          <w:sz w:val="24"/>
          <w:szCs w:val="24"/>
        </w:rPr>
        <w:t xml:space="preserve">, </w:t>
      </w:r>
      <w:hyperlink r:id="rId20" w:history="1">
        <w:r w:rsidRPr="00910CD5">
          <w:rPr>
            <w:rStyle w:val="Hyperlink"/>
            <w:sz w:val="24"/>
            <w:szCs w:val="24"/>
          </w:rPr>
          <w:t>60-20</w:t>
        </w:r>
      </w:hyperlink>
      <w:r w:rsidRPr="00910CD5">
        <w:rPr>
          <w:color w:val="000000"/>
          <w:sz w:val="24"/>
          <w:szCs w:val="24"/>
        </w:rPr>
        <w:t xml:space="preserve">, </w:t>
      </w:r>
      <w:hyperlink r:id="rId21" w:history="1">
        <w:r w:rsidRPr="00910CD5">
          <w:rPr>
            <w:rStyle w:val="Hyperlink"/>
            <w:sz w:val="24"/>
            <w:szCs w:val="24"/>
          </w:rPr>
          <w:t>60-40</w:t>
        </w:r>
      </w:hyperlink>
      <w:r w:rsidRPr="00910CD5">
        <w:rPr>
          <w:color w:val="000000"/>
          <w:sz w:val="24"/>
          <w:szCs w:val="24"/>
        </w:rPr>
        <w:t xml:space="preserve">, and </w:t>
      </w:r>
      <w:hyperlink r:id="rId22" w:history="1">
        <w:r w:rsidRPr="00910CD5">
          <w:rPr>
            <w:rStyle w:val="Hyperlink"/>
            <w:sz w:val="24"/>
            <w:szCs w:val="24"/>
          </w:rPr>
          <w:t>60-50</w:t>
        </w:r>
      </w:hyperlink>
      <w:r w:rsidRPr="00910CD5">
        <w:rPr>
          <w:color w:val="000000"/>
          <w:sz w:val="24"/>
          <w:szCs w:val="24"/>
        </w:rPr>
        <w:t xml:space="preserve"> which were </w:t>
      </w:r>
      <w:r w:rsidRPr="00910CD5">
        <w:rPr>
          <w:color w:val="000000"/>
          <w:sz w:val="24"/>
          <w:szCs w:val="24"/>
        </w:rPr>
        <w:t xml:space="preserve">promulgated under the authority of </w:t>
      </w:r>
      <w:hyperlink r:id="rId15" w:history="1">
        <w:r w:rsidRPr="00910CD5">
          <w:rPr>
            <w:rStyle w:val="Hyperlink"/>
            <w:sz w:val="24"/>
            <w:szCs w:val="24"/>
          </w:rPr>
          <w:t>E.O. 11246</w:t>
        </w:r>
      </w:hyperlink>
      <w:r w:rsidRPr="00910CD5">
        <w:rPr>
          <w:color w:val="000000"/>
          <w:sz w:val="24"/>
          <w:szCs w:val="24"/>
        </w:rPr>
        <w:t xml:space="preserve">.” We have left reference to “applicable regulations at 41 CFR chapter 60” since the final rule is not yet published and indicates some provisions of chapter 60 will remain in effect. We </w:t>
      </w:r>
      <w:r w:rsidRPr="00910CD5">
        <w:rPr>
          <w:color w:val="000000"/>
          <w:sz w:val="24"/>
          <w:szCs w:val="24"/>
        </w:rPr>
        <w:t>defer</w:t>
      </w:r>
      <w:r w:rsidRPr="00910CD5">
        <w:rPr>
          <w:color w:val="000000"/>
          <w:sz w:val="24"/>
          <w:szCs w:val="24"/>
        </w:rPr>
        <w:t xml:space="preserve"> to OMB, in consultation with DOL, as to any changes that may be required.</w:t>
      </w:r>
    </w:p>
    <w:p w:rsidR="006067F9" w:rsidRPr="00887EAA" w:rsidP="00BA7857" w14:paraId="6F97A53F" w14:textId="157F7DF8">
      <w:pPr>
        <w:tabs>
          <w:tab w:val="left" w:pos="-720"/>
        </w:tabs>
        <w:suppressAutoHyphens/>
        <w:spacing w:after="180"/>
        <w:ind w:left="360"/>
        <w:rPr>
          <w:color w:val="000000"/>
          <w:sz w:val="24"/>
          <w:szCs w:val="24"/>
        </w:rPr>
      </w:pPr>
      <w:r w:rsidRPr="00887EAA">
        <w:rPr>
          <w:b/>
          <w:bCs/>
          <w:color w:val="000000"/>
          <w:sz w:val="24"/>
          <w:szCs w:val="24"/>
        </w:rPr>
        <w:t>HUD-52530C PBV Tenancy Addendum</w:t>
      </w:r>
      <w:r w:rsidR="00AE53CA">
        <w:rPr>
          <w:b/>
          <w:bCs/>
          <w:color w:val="000000"/>
          <w:sz w:val="24"/>
          <w:szCs w:val="24"/>
        </w:rPr>
        <w:t>.</w:t>
      </w:r>
      <w:r w:rsidRPr="00887EAA">
        <w:rPr>
          <w:color w:val="000000"/>
          <w:sz w:val="24"/>
          <w:szCs w:val="24"/>
        </w:rPr>
        <w:t xml:space="preserve"> Edited to comply with recent executive orders and address typos and conform with changes made in the HOTMA Voucher Final Rule, including those changes to 24 CFR 5.100 (definitions), 982.4 (definitions), 983.3 (definitions), 983.157 (development activity after HAP contract execution), 983.206 (contract termination), 983.208 (condition of contract units), 983.212 (substantial improvement), 983.257 (eviction), 983.259 (security deposit), 983.261 (family right to move).</w:t>
      </w:r>
    </w:p>
    <w:p w:rsidR="0082207F" w:rsidP="00FD782E" w14:paraId="0AC31169" w14:textId="4A0A7E3D">
      <w:pPr>
        <w:pStyle w:val="CommentText"/>
        <w:ind w:left="360"/>
        <w:rPr>
          <w:color w:val="333333"/>
        </w:rPr>
      </w:pPr>
      <w:r w:rsidRPr="00887EAA">
        <w:rPr>
          <w:b/>
          <w:bCs/>
          <w:color w:val="000000"/>
          <w:sz w:val="24"/>
          <w:szCs w:val="24"/>
        </w:rPr>
        <w:t xml:space="preserve">HUD-52531A and HUD-52531B </w:t>
      </w:r>
      <w:r w:rsidR="00E54EFA">
        <w:rPr>
          <w:b/>
          <w:bCs/>
          <w:color w:val="000000"/>
          <w:sz w:val="24"/>
          <w:szCs w:val="24"/>
        </w:rPr>
        <w:t xml:space="preserve">PBV </w:t>
      </w:r>
      <w:r w:rsidRPr="00887EAA">
        <w:rPr>
          <w:b/>
          <w:bCs/>
          <w:color w:val="000000"/>
          <w:sz w:val="24"/>
          <w:szCs w:val="24"/>
        </w:rPr>
        <w:t xml:space="preserve">Agreement to Enter into a </w:t>
      </w:r>
      <w:r w:rsidR="00E54EFA">
        <w:rPr>
          <w:b/>
          <w:bCs/>
          <w:color w:val="000000"/>
          <w:sz w:val="24"/>
          <w:szCs w:val="24"/>
        </w:rPr>
        <w:t>HAP</w:t>
      </w:r>
      <w:r w:rsidRPr="00887EAA">
        <w:rPr>
          <w:b/>
          <w:bCs/>
          <w:color w:val="000000"/>
          <w:sz w:val="24"/>
          <w:szCs w:val="24"/>
        </w:rPr>
        <w:t xml:space="preserve"> Contract</w:t>
      </w:r>
      <w:r w:rsidR="00C31117">
        <w:rPr>
          <w:color w:val="000000"/>
          <w:sz w:val="24"/>
          <w:szCs w:val="24"/>
        </w:rPr>
        <w:t xml:space="preserve">. </w:t>
      </w:r>
      <w:r w:rsidRPr="00887EAA">
        <w:rPr>
          <w:color w:val="000000"/>
          <w:sz w:val="24"/>
          <w:szCs w:val="24"/>
        </w:rPr>
        <w:t>To comply with recent executive orders, conform with the Department of Labor’s current regulatory language found at 29 CFR 5.5, and conform with changes made in the HOTMA Voucher Final Rule, including those changes to 24 CFR 983.3 (definitions), 983.51 (selection), 983.56 (environmental review), 983.57 (PHA-owned units), 983.153 (development requirements), 983.154 (development agreement), 983.155 (completion of work), 983.156 (acceptance of completed units), 983.251 (how participants are selected).</w:t>
      </w:r>
      <w:r>
        <w:rPr>
          <w:color w:val="000000"/>
          <w:sz w:val="24"/>
          <w:szCs w:val="24"/>
        </w:rPr>
        <w:br/>
        <w:t>HUD 52531A Part 1</w:t>
      </w:r>
      <w:r w:rsidR="00856D8A">
        <w:rPr>
          <w:color w:val="000000"/>
          <w:sz w:val="24"/>
          <w:szCs w:val="24"/>
        </w:rPr>
        <w:t>, HUD 52531B Part 2</w:t>
      </w:r>
      <w:r>
        <w:rPr>
          <w:color w:val="000000"/>
          <w:sz w:val="24"/>
          <w:szCs w:val="24"/>
        </w:rPr>
        <w:t xml:space="preserve">: </w:t>
      </w:r>
      <w:r>
        <w:rPr>
          <w:color w:val="333333"/>
          <w:highlight w:val="white"/>
        </w:rPr>
        <w:t xml:space="preserve">We have removed reference to the revoked Executive Order 11246 (as amended), in acknowledgment of the proposed rule </w:t>
      </w:r>
      <w:hyperlink r:id="rId12" w:history="1">
        <w:r w:rsidRPr="00E14C5D">
          <w:rPr>
            <w:rStyle w:val="Hyperlink"/>
          </w:rPr>
          <w:t>Federal Register :: Rescission of Executive Order 11246 Implementing Regulations</w:t>
        </w:r>
      </w:hyperlink>
      <w:r>
        <w:rPr>
          <w:color w:val="333333"/>
          <w:highlight w:val="white"/>
        </w:rPr>
        <w:t xml:space="preserve"> at 90 FR 28472 (Jul. 1, 2025) that provide: “On January 21, 2025, President Trump issued </w:t>
      </w:r>
      <w:hyperlink r:id="rId13" w:history="1">
        <w:r w:rsidRPr="00E14C5D">
          <w:rPr>
            <w:rStyle w:val="Hyperlink"/>
          </w:rPr>
          <w:t>E.O. 14173</w:t>
        </w:r>
      </w:hyperlink>
      <w:r>
        <w:rPr>
          <w:color w:val="333333"/>
          <w:highlight w:val="white"/>
        </w:rPr>
        <w:t xml:space="preserve">, “Ending Illegal Discrimination and Restoring Merit-Based Opportunity,” </w:t>
      </w:r>
      <w:hyperlink r:id="rId14" w:history="1">
        <w:r w:rsidRPr="00E14C5D">
          <w:rPr>
            <w:rStyle w:val="Hyperlink"/>
          </w:rPr>
          <w:t>90 FR 8633</w:t>
        </w:r>
      </w:hyperlink>
      <w:r>
        <w:rPr>
          <w:color w:val="333333"/>
          <w:highlight w:val="white"/>
        </w:rPr>
        <w:t xml:space="preserve"> (Jan. 31, 2025). In addition to revoking </w:t>
      </w:r>
      <w:hyperlink r:id="rId15" w:history="1">
        <w:r w:rsidRPr="00E14C5D">
          <w:rPr>
            <w:rStyle w:val="Hyperlink"/>
          </w:rPr>
          <w:t>E.O. 11246</w:t>
        </w:r>
      </w:hyperlink>
      <w:r>
        <w:rPr>
          <w:color w:val="333333"/>
          <w:highlight w:val="white"/>
        </w:rPr>
        <w:t xml:space="preserve">, </w:t>
      </w:r>
      <w:hyperlink r:id="rId13" w:history="1">
        <w:r w:rsidRPr="00E14C5D">
          <w:rPr>
            <w:rStyle w:val="Hyperlink"/>
          </w:rPr>
          <w:t>E.O. 14173</w:t>
        </w:r>
      </w:hyperlink>
      <w:r>
        <w:rPr>
          <w:color w:val="333333"/>
          <w:highlight w:val="white"/>
        </w:rPr>
        <w:t xml:space="preserve"> directed DOL to immediately cease the following: promoting “diversity,” holding Federal contractors and subcontractors responsible for taking “affirmative action,” and allowing or encouraging Federal contractors and subcontractors to engage in workforce balancing based on race, color, sex, sexual preference, religion, or national origin. </w:t>
      </w:r>
      <w:r>
        <w:rPr>
          <w:i/>
          <w:iCs/>
          <w:color w:val="333333"/>
          <w:highlight w:val="white"/>
        </w:rPr>
        <w:t>Id.</w:t>
      </w:r>
      <w:r>
        <w:rPr>
          <w:color w:val="333333"/>
          <w:highlight w:val="white"/>
        </w:rPr>
        <w:t xml:space="preserve"> at 8634. Accordingly, DOL has determined that it must rescind the regulations at </w:t>
      </w:r>
      <w:hyperlink r:id="rId16" w:history="1">
        <w:r w:rsidRPr="00E14C5D">
          <w:rPr>
            <w:rStyle w:val="Hyperlink"/>
          </w:rPr>
          <w:t>41 CFR parts 60-1</w:t>
        </w:r>
      </w:hyperlink>
      <w:r>
        <w:rPr>
          <w:color w:val="333333"/>
          <w:highlight w:val="white"/>
        </w:rPr>
        <w:t xml:space="preserve">, </w:t>
      </w:r>
      <w:hyperlink r:id="rId17" w:history="1">
        <w:r w:rsidRPr="00E14C5D">
          <w:rPr>
            <w:rStyle w:val="Hyperlink"/>
          </w:rPr>
          <w:t>60-2</w:t>
        </w:r>
      </w:hyperlink>
      <w:r>
        <w:rPr>
          <w:color w:val="333333"/>
          <w:highlight w:val="white"/>
        </w:rPr>
        <w:t xml:space="preserve">, </w:t>
      </w:r>
      <w:hyperlink r:id="rId18" w:history="1">
        <w:r w:rsidRPr="00E14C5D">
          <w:rPr>
            <w:rStyle w:val="Hyperlink"/>
          </w:rPr>
          <w:t>60-3</w:t>
        </w:r>
      </w:hyperlink>
      <w:r>
        <w:rPr>
          <w:color w:val="333333"/>
          <w:highlight w:val="white"/>
        </w:rPr>
        <w:t xml:space="preserve">, </w:t>
      </w:r>
      <w:hyperlink r:id="rId19" w:history="1">
        <w:r w:rsidRPr="00E14C5D">
          <w:rPr>
            <w:rStyle w:val="Hyperlink"/>
          </w:rPr>
          <w:t>60-4</w:t>
        </w:r>
      </w:hyperlink>
      <w:r>
        <w:rPr>
          <w:color w:val="333333"/>
          <w:highlight w:val="white"/>
        </w:rPr>
        <w:t xml:space="preserve">, </w:t>
      </w:r>
      <w:hyperlink r:id="rId20" w:history="1">
        <w:r w:rsidRPr="00E14C5D">
          <w:rPr>
            <w:rStyle w:val="Hyperlink"/>
          </w:rPr>
          <w:t>60-20</w:t>
        </w:r>
      </w:hyperlink>
      <w:r>
        <w:rPr>
          <w:color w:val="333333"/>
          <w:highlight w:val="white"/>
        </w:rPr>
        <w:t xml:space="preserve">, </w:t>
      </w:r>
      <w:hyperlink r:id="rId21" w:history="1">
        <w:r w:rsidRPr="00E14C5D">
          <w:rPr>
            <w:rStyle w:val="Hyperlink"/>
          </w:rPr>
          <w:t>60-40</w:t>
        </w:r>
      </w:hyperlink>
      <w:r>
        <w:rPr>
          <w:color w:val="333333"/>
          <w:highlight w:val="white"/>
        </w:rPr>
        <w:t xml:space="preserve">, and </w:t>
      </w:r>
      <w:hyperlink r:id="rId22" w:history="1">
        <w:r w:rsidRPr="00E14C5D">
          <w:rPr>
            <w:rStyle w:val="Hyperlink"/>
          </w:rPr>
          <w:t>60-50</w:t>
        </w:r>
      </w:hyperlink>
      <w:r>
        <w:rPr>
          <w:color w:val="333333"/>
          <w:highlight w:val="white"/>
        </w:rPr>
        <w:t xml:space="preserve"> which were promulgated under the authority of </w:t>
      </w:r>
      <w:hyperlink r:id="rId15" w:history="1">
        <w:r w:rsidRPr="00E14C5D">
          <w:rPr>
            <w:rStyle w:val="Hyperlink"/>
          </w:rPr>
          <w:t>E.O. 11246</w:t>
        </w:r>
      </w:hyperlink>
      <w:r>
        <w:rPr>
          <w:color w:val="333333"/>
          <w:highlight w:val="white"/>
        </w:rPr>
        <w:t xml:space="preserve">.”  We have left reference to “applicable regulations at 41 CFR chapter 60” since the final rule is not yet published and indicates some provisions of chapter 60 will remain in effect.  We </w:t>
      </w:r>
      <w:r>
        <w:rPr>
          <w:color w:val="333333"/>
          <w:highlight w:val="white"/>
        </w:rPr>
        <w:t>defer</w:t>
      </w:r>
      <w:r>
        <w:rPr>
          <w:color w:val="333333"/>
          <w:highlight w:val="white"/>
        </w:rPr>
        <w:t xml:space="preserve"> to OMB, in consultation with DOL, as to any changes that may be required.</w:t>
      </w:r>
    </w:p>
    <w:p w:rsidR="00DA153A" w:rsidRPr="00887EAA" w:rsidP="00DA153A" w14:paraId="04DEB1A3" w14:textId="787FAF0D">
      <w:pPr>
        <w:tabs>
          <w:tab w:val="left" w:pos="-720"/>
        </w:tabs>
        <w:suppressAutoHyphens/>
        <w:spacing w:after="180"/>
        <w:ind w:left="360"/>
        <w:rPr>
          <w:color w:val="000000"/>
          <w:sz w:val="24"/>
          <w:szCs w:val="24"/>
        </w:rPr>
      </w:pPr>
    </w:p>
    <w:p w:rsidR="006067F9" w:rsidRPr="00887EAA" w:rsidP="00BA7857" w14:paraId="27AB671C" w14:textId="1AB3DC89">
      <w:pPr>
        <w:tabs>
          <w:tab w:val="left" w:pos="-720"/>
        </w:tabs>
        <w:suppressAutoHyphens/>
        <w:spacing w:after="180"/>
        <w:ind w:left="360"/>
        <w:rPr>
          <w:color w:val="000000"/>
          <w:sz w:val="24"/>
          <w:szCs w:val="24"/>
        </w:rPr>
      </w:pPr>
      <w:r w:rsidRPr="00887EAA">
        <w:rPr>
          <w:b/>
          <w:bCs/>
          <w:color w:val="000000"/>
          <w:sz w:val="24"/>
          <w:szCs w:val="24"/>
        </w:rPr>
        <w:t>HUD-52578B PBV Statement of Family Responsibilit</w:t>
      </w:r>
      <w:r w:rsidR="00C31117">
        <w:rPr>
          <w:b/>
          <w:bCs/>
          <w:color w:val="000000"/>
          <w:sz w:val="24"/>
          <w:szCs w:val="24"/>
        </w:rPr>
        <w:t>y.</w:t>
      </w:r>
      <w:r w:rsidRPr="00887EAA">
        <w:rPr>
          <w:color w:val="000000"/>
          <w:sz w:val="24"/>
          <w:szCs w:val="24"/>
        </w:rPr>
        <w:t xml:space="preserve"> Edited to comply with recent executive orders and address typos and conform with changes made in the HOTMA Voucher Final Rule, including those changes to 983.252 (PHA information for selected family), 983.261 (family right to move).</w:t>
      </w:r>
    </w:p>
    <w:p w:rsidR="006067F9" w:rsidRPr="00887EAA" w:rsidP="00C76E93" w14:paraId="759F7582" w14:textId="42B0A638">
      <w:pPr>
        <w:pBdr>
          <w:top w:val="single" w:sz="4" w:space="1" w:color="auto"/>
          <w:bottom w:val="single" w:sz="4" w:space="1" w:color="auto"/>
        </w:pBdr>
        <w:tabs>
          <w:tab w:val="left" w:pos="-720"/>
        </w:tabs>
        <w:suppressAutoHyphens/>
        <w:spacing w:after="180"/>
        <w:ind w:left="360"/>
        <w:rPr>
          <w:b/>
          <w:bCs/>
          <w:color w:val="000000"/>
          <w:sz w:val="24"/>
          <w:szCs w:val="24"/>
        </w:rPr>
      </w:pPr>
      <w:r w:rsidRPr="00887EAA">
        <w:rPr>
          <w:b/>
          <w:bCs/>
          <w:color w:val="000000"/>
          <w:sz w:val="24"/>
          <w:szCs w:val="24"/>
        </w:rPr>
        <w:t>New HUD Forms</w:t>
      </w:r>
      <w:r w:rsidRPr="00887EAA">
        <w:rPr>
          <w:b/>
          <w:bCs/>
          <w:color w:val="000000"/>
          <w:sz w:val="24"/>
          <w:szCs w:val="24"/>
        </w:rPr>
        <w:tab/>
      </w:r>
    </w:p>
    <w:p w:rsidR="006067F9" w:rsidRPr="00887EAA" w:rsidP="00BA7857" w14:paraId="016C025A" w14:textId="10FF07F5">
      <w:pPr>
        <w:tabs>
          <w:tab w:val="left" w:pos="-720"/>
        </w:tabs>
        <w:suppressAutoHyphens/>
        <w:spacing w:after="180"/>
        <w:ind w:left="360"/>
        <w:rPr>
          <w:color w:val="000000"/>
          <w:sz w:val="24"/>
          <w:szCs w:val="24"/>
        </w:rPr>
      </w:pPr>
      <w:r w:rsidRPr="00887EAA">
        <w:rPr>
          <w:color w:val="000000"/>
          <w:sz w:val="24"/>
          <w:szCs w:val="24"/>
        </w:rPr>
        <w:t xml:space="preserve">The following new forms were created pursuant to the HOTMA Voucher Final Rule published on May 7, 2024 (89 FR 38224): </w:t>
      </w:r>
      <w:r w:rsidR="00115DD0">
        <w:rPr>
          <w:color w:val="000000"/>
          <w:sz w:val="24"/>
          <w:szCs w:val="24"/>
        </w:rPr>
        <w:t xml:space="preserve">HAP Contract Part C - </w:t>
      </w:r>
      <w:r w:rsidRPr="00887EAA">
        <w:rPr>
          <w:color w:val="000000"/>
          <w:sz w:val="24"/>
          <w:szCs w:val="24"/>
        </w:rPr>
        <w:t>Tenancy Addendum</w:t>
      </w:r>
      <w:r w:rsidR="00514672">
        <w:rPr>
          <w:color w:val="000000"/>
          <w:sz w:val="24"/>
          <w:szCs w:val="24"/>
        </w:rPr>
        <w:t xml:space="preserve"> -</w:t>
      </w:r>
      <w:r w:rsidRPr="00887EAA">
        <w:rPr>
          <w:color w:val="000000"/>
          <w:sz w:val="24"/>
          <w:szCs w:val="24"/>
        </w:rPr>
        <w:t xml:space="preserve"> following termination of </w:t>
      </w:r>
      <w:r w:rsidR="008C3002">
        <w:rPr>
          <w:color w:val="000000"/>
          <w:sz w:val="24"/>
          <w:szCs w:val="24"/>
        </w:rPr>
        <w:t>PBV</w:t>
      </w:r>
      <w:r w:rsidRPr="00887EAA">
        <w:rPr>
          <w:color w:val="000000"/>
          <w:sz w:val="24"/>
          <w:szCs w:val="24"/>
        </w:rPr>
        <w:t xml:space="preserve"> </w:t>
      </w:r>
      <w:r w:rsidR="008C3002">
        <w:rPr>
          <w:color w:val="000000"/>
          <w:sz w:val="24"/>
          <w:szCs w:val="24"/>
        </w:rPr>
        <w:t>A</w:t>
      </w:r>
      <w:r w:rsidRPr="00887EAA">
        <w:rPr>
          <w:color w:val="000000"/>
          <w:sz w:val="24"/>
          <w:szCs w:val="24"/>
        </w:rPr>
        <w:t xml:space="preserve">ssistance to a </w:t>
      </w:r>
      <w:r w:rsidR="008C3002">
        <w:rPr>
          <w:color w:val="000000"/>
          <w:sz w:val="24"/>
          <w:szCs w:val="24"/>
        </w:rPr>
        <w:t>P</w:t>
      </w:r>
      <w:r w:rsidRPr="00887EAA">
        <w:rPr>
          <w:color w:val="000000"/>
          <w:sz w:val="24"/>
          <w:szCs w:val="24"/>
        </w:rPr>
        <w:t>roject, PHA-owned Certification</w:t>
      </w:r>
      <w:r w:rsidR="008C3002">
        <w:rPr>
          <w:color w:val="000000"/>
          <w:sz w:val="24"/>
          <w:szCs w:val="24"/>
        </w:rPr>
        <w:t xml:space="preserve"> -</w:t>
      </w:r>
      <w:r w:rsidRPr="00887EAA">
        <w:rPr>
          <w:color w:val="000000"/>
          <w:sz w:val="24"/>
          <w:szCs w:val="24"/>
        </w:rPr>
        <w:t xml:space="preserve"> Tenant-based Assistance, </w:t>
      </w:r>
      <w:r w:rsidR="008C3002">
        <w:rPr>
          <w:color w:val="000000"/>
          <w:sz w:val="24"/>
          <w:szCs w:val="24"/>
        </w:rPr>
        <w:t xml:space="preserve">PBV </w:t>
      </w:r>
      <w:r w:rsidRPr="00887EAA">
        <w:rPr>
          <w:color w:val="000000"/>
          <w:sz w:val="24"/>
          <w:szCs w:val="24"/>
        </w:rPr>
        <w:t xml:space="preserve">PHA-owned Agreement Certification </w:t>
      </w:r>
      <w:r w:rsidRPr="00F304C2" w:rsidR="008E076B">
        <w:rPr>
          <w:color w:val="000000"/>
          <w:sz w:val="24"/>
          <w:szCs w:val="24"/>
        </w:rPr>
        <w:t xml:space="preserve">New Construction or Rehabilitation </w:t>
      </w:r>
      <w:r w:rsidRPr="00887EAA">
        <w:rPr>
          <w:color w:val="000000"/>
          <w:sz w:val="24"/>
          <w:szCs w:val="24"/>
        </w:rPr>
        <w:t xml:space="preserve">Part 1 and Part 2, PBV PHA-owned Certification </w:t>
      </w:r>
      <w:r w:rsidR="008E076B">
        <w:rPr>
          <w:color w:val="000000"/>
          <w:sz w:val="24"/>
          <w:szCs w:val="24"/>
        </w:rPr>
        <w:t xml:space="preserve">- </w:t>
      </w:r>
      <w:r w:rsidRPr="00887EAA">
        <w:rPr>
          <w:color w:val="000000"/>
          <w:sz w:val="24"/>
          <w:szCs w:val="24"/>
        </w:rPr>
        <w:t>Existing Housing Part 1 &amp; 2, PBV PHA-owned Certification</w:t>
      </w:r>
      <w:r w:rsidR="00B56B83">
        <w:rPr>
          <w:color w:val="000000"/>
          <w:sz w:val="24"/>
          <w:szCs w:val="24"/>
        </w:rPr>
        <w:t xml:space="preserve"> -</w:t>
      </w:r>
      <w:r w:rsidRPr="00887EAA">
        <w:rPr>
          <w:color w:val="000000"/>
          <w:sz w:val="24"/>
          <w:szCs w:val="24"/>
        </w:rPr>
        <w:t xml:space="preserve"> New Construction or Rehabilitat</w:t>
      </w:r>
      <w:r w:rsidR="00B56B83">
        <w:rPr>
          <w:color w:val="000000"/>
          <w:sz w:val="24"/>
          <w:szCs w:val="24"/>
        </w:rPr>
        <w:t>ion</w:t>
      </w:r>
      <w:r w:rsidRPr="00887EAA">
        <w:rPr>
          <w:color w:val="000000"/>
          <w:sz w:val="24"/>
          <w:szCs w:val="24"/>
        </w:rPr>
        <w:t xml:space="preserve"> Part 1 and Part 2, PBV </w:t>
      </w:r>
      <w:r w:rsidRPr="00887EAA" w:rsidR="00B56B83">
        <w:rPr>
          <w:color w:val="000000"/>
          <w:sz w:val="24"/>
          <w:szCs w:val="24"/>
        </w:rPr>
        <w:t xml:space="preserve">HAP Contract Rider </w:t>
      </w:r>
      <w:r w:rsidR="00B56B83">
        <w:rPr>
          <w:color w:val="000000"/>
          <w:sz w:val="24"/>
          <w:szCs w:val="24"/>
        </w:rPr>
        <w:t xml:space="preserve">- </w:t>
      </w:r>
      <w:r w:rsidRPr="00887EAA">
        <w:rPr>
          <w:color w:val="000000"/>
          <w:sz w:val="24"/>
          <w:szCs w:val="24"/>
        </w:rPr>
        <w:t>Rehabilitated Housing</w:t>
      </w:r>
      <w:r w:rsidR="00B56B83">
        <w:rPr>
          <w:color w:val="000000"/>
          <w:sz w:val="24"/>
          <w:szCs w:val="24"/>
        </w:rPr>
        <w:t>,</w:t>
      </w:r>
      <w:r w:rsidRPr="00887EAA">
        <w:rPr>
          <w:color w:val="000000"/>
          <w:sz w:val="24"/>
          <w:szCs w:val="24"/>
        </w:rPr>
        <w:t xml:space="preserve"> </w:t>
      </w:r>
      <w:r w:rsidR="00B56B83">
        <w:rPr>
          <w:color w:val="000000"/>
          <w:sz w:val="24"/>
          <w:szCs w:val="24"/>
        </w:rPr>
        <w:t xml:space="preserve">PBV </w:t>
      </w:r>
      <w:r w:rsidRPr="00887EAA" w:rsidR="00B56B83">
        <w:rPr>
          <w:color w:val="000000"/>
          <w:sz w:val="24"/>
          <w:szCs w:val="24"/>
        </w:rPr>
        <w:t xml:space="preserve">PHA-owned Certification Rider </w:t>
      </w:r>
      <w:r w:rsidR="00B56B83">
        <w:rPr>
          <w:color w:val="000000"/>
          <w:sz w:val="24"/>
          <w:szCs w:val="24"/>
        </w:rPr>
        <w:t xml:space="preserve">- </w:t>
      </w:r>
      <w:r w:rsidRPr="00887EAA">
        <w:rPr>
          <w:color w:val="000000"/>
          <w:sz w:val="24"/>
          <w:szCs w:val="24"/>
        </w:rPr>
        <w:t>Rehabilitated Housing.</w:t>
      </w:r>
    </w:p>
    <w:p w:rsidR="006067F9" w:rsidRPr="00887EAA" w:rsidP="00BA7857" w14:paraId="27A2EF91" w14:textId="7DB558A2">
      <w:pPr>
        <w:tabs>
          <w:tab w:val="left" w:pos="-720"/>
        </w:tabs>
        <w:suppressAutoHyphens/>
        <w:spacing w:after="180"/>
        <w:ind w:left="360"/>
        <w:rPr>
          <w:sz w:val="24"/>
          <w:szCs w:val="24"/>
        </w:rPr>
      </w:pPr>
      <w:r>
        <w:rPr>
          <w:b/>
          <w:bCs/>
          <w:sz w:val="24"/>
          <w:szCs w:val="24"/>
        </w:rPr>
        <w:t xml:space="preserve">HAP Contract Part C - </w:t>
      </w:r>
      <w:r w:rsidRPr="00887EAA">
        <w:rPr>
          <w:b/>
          <w:bCs/>
          <w:sz w:val="24"/>
          <w:szCs w:val="24"/>
        </w:rPr>
        <w:t>Tenancy Addendum</w:t>
      </w:r>
      <w:r w:rsidR="00E00562">
        <w:rPr>
          <w:b/>
          <w:bCs/>
          <w:sz w:val="24"/>
          <w:szCs w:val="24"/>
        </w:rPr>
        <w:t xml:space="preserve"> -</w:t>
      </w:r>
      <w:r w:rsidRPr="00887EAA">
        <w:rPr>
          <w:sz w:val="24"/>
          <w:szCs w:val="24"/>
        </w:rPr>
        <w:t xml:space="preserve"> </w:t>
      </w:r>
      <w:r w:rsidR="00E00562">
        <w:rPr>
          <w:b/>
          <w:bCs/>
          <w:sz w:val="24"/>
          <w:szCs w:val="24"/>
        </w:rPr>
        <w:t>F</w:t>
      </w:r>
      <w:r w:rsidRPr="00887EAA">
        <w:rPr>
          <w:b/>
          <w:bCs/>
          <w:sz w:val="24"/>
          <w:szCs w:val="24"/>
        </w:rPr>
        <w:t xml:space="preserve">ollowing </w:t>
      </w:r>
      <w:r w:rsidR="00E00562">
        <w:rPr>
          <w:b/>
          <w:bCs/>
          <w:sz w:val="24"/>
          <w:szCs w:val="24"/>
        </w:rPr>
        <w:t>T</w:t>
      </w:r>
      <w:r w:rsidRPr="00887EAA">
        <w:rPr>
          <w:b/>
          <w:bCs/>
          <w:sz w:val="24"/>
          <w:szCs w:val="24"/>
        </w:rPr>
        <w:t xml:space="preserve">ermination of </w:t>
      </w:r>
      <w:r w:rsidR="00E00562">
        <w:rPr>
          <w:b/>
          <w:bCs/>
          <w:sz w:val="24"/>
          <w:szCs w:val="24"/>
        </w:rPr>
        <w:t>PBV</w:t>
      </w:r>
      <w:r w:rsidRPr="00887EAA">
        <w:rPr>
          <w:b/>
          <w:bCs/>
          <w:sz w:val="24"/>
          <w:szCs w:val="24"/>
        </w:rPr>
        <w:t xml:space="preserve"> </w:t>
      </w:r>
      <w:r w:rsidR="00E00562">
        <w:rPr>
          <w:b/>
          <w:bCs/>
          <w:sz w:val="24"/>
          <w:szCs w:val="24"/>
        </w:rPr>
        <w:t>A</w:t>
      </w:r>
      <w:r w:rsidRPr="00887EAA">
        <w:rPr>
          <w:b/>
          <w:bCs/>
          <w:sz w:val="24"/>
          <w:szCs w:val="24"/>
        </w:rPr>
        <w:t xml:space="preserve">ssistance to a </w:t>
      </w:r>
      <w:r w:rsidR="00E00562">
        <w:rPr>
          <w:b/>
          <w:bCs/>
          <w:sz w:val="24"/>
          <w:szCs w:val="24"/>
        </w:rPr>
        <w:t>P</w:t>
      </w:r>
      <w:r w:rsidRPr="00887EAA">
        <w:rPr>
          <w:b/>
          <w:bCs/>
          <w:sz w:val="24"/>
          <w:szCs w:val="24"/>
        </w:rPr>
        <w:t>roject</w:t>
      </w:r>
      <w:r w:rsidRPr="00887EAA">
        <w:rPr>
          <w:sz w:val="24"/>
          <w:szCs w:val="24"/>
        </w:rPr>
        <w:t>. To conform to the HOTMA Voucher Final Rule, this form is a separate tenancy addendum that applies when a family chooses to remain in the unit following the termination of a project-based HAP contract.</w:t>
      </w:r>
    </w:p>
    <w:p w:rsidR="006067F9" w:rsidRPr="00887EAA" w:rsidP="00BA7857" w14:paraId="30CD6259" w14:textId="1D80269C">
      <w:pPr>
        <w:tabs>
          <w:tab w:val="left" w:pos="-720"/>
        </w:tabs>
        <w:suppressAutoHyphens/>
        <w:spacing w:after="180"/>
        <w:ind w:left="360"/>
        <w:rPr>
          <w:sz w:val="24"/>
          <w:szCs w:val="24"/>
        </w:rPr>
      </w:pPr>
      <w:r>
        <w:rPr>
          <w:b/>
          <w:bCs/>
          <w:sz w:val="24"/>
          <w:szCs w:val="24"/>
        </w:rPr>
        <w:t xml:space="preserve"> </w:t>
      </w:r>
      <w:r w:rsidRPr="00887EAA">
        <w:rPr>
          <w:b/>
          <w:bCs/>
          <w:sz w:val="24"/>
          <w:szCs w:val="24"/>
        </w:rPr>
        <w:t>PHA-owned Certification</w:t>
      </w:r>
      <w:r>
        <w:rPr>
          <w:b/>
          <w:bCs/>
          <w:sz w:val="24"/>
          <w:szCs w:val="24"/>
        </w:rPr>
        <w:t xml:space="preserve"> -</w:t>
      </w:r>
      <w:r w:rsidRPr="00887EAA">
        <w:rPr>
          <w:b/>
          <w:bCs/>
          <w:sz w:val="24"/>
          <w:szCs w:val="24"/>
        </w:rPr>
        <w:t xml:space="preserve"> Tenant-based Assistance</w:t>
      </w:r>
      <w:r w:rsidR="00DB70A5">
        <w:rPr>
          <w:b/>
          <w:bCs/>
          <w:sz w:val="24"/>
          <w:szCs w:val="24"/>
        </w:rPr>
        <w:t>.</w:t>
      </w:r>
      <w:r w:rsidRPr="00887EAA">
        <w:rPr>
          <w:sz w:val="24"/>
          <w:szCs w:val="24"/>
        </w:rPr>
        <w:t xml:space="preserve"> The HOTMA Voucher Final Rule establishes regulations permitting a PHA to execute a HUD-prescribed certification in lieu of a HAP Contract for a PHA-owned unit. The final rule provides that the PHA-owned certification obligates the PHA, as the owner, to all of the requirements of the HAP contract (24 CFR 982.451(c)) (to become effective upon publication of this form per 89 FR 38224 (May 7, 2024).</w:t>
      </w:r>
    </w:p>
    <w:p w:rsidR="006067F9" w:rsidP="00BA7857" w14:paraId="5242B90D" w14:textId="1B53D93F">
      <w:pPr>
        <w:tabs>
          <w:tab w:val="left" w:pos="-720"/>
        </w:tabs>
        <w:suppressAutoHyphens/>
        <w:spacing w:after="180"/>
        <w:ind w:left="360"/>
        <w:rPr>
          <w:sz w:val="24"/>
          <w:szCs w:val="24"/>
        </w:rPr>
      </w:pPr>
      <w:r>
        <w:rPr>
          <w:b/>
          <w:bCs/>
          <w:sz w:val="24"/>
          <w:szCs w:val="24"/>
        </w:rPr>
        <w:t xml:space="preserve">PBV </w:t>
      </w:r>
      <w:r w:rsidRPr="00887EAA">
        <w:rPr>
          <w:b/>
          <w:bCs/>
          <w:sz w:val="24"/>
          <w:szCs w:val="24"/>
        </w:rPr>
        <w:t>PHA-owned Agreement Certification</w:t>
      </w:r>
      <w:r>
        <w:rPr>
          <w:b/>
          <w:bCs/>
          <w:sz w:val="24"/>
          <w:szCs w:val="24"/>
        </w:rPr>
        <w:t xml:space="preserve"> -</w:t>
      </w:r>
      <w:r w:rsidR="0051514E">
        <w:rPr>
          <w:b/>
          <w:bCs/>
          <w:sz w:val="24"/>
          <w:szCs w:val="24"/>
        </w:rPr>
        <w:t xml:space="preserve"> </w:t>
      </w:r>
      <w:r>
        <w:rPr>
          <w:b/>
          <w:bCs/>
          <w:sz w:val="24"/>
          <w:szCs w:val="24"/>
        </w:rPr>
        <w:t>New Construction or Rehabilitation</w:t>
      </w:r>
      <w:r w:rsidRPr="00887EAA">
        <w:rPr>
          <w:b/>
          <w:bCs/>
          <w:sz w:val="24"/>
          <w:szCs w:val="24"/>
        </w:rPr>
        <w:t xml:space="preserve"> Part 1 and Part 2</w:t>
      </w:r>
      <w:r w:rsidR="00DB70A5">
        <w:rPr>
          <w:b/>
          <w:bCs/>
          <w:sz w:val="24"/>
          <w:szCs w:val="24"/>
        </w:rPr>
        <w:t>.</w:t>
      </w:r>
      <w:r w:rsidRPr="00887EAA">
        <w:rPr>
          <w:sz w:val="24"/>
          <w:szCs w:val="24"/>
        </w:rPr>
        <w:t xml:space="preserve"> The HOTMA Voucher Final Rule establishes regulations permitting a PHA to execute HUD-prescribed certifications in lieu of an AHAP. The PHA-owned agreement certification serves as the equivalent of the AHAP, and subjects the PHA, as owner, to all of the requirements of the AHAP contained in part 983. Where the PHA has elected to use the PHA-owned agreement certification, all references to the AHAP throughout part 983 must be interpreted to be references to the PHA-owned agreement certification. 24 CFR 983.154</w:t>
      </w:r>
    </w:p>
    <w:p w:rsidR="000C5FAE" w:rsidP="00BA7857" w14:paraId="1C1451BD" w14:textId="38177192">
      <w:pPr>
        <w:tabs>
          <w:tab w:val="left" w:pos="-720"/>
        </w:tabs>
        <w:suppressAutoHyphens/>
        <w:spacing w:after="180"/>
        <w:ind w:left="360"/>
        <w:rPr>
          <w:sz w:val="24"/>
          <w:szCs w:val="24"/>
        </w:rPr>
      </w:pPr>
      <w:r>
        <w:rPr>
          <w:sz w:val="24"/>
          <w:szCs w:val="24"/>
        </w:rPr>
        <w:t>Part 1</w:t>
      </w:r>
      <w:r w:rsidR="00CC5292">
        <w:rPr>
          <w:sz w:val="24"/>
          <w:szCs w:val="24"/>
        </w:rPr>
        <w:t xml:space="preserve"> and 2</w:t>
      </w:r>
      <w:r>
        <w:rPr>
          <w:sz w:val="24"/>
          <w:szCs w:val="24"/>
        </w:rPr>
        <w:t xml:space="preserve">: </w:t>
      </w:r>
      <w:r w:rsidRPr="00E255C1">
        <w:rPr>
          <w:sz w:val="24"/>
          <w:szCs w:val="24"/>
        </w:rPr>
        <w:t xml:space="preserve">We have removed reference to the revoked Executive Order 11246 (as amended), in acknowledgment of the proposed rule </w:t>
      </w:r>
      <w:hyperlink r:id="rId12" w:history="1">
        <w:r w:rsidRPr="00E255C1">
          <w:rPr>
            <w:rStyle w:val="Hyperlink"/>
            <w:sz w:val="24"/>
            <w:szCs w:val="24"/>
          </w:rPr>
          <w:t>Federal Register :: Rescission of Executive Order 11246 Implementing Regulations</w:t>
        </w:r>
      </w:hyperlink>
      <w:r w:rsidRPr="00E255C1">
        <w:rPr>
          <w:sz w:val="24"/>
          <w:szCs w:val="24"/>
        </w:rPr>
        <w:t xml:space="preserve"> at 90 FR 28472 (Jul. 1, 2025) that provide: “On January 21, 2025, President Trump issued </w:t>
      </w:r>
      <w:hyperlink r:id="rId13" w:history="1">
        <w:r w:rsidRPr="00E255C1">
          <w:rPr>
            <w:rStyle w:val="Hyperlink"/>
            <w:sz w:val="24"/>
            <w:szCs w:val="24"/>
          </w:rPr>
          <w:t>E.O. 14173</w:t>
        </w:r>
      </w:hyperlink>
      <w:r w:rsidRPr="00E255C1">
        <w:rPr>
          <w:sz w:val="24"/>
          <w:szCs w:val="24"/>
        </w:rPr>
        <w:t xml:space="preserve">, “Ending Illegal Discrimination and Restoring Merit-Based Opportunity,” </w:t>
      </w:r>
      <w:hyperlink r:id="rId14" w:history="1">
        <w:r w:rsidRPr="00E255C1">
          <w:rPr>
            <w:rStyle w:val="Hyperlink"/>
            <w:sz w:val="24"/>
            <w:szCs w:val="24"/>
          </w:rPr>
          <w:t>90 FR 8633</w:t>
        </w:r>
      </w:hyperlink>
      <w:r w:rsidRPr="00E255C1">
        <w:rPr>
          <w:sz w:val="24"/>
          <w:szCs w:val="24"/>
        </w:rPr>
        <w:t xml:space="preserve"> (Jan. 31, 2025). In addition to revoking </w:t>
      </w:r>
      <w:hyperlink r:id="rId15" w:history="1">
        <w:r w:rsidRPr="00E255C1">
          <w:rPr>
            <w:rStyle w:val="Hyperlink"/>
            <w:sz w:val="24"/>
            <w:szCs w:val="24"/>
          </w:rPr>
          <w:t>E.O. 11246</w:t>
        </w:r>
      </w:hyperlink>
      <w:r w:rsidRPr="00E255C1">
        <w:rPr>
          <w:sz w:val="24"/>
          <w:szCs w:val="24"/>
        </w:rPr>
        <w:t xml:space="preserve">, </w:t>
      </w:r>
      <w:hyperlink r:id="rId13" w:history="1">
        <w:r w:rsidRPr="00E255C1">
          <w:rPr>
            <w:rStyle w:val="Hyperlink"/>
            <w:sz w:val="24"/>
            <w:szCs w:val="24"/>
          </w:rPr>
          <w:t>E.O. 14173</w:t>
        </w:r>
      </w:hyperlink>
      <w:r w:rsidRPr="00E255C1">
        <w:rPr>
          <w:sz w:val="24"/>
          <w:szCs w:val="24"/>
        </w:rPr>
        <w:t xml:space="preserve"> directed DOL to immediately cease the following: promoting “diversity,” holding Federal contractors and subcontractors responsible for taking “affirmative action,” and allowing or encouraging Federal contractors and subcontractors to engage in workforce balancing based on race, color, sex, sexual preference, religion, or national origin. </w:t>
      </w:r>
      <w:r w:rsidRPr="00E255C1">
        <w:rPr>
          <w:i/>
          <w:iCs/>
          <w:sz w:val="24"/>
          <w:szCs w:val="24"/>
        </w:rPr>
        <w:t>Id.</w:t>
      </w:r>
      <w:r w:rsidRPr="00E255C1">
        <w:rPr>
          <w:sz w:val="24"/>
          <w:szCs w:val="24"/>
        </w:rPr>
        <w:t xml:space="preserve"> at 8634. Accordingly, DOL has determined that it must rescind the regulations at </w:t>
      </w:r>
      <w:hyperlink r:id="rId16" w:history="1">
        <w:r w:rsidRPr="00E255C1">
          <w:rPr>
            <w:rStyle w:val="Hyperlink"/>
            <w:sz w:val="24"/>
            <w:szCs w:val="24"/>
          </w:rPr>
          <w:t>41 CFR parts 60-1</w:t>
        </w:r>
      </w:hyperlink>
      <w:r w:rsidRPr="00E255C1">
        <w:rPr>
          <w:sz w:val="24"/>
          <w:szCs w:val="24"/>
        </w:rPr>
        <w:t xml:space="preserve">, </w:t>
      </w:r>
      <w:hyperlink r:id="rId17" w:history="1">
        <w:r w:rsidRPr="00E255C1">
          <w:rPr>
            <w:rStyle w:val="Hyperlink"/>
            <w:sz w:val="24"/>
            <w:szCs w:val="24"/>
          </w:rPr>
          <w:t>60-2</w:t>
        </w:r>
      </w:hyperlink>
      <w:r w:rsidRPr="00E255C1">
        <w:rPr>
          <w:sz w:val="24"/>
          <w:szCs w:val="24"/>
        </w:rPr>
        <w:t xml:space="preserve">, </w:t>
      </w:r>
      <w:hyperlink r:id="rId18" w:history="1">
        <w:r w:rsidRPr="00E255C1">
          <w:rPr>
            <w:rStyle w:val="Hyperlink"/>
            <w:sz w:val="24"/>
            <w:szCs w:val="24"/>
          </w:rPr>
          <w:t>60-3</w:t>
        </w:r>
      </w:hyperlink>
      <w:r w:rsidRPr="00E255C1">
        <w:rPr>
          <w:sz w:val="24"/>
          <w:szCs w:val="24"/>
        </w:rPr>
        <w:t xml:space="preserve">, </w:t>
      </w:r>
      <w:hyperlink r:id="rId19" w:history="1">
        <w:r w:rsidRPr="00E255C1">
          <w:rPr>
            <w:rStyle w:val="Hyperlink"/>
            <w:sz w:val="24"/>
            <w:szCs w:val="24"/>
          </w:rPr>
          <w:t>60-4</w:t>
        </w:r>
      </w:hyperlink>
      <w:r w:rsidRPr="00E255C1">
        <w:rPr>
          <w:sz w:val="24"/>
          <w:szCs w:val="24"/>
        </w:rPr>
        <w:t xml:space="preserve">, </w:t>
      </w:r>
      <w:hyperlink r:id="rId20" w:history="1">
        <w:r w:rsidRPr="00E255C1">
          <w:rPr>
            <w:rStyle w:val="Hyperlink"/>
            <w:sz w:val="24"/>
            <w:szCs w:val="24"/>
          </w:rPr>
          <w:t>60-20</w:t>
        </w:r>
      </w:hyperlink>
      <w:r w:rsidRPr="00E255C1">
        <w:rPr>
          <w:sz w:val="24"/>
          <w:szCs w:val="24"/>
        </w:rPr>
        <w:t xml:space="preserve">, </w:t>
      </w:r>
      <w:hyperlink r:id="rId21" w:history="1">
        <w:r w:rsidRPr="00E255C1">
          <w:rPr>
            <w:rStyle w:val="Hyperlink"/>
            <w:sz w:val="24"/>
            <w:szCs w:val="24"/>
          </w:rPr>
          <w:t>60-40</w:t>
        </w:r>
      </w:hyperlink>
      <w:r w:rsidRPr="00E255C1">
        <w:rPr>
          <w:sz w:val="24"/>
          <w:szCs w:val="24"/>
        </w:rPr>
        <w:t xml:space="preserve">, and </w:t>
      </w:r>
      <w:hyperlink r:id="rId22" w:history="1">
        <w:r w:rsidRPr="00E255C1">
          <w:rPr>
            <w:rStyle w:val="Hyperlink"/>
            <w:sz w:val="24"/>
            <w:szCs w:val="24"/>
          </w:rPr>
          <w:t>60-50</w:t>
        </w:r>
      </w:hyperlink>
      <w:r w:rsidRPr="00E255C1">
        <w:rPr>
          <w:sz w:val="24"/>
          <w:szCs w:val="24"/>
        </w:rPr>
        <w:t xml:space="preserve"> which were promulgated under the authority of </w:t>
      </w:r>
      <w:hyperlink r:id="rId15" w:history="1">
        <w:r w:rsidRPr="00E255C1">
          <w:rPr>
            <w:rStyle w:val="Hyperlink"/>
            <w:sz w:val="24"/>
            <w:szCs w:val="24"/>
          </w:rPr>
          <w:t>E.O. 11246</w:t>
        </w:r>
      </w:hyperlink>
      <w:r w:rsidRPr="00E255C1">
        <w:rPr>
          <w:sz w:val="24"/>
          <w:szCs w:val="24"/>
        </w:rPr>
        <w:t xml:space="preserve">.” We have left reference to “applicable regulations at 41 CFR chapter 60” since the final rule is not yet published and indicates some provisions of chapter 60 will remain in effect. We </w:t>
      </w:r>
      <w:r w:rsidRPr="00E255C1">
        <w:rPr>
          <w:sz w:val="24"/>
          <w:szCs w:val="24"/>
        </w:rPr>
        <w:t>defer</w:t>
      </w:r>
      <w:r w:rsidRPr="00E255C1">
        <w:rPr>
          <w:sz w:val="24"/>
          <w:szCs w:val="24"/>
        </w:rPr>
        <w:t xml:space="preserve"> to OMB, in consultation with DOL, as to any changes that may be required.</w:t>
      </w:r>
    </w:p>
    <w:p w:rsidR="00DC04A3" w:rsidP="004D47EB" w14:paraId="5CDBCE03" w14:textId="77777777">
      <w:pPr>
        <w:pStyle w:val="CommentText"/>
        <w:ind w:left="360"/>
      </w:pPr>
      <w:r>
        <w:rPr>
          <w:color w:val="333333"/>
          <w:highlight w:val="white"/>
        </w:rPr>
        <w:t xml:space="preserve">We have not included reference to the revoked Executive Order 11246 (as amended)in this new form, in acknowledgment of the proposed rule </w:t>
      </w:r>
      <w:hyperlink r:id="rId23" w:history="1">
        <w:r w:rsidRPr="005B2A12">
          <w:rPr>
            <w:rStyle w:val="Hyperlink"/>
            <w:highlight w:val="white"/>
          </w:rPr>
          <w:t>Prohibiting Illegal Discrimination in Registered Apprenticeship Programs</w:t>
        </w:r>
      </w:hyperlink>
      <w:r>
        <w:rPr>
          <w:color w:val="333333"/>
          <w:highlight w:val="white"/>
        </w:rPr>
        <w:t xml:space="preserve"> at 90 FR 28947  (Jul. 2, 2025).  We have left reference to “applicable regulations at 29 CFR part 30” since the final rule is not yet published.  We </w:t>
      </w:r>
      <w:r>
        <w:rPr>
          <w:color w:val="333333"/>
          <w:highlight w:val="white"/>
        </w:rPr>
        <w:t>defer</w:t>
      </w:r>
      <w:r>
        <w:rPr>
          <w:color w:val="333333"/>
          <w:highlight w:val="white"/>
        </w:rPr>
        <w:t xml:space="preserve"> to OMB, in consultation with DOL, as to any changes that may be required.</w:t>
      </w:r>
    </w:p>
    <w:p w:rsidR="00DC04A3" w:rsidRPr="00887EAA" w:rsidP="00BA7857" w14:paraId="6E047765" w14:textId="77777777">
      <w:pPr>
        <w:tabs>
          <w:tab w:val="left" w:pos="-720"/>
        </w:tabs>
        <w:suppressAutoHyphens/>
        <w:spacing w:after="180"/>
        <w:ind w:left="360"/>
        <w:rPr>
          <w:sz w:val="24"/>
          <w:szCs w:val="24"/>
        </w:rPr>
      </w:pPr>
    </w:p>
    <w:p w:rsidR="006067F9" w:rsidP="00BA7857" w14:paraId="64C1F935" w14:textId="2505B58D">
      <w:pPr>
        <w:tabs>
          <w:tab w:val="left" w:pos="-720"/>
        </w:tabs>
        <w:suppressAutoHyphens/>
        <w:spacing w:after="180"/>
        <w:ind w:left="360"/>
        <w:rPr>
          <w:sz w:val="24"/>
          <w:szCs w:val="24"/>
        </w:rPr>
      </w:pPr>
      <w:r w:rsidRPr="00887EAA">
        <w:rPr>
          <w:b/>
          <w:bCs/>
          <w:sz w:val="24"/>
          <w:szCs w:val="24"/>
        </w:rPr>
        <w:t xml:space="preserve">PBV PHA-owned Certification </w:t>
      </w:r>
      <w:r w:rsidR="0051514E">
        <w:rPr>
          <w:b/>
          <w:bCs/>
          <w:sz w:val="24"/>
          <w:szCs w:val="24"/>
        </w:rPr>
        <w:t>-</w:t>
      </w:r>
      <w:r w:rsidRPr="00887EAA">
        <w:rPr>
          <w:b/>
          <w:bCs/>
          <w:sz w:val="24"/>
          <w:szCs w:val="24"/>
        </w:rPr>
        <w:t xml:space="preserve"> Existing Housing Part 1 &amp; 2</w:t>
      </w:r>
      <w:r w:rsidR="00DB70A5">
        <w:rPr>
          <w:b/>
          <w:bCs/>
          <w:sz w:val="24"/>
          <w:szCs w:val="24"/>
        </w:rPr>
        <w:t>.</w:t>
      </w:r>
      <w:r w:rsidRPr="00887EAA">
        <w:rPr>
          <w:sz w:val="24"/>
          <w:szCs w:val="24"/>
        </w:rPr>
        <w:t xml:space="preserve"> The HOTMA Voucher Final Rule establishes regulations permitting a PHA to execute HUD-prescribed certifications in lieu of a HAP Contract. The PHA-owned certification serves as the equivalent of the HAP contract, and subjects the PHA, as owner, to all of the requirements of the HAP contract contained in parts 982 and 983. Where the PHA has elected to use the PHA-owned certification, all references to the HAP contract throughout parts 982 and 983 must be interpreted to be references to the PHA-owned certification. 24 CFR 983.204</w:t>
      </w:r>
    </w:p>
    <w:p w:rsidR="004D47EB" w:rsidP="00C453BD" w14:paraId="24075CAC" w14:textId="508ACE06">
      <w:pPr>
        <w:pStyle w:val="CommentText"/>
        <w:ind w:left="360"/>
      </w:pPr>
      <w:r>
        <w:rPr>
          <w:color w:val="333333"/>
          <w:highlight w:val="white"/>
        </w:rPr>
        <w:t xml:space="preserve">Part 2: </w:t>
      </w:r>
      <w:r>
        <w:rPr>
          <w:color w:val="333333"/>
          <w:highlight w:val="white"/>
        </w:rPr>
        <w:t xml:space="preserve">We have not included reference to the revoked Executive Order 11246 (as amended) in this new form, in acknowledgment of the proposed rule </w:t>
      </w:r>
      <w:hyperlink r:id="rId12" w:history="1">
        <w:r w:rsidRPr="00EF6331">
          <w:rPr>
            <w:rStyle w:val="Hyperlink"/>
          </w:rPr>
          <w:t>Federal Register :: Rescission of Executive Order 11246 Implementing Regulations</w:t>
        </w:r>
      </w:hyperlink>
      <w:r>
        <w:rPr>
          <w:color w:val="333333"/>
          <w:highlight w:val="white"/>
        </w:rPr>
        <w:t xml:space="preserve"> at 90 FR 28472 (Jul. 1, 2025) that provide: “On January 21, 2025, President Trump issued </w:t>
      </w:r>
      <w:hyperlink r:id="rId13" w:history="1">
        <w:r w:rsidRPr="00EF6331">
          <w:rPr>
            <w:rStyle w:val="Hyperlink"/>
          </w:rPr>
          <w:t>E.O. 14173</w:t>
        </w:r>
      </w:hyperlink>
      <w:r>
        <w:rPr>
          <w:color w:val="333333"/>
          <w:highlight w:val="white"/>
        </w:rPr>
        <w:t xml:space="preserve">, “Ending Illegal Discrimination and Restoring Merit-Based Opportunity,” </w:t>
      </w:r>
      <w:hyperlink r:id="rId14" w:history="1">
        <w:r w:rsidRPr="00EF6331">
          <w:rPr>
            <w:rStyle w:val="Hyperlink"/>
          </w:rPr>
          <w:t>90 FR 8633</w:t>
        </w:r>
      </w:hyperlink>
      <w:r>
        <w:rPr>
          <w:color w:val="333333"/>
          <w:highlight w:val="white"/>
        </w:rPr>
        <w:t xml:space="preserve"> (Jan. 31, 2025). In addition to revoking </w:t>
      </w:r>
      <w:hyperlink r:id="rId15" w:history="1">
        <w:r w:rsidRPr="00EF6331">
          <w:rPr>
            <w:rStyle w:val="Hyperlink"/>
          </w:rPr>
          <w:t>E.O. 11246</w:t>
        </w:r>
      </w:hyperlink>
      <w:r>
        <w:rPr>
          <w:color w:val="333333"/>
          <w:highlight w:val="white"/>
        </w:rPr>
        <w:t xml:space="preserve">, </w:t>
      </w:r>
      <w:hyperlink r:id="rId13" w:history="1">
        <w:r w:rsidRPr="00EF6331">
          <w:rPr>
            <w:rStyle w:val="Hyperlink"/>
          </w:rPr>
          <w:t>E.O. 14173</w:t>
        </w:r>
      </w:hyperlink>
      <w:r>
        <w:rPr>
          <w:color w:val="333333"/>
          <w:highlight w:val="white"/>
        </w:rPr>
        <w:t xml:space="preserve"> directed DOL to immediately cease the following: promoting “diversity,” holding Federal contractors and subcontractors responsible for taking “affirmative action,” and allowing or encouraging Federal contractors and subcontractors to engage in workforce balancing based on race, color, sex, sexual preference, religion, or national origin. </w:t>
      </w:r>
      <w:r>
        <w:rPr>
          <w:i/>
          <w:iCs/>
          <w:color w:val="333333"/>
          <w:highlight w:val="white"/>
        </w:rPr>
        <w:t>Id.</w:t>
      </w:r>
      <w:r>
        <w:rPr>
          <w:color w:val="333333"/>
          <w:highlight w:val="white"/>
        </w:rPr>
        <w:t xml:space="preserve"> at 8634. Accordingly, DOL has determined that it must rescind the regulations at </w:t>
      </w:r>
      <w:hyperlink r:id="rId16" w:history="1">
        <w:r w:rsidRPr="00EF6331">
          <w:rPr>
            <w:rStyle w:val="Hyperlink"/>
          </w:rPr>
          <w:t>41 CFR parts 60-1</w:t>
        </w:r>
      </w:hyperlink>
      <w:r>
        <w:rPr>
          <w:color w:val="333333"/>
          <w:highlight w:val="white"/>
        </w:rPr>
        <w:t xml:space="preserve">, </w:t>
      </w:r>
      <w:hyperlink r:id="rId17" w:history="1">
        <w:r w:rsidRPr="00EF6331">
          <w:rPr>
            <w:rStyle w:val="Hyperlink"/>
          </w:rPr>
          <w:t>60-2</w:t>
        </w:r>
      </w:hyperlink>
      <w:r>
        <w:rPr>
          <w:color w:val="333333"/>
          <w:highlight w:val="white"/>
        </w:rPr>
        <w:t xml:space="preserve">, </w:t>
      </w:r>
      <w:hyperlink r:id="rId18" w:history="1">
        <w:r w:rsidRPr="00EF6331">
          <w:rPr>
            <w:rStyle w:val="Hyperlink"/>
          </w:rPr>
          <w:t>60-3</w:t>
        </w:r>
      </w:hyperlink>
      <w:r>
        <w:rPr>
          <w:color w:val="333333"/>
          <w:highlight w:val="white"/>
        </w:rPr>
        <w:t xml:space="preserve">, </w:t>
      </w:r>
      <w:hyperlink r:id="rId19" w:history="1">
        <w:r w:rsidRPr="00EF6331">
          <w:rPr>
            <w:rStyle w:val="Hyperlink"/>
          </w:rPr>
          <w:t>60-4</w:t>
        </w:r>
      </w:hyperlink>
      <w:r>
        <w:rPr>
          <w:color w:val="333333"/>
          <w:highlight w:val="white"/>
        </w:rPr>
        <w:t xml:space="preserve">, </w:t>
      </w:r>
      <w:hyperlink r:id="rId20" w:history="1">
        <w:r w:rsidRPr="00EF6331">
          <w:rPr>
            <w:rStyle w:val="Hyperlink"/>
          </w:rPr>
          <w:t>60-20</w:t>
        </w:r>
      </w:hyperlink>
      <w:r>
        <w:rPr>
          <w:color w:val="333333"/>
          <w:highlight w:val="white"/>
        </w:rPr>
        <w:t xml:space="preserve">, </w:t>
      </w:r>
      <w:hyperlink r:id="rId21" w:history="1">
        <w:r w:rsidRPr="00EF6331">
          <w:rPr>
            <w:rStyle w:val="Hyperlink"/>
          </w:rPr>
          <w:t>60-40</w:t>
        </w:r>
      </w:hyperlink>
      <w:r>
        <w:rPr>
          <w:color w:val="333333"/>
          <w:highlight w:val="white"/>
        </w:rPr>
        <w:t xml:space="preserve">, and </w:t>
      </w:r>
      <w:hyperlink r:id="rId22" w:history="1">
        <w:r w:rsidRPr="00EF6331">
          <w:rPr>
            <w:rStyle w:val="Hyperlink"/>
          </w:rPr>
          <w:t>60-50</w:t>
        </w:r>
      </w:hyperlink>
      <w:r>
        <w:rPr>
          <w:color w:val="333333"/>
          <w:highlight w:val="white"/>
        </w:rPr>
        <w:t xml:space="preserve"> which were promulgated under the authority of </w:t>
      </w:r>
      <w:hyperlink r:id="rId15" w:history="1">
        <w:r w:rsidRPr="00EF6331">
          <w:rPr>
            <w:rStyle w:val="Hyperlink"/>
          </w:rPr>
          <w:t>E.O. 11246</w:t>
        </w:r>
      </w:hyperlink>
      <w:r>
        <w:rPr>
          <w:color w:val="333333"/>
          <w:highlight w:val="white"/>
        </w:rPr>
        <w:t xml:space="preserve">.”  We have left reference to “applicable regulations at 41 CFR chapter 60” since the final rule is not yet published and indicates some provisions of chapter 60 will remain in effect.  We </w:t>
      </w:r>
      <w:r>
        <w:rPr>
          <w:color w:val="333333"/>
          <w:highlight w:val="white"/>
        </w:rPr>
        <w:t>defer</w:t>
      </w:r>
      <w:r>
        <w:rPr>
          <w:color w:val="333333"/>
          <w:highlight w:val="white"/>
        </w:rPr>
        <w:t xml:space="preserve"> to OMB, in consultation with DOL, as to any changes that may be required.</w:t>
      </w:r>
    </w:p>
    <w:p w:rsidR="004D47EB" w:rsidRPr="00887EAA" w:rsidP="00F6537A" w14:paraId="714B4FB9" w14:textId="77777777">
      <w:pPr>
        <w:pStyle w:val="NoSpacing"/>
      </w:pPr>
    </w:p>
    <w:p w:rsidR="006067F9" w:rsidRPr="00887EAA" w:rsidP="00BA7857" w14:paraId="0082415F" w14:textId="2B7E3D6B">
      <w:pPr>
        <w:tabs>
          <w:tab w:val="left" w:pos="-720"/>
        </w:tabs>
        <w:suppressAutoHyphens/>
        <w:spacing w:after="180"/>
        <w:ind w:left="360"/>
        <w:rPr>
          <w:sz w:val="24"/>
          <w:szCs w:val="24"/>
        </w:rPr>
      </w:pPr>
      <w:r w:rsidRPr="00887EAA">
        <w:rPr>
          <w:b/>
          <w:bCs/>
          <w:sz w:val="24"/>
          <w:szCs w:val="24"/>
        </w:rPr>
        <w:t xml:space="preserve">PBV PHA-owned Certification </w:t>
      </w:r>
      <w:r w:rsidR="0051514E">
        <w:rPr>
          <w:b/>
          <w:bCs/>
          <w:sz w:val="24"/>
          <w:szCs w:val="24"/>
        </w:rPr>
        <w:t xml:space="preserve">- </w:t>
      </w:r>
      <w:r w:rsidRPr="00887EAA">
        <w:rPr>
          <w:b/>
          <w:bCs/>
          <w:sz w:val="24"/>
          <w:szCs w:val="24"/>
        </w:rPr>
        <w:t>New Construction or Rehabilitated Housing Part 1 and Part 2</w:t>
      </w:r>
      <w:r w:rsidR="00DB70A5">
        <w:rPr>
          <w:b/>
          <w:bCs/>
          <w:sz w:val="24"/>
          <w:szCs w:val="24"/>
        </w:rPr>
        <w:t>.</w:t>
      </w:r>
      <w:r w:rsidRPr="00887EAA">
        <w:rPr>
          <w:sz w:val="24"/>
          <w:szCs w:val="24"/>
        </w:rPr>
        <w:t xml:space="preserve"> The HOTMA Voucher Final Rule establishes regulations permitting a PHA to execute HUD-prescribed certifications in lieu of a HAP Contract. The PHA-owned certification serves as the equivalent of the HAP contract, and subjects the PHA, as owner, to all of the requirements of the HAP contract contained in parts 982 and 983. Where the PHA has elected to use the PHA-owned certification, all references to the HAP contract throughout parts 982 and 983 must be interpreted to be references to the PHA-owned certification. 24 CFR 983.204</w:t>
      </w:r>
    </w:p>
    <w:p w:rsidR="006067F9" w:rsidP="00BA7857" w14:paraId="20128832" w14:textId="2229FFB9">
      <w:pPr>
        <w:tabs>
          <w:tab w:val="left" w:pos="-720"/>
        </w:tabs>
        <w:suppressAutoHyphens/>
        <w:spacing w:after="180"/>
        <w:ind w:left="360"/>
        <w:rPr>
          <w:sz w:val="24"/>
          <w:szCs w:val="24"/>
        </w:rPr>
      </w:pPr>
      <w:r w:rsidRPr="00887EAA">
        <w:rPr>
          <w:b/>
          <w:bCs/>
          <w:sz w:val="24"/>
          <w:szCs w:val="24"/>
        </w:rPr>
        <w:t xml:space="preserve">PBV </w:t>
      </w:r>
      <w:r w:rsidRPr="00887EAA" w:rsidR="00DB70A5">
        <w:rPr>
          <w:b/>
          <w:bCs/>
          <w:sz w:val="24"/>
          <w:szCs w:val="24"/>
        </w:rPr>
        <w:t>HAP Contract Rider</w:t>
      </w:r>
      <w:r w:rsidRPr="00887EAA" w:rsidR="00DB70A5">
        <w:rPr>
          <w:sz w:val="24"/>
          <w:szCs w:val="24"/>
        </w:rPr>
        <w:t xml:space="preserve"> </w:t>
      </w:r>
      <w:r w:rsidR="00DB70A5">
        <w:rPr>
          <w:sz w:val="24"/>
          <w:szCs w:val="24"/>
        </w:rPr>
        <w:t xml:space="preserve">- </w:t>
      </w:r>
      <w:r w:rsidRPr="00887EAA">
        <w:rPr>
          <w:b/>
          <w:bCs/>
          <w:sz w:val="24"/>
          <w:szCs w:val="24"/>
        </w:rPr>
        <w:t>Rehabilitated Housing</w:t>
      </w:r>
      <w:r w:rsidR="00DB70A5">
        <w:rPr>
          <w:b/>
          <w:bCs/>
          <w:sz w:val="24"/>
          <w:szCs w:val="24"/>
        </w:rPr>
        <w:t>.</w:t>
      </w:r>
      <w:r w:rsidRPr="00887EAA">
        <w:rPr>
          <w:sz w:val="24"/>
          <w:szCs w:val="24"/>
        </w:rPr>
        <w:t xml:space="preserve"> The HOTMA Voucher Final Rule establishes regulations permitting a PHA to execute a HAP contract, subject to a rider, for rehabilitated housing before the rehabilitation is complete. 24 CFR 983.157</w:t>
      </w:r>
    </w:p>
    <w:p w:rsidR="000D6005" w:rsidP="00BA7857" w14:paraId="596DEADB" w14:textId="71941F56">
      <w:pPr>
        <w:tabs>
          <w:tab w:val="left" w:pos="-720"/>
        </w:tabs>
        <w:suppressAutoHyphens/>
        <w:spacing w:after="180"/>
        <w:ind w:left="360"/>
        <w:rPr>
          <w:sz w:val="24"/>
          <w:szCs w:val="24"/>
        </w:rPr>
      </w:pPr>
      <w:r w:rsidRPr="000D6005">
        <w:rPr>
          <w:sz w:val="24"/>
          <w:szCs w:val="24"/>
        </w:rPr>
        <w:t xml:space="preserve">We have not included an Equal Employment Opportunity section in this new form in acknowledgment of the proposed rule </w:t>
      </w:r>
      <w:hyperlink r:id="rId12" w:history="1">
        <w:r w:rsidRPr="000D6005">
          <w:rPr>
            <w:rStyle w:val="Hyperlink"/>
            <w:sz w:val="24"/>
            <w:szCs w:val="24"/>
          </w:rPr>
          <w:t>Federal Register :: Rescission of Executive Order 11246 Implementing Regulations</w:t>
        </w:r>
      </w:hyperlink>
      <w:r w:rsidRPr="000D6005">
        <w:rPr>
          <w:sz w:val="24"/>
          <w:szCs w:val="24"/>
        </w:rPr>
        <w:t xml:space="preserve"> at 90 FR 28472 (Jul. 1, 2025) that provide: “On January 21, 2025, President Trump issued </w:t>
      </w:r>
      <w:hyperlink r:id="rId13" w:history="1">
        <w:r w:rsidRPr="000D6005">
          <w:rPr>
            <w:rStyle w:val="Hyperlink"/>
            <w:sz w:val="24"/>
            <w:szCs w:val="24"/>
          </w:rPr>
          <w:t>E.O. 14173</w:t>
        </w:r>
      </w:hyperlink>
      <w:r w:rsidRPr="000D6005">
        <w:rPr>
          <w:sz w:val="24"/>
          <w:szCs w:val="24"/>
        </w:rPr>
        <w:t xml:space="preserve">, “Ending Illegal Discrimination and Restoring Merit-Based Opportunity,” </w:t>
      </w:r>
      <w:hyperlink r:id="rId14" w:history="1">
        <w:r w:rsidRPr="000D6005">
          <w:rPr>
            <w:rStyle w:val="Hyperlink"/>
            <w:sz w:val="24"/>
            <w:szCs w:val="24"/>
          </w:rPr>
          <w:t>90 FR 8633</w:t>
        </w:r>
      </w:hyperlink>
      <w:r w:rsidRPr="000D6005">
        <w:rPr>
          <w:sz w:val="24"/>
          <w:szCs w:val="24"/>
        </w:rPr>
        <w:t xml:space="preserve"> (Jan. 31, 2025). In addition to revoking </w:t>
      </w:r>
      <w:hyperlink r:id="rId15" w:history="1">
        <w:r w:rsidRPr="000D6005">
          <w:rPr>
            <w:rStyle w:val="Hyperlink"/>
            <w:sz w:val="24"/>
            <w:szCs w:val="24"/>
          </w:rPr>
          <w:t>E.O. 11246</w:t>
        </w:r>
      </w:hyperlink>
      <w:r w:rsidRPr="000D6005">
        <w:rPr>
          <w:sz w:val="24"/>
          <w:szCs w:val="24"/>
        </w:rPr>
        <w:t xml:space="preserve">, </w:t>
      </w:r>
      <w:hyperlink r:id="rId13" w:history="1">
        <w:r w:rsidRPr="000D6005">
          <w:rPr>
            <w:rStyle w:val="Hyperlink"/>
            <w:sz w:val="24"/>
            <w:szCs w:val="24"/>
          </w:rPr>
          <w:t>E.O. 14173</w:t>
        </w:r>
      </w:hyperlink>
      <w:r w:rsidRPr="000D6005">
        <w:rPr>
          <w:sz w:val="24"/>
          <w:szCs w:val="24"/>
        </w:rPr>
        <w:t xml:space="preserve"> directed DOL to immediately cease the following: promoting “diversity,” holding Federal contractors and subcontractors responsible for taking “affirmative action,” and allowing or encouraging Federal contractors and subcontractors to engage in workforce balancing based on race, color, sex, sexual preference, religion, or national origin. </w:t>
      </w:r>
      <w:r w:rsidRPr="000D6005">
        <w:rPr>
          <w:i/>
          <w:iCs/>
          <w:sz w:val="24"/>
          <w:szCs w:val="24"/>
        </w:rPr>
        <w:t>Id.</w:t>
      </w:r>
      <w:r w:rsidRPr="000D6005">
        <w:rPr>
          <w:sz w:val="24"/>
          <w:szCs w:val="24"/>
        </w:rPr>
        <w:t xml:space="preserve"> at 8634. Accordingly, DOL has determined that it must rescind the regulations at </w:t>
      </w:r>
      <w:hyperlink r:id="rId16" w:history="1">
        <w:r w:rsidRPr="000D6005">
          <w:rPr>
            <w:rStyle w:val="Hyperlink"/>
            <w:sz w:val="24"/>
            <w:szCs w:val="24"/>
          </w:rPr>
          <w:t>41 CFR parts 60-1</w:t>
        </w:r>
      </w:hyperlink>
      <w:r w:rsidRPr="000D6005">
        <w:rPr>
          <w:sz w:val="24"/>
          <w:szCs w:val="24"/>
        </w:rPr>
        <w:t xml:space="preserve">, </w:t>
      </w:r>
      <w:hyperlink r:id="rId17" w:history="1">
        <w:r w:rsidRPr="000D6005">
          <w:rPr>
            <w:rStyle w:val="Hyperlink"/>
            <w:sz w:val="24"/>
            <w:szCs w:val="24"/>
          </w:rPr>
          <w:t>60-2</w:t>
        </w:r>
      </w:hyperlink>
      <w:r w:rsidRPr="000D6005">
        <w:rPr>
          <w:sz w:val="24"/>
          <w:szCs w:val="24"/>
        </w:rPr>
        <w:t xml:space="preserve">, </w:t>
      </w:r>
      <w:hyperlink r:id="rId18" w:history="1">
        <w:r w:rsidRPr="000D6005">
          <w:rPr>
            <w:rStyle w:val="Hyperlink"/>
            <w:sz w:val="24"/>
            <w:szCs w:val="24"/>
          </w:rPr>
          <w:t>60-3</w:t>
        </w:r>
      </w:hyperlink>
      <w:r w:rsidRPr="000D6005">
        <w:rPr>
          <w:sz w:val="24"/>
          <w:szCs w:val="24"/>
        </w:rPr>
        <w:t xml:space="preserve">, </w:t>
      </w:r>
      <w:hyperlink r:id="rId19" w:history="1">
        <w:r w:rsidRPr="000D6005">
          <w:rPr>
            <w:rStyle w:val="Hyperlink"/>
            <w:sz w:val="24"/>
            <w:szCs w:val="24"/>
          </w:rPr>
          <w:t>60-4</w:t>
        </w:r>
      </w:hyperlink>
      <w:r w:rsidRPr="000D6005">
        <w:rPr>
          <w:sz w:val="24"/>
          <w:szCs w:val="24"/>
        </w:rPr>
        <w:t xml:space="preserve">, </w:t>
      </w:r>
      <w:hyperlink r:id="rId20" w:history="1">
        <w:r w:rsidRPr="000D6005">
          <w:rPr>
            <w:rStyle w:val="Hyperlink"/>
            <w:sz w:val="24"/>
            <w:szCs w:val="24"/>
          </w:rPr>
          <w:t>60-20</w:t>
        </w:r>
      </w:hyperlink>
      <w:r w:rsidRPr="000D6005">
        <w:rPr>
          <w:sz w:val="24"/>
          <w:szCs w:val="24"/>
        </w:rPr>
        <w:t xml:space="preserve">, </w:t>
      </w:r>
      <w:hyperlink r:id="rId21" w:history="1">
        <w:r w:rsidRPr="000D6005">
          <w:rPr>
            <w:rStyle w:val="Hyperlink"/>
            <w:sz w:val="24"/>
            <w:szCs w:val="24"/>
          </w:rPr>
          <w:t>60-40</w:t>
        </w:r>
      </w:hyperlink>
      <w:r w:rsidRPr="000D6005">
        <w:rPr>
          <w:sz w:val="24"/>
          <w:szCs w:val="24"/>
        </w:rPr>
        <w:t xml:space="preserve">, and </w:t>
      </w:r>
      <w:hyperlink r:id="rId22" w:history="1">
        <w:r w:rsidRPr="000D6005">
          <w:rPr>
            <w:rStyle w:val="Hyperlink"/>
            <w:sz w:val="24"/>
            <w:szCs w:val="24"/>
          </w:rPr>
          <w:t>60-50</w:t>
        </w:r>
      </w:hyperlink>
      <w:r w:rsidRPr="000D6005">
        <w:rPr>
          <w:sz w:val="24"/>
          <w:szCs w:val="24"/>
        </w:rPr>
        <w:t xml:space="preserve"> which were promulgated under the authority of </w:t>
      </w:r>
      <w:hyperlink r:id="rId15" w:history="1">
        <w:r w:rsidRPr="000D6005">
          <w:rPr>
            <w:rStyle w:val="Hyperlink"/>
            <w:sz w:val="24"/>
            <w:szCs w:val="24"/>
          </w:rPr>
          <w:t>E.O. 11246</w:t>
        </w:r>
      </w:hyperlink>
      <w:r w:rsidRPr="000D6005">
        <w:rPr>
          <w:sz w:val="24"/>
          <w:szCs w:val="24"/>
        </w:rPr>
        <w:t xml:space="preserve">.” We </w:t>
      </w:r>
      <w:r w:rsidRPr="000D6005">
        <w:rPr>
          <w:sz w:val="24"/>
          <w:szCs w:val="24"/>
        </w:rPr>
        <w:t>defer</w:t>
      </w:r>
      <w:r w:rsidRPr="000D6005">
        <w:rPr>
          <w:sz w:val="24"/>
          <w:szCs w:val="24"/>
        </w:rPr>
        <w:t xml:space="preserve"> to OMB, in consultation with DOL, as to any changes that may be required.</w:t>
      </w:r>
    </w:p>
    <w:p w:rsidR="003B03F7" w:rsidRPr="003B03F7" w:rsidP="003B03F7" w14:paraId="4A8CE4FC" w14:textId="77777777">
      <w:pPr>
        <w:tabs>
          <w:tab w:val="left" w:pos="-720"/>
        </w:tabs>
        <w:suppressAutoHyphens/>
        <w:spacing w:after="180"/>
        <w:ind w:left="360"/>
        <w:rPr>
          <w:sz w:val="24"/>
          <w:szCs w:val="24"/>
        </w:rPr>
      </w:pPr>
      <w:r w:rsidRPr="003B03F7">
        <w:rPr>
          <w:sz w:val="24"/>
          <w:szCs w:val="24"/>
        </w:rPr>
        <w:t xml:space="preserve">We have not included reference to the revoked Executive Order 11246 (as amended) in this new form, in acknowledgment of the proposed rule </w:t>
      </w:r>
      <w:hyperlink r:id="rId23" w:history="1">
        <w:r w:rsidRPr="003B03F7">
          <w:rPr>
            <w:rStyle w:val="Hyperlink"/>
            <w:sz w:val="24"/>
            <w:szCs w:val="24"/>
          </w:rPr>
          <w:t>Prohibiting Illegal Discrimination in Registered Apprenticeship Programs</w:t>
        </w:r>
      </w:hyperlink>
      <w:r w:rsidRPr="003B03F7">
        <w:rPr>
          <w:sz w:val="24"/>
          <w:szCs w:val="24"/>
        </w:rPr>
        <w:t xml:space="preserve"> at 90 FR 28947 (Jul. 2, 2025). We have included reference to “applicable regulations at 29 CFR part 30” since the final rule is not yet published. We </w:t>
      </w:r>
      <w:r w:rsidRPr="003B03F7">
        <w:rPr>
          <w:sz w:val="24"/>
          <w:szCs w:val="24"/>
        </w:rPr>
        <w:t>defer</w:t>
      </w:r>
      <w:r w:rsidRPr="003B03F7">
        <w:rPr>
          <w:sz w:val="24"/>
          <w:szCs w:val="24"/>
        </w:rPr>
        <w:t xml:space="preserve"> to OMB, in consultation with DOL, as to any changes that may be required.</w:t>
      </w:r>
    </w:p>
    <w:p w:rsidR="00B805A2" w:rsidP="00B805A2" w14:paraId="52821263" w14:textId="618CB5B0">
      <w:pPr>
        <w:tabs>
          <w:tab w:val="left" w:pos="-720"/>
        </w:tabs>
        <w:suppressAutoHyphens/>
        <w:spacing w:after="180"/>
        <w:ind w:left="360"/>
        <w:rPr>
          <w:sz w:val="24"/>
          <w:szCs w:val="24"/>
        </w:rPr>
      </w:pPr>
      <w:r w:rsidRPr="00887EAA">
        <w:rPr>
          <w:b/>
          <w:bCs/>
          <w:sz w:val="24"/>
          <w:szCs w:val="24"/>
        </w:rPr>
        <w:t xml:space="preserve">PBV </w:t>
      </w:r>
      <w:r w:rsidRPr="00887EAA" w:rsidR="00DB70A5">
        <w:rPr>
          <w:b/>
          <w:bCs/>
          <w:sz w:val="24"/>
          <w:szCs w:val="24"/>
        </w:rPr>
        <w:t>PHA-owned Certification Rider</w:t>
      </w:r>
      <w:r w:rsidRPr="00887EAA" w:rsidR="00DB70A5">
        <w:rPr>
          <w:sz w:val="24"/>
          <w:szCs w:val="24"/>
        </w:rPr>
        <w:t xml:space="preserve"> </w:t>
      </w:r>
      <w:r w:rsidR="00DB70A5">
        <w:rPr>
          <w:sz w:val="24"/>
          <w:szCs w:val="24"/>
        </w:rPr>
        <w:t xml:space="preserve">- </w:t>
      </w:r>
      <w:r w:rsidRPr="00887EAA">
        <w:rPr>
          <w:b/>
          <w:bCs/>
          <w:sz w:val="24"/>
          <w:szCs w:val="24"/>
        </w:rPr>
        <w:t>Rehabilitated Housing</w:t>
      </w:r>
      <w:r w:rsidR="00DB70A5">
        <w:rPr>
          <w:b/>
          <w:bCs/>
          <w:sz w:val="24"/>
          <w:szCs w:val="24"/>
        </w:rPr>
        <w:t>.</w:t>
      </w:r>
      <w:r w:rsidRPr="00887EAA">
        <w:rPr>
          <w:sz w:val="24"/>
          <w:szCs w:val="24"/>
        </w:rPr>
        <w:t xml:space="preserve"> The HOTMA Voucher Final Rule establishes regulations permitting a PHA to execute a HUD-prescribed certification, subject to a rider, for rehabilitated housing before the rehabilitation is complete. 24 CFR 983.157</w:t>
      </w:r>
    </w:p>
    <w:p w:rsidR="00615DAE" w:rsidP="00922628" w14:paraId="6F708CA3" w14:textId="77777777">
      <w:pPr>
        <w:pStyle w:val="CommentText"/>
        <w:ind w:left="360"/>
        <w:rPr>
          <w:color w:val="333333"/>
        </w:rPr>
      </w:pPr>
      <w:r>
        <w:t xml:space="preserve">We have not included an Equal Employment Opportunity section in this new form in acknowledgment of the proposed rule </w:t>
      </w:r>
      <w:hyperlink r:id="rId12" w:history="1">
        <w:r w:rsidRPr="00EF25F9">
          <w:rPr>
            <w:rStyle w:val="Hyperlink"/>
          </w:rPr>
          <w:t>Federal Register :: Rescission of Executive Order 11246 Implementing Regulations</w:t>
        </w:r>
      </w:hyperlink>
      <w:r>
        <w:t xml:space="preserve"> at 90 FR 28472 (Jul. 1, 2025) that provide: “On January 21, 2025, President Trump issued </w:t>
      </w:r>
      <w:hyperlink r:id="rId13" w:history="1">
        <w:r w:rsidRPr="00EF25F9">
          <w:rPr>
            <w:rStyle w:val="Hyperlink"/>
          </w:rPr>
          <w:t>E.O. 14173</w:t>
        </w:r>
      </w:hyperlink>
      <w:r>
        <w:t xml:space="preserve">, “Ending Illegal Discrimination and Restoring Merit-Based Opportunity,” </w:t>
      </w:r>
      <w:hyperlink r:id="rId14" w:history="1">
        <w:r w:rsidRPr="00EF25F9">
          <w:rPr>
            <w:rStyle w:val="Hyperlink"/>
          </w:rPr>
          <w:t>90 FR 8633</w:t>
        </w:r>
      </w:hyperlink>
      <w:r>
        <w:t xml:space="preserve"> (Jan. 31, 2025). In addition to revoking </w:t>
      </w:r>
      <w:hyperlink r:id="rId15" w:history="1">
        <w:r w:rsidRPr="00EF25F9">
          <w:rPr>
            <w:rStyle w:val="Hyperlink"/>
          </w:rPr>
          <w:t>E.O. 11246</w:t>
        </w:r>
      </w:hyperlink>
      <w:r>
        <w:t xml:space="preserve">, </w:t>
      </w:r>
      <w:hyperlink r:id="rId13" w:history="1">
        <w:r w:rsidRPr="00EF25F9">
          <w:rPr>
            <w:rStyle w:val="Hyperlink"/>
          </w:rPr>
          <w:t>E.O. 14173</w:t>
        </w:r>
      </w:hyperlink>
      <w:r>
        <w:t xml:space="preserve"> directed DOL to immediately cease the following: promoting “diversity,” holding Federal contractors and subcontractors responsible for taking “affirmative action,” and allowing or encouraging Federal contractors and subcontractors to engage in workforce balancing based on race, color, sex, sexual preference, religion, or national origin. </w:t>
      </w:r>
      <w:r>
        <w:rPr>
          <w:i/>
          <w:iCs/>
        </w:rPr>
        <w:t>Id.</w:t>
      </w:r>
      <w:r>
        <w:t xml:space="preserve"> at 8634. Accordingly, DOL has determined that it must rescind the regulations at </w:t>
      </w:r>
      <w:hyperlink r:id="rId16" w:history="1">
        <w:r w:rsidRPr="00EF25F9">
          <w:rPr>
            <w:rStyle w:val="Hyperlink"/>
          </w:rPr>
          <w:t>41 CFR parts 60-1</w:t>
        </w:r>
      </w:hyperlink>
      <w:r>
        <w:t xml:space="preserve">, </w:t>
      </w:r>
      <w:hyperlink r:id="rId17" w:history="1">
        <w:r w:rsidRPr="00EF25F9">
          <w:rPr>
            <w:rStyle w:val="Hyperlink"/>
          </w:rPr>
          <w:t>60-2</w:t>
        </w:r>
      </w:hyperlink>
      <w:r>
        <w:t xml:space="preserve">, </w:t>
      </w:r>
      <w:hyperlink r:id="rId18" w:history="1">
        <w:r w:rsidRPr="00EF25F9">
          <w:rPr>
            <w:rStyle w:val="Hyperlink"/>
          </w:rPr>
          <w:t>60-3</w:t>
        </w:r>
      </w:hyperlink>
      <w:r>
        <w:t xml:space="preserve">, </w:t>
      </w:r>
      <w:hyperlink r:id="rId19" w:history="1">
        <w:r w:rsidRPr="00EF25F9">
          <w:rPr>
            <w:rStyle w:val="Hyperlink"/>
          </w:rPr>
          <w:t>60-4</w:t>
        </w:r>
      </w:hyperlink>
      <w:r>
        <w:t xml:space="preserve">, </w:t>
      </w:r>
      <w:hyperlink r:id="rId20" w:history="1">
        <w:r w:rsidRPr="00EF25F9">
          <w:rPr>
            <w:rStyle w:val="Hyperlink"/>
          </w:rPr>
          <w:t>60-20</w:t>
        </w:r>
      </w:hyperlink>
      <w:r>
        <w:t xml:space="preserve">, </w:t>
      </w:r>
      <w:hyperlink r:id="rId21" w:history="1">
        <w:r w:rsidRPr="00EF25F9">
          <w:rPr>
            <w:rStyle w:val="Hyperlink"/>
          </w:rPr>
          <w:t>60-40</w:t>
        </w:r>
      </w:hyperlink>
      <w:r>
        <w:t xml:space="preserve">, and </w:t>
      </w:r>
      <w:hyperlink r:id="rId22" w:history="1">
        <w:r w:rsidRPr="00EF25F9">
          <w:rPr>
            <w:rStyle w:val="Hyperlink"/>
          </w:rPr>
          <w:t>60-50</w:t>
        </w:r>
      </w:hyperlink>
      <w:r>
        <w:t xml:space="preserve"> which were promulgated under the authority of </w:t>
      </w:r>
      <w:hyperlink r:id="rId15" w:history="1">
        <w:r w:rsidRPr="00EF25F9">
          <w:rPr>
            <w:rStyle w:val="Hyperlink"/>
          </w:rPr>
          <w:t>E.O. 11246</w:t>
        </w:r>
      </w:hyperlink>
      <w:r>
        <w:t xml:space="preserve">.” </w:t>
      </w:r>
      <w:r>
        <w:rPr>
          <w:color w:val="333333"/>
          <w:highlight w:val="white"/>
        </w:rPr>
        <w:t xml:space="preserve">We </w:t>
      </w:r>
      <w:r>
        <w:rPr>
          <w:color w:val="333333"/>
          <w:highlight w:val="white"/>
        </w:rPr>
        <w:t>defer</w:t>
      </w:r>
      <w:r>
        <w:rPr>
          <w:color w:val="333333"/>
          <w:highlight w:val="white"/>
        </w:rPr>
        <w:t xml:space="preserve"> to OMB, in consultation with DOL, as to any changes that may be required.</w:t>
      </w:r>
    </w:p>
    <w:p w:rsidR="00615DAE" w:rsidRPr="003B03F7" w:rsidP="00615DAE" w14:paraId="274AD5BD" w14:textId="77777777">
      <w:pPr>
        <w:tabs>
          <w:tab w:val="left" w:pos="-720"/>
        </w:tabs>
        <w:suppressAutoHyphens/>
        <w:spacing w:after="180"/>
        <w:ind w:left="360"/>
        <w:rPr>
          <w:sz w:val="24"/>
          <w:szCs w:val="24"/>
        </w:rPr>
      </w:pPr>
      <w:r w:rsidRPr="003B03F7">
        <w:rPr>
          <w:sz w:val="24"/>
          <w:szCs w:val="24"/>
        </w:rPr>
        <w:t xml:space="preserve">We have not included reference to the revoked Executive Order 11246 (as amended) in this new form, in acknowledgment of the proposed rule </w:t>
      </w:r>
      <w:hyperlink r:id="rId23" w:history="1">
        <w:r w:rsidRPr="003B03F7">
          <w:rPr>
            <w:rStyle w:val="Hyperlink"/>
            <w:sz w:val="24"/>
            <w:szCs w:val="24"/>
          </w:rPr>
          <w:t>Prohibiting Illegal Discrimination in Registered Apprenticeship Programs</w:t>
        </w:r>
      </w:hyperlink>
      <w:r w:rsidRPr="003B03F7">
        <w:rPr>
          <w:sz w:val="24"/>
          <w:szCs w:val="24"/>
        </w:rPr>
        <w:t xml:space="preserve"> at 90 FR 28947 (Jul. 2, 2025). We have included reference to “applicable regulations at 29 CFR part 30” since the final rule is not yet published. We </w:t>
      </w:r>
      <w:r w:rsidRPr="003B03F7">
        <w:rPr>
          <w:sz w:val="24"/>
          <w:szCs w:val="24"/>
        </w:rPr>
        <w:t>defer</w:t>
      </w:r>
      <w:r w:rsidRPr="003B03F7">
        <w:rPr>
          <w:sz w:val="24"/>
          <w:szCs w:val="24"/>
        </w:rPr>
        <w:t xml:space="preserve"> to OMB, in consultation with DOL, as to any changes that may be required.</w:t>
      </w:r>
    </w:p>
    <w:p w:rsidR="00AF2BAD" w:rsidRPr="00C256F2" w:rsidP="00BA7857" w14:paraId="50AB6125" w14:textId="77777777">
      <w:pPr>
        <w:keepLines/>
        <w:tabs>
          <w:tab w:val="left" w:pos="360"/>
        </w:tabs>
        <w:spacing w:after="80"/>
        <w:ind w:left="360" w:hanging="360"/>
        <w:rPr>
          <w:b/>
          <w:bCs/>
          <w:sz w:val="24"/>
          <w:szCs w:val="24"/>
        </w:rPr>
      </w:pPr>
      <w:r w:rsidRPr="00887EAA">
        <w:rPr>
          <w:b/>
          <w:bCs/>
          <w:sz w:val="24"/>
          <w:szCs w:val="24"/>
        </w:rPr>
        <w:t>16</w:t>
      </w:r>
      <w:r w:rsidRPr="00887EAA">
        <w:rPr>
          <w:sz w:val="24"/>
          <w:szCs w:val="24"/>
        </w:rPr>
        <w:t>.</w:t>
      </w:r>
      <w:r w:rsidRPr="00887EAA">
        <w:rPr>
          <w:sz w:val="24"/>
          <w:szCs w:val="24"/>
        </w:rPr>
        <w:tab/>
      </w:r>
      <w:r w:rsidRPr="00887EAA">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6F1C" w:rsidRPr="00887EAA" w:rsidP="00471678" w14:paraId="31D00B43" w14:textId="1AC784BF">
      <w:pPr>
        <w:keepLines/>
        <w:tabs>
          <w:tab w:val="left" w:pos="360"/>
        </w:tabs>
        <w:spacing w:after="80"/>
        <w:ind w:left="360"/>
        <w:rPr>
          <w:color w:val="000000"/>
          <w:sz w:val="24"/>
          <w:szCs w:val="24"/>
        </w:rPr>
      </w:pPr>
      <w:r w:rsidRPr="00887EAA">
        <w:rPr>
          <w:sz w:val="24"/>
          <w:szCs w:val="24"/>
        </w:rPr>
        <w:t>The information collection results will not be published; the funded grant awards will be published as required by the HUD Reform Act.</w:t>
      </w:r>
      <w:r w:rsidRPr="00887EAA">
        <w:rPr>
          <w:color w:val="000000"/>
          <w:sz w:val="24"/>
          <w:szCs w:val="24"/>
        </w:rPr>
        <w:t xml:space="preserve">  </w:t>
      </w:r>
    </w:p>
    <w:p w:rsidR="009F6F1C" w:rsidRPr="00887EAA" w:rsidP="009F6F1C" w14:paraId="154CE129" w14:textId="77777777">
      <w:pPr>
        <w:ind w:left="360"/>
        <w:rPr>
          <w:color w:val="000000"/>
          <w:sz w:val="24"/>
          <w:szCs w:val="24"/>
        </w:rPr>
      </w:pPr>
    </w:p>
    <w:p w:rsidR="009D4F12" w:rsidRPr="00C256F2" w:rsidP="00BA7857" w14:paraId="4D1A1F78" w14:textId="77777777">
      <w:pPr>
        <w:keepLines/>
        <w:tabs>
          <w:tab w:val="left" w:pos="360"/>
        </w:tabs>
        <w:spacing w:after="80"/>
        <w:ind w:left="360" w:hanging="360"/>
        <w:rPr>
          <w:b/>
          <w:bCs/>
          <w:sz w:val="24"/>
          <w:szCs w:val="24"/>
        </w:rPr>
      </w:pPr>
      <w:r w:rsidRPr="00887EAA">
        <w:rPr>
          <w:b/>
          <w:bCs/>
          <w:sz w:val="24"/>
          <w:szCs w:val="24"/>
        </w:rPr>
        <w:t>17.</w:t>
      </w:r>
      <w:r w:rsidRPr="00887EAA">
        <w:rPr>
          <w:sz w:val="24"/>
          <w:szCs w:val="24"/>
        </w:rPr>
        <w:tab/>
      </w:r>
      <w:r w:rsidRPr="00C256F2">
        <w:rPr>
          <w:b/>
          <w:bCs/>
          <w:sz w:val="24"/>
          <w:szCs w:val="24"/>
        </w:rPr>
        <w:t>If seeking approval to not display the expiration date for OMB approval of the information collection, explain the reasons that display would be inappropriate.</w:t>
      </w:r>
    </w:p>
    <w:p w:rsidR="009F6F1C" w:rsidRPr="00887EAA" w:rsidP="006700EA" w14:paraId="1A432F3E" w14:textId="24CCF240">
      <w:pPr>
        <w:keepLines/>
        <w:tabs>
          <w:tab w:val="left" w:pos="360"/>
        </w:tabs>
        <w:ind w:left="360"/>
        <w:rPr>
          <w:color w:val="000000"/>
          <w:sz w:val="24"/>
          <w:szCs w:val="24"/>
        </w:rPr>
      </w:pPr>
      <w:r w:rsidRPr="00887EAA">
        <w:rPr>
          <w:sz w:val="24"/>
          <w:szCs w:val="24"/>
        </w:rPr>
        <w:t xml:space="preserve">The expiration date and the OMB approval number will be displayed in the Notice of Funding </w:t>
      </w:r>
      <w:r w:rsidRPr="00887EAA" w:rsidR="00B8577C">
        <w:rPr>
          <w:sz w:val="24"/>
          <w:szCs w:val="24"/>
        </w:rPr>
        <w:t xml:space="preserve">Opportunity </w:t>
      </w:r>
      <w:r w:rsidRPr="00887EAA">
        <w:rPr>
          <w:sz w:val="24"/>
          <w:szCs w:val="24"/>
        </w:rPr>
        <w:t>and on all related forms.</w:t>
      </w:r>
      <w:r w:rsidRPr="00887EAA">
        <w:rPr>
          <w:color w:val="000000"/>
          <w:sz w:val="24"/>
          <w:szCs w:val="24"/>
        </w:rPr>
        <w:t xml:space="preserve"> </w:t>
      </w:r>
    </w:p>
    <w:p w:rsidR="009F6F1C" w:rsidRPr="00887EAA" w:rsidP="009F6F1C" w14:paraId="1E782276" w14:textId="77777777">
      <w:pPr>
        <w:keepLines/>
        <w:tabs>
          <w:tab w:val="left" w:pos="360"/>
          <w:tab w:val="left" w:pos="720"/>
        </w:tabs>
        <w:ind w:left="360"/>
        <w:rPr>
          <w:sz w:val="24"/>
          <w:szCs w:val="24"/>
        </w:rPr>
      </w:pPr>
    </w:p>
    <w:p w:rsidR="006700EA" w:rsidP="00BA7857" w14:paraId="5BD03089" w14:textId="45B0F02B">
      <w:pPr>
        <w:keepLines/>
        <w:tabs>
          <w:tab w:val="left" w:pos="360"/>
        </w:tabs>
        <w:spacing w:after="80"/>
        <w:ind w:left="360" w:hanging="360"/>
        <w:rPr>
          <w:b/>
          <w:bCs/>
          <w:sz w:val="24"/>
          <w:szCs w:val="24"/>
        </w:rPr>
      </w:pPr>
      <w:r w:rsidRPr="00887EAA">
        <w:rPr>
          <w:b/>
          <w:bCs/>
          <w:sz w:val="24"/>
          <w:szCs w:val="24"/>
        </w:rPr>
        <w:t>18</w:t>
      </w:r>
      <w:r w:rsidRPr="00887EAA" w:rsidR="0061016A">
        <w:rPr>
          <w:b/>
          <w:bCs/>
          <w:sz w:val="24"/>
          <w:szCs w:val="24"/>
        </w:rPr>
        <w:t>. Explain</w:t>
      </w:r>
      <w:r w:rsidRPr="00C256F2" w:rsidR="0061016A">
        <w:rPr>
          <w:b/>
          <w:bCs/>
          <w:sz w:val="24"/>
          <w:szCs w:val="24"/>
        </w:rPr>
        <w:t xml:space="preserve"> each exception to the certification statement identified.</w:t>
      </w:r>
      <w:r w:rsidRPr="00887EAA" w:rsidR="0061016A">
        <w:rPr>
          <w:b/>
          <w:bCs/>
          <w:sz w:val="24"/>
          <w:szCs w:val="24"/>
        </w:rPr>
        <w:t xml:space="preserve"> </w:t>
      </w:r>
      <w:r w:rsidRPr="00887EAA" w:rsidR="00BA7857">
        <w:rPr>
          <w:b/>
          <w:bCs/>
          <w:sz w:val="24"/>
          <w:szCs w:val="24"/>
        </w:rPr>
        <w:t xml:space="preserve"> </w:t>
      </w:r>
    </w:p>
    <w:p w:rsidR="00CD6C03" w:rsidRPr="00887EAA" w:rsidP="006700EA" w14:paraId="4A47609F" w14:textId="692707E8">
      <w:pPr>
        <w:keepLines/>
        <w:tabs>
          <w:tab w:val="left" w:pos="630"/>
        </w:tabs>
        <w:spacing w:after="80"/>
        <w:ind w:left="360"/>
        <w:rPr>
          <w:sz w:val="24"/>
          <w:szCs w:val="24"/>
        </w:rPr>
      </w:pPr>
      <w:r w:rsidRPr="00887EAA">
        <w:rPr>
          <w:sz w:val="24"/>
          <w:szCs w:val="24"/>
        </w:rPr>
        <w:t>There are no exceptions to the certification statement.</w:t>
      </w:r>
    </w:p>
    <w:sectPr w:rsidSect="009F6F1C">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46A5" w:rsidP="001D43DC" w14:paraId="5FF8C5AF" w14:textId="77777777">
      <w:r>
        <w:separator/>
      </w:r>
    </w:p>
  </w:footnote>
  <w:footnote w:type="continuationSeparator" w:id="1">
    <w:p w:rsidR="009046A5" w:rsidP="001D43DC" w14:paraId="46F22501" w14:textId="77777777">
      <w:r>
        <w:continuationSeparator/>
      </w:r>
    </w:p>
  </w:footnote>
  <w:footnote w:id="2">
    <w:p w:rsidR="001D43DC" w:rsidP="001D43DC" w14:paraId="6A954E8D" w14:textId="77777777">
      <w:pPr>
        <w:pStyle w:val="FootnoteText"/>
      </w:pPr>
      <w:r>
        <w:rPr>
          <w:rStyle w:val="FootnoteReference"/>
        </w:rPr>
        <w:footnoteRef/>
      </w:r>
      <w:r>
        <w:t xml:space="preserve"> </w:t>
      </w:r>
      <w:r w:rsidRPr="00040935">
        <w:rPr>
          <w:rFonts w:ascii="Times New Roman" w:eastAsia="Times New Roman" w:hAnsi="Times New Roman" w:cs="Times New Roman"/>
        </w:rPr>
        <w:t>The burden for new awards of vouchers made through a NOFO is covered by OMB Control 2501-0044. The burden for non-competitive awards and the completion of the HUD-52515 Funding Application is covered under this collection.</w:t>
      </w:r>
    </w:p>
    <w:p w:rsidR="001D43DC" w14:paraId="0129BDCD" w14:textId="7CF363A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15B904B5"/>
    <w:multiLevelType w:val="singleLevel"/>
    <w:tmpl w:val="B26EA4E0"/>
    <w:lvl w:ilvl="0">
      <w:start w:val="0"/>
      <w:numFmt w:val="decimal"/>
      <w:lvlText w:val="*"/>
      <w:lvlJc w:val="left"/>
    </w:lvl>
  </w:abstractNum>
  <w:abstractNum w:abstractNumId="2">
    <w:nsid w:val="18F64AEB"/>
    <w:multiLevelType w:val="multilevel"/>
    <w:tmpl w:val="A5505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9E8526B"/>
    <w:multiLevelType w:val="hybridMultilevel"/>
    <w:tmpl w:val="460C8B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4F270FA"/>
    <w:multiLevelType w:val="multilevel"/>
    <w:tmpl w:val="CF9E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BE2946"/>
    <w:multiLevelType w:val="hybridMultilevel"/>
    <w:tmpl w:val="3C18D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2D56A4"/>
    <w:multiLevelType w:val="hybridMultilevel"/>
    <w:tmpl w:val="B3FAF362"/>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4B206095"/>
    <w:multiLevelType w:val="singleLevel"/>
    <w:tmpl w:val="A8B4B6B6"/>
    <w:lvl w:ilvl="0">
      <w:start w:val="7"/>
      <w:numFmt w:val="decimal"/>
      <w:lvlText w:val="%1. "/>
      <w:legacy w:legacy="1" w:legacySpace="0" w:legacyIndent="360"/>
      <w:lvlJc w:val="left"/>
      <w:pPr>
        <w:ind w:left="360" w:hanging="360"/>
      </w:pPr>
      <w:rPr>
        <w:rFonts w:ascii="Times New Roman" w:hAnsi="Times New Roman" w:hint="default"/>
        <w:b/>
        <w:bCs/>
        <w:i w:val="0"/>
        <w:sz w:val="22"/>
        <w:szCs w:val="22"/>
        <w:u w:val="none"/>
      </w:rPr>
    </w:lvl>
  </w:abstractNum>
  <w:abstractNum w:abstractNumId="8">
    <w:nsid w:val="525B40A5"/>
    <w:multiLevelType w:val="multilevel"/>
    <w:tmpl w:val="7F323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8345F"/>
    <w:multiLevelType w:val="hybridMultilevel"/>
    <w:tmpl w:val="ABE041D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53047C3D"/>
    <w:multiLevelType w:val="multilevel"/>
    <w:tmpl w:val="795C3B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nsid w:val="54300A42"/>
    <w:multiLevelType w:val="multilevel"/>
    <w:tmpl w:val="783E4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B90A2C"/>
    <w:multiLevelType w:val="hybridMultilevel"/>
    <w:tmpl w:val="B2B671A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D0B34D9"/>
    <w:multiLevelType w:val="multilevel"/>
    <w:tmpl w:val="CE38D63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nsid w:val="64E61AC0"/>
    <w:multiLevelType w:val="multilevel"/>
    <w:tmpl w:val="D6564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E590EC3"/>
    <w:multiLevelType w:val="hybridMultilevel"/>
    <w:tmpl w:val="1E20F5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71280511">
    <w:abstractNumId w:val="11"/>
  </w:num>
  <w:num w:numId="2" w16cid:durableId="1713916321">
    <w:abstractNumId w:val="15"/>
  </w:num>
  <w:num w:numId="3" w16cid:durableId="1743023023">
    <w:abstractNumId w:val="10"/>
  </w:num>
  <w:num w:numId="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5" w16cid:durableId="1869948210">
    <w:abstractNumId w:val="14"/>
  </w:num>
  <w:num w:numId="6" w16cid:durableId="251738515">
    <w:abstractNumId w:val="6"/>
  </w:num>
  <w:num w:numId="7" w16cid:durableId="481194710">
    <w:abstractNumId w:val="8"/>
  </w:num>
  <w:num w:numId="8" w16cid:durableId="556091560">
    <w:abstractNumId w:val="13"/>
  </w:num>
  <w:num w:numId="9" w16cid:durableId="627199884">
    <w:abstractNumId w:val="4"/>
  </w:num>
  <w:num w:numId="10" w16cid:durableId="780996285">
    <w:abstractNumId w:val="3"/>
  </w:num>
  <w:num w:numId="11" w16cid:durableId="858738149">
    <w:abstractNumId w:val="1"/>
  </w:num>
  <w:num w:numId="12" w16cid:durableId="885411036">
    <w:abstractNumId w:val="2"/>
  </w:num>
  <w:num w:numId="13" w16cid:durableId="962225968">
    <w:abstractNumId w:val="7"/>
  </w:num>
  <w:num w:numId="14" w16cid:durableId="2018650392">
    <w:abstractNumId w:val="5"/>
  </w:num>
  <w:num w:numId="15" w16cid:durableId="1553691400">
    <w:abstractNumId w:val="9"/>
  </w:num>
  <w:num w:numId="16" w16cid:durableId="914897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1C"/>
    <w:rsid w:val="00000759"/>
    <w:rsid w:val="00000EDE"/>
    <w:rsid w:val="000039D3"/>
    <w:rsid w:val="00011564"/>
    <w:rsid w:val="00011DC0"/>
    <w:rsid w:val="0001527E"/>
    <w:rsid w:val="00017343"/>
    <w:rsid w:val="000203F2"/>
    <w:rsid w:val="00021038"/>
    <w:rsid w:val="00025033"/>
    <w:rsid w:val="0003314C"/>
    <w:rsid w:val="000339EB"/>
    <w:rsid w:val="000347AE"/>
    <w:rsid w:val="000401A0"/>
    <w:rsid w:val="00040935"/>
    <w:rsid w:val="000461DA"/>
    <w:rsid w:val="00051340"/>
    <w:rsid w:val="000553DC"/>
    <w:rsid w:val="000602A2"/>
    <w:rsid w:val="00060627"/>
    <w:rsid w:val="0006081C"/>
    <w:rsid w:val="0006179E"/>
    <w:rsid w:val="00064898"/>
    <w:rsid w:val="00064C61"/>
    <w:rsid w:val="000759B0"/>
    <w:rsid w:val="00083112"/>
    <w:rsid w:val="000831DC"/>
    <w:rsid w:val="00091C47"/>
    <w:rsid w:val="00091D26"/>
    <w:rsid w:val="000955F1"/>
    <w:rsid w:val="000A3152"/>
    <w:rsid w:val="000A6AE3"/>
    <w:rsid w:val="000A7689"/>
    <w:rsid w:val="000B11E5"/>
    <w:rsid w:val="000B2AE2"/>
    <w:rsid w:val="000B426F"/>
    <w:rsid w:val="000C34FE"/>
    <w:rsid w:val="000C5FAE"/>
    <w:rsid w:val="000D0B5B"/>
    <w:rsid w:val="000D2E3E"/>
    <w:rsid w:val="000D6005"/>
    <w:rsid w:val="000E0CFE"/>
    <w:rsid w:val="000E7188"/>
    <w:rsid w:val="000F09F5"/>
    <w:rsid w:val="000F0CB0"/>
    <w:rsid w:val="000F3A33"/>
    <w:rsid w:val="000F3A94"/>
    <w:rsid w:val="000F76FD"/>
    <w:rsid w:val="001069AF"/>
    <w:rsid w:val="001076B5"/>
    <w:rsid w:val="00114CB0"/>
    <w:rsid w:val="00114F5C"/>
    <w:rsid w:val="00115DD0"/>
    <w:rsid w:val="0012286A"/>
    <w:rsid w:val="00123746"/>
    <w:rsid w:val="00125A20"/>
    <w:rsid w:val="0012664A"/>
    <w:rsid w:val="00127A8C"/>
    <w:rsid w:val="001322A6"/>
    <w:rsid w:val="001325C5"/>
    <w:rsid w:val="00137EDA"/>
    <w:rsid w:val="00141FD9"/>
    <w:rsid w:val="00143A3B"/>
    <w:rsid w:val="00145D66"/>
    <w:rsid w:val="00146D88"/>
    <w:rsid w:val="001477D3"/>
    <w:rsid w:val="001531E3"/>
    <w:rsid w:val="00154B20"/>
    <w:rsid w:val="0016268A"/>
    <w:rsid w:val="00162723"/>
    <w:rsid w:val="00163C6C"/>
    <w:rsid w:val="00165092"/>
    <w:rsid w:val="00166B5B"/>
    <w:rsid w:val="00170FF2"/>
    <w:rsid w:val="001722EC"/>
    <w:rsid w:val="00173913"/>
    <w:rsid w:val="0017627E"/>
    <w:rsid w:val="00181397"/>
    <w:rsid w:val="00185645"/>
    <w:rsid w:val="00186024"/>
    <w:rsid w:val="0019501F"/>
    <w:rsid w:val="00195153"/>
    <w:rsid w:val="001A6D75"/>
    <w:rsid w:val="001A70A4"/>
    <w:rsid w:val="001B0451"/>
    <w:rsid w:val="001B41C9"/>
    <w:rsid w:val="001B58FE"/>
    <w:rsid w:val="001B6FB5"/>
    <w:rsid w:val="001B70D6"/>
    <w:rsid w:val="001B7C7E"/>
    <w:rsid w:val="001C11A8"/>
    <w:rsid w:val="001C34EB"/>
    <w:rsid w:val="001C49B1"/>
    <w:rsid w:val="001C5A35"/>
    <w:rsid w:val="001C6987"/>
    <w:rsid w:val="001C7329"/>
    <w:rsid w:val="001C78F7"/>
    <w:rsid w:val="001D0463"/>
    <w:rsid w:val="001D0663"/>
    <w:rsid w:val="001D2088"/>
    <w:rsid w:val="001D3CBF"/>
    <w:rsid w:val="001D43DC"/>
    <w:rsid w:val="001D48DF"/>
    <w:rsid w:val="001D6474"/>
    <w:rsid w:val="001D6939"/>
    <w:rsid w:val="001E28E3"/>
    <w:rsid w:val="001E53A9"/>
    <w:rsid w:val="001E6CCD"/>
    <w:rsid w:val="001E7936"/>
    <w:rsid w:val="001F3BE9"/>
    <w:rsid w:val="001F3D51"/>
    <w:rsid w:val="001F5A33"/>
    <w:rsid w:val="00200A72"/>
    <w:rsid w:val="002019CF"/>
    <w:rsid w:val="00201E21"/>
    <w:rsid w:val="0020686E"/>
    <w:rsid w:val="00206D63"/>
    <w:rsid w:val="00211F84"/>
    <w:rsid w:val="0021210B"/>
    <w:rsid w:val="002131C6"/>
    <w:rsid w:val="00214D2C"/>
    <w:rsid w:val="002152F9"/>
    <w:rsid w:val="0021672D"/>
    <w:rsid w:val="00216845"/>
    <w:rsid w:val="0021690F"/>
    <w:rsid w:val="00217CD8"/>
    <w:rsid w:val="00217E9D"/>
    <w:rsid w:val="0022041D"/>
    <w:rsid w:val="002213AA"/>
    <w:rsid w:val="00225955"/>
    <w:rsid w:val="002259BE"/>
    <w:rsid w:val="00226341"/>
    <w:rsid w:val="00233B61"/>
    <w:rsid w:val="00236DE7"/>
    <w:rsid w:val="00244993"/>
    <w:rsid w:val="002472A5"/>
    <w:rsid w:val="00247B94"/>
    <w:rsid w:val="00253680"/>
    <w:rsid w:val="00256532"/>
    <w:rsid w:val="00257C42"/>
    <w:rsid w:val="00262689"/>
    <w:rsid w:val="002656BE"/>
    <w:rsid w:val="00267282"/>
    <w:rsid w:val="002716E8"/>
    <w:rsid w:val="00272CBE"/>
    <w:rsid w:val="00273D55"/>
    <w:rsid w:val="00276677"/>
    <w:rsid w:val="002770C3"/>
    <w:rsid w:val="0028114F"/>
    <w:rsid w:val="00281326"/>
    <w:rsid w:val="00283020"/>
    <w:rsid w:val="0028480D"/>
    <w:rsid w:val="00284B87"/>
    <w:rsid w:val="00284C66"/>
    <w:rsid w:val="00290BDE"/>
    <w:rsid w:val="0029102F"/>
    <w:rsid w:val="002920D2"/>
    <w:rsid w:val="002926E2"/>
    <w:rsid w:val="00293186"/>
    <w:rsid w:val="00295616"/>
    <w:rsid w:val="002A23BF"/>
    <w:rsid w:val="002A492E"/>
    <w:rsid w:val="002B387E"/>
    <w:rsid w:val="002B3B5C"/>
    <w:rsid w:val="002B3F5E"/>
    <w:rsid w:val="002B5A14"/>
    <w:rsid w:val="002D1B6F"/>
    <w:rsid w:val="002D2CB6"/>
    <w:rsid w:val="002D58A1"/>
    <w:rsid w:val="002D5A44"/>
    <w:rsid w:val="002D5AEC"/>
    <w:rsid w:val="002D5B32"/>
    <w:rsid w:val="002D6B36"/>
    <w:rsid w:val="002E0198"/>
    <w:rsid w:val="002E2F21"/>
    <w:rsid w:val="002E378E"/>
    <w:rsid w:val="002E53B7"/>
    <w:rsid w:val="002F006E"/>
    <w:rsid w:val="002F0550"/>
    <w:rsid w:val="002F0935"/>
    <w:rsid w:val="002F259F"/>
    <w:rsid w:val="002F73C3"/>
    <w:rsid w:val="003076E5"/>
    <w:rsid w:val="0031055F"/>
    <w:rsid w:val="00311BB8"/>
    <w:rsid w:val="003138EB"/>
    <w:rsid w:val="00314459"/>
    <w:rsid w:val="0031650D"/>
    <w:rsid w:val="00321A68"/>
    <w:rsid w:val="00324407"/>
    <w:rsid w:val="003256DD"/>
    <w:rsid w:val="00325889"/>
    <w:rsid w:val="00325C8B"/>
    <w:rsid w:val="003325DB"/>
    <w:rsid w:val="0033576B"/>
    <w:rsid w:val="00336F3C"/>
    <w:rsid w:val="00342AAB"/>
    <w:rsid w:val="00344523"/>
    <w:rsid w:val="0034507D"/>
    <w:rsid w:val="003527EC"/>
    <w:rsid w:val="00353340"/>
    <w:rsid w:val="0035507F"/>
    <w:rsid w:val="00362D06"/>
    <w:rsid w:val="0037701B"/>
    <w:rsid w:val="00384F5C"/>
    <w:rsid w:val="00385559"/>
    <w:rsid w:val="00390F3E"/>
    <w:rsid w:val="003916E6"/>
    <w:rsid w:val="00392473"/>
    <w:rsid w:val="00394EE2"/>
    <w:rsid w:val="003A1BD5"/>
    <w:rsid w:val="003A1DF3"/>
    <w:rsid w:val="003A6D24"/>
    <w:rsid w:val="003B03F7"/>
    <w:rsid w:val="003B2B6D"/>
    <w:rsid w:val="003B4216"/>
    <w:rsid w:val="003B67E2"/>
    <w:rsid w:val="003B7A71"/>
    <w:rsid w:val="003C0330"/>
    <w:rsid w:val="003C4D17"/>
    <w:rsid w:val="003D5418"/>
    <w:rsid w:val="003D7778"/>
    <w:rsid w:val="003D7802"/>
    <w:rsid w:val="003E0A00"/>
    <w:rsid w:val="003E261B"/>
    <w:rsid w:val="003E304B"/>
    <w:rsid w:val="003F6F07"/>
    <w:rsid w:val="00400BD1"/>
    <w:rsid w:val="00403AA6"/>
    <w:rsid w:val="00404E57"/>
    <w:rsid w:val="004059CB"/>
    <w:rsid w:val="00411FB9"/>
    <w:rsid w:val="004155BD"/>
    <w:rsid w:val="00416DFC"/>
    <w:rsid w:val="0042087D"/>
    <w:rsid w:val="00421FD2"/>
    <w:rsid w:val="00434DCB"/>
    <w:rsid w:val="00435083"/>
    <w:rsid w:val="00440391"/>
    <w:rsid w:val="00442CAF"/>
    <w:rsid w:val="004512BF"/>
    <w:rsid w:val="00453E73"/>
    <w:rsid w:val="00456BBA"/>
    <w:rsid w:val="00457535"/>
    <w:rsid w:val="00461279"/>
    <w:rsid w:val="004628A8"/>
    <w:rsid w:val="00466107"/>
    <w:rsid w:val="00471678"/>
    <w:rsid w:val="00471755"/>
    <w:rsid w:val="0048078C"/>
    <w:rsid w:val="00480CA8"/>
    <w:rsid w:val="00481E5B"/>
    <w:rsid w:val="00482CA8"/>
    <w:rsid w:val="00484D2B"/>
    <w:rsid w:val="0048604E"/>
    <w:rsid w:val="004931FF"/>
    <w:rsid w:val="004949CE"/>
    <w:rsid w:val="00495854"/>
    <w:rsid w:val="00495C9A"/>
    <w:rsid w:val="0049696F"/>
    <w:rsid w:val="004A0928"/>
    <w:rsid w:val="004A2845"/>
    <w:rsid w:val="004A4661"/>
    <w:rsid w:val="004A5E58"/>
    <w:rsid w:val="004A629C"/>
    <w:rsid w:val="004A641A"/>
    <w:rsid w:val="004A7D12"/>
    <w:rsid w:val="004B02FB"/>
    <w:rsid w:val="004B18A7"/>
    <w:rsid w:val="004C6391"/>
    <w:rsid w:val="004C66F1"/>
    <w:rsid w:val="004D47EB"/>
    <w:rsid w:val="004F4539"/>
    <w:rsid w:val="004F5579"/>
    <w:rsid w:val="004F7347"/>
    <w:rsid w:val="00501170"/>
    <w:rsid w:val="005044D5"/>
    <w:rsid w:val="00505769"/>
    <w:rsid w:val="005065BE"/>
    <w:rsid w:val="00506D59"/>
    <w:rsid w:val="00512320"/>
    <w:rsid w:val="00512719"/>
    <w:rsid w:val="00514672"/>
    <w:rsid w:val="0051514E"/>
    <w:rsid w:val="00515987"/>
    <w:rsid w:val="00523841"/>
    <w:rsid w:val="005239E0"/>
    <w:rsid w:val="005249A1"/>
    <w:rsid w:val="00526FF3"/>
    <w:rsid w:val="005274AD"/>
    <w:rsid w:val="00532415"/>
    <w:rsid w:val="00534D63"/>
    <w:rsid w:val="0053535A"/>
    <w:rsid w:val="0053578F"/>
    <w:rsid w:val="005357FF"/>
    <w:rsid w:val="00537253"/>
    <w:rsid w:val="005407E7"/>
    <w:rsid w:val="00540EA5"/>
    <w:rsid w:val="005433C2"/>
    <w:rsid w:val="005565C8"/>
    <w:rsid w:val="00556C26"/>
    <w:rsid w:val="00557014"/>
    <w:rsid w:val="00560E1F"/>
    <w:rsid w:val="00561988"/>
    <w:rsid w:val="00562076"/>
    <w:rsid w:val="00563DD5"/>
    <w:rsid w:val="00565D93"/>
    <w:rsid w:val="00567936"/>
    <w:rsid w:val="00567A73"/>
    <w:rsid w:val="0057568D"/>
    <w:rsid w:val="00575A86"/>
    <w:rsid w:val="0059003F"/>
    <w:rsid w:val="005902F8"/>
    <w:rsid w:val="0059053E"/>
    <w:rsid w:val="00597155"/>
    <w:rsid w:val="00597A70"/>
    <w:rsid w:val="005A326E"/>
    <w:rsid w:val="005A602F"/>
    <w:rsid w:val="005A63A7"/>
    <w:rsid w:val="005B1F25"/>
    <w:rsid w:val="005B2A12"/>
    <w:rsid w:val="005B58BF"/>
    <w:rsid w:val="005B7FA6"/>
    <w:rsid w:val="005C1CFF"/>
    <w:rsid w:val="005C1E8E"/>
    <w:rsid w:val="005C469A"/>
    <w:rsid w:val="005C6ADB"/>
    <w:rsid w:val="005D150A"/>
    <w:rsid w:val="005D65C9"/>
    <w:rsid w:val="005E025A"/>
    <w:rsid w:val="005E1F24"/>
    <w:rsid w:val="005E2AEF"/>
    <w:rsid w:val="005E7862"/>
    <w:rsid w:val="005F0D7D"/>
    <w:rsid w:val="005F1588"/>
    <w:rsid w:val="005F75D2"/>
    <w:rsid w:val="0060245C"/>
    <w:rsid w:val="006043E5"/>
    <w:rsid w:val="006052F7"/>
    <w:rsid w:val="006067F9"/>
    <w:rsid w:val="00607A7C"/>
    <w:rsid w:val="00607E6E"/>
    <w:rsid w:val="0061016A"/>
    <w:rsid w:val="00610ACD"/>
    <w:rsid w:val="006116E1"/>
    <w:rsid w:val="00612713"/>
    <w:rsid w:val="00614F9D"/>
    <w:rsid w:val="00615DAE"/>
    <w:rsid w:val="00620DA5"/>
    <w:rsid w:val="006300E7"/>
    <w:rsid w:val="00632695"/>
    <w:rsid w:val="006349F7"/>
    <w:rsid w:val="00635A2D"/>
    <w:rsid w:val="00635E59"/>
    <w:rsid w:val="00640702"/>
    <w:rsid w:val="00641ABF"/>
    <w:rsid w:val="00642CE0"/>
    <w:rsid w:val="00642F5B"/>
    <w:rsid w:val="0065096F"/>
    <w:rsid w:val="006534BF"/>
    <w:rsid w:val="006556F1"/>
    <w:rsid w:val="00657D6F"/>
    <w:rsid w:val="00657EEF"/>
    <w:rsid w:val="00662170"/>
    <w:rsid w:val="006631C2"/>
    <w:rsid w:val="006638F4"/>
    <w:rsid w:val="006644C4"/>
    <w:rsid w:val="006658F6"/>
    <w:rsid w:val="00665F39"/>
    <w:rsid w:val="00666405"/>
    <w:rsid w:val="006700EA"/>
    <w:rsid w:val="00673206"/>
    <w:rsid w:val="006765EA"/>
    <w:rsid w:val="00680A08"/>
    <w:rsid w:val="0068125F"/>
    <w:rsid w:val="0068437B"/>
    <w:rsid w:val="00686ABD"/>
    <w:rsid w:val="00691B19"/>
    <w:rsid w:val="00691DB1"/>
    <w:rsid w:val="00693061"/>
    <w:rsid w:val="006A0786"/>
    <w:rsid w:val="006A18E9"/>
    <w:rsid w:val="006A4A0B"/>
    <w:rsid w:val="006A7E73"/>
    <w:rsid w:val="006B2581"/>
    <w:rsid w:val="006B70BA"/>
    <w:rsid w:val="006C72AD"/>
    <w:rsid w:val="006C72B4"/>
    <w:rsid w:val="006C7C94"/>
    <w:rsid w:val="006C7CF2"/>
    <w:rsid w:val="006D016B"/>
    <w:rsid w:val="006D0E82"/>
    <w:rsid w:val="006D58FA"/>
    <w:rsid w:val="006E1DB4"/>
    <w:rsid w:val="006E4006"/>
    <w:rsid w:val="006E4A40"/>
    <w:rsid w:val="006E5AD3"/>
    <w:rsid w:val="006F4466"/>
    <w:rsid w:val="006F4A66"/>
    <w:rsid w:val="006F5A47"/>
    <w:rsid w:val="006F5D1B"/>
    <w:rsid w:val="00704579"/>
    <w:rsid w:val="00712692"/>
    <w:rsid w:val="00714FB1"/>
    <w:rsid w:val="007152A2"/>
    <w:rsid w:val="00717FB0"/>
    <w:rsid w:val="00722FBF"/>
    <w:rsid w:val="00724F8D"/>
    <w:rsid w:val="00725C52"/>
    <w:rsid w:val="00725F49"/>
    <w:rsid w:val="007311D6"/>
    <w:rsid w:val="007338F1"/>
    <w:rsid w:val="0073654C"/>
    <w:rsid w:val="00737E45"/>
    <w:rsid w:val="00744164"/>
    <w:rsid w:val="007472B9"/>
    <w:rsid w:val="00747E0A"/>
    <w:rsid w:val="00761599"/>
    <w:rsid w:val="00763E82"/>
    <w:rsid w:val="007641CC"/>
    <w:rsid w:val="0076491F"/>
    <w:rsid w:val="007743DC"/>
    <w:rsid w:val="00774BD0"/>
    <w:rsid w:val="0077613A"/>
    <w:rsid w:val="00776EDC"/>
    <w:rsid w:val="007775F9"/>
    <w:rsid w:val="00781BE3"/>
    <w:rsid w:val="00782176"/>
    <w:rsid w:val="0078714B"/>
    <w:rsid w:val="0079021C"/>
    <w:rsid w:val="00790DC5"/>
    <w:rsid w:val="0079279E"/>
    <w:rsid w:val="007A0DBC"/>
    <w:rsid w:val="007A1747"/>
    <w:rsid w:val="007A210E"/>
    <w:rsid w:val="007A2BFC"/>
    <w:rsid w:val="007A314B"/>
    <w:rsid w:val="007B044E"/>
    <w:rsid w:val="007B0FE9"/>
    <w:rsid w:val="007B2984"/>
    <w:rsid w:val="007B32F7"/>
    <w:rsid w:val="007B33FC"/>
    <w:rsid w:val="007B4D33"/>
    <w:rsid w:val="007C5939"/>
    <w:rsid w:val="007C7135"/>
    <w:rsid w:val="007D5D55"/>
    <w:rsid w:val="007E280A"/>
    <w:rsid w:val="007E4665"/>
    <w:rsid w:val="007E4BA4"/>
    <w:rsid w:val="007F0F40"/>
    <w:rsid w:val="007F2755"/>
    <w:rsid w:val="007F6B65"/>
    <w:rsid w:val="00801F57"/>
    <w:rsid w:val="00803BA9"/>
    <w:rsid w:val="0080439D"/>
    <w:rsid w:val="008050D5"/>
    <w:rsid w:val="008058B4"/>
    <w:rsid w:val="00807054"/>
    <w:rsid w:val="0081049E"/>
    <w:rsid w:val="008131C3"/>
    <w:rsid w:val="0082207F"/>
    <w:rsid w:val="008237D1"/>
    <w:rsid w:val="00827BFC"/>
    <w:rsid w:val="00831803"/>
    <w:rsid w:val="00832C13"/>
    <w:rsid w:val="008407FB"/>
    <w:rsid w:val="00842140"/>
    <w:rsid w:val="008422DF"/>
    <w:rsid w:val="0084599F"/>
    <w:rsid w:val="00845BB2"/>
    <w:rsid w:val="00851A47"/>
    <w:rsid w:val="00856D8A"/>
    <w:rsid w:val="008577AB"/>
    <w:rsid w:val="008579A9"/>
    <w:rsid w:val="008601BD"/>
    <w:rsid w:val="00866830"/>
    <w:rsid w:val="00872CDF"/>
    <w:rsid w:val="00873CE0"/>
    <w:rsid w:val="00875028"/>
    <w:rsid w:val="00876D4C"/>
    <w:rsid w:val="0087770E"/>
    <w:rsid w:val="00882742"/>
    <w:rsid w:val="0088402B"/>
    <w:rsid w:val="00887EAA"/>
    <w:rsid w:val="00891426"/>
    <w:rsid w:val="00892A99"/>
    <w:rsid w:val="008A1D6B"/>
    <w:rsid w:val="008A1E1A"/>
    <w:rsid w:val="008B09B2"/>
    <w:rsid w:val="008B17A3"/>
    <w:rsid w:val="008B3C06"/>
    <w:rsid w:val="008B5E19"/>
    <w:rsid w:val="008C1566"/>
    <w:rsid w:val="008C241A"/>
    <w:rsid w:val="008C3002"/>
    <w:rsid w:val="008C3A4C"/>
    <w:rsid w:val="008C42EF"/>
    <w:rsid w:val="008C4C05"/>
    <w:rsid w:val="008D24AC"/>
    <w:rsid w:val="008D2A35"/>
    <w:rsid w:val="008D6B13"/>
    <w:rsid w:val="008E076B"/>
    <w:rsid w:val="008E2DE0"/>
    <w:rsid w:val="008F146C"/>
    <w:rsid w:val="008F17A8"/>
    <w:rsid w:val="008F46A9"/>
    <w:rsid w:val="008F4F68"/>
    <w:rsid w:val="00901F19"/>
    <w:rsid w:val="009024CD"/>
    <w:rsid w:val="00902D46"/>
    <w:rsid w:val="00902F49"/>
    <w:rsid w:val="009046A5"/>
    <w:rsid w:val="00905895"/>
    <w:rsid w:val="0091042F"/>
    <w:rsid w:val="00910496"/>
    <w:rsid w:val="00910CD5"/>
    <w:rsid w:val="00911560"/>
    <w:rsid w:val="00916673"/>
    <w:rsid w:val="00922628"/>
    <w:rsid w:val="0092746F"/>
    <w:rsid w:val="0093168C"/>
    <w:rsid w:val="00932292"/>
    <w:rsid w:val="00933B45"/>
    <w:rsid w:val="00942B54"/>
    <w:rsid w:val="0094424E"/>
    <w:rsid w:val="009458F1"/>
    <w:rsid w:val="009504FB"/>
    <w:rsid w:val="0095151D"/>
    <w:rsid w:val="00952634"/>
    <w:rsid w:val="00953E32"/>
    <w:rsid w:val="00962727"/>
    <w:rsid w:val="00963579"/>
    <w:rsid w:val="009635A1"/>
    <w:rsid w:val="00965023"/>
    <w:rsid w:val="0096618D"/>
    <w:rsid w:val="00974E4A"/>
    <w:rsid w:val="0097659E"/>
    <w:rsid w:val="009809C3"/>
    <w:rsid w:val="00987131"/>
    <w:rsid w:val="0099747E"/>
    <w:rsid w:val="009A15A3"/>
    <w:rsid w:val="009A2535"/>
    <w:rsid w:val="009B3A35"/>
    <w:rsid w:val="009B6BAD"/>
    <w:rsid w:val="009C05FC"/>
    <w:rsid w:val="009C073B"/>
    <w:rsid w:val="009C0918"/>
    <w:rsid w:val="009C1A43"/>
    <w:rsid w:val="009C4101"/>
    <w:rsid w:val="009C5559"/>
    <w:rsid w:val="009C564C"/>
    <w:rsid w:val="009C677C"/>
    <w:rsid w:val="009C7F98"/>
    <w:rsid w:val="009D4F12"/>
    <w:rsid w:val="009E0988"/>
    <w:rsid w:val="009E0F7C"/>
    <w:rsid w:val="009E20FA"/>
    <w:rsid w:val="009E4A8E"/>
    <w:rsid w:val="009E544E"/>
    <w:rsid w:val="009F0D21"/>
    <w:rsid w:val="009F26A2"/>
    <w:rsid w:val="009F32B6"/>
    <w:rsid w:val="009F519F"/>
    <w:rsid w:val="009F6F1C"/>
    <w:rsid w:val="00A014DC"/>
    <w:rsid w:val="00A019B6"/>
    <w:rsid w:val="00A11054"/>
    <w:rsid w:val="00A1280A"/>
    <w:rsid w:val="00A14BB7"/>
    <w:rsid w:val="00A20010"/>
    <w:rsid w:val="00A2066F"/>
    <w:rsid w:val="00A21B54"/>
    <w:rsid w:val="00A2297D"/>
    <w:rsid w:val="00A2310E"/>
    <w:rsid w:val="00A23D44"/>
    <w:rsid w:val="00A30E9F"/>
    <w:rsid w:val="00A312E7"/>
    <w:rsid w:val="00A31896"/>
    <w:rsid w:val="00A37FC0"/>
    <w:rsid w:val="00A406CA"/>
    <w:rsid w:val="00A46240"/>
    <w:rsid w:val="00A53DFD"/>
    <w:rsid w:val="00A56C14"/>
    <w:rsid w:val="00A65CFB"/>
    <w:rsid w:val="00A67B7E"/>
    <w:rsid w:val="00A7679A"/>
    <w:rsid w:val="00A769F8"/>
    <w:rsid w:val="00A8035E"/>
    <w:rsid w:val="00A859AE"/>
    <w:rsid w:val="00A85E4C"/>
    <w:rsid w:val="00A869C7"/>
    <w:rsid w:val="00A9555B"/>
    <w:rsid w:val="00AA3200"/>
    <w:rsid w:val="00AA604C"/>
    <w:rsid w:val="00AA6835"/>
    <w:rsid w:val="00AA6DD7"/>
    <w:rsid w:val="00AB0D7B"/>
    <w:rsid w:val="00AB40B2"/>
    <w:rsid w:val="00AB78BB"/>
    <w:rsid w:val="00AC2F10"/>
    <w:rsid w:val="00AC3395"/>
    <w:rsid w:val="00AD304D"/>
    <w:rsid w:val="00AD3A83"/>
    <w:rsid w:val="00AD3E2F"/>
    <w:rsid w:val="00AD4E09"/>
    <w:rsid w:val="00AD7804"/>
    <w:rsid w:val="00AD7E5A"/>
    <w:rsid w:val="00AE000F"/>
    <w:rsid w:val="00AE0F9F"/>
    <w:rsid w:val="00AE11AF"/>
    <w:rsid w:val="00AE28A9"/>
    <w:rsid w:val="00AE52FF"/>
    <w:rsid w:val="00AE53CA"/>
    <w:rsid w:val="00AE5F67"/>
    <w:rsid w:val="00AE77BC"/>
    <w:rsid w:val="00AF299B"/>
    <w:rsid w:val="00AF2BAD"/>
    <w:rsid w:val="00B03A1C"/>
    <w:rsid w:val="00B10154"/>
    <w:rsid w:val="00B103E9"/>
    <w:rsid w:val="00B11C5F"/>
    <w:rsid w:val="00B13FDC"/>
    <w:rsid w:val="00B1512E"/>
    <w:rsid w:val="00B17D9A"/>
    <w:rsid w:val="00B20805"/>
    <w:rsid w:val="00B20B5A"/>
    <w:rsid w:val="00B22BB1"/>
    <w:rsid w:val="00B25C97"/>
    <w:rsid w:val="00B30EBC"/>
    <w:rsid w:val="00B30F1F"/>
    <w:rsid w:val="00B45A80"/>
    <w:rsid w:val="00B504E3"/>
    <w:rsid w:val="00B50D3B"/>
    <w:rsid w:val="00B52281"/>
    <w:rsid w:val="00B523F2"/>
    <w:rsid w:val="00B53077"/>
    <w:rsid w:val="00B55453"/>
    <w:rsid w:val="00B565DB"/>
    <w:rsid w:val="00B56B83"/>
    <w:rsid w:val="00B636D3"/>
    <w:rsid w:val="00B63857"/>
    <w:rsid w:val="00B668A5"/>
    <w:rsid w:val="00B67BE1"/>
    <w:rsid w:val="00B700C6"/>
    <w:rsid w:val="00B74E2A"/>
    <w:rsid w:val="00B7678A"/>
    <w:rsid w:val="00B77BD3"/>
    <w:rsid w:val="00B805A2"/>
    <w:rsid w:val="00B80E40"/>
    <w:rsid w:val="00B810F1"/>
    <w:rsid w:val="00B85344"/>
    <w:rsid w:val="00B8577C"/>
    <w:rsid w:val="00B92F2F"/>
    <w:rsid w:val="00B93C94"/>
    <w:rsid w:val="00B955E1"/>
    <w:rsid w:val="00B9561B"/>
    <w:rsid w:val="00B970B8"/>
    <w:rsid w:val="00B97BB2"/>
    <w:rsid w:val="00BA21D1"/>
    <w:rsid w:val="00BA7857"/>
    <w:rsid w:val="00BB3BA0"/>
    <w:rsid w:val="00BB43B1"/>
    <w:rsid w:val="00BB6319"/>
    <w:rsid w:val="00BC410F"/>
    <w:rsid w:val="00BC518D"/>
    <w:rsid w:val="00BC6784"/>
    <w:rsid w:val="00BC737B"/>
    <w:rsid w:val="00BD0474"/>
    <w:rsid w:val="00BD256F"/>
    <w:rsid w:val="00BD6166"/>
    <w:rsid w:val="00BD71F2"/>
    <w:rsid w:val="00BE0822"/>
    <w:rsid w:val="00BE08D6"/>
    <w:rsid w:val="00BE1131"/>
    <w:rsid w:val="00BE1EDA"/>
    <w:rsid w:val="00BE5555"/>
    <w:rsid w:val="00C01D81"/>
    <w:rsid w:val="00C01F35"/>
    <w:rsid w:val="00C0218D"/>
    <w:rsid w:val="00C02232"/>
    <w:rsid w:val="00C039E4"/>
    <w:rsid w:val="00C051F6"/>
    <w:rsid w:val="00C0529F"/>
    <w:rsid w:val="00C13B06"/>
    <w:rsid w:val="00C173B1"/>
    <w:rsid w:val="00C17DDB"/>
    <w:rsid w:val="00C2063C"/>
    <w:rsid w:val="00C22D9E"/>
    <w:rsid w:val="00C256F2"/>
    <w:rsid w:val="00C27116"/>
    <w:rsid w:val="00C27AA3"/>
    <w:rsid w:val="00C31117"/>
    <w:rsid w:val="00C453BD"/>
    <w:rsid w:val="00C50B27"/>
    <w:rsid w:val="00C54076"/>
    <w:rsid w:val="00C641A2"/>
    <w:rsid w:val="00C704D1"/>
    <w:rsid w:val="00C7058B"/>
    <w:rsid w:val="00C712DF"/>
    <w:rsid w:val="00C764DD"/>
    <w:rsid w:val="00C76E93"/>
    <w:rsid w:val="00C77808"/>
    <w:rsid w:val="00C82246"/>
    <w:rsid w:val="00C835EE"/>
    <w:rsid w:val="00C861CF"/>
    <w:rsid w:val="00C86F77"/>
    <w:rsid w:val="00C90059"/>
    <w:rsid w:val="00C95678"/>
    <w:rsid w:val="00CA0ECE"/>
    <w:rsid w:val="00CB1E3F"/>
    <w:rsid w:val="00CB4F65"/>
    <w:rsid w:val="00CB7194"/>
    <w:rsid w:val="00CC5292"/>
    <w:rsid w:val="00CC59FF"/>
    <w:rsid w:val="00CD4419"/>
    <w:rsid w:val="00CD6C03"/>
    <w:rsid w:val="00CE1D9B"/>
    <w:rsid w:val="00CE24C4"/>
    <w:rsid w:val="00CE327C"/>
    <w:rsid w:val="00CE366E"/>
    <w:rsid w:val="00CE4A0D"/>
    <w:rsid w:val="00CE4C30"/>
    <w:rsid w:val="00CE593B"/>
    <w:rsid w:val="00CE6E0D"/>
    <w:rsid w:val="00CE79D7"/>
    <w:rsid w:val="00CF04F6"/>
    <w:rsid w:val="00CF18A7"/>
    <w:rsid w:val="00CF1CEF"/>
    <w:rsid w:val="00CF1F7D"/>
    <w:rsid w:val="00CF23D9"/>
    <w:rsid w:val="00D024DA"/>
    <w:rsid w:val="00D02E54"/>
    <w:rsid w:val="00D03B7F"/>
    <w:rsid w:val="00D03BD6"/>
    <w:rsid w:val="00D1349D"/>
    <w:rsid w:val="00D25C2E"/>
    <w:rsid w:val="00D279FC"/>
    <w:rsid w:val="00D313F1"/>
    <w:rsid w:val="00D32073"/>
    <w:rsid w:val="00D321C1"/>
    <w:rsid w:val="00D349D3"/>
    <w:rsid w:val="00D354BB"/>
    <w:rsid w:val="00D41148"/>
    <w:rsid w:val="00D42FA0"/>
    <w:rsid w:val="00D43740"/>
    <w:rsid w:val="00D43E4E"/>
    <w:rsid w:val="00D44A6D"/>
    <w:rsid w:val="00D452A5"/>
    <w:rsid w:val="00D45689"/>
    <w:rsid w:val="00D46B61"/>
    <w:rsid w:val="00D47E10"/>
    <w:rsid w:val="00D5391D"/>
    <w:rsid w:val="00D55D61"/>
    <w:rsid w:val="00D60DDA"/>
    <w:rsid w:val="00D61251"/>
    <w:rsid w:val="00D621F3"/>
    <w:rsid w:val="00D6302B"/>
    <w:rsid w:val="00D63BD5"/>
    <w:rsid w:val="00D66F0A"/>
    <w:rsid w:val="00D703C2"/>
    <w:rsid w:val="00D7042E"/>
    <w:rsid w:val="00D82069"/>
    <w:rsid w:val="00D82DFA"/>
    <w:rsid w:val="00D82EDD"/>
    <w:rsid w:val="00D83423"/>
    <w:rsid w:val="00D86EA3"/>
    <w:rsid w:val="00D87000"/>
    <w:rsid w:val="00D871CA"/>
    <w:rsid w:val="00D87407"/>
    <w:rsid w:val="00D90A1F"/>
    <w:rsid w:val="00D91276"/>
    <w:rsid w:val="00D938F2"/>
    <w:rsid w:val="00D9427C"/>
    <w:rsid w:val="00D96987"/>
    <w:rsid w:val="00DA153A"/>
    <w:rsid w:val="00DA454A"/>
    <w:rsid w:val="00DA52E2"/>
    <w:rsid w:val="00DA65C5"/>
    <w:rsid w:val="00DB308B"/>
    <w:rsid w:val="00DB70A5"/>
    <w:rsid w:val="00DC04A3"/>
    <w:rsid w:val="00DC7710"/>
    <w:rsid w:val="00DD0728"/>
    <w:rsid w:val="00DD0B3C"/>
    <w:rsid w:val="00DD0B5E"/>
    <w:rsid w:val="00DD49ED"/>
    <w:rsid w:val="00DD4DB3"/>
    <w:rsid w:val="00DD65F6"/>
    <w:rsid w:val="00DE450A"/>
    <w:rsid w:val="00DE57C8"/>
    <w:rsid w:val="00DE6FCA"/>
    <w:rsid w:val="00DF3002"/>
    <w:rsid w:val="00DF5021"/>
    <w:rsid w:val="00DF781D"/>
    <w:rsid w:val="00E00562"/>
    <w:rsid w:val="00E00DB0"/>
    <w:rsid w:val="00E042E2"/>
    <w:rsid w:val="00E054D7"/>
    <w:rsid w:val="00E05F36"/>
    <w:rsid w:val="00E119DE"/>
    <w:rsid w:val="00E132BB"/>
    <w:rsid w:val="00E14C5D"/>
    <w:rsid w:val="00E15819"/>
    <w:rsid w:val="00E16011"/>
    <w:rsid w:val="00E17737"/>
    <w:rsid w:val="00E23427"/>
    <w:rsid w:val="00E23791"/>
    <w:rsid w:val="00E255C1"/>
    <w:rsid w:val="00E27186"/>
    <w:rsid w:val="00E30206"/>
    <w:rsid w:val="00E30640"/>
    <w:rsid w:val="00E359F4"/>
    <w:rsid w:val="00E36C2C"/>
    <w:rsid w:val="00E37E72"/>
    <w:rsid w:val="00E436F1"/>
    <w:rsid w:val="00E43971"/>
    <w:rsid w:val="00E44F6B"/>
    <w:rsid w:val="00E454E7"/>
    <w:rsid w:val="00E462EF"/>
    <w:rsid w:val="00E51B0B"/>
    <w:rsid w:val="00E524B6"/>
    <w:rsid w:val="00E53F9F"/>
    <w:rsid w:val="00E54EFA"/>
    <w:rsid w:val="00E559EC"/>
    <w:rsid w:val="00E57C91"/>
    <w:rsid w:val="00E57DA1"/>
    <w:rsid w:val="00E64CB6"/>
    <w:rsid w:val="00E660CA"/>
    <w:rsid w:val="00E70BAA"/>
    <w:rsid w:val="00E74999"/>
    <w:rsid w:val="00E757CF"/>
    <w:rsid w:val="00E7718E"/>
    <w:rsid w:val="00E82F48"/>
    <w:rsid w:val="00E83AA1"/>
    <w:rsid w:val="00E83EB7"/>
    <w:rsid w:val="00E8657A"/>
    <w:rsid w:val="00E91819"/>
    <w:rsid w:val="00E94242"/>
    <w:rsid w:val="00E95214"/>
    <w:rsid w:val="00EA4647"/>
    <w:rsid w:val="00EA5DDB"/>
    <w:rsid w:val="00EA6253"/>
    <w:rsid w:val="00EA655B"/>
    <w:rsid w:val="00EA71D3"/>
    <w:rsid w:val="00EB36AD"/>
    <w:rsid w:val="00EB648B"/>
    <w:rsid w:val="00EB7DD4"/>
    <w:rsid w:val="00EC3650"/>
    <w:rsid w:val="00EC3C9C"/>
    <w:rsid w:val="00EC46E8"/>
    <w:rsid w:val="00EC4923"/>
    <w:rsid w:val="00EC71B7"/>
    <w:rsid w:val="00ED2A60"/>
    <w:rsid w:val="00EE3C33"/>
    <w:rsid w:val="00EF07BA"/>
    <w:rsid w:val="00EF0F17"/>
    <w:rsid w:val="00EF1630"/>
    <w:rsid w:val="00EF25F9"/>
    <w:rsid w:val="00EF2CB5"/>
    <w:rsid w:val="00EF30DF"/>
    <w:rsid w:val="00EF4680"/>
    <w:rsid w:val="00EF52E4"/>
    <w:rsid w:val="00EF6331"/>
    <w:rsid w:val="00EF7C6F"/>
    <w:rsid w:val="00F0147A"/>
    <w:rsid w:val="00F02DBD"/>
    <w:rsid w:val="00F03010"/>
    <w:rsid w:val="00F04321"/>
    <w:rsid w:val="00F107B8"/>
    <w:rsid w:val="00F136E3"/>
    <w:rsid w:val="00F144DA"/>
    <w:rsid w:val="00F1658B"/>
    <w:rsid w:val="00F16FE4"/>
    <w:rsid w:val="00F17C2C"/>
    <w:rsid w:val="00F2048E"/>
    <w:rsid w:val="00F24098"/>
    <w:rsid w:val="00F2523C"/>
    <w:rsid w:val="00F304C2"/>
    <w:rsid w:val="00F35FE0"/>
    <w:rsid w:val="00F37183"/>
    <w:rsid w:val="00F4368E"/>
    <w:rsid w:val="00F441E1"/>
    <w:rsid w:val="00F45AC2"/>
    <w:rsid w:val="00F526FF"/>
    <w:rsid w:val="00F53187"/>
    <w:rsid w:val="00F53DE1"/>
    <w:rsid w:val="00F54AC4"/>
    <w:rsid w:val="00F568F3"/>
    <w:rsid w:val="00F63172"/>
    <w:rsid w:val="00F6537A"/>
    <w:rsid w:val="00F67542"/>
    <w:rsid w:val="00F67D09"/>
    <w:rsid w:val="00F70A33"/>
    <w:rsid w:val="00F7153B"/>
    <w:rsid w:val="00F71BF3"/>
    <w:rsid w:val="00F751AA"/>
    <w:rsid w:val="00F75E95"/>
    <w:rsid w:val="00F75F72"/>
    <w:rsid w:val="00F761F4"/>
    <w:rsid w:val="00F7655D"/>
    <w:rsid w:val="00F76B10"/>
    <w:rsid w:val="00F840E6"/>
    <w:rsid w:val="00F875D9"/>
    <w:rsid w:val="00F92651"/>
    <w:rsid w:val="00F93761"/>
    <w:rsid w:val="00F97BDE"/>
    <w:rsid w:val="00FA1C43"/>
    <w:rsid w:val="00FC2339"/>
    <w:rsid w:val="00FC396F"/>
    <w:rsid w:val="00FC4B05"/>
    <w:rsid w:val="00FC4CE4"/>
    <w:rsid w:val="00FD4E96"/>
    <w:rsid w:val="00FD782E"/>
    <w:rsid w:val="00FD78C2"/>
    <w:rsid w:val="00FE39B6"/>
    <w:rsid w:val="00FF08FE"/>
    <w:rsid w:val="00FF0AF2"/>
    <w:rsid w:val="00FF145C"/>
    <w:rsid w:val="00FF4918"/>
    <w:rsid w:val="00FF4B93"/>
    <w:rsid w:val="00FF5382"/>
    <w:rsid w:val="0BAB66AE"/>
    <w:rsid w:val="0D4E45B3"/>
    <w:rsid w:val="0EE74F37"/>
    <w:rsid w:val="0F1A3D2D"/>
    <w:rsid w:val="0FC3C23C"/>
    <w:rsid w:val="1019E1CA"/>
    <w:rsid w:val="18265FC6"/>
    <w:rsid w:val="1A11424A"/>
    <w:rsid w:val="1C6CA597"/>
    <w:rsid w:val="2322E946"/>
    <w:rsid w:val="27895222"/>
    <w:rsid w:val="28F6AD51"/>
    <w:rsid w:val="2DA17603"/>
    <w:rsid w:val="2FF55312"/>
    <w:rsid w:val="339F83D4"/>
    <w:rsid w:val="3AF2ABD8"/>
    <w:rsid w:val="3B96BA8F"/>
    <w:rsid w:val="3DD4374C"/>
    <w:rsid w:val="41FEDCD4"/>
    <w:rsid w:val="44A10752"/>
    <w:rsid w:val="44E3398F"/>
    <w:rsid w:val="45BF9224"/>
    <w:rsid w:val="5566F20B"/>
    <w:rsid w:val="58B3984B"/>
    <w:rsid w:val="5A375235"/>
    <w:rsid w:val="5BA67C64"/>
    <w:rsid w:val="6017FEFD"/>
    <w:rsid w:val="62EFA305"/>
    <w:rsid w:val="669B097B"/>
    <w:rsid w:val="6E9EE6B6"/>
    <w:rsid w:val="76BBB70C"/>
    <w:rsid w:val="7859BA4E"/>
    <w:rsid w:val="7AC11DD1"/>
    <w:rsid w:val="7D639230"/>
    <w:rsid w:val="7DE6793E"/>
    <w:rsid w:val="7EFF66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6618E0"/>
  <w15:chartTrackingRefBased/>
  <w15:docId w15:val="{D8FCEDBC-4DF2-448C-9675-2924411D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AF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9F6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F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F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F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F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F1C"/>
    <w:rPr>
      <w:rFonts w:eastAsiaTheme="majorEastAsia" w:cstheme="majorBidi"/>
      <w:color w:val="272727" w:themeColor="text1" w:themeTint="D8"/>
    </w:rPr>
  </w:style>
  <w:style w:type="paragraph" w:styleId="Title">
    <w:name w:val="Title"/>
    <w:basedOn w:val="Normal"/>
    <w:next w:val="Normal"/>
    <w:link w:val="TitleChar"/>
    <w:uiPriority w:val="10"/>
    <w:qFormat/>
    <w:rsid w:val="009F6F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F6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F6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F1C"/>
    <w:pPr>
      <w:spacing w:before="160"/>
      <w:jc w:val="center"/>
    </w:pPr>
    <w:rPr>
      <w:i/>
      <w:iCs/>
      <w:color w:val="404040" w:themeColor="text1" w:themeTint="BF"/>
    </w:rPr>
  </w:style>
  <w:style w:type="character" w:customStyle="1" w:styleId="QuoteChar">
    <w:name w:val="Quote Char"/>
    <w:basedOn w:val="DefaultParagraphFont"/>
    <w:link w:val="Quote"/>
    <w:uiPriority w:val="29"/>
    <w:rsid w:val="009F6F1C"/>
    <w:rPr>
      <w:i/>
      <w:iCs/>
      <w:color w:val="404040" w:themeColor="text1" w:themeTint="BF"/>
    </w:rPr>
  </w:style>
  <w:style w:type="paragraph" w:styleId="ListParagraph">
    <w:name w:val="List Paragraph"/>
    <w:basedOn w:val="Normal"/>
    <w:uiPriority w:val="34"/>
    <w:qFormat/>
    <w:rsid w:val="009F6F1C"/>
    <w:pPr>
      <w:ind w:left="720"/>
      <w:contextualSpacing/>
    </w:pPr>
  </w:style>
  <w:style w:type="character" w:styleId="IntenseEmphasis">
    <w:name w:val="Intense Emphasis"/>
    <w:basedOn w:val="DefaultParagraphFont"/>
    <w:uiPriority w:val="21"/>
    <w:qFormat/>
    <w:rsid w:val="009F6F1C"/>
    <w:rPr>
      <w:i/>
      <w:iCs/>
      <w:color w:val="0F4761" w:themeColor="accent1" w:themeShade="BF"/>
    </w:rPr>
  </w:style>
  <w:style w:type="paragraph" w:styleId="IntenseQuote">
    <w:name w:val="Intense Quote"/>
    <w:basedOn w:val="Normal"/>
    <w:next w:val="Normal"/>
    <w:link w:val="IntenseQuoteChar"/>
    <w:uiPriority w:val="30"/>
    <w:qFormat/>
    <w:rsid w:val="009F6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F1C"/>
    <w:rPr>
      <w:i/>
      <w:iCs/>
      <w:color w:val="0F4761" w:themeColor="accent1" w:themeShade="BF"/>
    </w:rPr>
  </w:style>
  <w:style w:type="character" w:styleId="IntenseReference">
    <w:name w:val="Intense Reference"/>
    <w:basedOn w:val="DefaultParagraphFont"/>
    <w:uiPriority w:val="32"/>
    <w:qFormat/>
    <w:rsid w:val="009F6F1C"/>
    <w:rPr>
      <w:b/>
      <w:bCs/>
      <w:smallCaps/>
      <w:color w:val="0F4761" w:themeColor="accent1" w:themeShade="BF"/>
      <w:spacing w:val="5"/>
    </w:rPr>
  </w:style>
  <w:style w:type="paragraph" w:styleId="Header">
    <w:name w:val="header"/>
    <w:basedOn w:val="Normal"/>
    <w:link w:val="HeaderChar"/>
    <w:semiHidden/>
    <w:rsid w:val="009F6F1C"/>
    <w:pPr>
      <w:tabs>
        <w:tab w:val="center" w:pos="4320"/>
        <w:tab w:val="right" w:pos="8640"/>
      </w:tabs>
    </w:pPr>
  </w:style>
  <w:style w:type="character" w:customStyle="1" w:styleId="HeaderChar">
    <w:name w:val="Header Char"/>
    <w:basedOn w:val="DefaultParagraphFont"/>
    <w:link w:val="Header"/>
    <w:semiHidden/>
    <w:rsid w:val="009F6F1C"/>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9F6F1C"/>
    <w:rPr>
      <w:color w:val="467886" w:themeColor="hyperlink"/>
      <w:u w:val="single"/>
    </w:rPr>
  </w:style>
  <w:style w:type="paragraph" w:styleId="BodyTextIndent2">
    <w:name w:val="Body Text Indent 2"/>
    <w:basedOn w:val="Normal"/>
    <w:link w:val="BodyTextIndent2Char"/>
    <w:rsid w:val="009F6F1C"/>
    <w:pPr>
      <w:spacing w:after="120" w:line="480" w:lineRule="auto"/>
      <w:ind w:left="360"/>
    </w:pPr>
  </w:style>
  <w:style w:type="character" w:customStyle="1" w:styleId="BodyTextIndent2Char">
    <w:name w:val="Body Text Indent 2 Char"/>
    <w:basedOn w:val="DefaultParagraphFont"/>
    <w:link w:val="BodyTextIndent2"/>
    <w:rsid w:val="009F6F1C"/>
    <w:rPr>
      <w:rFonts w:ascii="Times New Roman" w:eastAsia="Times New Roman" w:hAnsi="Times New Roman" w:cs="Times New Roman"/>
      <w:kern w:val="0"/>
      <w:sz w:val="20"/>
      <w:szCs w:val="20"/>
      <w14:ligatures w14:val="none"/>
    </w:rPr>
  </w:style>
  <w:style w:type="paragraph" w:customStyle="1" w:styleId="pf0">
    <w:name w:val="pf0"/>
    <w:basedOn w:val="Normal"/>
    <w:rsid w:val="009F6F1C"/>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9F6F1C"/>
    <w:rPr>
      <w:rFonts w:ascii="Segoe UI" w:hAnsi="Segoe UI" w:cs="Segoe UI" w:hint="default"/>
      <w:sz w:val="18"/>
      <w:szCs w:val="18"/>
    </w:rPr>
  </w:style>
  <w:style w:type="paragraph" w:styleId="Revision">
    <w:name w:val="Revision"/>
    <w:hidden/>
    <w:uiPriority w:val="99"/>
    <w:semiHidden/>
    <w:rsid w:val="005E7862"/>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nhideWhenUsed/>
    <w:rsid w:val="005E7862"/>
    <w:rPr>
      <w:sz w:val="16"/>
      <w:szCs w:val="16"/>
    </w:rPr>
  </w:style>
  <w:style w:type="paragraph" w:styleId="CommentText">
    <w:name w:val="annotation text"/>
    <w:basedOn w:val="Normal"/>
    <w:link w:val="CommentTextChar"/>
    <w:unhideWhenUsed/>
    <w:rsid w:val="005E7862"/>
  </w:style>
  <w:style w:type="character" w:customStyle="1" w:styleId="CommentTextChar">
    <w:name w:val="Comment Text Char"/>
    <w:basedOn w:val="DefaultParagraphFont"/>
    <w:link w:val="CommentText"/>
    <w:rsid w:val="005E78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7862"/>
    <w:rPr>
      <w:b/>
      <w:bCs/>
    </w:rPr>
  </w:style>
  <w:style w:type="character" w:customStyle="1" w:styleId="CommentSubjectChar">
    <w:name w:val="Comment Subject Char"/>
    <w:basedOn w:val="CommentTextChar"/>
    <w:link w:val="CommentSubject"/>
    <w:uiPriority w:val="99"/>
    <w:semiHidden/>
    <w:rsid w:val="005E7862"/>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807054"/>
    <w:pPr>
      <w:tabs>
        <w:tab w:val="center" w:pos="4680"/>
        <w:tab w:val="right" w:pos="9360"/>
      </w:tabs>
    </w:pPr>
  </w:style>
  <w:style w:type="character" w:customStyle="1" w:styleId="FooterChar">
    <w:name w:val="Footer Char"/>
    <w:basedOn w:val="DefaultParagraphFont"/>
    <w:link w:val="Footer"/>
    <w:uiPriority w:val="99"/>
    <w:rsid w:val="00807054"/>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FF1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BA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F568F3"/>
    <w:rPr>
      <w:color w:val="96607D" w:themeColor="followedHyperlink"/>
      <w:u w:val="single"/>
    </w:rPr>
  </w:style>
  <w:style w:type="character" w:styleId="Mention">
    <w:name w:val="Mention"/>
    <w:basedOn w:val="DefaultParagraphFont"/>
    <w:uiPriority w:val="99"/>
    <w:unhideWhenUsed/>
    <w:rsid w:val="00B700C6"/>
    <w:rPr>
      <w:color w:val="2B579A"/>
      <w:shd w:val="clear" w:color="auto" w:fill="E1DFDD"/>
    </w:rPr>
  </w:style>
  <w:style w:type="paragraph" w:styleId="FootnoteText">
    <w:name w:val="footnote text"/>
    <w:basedOn w:val="Normal"/>
    <w:link w:val="FootnoteTextChar"/>
    <w:semiHidden/>
    <w:rsid w:val="00A21B54"/>
    <w:pPr>
      <w:overflowPunct/>
      <w:autoSpaceDE/>
      <w:autoSpaceDN/>
      <w:adjustRightInd/>
      <w:spacing w:after="200" w:line="276" w:lineRule="auto"/>
      <w:textAlignment w:val="auto"/>
    </w:pPr>
    <w:rPr>
      <w:rFonts w:asciiTheme="minorHAnsi" w:eastAsiaTheme="minorEastAsia" w:hAnsiTheme="minorHAnsi" w:cstheme="minorBidi"/>
      <w:szCs w:val="22"/>
    </w:rPr>
  </w:style>
  <w:style w:type="character" w:customStyle="1" w:styleId="FootnoteTextChar">
    <w:name w:val="Footnote Text Char"/>
    <w:basedOn w:val="DefaultParagraphFont"/>
    <w:link w:val="FootnoteText"/>
    <w:semiHidden/>
    <w:rsid w:val="00A21B54"/>
    <w:rPr>
      <w:rFonts w:eastAsiaTheme="minorEastAsia"/>
      <w:kern w:val="0"/>
      <w:sz w:val="22"/>
      <w:szCs w:val="22"/>
      <w14:ligatures w14:val="none"/>
    </w:rPr>
  </w:style>
  <w:style w:type="character" w:styleId="FootnoteReference">
    <w:name w:val="footnote reference"/>
    <w:basedOn w:val="DefaultParagraphFont"/>
    <w:semiHidden/>
    <w:rsid w:val="00A21B54"/>
    <w:rPr>
      <w:vertAlign w:val="superscript"/>
    </w:rPr>
  </w:style>
  <w:style w:type="character" w:styleId="UnresolvedMention">
    <w:name w:val="Unresolved Mention"/>
    <w:basedOn w:val="DefaultParagraphFont"/>
    <w:uiPriority w:val="99"/>
    <w:semiHidden/>
    <w:unhideWhenUsed/>
    <w:rsid w:val="00851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3/12/08/2023-27026/housing-opportunity-through-modernization-act-implementation-of-sections-102-103-and-104-extension" TargetMode="External" /><Relationship Id="rId11" Type="http://schemas.openxmlformats.org/officeDocument/2006/relationships/hyperlink" Target="https://www.opm.gov/policy-data-oversight/pay-leave/salaries-wages/salary-tables/pdf/2026/GS_h.pdf" TargetMode="External" /><Relationship Id="rId12" Type="http://schemas.openxmlformats.org/officeDocument/2006/relationships/hyperlink" Target="https://www.federalregister.gov/documents/2025/07/01/2025-12276/rescission-of-executive-order-11246-implementing-regulations" TargetMode="External" /><Relationship Id="rId13" Type="http://schemas.openxmlformats.org/officeDocument/2006/relationships/hyperlink" Target="https://www.federalregister.gov/executive-order/14173" TargetMode="External" /><Relationship Id="rId14" Type="http://schemas.openxmlformats.org/officeDocument/2006/relationships/hyperlink" Target="https://www.federalregister.gov/citation/90-FR-8633" TargetMode="External" /><Relationship Id="rId15" Type="http://schemas.openxmlformats.org/officeDocument/2006/relationships/hyperlink" Target="https://www.federalregister.gov/executive-order/11246" TargetMode="External" /><Relationship Id="rId16" Type="http://schemas.openxmlformats.org/officeDocument/2006/relationships/hyperlink" Target="https://www.ecfr.gov/current/title-41/part-60-1" TargetMode="External" /><Relationship Id="rId17" Type="http://schemas.openxmlformats.org/officeDocument/2006/relationships/hyperlink" Target="https://www.ecfr.gov/current/title-41/part-60-2" TargetMode="External" /><Relationship Id="rId18" Type="http://schemas.openxmlformats.org/officeDocument/2006/relationships/hyperlink" Target="https://www.ecfr.gov/current/title-41/part-60-3" TargetMode="External" /><Relationship Id="rId19" Type="http://schemas.openxmlformats.org/officeDocument/2006/relationships/hyperlink" Target="https://www.ecfr.gov/current/title-41/part-60-4" TargetMode="External" /><Relationship Id="rId2" Type="http://schemas.openxmlformats.org/officeDocument/2006/relationships/settings" Target="settings.xml" /><Relationship Id="rId20" Type="http://schemas.openxmlformats.org/officeDocument/2006/relationships/hyperlink" Target="https://www.ecfr.gov/current/title-41/part-60-20" TargetMode="External" /><Relationship Id="rId21" Type="http://schemas.openxmlformats.org/officeDocument/2006/relationships/hyperlink" Target="https://www.ecfr.gov/current/title-41/part-60-40" TargetMode="External" /><Relationship Id="rId22" Type="http://schemas.openxmlformats.org/officeDocument/2006/relationships/hyperlink" Target="https://www.ecfr.gov/current/title-41/part-60-50" TargetMode="External" /><Relationship Id="rId23" Type="http://schemas.openxmlformats.org/officeDocument/2006/relationships/hyperlink" Target="http://www.federalregister.gov/documents/2025/07/02/2025-12317/prohibiting-illegal-discrimination-in-registered-apprenticeship-programs"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TaxCatchAll xmlns="d618fc29-3912-41cf-b6ee-9c1559e8c0cf" xsi:nil="true"/>
    <DateCompleted xmlns="09cd267d-7388-4cfa-9aad-472808a8c70a" xsi:nil="true"/>
    <Team xmlns="09cd267d-7388-4cfa-9aad-472808a8c70a" xsi:nil="true"/>
    <SME xmlns="09cd267d-7388-4cfa-9aad-472808a8c70a" xsi:nil="true"/>
  </documentManagement>
</p:properties>
</file>

<file path=customXml/itemProps1.xml><?xml version="1.0" encoding="utf-8"?>
<ds:datastoreItem xmlns:ds="http://schemas.openxmlformats.org/officeDocument/2006/customXml" ds:itemID="{E7D921C0-CF2F-48D4-9316-39A38B12F988}">
  <ds:schemaRefs>
    <ds:schemaRef ds:uri="http://schemas.microsoft.com/sharepoint/v3/contenttype/forms"/>
  </ds:schemaRefs>
</ds:datastoreItem>
</file>

<file path=customXml/itemProps2.xml><?xml version="1.0" encoding="utf-8"?>
<ds:datastoreItem xmlns:ds="http://schemas.openxmlformats.org/officeDocument/2006/customXml" ds:itemID="{CA1F1B8B-7A2B-4180-969F-C273D28545F8}">
  <ds:schemaRefs>
    <ds:schemaRef ds:uri="http://schemas.openxmlformats.org/officeDocument/2006/bibliography"/>
  </ds:schemaRefs>
</ds:datastoreItem>
</file>

<file path=customXml/itemProps3.xml><?xml version="1.0" encoding="utf-8"?>
<ds:datastoreItem xmlns:ds="http://schemas.openxmlformats.org/officeDocument/2006/customXml" ds:itemID="{F8CA7B69-426B-42BE-93C2-7AD1BB2D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6BFDD-94BD-45F8-9E53-FCB87CE064E1}">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10</TotalTime>
  <Pages>25</Pages>
  <Words>11922</Words>
  <Characters>67961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Doc Submitted HUD 2577-0169 Housing Choice Voucher HCV Program and Tribal HUD-VASH Supporting Statement 2-26-26.docx</dc:title>
  <dc:creator>Chenault , Anice S</dc:creator>
  <cp:lastModifiedBy>Guido, Anna P</cp:lastModifiedBy>
  <cp:revision>2</cp:revision>
  <cp:lastPrinted>2026-04-15T19:23:00Z</cp:lastPrinted>
  <dcterms:created xsi:type="dcterms:W3CDTF">2026-04-28T17:40:00Z</dcterms:created>
  <dcterms:modified xsi:type="dcterms:W3CDTF">2026-04-28T17:40:00Z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y fmtid="{D5CDD505-2E9C-101B-9397-08002B2CF9AE}" pid="3" name="MediaServiceImageTags">
    <vt:lpwstr/>
  </property>
  <property fmtid="{D5CDD505-2E9C-101B-9397-08002B2CF9AE}" pid="4" name="_dlc_DocIdItemGuid">
    <vt:lpwstr>c72dfbc6-31e0-48ca-b8ad-fa53ca968de3</vt:lpwstr>
  </property>
</Properties>
</file>