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Layout w:type="fixed"/>
        <w:tblCellMar>
          <w:left w:w="0" w:type="dxa"/>
          <w:right w:w="0" w:type="dxa"/>
        </w:tblCellMar>
        <w:tblLook w:val="04A0"/>
      </w:tblPr>
      <w:tblGrid>
        <w:gridCol w:w="4394"/>
        <w:gridCol w:w="3298"/>
        <w:gridCol w:w="3168"/>
      </w:tblGrid>
      <w:tr w14:paraId="27898B5F" w14:textId="77777777" w:rsidTr="008A7406">
        <w:tblPrEx>
          <w:tblW w:w="0" w:type="auto"/>
          <w:tblLayout w:type="fixed"/>
          <w:tblCellMar>
            <w:left w:w="0" w:type="dxa"/>
            <w:right w:w="0" w:type="dxa"/>
          </w:tblCellMar>
          <w:tblLook w:val="04A0"/>
        </w:tblPrEx>
        <w:trPr>
          <w:trHeight w:hRule="exact" w:val="1174"/>
        </w:trPr>
        <w:tc>
          <w:tcPr>
            <w:tcW w:w="4394" w:type="dxa"/>
          </w:tcPr>
          <w:p w:rsidR="005764E2" w:rsidP="00F3089C" w14:paraId="27898B59" w14:textId="77777777">
            <w:pPr>
              <w:spacing w:line="266" w:lineRule="exact"/>
              <w:textAlignment w:val="baseline"/>
              <w:rPr>
                <w:rFonts w:ascii="Arial" w:eastAsia="Arial" w:hAnsi="Arial"/>
                <w:b/>
                <w:color w:val="000000"/>
                <w:sz w:val="24"/>
              </w:rPr>
            </w:pPr>
            <w:r>
              <w:rPr>
                <w:rFonts w:ascii="Arial" w:eastAsia="Arial" w:hAnsi="Arial"/>
                <w:b/>
                <w:color w:val="000000"/>
                <w:sz w:val="24"/>
              </w:rPr>
              <w:t>TENANCY ADDENDUM</w:t>
            </w:r>
          </w:p>
          <w:p w:rsidR="005764E2" w:rsidP="00F3089C" w14:paraId="27898B5A" w14:textId="77777777">
            <w:pPr>
              <w:spacing w:line="264" w:lineRule="exact"/>
              <w:ind w:right="324"/>
              <w:textAlignment w:val="baseline"/>
              <w:rPr>
                <w:rFonts w:ascii="Arial" w:eastAsia="Arial" w:hAnsi="Arial"/>
                <w:b/>
                <w:color w:val="000000"/>
                <w:spacing w:val="-5"/>
                <w:sz w:val="24"/>
              </w:rPr>
            </w:pPr>
            <w:r>
              <w:rPr>
                <w:rFonts w:ascii="Arial" w:eastAsia="Arial" w:hAnsi="Arial"/>
                <w:b/>
                <w:color w:val="000000"/>
                <w:spacing w:val="-5"/>
                <w:sz w:val="24"/>
              </w:rPr>
              <w:t xml:space="preserve">Section 8 Tenant-Based Assistance Housing Choice Voucher Program </w:t>
            </w:r>
            <w:r>
              <w:rPr>
                <w:rFonts w:ascii="Arial" w:eastAsia="Arial" w:hAnsi="Arial"/>
                <w:color w:val="000000"/>
                <w:spacing w:val="-5"/>
                <w:sz w:val="24"/>
              </w:rPr>
              <w:t>(To be attached to Tenant Lease)</w:t>
            </w:r>
          </w:p>
        </w:tc>
        <w:tc>
          <w:tcPr>
            <w:tcW w:w="3298" w:type="dxa"/>
          </w:tcPr>
          <w:p w:rsidR="005764E2" w14:paraId="27898B5B" w14:textId="77777777">
            <w:pPr>
              <w:spacing w:line="207" w:lineRule="exact"/>
              <w:ind w:left="360" w:right="576"/>
              <w:textAlignment w:val="baseline"/>
              <w:rPr>
                <w:rFonts w:ascii="Arial" w:eastAsia="Arial" w:hAnsi="Arial"/>
                <w:b/>
                <w:color w:val="000000"/>
                <w:spacing w:val="-4"/>
                <w:sz w:val="18"/>
              </w:rPr>
            </w:pPr>
            <w:r>
              <w:rPr>
                <w:rFonts w:ascii="Arial" w:eastAsia="Arial" w:hAnsi="Arial"/>
                <w:b/>
                <w:color w:val="000000"/>
                <w:spacing w:val="-4"/>
                <w:sz w:val="18"/>
              </w:rPr>
              <w:t>U.S. Department of Housing and Urban Development</w:t>
            </w:r>
          </w:p>
          <w:p w:rsidR="005764E2" w14:paraId="27898B5C" w14:textId="77777777">
            <w:pPr>
              <w:spacing w:before="11" w:after="482" w:line="202" w:lineRule="exact"/>
              <w:ind w:left="360"/>
              <w:textAlignment w:val="baseline"/>
              <w:rPr>
                <w:rFonts w:eastAsia="Times New Roman"/>
                <w:color w:val="000000"/>
                <w:sz w:val="18"/>
              </w:rPr>
            </w:pPr>
            <w:r>
              <w:rPr>
                <w:rFonts w:eastAsia="Times New Roman"/>
                <w:color w:val="000000"/>
                <w:sz w:val="18"/>
              </w:rPr>
              <w:t>Office of Public and Indian Housing</w:t>
            </w:r>
          </w:p>
        </w:tc>
        <w:tc>
          <w:tcPr>
            <w:tcW w:w="3168" w:type="dxa"/>
          </w:tcPr>
          <w:p w:rsidR="005764E2" w14:paraId="27898B5D" w14:textId="77777777">
            <w:pPr>
              <w:spacing w:before="126" w:line="221" w:lineRule="exact"/>
              <w:ind w:right="144"/>
              <w:jc w:val="right"/>
              <w:textAlignment w:val="baseline"/>
              <w:rPr>
                <w:rFonts w:ascii="Calibri" w:eastAsia="Calibri" w:hAnsi="Calibri"/>
                <w:color w:val="000000"/>
              </w:rPr>
            </w:pPr>
            <w:r>
              <w:rPr>
                <w:rFonts w:ascii="Calibri" w:eastAsia="Calibri" w:hAnsi="Calibri"/>
                <w:color w:val="000000"/>
              </w:rPr>
              <w:t>OMB Approval No. 2577-0169</w:t>
            </w:r>
          </w:p>
          <w:p w:rsidR="005764E2" w14:paraId="27898B5E" w14:textId="24335B94">
            <w:pPr>
              <w:spacing w:before="48" w:after="504" w:line="221" w:lineRule="exact"/>
              <w:ind w:right="144"/>
              <w:jc w:val="right"/>
              <w:textAlignment w:val="baseline"/>
              <w:rPr>
                <w:rFonts w:ascii="Calibri" w:eastAsia="Calibri" w:hAnsi="Calibri"/>
                <w:color w:val="000000"/>
              </w:rPr>
            </w:pPr>
            <w:r>
              <w:rPr>
                <w:rFonts w:ascii="Calibri" w:eastAsia="Calibri" w:hAnsi="Calibri"/>
                <w:color w:val="000000"/>
              </w:rPr>
              <w:t xml:space="preserve">exp. </w:t>
            </w:r>
            <w:r w:rsidR="00DF3408">
              <w:rPr>
                <w:rFonts w:ascii="Calibri" w:eastAsia="Calibri" w:hAnsi="Calibri"/>
                <w:color w:val="000000"/>
              </w:rPr>
              <w:t>XX/XX/XXXX</w:t>
            </w:r>
          </w:p>
        </w:tc>
      </w:tr>
    </w:tbl>
    <w:p w:rsidR="00546550" w:rsidRPr="00C06505" w:rsidP="00546550" w14:paraId="485DB472" w14:textId="66742219">
      <w:pPr>
        <w:rPr>
          <w:sz w:val="16"/>
          <w:szCs w:val="16"/>
        </w:rPr>
      </w:pPr>
      <w:r w:rsidRPr="00C06505">
        <w:rPr>
          <w:sz w:val="16"/>
          <w:szCs w:val="16"/>
        </w:rPr>
        <w:t xml:space="preserve">The public reporting burden for this collection of information is estimated to average 0.5 hours per response, including the time for reading the contract. No information is collected on this form. Comments regarding the accuracy of this burden estimate and any suggestions for reducing this burden can be sent to U.S. Department of Housing and Urban Development, Office of the Chief Data Officer, R, </w:t>
      </w:r>
      <w:r w:rsidRPr="00833374" w:rsidR="008433D7">
        <w:rPr>
          <w:sz w:val="18"/>
          <w:szCs w:val="18"/>
        </w:rPr>
        <w:t>Attention: Departmental Clearance Officer, 2415 Eisenhower Avenue Alexandria, Virginia 22314, Room 10000</w:t>
      </w:r>
      <w:r w:rsidRPr="00C06505">
        <w:rPr>
          <w:sz w:val="16"/>
          <w:szCs w:val="16"/>
        </w:rPr>
        <w:t>. </w:t>
      </w:r>
      <w:r w:rsidRPr="00C06505">
        <w:rPr>
          <w:b/>
          <w:bCs/>
          <w:sz w:val="16"/>
          <w:szCs w:val="16"/>
        </w:rPr>
        <w:t>Do not send completed forms to this address.</w:t>
      </w:r>
      <w:r w:rsidRPr="00C06505">
        <w:rPr>
          <w:sz w:val="16"/>
          <w:szCs w:val="16"/>
        </w:rPr>
        <w:t xml:space="preserve"> This agency may not conduct or sponsor, and a person is not required to respond to, a collection of information unless the collection displays a valid OMB control number. HUD collects this information </w:t>
      </w:r>
      <w:r w:rsidRPr="00C06505">
        <w:rPr>
          <w:rFonts w:eastAsiaTheme="minorHAnsi"/>
          <w:sz w:val="16"/>
          <w:szCs w:val="16"/>
        </w:rPr>
        <w:t>to establish contract terms between the participant family and owner and is required to be an addendum to the lease</w:t>
      </w:r>
      <w:r w:rsidRPr="00C06505">
        <w:rPr>
          <w:sz w:val="16"/>
          <w:szCs w:val="16"/>
        </w:rPr>
        <w:t xml:space="preserve"> HUD uses this information </w:t>
      </w:r>
      <w:r w:rsidRPr="00C06505">
        <w:rPr>
          <w:rFonts w:eastAsiaTheme="minorHAnsi"/>
          <w:sz w:val="16"/>
          <w:szCs w:val="16"/>
        </w:rPr>
        <w:t>to establish contract terms between the participant family and owner and is required to be an addendum to the lease</w:t>
      </w:r>
      <w:r w:rsidRPr="00C06505">
        <w:rPr>
          <w:sz w:val="16"/>
          <w:szCs w:val="16"/>
        </w:rPr>
        <w:t>.  This information is required to obtain benefits.</w:t>
      </w:r>
      <w:r w:rsidRPr="00C06505">
        <w:rPr>
          <w:b/>
          <w:bCs/>
          <w:sz w:val="16"/>
          <w:szCs w:val="16"/>
        </w:rPr>
        <w:t xml:space="preserve">  </w:t>
      </w:r>
      <w:r w:rsidRPr="00C06505">
        <w:rPr>
          <w:sz w:val="16"/>
          <w:szCs w:val="16"/>
        </w:rPr>
        <w:t>The Department of Housing and Urban Development (HUD) is authorized to collect the information required on this form by 24 CFR 982.308(f).  This information collected will not be held confidential.</w:t>
      </w:r>
    </w:p>
    <w:p w:rsidR="005764E2" w:rsidP="00C06505" w14:paraId="27898B62" w14:textId="4584CDE3">
      <w:pPr>
        <w:spacing w:after="60" w:line="181" w:lineRule="exact"/>
        <w:ind w:right="330"/>
        <w:textAlignment w:val="baseline"/>
        <w:sectPr w:rsidSect="00B658E6">
          <w:footerReference w:type="default" r:id="rId8"/>
          <w:pgSz w:w="12240" w:h="15840" w:code="1"/>
          <w:pgMar w:top="680" w:right="703" w:bottom="210" w:left="677" w:header="720" w:footer="288" w:gutter="0"/>
          <w:cols w:space="720"/>
          <w:docGrid w:linePitch="299"/>
        </w:sectPr>
      </w:pPr>
      <w:r w:rsidRPr="00546550">
        <w:rPr>
          <w:rFonts w:eastAsia="Times New Roman"/>
          <w:b/>
          <w:bCs/>
          <w:noProof/>
          <w:color w:val="000000"/>
          <w:spacing w:val="9"/>
          <w:sz w:val="1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45796</wp:posOffset>
                </wp:positionV>
                <wp:extent cx="6679095" cy="15902"/>
                <wp:effectExtent l="0" t="0" r="26670" b="22225"/>
                <wp:wrapNone/>
                <wp:docPr id="1812977298"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679095" cy="159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5" style="flip:y;mso-position-horizontal:left;mso-position-horizontal-relative:margin;mso-wrap-distance-bottom:0;mso-wrap-distance-left:9pt;mso-wrap-distance-right:9pt;mso-wrap-distance-top:0;mso-wrap-style:square;position:absolute;visibility:visible;z-index:251660288" from="0,3.6pt" to="525.9pt,4.85pt" strokecolor="black" strokeweight="0.5pt">
                <v:stroke joinstyle="miter"/>
                <w10:wrap anchorx="margin"/>
              </v:line>
            </w:pict>
          </mc:Fallback>
        </mc:AlternateContent>
      </w:r>
    </w:p>
    <w:p w:rsidR="005764E2" w:rsidRPr="00251F97" w:rsidP="00FF52D2" w14:paraId="27898B63" w14:textId="50438508">
      <w:pPr>
        <w:pStyle w:val="ListParagraph"/>
      </w:pPr>
      <w:r>
        <w:t xml:space="preserve">Section 8 </w:t>
      </w:r>
      <w:r w:rsidRPr="00FF52D2">
        <w:t>Voucher</w:t>
      </w:r>
      <w:r>
        <w:t xml:space="preserve"> </w:t>
      </w:r>
      <w:r w:rsidRPr="006C5719">
        <w:t>Program</w:t>
      </w:r>
    </w:p>
    <w:p w:rsidR="005764E2" w:rsidP="00F113AF" w14:paraId="27898B64" w14:textId="77777777">
      <w:pPr>
        <w:pStyle w:val="numberinga"/>
      </w:pPr>
      <w:r>
        <w:t xml:space="preserve">The owner is leasing the contract unit to the tenant for </w:t>
      </w:r>
      <w:r w:rsidRPr="00F113AF">
        <w:t>occupancy</w:t>
      </w:r>
      <w:r>
        <w:t xml:space="preserve"> by the tenant’s family with assistance for a tenancy under the Section 8 housing choice voucher program (voucher program) of the United States Department of Housing and Urban Development (HUD).</w:t>
      </w:r>
    </w:p>
    <w:p w:rsidR="005764E2" w:rsidP="00F113AF" w14:paraId="27898B65" w14:textId="77777777">
      <w:pPr>
        <w:pStyle w:val="numberinga"/>
      </w:pPr>
      <w:r>
        <w:t>The owner has entered into a Housing Assistance Payments Contract (HAP contract) with the PHA under the voucher program. Under the HAP contract, the PHA will make housing assistance payments to the owner to assist the tenant in leasing the unit from the owner.</w:t>
      </w:r>
    </w:p>
    <w:p w:rsidR="005764E2" w:rsidP="00FF52D2" w14:paraId="27898B66" w14:textId="5AFD6EDB">
      <w:pPr>
        <w:pStyle w:val="ListParagraph"/>
        <w:rPr>
          <w:sz w:val="20"/>
        </w:rPr>
      </w:pPr>
      <w:r>
        <w:t>Lease</w:t>
      </w:r>
    </w:p>
    <w:p w:rsidR="005764E2" w:rsidP="00157759" w14:paraId="27898B67" w14:textId="77777777">
      <w:pPr>
        <w:pStyle w:val="numberinga"/>
        <w:numPr>
          <w:ilvl w:val="0"/>
          <w:numId w:val="3"/>
        </w:numPr>
      </w:pPr>
      <w:r>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5764E2" w:rsidP="00157759" w14:paraId="27898B68" w14:textId="77777777">
      <w:pPr>
        <w:pStyle w:val="numberinga"/>
        <w:numPr>
          <w:ilvl w:val="0"/>
          <w:numId w:val="3"/>
        </w:numPr>
      </w:pPr>
      <w:r>
        <w:t>The tenant shall have the right to enforce the tenancy addendum against the owner. If there is any conflict between the tenancy addendum and any other provisions of the lease, the language of the tenancy addendum shall control.</w:t>
      </w:r>
    </w:p>
    <w:p w:rsidR="005764E2" w:rsidP="00FF52D2" w14:paraId="27898B69" w14:textId="2E69CBD5">
      <w:pPr>
        <w:pStyle w:val="ListParagraph"/>
        <w:rPr>
          <w:sz w:val="20"/>
        </w:rPr>
      </w:pPr>
      <w:r>
        <w:t>Use of Contract Unit</w:t>
      </w:r>
    </w:p>
    <w:p w:rsidR="005764E2" w:rsidP="00157759" w14:paraId="27898B6A" w14:textId="77777777">
      <w:pPr>
        <w:pStyle w:val="numberinga"/>
        <w:numPr>
          <w:ilvl w:val="0"/>
          <w:numId w:val="4"/>
        </w:numPr>
      </w:pPr>
      <w:r>
        <w:t xml:space="preserve">During the </w:t>
      </w:r>
      <w:r w:rsidRPr="00F47EB9">
        <w:t>lease</w:t>
      </w:r>
      <w:r>
        <w:t xml:space="preserve"> term, the family will reside in the contract unit with assistance under the voucher program.</w:t>
      </w:r>
    </w:p>
    <w:p w:rsidR="005764E2" w:rsidP="00157759" w14:paraId="27898B6B" w14:textId="77777777">
      <w:pPr>
        <w:pStyle w:val="numberinga"/>
        <w:numPr>
          <w:ilvl w:val="0"/>
          <w:numId w:val="4"/>
        </w:numPr>
      </w:pPr>
      <w:r>
        <w:t>The composition of the household must be approved by the PHA. The family must promptly inform the PHA of the birth, adoption or court-awarded custody of a child. Other persons may not be added to the household without prior written approval of the owner and the PHA.</w:t>
      </w:r>
    </w:p>
    <w:p w:rsidR="005764E2" w:rsidP="00157759" w14:paraId="27898B6C" w14:textId="338F8373">
      <w:pPr>
        <w:pStyle w:val="numberinga"/>
        <w:numPr>
          <w:ilvl w:val="0"/>
          <w:numId w:val="4"/>
        </w:numPr>
      </w:pPr>
      <w:r>
        <w:t>The contract unit may only be used for residence by the PHA-approved household members. The unit must be the family’s only residence. Members of the household may engage in legal profit</w:t>
      </w:r>
      <w:r w:rsidR="00076066">
        <w:t>-</w:t>
      </w:r>
      <w:r>
        <w:t>making activities incidental to primary use of the unit for residence by members of the family.</w:t>
      </w:r>
    </w:p>
    <w:p w:rsidR="005764E2" w:rsidP="00157759" w14:paraId="27898B6D" w14:textId="77777777">
      <w:pPr>
        <w:pStyle w:val="numberinga"/>
        <w:numPr>
          <w:ilvl w:val="0"/>
          <w:numId w:val="4"/>
        </w:numPr>
      </w:pPr>
      <w:r>
        <w:t>The tenant may not sublease or let the unit.</w:t>
      </w:r>
    </w:p>
    <w:p w:rsidR="005764E2" w:rsidP="00157759" w14:paraId="27898B6E" w14:textId="77777777">
      <w:pPr>
        <w:pStyle w:val="numberinga"/>
        <w:numPr>
          <w:ilvl w:val="0"/>
          <w:numId w:val="4"/>
        </w:numPr>
      </w:pPr>
      <w:r>
        <w:t>The tenant may not assign the lease or transfer the unit.</w:t>
      </w:r>
    </w:p>
    <w:p w:rsidR="005764E2" w:rsidP="003B57CD" w14:paraId="27898B6F" w14:textId="0B33772D">
      <w:pPr>
        <w:pStyle w:val="ListParagraph"/>
        <w:rPr>
          <w:sz w:val="20"/>
        </w:rPr>
      </w:pPr>
      <w:r>
        <w:t xml:space="preserve">Rent to </w:t>
      </w:r>
      <w:r w:rsidRPr="003B57CD">
        <w:t>Owner</w:t>
      </w:r>
    </w:p>
    <w:p w:rsidR="005764E2" w:rsidP="00157759" w14:paraId="27898B70" w14:textId="77777777">
      <w:pPr>
        <w:pStyle w:val="numberinga"/>
        <w:numPr>
          <w:ilvl w:val="0"/>
          <w:numId w:val="5"/>
        </w:numPr>
      </w:pPr>
      <w:r>
        <w:t xml:space="preserve">The initial rent to owner may not exceed the amount approved by the PHA in </w:t>
      </w:r>
      <w:r w:rsidRPr="00B658E6">
        <w:t>accordance</w:t>
      </w:r>
      <w:r>
        <w:t xml:space="preserve"> with HUD requirements.</w:t>
      </w:r>
    </w:p>
    <w:p w:rsidR="005764E2" w:rsidP="00157759" w14:paraId="27898B71" w14:textId="77777777">
      <w:pPr>
        <w:pStyle w:val="numberinga"/>
        <w:numPr>
          <w:ilvl w:val="0"/>
          <w:numId w:val="5"/>
        </w:numPr>
      </w:pPr>
      <w:r>
        <w:t>Changes in the rent to owner shall be determined by the provisions of the lease. However, the owner may not raise the rent during the initial term of the lease.</w:t>
      </w:r>
    </w:p>
    <w:p w:rsidR="005764E2" w:rsidP="00157759" w14:paraId="27898B72" w14:textId="77777777">
      <w:pPr>
        <w:pStyle w:val="numberinga"/>
        <w:numPr>
          <w:ilvl w:val="0"/>
          <w:numId w:val="5"/>
        </w:numPr>
      </w:pPr>
      <w:r>
        <w:t>During the term of the lease (including the initial term of the lease and any extension term), the rent to owner may at no time exceed:</w:t>
      </w:r>
    </w:p>
    <w:p w:rsidR="00586080" w:rsidRPr="00E568E1" w:rsidP="0040285B" w14:paraId="1B905C0D" w14:textId="344387C5">
      <w:pPr>
        <w:pStyle w:val="numbering2"/>
      </w:pPr>
      <w:r w:rsidRPr="00E568E1">
        <w:t xml:space="preserve">The reasonable rent for the unit as most recently </w:t>
      </w:r>
      <w:r w:rsidRPr="00892B79">
        <w:t>determined</w:t>
      </w:r>
      <w:r w:rsidRPr="00E568E1">
        <w:t xml:space="preserve"> or redetermined by the PHA in accordance with HUD requirements, or </w:t>
      </w:r>
    </w:p>
    <w:p w:rsidR="005764E2" w:rsidRPr="00BD7913" w:rsidP="0040285B" w14:paraId="27898B75" w14:textId="0291107B">
      <w:pPr>
        <w:pStyle w:val="numbering2"/>
        <w:rPr>
          <w:spacing w:val="-2"/>
        </w:rPr>
      </w:pPr>
      <w:r w:rsidRPr="00BD7913">
        <w:t>Rent charged by the owner for comparable</w:t>
      </w:r>
      <w:r w:rsidR="00586080">
        <w:t xml:space="preserve"> </w:t>
      </w:r>
      <w:r w:rsidRPr="00BD7913">
        <w:rPr>
          <w:spacing w:val="-2"/>
        </w:rPr>
        <w:t>unassisted units in the premises.</w:t>
      </w:r>
    </w:p>
    <w:p w:rsidR="005764E2" w:rsidP="00FF52D2" w14:paraId="27898B76" w14:textId="79A3F69F">
      <w:pPr>
        <w:pStyle w:val="ListParagraph"/>
        <w:rPr>
          <w:sz w:val="20"/>
        </w:rPr>
      </w:pPr>
      <w:r>
        <w:t>Family Payment to Owner</w:t>
      </w:r>
    </w:p>
    <w:p w:rsidR="005764E2" w:rsidP="00157759" w14:paraId="27898B77" w14:textId="77777777">
      <w:pPr>
        <w:pStyle w:val="numberinga"/>
        <w:numPr>
          <w:ilvl w:val="0"/>
          <w:numId w:val="6"/>
        </w:numPr>
      </w:pPr>
      <w:r>
        <w:t>The family is responsible for paying the owner any portion of the rent to owner that is not covered by the PHA housing assistance payment.</w:t>
      </w:r>
    </w:p>
    <w:p w:rsidR="005764E2" w:rsidP="00157759" w14:paraId="27898B78" w14:textId="77777777">
      <w:pPr>
        <w:pStyle w:val="numberinga"/>
        <w:numPr>
          <w:ilvl w:val="0"/>
          <w:numId w:val="6"/>
        </w:numPr>
      </w:pPr>
      <w: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5764E2" w:rsidRPr="00735A32" w:rsidP="00157759" w14:paraId="27898B79" w14:textId="77777777">
      <w:pPr>
        <w:pStyle w:val="numberinga"/>
        <w:numPr>
          <w:ilvl w:val="0"/>
          <w:numId w:val="6"/>
        </w:numPr>
      </w:pPr>
      <w:r w:rsidRPr="00735A32">
        <w:t>The monthly housing assistance payment shall be credited against the monthly rent to owner for the contract unit.</w:t>
      </w:r>
    </w:p>
    <w:p w:rsidR="005764E2" w:rsidP="00157759" w14:paraId="27898B7A" w14:textId="77777777">
      <w:pPr>
        <w:pStyle w:val="numberinga"/>
        <w:numPr>
          <w:ilvl w:val="0"/>
          <w:numId w:val="6"/>
        </w:numPr>
      </w:pPr>
      <w:r>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5764E2" w:rsidRPr="00735A32" w:rsidP="00157759" w14:paraId="27898B7B" w14:textId="77777777">
      <w:pPr>
        <w:pStyle w:val="numberinga"/>
        <w:numPr>
          <w:ilvl w:val="0"/>
          <w:numId w:val="6"/>
        </w:numPr>
      </w:pPr>
      <w:r w:rsidRPr="00735A32">
        <w:t>The owner may not charge or accept, from the family or from any other source, any payment for rent of the unit in addition to the rent to owner. Rent to owner includes all housing services, maintenance, utilities and appliances to be provided and paid by the owner in accordance with the lease.</w:t>
      </w:r>
    </w:p>
    <w:p w:rsidR="005764E2" w:rsidP="00157759" w14:paraId="27898B7C" w14:textId="77777777">
      <w:pPr>
        <w:pStyle w:val="numberinga"/>
        <w:numPr>
          <w:ilvl w:val="0"/>
          <w:numId w:val="6"/>
        </w:numPr>
      </w:pPr>
      <w:r>
        <w:t>The owner must immediately return any excess rent payment to the tenant.</w:t>
      </w:r>
    </w:p>
    <w:p w:rsidR="005764E2" w:rsidP="00FF52D2" w14:paraId="27898B7D" w14:textId="2A784AD6">
      <w:pPr>
        <w:pStyle w:val="ListParagraph"/>
        <w:rPr>
          <w:sz w:val="20"/>
        </w:rPr>
      </w:pPr>
      <w:r>
        <w:t>Other Fees and Charges</w:t>
      </w:r>
    </w:p>
    <w:p w:rsidR="005764E2" w:rsidP="00157759" w14:paraId="27898B7E" w14:textId="77777777">
      <w:pPr>
        <w:pStyle w:val="numberinga"/>
        <w:numPr>
          <w:ilvl w:val="0"/>
          <w:numId w:val="7"/>
        </w:numPr>
      </w:pPr>
      <w:r>
        <w:t>Rent to owner does not include cost of any meals or supportive services or furniture which may be provided by the owner.</w:t>
      </w:r>
    </w:p>
    <w:p w:rsidR="005764E2" w:rsidP="00157759" w14:paraId="27898B7F" w14:textId="77777777">
      <w:pPr>
        <w:pStyle w:val="numberinga"/>
        <w:numPr>
          <w:ilvl w:val="0"/>
          <w:numId w:val="7"/>
        </w:numPr>
      </w:pPr>
      <w:r>
        <w:t>The owner may not require the tenant or family members to pay charges for any meals or supportive services or furniture which may be provided by the owner. Nonpayment of any such charges is not grounds for termination of tenancy.</w:t>
      </w:r>
    </w:p>
    <w:p w:rsidR="005764E2" w:rsidP="00157759" w14:paraId="27898B80" w14:textId="77777777">
      <w:pPr>
        <w:pStyle w:val="numberinga"/>
        <w:numPr>
          <w:ilvl w:val="0"/>
          <w:numId w:val="7"/>
        </w:numPr>
      </w:pPr>
      <w:r>
        <w:t>The owner may not charge the tenant extra amounts for items customarily included in rent to owner in the locality, or provided at no additional cost to unsubsidized tenants in the premises.</w:t>
      </w:r>
    </w:p>
    <w:p w:rsidR="005F494C" w:rsidRPr="005F494C" w:rsidP="00350DE1" w14:paraId="3A7E9CCF" w14:textId="77777777">
      <w:pPr>
        <w:pStyle w:val="ListParagraph"/>
        <w:rPr>
          <w:sz w:val="20"/>
        </w:rPr>
      </w:pPr>
      <w:r>
        <w:t>Maintenance, Utilities, and Other Services</w:t>
      </w:r>
    </w:p>
    <w:p w:rsidR="005764E2" w:rsidRPr="005F494C" w:rsidP="00157759" w14:paraId="27898B81" w14:textId="243D4DBB">
      <w:pPr>
        <w:pStyle w:val="numberinga"/>
        <w:numPr>
          <w:ilvl w:val="0"/>
          <w:numId w:val="9"/>
        </w:numPr>
      </w:pPr>
      <w:r w:rsidRPr="005F494C">
        <w:t>Maintenance</w:t>
      </w:r>
    </w:p>
    <w:p w:rsidR="005764E2" w:rsidP="00157759" w14:paraId="27898B82" w14:textId="77777777">
      <w:pPr>
        <w:pStyle w:val="numbering2"/>
        <w:numPr>
          <w:ilvl w:val="0"/>
          <w:numId w:val="26"/>
        </w:numPr>
      </w:pPr>
      <w:r>
        <w:t>The owner must maintain the unit and premises in accordance with the HQS.</w:t>
      </w:r>
    </w:p>
    <w:p w:rsidR="005764E2" w:rsidRPr="00586080" w:rsidP="00867F5C" w14:paraId="27898B88" w14:textId="0256A8EA">
      <w:pPr>
        <w:pStyle w:val="numbering2"/>
      </w:pPr>
      <w:r w:rsidRPr="00586080">
        <w:t>Maintenance and replacement (including redecoration) must be in accordance with the</w:t>
      </w:r>
      <w:r w:rsidR="00586080">
        <w:t xml:space="preserve"> </w:t>
      </w:r>
      <w:r w:rsidRPr="00586080">
        <w:t>standard practice for the building concerned as established by the owner.</w:t>
      </w:r>
    </w:p>
    <w:p w:rsidR="005764E2" w:rsidRPr="005F494C" w:rsidP="00F113AF" w14:paraId="27898B89" w14:textId="0D712C71">
      <w:pPr>
        <w:pStyle w:val="numberinga"/>
        <w:rPr>
          <w:sz w:val="18"/>
        </w:rPr>
      </w:pPr>
      <w:r w:rsidRPr="005F494C">
        <w:t>Utilities and appliances</w:t>
      </w:r>
    </w:p>
    <w:p w:rsidR="005764E2" w:rsidP="00157759" w14:paraId="27898B8A" w14:textId="77777777">
      <w:pPr>
        <w:pStyle w:val="numbering2"/>
        <w:numPr>
          <w:ilvl w:val="0"/>
          <w:numId w:val="27"/>
        </w:numPr>
      </w:pPr>
      <w:r>
        <w:t>The owner must provide all utilities needed to comply with the HQS.</w:t>
      </w:r>
    </w:p>
    <w:p w:rsidR="005764E2" w:rsidP="00157759" w14:paraId="27898B8B" w14:textId="714668E1">
      <w:pPr>
        <w:pStyle w:val="numbering2"/>
        <w:numPr>
          <w:ilvl w:val="0"/>
          <w:numId w:val="27"/>
        </w:numPr>
      </w:pPr>
      <w:r>
        <w:t>The</w:t>
      </w:r>
      <w:r w:rsidR="007C5F1B">
        <w:t xml:space="preserve"> PHA</w:t>
      </w:r>
      <w:r w:rsidR="001D69E9">
        <w:t xml:space="preserve"> may waive the owner’s responsibility</w:t>
      </w:r>
      <w:r>
        <w:t xml:space="preserve"> for a breach of the HQS caused by the tenant’s failure to:</w:t>
      </w:r>
    </w:p>
    <w:p w:rsidR="005764E2" w:rsidRPr="00D43939" w:rsidP="00D43939" w14:paraId="27898B8C" w14:textId="60F470C9">
      <w:pPr>
        <w:pStyle w:val="suba"/>
      </w:pPr>
      <w:r w:rsidRPr="00D43939">
        <w:t>Pay for any utilities that are to be paid by the tenant.</w:t>
      </w:r>
    </w:p>
    <w:p w:rsidR="005764E2" w:rsidRPr="00D43939" w:rsidP="00D43939" w14:paraId="27898B8D" w14:textId="77777777">
      <w:pPr>
        <w:pStyle w:val="suba"/>
      </w:pPr>
      <w:r w:rsidRPr="00D43939">
        <w:t>Provide and maintain any appliances that are to be provided by the tenant.</w:t>
      </w:r>
    </w:p>
    <w:p w:rsidR="005764E2" w:rsidP="00F113AF" w14:paraId="27898B8E" w14:textId="229372CA">
      <w:pPr>
        <w:pStyle w:val="numberinga"/>
      </w:pPr>
      <w:r w:rsidRPr="005F494C">
        <w:rPr>
          <w:b/>
        </w:rPr>
        <w:t>Fam</w:t>
      </w:r>
      <w:r>
        <w:rPr>
          <w:b/>
        </w:rPr>
        <w:t>ily damage</w:t>
      </w:r>
      <w:r>
        <w:t>.</w:t>
      </w:r>
      <w:r w:rsidR="006E1899">
        <w:t xml:space="preserve"> </w:t>
      </w:r>
      <w:r w:rsidRPr="006E1899" w:rsidR="00585ABE">
        <w:t>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p>
    <w:p w:rsidR="005764E2" w:rsidP="00F113AF" w14:paraId="27898B8F" w14:textId="3BECF0C6">
      <w:pPr>
        <w:pStyle w:val="numberinga"/>
      </w:pPr>
      <w:r>
        <w:rPr>
          <w:b/>
        </w:rPr>
        <w:t>Housing services</w:t>
      </w:r>
      <w:r>
        <w:t>. The owner must provide all housing services as agreed to in the lease.</w:t>
      </w:r>
    </w:p>
    <w:p w:rsidR="005764E2" w:rsidP="00FF52D2" w14:paraId="27898B90" w14:textId="19969EBA">
      <w:pPr>
        <w:pStyle w:val="ListParagraph"/>
        <w:rPr>
          <w:sz w:val="20"/>
        </w:rPr>
      </w:pPr>
      <w:r>
        <w:t>Termination of Tenancy by Owner</w:t>
      </w:r>
    </w:p>
    <w:p w:rsidR="005764E2" w:rsidP="00157759" w14:paraId="27898B91" w14:textId="087065D1">
      <w:pPr>
        <w:pStyle w:val="numberinga"/>
        <w:numPr>
          <w:ilvl w:val="0"/>
          <w:numId w:val="10"/>
        </w:numPr>
      </w:pPr>
      <w:r w:rsidRPr="00F113AF">
        <w:rPr>
          <w:b/>
        </w:rPr>
        <w:t>Requirements</w:t>
      </w:r>
      <w:r>
        <w:t>. The owner may only terminate the tenancy in accordance with the lease and HUD requirements.</w:t>
      </w:r>
    </w:p>
    <w:p w:rsidR="005764E2" w:rsidP="00F113AF" w14:paraId="27898B92" w14:textId="5B743980">
      <w:pPr>
        <w:pStyle w:val="numberinga"/>
      </w:pPr>
      <w:r>
        <w:rPr>
          <w:b/>
        </w:rPr>
        <w:t>Grounds</w:t>
      </w:r>
      <w:r>
        <w:t>. During the term of the lease (the initial term of the lease or any extension term), the owner may only terminate the tenancy because of:</w:t>
      </w:r>
    </w:p>
    <w:p w:rsidR="005764E2" w:rsidRPr="0040285B" w:rsidP="00CC4712" w14:paraId="27898B93" w14:textId="0ED5A2E4">
      <w:pPr>
        <w:pStyle w:val="numbering2"/>
        <w:numPr>
          <w:ilvl w:val="0"/>
          <w:numId w:val="16"/>
        </w:numPr>
        <w:spacing w:before="0"/>
      </w:pPr>
      <w:r w:rsidRPr="0040285B">
        <w:t>Serious</w:t>
      </w:r>
      <w:r w:rsidRPr="0040285B" w:rsidR="00B82C45">
        <w:t xml:space="preserve"> violation (including but not limited to failure to pay rent or other amount due under the lease)</w:t>
      </w:r>
      <w:r w:rsidRPr="0040285B">
        <w:t xml:space="preserve"> or repeated violation of the </w:t>
      </w:r>
      <w:r w:rsidRPr="0040285B" w:rsidR="00071D42">
        <w:t xml:space="preserve">terms and conditions of the </w:t>
      </w:r>
      <w:r w:rsidRPr="0040285B">
        <w:t>lease;</w:t>
      </w:r>
    </w:p>
    <w:p w:rsidR="005764E2" w:rsidP="00CC4712" w14:paraId="27898B94" w14:textId="458B4F64">
      <w:pPr>
        <w:pStyle w:val="numbering2"/>
        <w:spacing w:before="0"/>
      </w:pPr>
      <w:r>
        <w:t>Violation of Federal, State, or local law that imposes obligations on the tenant in connection with the occupancy or use of the premises;</w:t>
      </w:r>
    </w:p>
    <w:p w:rsidR="005764E2" w:rsidP="00CC4712" w14:paraId="27898B95" w14:textId="77777777">
      <w:pPr>
        <w:pStyle w:val="numbering2"/>
        <w:spacing w:before="0"/>
      </w:pPr>
      <w:r>
        <w:t>Criminal activity or alcohol abuse (as provided in paragraph c); or</w:t>
      </w:r>
    </w:p>
    <w:p w:rsidR="005764E2" w:rsidP="00CC4712" w14:paraId="27898B96" w14:textId="77777777">
      <w:pPr>
        <w:pStyle w:val="numbering2"/>
        <w:spacing w:before="0"/>
        <w:rPr>
          <w:spacing w:val="1"/>
        </w:rPr>
      </w:pPr>
      <w:r>
        <w:rPr>
          <w:spacing w:val="1"/>
        </w:rPr>
        <w:t>Other good cause (as provided in paragraph d).</w:t>
      </w:r>
    </w:p>
    <w:p w:rsidR="00FF72F1" w:rsidRPr="000D007A" w:rsidP="00F113AF" w14:paraId="40C3D615" w14:textId="42D27BC7">
      <w:pPr>
        <w:pStyle w:val="numberinga"/>
      </w:pPr>
      <w:r w:rsidRPr="000D007A">
        <w:t>Criminal activity or alcohol abuse.</w:t>
      </w:r>
    </w:p>
    <w:p w:rsidR="00FF72F1" w:rsidRPr="00756369" w:rsidP="00157759" w14:paraId="33F8A81D" w14:textId="7FF1B1C2">
      <w:pPr>
        <w:pStyle w:val="numbering2"/>
        <w:numPr>
          <w:ilvl w:val="0"/>
          <w:numId w:val="17"/>
        </w:numPr>
      </w:pPr>
      <w:r w:rsidRPr="00756369">
        <w:t>The owner may terminate the tenancy during the term of the lease if any member of the household, a guest or another person under a resident’s control commits any of the following types of criminal activity:</w:t>
      </w:r>
    </w:p>
    <w:p w:rsidR="00FF72F1" w:rsidRPr="00820FD1" w:rsidP="00157759" w14:paraId="65563B1F" w14:textId="7DBA75B3">
      <w:pPr>
        <w:pStyle w:val="suba"/>
        <w:numPr>
          <w:ilvl w:val="0"/>
          <w:numId w:val="28"/>
        </w:numPr>
      </w:pPr>
      <w:r w:rsidRPr="00820FD1">
        <w:t>Any criminal activity that threatens the health</w:t>
      </w:r>
      <w:r>
        <w:t>,</w:t>
      </w:r>
      <w:r w:rsidRPr="00820FD1">
        <w:t xml:space="preserve"> safety, or right to peaceful enjoyment of the premises by other residents (including property management staff residing on the premises);</w:t>
      </w:r>
    </w:p>
    <w:p w:rsidR="00FF72F1" w:rsidRPr="00820FD1" w:rsidP="00157759" w14:paraId="38270541" w14:textId="77777777">
      <w:pPr>
        <w:pStyle w:val="suba"/>
        <w:numPr>
          <w:ilvl w:val="0"/>
          <w:numId w:val="28"/>
        </w:numPr>
      </w:pPr>
      <w:r w:rsidRPr="00820FD1">
        <w:t xml:space="preserve">Any criminal activity that threatens the health, safety, or right to peaceful enjoyment of their residences by persons residing in the immediate vicinity of the premises; </w:t>
      </w:r>
    </w:p>
    <w:p w:rsidR="00FF72F1" w:rsidRPr="00820FD1" w:rsidP="00157759" w14:paraId="4C016528" w14:textId="77777777">
      <w:pPr>
        <w:pStyle w:val="suba"/>
        <w:numPr>
          <w:ilvl w:val="0"/>
          <w:numId w:val="28"/>
        </w:numPr>
      </w:pPr>
      <w:r w:rsidRPr="00820FD1">
        <w:t xml:space="preserve">Any violent criminal activity on or near the premises; or </w:t>
      </w:r>
    </w:p>
    <w:p w:rsidR="00FF72F1" w:rsidRPr="00820FD1" w:rsidP="00157759" w14:paraId="6C928180" w14:textId="77777777">
      <w:pPr>
        <w:pStyle w:val="suba"/>
        <w:numPr>
          <w:ilvl w:val="0"/>
          <w:numId w:val="28"/>
        </w:numPr>
      </w:pPr>
      <w:r w:rsidRPr="00820FD1">
        <w:t>Any drug-related criminal activity on or near the premises.</w:t>
      </w:r>
    </w:p>
    <w:p w:rsidR="00FF72F1" w:rsidRPr="00CE2285" w:rsidP="0040285B" w14:paraId="4B7F00C3" w14:textId="3A5FE73A">
      <w:pPr>
        <w:pStyle w:val="numbering2"/>
      </w:pPr>
      <w:r w:rsidRPr="00CE2285">
        <w:t>The owner may terminate the tenancy during the term of the lease if any member of the household is:</w:t>
      </w:r>
    </w:p>
    <w:p w:rsidR="00FF72F1" w:rsidRPr="00820FD1" w:rsidP="00157759" w14:paraId="624D1D04" w14:textId="77777777">
      <w:pPr>
        <w:pStyle w:val="suba"/>
        <w:numPr>
          <w:ilvl w:val="0"/>
          <w:numId w:val="29"/>
        </w:numPr>
      </w:pPr>
      <w:r w:rsidRPr="00820FD1">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FF72F1" w:rsidRPr="00820FD1" w:rsidP="006E1899" w14:paraId="435F1D09" w14:textId="77777777">
      <w:pPr>
        <w:pStyle w:val="suba"/>
      </w:pPr>
      <w:r w:rsidRPr="00820FD1">
        <w:t>Violating a condition of probation or parole under Federal or State law.</w:t>
      </w:r>
    </w:p>
    <w:p w:rsidR="00FF72F1" w:rsidRPr="00BF7BAC" w:rsidP="0040285B" w14:paraId="32E9C267" w14:textId="4FFC6147">
      <w:pPr>
        <w:pStyle w:val="numbering2"/>
      </w:pPr>
      <w:r w:rsidRPr="00BF7BAC">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r w:rsidRPr="00FF52D2">
        <w:t xml:space="preserve"> </w:t>
      </w:r>
      <w:r w:rsidRPr="00F42AC3">
        <w:t>and without satisfying the standard of proof used for a criminal conviction</w:t>
      </w:r>
      <w:r w:rsidRPr="00BF7BAC">
        <w:t>.</w:t>
      </w:r>
    </w:p>
    <w:p w:rsidR="00FF72F1" w:rsidRPr="00BF7BAC" w:rsidP="0040285B" w14:paraId="4CD3C4FB" w14:textId="7A6B8BE8">
      <w:pPr>
        <w:pStyle w:val="numbering2"/>
      </w:pPr>
      <w:r w:rsidRPr="00BF7BAC">
        <w:t xml:space="preserve">The owner may terminate the tenancy during the term of the lease if any member of the household has engaged in abuse of alcohol that threatens the health, safety or right to peaceful enjoyment of the premises by other residents. </w:t>
      </w:r>
    </w:p>
    <w:p w:rsidR="00586080" w:rsidRPr="00BF7BAC" w:rsidP="00F113AF" w14:paraId="753632AF" w14:textId="19532162">
      <w:pPr>
        <w:pStyle w:val="numberinga"/>
        <w:rPr>
          <w:sz w:val="18"/>
        </w:rPr>
      </w:pPr>
      <w:r w:rsidRPr="00BF7BAC">
        <w:t>Other good cause for termination of tenancy</w:t>
      </w:r>
    </w:p>
    <w:p w:rsidR="00586080" w:rsidRPr="00BF7BAC" w:rsidP="00157759" w14:paraId="3B434CED" w14:textId="681DA56A">
      <w:pPr>
        <w:pStyle w:val="numbering2"/>
        <w:numPr>
          <w:ilvl w:val="0"/>
          <w:numId w:val="18"/>
        </w:numPr>
      </w:pPr>
      <w:r w:rsidRPr="00BF7BAC">
        <w:t>During the initial lease term, other good cause for termination of tenancy must be something the family did or failed to do.</w:t>
      </w:r>
    </w:p>
    <w:p w:rsidR="00586080" w:rsidRPr="00BF7BAC" w:rsidP="00157759" w14:paraId="1FEAEDF3" w14:textId="11C10830">
      <w:pPr>
        <w:pStyle w:val="numbering2"/>
        <w:numPr>
          <w:ilvl w:val="0"/>
          <w:numId w:val="18"/>
        </w:numPr>
      </w:pPr>
      <w:r w:rsidRPr="00BF7BAC">
        <w:t>During the initial lease term or during any extension term, other good cause may include:</w:t>
      </w:r>
    </w:p>
    <w:p w:rsidR="00586080" w:rsidP="00157759" w14:paraId="12B7528E" w14:textId="77777777">
      <w:pPr>
        <w:pStyle w:val="suba"/>
        <w:numPr>
          <w:ilvl w:val="0"/>
          <w:numId w:val="30"/>
        </w:numPr>
      </w:pPr>
      <w:r>
        <w:t>Disturbance of neighbors,</w:t>
      </w:r>
    </w:p>
    <w:p w:rsidR="00586080" w:rsidP="00157759" w14:paraId="1DE6CBCF" w14:textId="77777777">
      <w:pPr>
        <w:pStyle w:val="suba"/>
        <w:numPr>
          <w:ilvl w:val="0"/>
          <w:numId w:val="30"/>
        </w:numPr>
      </w:pPr>
      <w:r>
        <w:t>Destruction of property, or</w:t>
      </w:r>
    </w:p>
    <w:p w:rsidR="00586080" w:rsidP="00157759" w14:paraId="3A257CD8" w14:textId="156A93CD">
      <w:pPr>
        <w:pStyle w:val="suba"/>
        <w:numPr>
          <w:ilvl w:val="0"/>
          <w:numId w:val="30"/>
        </w:numPr>
      </w:pPr>
      <w:r>
        <w:t>Living or housekeeping habits resulting in damage to the unit or premises.</w:t>
      </w:r>
    </w:p>
    <w:p w:rsidR="00586080" w:rsidRPr="00BF7BAC" w:rsidP="006F7866" w14:paraId="4B335098" w14:textId="5B31D568">
      <w:pPr>
        <w:pStyle w:val="numbering2"/>
      </w:pPr>
      <w:r w:rsidRPr="00BF7BAC">
        <w:t>After the initial lease term, such good cause may include:</w:t>
      </w:r>
    </w:p>
    <w:p w:rsidR="00586080" w:rsidP="00413E1D" w14:paraId="0AA7C72A" w14:textId="77777777">
      <w:pPr>
        <w:pStyle w:val="suba"/>
        <w:numPr>
          <w:ilvl w:val="0"/>
          <w:numId w:val="31"/>
        </w:numPr>
      </w:pPr>
      <w:r>
        <w:t>The tenant’s failure to accept the owner’s offer of a new lease or revision;</w:t>
      </w:r>
    </w:p>
    <w:p w:rsidR="00586080" w:rsidRPr="006E1899" w:rsidP="00157759" w14:paraId="619057F8" w14:textId="77777777">
      <w:pPr>
        <w:pStyle w:val="suba"/>
        <w:numPr>
          <w:ilvl w:val="0"/>
          <w:numId w:val="31"/>
        </w:numPr>
        <w:rPr>
          <w:spacing w:val="-2"/>
        </w:rPr>
      </w:pPr>
      <w:r w:rsidRPr="006E1899">
        <w:rPr>
          <w:spacing w:val="-2"/>
        </w:rPr>
        <w:t>The owner’s desire to use the unit for personal or family use or for a purpose other than use as a residential rental unit; or</w:t>
      </w:r>
    </w:p>
    <w:p w:rsidR="00586080" w:rsidP="00157759" w14:paraId="798BAA65" w14:textId="77777777">
      <w:pPr>
        <w:pStyle w:val="suba"/>
        <w:numPr>
          <w:ilvl w:val="0"/>
          <w:numId w:val="31"/>
        </w:numPr>
      </w:pPr>
      <w:r>
        <w:t>A business or economic reason for termination of the tenancy (such as sale of the property, renovation of the unit, the owner’s desire to rent the unit for a higher rent).</w:t>
      </w:r>
    </w:p>
    <w:p w:rsidR="00586080" w:rsidRPr="00CF6124" w:rsidP="006F7866" w14:paraId="7E14D4B5" w14:textId="67609663">
      <w:pPr>
        <w:pStyle w:val="numbering2"/>
      </w:pPr>
      <w:r w:rsidRPr="00CF6124">
        <w:t>The examples of other good cause in this paragraph do not preempt any State or local laws to the contrary.</w:t>
      </w:r>
    </w:p>
    <w:p w:rsidR="00586080" w:rsidRPr="00CF6124" w:rsidP="006F7866" w14:paraId="003112E0" w14:textId="080AC7D1">
      <w:pPr>
        <w:pStyle w:val="numbering2"/>
      </w:pPr>
      <w:r w:rsidRPr="00CF6124">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586080" w:rsidP="00157759" w14:paraId="75ADDD3C" w14:textId="77777777">
      <w:pPr>
        <w:pStyle w:val="suba"/>
        <w:numPr>
          <w:ilvl w:val="0"/>
          <w:numId w:val="32"/>
        </w:numPr>
      </w:pPr>
      <w:r>
        <w:t>Will occupy the unit as a primary residence; and</w:t>
      </w:r>
    </w:p>
    <w:p w:rsidR="00586080" w:rsidRPr="009F247F" w:rsidP="00157759" w14:paraId="559F2BEB" w14:textId="7358CBBF">
      <w:pPr>
        <w:pStyle w:val="suba"/>
        <w:numPr>
          <w:ilvl w:val="0"/>
          <w:numId w:val="32"/>
        </w:numPr>
      </w:pPr>
      <w:r>
        <w:t>Has provided the tenant a notice to vacate at least 90 days before the effective date of such notice. This provision shall not affect any State or</w:t>
      </w:r>
      <w:r w:rsidR="0072085F">
        <w:t xml:space="preserve"> local law that provides for longer time periods or additional protections for tenants.</w:t>
      </w:r>
    </w:p>
    <w:p w:rsidR="005764E2" w:rsidP="00FF52D2" w14:paraId="27898BA4" w14:textId="6464E9ED">
      <w:pPr>
        <w:pStyle w:val="ListParagraph"/>
        <w:rPr>
          <w:sz w:val="20"/>
        </w:rPr>
      </w:pPr>
      <w:r>
        <w:t>Protections for Victims of Domestic Violence, Dating Violence, Sexual Assault, or Stalking</w:t>
      </w:r>
    </w:p>
    <w:p w:rsidR="005764E2" w:rsidP="00157759" w14:paraId="27898BA5" w14:textId="18C35033">
      <w:pPr>
        <w:pStyle w:val="numberinga"/>
        <w:numPr>
          <w:ilvl w:val="0"/>
          <w:numId w:val="11"/>
        </w:numPr>
      </w:pPr>
      <w:r w:rsidRPr="00F113AF">
        <w:rPr>
          <w:b/>
        </w:rPr>
        <w:t xml:space="preserve">Purpose: </w:t>
      </w:r>
      <w:r>
        <w:t>This section incorporates the protections for victims of domestic violence, dating violence, sexual assault, or stalking in accordance with subtitle N of the Violence Against Women Act of 1994, as amended (codified as amended</w:t>
      </w:r>
      <w:r w:rsidR="00593B3D">
        <w:t xml:space="preserve"> at </w:t>
      </w:r>
      <w:r w:rsidR="00045573">
        <w:t>34 U.S.C. 12291 et seq.)</w:t>
      </w:r>
      <w:r>
        <w:t xml:space="preserve">  (VAWA) and implementing regulations at 24 CFR part 5, subpart L.</w:t>
      </w:r>
    </w:p>
    <w:p w:rsidR="005764E2" w:rsidP="00F113AF" w14:paraId="27898BA6" w14:textId="6B2113E1">
      <w:pPr>
        <w:pStyle w:val="numberinga"/>
      </w:pPr>
      <w:r>
        <w:rPr>
          <w:b/>
        </w:rPr>
        <w:t xml:space="preserve">Conflict with other Provisions: </w:t>
      </w:r>
      <w:r>
        <w:t>In the event of any conflict between this provision and any other provisions included in Part C of the HAP contract, this provision shall prevail.</w:t>
      </w:r>
    </w:p>
    <w:p w:rsidR="005764E2" w:rsidP="00F113AF" w14:paraId="27898BA7" w14:textId="461AB273">
      <w:pPr>
        <w:pStyle w:val="numberinga"/>
      </w:pPr>
      <w:r>
        <w:rPr>
          <w:b/>
        </w:rPr>
        <w:t>Effect on Other Protections</w:t>
      </w:r>
      <w:r>
        <w:t>: Nothing in this section shall be construed to supersede any provision of any Federal, State, or local law that provides greater protection than this section for victims of domestic violence, dating violence, sexual assault, or stalking.</w:t>
      </w:r>
    </w:p>
    <w:p w:rsidR="005764E2" w:rsidP="00F113AF" w14:paraId="27898BA8" w14:textId="4EEBFF90">
      <w:pPr>
        <w:pStyle w:val="numberinga"/>
      </w:pPr>
      <w:r>
        <w:rPr>
          <w:b/>
        </w:rPr>
        <w:t xml:space="preserve">Definition: </w:t>
      </w:r>
      <w:r>
        <w:t>As used in this Section, the terms “actual and imminent threat,” “affiliated individual”, “bifurcate”, “dating violence,” “domestic violence,” “sexual assault,” and “stalking” are defined in HUD’s regulations at 24 CFR part 5, subpart L. The terms “Household” and “Other Person Under the Tenant’s Control” are defined at 24 CFR part 5, subpart A.</w:t>
      </w:r>
    </w:p>
    <w:p w:rsidR="005764E2" w:rsidP="00F113AF" w14:paraId="27898BA9" w14:textId="54090E57">
      <w:pPr>
        <w:pStyle w:val="numberinga"/>
      </w:pPr>
      <w:r>
        <w:rPr>
          <w:b/>
        </w:rPr>
        <w:t xml:space="preserve">VAWA Notice and Certification Form: </w:t>
      </w:r>
      <w:r>
        <w:t>The PHA shall provide the tenant with the “Notice of Occupancy Rights under VAWA</w:t>
      </w:r>
      <w:r w:rsidR="00073299">
        <w:t>”</w:t>
      </w:r>
      <w:r>
        <w:t xml:space="preserve"> and the certification form described under 24 CFR 5.2005(a)(1) and (2).</w:t>
      </w:r>
    </w:p>
    <w:p w:rsidR="005764E2" w:rsidRPr="008A7406" w:rsidP="00F113AF" w14:paraId="27898BAA" w14:textId="241B5D49">
      <w:pPr>
        <w:pStyle w:val="numberinga"/>
        <w:rPr>
          <w:b/>
          <w:bCs/>
        </w:rPr>
      </w:pPr>
      <w:r w:rsidRPr="008A7406">
        <w:rPr>
          <w:b/>
          <w:bCs/>
        </w:rPr>
        <w:t>Protection for victims of Domestic Violence, Dating Violence, Sexual Assault, or Stalking:</w:t>
      </w:r>
    </w:p>
    <w:p w:rsidR="005764E2" w:rsidP="00157759" w14:paraId="27898BAB" w14:textId="77E51C9F">
      <w:pPr>
        <w:pStyle w:val="numbering2"/>
        <w:numPr>
          <w:ilvl w:val="0"/>
          <w:numId w:val="19"/>
        </w:numPr>
      </w:pPr>
      <w:r>
        <w:t>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w:t>
      </w:r>
    </w:p>
    <w:p w:rsidR="005764E2" w:rsidP="001812A9" w14:paraId="27898BAC" w14:textId="77777777">
      <w:pPr>
        <w:pStyle w:val="numbering2"/>
      </w:pPr>
      <w: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5764E2" w:rsidP="001812A9" w14:paraId="27898BAD" w14:textId="77777777">
      <w:pPr>
        <w:pStyle w:val="numbering2"/>
      </w:pPr>
      <w:r>
        <w:t xml:space="preserve">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w:t>
      </w:r>
      <w:r>
        <w:t>occupancy rights of such a victim or threatened victim. 24 CFR 5.2005(c)(1) and (c)(2).</w:t>
      </w:r>
    </w:p>
    <w:p w:rsidR="005764E2" w:rsidP="00FB43B1" w14:paraId="27898BAF" w14:textId="4C20303F">
      <w:pPr>
        <w:pStyle w:val="numberinga"/>
        <w:spacing w:before="60"/>
      </w:pPr>
      <w:r>
        <w:rPr>
          <w:b/>
        </w:rPr>
        <w:t xml:space="preserve">Compliance with Court Orders: </w:t>
      </w:r>
      <w:r>
        <w:t>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w:t>
      </w:r>
    </w:p>
    <w:p w:rsidR="005764E2" w:rsidP="00FB43B1" w14:paraId="27898BB0" w14:textId="0E38B975">
      <w:pPr>
        <w:pStyle w:val="numberinga"/>
        <w:spacing w:before="60"/>
      </w:pPr>
      <w:r>
        <w:rPr>
          <w:b/>
        </w:rPr>
        <w:t xml:space="preserve">Violations Not Premised on Domestic Violence, Dating Violence, Sexual Assault, or Stalking: </w:t>
      </w:r>
      <w:r>
        <w:t>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w:t>
      </w:r>
    </w:p>
    <w:p w:rsidR="005764E2" w:rsidRPr="008A7406" w:rsidP="00F113AF" w14:paraId="27898BB1" w14:textId="3694343D">
      <w:pPr>
        <w:pStyle w:val="numberinga"/>
        <w:rPr>
          <w:b/>
          <w:bCs/>
        </w:rPr>
      </w:pPr>
      <w:r w:rsidRPr="008A7406">
        <w:rPr>
          <w:b/>
          <w:bCs/>
        </w:rPr>
        <w:t>Actual and Imminent Threats:</w:t>
      </w:r>
    </w:p>
    <w:p w:rsidR="005764E2" w:rsidP="00157759" w14:paraId="27898BB2" w14:textId="77777777">
      <w:pPr>
        <w:pStyle w:val="numbering2"/>
        <w:numPr>
          <w:ilvl w:val="0"/>
          <w:numId w:val="20"/>
        </w:numPr>
      </w:pPr>
      <w:r>
        <w:t>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“Actual and imminent threat” 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5764E2" w:rsidP="001812A9" w14:paraId="27898BB3" w14:textId="77777777">
      <w:pPr>
        <w:pStyle w:val="numbering2"/>
      </w:pPr>
      <w:r>
        <w:t>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 but must be tailored to particularized concerns about individual residents. 24 CFR 5.2005(d)(4).</w:t>
      </w:r>
    </w:p>
    <w:p w:rsidR="005764E2" w:rsidP="00F113AF" w14:paraId="27898BB4" w14:textId="2E5990B8">
      <w:pPr>
        <w:pStyle w:val="numberinga"/>
      </w:pPr>
      <w:r>
        <w:rPr>
          <w:b/>
        </w:rPr>
        <w:t>Emergency Transfer</w:t>
      </w:r>
      <w:r>
        <w:t xml:space="preserve">: A tenant who is a victim of domestic violence, dating violence, sexual assault, or stalking may request an emergency transfer in accordance with the PHA’s emergency transfer plan. 24 CFR 5.2005(e). The PHA’s emergency transfer plan </w:t>
      </w:r>
      <w:r>
        <w:t>must be made available upon request, and incorporate strict confidentiality measures to ensure that the PHA does not disclose a tenant’s dwelling unit location to a person who committed or threatened to commit an act of domestic violence, dating violence, sexual assault, or stalking against the tenant;</w:t>
      </w:r>
    </w:p>
    <w:p w:rsidR="005764E2" w:rsidP="008A7406" w14:paraId="27898BBA" w14:textId="20B5865D">
      <w:pPr>
        <w:spacing w:before="5" w:after="135" w:line="216" w:lineRule="exact"/>
        <w:ind w:left="720"/>
        <w:textAlignment w:val="baseline"/>
        <w:rPr>
          <w:rFonts w:eastAsia="Times New Roman"/>
          <w:color w:val="000000"/>
        </w:rPr>
      </w:pPr>
      <w:r>
        <w:rPr>
          <w:rFonts w:eastAsia="Times New Roman"/>
          <w:color w:val="000000"/>
        </w:rPr>
        <w:t>For transfers in which the tenant would not be considered a new applicant, the PHA must ensure that a request for an</w:t>
      </w:r>
      <w:r w:rsidR="00586080">
        <w:rPr>
          <w:rFonts w:eastAsia="Times New Roman"/>
          <w:color w:val="000000"/>
        </w:rPr>
        <w:t xml:space="preserve"> </w:t>
      </w:r>
      <w:r>
        <w:rPr>
          <w:rFonts w:eastAsia="Times New Roman"/>
          <w:color w:val="000000"/>
        </w:rPr>
        <w:t>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w:t>
      </w:r>
    </w:p>
    <w:p w:rsidR="005764E2" w:rsidP="00F113AF" w14:paraId="27898BBB" w14:textId="474A2899">
      <w:pPr>
        <w:pStyle w:val="numberinga"/>
      </w:pPr>
      <w:r>
        <w:rPr>
          <w:b/>
        </w:rPr>
        <w:t>Bifurcation</w:t>
      </w:r>
      <w:r>
        <w:t>: Subject to any lease termination requirements or procedures prescribed by Federal, State, or local law, 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Such eviction, removal, termination of occupancy rights, or termination of assistance shall be effected in accordance with the procedures prescribed by Federal, State, and local law for the termination of leases or assistance under the housing choice voucher program. 24 CFR 5.2009(a).</w:t>
      </w:r>
    </w:p>
    <w:p w:rsidR="005764E2" w:rsidP="008A7406" w14:paraId="27898BBC" w14:textId="77777777">
      <w:pPr>
        <w:spacing w:before="47" w:line="213" w:lineRule="exact"/>
        <w:ind w:left="720"/>
        <w:textAlignment w:val="baseline"/>
        <w:rPr>
          <w:rFonts w:eastAsia="Times New Roman"/>
          <w:color w:val="000000"/>
        </w:rPr>
      </w:pPr>
      <w:r>
        <w:rPr>
          <w:rFonts w:eastAsia="Times New Roman"/>
          <w:color w:val="000000"/>
        </w:rPr>
        <w:t>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w:t>
      </w:r>
    </w:p>
    <w:p w:rsidR="005764E2" w:rsidP="00157759" w14:paraId="27898BBD" w14:textId="77777777">
      <w:pPr>
        <w:pStyle w:val="numbering2"/>
        <w:numPr>
          <w:ilvl w:val="0"/>
          <w:numId w:val="21"/>
        </w:numPr>
      </w:pPr>
      <w:r>
        <w:t>Establish eligibility for the same covered housing program under which the evicted or terminated tenant was the recipient of assistance at the time of bifurcation of the lease;</w:t>
      </w:r>
    </w:p>
    <w:p w:rsidR="005764E2" w:rsidP="00157759" w14:paraId="27898BBE" w14:textId="77777777">
      <w:pPr>
        <w:pStyle w:val="numbering2"/>
        <w:numPr>
          <w:ilvl w:val="0"/>
          <w:numId w:val="21"/>
        </w:numPr>
      </w:pPr>
      <w:r>
        <w:t>Establish eligibility under another covered housing program; or</w:t>
      </w:r>
    </w:p>
    <w:p w:rsidR="005764E2" w:rsidRPr="000B7680" w:rsidP="00157759" w14:paraId="27898BBF" w14:textId="77777777">
      <w:pPr>
        <w:pStyle w:val="numbering2"/>
        <w:numPr>
          <w:ilvl w:val="0"/>
          <w:numId w:val="21"/>
        </w:numPr>
        <w:rPr>
          <w:spacing w:val="-1"/>
        </w:rPr>
      </w:pPr>
      <w:r w:rsidRPr="000B7680">
        <w:rPr>
          <w:spacing w:val="-1"/>
        </w:rPr>
        <w:t>Find alternative housing.</w:t>
      </w:r>
    </w:p>
    <w:p w:rsidR="005764E2" w:rsidP="00F113AF" w14:paraId="27898BC0" w14:textId="67BC75B2">
      <w:pPr>
        <w:pStyle w:val="numberinga"/>
      </w:pPr>
      <w:r>
        <w:rPr>
          <w:b/>
        </w:rPr>
        <w:t xml:space="preserve">Family Break-up: </w:t>
      </w:r>
      <w:r>
        <w:t>If the family break-up results from an occurrence of domestic violence, dating violence, sexual assault, or stalking, the PHA must ensure that the victim retains assistance. 24 CFR 982.315.</w:t>
      </w:r>
    </w:p>
    <w:p w:rsidR="005764E2" w:rsidP="00F113AF" w14:paraId="27898BC1" w14:textId="246226E8">
      <w:pPr>
        <w:pStyle w:val="numberinga"/>
      </w:pPr>
      <w:r>
        <w:rPr>
          <w:b/>
        </w:rPr>
        <w:t xml:space="preserve">Move with Continued Assistance: </w:t>
      </w:r>
      <w:r>
        <w:t>The public housing agency may not terminate assistance to a family or member of the family that moves out of a unit in violation of the lease, with or without prior notification to the public housing agency if 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5764E2" w:rsidP="00CC4712" w14:paraId="27898BC2" w14:textId="77777777">
      <w:pPr>
        <w:pStyle w:val="numbering2"/>
        <w:numPr>
          <w:ilvl w:val="0"/>
          <w:numId w:val="22"/>
        </w:numPr>
        <w:spacing w:before="0"/>
      </w:pPr>
      <w:r>
        <w:t xml:space="preserve">The move is needed to protect the health or safety of the family or family member who is or </w:t>
      </w:r>
      <w:r>
        <w:t>has been a victim of domestic violence dating violence, sexual assault or stalking; and</w:t>
      </w:r>
    </w:p>
    <w:p w:rsidR="00586080" w:rsidP="00CC4712" w14:paraId="6145DC8F" w14:textId="77777777">
      <w:pPr>
        <w:pStyle w:val="numbering2"/>
        <w:spacing w:before="0"/>
      </w:pPr>
      <w:r w:rsidRPr="00586080">
        <w:t>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w:t>
      </w:r>
      <w:r w:rsidRPr="00586080">
        <w:t xml:space="preserve"> F</w:t>
      </w:r>
      <w:r w:rsidRPr="00586080">
        <w:t>rom</w:t>
      </w:r>
      <w:r w:rsidRPr="00586080">
        <w:t xml:space="preserve"> </w:t>
      </w:r>
      <w:r w:rsidRPr="00586080">
        <w:t>further violence if he or she remained in the dwelling unit. 24 CFR 982.354.</w:t>
      </w:r>
    </w:p>
    <w:p w:rsidR="005764E2" w:rsidRPr="0072085F" w:rsidP="00F113AF" w14:paraId="27898BC5" w14:textId="34469443">
      <w:pPr>
        <w:pStyle w:val="numberinga"/>
        <w:rPr>
          <w:b/>
          <w:bCs/>
        </w:rPr>
      </w:pPr>
      <w:r w:rsidRPr="0072085F">
        <w:rPr>
          <w:b/>
          <w:bCs/>
        </w:rPr>
        <w:t>Confidentiality.</w:t>
      </w:r>
    </w:p>
    <w:p w:rsidR="005764E2" w:rsidP="00CC4712" w14:paraId="27898BC6" w14:textId="77777777">
      <w:pPr>
        <w:pStyle w:val="numbering2"/>
        <w:numPr>
          <w:ilvl w:val="0"/>
          <w:numId w:val="23"/>
        </w:numPr>
        <w:spacing w:before="0"/>
      </w:pPr>
      <w:r>
        <w:t>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w:t>
      </w:r>
    </w:p>
    <w:p w:rsidR="005764E2" w:rsidP="00CC4712" w14:paraId="27898BC7" w14:textId="77777777">
      <w:pPr>
        <w:pStyle w:val="numbering2"/>
        <w:spacing w:before="0"/>
        <w:rPr>
          <w:spacing w:val="-3"/>
        </w:rPr>
      </w:pPr>
      <w:r>
        <w:rPr>
          <w:spacing w:val="-3"/>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5764E2" w:rsidP="00CC4712" w14:paraId="27898BC8" w14:textId="77777777">
      <w:pPr>
        <w:pStyle w:val="numbering2"/>
        <w:spacing w:before="0"/>
        <w:rPr>
          <w:spacing w:val="-2"/>
        </w:rPr>
      </w:pPr>
      <w:r>
        <w:rPr>
          <w:spacing w:val="-2"/>
        </w:rPr>
        <w:t>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required by applicable law.</w:t>
      </w:r>
    </w:p>
    <w:p w:rsidR="005764E2" w:rsidP="00FF52D2" w14:paraId="27898BC9" w14:textId="40237E2F">
      <w:pPr>
        <w:pStyle w:val="ListParagraph"/>
        <w:rPr>
          <w:sz w:val="20"/>
        </w:rPr>
      </w:pPr>
      <w:r>
        <w:t>Eviction by court action</w:t>
      </w:r>
    </w:p>
    <w:p w:rsidR="005764E2" w:rsidP="00F61961" w14:paraId="27898BCA" w14:textId="77777777">
      <w:pPr>
        <w:spacing w:before="24" w:line="213" w:lineRule="exact"/>
        <w:ind w:right="2"/>
        <w:textAlignment w:val="baseline"/>
        <w:rPr>
          <w:rFonts w:eastAsia="Times New Roman"/>
          <w:color w:val="000000"/>
        </w:rPr>
      </w:pPr>
      <w:r>
        <w:rPr>
          <w:rFonts w:eastAsia="Times New Roman"/>
          <w:color w:val="000000"/>
        </w:rPr>
        <w:t>The owner may only evict the tenant by a court action.</w:t>
      </w:r>
    </w:p>
    <w:p w:rsidR="00586080" w:rsidP="00FF52D2" w14:paraId="628027EE" w14:textId="14B35DD5">
      <w:pPr>
        <w:pStyle w:val="ListParagraph"/>
      </w:pPr>
      <w:r>
        <w:t>Owner notice of grounds</w:t>
      </w:r>
    </w:p>
    <w:p w:rsidR="005764E2" w:rsidP="00157759" w14:paraId="27898BCC" w14:textId="71CD0D32">
      <w:pPr>
        <w:pStyle w:val="numberinga"/>
        <w:numPr>
          <w:ilvl w:val="0"/>
          <w:numId w:val="24"/>
        </w:numPr>
      </w:pPr>
      <w:r>
        <w:t>At or before the beginning of a court action to evict the tenant, the owner must give the tenant a notice that specifies the grounds for termination of tenancy. The notice may be included in or combined with any owner eviction notice.</w:t>
      </w:r>
    </w:p>
    <w:p w:rsidR="005764E2" w:rsidP="008A7ED3" w14:paraId="27898BCD" w14:textId="77777777">
      <w:pPr>
        <w:pStyle w:val="numberinga"/>
      </w:pPr>
      <w:r>
        <w:t>The owner must give the PHA a copy of any owner eviction notice at the same time the owner notifies the tenant.</w:t>
      </w:r>
    </w:p>
    <w:p w:rsidR="005764E2" w:rsidP="008A7ED3" w14:paraId="27898BCE" w14:textId="77777777">
      <w:pPr>
        <w:pStyle w:val="numberinga"/>
      </w:pPr>
      <w:r>
        <w:t>Eviction notice means a notice to vacate, or a complaint or other initial pleading used to begin an eviction action under State or local law.</w:t>
      </w:r>
    </w:p>
    <w:p w:rsidR="005764E2" w:rsidP="00FF52D2" w14:paraId="27898BCF" w14:textId="641FE999">
      <w:pPr>
        <w:pStyle w:val="ListParagraph"/>
        <w:rPr>
          <w:sz w:val="20"/>
        </w:rPr>
      </w:pPr>
      <w:r>
        <w:t>Lease: Relation to HAP Contract</w:t>
      </w:r>
    </w:p>
    <w:p w:rsidR="00351A15" w:rsidP="008A7406" w14:paraId="46283DCB" w14:textId="77777777">
      <w:r>
        <w:t>If the HAP contract terminates for any reason, the lease terminates</w:t>
      </w:r>
      <w:r>
        <w:t xml:space="preserve"> </w:t>
      </w:r>
      <w:r>
        <w:t>automatically.</w:t>
      </w:r>
    </w:p>
    <w:p w:rsidR="005764E2" w:rsidP="00FF52D2" w14:paraId="27898BD2" w14:textId="30C45BDA">
      <w:pPr>
        <w:pStyle w:val="ListParagraph"/>
        <w:rPr>
          <w:sz w:val="20"/>
        </w:rPr>
      </w:pPr>
      <w:r>
        <w:t>PHA Termination of Assistance</w:t>
      </w:r>
    </w:p>
    <w:p w:rsidR="005764E2" w:rsidP="008A7406" w14:paraId="27898BD3" w14:textId="77777777">
      <w:r>
        <w:t>The PHA may terminate program assistance for the family for any grounds authorized in accordance with HUD requirements. If the PHA terminates program assistance for the family, the lease terminates automatically.</w:t>
      </w:r>
    </w:p>
    <w:p w:rsidR="005764E2" w:rsidP="00FF52D2" w14:paraId="27898BD4" w14:textId="6FBC14C9">
      <w:pPr>
        <w:pStyle w:val="ListParagraph"/>
        <w:rPr>
          <w:sz w:val="20"/>
        </w:rPr>
      </w:pPr>
      <w:r>
        <w:t>Family Move Out</w:t>
      </w:r>
    </w:p>
    <w:p w:rsidR="005764E2" w:rsidP="00F61961" w14:paraId="27898BD5" w14:textId="77777777">
      <w:pPr>
        <w:spacing w:line="213" w:lineRule="exact"/>
        <w:ind w:right="2"/>
        <w:textAlignment w:val="baseline"/>
        <w:rPr>
          <w:rFonts w:eastAsia="Times New Roman"/>
          <w:color w:val="000000"/>
        </w:rPr>
      </w:pPr>
      <w:r>
        <w:rPr>
          <w:rFonts w:eastAsia="Times New Roman"/>
          <w:color w:val="000000"/>
        </w:rPr>
        <w:t>The tenant must notify the PHA and the owner before the family</w:t>
      </w:r>
    </w:p>
    <w:p w:rsidR="005764E2" w:rsidP="00F61961" w14:paraId="27898BD6" w14:textId="77777777">
      <w:pPr>
        <w:spacing w:line="201" w:lineRule="exact"/>
        <w:ind w:right="2"/>
        <w:textAlignment w:val="baseline"/>
        <w:rPr>
          <w:rFonts w:eastAsia="Times New Roman"/>
          <w:color w:val="000000"/>
        </w:rPr>
      </w:pPr>
      <w:r>
        <w:rPr>
          <w:rFonts w:eastAsia="Times New Roman"/>
          <w:color w:val="000000"/>
        </w:rPr>
        <w:t>moves out of the unit.</w:t>
      </w:r>
    </w:p>
    <w:p w:rsidR="005764E2" w:rsidP="00FF52D2" w14:paraId="27898BD7" w14:textId="6F967038">
      <w:pPr>
        <w:pStyle w:val="ListParagraph"/>
        <w:rPr>
          <w:sz w:val="20"/>
        </w:rPr>
      </w:pPr>
      <w:r>
        <w:t>Security Deposit</w:t>
      </w:r>
    </w:p>
    <w:p w:rsidR="005764E2" w:rsidP="00222069" w14:paraId="27898BD8" w14:textId="77777777">
      <w:pPr>
        <w:pStyle w:val="numberinga"/>
        <w:numPr>
          <w:ilvl w:val="0"/>
          <w:numId w:val="12"/>
        </w:numPr>
        <w:spacing w:before="0"/>
      </w:pPr>
      <w:r>
        <w:t>The owner may collect a security deposit from the tenant. (However, the PHA may prohibit the owner from collecting a security deposit in excess of private market practice, or in excess of amounts charged by the owner to unassisted tenants. Any such PHA-required restriction must be specified in the HAP contract.)</w:t>
      </w:r>
    </w:p>
    <w:p w:rsidR="005764E2" w:rsidRPr="00586080" w:rsidP="00222069" w14:paraId="27898BDE" w14:textId="56A08AB7">
      <w:pPr>
        <w:pStyle w:val="numberinga"/>
        <w:spacing w:before="0"/>
      </w:pPr>
      <w:r w:rsidRPr="00586080">
        <w:rPr>
          <w:spacing w:val="-3"/>
        </w:rPr>
        <w:t>When the family moves out of the contract unit, the owner, subject to State and local law, may use the</w:t>
      </w:r>
      <w:r w:rsidR="00586080">
        <w:rPr>
          <w:spacing w:val="-3"/>
        </w:rPr>
        <w:t xml:space="preserve"> </w:t>
      </w:r>
      <w:r w:rsidRPr="00586080">
        <w:t>security deposit, including any interest on the deposit, as reimbursement for any unpaid rent payable by the tenant, any damages to the unit or any other amounts that the tenant owes under the lease.</w:t>
      </w:r>
    </w:p>
    <w:p w:rsidR="005764E2" w:rsidP="00222069" w14:paraId="27898BDF" w14:textId="77777777">
      <w:pPr>
        <w:pStyle w:val="numberinga"/>
        <w:spacing w:before="0"/>
      </w:pPr>
      <w:r>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5764E2" w:rsidP="00222069" w14:paraId="27898BE0" w14:textId="77777777">
      <w:pPr>
        <w:pStyle w:val="numberinga"/>
        <w:spacing w:before="0"/>
      </w:pPr>
      <w:r>
        <w:t>If the security deposit is not sufficient to cover amounts the tenant owes under the lease, the owner may collect the balance from the tenant.</w:t>
      </w:r>
    </w:p>
    <w:p w:rsidR="005764E2" w:rsidP="00FF52D2" w14:paraId="27898BE1" w14:textId="085EC6F8">
      <w:pPr>
        <w:pStyle w:val="ListParagraph"/>
        <w:rPr>
          <w:sz w:val="20"/>
        </w:rPr>
      </w:pPr>
      <w:r>
        <w:t>Prohibition of Discrimination</w:t>
      </w:r>
    </w:p>
    <w:p w:rsidR="005764E2" w:rsidRPr="00787904" w:rsidP="008A7406" w14:paraId="27898BE2" w14:textId="7AC2A07E">
      <w:pPr>
        <w:spacing w:before="31" w:line="206" w:lineRule="exact"/>
        <w:ind w:left="360" w:right="360"/>
        <w:textAlignment w:val="baseline"/>
        <w:rPr>
          <w:rFonts w:eastAsia="Times New Roman"/>
          <w:color w:val="000000"/>
        </w:rPr>
      </w:pPr>
      <w:r>
        <w:rPr>
          <w:rFonts w:eastAsia="Times New Roman"/>
          <w:color w:val="000000"/>
        </w:rPr>
        <w:t xml:space="preserve">In accordance with applicable nondiscrimination and equal opportunity laws, statutes, and regulations, the owner </w:t>
      </w:r>
      <w:r w:rsidRPr="00787904">
        <w:rPr>
          <w:rFonts w:eastAsia="Times New Roman"/>
          <w:color w:val="000000"/>
        </w:rPr>
        <w:t>must not discriminate against any person because of race, color, religion, sex, national origin, age, familial status or disability in connection with the lease. Eligibility for HUD’s programs must be made without regard to marital status.</w:t>
      </w:r>
    </w:p>
    <w:p w:rsidR="005764E2" w:rsidP="00FF52D2" w14:paraId="27898BE3" w14:textId="4D067ADF">
      <w:pPr>
        <w:pStyle w:val="ListParagraph"/>
        <w:rPr>
          <w:sz w:val="20"/>
        </w:rPr>
      </w:pPr>
      <w:r w:rsidRPr="00787904">
        <w:t>Conflict with Other Provisions</w:t>
      </w:r>
      <w:r>
        <w:t xml:space="preserve"> of Lease</w:t>
      </w:r>
    </w:p>
    <w:p w:rsidR="005764E2" w:rsidP="00157759" w14:paraId="27898BE4" w14:textId="77777777">
      <w:pPr>
        <w:pStyle w:val="numberinga"/>
        <w:numPr>
          <w:ilvl w:val="0"/>
          <w:numId w:val="13"/>
        </w:numPr>
      </w:pPr>
      <w:r>
        <w:t>The terms of the tenancy addendum are prescribed by HUD in accordance with Federal law and regulation, as a condition for Federal assistance to the tenant and tenant’s family under the Section 8 voucher program.</w:t>
      </w:r>
    </w:p>
    <w:p w:rsidR="005764E2" w:rsidP="00F113AF" w14:paraId="27898BE5" w14:textId="77777777">
      <w:pPr>
        <w:pStyle w:val="numberinga"/>
      </w:pPr>
      <w:r>
        <w:t>In case of any conflict between the provisions of the tenancy addendum as required by HUD, and any other provisions of the lease or any other agreement between the owner and the tenant, the requirements of the HUD-required tenancy addendum shall control.</w:t>
      </w:r>
    </w:p>
    <w:p w:rsidR="005764E2" w:rsidP="00FF52D2" w14:paraId="27898BE6" w14:textId="21361488">
      <w:pPr>
        <w:pStyle w:val="ListParagraph"/>
        <w:rPr>
          <w:sz w:val="20"/>
        </w:rPr>
      </w:pPr>
      <w:r>
        <w:t>Changes in Lease or Rent</w:t>
      </w:r>
    </w:p>
    <w:p w:rsidR="005764E2" w:rsidRPr="00D54B43" w:rsidP="00D54B43" w14:paraId="27898BE7" w14:textId="35C8BC24">
      <w:pPr>
        <w:pStyle w:val="numberinga"/>
        <w:numPr>
          <w:ilvl w:val="0"/>
          <w:numId w:val="14"/>
        </w:numPr>
        <w:rPr>
          <w:sz w:val="18"/>
        </w:rPr>
      </w:pPr>
      <w:r>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5764E2" w:rsidP="00F113AF" w14:paraId="27898BE8" w14:textId="77777777">
      <w:pPr>
        <w:pStyle w:val="numberinga"/>
        <w:rPr>
          <w:sz w:val="18"/>
        </w:rPr>
      </w:pPr>
      <w:r>
        <w:rPr>
          <w:sz w:val="18"/>
        </w:rPr>
        <w:t xml:space="preserve">b. </w:t>
      </w:r>
      <w:r>
        <w:t>In the following cases, tenant-based assistance shall not be continued unless the PHA has approved a new tenancy in accordance with program requirements and has executed a new HAP contract with the owner:</w:t>
      </w:r>
    </w:p>
    <w:p w:rsidR="005764E2" w:rsidP="00222069" w14:paraId="27898BE9" w14:textId="77777777">
      <w:pPr>
        <w:pStyle w:val="numbering2"/>
        <w:numPr>
          <w:ilvl w:val="0"/>
          <w:numId w:val="25"/>
        </w:numPr>
        <w:spacing w:before="0"/>
      </w:pPr>
      <w:r>
        <w:t>If there are any changes in lease requirements governing tenant or owner responsibilities for utilities or appliances;</w:t>
      </w:r>
    </w:p>
    <w:p w:rsidR="005764E2" w:rsidP="00222069" w14:paraId="27898BEA" w14:textId="77777777">
      <w:pPr>
        <w:pStyle w:val="numbering2"/>
        <w:spacing w:before="0"/>
      </w:pPr>
      <w:r>
        <w:t>If there are any changes in lease provisions governing the term of the lease;</w:t>
      </w:r>
    </w:p>
    <w:p w:rsidR="005764E2" w:rsidP="00222069" w14:paraId="27898BEB" w14:textId="77777777">
      <w:pPr>
        <w:pStyle w:val="numbering2"/>
        <w:spacing w:before="0"/>
        <w:rPr>
          <w:spacing w:val="-3"/>
        </w:rPr>
      </w:pPr>
      <w:r>
        <w:rPr>
          <w:spacing w:val="-3"/>
        </w:rPr>
        <w:t>If the family moves to a new unit, even if the unit is in the same building or complex.</w:t>
      </w:r>
    </w:p>
    <w:p w:rsidR="005764E2" w:rsidP="00F113AF" w14:paraId="27898BEC" w14:textId="6EAA4E76">
      <w:pPr>
        <w:pStyle w:val="numberinga"/>
        <w:rPr>
          <w:sz w:val="18"/>
        </w:rPr>
      </w:pPr>
      <w:r>
        <w:t>PHA approval of the tenancy, and execution of a new HAP contract, are not required for agreed changes in the lease other than as specified in paragraph b.</w:t>
      </w:r>
    </w:p>
    <w:p w:rsidR="005764E2" w:rsidP="00F113AF" w14:paraId="27898BEE" w14:textId="529C4A5E">
      <w:pPr>
        <w:pStyle w:val="numberinga"/>
      </w:pPr>
      <w:r>
        <w:rPr>
          <w:rFonts w:eastAsia="PMingLiU"/>
          <w:color w:val="auto"/>
          <w:sz w:val="22"/>
        </w:rPr>
        <w:pict>
          <v:line id="_x0000_s1026" style="mso-position-horizontal-relative:page;mso-position-vertical-relative:page;position:absolute;z-index:251658240" from="32.05pt,742.55pt" to="581.2pt,742.55pt" strokeweight="0.7pt"/>
        </w:pict>
      </w:r>
      <w:r w:rsidR="009032AF">
        <w:t xml:space="preserve">The owner must notify the PHA of any changes in the amount of the rent to owner at least sixty days before </w:t>
      </w:r>
      <w:r w:rsidR="009032AF">
        <w:t>any such changes go into effect, and the amount of the rent to owner following any such agreed change may not exceed the reasonable rent for the unit as most recently determined or redetermined by the PHA in accordance with HUD requirements.</w:t>
      </w:r>
    </w:p>
    <w:p w:rsidR="005764E2" w:rsidP="00FF52D2" w14:paraId="27898BEF" w14:textId="77777777">
      <w:pPr>
        <w:pStyle w:val="ListParagraph"/>
      </w:pPr>
      <w:r>
        <w:t>Notices</w:t>
      </w:r>
    </w:p>
    <w:p w:rsidR="005764E2" w:rsidP="00F61961" w14:paraId="27898BF0" w14:textId="77777777">
      <w:pPr>
        <w:spacing w:before="18" w:line="206" w:lineRule="exact"/>
        <w:ind w:right="2"/>
        <w:textAlignment w:val="baseline"/>
        <w:rPr>
          <w:rFonts w:eastAsia="Times New Roman"/>
          <w:color w:val="000000"/>
          <w:spacing w:val="2"/>
        </w:rPr>
      </w:pPr>
      <w:r>
        <w:rPr>
          <w:rFonts w:eastAsia="Times New Roman"/>
          <w:color w:val="000000"/>
          <w:spacing w:val="2"/>
        </w:rPr>
        <w:t>Any notice under the lease by the tenant to the owner or by the</w:t>
      </w:r>
    </w:p>
    <w:p w:rsidR="005764E2" w:rsidP="00F61961" w14:paraId="27898BF1" w14:textId="77777777">
      <w:pPr>
        <w:spacing w:before="20" w:line="206" w:lineRule="exact"/>
        <w:ind w:right="2"/>
        <w:textAlignment w:val="baseline"/>
        <w:rPr>
          <w:rFonts w:eastAsia="Times New Roman"/>
          <w:color w:val="000000"/>
        </w:rPr>
      </w:pPr>
      <w:r>
        <w:rPr>
          <w:rFonts w:eastAsia="Times New Roman"/>
          <w:color w:val="000000"/>
        </w:rPr>
        <w:t>owner to the tenant must be in writing.</w:t>
      </w:r>
    </w:p>
    <w:p w:rsidR="005764E2" w:rsidP="00FF52D2" w14:paraId="27898BF2" w14:textId="77777777">
      <w:pPr>
        <w:pStyle w:val="ListParagraph"/>
      </w:pPr>
      <w:r>
        <w:t>Definitions</w:t>
      </w:r>
    </w:p>
    <w:p w:rsidR="005764E2" w:rsidP="008A7406" w14:paraId="27898BF3" w14:textId="47DE69D9">
      <w:pPr>
        <w:spacing w:line="226" w:lineRule="exact"/>
        <w:textAlignment w:val="baseline"/>
        <w:rPr>
          <w:rFonts w:eastAsia="Times New Roman"/>
          <w:b/>
          <w:color w:val="000000"/>
        </w:rPr>
      </w:pPr>
      <w:r>
        <w:rPr>
          <w:rFonts w:eastAsia="Times New Roman"/>
          <w:b/>
          <w:color w:val="000000"/>
        </w:rPr>
        <w:t>Contract unit</w:t>
      </w:r>
      <w:r>
        <w:rPr>
          <w:rFonts w:eastAsia="Times New Roman"/>
          <w:color w:val="000000"/>
        </w:rPr>
        <w:t>. The housing unit rented by the tenant with assistance under the program.</w:t>
      </w:r>
    </w:p>
    <w:p w:rsidR="005764E2" w:rsidP="008A7406" w14:paraId="27898BF4" w14:textId="7947404D">
      <w:pPr>
        <w:spacing w:line="226" w:lineRule="exact"/>
        <w:textAlignment w:val="baseline"/>
        <w:rPr>
          <w:rFonts w:eastAsia="Times New Roman"/>
          <w:b/>
          <w:color w:val="000000"/>
        </w:rPr>
      </w:pPr>
      <w:r>
        <w:rPr>
          <w:rFonts w:eastAsia="Times New Roman"/>
          <w:b/>
          <w:color w:val="000000"/>
        </w:rPr>
        <w:t>Family</w:t>
      </w:r>
      <w:r>
        <w:rPr>
          <w:rFonts w:eastAsia="Times New Roman"/>
          <w:color w:val="000000"/>
        </w:rPr>
        <w:t xml:space="preserve">. </w:t>
      </w:r>
      <w:r w:rsidR="0089314B">
        <w:rPr>
          <w:rFonts w:eastAsia="Times New Roman"/>
          <w:color w:val="000000"/>
        </w:rPr>
        <w:t>A</w:t>
      </w:r>
      <w:r w:rsidR="007A69E8">
        <w:rPr>
          <w:rFonts w:eastAsia="Times New Roman"/>
          <w:color w:val="000000"/>
        </w:rPr>
        <w:t xml:space="preserve"> person or group of </w:t>
      </w:r>
      <w:r w:rsidR="0089314B">
        <w:rPr>
          <w:rFonts w:eastAsia="Times New Roman"/>
          <w:color w:val="000000"/>
        </w:rPr>
        <w:t xml:space="preserve"> </w:t>
      </w:r>
      <w:r>
        <w:rPr>
          <w:rFonts w:eastAsia="Times New Roman"/>
          <w:color w:val="000000"/>
        </w:rPr>
        <w:t>persons</w:t>
      </w:r>
      <w:r w:rsidR="00A54A51">
        <w:rPr>
          <w:rFonts w:eastAsia="Times New Roman"/>
          <w:color w:val="000000"/>
        </w:rPr>
        <w:t>, as determined by the PHA consistent with 24 CFR 5.403</w:t>
      </w:r>
      <w:r w:rsidR="00A072EB">
        <w:rPr>
          <w:rFonts w:eastAsia="Times New Roman"/>
          <w:color w:val="000000"/>
        </w:rPr>
        <w:t>, approved to</w:t>
      </w:r>
      <w:r>
        <w:rPr>
          <w:rFonts w:eastAsia="Times New Roman"/>
          <w:color w:val="000000"/>
        </w:rPr>
        <w:t xml:space="preserve"> reside in </w:t>
      </w:r>
      <w:r w:rsidR="00A072EB">
        <w:rPr>
          <w:rFonts w:eastAsia="Times New Roman"/>
          <w:color w:val="000000"/>
        </w:rPr>
        <w:t xml:space="preserve">a contract </w:t>
      </w:r>
      <w:r>
        <w:rPr>
          <w:rFonts w:eastAsia="Times New Roman"/>
          <w:color w:val="000000"/>
        </w:rPr>
        <w:t>unit with assistance under the program.</w:t>
      </w:r>
      <w:r w:rsidR="00A072EB">
        <w:rPr>
          <w:rFonts w:eastAsia="Times New Roman"/>
          <w:color w:val="000000"/>
        </w:rPr>
        <w:t xml:space="preserve"> See family composition at 24 CFR 982.201(c).</w:t>
      </w:r>
    </w:p>
    <w:p w:rsidR="005764E2" w:rsidP="008A7406" w14:paraId="27898BF5" w14:textId="77777777">
      <w:pPr>
        <w:spacing w:line="206" w:lineRule="exact"/>
        <w:textAlignment w:val="baseline"/>
        <w:rPr>
          <w:rFonts w:eastAsia="Times New Roman"/>
          <w:b/>
          <w:color w:val="000000"/>
          <w:spacing w:val="-3"/>
        </w:rPr>
      </w:pPr>
      <w:r>
        <w:rPr>
          <w:rFonts w:eastAsia="Times New Roman"/>
          <w:b/>
          <w:color w:val="000000"/>
          <w:spacing w:val="-3"/>
        </w:rPr>
        <w:t>HAP contract</w:t>
      </w:r>
      <w:r>
        <w:rPr>
          <w:rFonts w:eastAsia="Times New Roman"/>
          <w:color w:val="000000"/>
          <w:spacing w:val="-3"/>
        </w:rPr>
        <w:t>. The housing assistance payments contract between the PHA and the owner. The PHA pays housing assistance payments to the owner in accordance with the HAP contract.</w:t>
      </w:r>
    </w:p>
    <w:p w:rsidR="005764E2" w:rsidP="008A7406" w14:paraId="27898BF6" w14:textId="204EDDF0">
      <w:pPr>
        <w:spacing w:line="206" w:lineRule="exact"/>
        <w:textAlignment w:val="baseline"/>
        <w:rPr>
          <w:rFonts w:eastAsia="Times New Roman"/>
          <w:b/>
          <w:color w:val="000000"/>
        </w:rPr>
      </w:pPr>
      <w:r>
        <w:rPr>
          <w:rFonts w:eastAsia="Times New Roman"/>
          <w:b/>
          <w:color w:val="000000"/>
        </w:rPr>
        <w:t>Household</w:t>
      </w:r>
      <w:r>
        <w:rPr>
          <w:rFonts w:eastAsia="Times New Roman"/>
          <w:color w:val="000000"/>
        </w:rPr>
        <w:t>. The persons who may reside in the contract unit. The household consists of the family</w:t>
      </w:r>
      <w:r w:rsidR="00D75848">
        <w:rPr>
          <w:rFonts w:eastAsia="Times New Roman"/>
          <w:color w:val="000000"/>
        </w:rPr>
        <w:t>, foster children and adults,</w:t>
      </w:r>
      <w:r>
        <w:rPr>
          <w:rFonts w:eastAsia="Times New Roman"/>
          <w:color w:val="000000"/>
        </w:rPr>
        <w:t xml:space="preserve"> and any PHA-approved live-in aide. (A live-in aide is a person who resides in the unit to provide necessary supportive services for a member of the family who is a person with disabilities.)</w:t>
      </w:r>
    </w:p>
    <w:p w:rsidR="005764E2" w:rsidP="008A7406" w14:paraId="27898BF7" w14:textId="2BE97716">
      <w:pPr>
        <w:spacing w:line="206" w:lineRule="exact"/>
        <w:textAlignment w:val="baseline"/>
        <w:rPr>
          <w:rFonts w:eastAsia="Times New Roman"/>
          <w:b/>
          <w:color w:val="000000"/>
          <w:spacing w:val="-2"/>
        </w:rPr>
      </w:pPr>
      <w:r>
        <w:rPr>
          <w:rFonts w:eastAsia="Times New Roman"/>
          <w:b/>
          <w:color w:val="000000"/>
          <w:spacing w:val="-2"/>
        </w:rPr>
        <w:t>Housing quality standards (HQS)</w:t>
      </w:r>
      <w:r>
        <w:rPr>
          <w:rFonts w:eastAsia="Times New Roman"/>
          <w:color w:val="000000"/>
          <w:spacing w:val="-2"/>
        </w:rPr>
        <w:t xml:space="preserve">. </w:t>
      </w:r>
      <w:r w:rsidRPr="009F0EF8" w:rsidR="00D75848">
        <w:rPr>
          <w:rFonts w:eastAsia="Times New Roman"/>
          <w:color w:val="000000"/>
          <w:spacing w:val="-2"/>
        </w:rPr>
        <w:t>The minimum quality standards developed by HUD in accordance with 24 CFR 5.703 for the HCV program, including any variations approved by HUD for the PHA under 24 CFR 5.705(a)(3).</w:t>
      </w:r>
      <w:r w:rsidR="00D75848">
        <w:rPr>
          <w:rFonts w:eastAsia="Times New Roman"/>
          <w:color w:val="000000"/>
          <w:spacing w:val="-2"/>
          <w:u w:val="single"/>
        </w:rPr>
        <w:t xml:space="preserve"> </w:t>
      </w:r>
    </w:p>
    <w:p w:rsidR="005764E2" w:rsidP="008A7406" w14:paraId="27898BF8" w14:textId="77777777">
      <w:pPr>
        <w:spacing w:line="206" w:lineRule="exact"/>
        <w:textAlignment w:val="baseline"/>
        <w:rPr>
          <w:rFonts w:eastAsia="Times New Roman"/>
          <w:b/>
          <w:color w:val="000000"/>
          <w:spacing w:val="-1"/>
        </w:rPr>
      </w:pPr>
      <w:r>
        <w:rPr>
          <w:rFonts w:eastAsia="Times New Roman"/>
          <w:b/>
          <w:color w:val="000000"/>
          <w:spacing w:val="-1"/>
        </w:rPr>
        <w:t xml:space="preserve">HUD. </w:t>
      </w:r>
      <w:r>
        <w:rPr>
          <w:rFonts w:eastAsia="Times New Roman"/>
          <w:color w:val="000000"/>
          <w:spacing w:val="-1"/>
        </w:rPr>
        <w:t>The U.S. Department of Housing and Urban Development.</w:t>
      </w:r>
    </w:p>
    <w:p w:rsidR="005764E2" w:rsidP="008A7406" w14:paraId="27898BF9" w14:textId="77777777">
      <w:pPr>
        <w:spacing w:line="206" w:lineRule="exact"/>
        <w:textAlignment w:val="baseline"/>
        <w:rPr>
          <w:rFonts w:eastAsia="Times New Roman"/>
          <w:b/>
          <w:color w:val="000000"/>
        </w:rPr>
      </w:pPr>
      <w:r>
        <w:rPr>
          <w:rFonts w:eastAsia="Times New Roman"/>
          <w:b/>
          <w:color w:val="000000"/>
        </w:rPr>
        <w:t>HUD requirements</w:t>
      </w:r>
      <w:r>
        <w:rPr>
          <w:rFonts w:eastAsia="Times New Roman"/>
          <w:color w:val="000000"/>
        </w:rPr>
        <w:t>. HUD requirements for the Section 8 program. HUD requirements are issued by HUD headquarters, as regulations, Federal Register notices or other binding program directives.</w:t>
      </w:r>
    </w:p>
    <w:p w:rsidR="005764E2" w:rsidP="008A7406" w14:paraId="27898BFA" w14:textId="3D9AAF35">
      <w:pPr>
        <w:spacing w:line="206" w:lineRule="exact"/>
        <w:textAlignment w:val="baseline"/>
        <w:rPr>
          <w:rFonts w:eastAsia="Times New Roman"/>
          <w:b/>
          <w:color w:val="000000"/>
        </w:rPr>
      </w:pPr>
      <w:r>
        <w:rPr>
          <w:rFonts w:eastAsia="Times New Roman"/>
          <w:b/>
          <w:color w:val="000000"/>
        </w:rPr>
        <w:t>Lease</w:t>
      </w:r>
      <w:r>
        <w:rPr>
          <w:rFonts w:eastAsia="Times New Roman"/>
          <w:color w:val="000000"/>
        </w:rPr>
        <w:t xml:space="preserve">. </w:t>
      </w:r>
      <w:r w:rsidRPr="00D75848" w:rsidR="00265F21">
        <w:rPr>
          <w:rFonts w:eastAsia="Times New Roman"/>
          <w:color w:val="000000"/>
        </w:rPr>
        <w:t>A written agreement between an owner and a tenant for the leasing of a dwelling unit to the tenant. The lease establishes the conditions for occupancy of the dwelling unit by a family with housing assistance payments under a HAP contract between the owner and the PHA</w:t>
      </w:r>
      <w:r w:rsidR="00265F21">
        <w:rPr>
          <w:rFonts w:eastAsia="Times New Roman"/>
          <w:color w:val="000000"/>
        </w:rPr>
        <w:t xml:space="preserve">. </w:t>
      </w:r>
    </w:p>
    <w:p w:rsidR="005764E2" w:rsidP="008A7406" w14:paraId="27898BFB" w14:textId="77777777">
      <w:pPr>
        <w:spacing w:line="206" w:lineRule="exact"/>
        <w:textAlignment w:val="baseline"/>
        <w:rPr>
          <w:rFonts w:eastAsia="Times New Roman"/>
          <w:b/>
          <w:color w:val="000000"/>
        </w:rPr>
      </w:pPr>
      <w:r>
        <w:rPr>
          <w:rFonts w:eastAsia="Times New Roman"/>
          <w:b/>
          <w:color w:val="000000"/>
        </w:rPr>
        <w:t>PHA</w:t>
      </w:r>
      <w:r>
        <w:rPr>
          <w:rFonts w:eastAsia="Times New Roman"/>
          <w:color w:val="000000"/>
        </w:rPr>
        <w:t>. Public Housing Agency.</w:t>
      </w:r>
    </w:p>
    <w:p w:rsidR="005764E2" w:rsidP="008A7406" w14:paraId="27898BFC" w14:textId="7C0C5FD0">
      <w:pPr>
        <w:spacing w:line="206" w:lineRule="exact"/>
        <w:textAlignment w:val="baseline"/>
        <w:rPr>
          <w:rFonts w:eastAsia="Times New Roman"/>
          <w:b/>
          <w:color w:val="000000"/>
          <w:spacing w:val="-2"/>
        </w:rPr>
      </w:pPr>
      <w:r>
        <w:rPr>
          <w:rFonts w:eastAsia="Times New Roman"/>
          <w:b/>
          <w:color w:val="000000"/>
          <w:spacing w:val="-2"/>
        </w:rPr>
        <w:t>Premises</w:t>
      </w:r>
      <w:r>
        <w:rPr>
          <w:rFonts w:eastAsia="Times New Roman"/>
          <w:color w:val="000000"/>
          <w:spacing w:val="-2"/>
        </w:rPr>
        <w:t>. The building or complex in which the contract unit is located, including common areas and grounds.</w:t>
      </w:r>
    </w:p>
    <w:p w:rsidR="005764E2" w:rsidP="008A7406" w14:paraId="27898BFD" w14:textId="77777777">
      <w:pPr>
        <w:spacing w:line="206" w:lineRule="exact"/>
        <w:textAlignment w:val="baseline"/>
        <w:rPr>
          <w:rFonts w:eastAsia="Times New Roman"/>
          <w:b/>
          <w:color w:val="000000"/>
        </w:rPr>
      </w:pPr>
      <w:r>
        <w:rPr>
          <w:rFonts w:eastAsia="Times New Roman"/>
          <w:b/>
          <w:color w:val="000000"/>
        </w:rPr>
        <w:t>Program</w:t>
      </w:r>
      <w:r>
        <w:rPr>
          <w:rFonts w:eastAsia="Times New Roman"/>
          <w:color w:val="000000"/>
        </w:rPr>
        <w:t>. The Section 8 housing choice voucher program.</w:t>
      </w:r>
    </w:p>
    <w:p w:rsidR="005764E2" w:rsidP="008A7406" w14:paraId="27898BFE" w14:textId="458B0DA0">
      <w:pPr>
        <w:spacing w:line="206" w:lineRule="exact"/>
        <w:textAlignment w:val="baseline"/>
        <w:rPr>
          <w:rFonts w:eastAsia="Times New Roman"/>
          <w:b/>
          <w:color w:val="000000"/>
        </w:rPr>
      </w:pPr>
      <w:r>
        <w:rPr>
          <w:rFonts w:eastAsia="Times New Roman"/>
          <w:b/>
          <w:color w:val="000000"/>
        </w:rPr>
        <w:t>Rent to owner</w:t>
      </w:r>
      <w:r>
        <w:rPr>
          <w:rFonts w:eastAsia="Times New Roman"/>
          <w:color w:val="000000"/>
        </w:rPr>
        <w:t>. The total monthly rent payable to the owner</w:t>
      </w:r>
      <w:r w:rsidR="00021F68">
        <w:rPr>
          <w:rFonts w:eastAsia="Times New Roman"/>
          <w:color w:val="000000"/>
        </w:rPr>
        <w:t xml:space="preserve"> under the lease</w:t>
      </w:r>
      <w:r>
        <w:rPr>
          <w:rFonts w:eastAsia="Times New Roman"/>
          <w:color w:val="000000"/>
        </w:rPr>
        <w:t xml:space="preserve"> for the unit. </w:t>
      </w:r>
      <w:r w:rsidR="00021F68">
        <w:rPr>
          <w:rFonts w:eastAsia="Times New Roman"/>
          <w:color w:val="000000"/>
        </w:rPr>
        <w:t>R</w:t>
      </w:r>
      <w:r>
        <w:rPr>
          <w:rFonts w:eastAsia="Times New Roman"/>
          <w:color w:val="000000"/>
        </w:rPr>
        <w:t xml:space="preserve">ent to owner </w:t>
      </w:r>
      <w:r w:rsidR="006D1079">
        <w:rPr>
          <w:color w:val="000000"/>
          <w:szCs w:val="19"/>
        </w:rPr>
        <w:t xml:space="preserve">covers payment for any housing services, maintenance and utility that the owner is required to provide and pay for. </w:t>
      </w:r>
    </w:p>
    <w:p w:rsidR="005764E2" w:rsidP="008A7406" w14:paraId="27898BFF" w14:textId="77777777">
      <w:pPr>
        <w:spacing w:line="206" w:lineRule="exact"/>
        <w:textAlignment w:val="baseline"/>
        <w:rPr>
          <w:rFonts w:eastAsia="Times New Roman"/>
          <w:b/>
          <w:color w:val="000000"/>
        </w:rPr>
      </w:pPr>
      <w:r>
        <w:rPr>
          <w:rFonts w:eastAsia="Times New Roman"/>
          <w:b/>
          <w:color w:val="000000"/>
        </w:rPr>
        <w:t>Section 8</w:t>
      </w:r>
      <w:r>
        <w:rPr>
          <w:rFonts w:eastAsia="Times New Roman"/>
          <w:color w:val="000000"/>
        </w:rPr>
        <w:t>. Section 8 of the United States Housing Act of 1937 (42 United States Code 1437f).</w:t>
      </w:r>
    </w:p>
    <w:p w:rsidR="00586080" w:rsidP="008A7406" w14:paraId="600EFB8B" w14:textId="129AA826">
      <w:pPr>
        <w:spacing w:line="216" w:lineRule="exact"/>
        <w:textAlignment w:val="baseline"/>
        <w:rPr>
          <w:rFonts w:eastAsia="Times New Roman"/>
          <w:color w:val="000000"/>
        </w:rPr>
      </w:pPr>
      <w:r>
        <w:rPr>
          <w:rFonts w:eastAsia="Times New Roman"/>
          <w:b/>
          <w:color w:val="000000"/>
        </w:rPr>
        <w:t>Tenant</w:t>
      </w:r>
      <w:r>
        <w:rPr>
          <w:rFonts w:eastAsia="Times New Roman"/>
          <w:color w:val="000000"/>
        </w:rPr>
        <w:t xml:space="preserve">. The </w:t>
      </w:r>
      <w:r w:rsidR="00651301">
        <w:rPr>
          <w:rFonts w:eastAsia="Times New Roman"/>
          <w:color w:val="000000"/>
        </w:rPr>
        <w:t>person or persons (other than foster children, foster adults, or a live-in aide) who executes the lease as lessee of the dwelling unit.</w:t>
      </w:r>
    </w:p>
    <w:p w:rsidR="005764E2" w:rsidP="008A7406" w14:paraId="27898C04" w14:textId="1989B2C7">
      <w:pPr>
        <w:spacing w:line="216" w:lineRule="exact"/>
        <w:textAlignment w:val="baseline"/>
        <w:rPr>
          <w:rFonts w:ascii="Arial" w:eastAsia="Arial" w:hAnsi="Arial"/>
          <w:color w:val="000000"/>
          <w:sz w:val="18"/>
        </w:rPr>
      </w:pPr>
      <w:r>
        <w:rPr>
          <w:rFonts w:eastAsia="Times New Roman"/>
          <w:b/>
          <w:color w:val="000000"/>
        </w:rPr>
        <w:t>Voucher program</w:t>
      </w:r>
      <w:r>
        <w:rPr>
          <w:rFonts w:eastAsia="Times New Roman"/>
          <w:color w:val="000000"/>
        </w:rPr>
        <w:t>. The Section 8 housing choice voucher program. Under this program, HUD provides funds to a PHA for rent subsidy on behalf of eligible families. The tenancy under the lease will be assisted with rent subsidy for a tenancy under the voucher program.</w:t>
      </w:r>
    </w:p>
    <w:sectPr w:rsidSect="00D54B43">
      <w:type w:val="continuous"/>
      <w:pgSz w:w="12240" w:h="15840" w:code="1"/>
      <w:pgMar w:top="691" w:right="634" w:bottom="691" w:left="634" w:header="720" w:footer="288" w:gutter="0"/>
      <w:cols w:num="2" w:space="45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80" w:rsidP="002D7628" w14:paraId="3D63AF89" w14:textId="10E69722">
    <w:pPr>
      <w:tabs>
        <w:tab w:val="left" w:pos="4968"/>
        <w:tab w:val="left" w:pos="8820"/>
      </w:tabs>
      <w:spacing w:before="179" w:line="217" w:lineRule="exact"/>
      <w:ind w:left="90" w:right="450"/>
      <w:textAlignment w:val="baseline"/>
      <w:rPr>
        <w:rFonts w:ascii="Arial" w:eastAsia="Arial" w:hAnsi="Arial"/>
        <w:color w:val="000000"/>
        <w:sz w:val="18"/>
      </w:rPr>
    </w:pPr>
    <w:r>
      <w:rPr>
        <w:rFonts w:ascii="Arial" w:eastAsia="Arial" w:hAnsi="Arial"/>
        <w:color w:val="000000"/>
        <w:sz w:val="18"/>
      </w:rPr>
      <w:t>Previous editions are obsolete</w:t>
    </w:r>
    <w:r>
      <w:rPr>
        <w:rFonts w:ascii="Arial" w:eastAsia="Arial" w:hAnsi="Arial"/>
        <w:color w:val="000000"/>
        <w:sz w:val="18"/>
      </w:rPr>
      <w:tab/>
      <w:t xml:space="preserve">Page </w:t>
    </w:r>
    <w:r w:rsidRPr="00157759" w:rsidR="00157759">
      <w:rPr>
        <w:rFonts w:ascii="Arial" w:eastAsia="Arial" w:hAnsi="Arial"/>
        <w:color w:val="000000"/>
        <w:sz w:val="18"/>
      </w:rPr>
      <w:fldChar w:fldCharType="begin"/>
    </w:r>
    <w:r w:rsidRPr="00157759" w:rsidR="00157759">
      <w:rPr>
        <w:rFonts w:ascii="Arial" w:eastAsia="Arial" w:hAnsi="Arial"/>
        <w:color w:val="000000"/>
        <w:sz w:val="18"/>
      </w:rPr>
      <w:instrText xml:space="preserve"> PAGE   \* MERGEFORMAT </w:instrText>
    </w:r>
    <w:r w:rsidRPr="00157759" w:rsidR="00157759">
      <w:rPr>
        <w:rFonts w:ascii="Arial" w:eastAsia="Arial" w:hAnsi="Arial"/>
        <w:color w:val="000000"/>
        <w:sz w:val="18"/>
      </w:rPr>
      <w:fldChar w:fldCharType="separate"/>
    </w:r>
    <w:r w:rsidRPr="00157759" w:rsidR="00157759">
      <w:rPr>
        <w:rFonts w:ascii="Arial" w:eastAsia="Arial" w:hAnsi="Arial"/>
        <w:noProof/>
        <w:color w:val="000000"/>
        <w:sz w:val="18"/>
      </w:rPr>
      <w:t>1</w:t>
    </w:r>
    <w:r w:rsidRPr="00157759" w:rsidR="00157759">
      <w:rPr>
        <w:rFonts w:ascii="Arial" w:eastAsia="Arial" w:hAnsi="Arial"/>
        <w:noProof/>
        <w:color w:val="000000"/>
        <w:sz w:val="18"/>
      </w:rPr>
      <w:fldChar w:fldCharType="end"/>
    </w:r>
    <w:r>
      <w:rPr>
        <w:rFonts w:ascii="Arial" w:eastAsia="Arial" w:hAnsi="Arial"/>
        <w:color w:val="000000"/>
        <w:sz w:val="18"/>
      </w:rPr>
      <w:t xml:space="preserve"> of </w:t>
    </w:r>
    <w:r w:rsidR="00F203CC">
      <w:rPr>
        <w:rFonts w:ascii="Arial" w:eastAsia="Arial" w:hAnsi="Arial"/>
        <w:color w:val="000000"/>
        <w:sz w:val="18"/>
      </w:rPr>
      <w:t>6</w:t>
    </w:r>
    <w:r>
      <w:rPr>
        <w:rFonts w:ascii="Arial" w:eastAsia="Arial" w:hAnsi="Arial"/>
        <w:color w:val="000000"/>
        <w:sz w:val="18"/>
      </w:rPr>
      <w:tab/>
      <w:t>form</w:t>
    </w:r>
    <w:r w:rsidR="002D7628">
      <w:rPr>
        <w:rFonts w:ascii="Arial" w:eastAsia="Arial" w:hAnsi="Arial"/>
        <w:color w:val="000000"/>
        <w:sz w:val="18"/>
      </w:rPr>
      <w:t xml:space="preserve"> </w:t>
    </w:r>
    <w:r>
      <w:rPr>
        <w:rFonts w:ascii="Arial" w:eastAsia="Arial" w:hAnsi="Arial"/>
        <w:b/>
        <w:color w:val="000000"/>
        <w:sz w:val="18"/>
      </w:rPr>
      <w:t>HUD-52641-A</w:t>
    </w:r>
  </w:p>
  <w:p w:rsidR="00586080" w:rsidP="002D7628" w14:paraId="3451F595" w14:textId="2914A3E1">
    <w:pPr>
      <w:spacing w:line="180" w:lineRule="exact"/>
      <w:ind w:right="510"/>
      <w:jc w:val="right"/>
      <w:textAlignment w:val="baseline"/>
      <w:rPr>
        <w:rFonts w:ascii="Arial" w:eastAsia="Arial" w:hAnsi="Arial"/>
        <w:color w:val="000000"/>
        <w:spacing w:val="-1"/>
        <w:sz w:val="18"/>
      </w:rPr>
    </w:pPr>
    <w:r>
      <w:rPr>
        <w:rFonts w:ascii="Arial" w:eastAsia="Arial" w:hAnsi="Arial"/>
        <w:color w:val="000000"/>
        <w:spacing w:val="-1"/>
        <w:sz w:val="18"/>
      </w:rPr>
      <w:t>(</w:t>
    </w:r>
    <w:r w:rsidR="00DF3408">
      <w:rPr>
        <w:rFonts w:ascii="Arial" w:eastAsia="Arial" w:hAnsi="Arial"/>
        <w:color w:val="000000"/>
        <w:spacing w:val="-1"/>
        <w:sz w:val="18"/>
      </w:rPr>
      <w:t>XX/XXXX</w:t>
    </w:r>
    <w:r>
      <w:rPr>
        <w:rFonts w:ascii="Arial" w:eastAsia="Arial" w:hAnsi="Arial"/>
        <w:color w:val="000000"/>
        <w:spacing w:val="-1"/>
        <w:sz w:val="18"/>
      </w:rPr>
      <w:t>)</w:t>
    </w:r>
  </w:p>
  <w:p w:rsidR="00586080" w14:paraId="5583A4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F65F4"/>
    <w:multiLevelType w:val="multilevel"/>
    <w:tmpl w:val="EC704B84"/>
    <w:lvl w:ilvl="0">
      <w:start w:val="1"/>
      <w:numFmt w:val="lowerLetter"/>
      <w:pStyle w:val="suba"/>
      <w:lvlText w:val="(%1)"/>
      <w:lvlJc w:val="left"/>
      <w:pPr>
        <w:tabs>
          <w:tab w:val="left" w:pos="432"/>
        </w:tabs>
      </w:pPr>
      <w:rPr>
        <w:rFonts w:ascii="Times New Roman" w:eastAsia="Times New Roman" w:hAnsi="Times New Roman"/>
        <w:color w:val="000000"/>
        <w:spacing w:val="0"/>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29420C1"/>
    <w:multiLevelType w:val="multilevel"/>
    <w:tmpl w:val="DD582600"/>
    <w:lvl w:ilvl="0">
      <w:start w:val="1"/>
      <w:numFmt w:val="decimal"/>
      <w:pStyle w:val="numbering2"/>
      <w:lvlText w:val="(%1)"/>
      <w:lvlJc w:val="left"/>
      <w:pPr>
        <w:tabs>
          <w:tab w:val="left" w:pos="288"/>
        </w:tabs>
      </w:pPr>
      <w:rPr>
        <w:rFonts w:hint="default"/>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2B21F00"/>
    <w:multiLevelType w:val="multilevel"/>
    <w:tmpl w:val="B28AC5BC"/>
    <w:lvl w:ilvl="0">
      <w:start w:val="1"/>
      <w:numFmt w:val="lowerLetter"/>
      <w:pStyle w:val="numberinga"/>
      <w:lvlText w:val="%1."/>
      <w:lvlJc w:val="left"/>
      <w:pPr>
        <w:tabs>
          <w:tab w:val="left" w:pos="288"/>
        </w:tabs>
      </w:pPr>
      <w:rPr>
        <w:rFonts w:ascii="Times New Roman" w:eastAsia="Times New Roman" w:hAnsi="Times New Roman"/>
        <w:b/>
        <w:bCs/>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7415246B"/>
    <w:multiLevelType w:val="hybridMultilevel"/>
    <w:tmpl w:val="3D6E335A"/>
    <w:lvl w:ilvl="0">
      <w:start w:val="1"/>
      <w:numFmt w:val="decimal"/>
      <w:pStyle w:val="ListParagraph"/>
      <w:lvlText w:val="%1."/>
      <w:lvlJc w:val="left"/>
      <w:pPr>
        <w:ind w:left="720" w:hanging="360"/>
      </w:pPr>
    </w:lvl>
    <w:lvl w:ilvl="1">
      <w:start w:val="1"/>
      <w:numFmt w:val="decimal"/>
      <w:lvlText w:val="(%2)"/>
      <w:lvlJc w:val="left"/>
      <w:pPr>
        <w:ind w:left="1500" w:hanging="420"/>
      </w:pPr>
      <w:rPr>
        <w:rFonts w:hint="default"/>
        <w:sz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8954487">
    <w:abstractNumId w:val="2"/>
  </w:num>
  <w:num w:numId="2" w16cid:durableId="1323968484">
    <w:abstractNumId w:val="0"/>
  </w:num>
  <w:num w:numId="3" w16cid:durableId="526722025">
    <w:abstractNumId w:val="2"/>
    <w:lvlOverride w:ilvl="0">
      <w:startOverride w:val="1"/>
    </w:lvlOverride>
    <w:lvlOverride w:ilvl="1"/>
    <w:lvlOverride w:ilvl="2"/>
    <w:lvlOverride w:ilvl="3"/>
    <w:lvlOverride w:ilvl="4"/>
    <w:lvlOverride w:ilvl="5"/>
    <w:lvlOverride w:ilvl="6"/>
    <w:lvlOverride w:ilvl="7"/>
    <w:lvlOverride w:ilvl="8"/>
  </w:num>
  <w:num w:numId="4" w16cid:durableId="1183013498">
    <w:abstractNumId w:val="2"/>
    <w:lvlOverride w:ilvl="0">
      <w:startOverride w:val="1"/>
    </w:lvlOverride>
    <w:lvlOverride w:ilvl="1"/>
    <w:lvlOverride w:ilvl="2"/>
    <w:lvlOverride w:ilvl="3"/>
    <w:lvlOverride w:ilvl="4"/>
    <w:lvlOverride w:ilvl="5"/>
    <w:lvlOverride w:ilvl="6"/>
    <w:lvlOverride w:ilvl="7"/>
    <w:lvlOverride w:ilvl="8"/>
  </w:num>
  <w:num w:numId="5" w16cid:durableId="720253829">
    <w:abstractNumId w:val="2"/>
    <w:lvlOverride w:ilvl="0">
      <w:startOverride w:val="1"/>
    </w:lvlOverride>
    <w:lvlOverride w:ilvl="1"/>
    <w:lvlOverride w:ilvl="2"/>
    <w:lvlOverride w:ilvl="3"/>
    <w:lvlOverride w:ilvl="4"/>
    <w:lvlOverride w:ilvl="5"/>
    <w:lvlOverride w:ilvl="6"/>
    <w:lvlOverride w:ilvl="7"/>
    <w:lvlOverride w:ilvl="8"/>
  </w:num>
  <w:num w:numId="6" w16cid:durableId="1600984911">
    <w:abstractNumId w:val="2"/>
    <w:lvlOverride w:ilvl="0">
      <w:startOverride w:val="1"/>
    </w:lvlOverride>
    <w:lvlOverride w:ilvl="1"/>
    <w:lvlOverride w:ilvl="2"/>
    <w:lvlOverride w:ilvl="3"/>
    <w:lvlOverride w:ilvl="4"/>
    <w:lvlOverride w:ilvl="5"/>
    <w:lvlOverride w:ilvl="6"/>
    <w:lvlOverride w:ilvl="7"/>
    <w:lvlOverride w:ilvl="8"/>
  </w:num>
  <w:num w:numId="7" w16cid:durableId="1041707337">
    <w:abstractNumId w:val="2"/>
    <w:lvlOverride w:ilvl="0">
      <w:startOverride w:val="1"/>
    </w:lvlOverride>
    <w:lvlOverride w:ilvl="1"/>
    <w:lvlOverride w:ilvl="2"/>
    <w:lvlOverride w:ilvl="3"/>
    <w:lvlOverride w:ilvl="4"/>
    <w:lvlOverride w:ilvl="5"/>
    <w:lvlOverride w:ilvl="6"/>
    <w:lvlOverride w:ilvl="7"/>
    <w:lvlOverride w:ilvl="8"/>
  </w:num>
  <w:num w:numId="8" w16cid:durableId="437874174">
    <w:abstractNumId w:val="3"/>
  </w:num>
  <w:num w:numId="9" w16cid:durableId="1885215567">
    <w:abstractNumId w:val="2"/>
    <w:lvlOverride w:ilvl="0">
      <w:startOverride w:val="1"/>
    </w:lvlOverride>
    <w:lvlOverride w:ilvl="1"/>
    <w:lvlOverride w:ilvl="2"/>
    <w:lvlOverride w:ilvl="3"/>
    <w:lvlOverride w:ilvl="4"/>
    <w:lvlOverride w:ilvl="5"/>
    <w:lvlOverride w:ilvl="6"/>
    <w:lvlOverride w:ilvl="7"/>
    <w:lvlOverride w:ilvl="8"/>
  </w:num>
  <w:num w:numId="10" w16cid:durableId="1703166439">
    <w:abstractNumId w:val="2"/>
    <w:lvlOverride w:ilvl="0">
      <w:startOverride w:val="1"/>
    </w:lvlOverride>
    <w:lvlOverride w:ilvl="1"/>
    <w:lvlOverride w:ilvl="2"/>
    <w:lvlOverride w:ilvl="3"/>
    <w:lvlOverride w:ilvl="4"/>
    <w:lvlOverride w:ilvl="5"/>
    <w:lvlOverride w:ilvl="6"/>
    <w:lvlOverride w:ilvl="7"/>
    <w:lvlOverride w:ilvl="8"/>
  </w:num>
  <w:num w:numId="11" w16cid:durableId="2044742644">
    <w:abstractNumId w:val="2"/>
    <w:lvlOverride w:ilvl="0">
      <w:startOverride w:val="1"/>
    </w:lvlOverride>
    <w:lvlOverride w:ilvl="1"/>
    <w:lvlOverride w:ilvl="2"/>
    <w:lvlOverride w:ilvl="3"/>
    <w:lvlOverride w:ilvl="4"/>
    <w:lvlOverride w:ilvl="5"/>
    <w:lvlOverride w:ilvl="6"/>
    <w:lvlOverride w:ilvl="7"/>
    <w:lvlOverride w:ilvl="8"/>
  </w:num>
  <w:num w:numId="12" w16cid:durableId="2067683066">
    <w:abstractNumId w:val="2"/>
    <w:lvlOverride w:ilvl="0">
      <w:startOverride w:val="1"/>
    </w:lvlOverride>
    <w:lvlOverride w:ilvl="1"/>
    <w:lvlOverride w:ilvl="2"/>
    <w:lvlOverride w:ilvl="3"/>
    <w:lvlOverride w:ilvl="4"/>
    <w:lvlOverride w:ilvl="5"/>
    <w:lvlOverride w:ilvl="6"/>
    <w:lvlOverride w:ilvl="7"/>
    <w:lvlOverride w:ilvl="8"/>
  </w:num>
  <w:num w:numId="13" w16cid:durableId="646396325">
    <w:abstractNumId w:val="2"/>
    <w:lvlOverride w:ilvl="0">
      <w:startOverride w:val="1"/>
    </w:lvlOverride>
    <w:lvlOverride w:ilvl="1"/>
    <w:lvlOverride w:ilvl="2"/>
    <w:lvlOverride w:ilvl="3"/>
    <w:lvlOverride w:ilvl="4"/>
    <w:lvlOverride w:ilvl="5"/>
    <w:lvlOverride w:ilvl="6"/>
    <w:lvlOverride w:ilvl="7"/>
    <w:lvlOverride w:ilvl="8"/>
  </w:num>
  <w:num w:numId="14" w16cid:durableId="1619532406">
    <w:abstractNumId w:val="2"/>
    <w:lvlOverride w:ilvl="0">
      <w:startOverride w:val="1"/>
    </w:lvlOverride>
    <w:lvlOverride w:ilvl="1"/>
    <w:lvlOverride w:ilvl="2"/>
    <w:lvlOverride w:ilvl="3"/>
    <w:lvlOverride w:ilvl="4"/>
    <w:lvlOverride w:ilvl="5"/>
    <w:lvlOverride w:ilvl="6"/>
    <w:lvlOverride w:ilvl="7"/>
    <w:lvlOverride w:ilvl="8"/>
  </w:num>
  <w:num w:numId="15" w16cid:durableId="1105880966">
    <w:abstractNumId w:val="1"/>
  </w:num>
  <w:num w:numId="16" w16cid:durableId="663701583">
    <w:abstractNumId w:val="1"/>
    <w:lvlOverride w:ilvl="0">
      <w:startOverride w:val="1"/>
    </w:lvlOverride>
    <w:lvlOverride w:ilvl="1"/>
    <w:lvlOverride w:ilvl="2"/>
    <w:lvlOverride w:ilvl="3"/>
    <w:lvlOverride w:ilvl="4"/>
    <w:lvlOverride w:ilvl="5"/>
    <w:lvlOverride w:ilvl="6"/>
    <w:lvlOverride w:ilvl="7"/>
    <w:lvlOverride w:ilvl="8"/>
  </w:num>
  <w:num w:numId="17" w16cid:durableId="1786775167">
    <w:abstractNumId w:val="1"/>
    <w:lvlOverride w:ilvl="0">
      <w:startOverride w:val="1"/>
    </w:lvlOverride>
    <w:lvlOverride w:ilvl="1"/>
    <w:lvlOverride w:ilvl="2"/>
    <w:lvlOverride w:ilvl="3"/>
    <w:lvlOverride w:ilvl="4"/>
    <w:lvlOverride w:ilvl="5"/>
    <w:lvlOverride w:ilvl="6"/>
    <w:lvlOverride w:ilvl="7"/>
    <w:lvlOverride w:ilvl="8"/>
  </w:num>
  <w:num w:numId="18" w16cid:durableId="1617711876">
    <w:abstractNumId w:val="1"/>
    <w:lvlOverride w:ilvl="0">
      <w:startOverride w:val="1"/>
    </w:lvlOverride>
    <w:lvlOverride w:ilvl="1"/>
    <w:lvlOverride w:ilvl="2"/>
    <w:lvlOverride w:ilvl="3"/>
    <w:lvlOverride w:ilvl="4"/>
    <w:lvlOverride w:ilvl="5"/>
    <w:lvlOverride w:ilvl="6"/>
    <w:lvlOverride w:ilvl="7"/>
    <w:lvlOverride w:ilvl="8"/>
  </w:num>
  <w:num w:numId="19" w16cid:durableId="1018120616">
    <w:abstractNumId w:val="1"/>
    <w:lvlOverride w:ilvl="0">
      <w:startOverride w:val="1"/>
    </w:lvlOverride>
    <w:lvlOverride w:ilvl="1"/>
    <w:lvlOverride w:ilvl="2"/>
    <w:lvlOverride w:ilvl="3"/>
    <w:lvlOverride w:ilvl="4"/>
    <w:lvlOverride w:ilvl="5"/>
    <w:lvlOverride w:ilvl="6"/>
    <w:lvlOverride w:ilvl="7"/>
    <w:lvlOverride w:ilvl="8"/>
  </w:num>
  <w:num w:numId="20" w16cid:durableId="302151949">
    <w:abstractNumId w:val="1"/>
    <w:lvlOverride w:ilvl="0">
      <w:startOverride w:val="1"/>
    </w:lvlOverride>
    <w:lvlOverride w:ilvl="1"/>
    <w:lvlOverride w:ilvl="2"/>
    <w:lvlOverride w:ilvl="3"/>
    <w:lvlOverride w:ilvl="4"/>
    <w:lvlOverride w:ilvl="5"/>
    <w:lvlOverride w:ilvl="6"/>
    <w:lvlOverride w:ilvl="7"/>
    <w:lvlOverride w:ilvl="8"/>
  </w:num>
  <w:num w:numId="21" w16cid:durableId="1148741080">
    <w:abstractNumId w:val="1"/>
    <w:lvlOverride w:ilvl="0">
      <w:startOverride w:val="1"/>
    </w:lvlOverride>
    <w:lvlOverride w:ilvl="1"/>
    <w:lvlOverride w:ilvl="2"/>
    <w:lvlOverride w:ilvl="3"/>
    <w:lvlOverride w:ilvl="4"/>
    <w:lvlOverride w:ilvl="5"/>
    <w:lvlOverride w:ilvl="6"/>
    <w:lvlOverride w:ilvl="7"/>
    <w:lvlOverride w:ilvl="8"/>
  </w:num>
  <w:num w:numId="22" w16cid:durableId="129565771">
    <w:abstractNumId w:val="1"/>
    <w:lvlOverride w:ilvl="0">
      <w:startOverride w:val="1"/>
    </w:lvlOverride>
    <w:lvlOverride w:ilvl="1"/>
    <w:lvlOverride w:ilvl="2"/>
    <w:lvlOverride w:ilvl="3"/>
    <w:lvlOverride w:ilvl="4"/>
    <w:lvlOverride w:ilvl="5"/>
    <w:lvlOverride w:ilvl="6"/>
    <w:lvlOverride w:ilvl="7"/>
    <w:lvlOverride w:ilvl="8"/>
  </w:num>
  <w:num w:numId="23" w16cid:durableId="1588729747">
    <w:abstractNumId w:val="1"/>
    <w:lvlOverride w:ilvl="0">
      <w:startOverride w:val="1"/>
    </w:lvlOverride>
    <w:lvlOverride w:ilvl="1"/>
    <w:lvlOverride w:ilvl="2"/>
    <w:lvlOverride w:ilvl="3"/>
    <w:lvlOverride w:ilvl="4"/>
    <w:lvlOverride w:ilvl="5"/>
    <w:lvlOverride w:ilvl="6"/>
    <w:lvlOverride w:ilvl="7"/>
    <w:lvlOverride w:ilvl="8"/>
  </w:num>
  <w:num w:numId="24" w16cid:durableId="57216696">
    <w:abstractNumId w:val="2"/>
    <w:lvlOverride w:ilvl="0">
      <w:startOverride w:val="1"/>
    </w:lvlOverride>
    <w:lvlOverride w:ilvl="1"/>
    <w:lvlOverride w:ilvl="2"/>
    <w:lvlOverride w:ilvl="3"/>
    <w:lvlOverride w:ilvl="4"/>
    <w:lvlOverride w:ilvl="5"/>
    <w:lvlOverride w:ilvl="6"/>
    <w:lvlOverride w:ilvl="7"/>
    <w:lvlOverride w:ilvl="8"/>
  </w:num>
  <w:num w:numId="25" w16cid:durableId="528302004">
    <w:abstractNumId w:val="1"/>
    <w:lvlOverride w:ilvl="0">
      <w:startOverride w:val="1"/>
    </w:lvlOverride>
    <w:lvlOverride w:ilvl="1"/>
    <w:lvlOverride w:ilvl="2"/>
    <w:lvlOverride w:ilvl="3"/>
    <w:lvlOverride w:ilvl="4"/>
    <w:lvlOverride w:ilvl="5"/>
    <w:lvlOverride w:ilvl="6"/>
    <w:lvlOverride w:ilvl="7"/>
    <w:lvlOverride w:ilvl="8"/>
  </w:num>
  <w:num w:numId="26" w16cid:durableId="748843648">
    <w:abstractNumId w:val="1"/>
    <w:lvlOverride w:ilvl="0">
      <w:startOverride w:val="1"/>
    </w:lvlOverride>
    <w:lvlOverride w:ilvl="1"/>
    <w:lvlOverride w:ilvl="2"/>
    <w:lvlOverride w:ilvl="3"/>
    <w:lvlOverride w:ilvl="4"/>
    <w:lvlOverride w:ilvl="5"/>
    <w:lvlOverride w:ilvl="6"/>
    <w:lvlOverride w:ilvl="7"/>
    <w:lvlOverride w:ilvl="8"/>
  </w:num>
  <w:num w:numId="27" w16cid:durableId="43408609">
    <w:abstractNumId w:val="1"/>
    <w:lvlOverride w:ilvl="0">
      <w:startOverride w:val="1"/>
    </w:lvlOverride>
    <w:lvlOverride w:ilvl="1"/>
    <w:lvlOverride w:ilvl="2"/>
    <w:lvlOverride w:ilvl="3"/>
    <w:lvlOverride w:ilvl="4"/>
    <w:lvlOverride w:ilvl="5"/>
    <w:lvlOverride w:ilvl="6"/>
    <w:lvlOverride w:ilvl="7"/>
    <w:lvlOverride w:ilvl="8"/>
  </w:num>
  <w:num w:numId="28" w16cid:durableId="1886208672">
    <w:abstractNumId w:val="0"/>
    <w:lvlOverride w:ilvl="0">
      <w:startOverride w:val="1"/>
    </w:lvlOverride>
    <w:lvlOverride w:ilvl="1"/>
    <w:lvlOverride w:ilvl="2"/>
    <w:lvlOverride w:ilvl="3"/>
    <w:lvlOverride w:ilvl="4"/>
    <w:lvlOverride w:ilvl="5"/>
    <w:lvlOverride w:ilvl="6"/>
    <w:lvlOverride w:ilvl="7"/>
    <w:lvlOverride w:ilvl="8"/>
  </w:num>
  <w:num w:numId="29" w16cid:durableId="1530949280">
    <w:abstractNumId w:val="0"/>
    <w:lvlOverride w:ilvl="0">
      <w:startOverride w:val="1"/>
    </w:lvlOverride>
    <w:lvlOverride w:ilvl="1"/>
    <w:lvlOverride w:ilvl="2"/>
    <w:lvlOverride w:ilvl="3"/>
    <w:lvlOverride w:ilvl="4"/>
    <w:lvlOverride w:ilvl="5"/>
    <w:lvlOverride w:ilvl="6"/>
    <w:lvlOverride w:ilvl="7"/>
    <w:lvlOverride w:ilvl="8"/>
  </w:num>
  <w:num w:numId="30" w16cid:durableId="1007830121">
    <w:abstractNumId w:val="0"/>
    <w:lvlOverride w:ilvl="0">
      <w:startOverride w:val="1"/>
    </w:lvlOverride>
    <w:lvlOverride w:ilvl="1"/>
    <w:lvlOverride w:ilvl="2"/>
    <w:lvlOverride w:ilvl="3"/>
    <w:lvlOverride w:ilvl="4"/>
    <w:lvlOverride w:ilvl="5"/>
    <w:lvlOverride w:ilvl="6"/>
    <w:lvlOverride w:ilvl="7"/>
    <w:lvlOverride w:ilvl="8"/>
  </w:num>
  <w:num w:numId="31" w16cid:durableId="1956907138">
    <w:abstractNumId w:val="0"/>
    <w:lvlOverride w:ilvl="0">
      <w:startOverride w:val="1"/>
    </w:lvlOverride>
    <w:lvlOverride w:ilvl="1"/>
    <w:lvlOverride w:ilvl="2"/>
    <w:lvlOverride w:ilvl="3"/>
    <w:lvlOverride w:ilvl="4"/>
    <w:lvlOverride w:ilvl="5"/>
    <w:lvlOverride w:ilvl="6"/>
    <w:lvlOverride w:ilvl="7"/>
    <w:lvlOverride w:ilvl="8"/>
  </w:num>
  <w:num w:numId="32" w16cid:durableId="394280608">
    <w:abstractNumId w:val="0"/>
    <w:lvlOverride w:ilvl="0">
      <w:startOverride w:val="1"/>
    </w:lvlOverride>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E2"/>
    <w:rsid w:val="00001B6D"/>
    <w:rsid w:val="00013AEA"/>
    <w:rsid w:val="00017241"/>
    <w:rsid w:val="00021F68"/>
    <w:rsid w:val="00035971"/>
    <w:rsid w:val="00045573"/>
    <w:rsid w:val="00051DB8"/>
    <w:rsid w:val="00062CE9"/>
    <w:rsid w:val="00071D42"/>
    <w:rsid w:val="00072A16"/>
    <w:rsid w:val="00073299"/>
    <w:rsid w:val="00076066"/>
    <w:rsid w:val="000809C4"/>
    <w:rsid w:val="000826F0"/>
    <w:rsid w:val="000A1CAE"/>
    <w:rsid w:val="000B1BA9"/>
    <w:rsid w:val="000B5872"/>
    <w:rsid w:val="000B7680"/>
    <w:rsid w:val="000C0B5D"/>
    <w:rsid w:val="000D007A"/>
    <w:rsid w:val="000D753F"/>
    <w:rsid w:val="000E79E1"/>
    <w:rsid w:val="000F1449"/>
    <w:rsid w:val="00115802"/>
    <w:rsid w:val="001341AD"/>
    <w:rsid w:val="00140676"/>
    <w:rsid w:val="001413CA"/>
    <w:rsid w:val="00141856"/>
    <w:rsid w:val="00142B14"/>
    <w:rsid w:val="00143774"/>
    <w:rsid w:val="0015056E"/>
    <w:rsid w:val="00152DF5"/>
    <w:rsid w:val="00157759"/>
    <w:rsid w:val="001674B5"/>
    <w:rsid w:val="00176DDE"/>
    <w:rsid w:val="001812A9"/>
    <w:rsid w:val="001A0113"/>
    <w:rsid w:val="001C1255"/>
    <w:rsid w:val="001D69E9"/>
    <w:rsid w:val="00222069"/>
    <w:rsid w:val="00232700"/>
    <w:rsid w:val="00236E24"/>
    <w:rsid w:val="002407A3"/>
    <w:rsid w:val="00250E33"/>
    <w:rsid w:val="00251F97"/>
    <w:rsid w:val="00252122"/>
    <w:rsid w:val="00253E63"/>
    <w:rsid w:val="0025494D"/>
    <w:rsid w:val="00265F21"/>
    <w:rsid w:val="002813FF"/>
    <w:rsid w:val="00296B24"/>
    <w:rsid w:val="002A3004"/>
    <w:rsid w:val="002B13E1"/>
    <w:rsid w:val="002B1DD3"/>
    <w:rsid w:val="002D06F2"/>
    <w:rsid w:val="002D7628"/>
    <w:rsid w:val="002E59C6"/>
    <w:rsid w:val="003004FB"/>
    <w:rsid w:val="0031238B"/>
    <w:rsid w:val="003363EE"/>
    <w:rsid w:val="00350DE1"/>
    <w:rsid w:val="00350E8A"/>
    <w:rsid w:val="00351A15"/>
    <w:rsid w:val="00352529"/>
    <w:rsid w:val="003A2418"/>
    <w:rsid w:val="003B57CD"/>
    <w:rsid w:val="003C4D8B"/>
    <w:rsid w:val="003D5095"/>
    <w:rsid w:val="003E13FA"/>
    <w:rsid w:val="00401444"/>
    <w:rsid w:val="00401901"/>
    <w:rsid w:val="0040285B"/>
    <w:rsid w:val="00404585"/>
    <w:rsid w:val="00413E1D"/>
    <w:rsid w:val="0042150D"/>
    <w:rsid w:val="00430CD2"/>
    <w:rsid w:val="00436CCB"/>
    <w:rsid w:val="00444523"/>
    <w:rsid w:val="004610CB"/>
    <w:rsid w:val="004701F3"/>
    <w:rsid w:val="00473250"/>
    <w:rsid w:val="004764DD"/>
    <w:rsid w:val="0048137D"/>
    <w:rsid w:val="00484FBB"/>
    <w:rsid w:val="004A2B86"/>
    <w:rsid w:val="004B25D2"/>
    <w:rsid w:val="004C53F1"/>
    <w:rsid w:val="00501535"/>
    <w:rsid w:val="00501846"/>
    <w:rsid w:val="00512C4E"/>
    <w:rsid w:val="005237C7"/>
    <w:rsid w:val="00534155"/>
    <w:rsid w:val="00546550"/>
    <w:rsid w:val="0056115C"/>
    <w:rsid w:val="00564354"/>
    <w:rsid w:val="005764E2"/>
    <w:rsid w:val="00585ABE"/>
    <w:rsid w:val="00586080"/>
    <w:rsid w:val="00591008"/>
    <w:rsid w:val="00593B3D"/>
    <w:rsid w:val="00596CE2"/>
    <w:rsid w:val="00597A38"/>
    <w:rsid w:val="005A2F8B"/>
    <w:rsid w:val="005A4784"/>
    <w:rsid w:val="005D7670"/>
    <w:rsid w:val="005E7EA0"/>
    <w:rsid w:val="005F494C"/>
    <w:rsid w:val="0061043E"/>
    <w:rsid w:val="006118F0"/>
    <w:rsid w:val="00650DA9"/>
    <w:rsid w:val="00651301"/>
    <w:rsid w:val="00656038"/>
    <w:rsid w:val="0066712B"/>
    <w:rsid w:val="00680C56"/>
    <w:rsid w:val="0068437B"/>
    <w:rsid w:val="00684C9C"/>
    <w:rsid w:val="006857D6"/>
    <w:rsid w:val="00687639"/>
    <w:rsid w:val="00690804"/>
    <w:rsid w:val="00693D7D"/>
    <w:rsid w:val="006A78EA"/>
    <w:rsid w:val="006B00AA"/>
    <w:rsid w:val="006B4EC4"/>
    <w:rsid w:val="006C5719"/>
    <w:rsid w:val="006D1079"/>
    <w:rsid w:val="006D2A99"/>
    <w:rsid w:val="006D5FFB"/>
    <w:rsid w:val="006D69BC"/>
    <w:rsid w:val="006E1899"/>
    <w:rsid w:val="006F7866"/>
    <w:rsid w:val="00705430"/>
    <w:rsid w:val="00717ACD"/>
    <w:rsid w:val="0072085F"/>
    <w:rsid w:val="0072170C"/>
    <w:rsid w:val="00727B63"/>
    <w:rsid w:val="00735A32"/>
    <w:rsid w:val="00751B8E"/>
    <w:rsid w:val="007558E6"/>
    <w:rsid w:val="00756369"/>
    <w:rsid w:val="00764C5E"/>
    <w:rsid w:val="00786E71"/>
    <w:rsid w:val="00787904"/>
    <w:rsid w:val="0079051E"/>
    <w:rsid w:val="00793735"/>
    <w:rsid w:val="007A544B"/>
    <w:rsid w:val="007A69E8"/>
    <w:rsid w:val="007A7C7F"/>
    <w:rsid w:val="007C383F"/>
    <w:rsid w:val="007C5E79"/>
    <w:rsid w:val="007C5F1B"/>
    <w:rsid w:val="007D3689"/>
    <w:rsid w:val="007E28FB"/>
    <w:rsid w:val="00801806"/>
    <w:rsid w:val="00816C80"/>
    <w:rsid w:val="008206C0"/>
    <w:rsid w:val="00820FD1"/>
    <w:rsid w:val="00833374"/>
    <w:rsid w:val="00833D02"/>
    <w:rsid w:val="008433D7"/>
    <w:rsid w:val="00854C86"/>
    <w:rsid w:val="00855BBC"/>
    <w:rsid w:val="008566B5"/>
    <w:rsid w:val="00867F5C"/>
    <w:rsid w:val="008736F8"/>
    <w:rsid w:val="00886154"/>
    <w:rsid w:val="00892B79"/>
    <w:rsid w:val="0089314B"/>
    <w:rsid w:val="008A7406"/>
    <w:rsid w:val="008A7ED3"/>
    <w:rsid w:val="008D08E6"/>
    <w:rsid w:val="008D24AC"/>
    <w:rsid w:val="008F0C5E"/>
    <w:rsid w:val="009032AF"/>
    <w:rsid w:val="009109DA"/>
    <w:rsid w:val="00910A84"/>
    <w:rsid w:val="00916393"/>
    <w:rsid w:val="00917B44"/>
    <w:rsid w:val="00931835"/>
    <w:rsid w:val="00932698"/>
    <w:rsid w:val="00935E22"/>
    <w:rsid w:val="00941D92"/>
    <w:rsid w:val="00970690"/>
    <w:rsid w:val="009731D1"/>
    <w:rsid w:val="009A03B3"/>
    <w:rsid w:val="009A1868"/>
    <w:rsid w:val="009B5384"/>
    <w:rsid w:val="009B6AD9"/>
    <w:rsid w:val="009D1E94"/>
    <w:rsid w:val="009F0EF8"/>
    <w:rsid w:val="009F247F"/>
    <w:rsid w:val="00A041CF"/>
    <w:rsid w:val="00A04F34"/>
    <w:rsid w:val="00A056F7"/>
    <w:rsid w:val="00A072EB"/>
    <w:rsid w:val="00A1156E"/>
    <w:rsid w:val="00A11AF9"/>
    <w:rsid w:val="00A16BF6"/>
    <w:rsid w:val="00A31C96"/>
    <w:rsid w:val="00A548EA"/>
    <w:rsid w:val="00A54A51"/>
    <w:rsid w:val="00A558EF"/>
    <w:rsid w:val="00A96994"/>
    <w:rsid w:val="00AA64F2"/>
    <w:rsid w:val="00AB3467"/>
    <w:rsid w:val="00AC528A"/>
    <w:rsid w:val="00AD1D85"/>
    <w:rsid w:val="00AD7E5A"/>
    <w:rsid w:val="00AF0812"/>
    <w:rsid w:val="00AF393E"/>
    <w:rsid w:val="00B16F88"/>
    <w:rsid w:val="00B370B3"/>
    <w:rsid w:val="00B458AA"/>
    <w:rsid w:val="00B5544E"/>
    <w:rsid w:val="00B63B57"/>
    <w:rsid w:val="00B658E6"/>
    <w:rsid w:val="00B75223"/>
    <w:rsid w:val="00B82C45"/>
    <w:rsid w:val="00BA180F"/>
    <w:rsid w:val="00BB0B02"/>
    <w:rsid w:val="00BB1E2F"/>
    <w:rsid w:val="00BB351D"/>
    <w:rsid w:val="00BC52A2"/>
    <w:rsid w:val="00BD0B22"/>
    <w:rsid w:val="00BD0E36"/>
    <w:rsid w:val="00BD3034"/>
    <w:rsid w:val="00BD4580"/>
    <w:rsid w:val="00BD55FD"/>
    <w:rsid w:val="00BD7913"/>
    <w:rsid w:val="00BE0E6B"/>
    <w:rsid w:val="00BF583E"/>
    <w:rsid w:val="00BF7BAC"/>
    <w:rsid w:val="00C06505"/>
    <w:rsid w:val="00C24825"/>
    <w:rsid w:val="00C45B33"/>
    <w:rsid w:val="00C46348"/>
    <w:rsid w:val="00C654DB"/>
    <w:rsid w:val="00C71043"/>
    <w:rsid w:val="00C822CF"/>
    <w:rsid w:val="00C9660D"/>
    <w:rsid w:val="00CA59D7"/>
    <w:rsid w:val="00CB6130"/>
    <w:rsid w:val="00CC4712"/>
    <w:rsid w:val="00CD258E"/>
    <w:rsid w:val="00CE2285"/>
    <w:rsid w:val="00CE467E"/>
    <w:rsid w:val="00CF2FE1"/>
    <w:rsid w:val="00CF6124"/>
    <w:rsid w:val="00D2622D"/>
    <w:rsid w:val="00D349A6"/>
    <w:rsid w:val="00D353CA"/>
    <w:rsid w:val="00D43939"/>
    <w:rsid w:val="00D44815"/>
    <w:rsid w:val="00D46866"/>
    <w:rsid w:val="00D5286F"/>
    <w:rsid w:val="00D54B22"/>
    <w:rsid w:val="00D54B43"/>
    <w:rsid w:val="00D5664E"/>
    <w:rsid w:val="00D72DDC"/>
    <w:rsid w:val="00D73583"/>
    <w:rsid w:val="00D7527F"/>
    <w:rsid w:val="00D75848"/>
    <w:rsid w:val="00D940DF"/>
    <w:rsid w:val="00D95D9F"/>
    <w:rsid w:val="00DA3A33"/>
    <w:rsid w:val="00DA3B9A"/>
    <w:rsid w:val="00DB7AD8"/>
    <w:rsid w:val="00DC0850"/>
    <w:rsid w:val="00DC65EB"/>
    <w:rsid w:val="00DD2F76"/>
    <w:rsid w:val="00DE7838"/>
    <w:rsid w:val="00DF0AAF"/>
    <w:rsid w:val="00DF3408"/>
    <w:rsid w:val="00E119DE"/>
    <w:rsid w:val="00E129AD"/>
    <w:rsid w:val="00E20516"/>
    <w:rsid w:val="00E34BAD"/>
    <w:rsid w:val="00E37A1B"/>
    <w:rsid w:val="00E4658C"/>
    <w:rsid w:val="00E472A8"/>
    <w:rsid w:val="00E54FA1"/>
    <w:rsid w:val="00E55E09"/>
    <w:rsid w:val="00E568E1"/>
    <w:rsid w:val="00E74149"/>
    <w:rsid w:val="00E836CA"/>
    <w:rsid w:val="00E86377"/>
    <w:rsid w:val="00ED6F44"/>
    <w:rsid w:val="00EE7274"/>
    <w:rsid w:val="00EE741F"/>
    <w:rsid w:val="00EF2D84"/>
    <w:rsid w:val="00EF6F49"/>
    <w:rsid w:val="00F03447"/>
    <w:rsid w:val="00F070BF"/>
    <w:rsid w:val="00F113AF"/>
    <w:rsid w:val="00F203CC"/>
    <w:rsid w:val="00F24738"/>
    <w:rsid w:val="00F3089C"/>
    <w:rsid w:val="00F42AC3"/>
    <w:rsid w:val="00F47EB9"/>
    <w:rsid w:val="00F5451F"/>
    <w:rsid w:val="00F61961"/>
    <w:rsid w:val="00F80F3B"/>
    <w:rsid w:val="00F82BAC"/>
    <w:rsid w:val="00F901E1"/>
    <w:rsid w:val="00F95C9E"/>
    <w:rsid w:val="00FA16B6"/>
    <w:rsid w:val="00FA2907"/>
    <w:rsid w:val="00FB2CD5"/>
    <w:rsid w:val="00FB2CF3"/>
    <w:rsid w:val="00FB43B1"/>
    <w:rsid w:val="00FF3333"/>
    <w:rsid w:val="00FF52D2"/>
    <w:rsid w:val="00FF719E"/>
    <w:rsid w:val="00FF7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98B59"/>
  <w15:docId w15:val="{7A1540D6-0B5D-4698-A41D-63CE8B7C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E1"/>
    <w:pPr>
      <w:spacing w:before="60"/>
      <w:ind w:right="432"/>
      <w:jc w:val="both"/>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5848"/>
  </w:style>
  <w:style w:type="character" w:styleId="CommentReference">
    <w:name w:val="annotation reference"/>
    <w:basedOn w:val="DefaultParagraphFont"/>
    <w:uiPriority w:val="99"/>
    <w:unhideWhenUsed/>
    <w:rsid w:val="00D75848"/>
    <w:rPr>
      <w:sz w:val="16"/>
      <w:szCs w:val="16"/>
    </w:rPr>
  </w:style>
  <w:style w:type="paragraph" w:styleId="CommentText">
    <w:name w:val="annotation text"/>
    <w:basedOn w:val="Normal"/>
    <w:link w:val="CommentTextChar"/>
    <w:uiPriority w:val="99"/>
    <w:unhideWhenUsed/>
    <w:rsid w:val="00D75848"/>
    <w:rPr>
      <w:sz w:val="20"/>
      <w:szCs w:val="20"/>
    </w:rPr>
  </w:style>
  <w:style w:type="character" w:customStyle="1" w:styleId="CommentTextChar">
    <w:name w:val="Comment Text Char"/>
    <w:basedOn w:val="DefaultParagraphFont"/>
    <w:link w:val="CommentText"/>
    <w:uiPriority w:val="99"/>
    <w:rsid w:val="00D75848"/>
    <w:rPr>
      <w:sz w:val="20"/>
      <w:szCs w:val="20"/>
    </w:rPr>
  </w:style>
  <w:style w:type="paragraph" w:styleId="CommentSubject">
    <w:name w:val="annotation subject"/>
    <w:basedOn w:val="CommentText"/>
    <w:next w:val="CommentText"/>
    <w:link w:val="CommentSubjectChar"/>
    <w:uiPriority w:val="99"/>
    <w:semiHidden/>
    <w:unhideWhenUsed/>
    <w:rsid w:val="00D75848"/>
    <w:rPr>
      <w:b/>
      <w:bCs/>
    </w:rPr>
  </w:style>
  <w:style w:type="character" w:customStyle="1" w:styleId="CommentSubjectChar">
    <w:name w:val="Comment Subject Char"/>
    <w:basedOn w:val="CommentTextChar"/>
    <w:link w:val="CommentSubject"/>
    <w:uiPriority w:val="99"/>
    <w:semiHidden/>
    <w:rsid w:val="00D75848"/>
    <w:rPr>
      <w:b/>
      <w:bCs/>
      <w:sz w:val="20"/>
      <w:szCs w:val="20"/>
    </w:rPr>
  </w:style>
  <w:style w:type="character" w:styleId="Hyperlink">
    <w:name w:val="Hyperlink"/>
    <w:basedOn w:val="DefaultParagraphFont"/>
    <w:uiPriority w:val="99"/>
    <w:unhideWhenUsed/>
    <w:rsid w:val="00970690"/>
    <w:rPr>
      <w:color w:val="467886" w:themeColor="hyperlink"/>
      <w:u w:val="single"/>
    </w:rPr>
  </w:style>
  <w:style w:type="character" w:styleId="UnresolvedMention">
    <w:name w:val="Unresolved Mention"/>
    <w:basedOn w:val="DefaultParagraphFont"/>
    <w:uiPriority w:val="99"/>
    <w:semiHidden/>
    <w:unhideWhenUsed/>
    <w:rsid w:val="00970690"/>
    <w:rPr>
      <w:color w:val="605E5C"/>
      <w:shd w:val="clear" w:color="auto" w:fill="E1DFDD"/>
    </w:rPr>
  </w:style>
  <w:style w:type="paragraph" w:styleId="ListParagraph">
    <w:name w:val="List Paragraph"/>
    <w:basedOn w:val="Normal"/>
    <w:link w:val="ListParagraphChar"/>
    <w:uiPriority w:val="34"/>
    <w:qFormat/>
    <w:rsid w:val="003B57CD"/>
    <w:pPr>
      <w:numPr>
        <w:numId w:val="8"/>
      </w:numPr>
      <w:tabs>
        <w:tab w:val="left" w:pos="360"/>
      </w:tabs>
      <w:spacing w:before="120" w:line="225" w:lineRule="exact"/>
      <w:ind w:left="360"/>
      <w:textAlignment w:val="baseline"/>
    </w:pPr>
    <w:rPr>
      <w:rFonts w:eastAsia="Times New Roman"/>
      <w:b/>
      <w:color w:val="000000"/>
    </w:rPr>
  </w:style>
  <w:style w:type="paragraph" w:styleId="Header">
    <w:name w:val="header"/>
    <w:basedOn w:val="Normal"/>
    <w:link w:val="HeaderChar"/>
    <w:uiPriority w:val="99"/>
    <w:unhideWhenUsed/>
    <w:rsid w:val="0066712B"/>
    <w:pPr>
      <w:tabs>
        <w:tab w:val="center" w:pos="4680"/>
        <w:tab w:val="right" w:pos="9360"/>
      </w:tabs>
    </w:pPr>
  </w:style>
  <w:style w:type="character" w:customStyle="1" w:styleId="HeaderChar">
    <w:name w:val="Header Char"/>
    <w:basedOn w:val="DefaultParagraphFont"/>
    <w:link w:val="Header"/>
    <w:uiPriority w:val="99"/>
    <w:rsid w:val="0066712B"/>
  </w:style>
  <w:style w:type="paragraph" w:styleId="Footer">
    <w:name w:val="footer"/>
    <w:basedOn w:val="Normal"/>
    <w:link w:val="FooterChar"/>
    <w:uiPriority w:val="99"/>
    <w:unhideWhenUsed/>
    <w:rsid w:val="0066712B"/>
    <w:pPr>
      <w:tabs>
        <w:tab w:val="center" w:pos="4680"/>
        <w:tab w:val="right" w:pos="9360"/>
      </w:tabs>
    </w:pPr>
  </w:style>
  <w:style w:type="character" w:customStyle="1" w:styleId="FooterChar">
    <w:name w:val="Footer Char"/>
    <w:basedOn w:val="DefaultParagraphFont"/>
    <w:link w:val="Footer"/>
    <w:uiPriority w:val="99"/>
    <w:rsid w:val="0066712B"/>
  </w:style>
  <w:style w:type="character" w:styleId="Mention">
    <w:name w:val="Mention"/>
    <w:basedOn w:val="DefaultParagraphFont"/>
    <w:uiPriority w:val="99"/>
    <w:unhideWhenUsed/>
    <w:rsid w:val="008736F8"/>
    <w:rPr>
      <w:color w:val="2B579A"/>
      <w:shd w:val="clear" w:color="auto" w:fill="E1DFDD"/>
    </w:rPr>
  </w:style>
  <w:style w:type="paragraph" w:customStyle="1" w:styleId="numberinga">
    <w:name w:val="numbering a"/>
    <w:basedOn w:val="Normal"/>
    <w:link w:val="numberingaChar"/>
    <w:qFormat/>
    <w:rsid w:val="00F901E1"/>
    <w:pPr>
      <w:numPr>
        <w:numId w:val="1"/>
      </w:numPr>
      <w:tabs>
        <w:tab w:val="left" w:pos="720"/>
      </w:tabs>
      <w:spacing w:before="40" w:line="200" w:lineRule="exact"/>
      <w:ind w:left="720" w:hanging="288"/>
      <w:textAlignment w:val="baseline"/>
    </w:pPr>
    <w:rPr>
      <w:rFonts w:eastAsia="Times New Roman"/>
      <w:color w:val="000000"/>
      <w:spacing w:val="-2"/>
    </w:rPr>
  </w:style>
  <w:style w:type="character" w:customStyle="1" w:styleId="numberingaChar">
    <w:name w:val="numbering a Char"/>
    <w:basedOn w:val="DefaultParagraphFont"/>
    <w:link w:val="numberinga"/>
    <w:rsid w:val="00F901E1"/>
    <w:rPr>
      <w:rFonts w:eastAsia="Times New Roman"/>
      <w:color w:val="000000"/>
      <w:spacing w:val="-2"/>
      <w:sz w:val="19"/>
    </w:rPr>
  </w:style>
  <w:style w:type="paragraph" w:customStyle="1" w:styleId="suba">
    <w:name w:val="sub a"/>
    <w:basedOn w:val="Normal"/>
    <w:link w:val="subaChar"/>
    <w:qFormat/>
    <w:rsid w:val="00413E1D"/>
    <w:pPr>
      <w:numPr>
        <w:numId w:val="2"/>
      </w:numPr>
      <w:tabs>
        <w:tab w:val="left" w:pos="1728"/>
      </w:tabs>
      <w:spacing w:line="209" w:lineRule="exact"/>
      <w:ind w:left="1584" w:hanging="288"/>
      <w:textAlignment w:val="baseline"/>
    </w:pPr>
    <w:rPr>
      <w:rFonts w:eastAsia="Times New Roman"/>
      <w:color w:val="000000"/>
    </w:rPr>
  </w:style>
  <w:style w:type="character" w:customStyle="1" w:styleId="subaChar">
    <w:name w:val="sub a Char"/>
    <w:basedOn w:val="numberingaChar"/>
    <w:link w:val="suba"/>
    <w:rsid w:val="00413E1D"/>
    <w:rPr>
      <w:rFonts w:eastAsia="Times New Roman"/>
      <w:color w:val="000000"/>
      <w:spacing w:val="-2"/>
      <w:sz w:val="19"/>
    </w:rPr>
  </w:style>
  <w:style w:type="paragraph" w:customStyle="1" w:styleId="numbering2">
    <w:name w:val="numbering 2"/>
    <w:basedOn w:val="Normal"/>
    <w:link w:val="numbering2Char"/>
    <w:qFormat/>
    <w:rsid w:val="00CC4712"/>
    <w:pPr>
      <w:numPr>
        <w:numId w:val="15"/>
      </w:numPr>
      <w:tabs>
        <w:tab w:val="left" w:pos="1296"/>
      </w:tabs>
      <w:spacing w:before="40" w:line="206" w:lineRule="exact"/>
      <w:ind w:left="1152" w:hanging="288"/>
      <w:textAlignment w:val="baseline"/>
    </w:pPr>
    <w:rPr>
      <w:rFonts w:eastAsia="Times New Roman"/>
      <w:color w:val="000000"/>
    </w:rPr>
  </w:style>
  <w:style w:type="character" w:customStyle="1" w:styleId="ListParagraphChar">
    <w:name w:val="List Paragraph Char"/>
    <w:basedOn w:val="DefaultParagraphFont"/>
    <w:link w:val="ListParagraph"/>
    <w:uiPriority w:val="34"/>
    <w:rsid w:val="003B57CD"/>
    <w:rPr>
      <w:rFonts w:eastAsia="Times New Roman"/>
      <w:b/>
      <w:color w:val="000000"/>
      <w:sz w:val="19"/>
    </w:rPr>
  </w:style>
  <w:style w:type="character" w:customStyle="1" w:styleId="numbering2Char">
    <w:name w:val="numbering 2 Char"/>
    <w:basedOn w:val="ListParagraphChar"/>
    <w:link w:val="numbering2"/>
    <w:rsid w:val="00CC4712"/>
    <w:rPr>
      <w:rFonts w:eastAsia="Times New Roman"/>
      <w:b w:val="0"/>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13593-CE9C-4BA2-8C3B-833C22C20CA4}">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1F6652A4-6024-4AF6-85C1-3F62DCF1399D}">
  <ds:schemaRefs>
    <ds:schemaRef ds:uri="http://schemas.openxmlformats.org/officeDocument/2006/bibliography"/>
  </ds:schemaRefs>
</ds:datastoreItem>
</file>

<file path=customXml/itemProps3.xml><?xml version="1.0" encoding="utf-8"?>
<ds:datastoreItem xmlns:ds="http://schemas.openxmlformats.org/officeDocument/2006/customXml" ds:itemID="{04C03FC9-3C49-488E-B20D-9CCDEECE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7443E-625D-44FD-8DCA-FF343B37724D}">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https://hudgov-my.sharepoint.com/personal/elizabeth_m_cuevas_hud_gov/Documents/Desktop/hud forms/HUD-52641A Tenancy Addendum</vt:lpstr>
    </vt:vector>
  </TitlesOfParts>
  <Company>U.S. Department of Housing and Urban Development</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https://hudgov-my.sharepoint.com/personal/elizabeth_m_cuevas_hud_gov/Documents/Desktop/hud forms/HUD-52641A Tenancy Addendum</dc:title>
  <dc:creator>Thornton, Leea J</dc:creator>
  <cp:lastModifiedBy>Guido, Anna P</cp:lastModifiedBy>
  <cp:revision>2</cp:revision>
  <dcterms:created xsi:type="dcterms:W3CDTF">2026-04-28T14:46:00Z</dcterms:created>
  <dcterms:modified xsi:type="dcterms:W3CDTF">2026-04-28T14:46:00Z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GrammarlyDocumentId">
    <vt:lpwstr>bfe90d722e31999249be989d0a9aad8a1a475496f1409c00f7d59bba884a6fc7</vt:lpwstr>
  </property>
  <property fmtid="{D5CDD505-2E9C-101B-9397-08002B2CF9AE}" pid="5" name="MediaServiceImageTags">
    <vt:lpwstr/>
  </property>
  <property fmtid="{D5CDD505-2E9C-101B-9397-08002B2CF9AE}" pid="6" name="Order">
    <vt:r8>91700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