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112183501"/>
    <w:p w:rsidR="00273AA1" w:rsidP="3B51BFE1" w14:paraId="3D42B446" w14:textId="302BAB08">
      <w:pPr>
        <w:spacing w:after="240"/>
        <w:rPr>
          <w:b/>
          <w:bCs/>
          <w:color w:val="000000" w:themeColor="text1"/>
          <w:sz w:val="18"/>
          <w:szCs w:val="18"/>
        </w:rPr>
      </w:pPr>
      <w:r>
        <w:rPr>
          <w:noProof/>
        </w:rPr>
        <mc:AlternateContent>
          <mc:Choice Requires="wps">
            <w:drawing>
              <wp:inline distT="0" distB="0" distL="114300" distR="114300">
                <wp:extent cx="5486400" cy="2129942"/>
                <wp:effectExtent l="0" t="0" r="19050" b="10160"/>
                <wp:docPr id="155712255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2129942"/>
                        </a:xfrm>
                        <a:prstGeom prst="rect">
                          <a:avLst/>
                        </a:prstGeom>
                        <a:solidFill>
                          <a:srgbClr val="FFFFFF"/>
                        </a:solidFill>
                        <a:ln w="9525">
                          <a:solidFill>
                            <a:srgbClr val="000000"/>
                          </a:solidFill>
                          <a:miter lim="800000"/>
                          <a:headEnd/>
                          <a:tailEnd/>
                        </a:ln>
                      </wps:spPr>
                      <wps:txbx>
                        <w:txbxContent>
                          <w:p w:rsidR="006766F8" w:rsidRPr="00300EED" w:rsidP="006766F8"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A266DE" w:rsidP="006766F8" w14:textId="77777777">
                            <w:pPr>
                              <w:spacing w:before="240" w:after="240"/>
                              <w:contextualSpacing/>
                              <w:jc w:val="center"/>
                              <w:rPr>
                                <w:b/>
                              </w:rPr>
                            </w:pPr>
                            <w:r>
                              <w:rPr>
                                <w:b/>
                              </w:rPr>
                              <w:t xml:space="preserve">SECTION 8 </w:t>
                            </w:r>
                            <w:r w:rsidRPr="00300EED">
                              <w:rPr>
                                <w:b/>
                              </w:rPr>
                              <w:t xml:space="preserve">PROJECT-BASED </w:t>
                            </w:r>
                            <w:r>
                              <w:rPr>
                                <w:b/>
                              </w:rPr>
                              <w:t>VOUCHER PROGRAM</w:t>
                            </w:r>
                            <w:r w:rsidRPr="00300EED">
                              <w:rPr>
                                <w:b/>
                              </w:rPr>
                              <w:br/>
                            </w:r>
                          </w:p>
                          <w:p w:rsidR="006766F8" w:rsidP="006766F8" w14:textId="77297C22">
                            <w:pPr>
                              <w:spacing w:before="240" w:after="240"/>
                              <w:contextualSpacing/>
                              <w:jc w:val="center"/>
                              <w:rPr>
                                <w:b/>
                              </w:rPr>
                            </w:pPr>
                            <w:r>
                              <w:rPr>
                                <w:b/>
                              </w:rPr>
                              <w:t xml:space="preserve">AGREEMENT TO ENTER INTO </w:t>
                            </w:r>
                          </w:p>
                          <w:p w:rsidR="006766F8" w:rsidP="006766F8" w14:textId="0A3E95A2">
                            <w:pPr>
                              <w:spacing w:before="240" w:after="240"/>
                              <w:contextualSpacing/>
                              <w:jc w:val="center"/>
                              <w:rPr>
                                <w:b/>
                              </w:rPr>
                            </w:pPr>
                            <w:r>
                              <w:rPr>
                                <w:b/>
                              </w:rPr>
                              <w:t>HOUSING ASSISTANCE PAYMENTS CONTRACT</w:t>
                            </w:r>
                          </w:p>
                          <w:p w:rsidR="00A266DE" w:rsidP="006766F8" w14:textId="77777777">
                            <w:pPr>
                              <w:spacing w:before="240" w:after="240"/>
                              <w:contextualSpacing/>
                              <w:jc w:val="center"/>
                              <w:rPr>
                                <w:b/>
                              </w:rPr>
                            </w:pPr>
                          </w:p>
                          <w:p w:rsidR="006766F8" w:rsidP="006766F8" w14:textId="52F49BB3">
                            <w:pPr>
                              <w:spacing w:before="240" w:after="240"/>
                              <w:jc w:val="center"/>
                              <w:rPr>
                                <w:b/>
                              </w:rPr>
                            </w:pPr>
                            <w:r>
                              <w:rPr>
                                <w:b/>
                              </w:rPr>
                              <w:t>NEW CONSTRUCTION OR REHABILITATION</w:t>
                            </w:r>
                          </w:p>
                          <w:p w:rsidR="006766F8" w:rsidP="006766F8" w14:textId="6B2530EF">
                            <w:pPr>
                              <w:spacing w:before="240" w:after="480"/>
                              <w:jc w:val="center"/>
                              <w:rPr>
                                <w:b/>
                              </w:rPr>
                            </w:pPr>
                            <w:r>
                              <w:rPr>
                                <w:b/>
                              </w:rPr>
                              <w:t>PART</w:t>
                            </w:r>
                            <w:r w:rsidR="00A266DE">
                              <w:rPr>
                                <w:b/>
                              </w:rPr>
                              <w:t xml:space="preserve"> </w:t>
                            </w:r>
                            <w:r w:rsidR="00D827DE">
                              <w:rPr>
                                <w:b/>
                              </w:rPr>
                              <w:t>2</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0" o:spid="_x0000_i1025" type="#_x0000_t202" style="width:6in;height:167.7pt;mso-left-percent:-10001;mso-position-horizontal-relative:char;mso-position-vertical-relative:line;mso-top-percent:-10001;mso-wrap-style:square;visibility:visible;v-text-anchor:top">
                <v:textbox style="mso-fit-shape-to-text:t">
                  <w:txbxContent>
                    <w:p w:rsidR="006766F8" w:rsidRPr="00300EED" w:rsidP="006766F8" w14:paraId="587BB658"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A266DE" w:rsidP="006766F8" w14:paraId="6C616343" w14:textId="77777777">
                      <w:pPr>
                        <w:spacing w:before="240" w:after="240"/>
                        <w:contextualSpacing/>
                        <w:jc w:val="center"/>
                        <w:rPr>
                          <w:b/>
                        </w:rPr>
                      </w:pPr>
                      <w:r>
                        <w:rPr>
                          <w:b/>
                        </w:rPr>
                        <w:t xml:space="preserve">SECTION 8 </w:t>
                      </w:r>
                      <w:r w:rsidRPr="00300EED">
                        <w:rPr>
                          <w:b/>
                        </w:rPr>
                        <w:t xml:space="preserve">PROJECT-BASED </w:t>
                      </w:r>
                      <w:r>
                        <w:rPr>
                          <w:b/>
                        </w:rPr>
                        <w:t>VOUCHER PROGRAM</w:t>
                      </w:r>
                      <w:r w:rsidRPr="00300EED">
                        <w:rPr>
                          <w:b/>
                        </w:rPr>
                        <w:br/>
                      </w:r>
                    </w:p>
                    <w:p w:rsidR="006766F8" w:rsidP="006766F8" w14:paraId="1D0F34B3" w14:textId="77297C22">
                      <w:pPr>
                        <w:spacing w:before="240" w:after="240"/>
                        <w:contextualSpacing/>
                        <w:jc w:val="center"/>
                        <w:rPr>
                          <w:b/>
                        </w:rPr>
                      </w:pPr>
                      <w:r>
                        <w:rPr>
                          <w:b/>
                        </w:rPr>
                        <w:t xml:space="preserve">AGREEMENT TO ENTER INTO </w:t>
                      </w:r>
                    </w:p>
                    <w:p w:rsidR="006766F8" w:rsidP="006766F8" w14:paraId="376CF859" w14:textId="0A3E95A2">
                      <w:pPr>
                        <w:spacing w:before="240" w:after="240"/>
                        <w:contextualSpacing/>
                        <w:jc w:val="center"/>
                        <w:rPr>
                          <w:b/>
                        </w:rPr>
                      </w:pPr>
                      <w:r>
                        <w:rPr>
                          <w:b/>
                        </w:rPr>
                        <w:t>HOUSING ASSISTANCE PAYMENTS CONTRACT</w:t>
                      </w:r>
                    </w:p>
                    <w:p w:rsidR="00A266DE" w:rsidP="006766F8" w14:paraId="2BDA05CF" w14:textId="77777777">
                      <w:pPr>
                        <w:spacing w:before="240" w:after="240"/>
                        <w:contextualSpacing/>
                        <w:jc w:val="center"/>
                        <w:rPr>
                          <w:b/>
                        </w:rPr>
                      </w:pPr>
                    </w:p>
                    <w:p w:rsidR="006766F8" w:rsidP="006766F8" w14:paraId="6B656BA0" w14:textId="52F49BB3">
                      <w:pPr>
                        <w:spacing w:before="240" w:after="240"/>
                        <w:jc w:val="center"/>
                        <w:rPr>
                          <w:b/>
                        </w:rPr>
                      </w:pPr>
                      <w:r>
                        <w:rPr>
                          <w:b/>
                        </w:rPr>
                        <w:t>NEW CONSTRUCTION OR REHABILITATION</w:t>
                      </w:r>
                    </w:p>
                    <w:p w:rsidR="006766F8" w:rsidP="006766F8" w14:paraId="2CDEC699" w14:textId="6B2530EF">
                      <w:pPr>
                        <w:spacing w:before="240" w:after="480"/>
                        <w:jc w:val="center"/>
                        <w:rPr>
                          <w:b/>
                        </w:rPr>
                      </w:pPr>
                      <w:r>
                        <w:rPr>
                          <w:b/>
                        </w:rPr>
                        <w:t>PART</w:t>
                      </w:r>
                      <w:r w:rsidR="00A266DE">
                        <w:rPr>
                          <w:b/>
                        </w:rPr>
                        <w:t xml:space="preserve"> </w:t>
                      </w:r>
                      <w:r w:rsidR="00D827DE">
                        <w:rPr>
                          <w:b/>
                        </w:rPr>
                        <w:t>2</w:t>
                      </w:r>
                    </w:p>
                  </w:txbxContent>
                </v:textbox>
                <w10:wrap type="none"/>
                <w10:anchorlock/>
              </v:shape>
            </w:pict>
          </mc:Fallback>
        </mc:AlternateContent>
      </w:r>
    </w:p>
    <w:bookmarkEnd w:id="0"/>
    <w:p w:rsidR="50912EA9" w14:paraId="2EA4C14C" w14:textId="63E2149B">
      <w:r w:rsidRPr="57B8B215">
        <w:rPr>
          <w:color w:val="000000" w:themeColor="text1"/>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E757C0" w:rsidR="00E757C0">
        <w:rPr>
          <w:color w:val="000000" w:themeColor="text1"/>
          <w:sz w:val="18"/>
          <w:szCs w:val="18"/>
        </w:rPr>
        <w:t>Attention: Departmental Clearance Officer, 2415 Eisenhower Avenue Alexandria, Virginia 22314, Room 10000</w:t>
      </w:r>
      <w:r w:rsidRPr="57B8B215">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prior to execution of a PBV HAP contract to provide housing assistance payments for eligible families. This information is required to obtain benefits. 24 CFR § 983.154. This information collected will not be held confidential.</w:t>
      </w:r>
      <w:r w:rsidRPr="57B8B215">
        <w:rPr>
          <w:b/>
          <w:bCs/>
          <w:color w:val="000000" w:themeColor="text1"/>
          <w:sz w:val="18"/>
          <w:szCs w:val="18"/>
        </w:rPr>
        <w:t xml:space="preserve">  </w:t>
      </w:r>
      <w:r w:rsidRPr="57B8B215">
        <w:rPr>
          <w:sz w:val="18"/>
          <w:szCs w:val="18"/>
        </w:rPr>
        <w:t xml:space="preserve"> </w:t>
      </w:r>
    </w:p>
    <w:p w:rsidR="57B8B215" w:rsidP="57B8B215" w14:paraId="592820EF" w14:textId="66FD4088">
      <w:pPr>
        <w:rPr>
          <w:color w:val="000000" w:themeColor="text1"/>
          <w:sz w:val="18"/>
          <w:szCs w:val="18"/>
        </w:rPr>
      </w:pPr>
    </w:p>
    <w:p w:rsidR="005C46ED" w:rsidP="00CE7E88" w14:paraId="3BDCC26A" w14:textId="7FEBF1CD">
      <w:pPr>
        <w:pStyle w:val="Style1"/>
      </w:pPr>
      <w:r>
        <w:t xml:space="preserve"> </w:t>
      </w:r>
      <w:r w:rsidR="00301A43">
        <w:t xml:space="preserve"> </w:t>
      </w:r>
      <w:r w:rsidR="006C2451">
        <w:t>Reserved</w:t>
      </w:r>
    </w:p>
    <w:p w:rsidR="005C46ED" w:rsidP="004D7DE3" w14:paraId="3C4BB793" w14:textId="1F004B4F">
      <w:pPr>
        <w:pStyle w:val="Style1"/>
      </w:pPr>
      <w:r>
        <w:t xml:space="preserve"> </w:t>
      </w:r>
      <w:r w:rsidR="00301A43">
        <w:t xml:space="preserve"> </w:t>
      </w:r>
      <w:r w:rsidR="004D7DE3">
        <w:t>Reserved</w:t>
      </w:r>
    </w:p>
    <w:p w:rsidR="005C46ED" w:rsidP="004D7DE3" w14:paraId="3FCE5041" w14:textId="6955E772">
      <w:pPr>
        <w:pStyle w:val="Style1"/>
      </w:pPr>
      <w:r>
        <w:t xml:space="preserve"> </w:t>
      </w:r>
      <w:r w:rsidR="00301A43">
        <w:t xml:space="preserve"> </w:t>
      </w:r>
      <w:r w:rsidR="004D7DE3">
        <w:t>HUD—Federal Labor Standards Provisions</w:t>
      </w:r>
    </w:p>
    <w:p w:rsidR="005C46ED" w:rsidP="004D7DE3" w14:paraId="68E99CE3" w14:textId="38F6FF38">
      <w:pPr>
        <w:spacing w:before="240" w:after="240"/>
        <w:ind w:left="720"/>
      </w:pPr>
      <w:r>
        <w:t>The owner is responsible for inserting the entire text of section 2.</w:t>
      </w:r>
      <w:r w:rsidR="5EE38390">
        <w:t>3</w:t>
      </w:r>
      <w:r>
        <w:t xml:space="preserve"> of this Agreement in all construction contracts and, if the owner performs any rehabilitation work on the project, the owner must comply with all provisions of section 2.</w:t>
      </w:r>
      <w:r w:rsidR="00211C6D">
        <w:t>3</w:t>
      </w:r>
      <w:r>
        <w:t>.</w:t>
      </w:r>
      <w:r w:rsidR="00CE7E88">
        <w:t xml:space="preserve"> </w:t>
      </w:r>
      <w:r w:rsidR="00E539F7">
        <w:t>(Note:</w:t>
      </w:r>
      <w:r w:rsidR="00CE7E88">
        <w:t xml:space="preserve"> </w:t>
      </w:r>
      <w:r w:rsidR="00E539F7">
        <w:t>Sections 2.</w:t>
      </w:r>
      <w:r w:rsidR="00211C6D">
        <w:t>3</w:t>
      </w:r>
      <w:r w:rsidR="00E539F7">
        <w:t>(b) and (c) apply only when the amount of the prime contract exceeds $100,000.)</w:t>
      </w:r>
    </w:p>
    <w:p w:rsidR="001551F9" w:rsidRPr="001551F9" w:rsidP="57B8B215" w14:paraId="745D1B0F" w14:textId="3876BE50">
      <w:pPr>
        <w:spacing w:before="240" w:after="240"/>
        <w:ind w:left="2160"/>
        <w:rPr>
          <w:i/>
          <w:iCs/>
        </w:rPr>
      </w:pPr>
      <w:r w:rsidRPr="57B8B215">
        <w:rPr>
          <w:i/>
          <w:iCs/>
        </w:rPr>
        <w:t>(a)</w:t>
      </w:r>
      <w:r>
        <w:t xml:space="preserve"> </w:t>
      </w:r>
      <w:r w:rsidRPr="57B8B215">
        <w:rPr>
          <w:i/>
          <w:iCs/>
        </w:rPr>
        <w:t>(1) Minimum wages —</w:t>
      </w:r>
    </w:p>
    <w:p w:rsidR="00B62FA1" w:rsidRPr="004D7DE3" w:rsidP="001551F9" w14:paraId="7181CE4A" w14:textId="296E36A5">
      <w:pPr>
        <w:spacing w:before="240" w:after="240"/>
        <w:ind w:left="2160"/>
        <w:rPr>
          <w:i/>
        </w:rPr>
      </w:pPr>
      <w:r w:rsidRPr="001551F9">
        <w:rPr>
          <w:i/>
        </w:rPr>
        <w:t xml:space="preserve">(i) Wage rates and fringe benefits. All laborers and mechanics employed or working upon the site of the work (or otherwise working in construction or development of the project under a </w:t>
      </w:r>
      <w:r w:rsidRPr="001551F9">
        <w:rPr>
          <w:i/>
        </w:rPr>
        <w:t xml:space="preserve">development statute), will be paid unconditionally and not less often than once a week, and without subsequent deduction or rebate on any account (except such payroll deductions as are permitted by regulations issued by the Secretary of Labor under 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paragraphs (d) and (e) of </w:t>
      </w:r>
      <w:r w:rsidR="00ED4F0C">
        <w:rPr>
          <w:i/>
        </w:rPr>
        <w:t>29 CFR 5.5(d) and (e)</w:t>
      </w:r>
      <w:r w:rsidRPr="001551F9">
        <w:rPr>
          <w:i/>
        </w:rPr>
        <w:t>,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(a)(1)(v)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actually performed, without regard to skill, except as provided in paragraph (a)(4) of this section.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(a)(1)(iii) of this section) and the Davis-Bacon poster (WH-1321) must be posted at all times by the contractor and its subcontractors at the site of the work in a prominent and accessible place where it can be easily seen by the workers.</w:t>
      </w:r>
    </w:p>
    <w:p w:rsidR="00EA0E49" w:rsidRPr="00EA0E49" w:rsidP="00EA0E49" w14:paraId="7AA2AEE1" w14:textId="77777777">
      <w:pPr>
        <w:spacing w:before="240" w:after="240"/>
        <w:ind w:left="2160"/>
        <w:rPr>
          <w:i/>
        </w:rPr>
      </w:pPr>
      <w:r w:rsidRPr="00EA0E49">
        <w:rPr>
          <w:i/>
        </w:rPr>
        <w:t xml:space="preserve">(ii) Frequently recurring classifications. </w:t>
      </w:r>
    </w:p>
    <w:p w:rsidR="00EA0E49" w:rsidRPr="00EA0E49" w:rsidP="00EA0E49" w14:paraId="4E1BF103" w14:textId="77777777">
      <w:pPr>
        <w:spacing w:before="240" w:after="240"/>
        <w:ind w:left="2160"/>
        <w:rPr>
          <w:i/>
        </w:rPr>
      </w:pPr>
      <w:r w:rsidRPr="00EA0E49">
        <w:rPr>
          <w:i/>
        </w:rPr>
        <w:t xml:space="preserve">(A) In addition to wage and fringe benefit rates that have been determined to be prevailing under the procedures set forth in 29 CFR part 1, a wage determination may contain, pursuant to § 1.3(f), wage and fringe benefit rates for classifications of laborers and mechanics for which conformance requests are regularly </w:t>
      </w:r>
      <w:r w:rsidRPr="00EA0E49">
        <w:rPr>
          <w:i/>
        </w:rPr>
        <w:t>submitted pursuant to paragraph (a)(1)(iii) of this section, provided that:</w:t>
      </w:r>
    </w:p>
    <w:p w:rsidR="00EA0E49" w:rsidRPr="00EA0E49" w:rsidP="00EA0E49" w14:paraId="20F9E2EC" w14:textId="77777777">
      <w:pPr>
        <w:spacing w:before="240" w:after="240"/>
        <w:ind w:left="2160"/>
        <w:rPr>
          <w:i/>
        </w:rPr>
      </w:pPr>
      <w:r w:rsidRPr="00EA0E49">
        <w:rPr>
          <w:i/>
        </w:rPr>
        <w:t>(1) The work performed by the classification is not performed by a classification in the wage determination for which a prevailing wage rate has been determined;</w:t>
      </w:r>
    </w:p>
    <w:p w:rsidR="00EA0E49" w:rsidRPr="00EA0E49" w:rsidP="00EA0E49" w14:paraId="2D83419D" w14:textId="77777777">
      <w:pPr>
        <w:spacing w:before="240" w:after="240"/>
        <w:ind w:left="2160"/>
        <w:rPr>
          <w:i/>
        </w:rPr>
      </w:pPr>
      <w:r w:rsidRPr="00EA0E49">
        <w:rPr>
          <w:i/>
        </w:rPr>
        <w:t>(2) The classification is used in the area by the construction industry; and</w:t>
      </w:r>
    </w:p>
    <w:p w:rsidR="00EA0E49" w:rsidRPr="00EA0E49" w:rsidP="00EA0E49" w14:paraId="1F79019F" w14:textId="77777777">
      <w:pPr>
        <w:spacing w:before="240" w:after="240"/>
        <w:ind w:left="2160"/>
        <w:rPr>
          <w:i/>
        </w:rPr>
      </w:pPr>
      <w:r w:rsidRPr="00EA0E49">
        <w:rPr>
          <w:i/>
        </w:rPr>
        <w:t>(3) The wage rate for the classification bears a reasonable relationship to the prevailing wage rates contained in the wage determination.</w:t>
      </w:r>
    </w:p>
    <w:p w:rsidR="00B62FA1" w:rsidRPr="004D7DE3" w:rsidP="00EA0E49" w14:paraId="1AF7545F" w14:textId="7968A8D1">
      <w:pPr>
        <w:spacing w:before="240" w:after="240"/>
        <w:ind w:left="2160"/>
        <w:rPr>
          <w:i/>
        </w:rPr>
      </w:pPr>
      <w:r w:rsidRPr="00EA0E49">
        <w:rPr>
          <w:i/>
        </w:rPr>
        <w:t>(B) The Administrator will establish wage rates for such classifications in accordance with paragraph (a)(1)(iii)(A)(3) of this section. Work performed in such a classification must be paid at no less than the wage and fringe benefit rate listed on the wage determination for such classification.</w:t>
      </w:r>
    </w:p>
    <w:p w:rsidR="00E32FDD" w:rsidRPr="00E32FDD" w:rsidP="00E32FDD" w14:paraId="102380B4" w14:textId="77777777">
      <w:pPr>
        <w:spacing w:before="240" w:after="240"/>
        <w:ind w:left="2160"/>
        <w:rPr>
          <w:i/>
        </w:rPr>
      </w:pPr>
      <w:r w:rsidRPr="00E32FDD">
        <w:rPr>
          <w:i/>
        </w:rPr>
        <w:t xml:space="preserve">(iii) Conformance. </w:t>
      </w:r>
    </w:p>
    <w:p w:rsidR="00E32FDD" w:rsidRPr="00E32FDD" w:rsidP="00E32FDD" w14:paraId="3D0D430C" w14:textId="77777777">
      <w:pPr>
        <w:spacing w:before="240" w:after="240"/>
        <w:ind w:left="2160"/>
        <w:rPr>
          <w:i/>
        </w:rPr>
      </w:pPr>
      <w:r w:rsidRPr="00E32FDD">
        <w:rPr>
          <w:i/>
        </w:rPr>
        <w:t>(A) The contracting officer must require that any class of laborers or mechanics, including helpers, which is not listed in the wage determination and which is to be employed under the contract be classified in conformance with the wage determination. Conformance of an additional classification and wage rate and fringe benefits is appropriate only when the following criteria have been met:</w:t>
      </w:r>
    </w:p>
    <w:p w:rsidR="00E32FDD" w:rsidRPr="00E32FDD" w:rsidP="00E32FDD" w14:paraId="40D1EC0A" w14:textId="77777777">
      <w:pPr>
        <w:spacing w:before="240" w:after="240"/>
        <w:ind w:left="2160"/>
        <w:rPr>
          <w:i/>
        </w:rPr>
      </w:pPr>
      <w:r w:rsidRPr="00E32FDD">
        <w:rPr>
          <w:i/>
        </w:rPr>
        <w:t>(1) The work to be performed by the classification requested is not performed by a classification in the wage determination; and</w:t>
      </w:r>
    </w:p>
    <w:p w:rsidR="00E32FDD" w:rsidRPr="00E32FDD" w:rsidP="00E32FDD" w14:paraId="50591CD0" w14:textId="77777777">
      <w:pPr>
        <w:spacing w:before="240" w:after="240"/>
        <w:ind w:left="2160"/>
        <w:rPr>
          <w:i/>
        </w:rPr>
      </w:pPr>
      <w:r w:rsidRPr="00E32FDD">
        <w:rPr>
          <w:i/>
        </w:rPr>
        <w:t>(2) The classification is used in the area by the construction industry; and</w:t>
      </w:r>
    </w:p>
    <w:p w:rsidR="00E32FDD" w:rsidRPr="00E32FDD" w:rsidP="00E32FDD" w14:paraId="05B347F5" w14:textId="77777777">
      <w:pPr>
        <w:spacing w:before="240" w:after="240"/>
        <w:ind w:left="2160"/>
        <w:rPr>
          <w:i/>
        </w:rPr>
      </w:pPr>
      <w:r w:rsidRPr="00E32FDD">
        <w:rPr>
          <w:i/>
        </w:rPr>
        <w:t>(3) The proposed wage rate, including any bona fide fringe benefits, bears a reasonable relationship to the wage rates contained in the wage determination.</w:t>
      </w:r>
    </w:p>
    <w:p w:rsidR="00E32FDD" w:rsidRPr="00E32FDD" w:rsidP="00E32FDD" w14:paraId="49DC472A" w14:textId="77777777">
      <w:pPr>
        <w:spacing w:before="240" w:after="240"/>
        <w:ind w:left="2160"/>
        <w:rPr>
          <w:i/>
        </w:rPr>
      </w:pPr>
      <w:r w:rsidRPr="00E32FDD">
        <w:rPr>
          <w:i/>
        </w:rPr>
        <w:t>(B) The conformance process may not be used to split, subdivide, or otherwise avoid application of classifications listed in the wage determination.</w:t>
      </w:r>
    </w:p>
    <w:p w:rsidR="00E32FDD" w:rsidRPr="00E32FDD" w:rsidP="00E32FDD" w14:paraId="22A2E2D6" w14:textId="77777777">
      <w:pPr>
        <w:spacing w:before="240" w:after="240"/>
        <w:ind w:left="2160"/>
        <w:rPr>
          <w:i/>
        </w:rPr>
      </w:pPr>
      <w:r w:rsidRPr="00E32FDD">
        <w:rPr>
          <w:i/>
        </w:rPr>
        <w:t xml:space="preserve">(C) If the contractor and the laborers and mechanics to be employed in the classification (if known), or their representatives, </w:t>
      </w:r>
      <w:r w:rsidRPr="00E32FDD">
        <w:rPr>
          <w:i/>
        </w:rPr>
        <w:t>and the contracting officer agree on the classification and wage rate (including the amount designated for fringe benefits where appropriate), a report of the action taken will be sent by the contracting officer by email to DBAconformance@dol.gov.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E32FDD" w:rsidRPr="00E32FDD" w:rsidP="00E32FDD" w14:paraId="5DE4F7A5" w14:textId="77777777">
      <w:pPr>
        <w:spacing w:before="240" w:after="240"/>
        <w:ind w:left="2160"/>
        <w:rPr>
          <w:i/>
        </w:rPr>
      </w:pPr>
      <w:r w:rsidRPr="00E32FDD">
        <w:rPr>
          <w:i/>
        </w:rPr>
        <w:t>(D)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 DBAconformance@dol.gov,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E32FDD" w:rsidRPr="00E32FDD" w:rsidP="00E32FDD" w14:paraId="33FD4EDB" w14:textId="77777777">
      <w:pPr>
        <w:spacing w:before="240" w:after="240"/>
        <w:ind w:left="2160"/>
        <w:rPr>
          <w:i/>
        </w:rPr>
      </w:pPr>
      <w:r w:rsidRPr="00E32FDD">
        <w:rPr>
          <w:i/>
        </w:rPr>
        <w:t>(E) The contracting officer must promptly notify the contractor of the action taken by the Wage and Hour Division under paragraphs (a)(1)(iii)(C) and (D) of this section. The contractor must furnish a written copy of such determination to each affected worker or it must be posted as a part of the wage determination. The wage rate (including fringe benefits where appropriate) determined pursuant to paragraph (a)(1)(iii)(C) or (D) of this section must be paid to all workers performing work in the classification under this contract from the first day on which work is performed in the classification.</w:t>
      </w:r>
    </w:p>
    <w:p w:rsidR="00E32FDD" w:rsidRPr="00E32FDD" w:rsidP="00E32FDD" w14:paraId="17C70034" w14:textId="77777777">
      <w:pPr>
        <w:spacing w:before="240" w:after="240"/>
        <w:ind w:left="2160"/>
        <w:rPr>
          <w:i/>
        </w:rPr>
      </w:pPr>
      <w:r w:rsidRPr="00E32FDD">
        <w:rPr>
          <w:i/>
        </w:rPr>
        <w:t>(iv) Fringe benefits not expressed as an hourly rate. 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rsidR="00E32FDD" w:rsidRPr="00E32FDD" w:rsidP="00E32FDD" w14:paraId="485F79CC" w14:textId="35017525">
      <w:pPr>
        <w:spacing w:before="240" w:after="240"/>
        <w:ind w:left="2160"/>
        <w:rPr>
          <w:i/>
        </w:rPr>
      </w:pPr>
      <w:r w:rsidRPr="00E32FDD">
        <w:rPr>
          <w:i/>
        </w:rPr>
        <w:t xml:space="preserve">(v) Unfunded plans.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w:t>
      </w:r>
      <w:r w:rsidRPr="00E32FDD">
        <w:rPr>
          <w:i/>
        </w:rPr>
        <w:t xml:space="preserve">found, upon the written request of the contractor, in accordance with the criteria set forth in </w:t>
      </w:r>
      <w:r w:rsidR="00684D3A">
        <w:rPr>
          <w:i/>
        </w:rPr>
        <w:t xml:space="preserve">29 CFR </w:t>
      </w:r>
      <w:r w:rsidRPr="00E32FDD">
        <w:rPr>
          <w:i/>
        </w:rPr>
        <w:t>5.28, that the applicable standards of the Davis-Bacon Act have been met. The Secretary of Labor may require the contractor to set aside in a separate account assets for the meeting of obligations under the plan or program.</w:t>
      </w:r>
    </w:p>
    <w:p w:rsidR="00A845D9" w:rsidRPr="004D7DE3" w:rsidP="00E32FDD" w14:paraId="42C4A0F4" w14:textId="42229F95">
      <w:pPr>
        <w:spacing w:before="240" w:after="240"/>
        <w:ind w:left="2160"/>
        <w:rPr>
          <w:i/>
        </w:rPr>
      </w:pPr>
      <w:r w:rsidRPr="00E32FDD">
        <w:rPr>
          <w:i/>
        </w:rPr>
        <w:t>(vi) Interest. In the event of a failure to pay all or part of the wages required by the contract, the contractor will be required to pay interest on any underpayment of wages.</w:t>
      </w:r>
    </w:p>
    <w:p w:rsidR="003461AD" w:rsidRPr="003461AD" w:rsidP="003461AD" w14:paraId="69A2A2B7" w14:textId="77777777">
      <w:pPr>
        <w:spacing w:before="240" w:after="240"/>
        <w:ind w:left="2160"/>
        <w:rPr>
          <w:i/>
        </w:rPr>
      </w:pPr>
      <w:r w:rsidRPr="003461AD">
        <w:rPr>
          <w:i/>
        </w:rPr>
        <w:t>(2) Withholding —</w:t>
      </w:r>
    </w:p>
    <w:p w:rsidR="003461AD" w:rsidRPr="003461AD" w:rsidP="003461AD" w14:paraId="1F4924E4" w14:textId="76D94D94">
      <w:pPr>
        <w:spacing w:before="240" w:after="240"/>
        <w:ind w:left="2160"/>
        <w:rPr>
          <w:i/>
        </w:rPr>
      </w:pPr>
      <w:r w:rsidRPr="003461AD">
        <w:rPr>
          <w:i/>
        </w:rPr>
        <w:t xml:space="preserve">(i) Withholding requirements. </w:t>
      </w:r>
      <w:r w:rsidR="00131514">
        <w:rPr>
          <w:i/>
        </w:rPr>
        <w:t>HUD or its designee</w:t>
      </w:r>
      <w:r w:rsidRPr="003461AD">
        <w:rPr>
          <w:i/>
        </w:rPr>
        <w:t xml:space="preserv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paragraph (a) of this section for violations of this contract, or to satisfy any such liabilities required by any other Federal contract, or federally assisted contract subject to Davis-Bacon labor standards, that is held by the same prime contractor (as defined in </w:t>
      </w:r>
      <w:r w:rsidR="004169DF">
        <w:rPr>
          <w:i/>
        </w:rPr>
        <w:t>29 CFR</w:t>
      </w:r>
      <w:r w:rsidRPr="003461AD">
        <w:rPr>
          <w:i/>
        </w:rPr>
        <w:t xml:space="preserve">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paragraph (a)(3)(iv) of this section, </w:t>
      </w:r>
      <w:r w:rsidR="009608A5">
        <w:rPr>
          <w:i/>
        </w:rPr>
        <w:t>HUD or its designee</w:t>
      </w:r>
      <w:r w:rsidRPr="003461AD">
        <w:rPr>
          <w:i/>
        </w:rPr>
        <w:t xml:space="preserve"> may on its own initiative and after written notice to the contractor, sponsor, applicant, owner, or other entity, as the case may be, take such action as may be necessary to cause the suspension of any further payment, advance, or guarantee of funds until such violations have ceased.</w:t>
      </w:r>
    </w:p>
    <w:p w:rsidR="003461AD" w:rsidRPr="003461AD" w:rsidP="003461AD" w14:paraId="54191392" w14:textId="77777777">
      <w:pPr>
        <w:spacing w:before="240" w:after="240"/>
        <w:ind w:left="2160"/>
        <w:rPr>
          <w:i/>
        </w:rPr>
      </w:pPr>
      <w:r w:rsidRPr="003461AD">
        <w:rPr>
          <w:i/>
        </w:rPr>
        <w:t>(ii) Priority to withheld funds. The Department has priority to funds withheld or to be withheld in accordance with paragraph (a)(2)(i) or (b)(3)(i) of this section, or both, over claims to those funds by:</w:t>
      </w:r>
    </w:p>
    <w:p w:rsidR="003461AD" w:rsidRPr="003461AD" w:rsidP="003461AD" w14:paraId="6110B296" w14:textId="77777777">
      <w:pPr>
        <w:spacing w:before="240" w:after="240"/>
        <w:ind w:left="2160"/>
        <w:rPr>
          <w:i/>
        </w:rPr>
      </w:pPr>
      <w:r w:rsidRPr="003461AD">
        <w:rPr>
          <w:i/>
        </w:rPr>
        <w:t>(A) A contractor's surety(ies), including without limitation performance bond sureties and payment bond sureties;</w:t>
      </w:r>
    </w:p>
    <w:p w:rsidR="003461AD" w:rsidRPr="003461AD" w:rsidP="003461AD" w14:paraId="58A00992" w14:textId="77777777">
      <w:pPr>
        <w:spacing w:before="240" w:after="240"/>
        <w:ind w:left="2160"/>
        <w:rPr>
          <w:i/>
        </w:rPr>
      </w:pPr>
      <w:r w:rsidRPr="003461AD">
        <w:rPr>
          <w:i/>
        </w:rPr>
        <w:t>(B) A contracting agency for its reprocurement costs;</w:t>
      </w:r>
    </w:p>
    <w:p w:rsidR="003461AD" w:rsidRPr="003461AD" w:rsidP="003461AD" w14:paraId="0E9C0128" w14:textId="77777777">
      <w:pPr>
        <w:spacing w:before="240" w:after="240"/>
        <w:ind w:left="2160"/>
        <w:rPr>
          <w:i/>
        </w:rPr>
      </w:pPr>
      <w:r w:rsidRPr="003461AD">
        <w:rPr>
          <w:i/>
        </w:rPr>
        <w:t>(C) A trustee(s) (either a court-appointed trustee or a U.S. trustee, or both) in bankruptcy of a contractor, or a contractor's bankruptcy estate;</w:t>
      </w:r>
    </w:p>
    <w:p w:rsidR="003461AD" w:rsidRPr="003461AD" w:rsidP="003461AD" w14:paraId="11E50A37" w14:textId="77777777">
      <w:pPr>
        <w:spacing w:before="240" w:after="240"/>
        <w:ind w:left="2160"/>
        <w:rPr>
          <w:i/>
        </w:rPr>
      </w:pPr>
      <w:r w:rsidRPr="003461AD">
        <w:rPr>
          <w:i/>
        </w:rPr>
        <w:t>(D) A contractor's assignee(s);</w:t>
      </w:r>
    </w:p>
    <w:p w:rsidR="003461AD" w:rsidRPr="003461AD" w:rsidP="003461AD" w14:paraId="1AC599AE" w14:textId="77777777">
      <w:pPr>
        <w:spacing w:before="240" w:after="240"/>
        <w:ind w:left="2160"/>
        <w:rPr>
          <w:i/>
        </w:rPr>
      </w:pPr>
      <w:r w:rsidRPr="003461AD">
        <w:rPr>
          <w:i/>
        </w:rPr>
        <w:t>(E) A contractor's successor(s); or</w:t>
      </w:r>
    </w:p>
    <w:p w:rsidR="007E01E7" w:rsidRPr="004D7DE3" w:rsidP="003461AD" w14:paraId="1B368F11" w14:textId="69479053">
      <w:pPr>
        <w:spacing w:before="240" w:after="240"/>
        <w:ind w:left="2160"/>
        <w:rPr>
          <w:i/>
        </w:rPr>
      </w:pPr>
      <w:r w:rsidRPr="003461AD">
        <w:rPr>
          <w:i/>
        </w:rPr>
        <w:t>(F) A claim asserted under the Prompt Payment Act, 31 U.S.C. 3901-3907.</w:t>
      </w:r>
    </w:p>
    <w:p w:rsidR="00D0021B" w:rsidRPr="00D0021B" w:rsidP="00D0021B" w14:paraId="21A8D09E" w14:textId="77777777">
      <w:pPr>
        <w:spacing w:before="240" w:after="240"/>
        <w:ind w:left="2160"/>
        <w:rPr>
          <w:i/>
        </w:rPr>
      </w:pPr>
      <w:r w:rsidRPr="00D0021B">
        <w:rPr>
          <w:i/>
        </w:rPr>
        <w:t>(3) Records and certified payrolls —</w:t>
      </w:r>
    </w:p>
    <w:p w:rsidR="00D0021B" w:rsidRPr="00D0021B" w:rsidP="00D0021B" w14:paraId="64580A6C" w14:textId="77777777">
      <w:pPr>
        <w:spacing w:before="240" w:after="240"/>
        <w:ind w:left="2160"/>
        <w:rPr>
          <w:i/>
        </w:rPr>
      </w:pPr>
      <w:r w:rsidRPr="00D0021B">
        <w:rPr>
          <w:i/>
        </w:rPr>
        <w:t>(i) Basic record requirements —</w:t>
      </w:r>
    </w:p>
    <w:p w:rsidR="00D0021B" w:rsidRPr="00D0021B" w:rsidP="00D0021B" w14:paraId="2094C6F3" w14:textId="77777777">
      <w:pPr>
        <w:spacing w:before="240" w:after="240"/>
        <w:ind w:left="2160"/>
        <w:rPr>
          <w:i/>
        </w:rPr>
      </w:pPr>
      <w:r w:rsidRPr="00D0021B">
        <w:rPr>
          <w:i/>
        </w:rPr>
        <w:t>(A) Length of record retention. 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rsidR="00D0021B" w:rsidRPr="00D0021B" w:rsidP="00D0021B" w14:paraId="06A11978" w14:textId="77777777">
      <w:pPr>
        <w:spacing w:before="240" w:after="240"/>
        <w:ind w:left="2160"/>
        <w:rPr>
          <w:i/>
        </w:rPr>
      </w:pPr>
      <w:r w:rsidRPr="00D0021B">
        <w:rPr>
          <w:i/>
        </w:rPr>
        <w:t>(B) Information required. 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w:t>
      </w:r>
    </w:p>
    <w:p w:rsidR="00D0021B" w:rsidRPr="00D0021B" w:rsidP="00D0021B" w14:paraId="6D5AC51E" w14:textId="77777777">
      <w:pPr>
        <w:spacing w:before="240" w:after="240"/>
        <w:ind w:left="2160"/>
        <w:rPr>
          <w:i/>
        </w:rPr>
      </w:pPr>
      <w:r w:rsidRPr="00D0021B">
        <w:rPr>
          <w:i/>
        </w:rPr>
        <w:t xml:space="preserve">(C) Additional records relating to fringe benefits. Whenever the Secretary of Labor has found under paragraph (a)(1)(v) of this section that the wages of any laborer or mechanic include the </w:t>
      </w:r>
      <w:r w:rsidRPr="00D0021B">
        <w:rPr>
          <w:i/>
        </w:rPr>
        <w:t>amount of any costs reasonably anticipated in providing benefits under a plan or program described in 40 U.S.C. 3141(2)(B) of the Davis-Bacon Act, the contractor must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w:t>
      </w:r>
    </w:p>
    <w:p w:rsidR="00E377F2" w:rsidRPr="004D7DE3" w:rsidP="00D0021B" w14:paraId="2699723D" w14:textId="3B0DFD8B">
      <w:pPr>
        <w:spacing w:before="240" w:after="240"/>
        <w:ind w:left="2160"/>
        <w:rPr>
          <w:i/>
        </w:rPr>
      </w:pPr>
      <w:r w:rsidRPr="00D0021B">
        <w:rPr>
          <w:i/>
        </w:rPr>
        <w:t>(D) Additional records relating to apprenticeship. Contractors with apprentices working under approved programs must maintain written evidence of the registration of apprenticeship programs, the registration of the apprentices, and the ratios and wage rates prescribed in the applicable programs.</w:t>
      </w:r>
    </w:p>
    <w:p w:rsidR="00C64335" w:rsidP="00C64335" w14:paraId="4DB5EB17" w14:textId="77777777">
      <w:pPr>
        <w:autoSpaceDE w:val="0"/>
        <w:autoSpaceDN w:val="0"/>
        <w:adjustRightInd w:val="0"/>
        <w:ind w:left="2160"/>
        <w:rPr>
          <w:i/>
        </w:rPr>
      </w:pPr>
      <w:r w:rsidRPr="00C64335">
        <w:rPr>
          <w:i/>
        </w:rPr>
        <w:t>(ii) Certified payroll requirements —</w:t>
      </w:r>
    </w:p>
    <w:p w:rsidR="00E377F2" w:rsidRPr="00C64335" w:rsidP="00C64335" w14:paraId="2B3D5E40" w14:textId="77777777">
      <w:pPr>
        <w:autoSpaceDE w:val="0"/>
        <w:autoSpaceDN w:val="0"/>
        <w:adjustRightInd w:val="0"/>
        <w:ind w:left="2160"/>
        <w:rPr>
          <w:i/>
        </w:rPr>
      </w:pPr>
    </w:p>
    <w:p w:rsidR="00C64335" w:rsidRPr="00C64335" w:rsidP="00C64335" w14:paraId="5708ACB1" w14:textId="4CBDF5E2">
      <w:pPr>
        <w:autoSpaceDE w:val="0"/>
        <w:autoSpaceDN w:val="0"/>
        <w:adjustRightInd w:val="0"/>
        <w:ind w:left="2160"/>
        <w:rPr>
          <w:i/>
        </w:rPr>
      </w:pPr>
      <w:r w:rsidRPr="00C64335">
        <w:rPr>
          <w:i/>
        </w:rPr>
        <w:t xml:space="preserve">(A) Frequency and method of submission. The contractor or subcontractor must submit weekly, for each week in which any DBA- or Related Acts-covered work is performed, certified payrolls to </w:t>
      </w:r>
      <w:r w:rsidR="008A08A8">
        <w:rPr>
          <w:i/>
        </w:rPr>
        <w:t xml:space="preserve">HUD </w:t>
      </w:r>
      <w:r w:rsidRPr="00C64335">
        <w:rPr>
          <w:i/>
        </w:rPr>
        <w:t xml:space="preserve">if the agency is a party to the contract, but if the agency is not such a party, the contractor will submit the certified payrolls to the applicant, sponsor, owner, or other entity, as the case may be, that maintains such records, for transmission to </w:t>
      </w:r>
      <w:r w:rsidR="002819BF">
        <w:rPr>
          <w:i/>
        </w:rPr>
        <w:t>HUD</w:t>
      </w:r>
      <w:r w:rsidRPr="00C64335">
        <w:rPr>
          <w:i/>
        </w:rPr>
        <w:t>.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contractor is unable or limited in its ability to use or access the electronic system.</w:t>
      </w:r>
    </w:p>
    <w:p w:rsidR="00C64335" w:rsidP="00C64335" w14:paraId="02D5EC41" w14:textId="77777777">
      <w:pPr>
        <w:autoSpaceDE w:val="0"/>
        <w:autoSpaceDN w:val="0"/>
        <w:adjustRightInd w:val="0"/>
        <w:ind w:left="2160"/>
        <w:rPr>
          <w:i/>
        </w:rPr>
      </w:pPr>
      <w:r w:rsidRPr="00C64335">
        <w:rPr>
          <w:i/>
        </w:rPr>
        <w:t xml:space="preserve">(B) Information required. The certified payrolls submitted must set out accurately and completely all of the information required to be maintained under paragraph (a)(3)(i)(B) of this section, except that full Social Security numbers and last known addresses, telephone numbers, and email addresses must not be included on weekly transmittals. Instead, the certified payrolls need only include an individually identifying number for each worker (e.g., the last four digits of the worker's Social Security number). The required weekly certified payroll information may be submitted </w:t>
      </w:r>
      <w:r w:rsidRPr="00C64335">
        <w:rPr>
          <w:i/>
        </w:rPr>
        <w:t>using Optional Form WH-347 or in any other format desired. Optional Form WH-347 is available for this purpose from the Wage and Hour Division website at https://www.dol.gov/sites/dolgov/files/WHD/legacy/files/wh347/.pdf or its successor website. It is not a violation of this section for a 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rsidR="001D0400" w:rsidRPr="00C64335" w:rsidP="00C64335" w14:paraId="45877E5E" w14:textId="77777777">
      <w:pPr>
        <w:autoSpaceDE w:val="0"/>
        <w:autoSpaceDN w:val="0"/>
        <w:adjustRightInd w:val="0"/>
        <w:ind w:left="2160"/>
        <w:rPr>
          <w:i/>
        </w:rPr>
      </w:pPr>
    </w:p>
    <w:p w:rsidR="00C64335" w:rsidP="00C64335" w14:paraId="63D526F1" w14:textId="77777777">
      <w:pPr>
        <w:autoSpaceDE w:val="0"/>
        <w:autoSpaceDN w:val="0"/>
        <w:adjustRightInd w:val="0"/>
        <w:ind w:left="2160"/>
        <w:rPr>
          <w:i/>
        </w:rPr>
      </w:pPr>
      <w:r w:rsidRPr="00C64335">
        <w:rPr>
          <w:i/>
        </w:rPr>
        <w:t>(C) Statement of Compliance. Each certified payroll submitted must be accompanied by a “Statement of Compliance,” signed by the contractor or subcontractor, or the contractor's or subcontractor's agent who pays or supervises the payment of the persons working on the contract, and must certify the following:</w:t>
      </w:r>
    </w:p>
    <w:p w:rsidR="001D0400" w:rsidRPr="00C64335" w:rsidP="00C64335" w14:paraId="1E240A39" w14:textId="77777777">
      <w:pPr>
        <w:autoSpaceDE w:val="0"/>
        <w:autoSpaceDN w:val="0"/>
        <w:adjustRightInd w:val="0"/>
        <w:ind w:left="2160"/>
        <w:rPr>
          <w:i/>
        </w:rPr>
      </w:pPr>
    </w:p>
    <w:p w:rsidR="00C64335" w:rsidP="00C64335" w14:paraId="0343E7A3" w14:textId="77777777">
      <w:pPr>
        <w:autoSpaceDE w:val="0"/>
        <w:autoSpaceDN w:val="0"/>
        <w:adjustRightInd w:val="0"/>
        <w:ind w:left="2160"/>
        <w:rPr>
          <w:i/>
        </w:rPr>
      </w:pPr>
      <w:r w:rsidRPr="00C64335">
        <w:rPr>
          <w:i/>
        </w:rPr>
        <w:t>(1) That the certified payroll for the payroll period contains the information required to be provided under paragraph (a)(3)(ii) of this section, the appropriate information and basic records are being maintained under paragraph (a)(3)(i) of this section, and such information and records are correct and complete;</w:t>
      </w:r>
    </w:p>
    <w:p w:rsidR="001D0400" w:rsidRPr="00C64335" w:rsidP="00C64335" w14:paraId="5FDC5E65" w14:textId="77777777">
      <w:pPr>
        <w:autoSpaceDE w:val="0"/>
        <w:autoSpaceDN w:val="0"/>
        <w:adjustRightInd w:val="0"/>
        <w:ind w:left="2160"/>
        <w:rPr>
          <w:i/>
        </w:rPr>
      </w:pPr>
    </w:p>
    <w:p w:rsidR="00C64335" w:rsidP="00C64335" w14:paraId="5F1A1AE6" w14:textId="77777777">
      <w:pPr>
        <w:autoSpaceDE w:val="0"/>
        <w:autoSpaceDN w:val="0"/>
        <w:adjustRightInd w:val="0"/>
        <w:ind w:left="2160"/>
        <w:rPr>
          <w:i/>
        </w:rPr>
      </w:pPr>
      <w:r w:rsidRPr="00C64335">
        <w:rPr>
          <w:i/>
        </w:rPr>
        <w:t>(2)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p>
    <w:p w:rsidR="00EF3963" w:rsidRPr="00C64335" w:rsidP="00C64335" w14:paraId="2825035F" w14:textId="77777777">
      <w:pPr>
        <w:autoSpaceDE w:val="0"/>
        <w:autoSpaceDN w:val="0"/>
        <w:adjustRightInd w:val="0"/>
        <w:ind w:left="2160"/>
        <w:rPr>
          <w:i/>
        </w:rPr>
      </w:pPr>
    </w:p>
    <w:p w:rsidR="00C64335" w:rsidP="00C64335" w14:paraId="0786DCBA" w14:textId="77777777">
      <w:pPr>
        <w:autoSpaceDE w:val="0"/>
        <w:autoSpaceDN w:val="0"/>
        <w:adjustRightInd w:val="0"/>
        <w:ind w:left="2160"/>
        <w:rPr>
          <w:i/>
        </w:rPr>
      </w:pPr>
      <w:r w:rsidRPr="00C64335">
        <w:rPr>
          <w:i/>
        </w:rPr>
        <w:t>(3) That each laborer or mechanic has been paid not less than the applicable wage rates and fringe benefits or cash equivalents for the classification(s) of work actually performed, as specified in the applicable wage determination incorporated into the contract.</w:t>
      </w:r>
    </w:p>
    <w:p w:rsidR="00EF3963" w:rsidRPr="00C64335" w:rsidP="00C64335" w14:paraId="40AD8035" w14:textId="77777777">
      <w:pPr>
        <w:autoSpaceDE w:val="0"/>
        <w:autoSpaceDN w:val="0"/>
        <w:adjustRightInd w:val="0"/>
        <w:ind w:left="2160"/>
        <w:rPr>
          <w:i/>
        </w:rPr>
      </w:pPr>
    </w:p>
    <w:p w:rsidR="00C64335" w:rsidP="00C64335" w14:paraId="5BCE76A7" w14:textId="77777777">
      <w:pPr>
        <w:autoSpaceDE w:val="0"/>
        <w:autoSpaceDN w:val="0"/>
        <w:adjustRightInd w:val="0"/>
        <w:ind w:left="2160"/>
        <w:rPr>
          <w:i/>
        </w:rPr>
      </w:pPr>
      <w:r w:rsidRPr="00C64335">
        <w:rPr>
          <w:i/>
        </w:rPr>
        <w:t>(D) Use of Optional Form WH-347. The weekly submission of a properly executed certification set forth on the reverse side of Optional Form WH-347 will satisfy the requirement for submission of the “Statement of Compliance” required by paragraph (a)(3)(ii)(C) of this section.</w:t>
      </w:r>
    </w:p>
    <w:p w:rsidR="007977BD" w:rsidRPr="00C64335" w:rsidP="00C64335" w14:paraId="2534FE8C" w14:textId="77777777">
      <w:pPr>
        <w:autoSpaceDE w:val="0"/>
        <w:autoSpaceDN w:val="0"/>
        <w:adjustRightInd w:val="0"/>
        <w:ind w:left="2160"/>
        <w:rPr>
          <w:i/>
        </w:rPr>
      </w:pPr>
    </w:p>
    <w:p w:rsidR="00C64335" w:rsidP="00C64335" w14:paraId="1AAACF85" w14:textId="77777777">
      <w:pPr>
        <w:autoSpaceDE w:val="0"/>
        <w:autoSpaceDN w:val="0"/>
        <w:adjustRightInd w:val="0"/>
        <w:ind w:left="2160"/>
        <w:rPr>
          <w:i/>
        </w:rPr>
      </w:pPr>
      <w:r w:rsidRPr="00C64335">
        <w:rPr>
          <w:i/>
        </w:rPr>
        <w:t>(E) Signature. The signature by the contractor, subcontractor, or the contractor's or subcontractor's agent must be an original handwritten signature or a legally valid electronic signature.</w:t>
      </w:r>
    </w:p>
    <w:p w:rsidR="007977BD" w:rsidRPr="00C64335" w:rsidP="00C64335" w14:paraId="6499DFD8" w14:textId="77777777">
      <w:pPr>
        <w:autoSpaceDE w:val="0"/>
        <w:autoSpaceDN w:val="0"/>
        <w:adjustRightInd w:val="0"/>
        <w:ind w:left="2160"/>
        <w:rPr>
          <w:i/>
        </w:rPr>
      </w:pPr>
    </w:p>
    <w:p w:rsidR="00C64335" w:rsidRPr="00C64335" w:rsidP="00C64335" w14:paraId="25E7D58B" w14:textId="77777777">
      <w:pPr>
        <w:autoSpaceDE w:val="0"/>
        <w:autoSpaceDN w:val="0"/>
        <w:adjustRightInd w:val="0"/>
        <w:ind w:left="2160"/>
        <w:rPr>
          <w:i/>
        </w:rPr>
      </w:pPr>
      <w:r w:rsidRPr="00C64335">
        <w:rPr>
          <w:i/>
        </w:rPr>
        <w:t>(F) Falsification. The falsification of any of the above certifications may subject the contractor or subcontractor to civil or criminal prosecution under 18 U.S.C. 1001 and 31 U.S.C. 3729.</w:t>
      </w:r>
    </w:p>
    <w:p w:rsidR="00FC0D73" w:rsidRPr="004D7DE3" w:rsidP="00C64335" w14:paraId="791E78D4" w14:textId="58B5BE80">
      <w:pPr>
        <w:autoSpaceDE w:val="0"/>
        <w:autoSpaceDN w:val="0"/>
        <w:adjustRightInd w:val="0"/>
        <w:ind w:left="2160"/>
        <w:rPr>
          <w:i/>
        </w:rPr>
      </w:pPr>
      <w:r w:rsidRPr="00C64335">
        <w:rPr>
          <w:i/>
        </w:rPr>
        <w:t>(G) Length of certified payroll retention. The contractor or subcontractor must preserve all certified payrolls during the course of the work and for a period of 3 years after all the work on the prime contract is completed.</w:t>
      </w:r>
    </w:p>
    <w:p w:rsidR="00000A75" w:rsidRPr="00000A75" w:rsidP="00000A75" w14:paraId="50A4C25B" w14:textId="77777777">
      <w:pPr>
        <w:spacing w:before="240" w:after="240"/>
        <w:ind w:left="2160"/>
        <w:rPr>
          <w:i/>
        </w:rPr>
      </w:pPr>
      <w:r w:rsidRPr="00000A75">
        <w:rPr>
          <w:i/>
        </w:rPr>
        <w:t>(iii) Contracts, subcontracts, and related documents. The contractor or subcontractor must maintain this contract or subcontract and related documents including, without limitation, bids, proposals, amendments, modifications, and extensions. The contractor or subcontractor must preserve these contracts, subcontracts, and related documents during the course of the work and for a period of 3 years after all the work on the prime contract is completed.</w:t>
      </w:r>
    </w:p>
    <w:p w:rsidR="00000A75" w:rsidRPr="00000A75" w:rsidP="00000A75" w14:paraId="5BC10296" w14:textId="77777777">
      <w:pPr>
        <w:spacing w:before="240" w:after="240"/>
        <w:ind w:left="2160"/>
        <w:rPr>
          <w:i/>
        </w:rPr>
      </w:pPr>
      <w:r w:rsidRPr="00000A75">
        <w:rPr>
          <w:i/>
        </w:rPr>
        <w:t>(iv) Required disclosures and access —</w:t>
      </w:r>
    </w:p>
    <w:p w:rsidR="00000A75" w:rsidRPr="00000A75" w:rsidP="00000A75" w14:paraId="168D130E" w14:textId="6F43B6EC">
      <w:pPr>
        <w:spacing w:before="240" w:after="240"/>
        <w:ind w:left="2160"/>
        <w:rPr>
          <w:i/>
        </w:rPr>
      </w:pPr>
      <w:r w:rsidRPr="00000A75">
        <w:rPr>
          <w:i/>
        </w:rPr>
        <w:t xml:space="preserve">(A) Required record disclosures and access to workers. The contractor or subcontractor must make the records required under paragraphs (a)(3)(i) through (iii) of this section, and any other documents that </w:t>
      </w:r>
      <w:r w:rsidR="00FC0D73">
        <w:rPr>
          <w:i/>
        </w:rPr>
        <w:t>HUD</w:t>
      </w:r>
      <w:r w:rsidRPr="00000A75">
        <w:rPr>
          <w:i/>
        </w:rPr>
        <w:t xml:space="preserve"> or the Department of Labor deems necessary to determine compliance with the labor standards provisions of any of the applicable statutes referenced by </w:t>
      </w:r>
      <w:r w:rsidR="00D83249">
        <w:rPr>
          <w:i/>
        </w:rPr>
        <w:t>29 CFR</w:t>
      </w:r>
      <w:r w:rsidRPr="00000A75">
        <w:rPr>
          <w:i/>
        </w:rPr>
        <w:t xml:space="preserve"> 5.1, available for inspection, copying, or transcription by authorized representatives of </w:t>
      </w:r>
      <w:r w:rsidR="00FC0D73">
        <w:rPr>
          <w:i/>
        </w:rPr>
        <w:t>HUD</w:t>
      </w:r>
      <w:r w:rsidRPr="00000A75">
        <w:rPr>
          <w:i/>
        </w:rPr>
        <w:t xml:space="preserve"> or the Department of Labor, and must permit such representatives to interview workers during working hours on the job.</w:t>
      </w:r>
    </w:p>
    <w:p w:rsidR="00000A75" w:rsidRPr="00000A75" w:rsidP="00000A75" w14:paraId="3D20BC67" w14:textId="72E8D216">
      <w:pPr>
        <w:spacing w:before="240" w:after="240"/>
        <w:ind w:left="2160"/>
        <w:rPr>
          <w:i/>
        </w:rPr>
      </w:pPr>
      <w:r w:rsidRPr="00000A75">
        <w:rPr>
          <w:i/>
        </w:rPr>
        <w:t xml:space="preserve">(B) Sanctions for non-compliance with records and worker access requirements. 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w:t>
      </w:r>
      <w:r w:rsidR="007519E0">
        <w:rPr>
          <w:i/>
        </w:rPr>
        <w:t>29 CFR</w:t>
      </w:r>
      <w:r w:rsidRPr="00000A75">
        <w:rPr>
          <w:i/>
        </w:rPr>
        <w:t xml:space="preserve"> 5.12. In addition, any contractor or other person that fails to submit the required records or make those records available to </w:t>
      </w:r>
      <w:r w:rsidRPr="00000A75">
        <w:rPr>
          <w:i/>
        </w:rPr>
        <w:t>WHD within the time WHD requests that the records be produced will be precluded from introducing as evidence in an administrative proceeding under 29 CFR part 6 any of the required records that were not provided or made available to 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w:t>
      </w:r>
    </w:p>
    <w:p w:rsidR="00000A75" w:rsidRPr="00000A75" w:rsidP="00000A75" w14:paraId="2BE89DBA" w14:textId="263130BF">
      <w:pPr>
        <w:spacing w:before="240" w:after="240"/>
        <w:ind w:left="2160"/>
        <w:rPr>
          <w:i/>
        </w:rPr>
      </w:pPr>
      <w:r w:rsidRPr="00000A75">
        <w:rPr>
          <w:i/>
        </w:rPr>
        <w:t xml:space="preserve">(C) Required information disclosures. Contractors and subcontractors must maintain the full Social Security number and last known address, telephone number, and email address of each covered worker, and must provide them upon request to </w:t>
      </w:r>
      <w:r w:rsidR="001F7306">
        <w:rPr>
          <w:i/>
        </w:rPr>
        <w:t xml:space="preserve">HUD </w:t>
      </w:r>
      <w:r w:rsidRPr="00000A75">
        <w:rPr>
          <w:i/>
        </w:rPr>
        <w:t xml:space="preserve">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w:t>
      </w:r>
      <w:r w:rsidR="002A5066">
        <w:rPr>
          <w:i/>
        </w:rPr>
        <w:t>HUD</w:t>
      </w:r>
      <w:r w:rsidRPr="00000A75">
        <w:rPr>
          <w:i/>
        </w:rPr>
        <w:t>, the contractor, or the Wage and Hour Division of the Department of Labor for purposes of an investigation or other compliance action.</w:t>
      </w:r>
    </w:p>
    <w:p w:rsidR="00000A75" w:rsidRPr="00000A75" w:rsidP="00000A75" w14:paraId="15F7A80A" w14:textId="77777777">
      <w:pPr>
        <w:spacing w:before="240" w:after="240"/>
        <w:ind w:left="2160"/>
        <w:rPr>
          <w:i/>
        </w:rPr>
      </w:pPr>
      <w:r w:rsidRPr="00000A75">
        <w:rPr>
          <w:i/>
        </w:rPr>
        <w:t>(4) Apprentices and equal employment opportunity —</w:t>
      </w:r>
    </w:p>
    <w:p w:rsidR="00000A75" w:rsidRPr="00000A75" w:rsidP="00000A75" w14:paraId="58F63556" w14:textId="77777777">
      <w:pPr>
        <w:spacing w:before="240" w:after="240"/>
        <w:ind w:left="2160"/>
        <w:rPr>
          <w:i/>
        </w:rPr>
      </w:pPr>
      <w:r w:rsidRPr="00000A75">
        <w:rPr>
          <w:i/>
        </w:rPr>
        <w:t>(i) Apprentices —</w:t>
      </w:r>
    </w:p>
    <w:p w:rsidR="00000A75" w:rsidRPr="00000A75" w:rsidP="00000A75" w14:paraId="78691CCC" w14:textId="77777777">
      <w:pPr>
        <w:spacing w:before="240" w:after="240"/>
        <w:ind w:left="2160"/>
        <w:rPr>
          <w:i/>
        </w:rPr>
      </w:pPr>
      <w:r w:rsidRPr="00000A75">
        <w:rPr>
          <w:i/>
        </w:rPr>
        <w:t xml:space="preserve">(A) Rate of pay. 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w:t>
      </w:r>
      <w:r w:rsidRPr="00000A75">
        <w:rPr>
          <w:i/>
        </w:rPr>
        <w:t>predetermined rate for the work performed until an acceptable program is approved.</w:t>
      </w:r>
    </w:p>
    <w:p w:rsidR="00000A75" w:rsidRPr="00000A75" w:rsidP="00000A75" w14:paraId="7382C846" w14:textId="77777777">
      <w:pPr>
        <w:spacing w:before="240" w:after="240"/>
        <w:ind w:left="2160"/>
        <w:rPr>
          <w:i/>
        </w:rPr>
      </w:pPr>
      <w:r w:rsidRPr="00000A75">
        <w:rPr>
          <w:i/>
        </w:rPr>
        <w:t>(B) Fringe benefits. 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rsidR="00000A75" w:rsidRPr="00000A75" w:rsidP="00000A75" w14:paraId="7B4A2388" w14:textId="77777777">
      <w:pPr>
        <w:spacing w:before="240" w:after="240"/>
        <w:ind w:left="2160"/>
        <w:rPr>
          <w:i/>
        </w:rPr>
      </w:pPr>
      <w:r w:rsidRPr="00000A75">
        <w:rPr>
          <w:i/>
        </w:rPr>
        <w:t>(C) Apprenticeship ratio. The allowable ratio of apprentices to journeyworkers on the job site in any craft classification must not be greater than the ratio permitted to the contractor as to the entire work force under the registered program or the ratio applicable to the locality of the project pursuant to paragraph (a)(4)(i)(D) of this section. Any worker listed on a payroll at an apprentice wage rate, who is not registered or otherwise employed as stated in paragraph (a)(4)(i)(A) of this section, must be paid not less than the applicable wage rate on the wage determination for the classification of work actually performed. In addition, any apprentice performing work on the job site in excess of the ratio permitted under this section must be paid not less than the applicable wage rate on the wage determination for the work actually performed.</w:t>
      </w:r>
    </w:p>
    <w:p w:rsidR="00000A75" w:rsidRPr="00000A75" w:rsidP="00000A75" w14:paraId="66420D38" w14:textId="77777777">
      <w:pPr>
        <w:spacing w:before="240" w:after="240"/>
        <w:ind w:left="2160"/>
        <w:rPr>
          <w:i/>
        </w:rPr>
      </w:pPr>
      <w:r w:rsidRPr="00000A75">
        <w:rPr>
          <w:i/>
        </w:rPr>
        <w:t>(D) Reciprocity of ratios and wage rates. Where a contractor is performing construction on a project in a locality other than the locality in which its program is registered, the ratios and wage rates (expressed in percentages of the journeyworker's hourly rate) applicable within the locality in which the construction is being performed must be observed. If there is no applicable ratio or wage rate for the locality of the project, the ratio and wage rate specified in the contractor's registered program must be observed.</w:t>
      </w:r>
    </w:p>
    <w:p w:rsidR="00000A75" w:rsidRPr="00000A75" w:rsidP="00000A75" w14:paraId="0F01FE14" w14:textId="06EC89B2">
      <w:pPr>
        <w:spacing w:before="240" w:after="240"/>
        <w:ind w:left="2160"/>
        <w:rPr>
          <w:i/>
        </w:rPr>
      </w:pPr>
      <w:r w:rsidRPr="00000A75">
        <w:rPr>
          <w:i/>
        </w:rPr>
        <w:t xml:space="preserve">(ii) Equal employment opportunity. The use of apprentices and journeyworkers under </w:t>
      </w:r>
      <w:r w:rsidR="00F02291">
        <w:rPr>
          <w:i/>
        </w:rPr>
        <w:t>29 CFR part 5</w:t>
      </w:r>
      <w:r w:rsidRPr="00000A75">
        <w:rPr>
          <w:i/>
        </w:rPr>
        <w:t xml:space="preserve"> must be in conformity with the equal employment opportunity requirements of 29 CFR part 30.</w:t>
      </w:r>
    </w:p>
    <w:p w:rsidR="00000A75" w:rsidRPr="00000A75" w:rsidP="00000A75" w14:paraId="5A7D0BD9" w14:textId="77777777">
      <w:pPr>
        <w:spacing w:before="240" w:after="240"/>
        <w:ind w:left="2160"/>
        <w:rPr>
          <w:i/>
        </w:rPr>
      </w:pPr>
      <w:r w:rsidRPr="00000A75">
        <w:rPr>
          <w:i/>
        </w:rPr>
        <w:t>(5) Compliance with Copeland Act requirements. The contractor shall comply with the requirements of 29 CFR part 3, which are incorporated by reference in this contract.</w:t>
      </w:r>
    </w:p>
    <w:p w:rsidR="00000A75" w:rsidRPr="00000A75" w:rsidP="00000A75" w14:paraId="0A3C61B9" w14:textId="744C2436">
      <w:pPr>
        <w:spacing w:before="240" w:after="240"/>
        <w:ind w:left="2160"/>
        <w:rPr>
          <w:i/>
        </w:rPr>
      </w:pPr>
      <w:r w:rsidRPr="00000A75">
        <w:rPr>
          <w:i/>
        </w:rPr>
        <w:t xml:space="preserve">(6) Subcontracts. The contractor or subcontractor must insert in any subcontracts the clauses contained in paragraphs (a)(1) through (11) of this section, along with the applicable wage determination(s) and such other clauses or contract modifications as </w:t>
      </w:r>
      <w:r w:rsidR="0024612F">
        <w:rPr>
          <w:i/>
        </w:rPr>
        <w:t>HUD</w:t>
      </w:r>
      <w:r w:rsidRPr="00000A75">
        <w:rPr>
          <w:i/>
        </w:rPr>
        <w:t xml:space="preserve">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w:t>
      </w:r>
    </w:p>
    <w:p w:rsidR="00000A75" w:rsidRPr="00000A75" w:rsidP="00000A75" w14:paraId="497D9A2C" w14:textId="77777777">
      <w:pPr>
        <w:spacing w:before="240" w:after="240"/>
        <w:ind w:left="2160"/>
        <w:rPr>
          <w:i/>
        </w:rPr>
      </w:pPr>
      <w:r w:rsidRPr="00000A75">
        <w:rPr>
          <w:i/>
        </w:rPr>
        <w:t>(7) Contract termination: debarment. A breach of the contract clauses in 29 CFR 5.5 may be grounds for termination of the contract, and for debarment as a contractor and a subcontractor as provided in 29 CFR 5.12.</w:t>
      </w:r>
    </w:p>
    <w:p w:rsidR="00000A75" w:rsidRPr="00000A75" w:rsidP="00000A75" w14:paraId="72906B04" w14:textId="77777777">
      <w:pPr>
        <w:spacing w:before="240" w:after="240"/>
        <w:ind w:left="2160"/>
        <w:rPr>
          <w:i/>
        </w:rPr>
      </w:pPr>
      <w:r w:rsidRPr="00000A75">
        <w:rPr>
          <w:i/>
        </w:rPr>
        <w:t>(8) Compliance with Davis-Bacon and Related Act requirements. All rulings and interpretations of the Davis-Bacon and Related Acts contained in 29 CFR parts 1, 3, and 5 are herein incorporated by reference in this contract.</w:t>
      </w:r>
    </w:p>
    <w:p w:rsidR="00000A75" w:rsidRPr="00000A75" w:rsidP="00000A75" w14:paraId="29665AE9" w14:textId="77777777">
      <w:pPr>
        <w:spacing w:before="240" w:after="240"/>
        <w:ind w:left="2160"/>
        <w:rPr>
          <w:i/>
        </w:rPr>
      </w:pPr>
      <w:r w:rsidRPr="00000A75">
        <w:rPr>
          <w:i/>
        </w:rP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rsidR="00000A75" w:rsidRPr="00000A75" w:rsidP="00000A75" w14:paraId="56BA6A32" w14:textId="77777777">
      <w:pPr>
        <w:spacing w:before="240" w:after="240"/>
        <w:ind w:left="2160"/>
        <w:rPr>
          <w:i/>
        </w:rPr>
      </w:pPr>
      <w:r w:rsidRPr="00000A75">
        <w:rPr>
          <w:i/>
        </w:rPr>
        <w:t xml:space="preserve">(10) Certification of eligibility. </w:t>
      </w:r>
    </w:p>
    <w:p w:rsidR="00000A75" w:rsidRPr="00000A75" w:rsidP="00000A75" w14:paraId="4888D9EE" w14:textId="7F13F7C9">
      <w:pPr>
        <w:spacing w:before="240" w:after="240"/>
        <w:ind w:left="2160"/>
        <w:rPr>
          <w:i/>
        </w:rPr>
      </w:pPr>
      <w:r w:rsidRPr="00000A75">
        <w:rPr>
          <w:i/>
        </w:rPr>
        <w:t xml:space="preserve">(i) By entering into this contract, the contractor certifies that neither it nor any person or firm who has an interest in the contractor's firm is a person or firm ineligible to be awarded Government contracts by virtue of 40 U.S.C. 3144(b) or </w:t>
      </w:r>
      <w:r w:rsidR="00F80060">
        <w:rPr>
          <w:i/>
        </w:rPr>
        <w:t>29 CFR</w:t>
      </w:r>
      <w:r w:rsidRPr="00000A75">
        <w:rPr>
          <w:i/>
        </w:rPr>
        <w:t xml:space="preserve"> 5.12(a).</w:t>
      </w:r>
    </w:p>
    <w:p w:rsidR="00000A75" w:rsidRPr="00000A75" w:rsidP="00000A75" w14:paraId="451D4A2A" w14:textId="76B7DE36">
      <w:pPr>
        <w:spacing w:before="240" w:after="240"/>
        <w:ind w:left="2160"/>
        <w:rPr>
          <w:i/>
        </w:rPr>
      </w:pPr>
      <w:r w:rsidRPr="00000A75">
        <w:rPr>
          <w:i/>
        </w:rPr>
        <w:t xml:space="preserve">(ii) No part of this contract shall be subcontracted to any person or firm ineligible for award of a Government contract by virtue of 40 U.S.C. 3144(b) or </w:t>
      </w:r>
      <w:r w:rsidR="00F80060">
        <w:rPr>
          <w:i/>
        </w:rPr>
        <w:t xml:space="preserve">29 CFR </w:t>
      </w:r>
      <w:r w:rsidRPr="00000A75">
        <w:rPr>
          <w:i/>
        </w:rPr>
        <w:t>5.12(a).</w:t>
      </w:r>
    </w:p>
    <w:p w:rsidR="00000A75" w:rsidRPr="00000A75" w:rsidP="00000A75" w14:paraId="0FB30AC6" w14:textId="77777777">
      <w:pPr>
        <w:spacing w:before="240" w:after="240"/>
        <w:ind w:left="2160"/>
        <w:rPr>
          <w:i/>
        </w:rPr>
      </w:pPr>
      <w:r w:rsidRPr="00000A75">
        <w:rPr>
          <w:i/>
        </w:rPr>
        <w:t>(iii) The penalty for making false statements is prescribed in the U.S. Code, Title 18 Crimes and Criminal Procedure, 18 U.S.C. 1001.</w:t>
      </w:r>
    </w:p>
    <w:p w:rsidR="00000A75" w:rsidRPr="00000A75" w:rsidP="00000A75" w14:paraId="62B0F56A" w14:textId="77777777">
      <w:pPr>
        <w:spacing w:before="240" w:after="240"/>
        <w:ind w:left="2160"/>
        <w:rPr>
          <w:i/>
        </w:rPr>
      </w:pPr>
      <w:r w:rsidRPr="00000A75">
        <w:rPr>
          <w:i/>
        </w:rPr>
        <w:t>(11)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000A75" w:rsidRPr="00000A75" w:rsidP="00000A75" w14:paraId="39C3D925" w14:textId="3D75F04A">
      <w:pPr>
        <w:spacing w:before="240" w:after="240"/>
        <w:ind w:left="2160"/>
        <w:rPr>
          <w:i/>
        </w:rPr>
      </w:pPr>
      <w:r w:rsidRPr="00000A75">
        <w:rPr>
          <w:i/>
        </w:rPr>
        <w:t>(i) Notifying any contractor of any conduct which the worker reasonably believes constitutes a violation of the DBA, Related Acts, or 29 CFR part 1</w:t>
      </w:r>
      <w:r w:rsidR="00DD1F36">
        <w:rPr>
          <w:i/>
        </w:rPr>
        <w:t>, 3,</w:t>
      </w:r>
      <w:r w:rsidRPr="00000A75">
        <w:rPr>
          <w:i/>
        </w:rPr>
        <w:t xml:space="preserve"> or </w:t>
      </w:r>
      <w:r w:rsidR="00DD1F36">
        <w:rPr>
          <w:i/>
        </w:rPr>
        <w:t>5</w:t>
      </w:r>
      <w:r w:rsidRPr="00000A75">
        <w:rPr>
          <w:i/>
        </w:rPr>
        <w:t>;</w:t>
      </w:r>
    </w:p>
    <w:p w:rsidR="00000A75" w:rsidRPr="00000A75" w:rsidP="00000A75" w14:paraId="296E4107" w14:textId="4CD5A45C">
      <w:pPr>
        <w:spacing w:before="240" w:after="240"/>
        <w:ind w:left="2160"/>
        <w:rPr>
          <w:i/>
        </w:rPr>
      </w:pPr>
      <w:r w:rsidRPr="00000A75">
        <w:rPr>
          <w:i/>
        </w:rPr>
        <w:t>(ii) Filing any complaint, initiating or causing to be initiated any proceeding, or otherwise asserting or seeking to assert on behalf of themselves or others any right or protection under the DBA, Related Acts,</w:t>
      </w:r>
      <w:r w:rsidR="001E6D80">
        <w:rPr>
          <w:i/>
        </w:rPr>
        <w:t xml:space="preserve"> </w:t>
      </w:r>
      <w:r w:rsidRPr="00000A75">
        <w:rPr>
          <w:i/>
        </w:rPr>
        <w:t>or 29 CFR part 1</w:t>
      </w:r>
      <w:r w:rsidR="001E6D80">
        <w:rPr>
          <w:i/>
        </w:rPr>
        <w:t>, 3,</w:t>
      </w:r>
      <w:r w:rsidRPr="00000A75">
        <w:rPr>
          <w:i/>
        </w:rPr>
        <w:t xml:space="preserve"> or </w:t>
      </w:r>
      <w:r w:rsidR="001E6D80">
        <w:rPr>
          <w:i/>
        </w:rPr>
        <w:t>5</w:t>
      </w:r>
      <w:r w:rsidRPr="00000A75">
        <w:rPr>
          <w:i/>
        </w:rPr>
        <w:t>;</w:t>
      </w:r>
    </w:p>
    <w:p w:rsidR="00000A75" w:rsidRPr="00000A75" w:rsidP="00000A75" w14:paraId="05C16231" w14:textId="46235A93">
      <w:pPr>
        <w:spacing w:before="240" w:after="240"/>
        <w:ind w:left="2160"/>
        <w:rPr>
          <w:i/>
        </w:rPr>
      </w:pPr>
      <w:r w:rsidRPr="00000A75">
        <w:rPr>
          <w:i/>
        </w:rPr>
        <w:t>(iii) Cooperating in any investigation or other compliance action, or testifying in any proceeding under the DBA, Related Acts,</w:t>
      </w:r>
      <w:r w:rsidR="001E6D80">
        <w:rPr>
          <w:i/>
        </w:rPr>
        <w:t xml:space="preserve"> </w:t>
      </w:r>
      <w:r w:rsidRPr="00000A75">
        <w:rPr>
          <w:i/>
        </w:rPr>
        <w:t>or 29 CFR part 1</w:t>
      </w:r>
      <w:r w:rsidR="001E6D80">
        <w:rPr>
          <w:i/>
        </w:rPr>
        <w:t>, 3,</w:t>
      </w:r>
      <w:r w:rsidRPr="00000A75">
        <w:rPr>
          <w:i/>
        </w:rPr>
        <w:t xml:space="preserve"> or </w:t>
      </w:r>
      <w:r w:rsidR="001E6D80">
        <w:rPr>
          <w:i/>
        </w:rPr>
        <w:t>5</w:t>
      </w:r>
      <w:r w:rsidRPr="00000A75">
        <w:rPr>
          <w:i/>
        </w:rPr>
        <w:t>; or</w:t>
      </w:r>
    </w:p>
    <w:p w:rsidR="00637D27" w:rsidRPr="004D7DE3" w:rsidP="00000A75" w14:paraId="399C4577" w14:textId="72F403D7">
      <w:pPr>
        <w:spacing w:before="240" w:after="240"/>
        <w:ind w:left="2160"/>
        <w:rPr>
          <w:i/>
        </w:rPr>
      </w:pPr>
      <w:r w:rsidRPr="00000A75">
        <w:rPr>
          <w:i/>
        </w:rPr>
        <w:t>(iv) Informing any other person about their rights under the DBA, Related Acts, or 29 CFR part 1</w:t>
      </w:r>
      <w:r w:rsidR="001E6D80">
        <w:rPr>
          <w:i/>
        </w:rPr>
        <w:t>, 3,</w:t>
      </w:r>
      <w:r w:rsidRPr="00000A75">
        <w:rPr>
          <w:i/>
        </w:rPr>
        <w:t xml:space="preserve"> or </w:t>
      </w:r>
      <w:r w:rsidR="00850BAF">
        <w:rPr>
          <w:i/>
        </w:rPr>
        <w:t>5</w:t>
      </w:r>
      <w:r w:rsidRPr="00000A75">
        <w:rPr>
          <w:i/>
        </w:rPr>
        <w:t>.</w:t>
      </w:r>
    </w:p>
    <w:p w:rsidR="005C46ED" w:rsidRPr="004D7DE3" w:rsidP="004D7DE3" w14:paraId="1688D9BF" w14:textId="65AA8C78">
      <w:pPr>
        <w:spacing w:before="240" w:after="240"/>
        <w:ind w:left="2160"/>
        <w:rPr>
          <w:i/>
        </w:rPr>
      </w:pPr>
      <w:r w:rsidRPr="004D7DE3">
        <w:rPr>
          <w:i/>
        </w:rPr>
        <w:t>(</w:t>
      </w:r>
      <w:r w:rsidRPr="004D7DE3" w:rsidR="00EB4494">
        <w:rPr>
          <w:i/>
        </w:rPr>
        <w:t>b</w:t>
      </w:r>
      <w:r w:rsidRPr="004D7DE3">
        <w:rPr>
          <w:i/>
        </w:rPr>
        <w:t xml:space="preserve">) </w:t>
      </w:r>
      <w:r w:rsidRPr="004D7DE3">
        <w:rPr>
          <w:i/>
          <w:u w:val="single"/>
        </w:rPr>
        <w:t>Contract Work Hours and Safety Standards Act.</w:t>
      </w:r>
      <w:r w:rsidRPr="004D7DE3">
        <w:rPr>
          <w:i/>
        </w:rPr>
        <w:t xml:space="preserve"> The provisions of this paragraph (</w:t>
      </w:r>
      <w:r w:rsidRPr="004D7DE3" w:rsidR="00EB4494">
        <w:rPr>
          <w:i/>
        </w:rPr>
        <w:t>b</w:t>
      </w:r>
      <w:r w:rsidRPr="004D7DE3">
        <w:rPr>
          <w:i/>
        </w:rPr>
        <w:t>) are applicable only where the amount of the prime contract exceeds $100,000.</w:t>
      </w:r>
      <w:r w:rsidRPr="004D7DE3" w:rsidR="00CE7E88">
        <w:rPr>
          <w:i/>
        </w:rPr>
        <w:t xml:space="preserve"> </w:t>
      </w:r>
      <w:r w:rsidRPr="004D7DE3">
        <w:rPr>
          <w:i/>
        </w:rPr>
        <w:t xml:space="preserve">As used in this paragraph, the terms “laborers” and “mechanics” include </w:t>
      </w:r>
      <w:r w:rsidRPr="004D7DE3" w:rsidR="00F637E3">
        <w:rPr>
          <w:i/>
        </w:rPr>
        <w:t>watch</w:t>
      </w:r>
      <w:r w:rsidR="00F637E3">
        <w:rPr>
          <w:i/>
        </w:rPr>
        <w:t>persons</w:t>
      </w:r>
      <w:r w:rsidRPr="004D7DE3" w:rsidR="00F637E3">
        <w:rPr>
          <w:i/>
        </w:rPr>
        <w:t xml:space="preserve"> </w:t>
      </w:r>
      <w:r w:rsidRPr="004D7DE3">
        <w:rPr>
          <w:i/>
        </w:rPr>
        <w:t>and guards.</w:t>
      </w:r>
    </w:p>
    <w:p w:rsidR="00433EDF" w:rsidRPr="00433EDF" w:rsidP="00433EDF" w14:paraId="154DA2AD" w14:textId="136459AA">
      <w:pPr>
        <w:spacing w:before="240" w:after="240"/>
        <w:ind w:left="2160"/>
        <w:rPr>
          <w:i/>
        </w:rPr>
      </w:pPr>
      <w:r w:rsidRPr="00433EDF">
        <w:rPr>
          <w:i/>
        </w:rPr>
        <w:t>(1) Overtime requirements. No contractor or subcontractor contracting for any part of the con</w:t>
      </w:r>
      <w:r w:rsidR="00A95643">
        <w:rPr>
          <w:i/>
        </w:rPr>
        <w:t>t</w:t>
      </w:r>
      <w:r w:rsidRPr="00433EDF">
        <w:rPr>
          <w:i/>
        </w:rPr>
        <w: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4648DC" w:rsidRPr="004D7DE3" w:rsidP="00433EDF" w14:paraId="7BC0C7D6" w14:textId="0430E126">
      <w:pPr>
        <w:spacing w:before="240" w:after="240"/>
        <w:ind w:left="2160"/>
        <w:rPr>
          <w:i/>
        </w:rPr>
      </w:pPr>
      <w:r w:rsidRPr="00433EDF">
        <w:rPr>
          <w:i/>
        </w:rPr>
        <w:t xml:space="preserve">(2) Violation; liability for unpaid wages; liquidated damages. In the event of any violation of the clause set forth in paragraph (b)(1) of this section the contractor and any subcontractor </w:t>
      </w:r>
      <w:r w:rsidRPr="00433EDF">
        <w:rPr>
          <w:i/>
        </w:rPr>
        <w:t>responsible therefor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paragraph (b)(1) of this section, in the sum of $33 for each calendar day on which such individual was required or permitted to work in excess of the standard workweek of forty hours without payment of the overtime wages required by the clause set forth in paragraph (b)(1).</w:t>
      </w:r>
    </w:p>
    <w:p w:rsidR="008B5B48" w:rsidRPr="008B5B48" w:rsidP="008B5B48" w14:paraId="3AC41637" w14:textId="77777777">
      <w:pPr>
        <w:spacing w:before="240" w:after="240"/>
        <w:ind w:left="2160"/>
        <w:rPr>
          <w:i/>
        </w:rPr>
      </w:pPr>
      <w:r w:rsidRPr="008B5B48">
        <w:rPr>
          <w:i/>
        </w:rPr>
        <w:t>(3) Withholding for unpaid wages and liquidated damages —</w:t>
      </w:r>
    </w:p>
    <w:p w:rsidR="008B5B48" w:rsidRPr="008B5B48" w:rsidP="008B5B48" w14:paraId="0F950DCF" w14:textId="73294CF3">
      <w:pPr>
        <w:spacing w:before="240" w:after="240"/>
        <w:ind w:left="2160"/>
        <w:rPr>
          <w:i/>
        </w:rPr>
      </w:pPr>
      <w:r w:rsidRPr="008B5B48">
        <w:rPr>
          <w:i/>
        </w:rPr>
        <w:t xml:space="preserve">(i) Withholding process. </w:t>
      </w:r>
      <w:r w:rsidR="004648DC">
        <w:rPr>
          <w:i/>
        </w:rPr>
        <w:t>HUD</w:t>
      </w:r>
      <w:r w:rsidRPr="008B5B48">
        <w:rPr>
          <w:i/>
        </w:rPr>
        <w:t xml:space="preserv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paragraph (b) on this contract, any other Federal contract with the same prime contractor, or any other federally assisted contract subject to the Contract Work Hours and Safety Standards Act that is held by the same prime contractor (as defined in </w:t>
      </w:r>
      <w:r w:rsidR="00856164">
        <w:rPr>
          <w:i/>
        </w:rPr>
        <w:t>29 CFR</w:t>
      </w:r>
      <w:r w:rsidRPr="008B5B48">
        <w:rPr>
          <w:i/>
        </w:rPr>
        <w:t xml:space="preserve"> 5.2).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w:t>
      </w:r>
    </w:p>
    <w:p w:rsidR="008B5B48" w:rsidRPr="008B5B48" w:rsidP="008B5B48" w14:paraId="643F672F" w14:textId="77777777">
      <w:pPr>
        <w:spacing w:before="240" w:after="240"/>
        <w:ind w:left="2160"/>
        <w:rPr>
          <w:i/>
        </w:rPr>
      </w:pPr>
      <w:r w:rsidRPr="008B5B48">
        <w:rPr>
          <w:i/>
        </w:rPr>
        <w:t>(ii) Priority to withheld funds. The Department has priority to funds withheld or to be withheld in accordance with paragraph (a)(2)(i) or (b)(3)(i) of this section, or both, over claims to those funds by:</w:t>
      </w:r>
    </w:p>
    <w:p w:rsidR="008B5B48" w:rsidRPr="008B5B48" w:rsidP="008B5B48" w14:paraId="6F665D9F" w14:textId="77777777">
      <w:pPr>
        <w:spacing w:before="240" w:after="240"/>
        <w:ind w:left="2160"/>
        <w:rPr>
          <w:i/>
        </w:rPr>
      </w:pPr>
      <w:r w:rsidRPr="008B5B48">
        <w:rPr>
          <w:i/>
        </w:rPr>
        <w:t>(A) A contractor's surety(ies), including without limitation performance bond sureties and payment bond sureties;</w:t>
      </w:r>
    </w:p>
    <w:p w:rsidR="008B5B48" w:rsidRPr="008B5B48" w:rsidP="008B5B48" w14:paraId="45229E03" w14:textId="77777777">
      <w:pPr>
        <w:spacing w:before="240" w:after="240"/>
        <w:ind w:left="2160"/>
        <w:rPr>
          <w:i/>
        </w:rPr>
      </w:pPr>
      <w:r w:rsidRPr="008B5B48">
        <w:rPr>
          <w:i/>
        </w:rPr>
        <w:t>(B) A contracting agency for its reprocurement costs;</w:t>
      </w:r>
    </w:p>
    <w:p w:rsidR="008B5B48" w:rsidRPr="008B5B48" w:rsidP="008B5B48" w14:paraId="5C14BFAA" w14:textId="77777777">
      <w:pPr>
        <w:spacing w:before="240" w:after="240"/>
        <w:ind w:left="2160"/>
        <w:rPr>
          <w:i/>
        </w:rPr>
      </w:pPr>
      <w:r w:rsidRPr="008B5B48">
        <w:rPr>
          <w:i/>
        </w:rPr>
        <w:t>(C) A trustee(s) (either a court-appointed trustee or a U.S. trustee, or both) in bankruptcy of a contractor, or a contractor's bankruptcy estate;</w:t>
      </w:r>
    </w:p>
    <w:p w:rsidR="008B5B48" w:rsidRPr="008B5B48" w:rsidP="008B5B48" w14:paraId="2309D026" w14:textId="77777777">
      <w:pPr>
        <w:spacing w:before="240" w:after="240"/>
        <w:ind w:left="2160"/>
        <w:rPr>
          <w:i/>
        </w:rPr>
      </w:pPr>
      <w:r w:rsidRPr="008B5B48">
        <w:rPr>
          <w:i/>
        </w:rPr>
        <w:t>(D) A contractor's assignee(s);</w:t>
      </w:r>
    </w:p>
    <w:p w:rsidR="008B5B48" w:rsidRPr="008B5B48" w:rsidP="008B5B48" w14:paraId="4A831127" w14:textId="77777777">
      <w:pPr>
        <w:spacing w:before="240" w:after="240"/>
        <w:ind w:left="2160"/>
        <w:rPr>
          <w:i/>
        </w:rPr>
      </w:pPr>
      <w:r w:rsidRPr="008B5B48">
        <w:rPr>
          <w:i/>
        </w:rPr>
        <w:t>(E) A contractor's successor(s); or</w:t>
      </w:r>
    </w:p>
    <w:p w:rsidR="008B5B48" w:rsidRPr="008B5B48" w:rsidP="008B5B48" w14:paraId="2135ECB9" w14:textId="77777777">
      <w:pPr>
        <w:spacing w:before="240" w:after="240"/>
        <w:ind w:left="2160"/>
        <w:rPr>
          <w:i/>
        </w:rPr>
      </w:pPr>
      <w:r w:rsidRPr="008B5B48">
        <w:rPr>
          <w:i/>
        </w:rPr>
        <w:t>(F) A claim asserted under the Prompt Payment Act, 31 U.S.C. 3901-3907.</w:t>
      </w:r>
    </w:p>
    <w:p w:rsidR="008B5B48" w:rsidRPr="008B5B48" w:rsidP="008B5B48" w14:paraId="2CC729BC" w14:textId="77777777">
      <w:pPr>
        <w:spacing w:before="240" w:after="240"/>
        <w:ind w:left="2160"/>
        <w:rPr>
          <w:i/>
        </w:rPr>
      </w:pPr>
      <w:r w:rsidRPr="008B5B48">
        <w:rPr>
          <w:i/>
        </w:rPr>
        <w:t>(4) Subcontracts. The contractor or subcontractor must insert in any subcontracts the clauses set forth in paragraphs (b)(1) through (5) of this section and a clause requiring the subcontractors to include these clauses in any lower tier subcontracts. The prime contractor is responsible for compliance by any subcontractor or lower tier subcontractor with the clauses set forth in paragraphs (b)(1) through (5).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rsidR="008B5B48" w:rsidRPr="008B5B48" w:rsidP="008B5B48" w14:paraId="6F98D16F" w14:textId="77777777">
      <w:pPr>
        <w:spacing w:before="240" w:after="240"/>
        <w:ind w:left="2160"/>
        <w:rPr>
          <w:i/>
        </w:rPr>
      </w:pPr>
      <w:r w:rsidRPr="008B5B48">
        <w:rPr>
          <w:i/>
        </w:rPr>
        <w:t>(5)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8B5B48" w:rsidRPr="008B5B48" w:rsidP="008B5B48" w14:paraId="54A77BBF" w14:textId="78E29F61">
      <w:pPr>
        <w:spacing w:before="240" w:after="240"/>
        <w:ind w:left="2160"/>
        <w:rPr>
          <w:i/>
        </w:rPr>
      </w:pPr>
      <w:r w:rsidRPr="008B5B48">
        <w:rPr>
          <w:i/>
        </w:rPr>
        <w:t xml:space="preserve">(i) Notifying any contractor of any conduct which the worker reasonably believes constitutes a violation of the Contract Work Hours and Safety Standards Act (CWHSSA) or its implementing regulations in </w:t>
      </w:r>
      <w:r w:rsidR="00995499">
        <w:rPr>
          <w:i/>
        </w:rPr>
        <w:t>29 CFR part 5</w:t>
      </w:r>
      <w:r w:rsidRPr="008B5B48">
        <w:rPr>
          <w:i/>
        </w:rPr>
        <w:t>;</w:t>
      </w:r>
    </w:p>
    <w:p w:rsidR="008B5B48" w:rsidRPr="008B5B48" w:rsidP="008B5B48" w14:paraId="384321EF" w14:textId="285BEAF5">
      <w:pPr>
        <w:spacing w:before="240" w:after="240"/>
        <w:ind w:left="2160"/>
        <w:rPr>
          <w:i/>
        </w:rPr>
      </w:pPr>
      <w:r w:rsidRPr="008B5B48">
        <w:rPr>
          <w:i/>
        </w:rPr>
        <w:t xml:space="preserve">(ii) Filing any complaint, initiating or causing to be initiated any proceeding, or otherwise asserting or seeking to assert on behalf of themselves or others any right or protection under CWHSSA or </w:t>
      </w:r>
      <w:r w:rsidR="00995499">
        <w:rPr>
          <w:i/>
        </w:rPr>
        <w:t>29 CFR</w:t>
      </w:r>
      <w:r w:rsidRPr="008B5B48">
        <w:rPr>
          <w:i/>
        </w:rPr>
        <w:t xml:space="preserve"> part</w:t>
      </w:r>
      <w:r w:rsidR="00995499">
        <w:rPr>
          <w:i/>
        </w:rPr>
        <w:t xml:space="preserve"> 5</w:t>
      </w:r>
      <w:r w:rsidRPr="008B5B48">
        <w:rPr>
          <w:i/>
        </w:rPr>
        <w:t>;</w:t>
      </w:r>
    </w:p>
    <w:p w:rsidR="008B5B48" w:rsidRPr="008B5B48" w:rsidP="008B5B48" w14:paraId="0279959C" w14:textId="288B0763">
      <w:pPr>
        <w:spacing w:before="240" w:after="240"/>
        <w:ind w:left="2160"/>
        <w:rPr>
          <w:i/>
        </w:rPr>
      </w:pPr>
      <w:r w:rsidRPr="008B5B48">
        <w:rPr>
          <w:i/>
        </w:rPr>
        <w:t xml:space="preserve">(iii) Cooperating in any investigation or other compliance action, or testifying in any proceeding under CWHSSA or </w:t>
      </w:r>
      <w:r w:rsidR="00995499">
        <w:rPr>
          <w:i/>
        </w:rPr>
        <w:t>29 CFR</w:t>
      </w:r>
      <w:r w:rsidRPr="008B5B48">
        <w:rPr>
          <w:i/>
        </w:rPr>
        <w:t xml:space="preserve"> part</w:t>
      </w:r>
      <w:r w:rsidR="00995499">
        <w:rPr>
          <w:i/>
        </w:rPr>
        <w:t xml:space="preserve"> 5</w:t>
      </w:r>
      <w:r w:rsidRPr="008B5B48">
        <w:rPr>
          <w:i/>
        </w:rPr>
        <w:t>; or</w:t>
      </w:r>
    </w:p>
    <w:p w:rsidR="00581423" w:rsidRPr="004D7DE3" w:rsidP="008B5B48" w14:paraId="09F54137" w14:textId="205F131E">
      <w:pPr>
        <w:spacing w:before="240" w:after="240"/>
        <w:ind w:left="2160"/>
        <w:rPr>
          <w:i/>
        </w:rPr>
      </w:pPr>
      <w:r w:rsidRPr="008B5B48">
        <w:rPr>
          <w:i/>
        </w:rPr>
        <w:t xml:space="preserve">(iv) Informing any other person about their rights under CWHSSA or </w:t>
      </w:r>
      <w:r w:rsidR="00995499">
        <w:rPr>
          <w:i/>
        </w:rPr>
        <w:t>29 CFR</w:t>
      </w:r>
      <w:r w:rsidRPr="008B5B48">
        <w:rPr>
          <w:i/>
        </w:rPr>
        <w:t xml:space="preserve"> part</w:t>
      </w:r>
      <w:r w:rsidR="00995499">
        <w:rPr>
          <w:i/>
        </w:rPr>
        <w:t xml:space="preserve"> 5</w:t>
      </w:r>
      <w:r w:rsidRPr="008B5B48">
        <w:rPr>
          <w:i/>
        </w:rPr>
        <w:t>.</w:t>
      </w:r>
    </w:p>
    <w:p w:rsidR="004D7DE3" w:rsidRPr="004D7DE3" w:rsidP="004D7DE3" w14:paraId="4DB4CD1A" w14:textId="77777777">
      <w:pPr>
        <w:spacing w:before="240" w:after="240"/>
        <w:ind w:left="2160"/>
        <w:rPr>
          <w:i/>
        </w:rPr>
      </w:pPr>
      <w:r w:rsidRPr="004D7DE3">
        <w:rPr>
          <w:i/>
        </w:rPr>
        <w:t>(</w:t>
      </w:r>
      <w:r w:rsidRPr="004D7DE3" w:rsidR="00EB4494">
        <w:rPr>
          <w:i/>
        </w:rPr>
        <w:t>c</w:t>
      </w:r>
      <w:r w:rsidRPr="004D7DE3">
        <w:rPr>
          <w:i/>
        </w:rPr>
        <w:t xml:space="preserve">) </w:t>
      </w:r>
      <w:r w:rsidRPr="004D7DE3">
        <w:rPr>
          <w:i/>
          <w:u w:val="single"/>
        </w:rPr>
        <w:t>Health and Safet</w:t>
      </w:r>
      <w:r w:rsidRPr="004D7DE3">
        <w:rPr>
          <w:i/>
        </w:rPr>
        <w:t>y. The provisions of this paragraph (</w:t>
      </w:r>
      <w:r w:rsidRPr="004D7DE3" w:rsidR="00EB4494">
        <w:rPr>
          <w:i/>
        </w:rPr>
        <w:t>c</w:t>
      </w:r>
      <w:r w:rsidRPr="004D7DE3">
        <w:rPr>
          <w:i/>
        </w:rPr>
        <w:t>) are applicable only where the amount of the prime contract exceeds $100,000.</w:t>
      </w:r>
    </w:p>
    <w:p w:rsidR="005C46ED" w:rsidRPr="004D7DE3" w:rsidP="00BB480D" w14:paraId="2C2D3A29" w14:textId="77777777">
      <w:pPr>
        <w:spacing w:before="240" w:after="240"/>
        <w:ind w:left="2520" w:hanging="360"/>
        <w:rPr>
          <w:i/>
        </w:rPr>
      </w:pPr>
      <w:r w:rsidRPr="004D7DE3">
        <w:rPr>
          <w:i/>
        </w:rPr>
        <w:t xml:space="preserve">(1) No laborer or mechanic shall be required to work in surroundings or under working conditions which are unsanitary, hazardous or dangerous to his health and safety as </w:t>
      </w:r>
      <w:r w:rsidR="00DA6412">
        <w:rPr>
          <w:i/>
        </w:rPr>
        <w:t>established</w:t>
      </w:r>
      <w:r w:rsidRPr="004D7DE3">
        <w:rPr>
          <w:i/>
        </w:rPr>
        <w:t xml:space="preserve"> under construction safety and health standards promulgated by the Secretary of Labor by regulation.</w:t>
      </w:r>
    </w:p>
    <w:p w:rsidR="005C46ED" w:rsidRPr="004D7DE3" w:rsidP="00BB480D" w14:paraId="5E1CF6F5" w14:textId="77777777">
      <w:pPr>
        <w:spacing w:before="240" w:after="240"/>
        <w:ind w:left="2520" w:hanging="360"/>
        <w:rPr>
          <w:i/>
        </w:rPr>
      </w:pPr>
      <w:r w:rsidRPr="004D7DE3">
        <w:rPr>
          <w:i/>
        </w:rPr>
        <w:t>(2)</w:t>
      </w:r>
      <w:r w:rsidRPr="004D7DE3" w:rsidR="00CE7E88">
        <w:rPr>
          <w:i/>
        </w:rPr>
        <w:t xml:space="preserve"> </w:t>
      </w:r>
      <w:r w:rsidRPr="004D7DE3">
        <w:rPr>
          <w:i/>
        </w:rPr>
        <w:t xml:space="preserve">The contractor shall comply with all regulations issue by the Secretary of Labor pursuant to Title 29 </w:t>
      </w:r>
      <w:r w:rsidRPr="004D7DE3" w:rsidR="00AD6D92">
        <w:rPr>
          <w:i/>
        </w:rPr>
        <w:t>p</w:t>
      </w:r>
      <w:r w:rsidRPr="004D7DE3">
        <w:rPr>
          <w:i/>
        </w:rPr>
        <w:t>art 1926 and failure to comply may result in imposition of sanctions pursuant to the Contract Work Hours and Safety Standards Act, 40 USC 3701 et seq.</w:t>
      </w:r>
    </w:p>
    <w:p w:rsidR="004D7DE3" w:rsidRPr="004D7DE3" w:rsidP="00BB480D" w14:paraId="183AFA76" w14:textId="77777777">
      <w:pPr>
        <w:spacing w:before="240" w:after="240"/>
        <w:ind w:left="2520" w:hanging="360"/>
        <w:rPr>
          <w:i/>
        </w:rPr>
      </w:pPr>
      <w:r w:rsidRPr="004D7DE3">
        <w:rPr>
          <w:i/>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5C46ED" w:rsidP="004D7DE3" w14:paraId="29A73219" w14:textId="5ADE2438">
      <w:pPr>
        <w:pStyle w:val="Style1"/>
      </w:pPr>
      <w:r>
        <w:t xml:space="preserve"> </w:t>
      </w:r>
      <w:r w:rsidR="00301A43">
        <w:t xml:space="preserve"> </w:t>
      </w:r>
      <w:r w:rsidR="004D7DE3">
        <w:t>Reserved</w:t>
      </w:r>
    </w:p>
    <w:p w:rsidR="005C46ED" w:rsidP="004D7DE3" w14:paraId="0E39A986" w14:textId="38F77846">
      <w:pPr>
        <w:pStyle w:val="Style1"/>
      </w:pPr>
      <w:r>
        <w:t xml:space="preserve"> </w:t>
      </w:r>
      <w:r w:rsidR="00301A43">
        <w:t xml:space="preserve"> </w:t>
      </w:r>
      <w:r w:rsidR="004D7DE3">
        <w:t>Reserved</w:t>
      </w:r>
    </w:p>
    <w:p w:rsidR="004D7DE3" w:rsidP="004D7DE3" w14:paraId="5529353F" w14:textId="022375C1">
      <w:pPr>
        <w:pStyle w:val="Style1"/>
      </w:pPr>
      <w:r>
        <w:t xml:space="preserve"> </w:t>
      </w:r>
      <w:r w:rsidR="00301A43">
        <w:t xml:space="preserve"> </w:t>
      </w:r>
      <w:r>
        <w:t>Reserved</w:t>
      </w:r>
    </w:p>
    <w:p w:rsidR="005C46ED" w:rsidRPr="00450381" w:rsidP="00450381" w14:paraId="28EC9B3D" w14:textId="70C255B7">
      <w:pPr>
        <w:pStyle w:val="Style1"/>
      </w:pPr>
      <w:r>
        <w:t xml:space="preserve"> </w:t>
      </w:r>
      <w:r w:rsidR="00301A43">
        <w:t xml:space="preserve"> </w:t>
      </w:r>
      <w:r w:rsidR="00450381">
        <w:t>Wage and Claims Adjustments</w:t>
      </w:r>
    </w:p>
    <w:p w:rsidR="005C46ED" w:rsidP="00450381" w14:paraId="180C3579" w14:textId="7FAFBEE1">
      <w:pPr>
        <w:spacing w:before="240" w:after="240"/>
        <w:ind w:left="720"/>
      </w:pPr>
      <w:r>
        <w:t>The owner shall be responsible for the correction of all violations under section 2.</w:t>
      </w:r>
      <w:r w:rsidR="009460A8">
        <w:t>3</w:t>
      </w:r>
      <w:r>
        <w:t>, including violations committed by other contractors.</w:t>
      </w:r>
      <w:r w:rsidR="00CE7E88">
        <w:t xml:space="preserve"> </w:t>
      </w:r>
      <w:r>
        <w:t>In cases where there is evidence of underpayment of salaries or wages to any laborers or mechanics (including apprentices and trainees) by the owner</w:t>
      </w:r>
      <w:r w:rsidR="006E1F64">
        <w:t xml:space="preserve"> or </w:t>
      </w:r>
      <w:r>
        <w:t>other contractor</w:t>
      </w:r>
      <w:r w:rsidR="006E1F64">
        <w:t xml:space="preserve"> o</w:t>
      </w:r>
      <w:r>
        <w:t>r a failure by the owner</w:t>
      </w:r>
      <w:r w:rsidR="006E1F64">
        <w:t xml:space="preserve"> or </w:t>
      </w:r>
      <w:r>
        <w:t>other contractor</w:t>
      </w:r>
      <w:r w:rsidR="006E1F64">
        <w:t xml:space="preserve"> </w:t>
      </w:r>
      <w:r>
        <w:t>to submit payrolls and related reports, the owner shall be required to place an amount in escrow, as determined by HUD sufficient to pay persons employed on the work covered by the Agreement the difference between the salaries or wages actually paid such employees for the total number of hours worked and the full amount of wages required under this Agreement, as well as an amount determined by HUD to be sufficient to satisfy any liability of the owner or other contractor for liquidated damages pursuant to section 2.</w:t>
      </w:r>
      <w:r w:rsidR="009460A8">
        <w:t>3</w:t>
      </w:r>
      <w:r>
        <w:t>.</w:t>
      </w:r>
      <w:r w:rsidR="00CE7E88">
        <w:t xml:space="preserve"> </w:t>
      </w:r>
      <w:r>
        <w:t xml:space="preserve">The </w:t>
      </w:r>
      <w:r>
        <w:t>amounts withheld may be disbursed by HUD for and on account of the owner or other contractor to the respective employees to whom they are due, and to the Federal Government in satisfaction of liquidated damages under section 2.</w:t>
      </w:r>
      <w:r w:rsidR="009460A8">
        <w:t>3</w:t>
      </w:r>
      <w:r>
        <w:t>.</w:t>
      </w:r>
    </w:p>
    <w:p w:rsidR="005C46ED" w:rsidRPr="00450381" w:rsidP="00450381" w14:paraId="276C3348" w14:textId="20FCDA36">
      <w:pPr>
        <w:pStyle w:val="Style1"/>
      </w:pPr>
      <w:r>
        <w:t xml:space="preserve"> </w:t>
      </w:r>
      <w:r w:rsidR="00301A43">
        <w:t xml:space="preserve"> </w:t>
      </w:r>
      <w:r w:rsidRPr="00450381" w:rsidR="00450381">
        <w:t>Reserved</w:t>
      </w:r>
    </w:p>
    <w:p w:rsidR="005C46ED" w:rsidP="00450381" w14:paraId="7CF82034" w14:textId="746CB8E4">
      <w:pPr>
        <w:pStyle w:val="Style1"/>
      </w:pPr>
      <w:r>
        <w:t xml:space="preserve"> </w:t>
      </w:r>
      <w:r w:rsidR="00301A43">
        <w:t xml:space="preserve"> </w:t>
      </w:r>
      <w:r w:rsidR="00450381">
        <w:t>Evidence of Unit(s) Completion; Escrow</w:t>
      </w:r>
    </w:p>
    <w:p w:rsidR="00450381" w:rsidP="00CE7E88" w14:paraId="55F85CEE" w14:textId="66896CCC">
      <w:pPr>
        <w:numPr>
          <w:ilvl w:val="0"/>
          <w:numId w:val="11"/>
        </w:numPr>
        <w:spacing w:before="240" w:after="240"/>
        <w:ind w:left="1440" w:hanging="720"/>
      </w:pPr>
      <w:r>
        <w:t xml:space="preserve">The owner shall evidence the completion of the unit(s) by furnishing the PHA, in addition to the requirements listed in Part </w:t>
      </w:r>
      <w:r w:rsidR="00F90734">
        <w:t>I</w:t>
      </w:r>
      <w:r>
        <w:t xml:space="preserve"> of this Agreement, a certification of compliance with the provisions of sections 2.</w:t>
      </w:r>
      <w:r w:rsidR="004C3FA6">
        <w:t>3</w:t>
      </w:r>
      <w:r>
        <w:t xml:space="preserve"> and 2.</w:t>
      </w:r>
      <w:r w:rsidR="004C3FA6">
        <w:t>7</w:t>
      </w:r>
      <w:r w:rsidR="002D0B69">
        <w:t xml:space="preserve"> </w:t>
      </w:r>
      <w:r>
        <w:t>of</w:t>
      </w:r>
      <w:r w:rsidR="002D0B69">
        <w:t xml:space="preserve"> </w:t>
      </w:r>
      <w:r>
        <w:t xml:space="preserve">this Agreement, and </w:t>
      </w:r>
      <w:r w:rsidR="009D2188">
        <w:t xml:space="preserve">a certification </w:t>
      </w:r>
      <w:r>
        <w:t>that to the best of the owner’s knowledge and belief there are no claims of underpayment to laborers or mechanics in alleged violation of these provisions of the Agreement. In the event there are any such pending claims to the knowledge of the PHA or HUD, the owner will place a sufficient amount in escrow, as directed by the PHA or HUD, to assure such payments.</w:t>
      </w:r>
    </w:p>
    <w:p w:rsidR="004D7DE3" w:rsidP="00CE7E88" w14:paraId="341201FC" w14:textId="2CEC44B3">
      <w:pPr>
        <w:numPr>
          <w:ilvl w:val="0"/>
          <w:numId w:val="11"/>
        </w:numPr>
        <w:spacing w:before="240" w:after="240"/>
        <w:ind w:left="1440" w:hanging="720"/>
      </w:pPr>
      <w:r>
        <w:t>The escrows required under this section and section 2.</w:t>
      </w:r>
      <w:r w:rsidR="004C3FA6">
        <w:t>7</w:t>
      </w:r>
      <w:r>
        <w:t xml:space="preserve"> shall be paid to HUD, as escrowee, or to an escrowee designated by HUD, and the conditions and manner of releasing such escrows shall be </w:t>
      </w:r>
      <w:r w:rsidR="005E3F2A">
        <w:t>designated and approved by HUD</w:t>
      </w:r>
      <w:r>
        <w:t>.</w:t>
      </w:r>
    </w:p>
    <w:p w:rsidR="00997EB6" w:rsidP="00997EB6" w14:paraId="74A2F9C0" w14:textId="77777777">
      <w:pPr>
        <w:pStyle w:val="Style1"/>
        <w:ind w:left="720" w:hanging="720"/>
      </w:pPr>
      <w:r>
        <w:t>Flood Insurance</w:t>
      </w:r>
    </w:p>
    <w:p w:rsidR="00997EB6" w:rsidRPr="00675630" w:rsidP="00997EB6" w14:paraId="2B54241A" w14:textId="245ED2C2">
      <w:pPr>
        <w:spacing w:before="240" w:after="240"/>
        <w:ind w:left="720"/>
      </w:pPr>
      <w:r>
        <w:rPr>
          <w:color w:val="000000"/>
        </w:rPr>
        <w:t xml:space="preserve">If the project is located in an area that has been identified by the Federal Emergency Management Agency as an area having special flood hazards and if the sale of flood insurance has been made available under the National Flood Insurance Program, the owner agrees that: </w:t>
      </w:r>
      <w:r>
        <w:rPr>
          <w:color w:val="000080"/>
          <w:szCs w:val="20"/>
        </w:rPr>
        <w:t xml:space="preserve">(1) </w:t>
      </w:r>
      <w:r>
        <w:rPr>
          <w:color w:val="000000"/>
        </w:rPr>
        <w:t xml:space="preserve">the project will be covered, </w:t>
      </w:r>
      <w:r>
        <w:t>during the life of the property,</w:t>
      </w:r>
      <w:r>
        <w:rPr>
          <w:color w:val="000080"/>
          <w:szCs w:val="20"/>
        </w:rPr>
        <w:t xml:space="preserve"> </w:t>
      </w:r>
      <w:r>
        <w:rPr>
          <w:color w:val="000000"/>
        </w:rPr>
        <w:t>by flood insurance in an amount at least equal to its development or project cost (less estimated land cost) or to the limit of coverage made available with respect to the particular type of property under the National Flood Insurance Act of 1968, whichever is less</w:t>
      </w:r>
      <w:r>
        <w:rPr>
          <w:color w:val="000080"/>
          <w:szCs w:val="20"/>
        </w:rPr>
        <w:t xml:space="preserve">; </w:t>
      </w:r>
      <w:r>
        <w:t>and (2) that it will advise any prospective purchaser or transferee of the property in writing of the continuing statutory requirement to maintain such flood insurance during the life of the</w:t>
      </w:r>
      <w:r>
        <w:rPr>
          <w:color w:val="000080"/>
          <w:szCs w:val="20"/>
        </w:rPr>
        <w:t xml:space="preserve"> </w:t>
      </w:r>
      <w:r>
        <w:t>property.</w:t>
      </w:r>
    </w:p>
    <w:p w:rsidR="005C46ED" w:rsidRPr="00450381" w:rsidP="00450381" w14:paraId="69AFB086" w14:textId="74E6FB47">
      <w:pPr>
        <w:spacing w:before="240" w:after="240"/>
        <w:ind w:left="720"/>
        <w:rPr>
          <w:color w:val="000000"/>
        </w:rPr>
      </w:pPr>
    </w:p>
    <w:sectPr w:rsidSect="001B709F">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54991D72" w14:textId="77777777">
    <w:pPr>
      <w:pStyle w:val="Footer"/>
      <w:pBdr>
        <w:bottom w:val="single" w:sz="6" w:space="1" w:color="auto"/>
      </w:pBdr>
      <w:jc w:val="center"/>
    </w:pPr>
  </w:p>
  <w:p w:rsidR="00EE64E8" w:rsidRPr="00EE64E8" w:rsidP="326BB5C2" w14:paraId="110B787B" w14:textId="4E1B0009">
    <w:pPr>
      <w:pStyle w:val="Footer"/>
      <w:rPr>
        <w:b/>
        <w:bCs/>
        <w:sz w:val="20"/>
        <w:szCs w:val="20"/>
      </w:rPr>
    </w:pPr>
    <w:r>
      <w:rPr>
        <w:sz w:val="20"/>
        <w:szCs w:val="20"/>
      </w:rPr>
      <w:tab/>
    </w:r>
    <w:r>
      <w:rPr>
        <w:sz w:val="20"/>
        <w:szCs w:val="20"/>
      </w:rPr>
      <w:tab/>
    </w:r>
    <w:r w:rsidRPr="326BB5C2" w:rsidR="326BB5C2">
      <w:rPr>
        <w:b/>
        <w:bCs/>
        <w:sz w:val="20"/>
        <w:szCs w:val="20"/>
      </w:rPr>
      <w:t>Agreement to Enter into HAP Contract</w:t>
    </w:r>
  </w:p>
  <w:p w:rsidR="00EB4D32" w:rsidRPr="00EE64E8" w:rsidP="00EB4D32" w14:paraId="0019C6E7" w14:textId="77777777">
    <w:pPr>
      <w:pStyle w:val="Footer"/>
      <w:rPr>
        <w:b/>
        <w:sz w:val="20"/>
        <w:szCs w:val="20"/>
      </w:rPr>
    </w:pPr>
    <w:r w:rsidRPr="00EE64E8">
      <w:rPr>
        <w:b/>
        <w:sz w:val="20"/>
        <w:szCs w:val="20"/>
      </w:rPr>
      <w:tab/>
    </w:r>
    <w:r w:rsidRPr="00EE64E8">
      <w:rPr>
        <w:b/>
        <w:sz w:val="20"/>
        <w:szCs w:val="20"/>
      </w:rPr>
      <w:tab/>
    </w:r>
    <w:r w:rsidRPr="00EE64E8">
      <w:rPr>
        <w:b/>
        <w:sz w:val="20"/>
        <w:szCs w:val="20"/>
      </w:rPr>
      <w:t>HUD 52531</w:t>
    </w:r>
    <w:r w:rsidRPr="00EE64E8" w:rsidR="00C20F1C">
      <w:rPr>
        <w:b/>
        <w:sz w:val="20"/>
        <w:szCs w:val="20"/>
      </w:rPr>
      <w:t>B</w:t>
    </w:r>
    <w:r w:rsidRPr="00EE64E8">
      <w:rPr>
        <w:b/>
        <w:sz w:val="20"/>
        <w:szCs w:val="20"/>
      </w:rPr>
      <w:t>, Part 2 of 2</w:t>
    </w:r>
  </w:p>
  <w:p w:rsidR="00475526" w:rsidRPr="00EE64E8" w:rsidP="00EB4D32" w14:paraId="77F03294" w14:textId="77777777">
    <w:pPr>
      <w:pStyle w:val="Footer"/>
      <w:rPr>
        <w:b/>
        <w:sz w:val="20"/>
        <w:szCs w:val="20"/>
      </w:rPr>
    </w:pPr>
    <w:r w:rsidRPr="00EE64E8">
      <w:rPr>
        <w:b/>
        <w:sz w:val="20"/>
        <w:szCs w:val="20"/>
      </w:rPr>
      <w:t>Previous Editions are obsolete</w:t>
    </w:r>
    <w:r w:rsidRPr="00EE64E8" w:rsidR="00EE64E8">
      <w:rPr>
        <w:b/>
        <w:sz w:val="20"/>
        <w:szCs w:val="20"/>
      </w:rPr>
      <w:t xml:space="preserve"> </w:t>
    </w:r>
    <w:r w:rsidRPr="00EE64E8" w:rsidR="00EE64E8">
      <w:rPr>
        <w:b/>
        <w:sz w:val="20"/>
        <w:szCs w:val="20"/>
      </w:rPr>
      <w:tab/>
    </w:r>
    <w:r w:rsidRPr="00EE64E8" w:rsidR="00EE64E8">
      <w:rPr>
        <w:b/>
        <w:sz w:val="20"/>
        <w:szCs w:val="20"/>
      </w:rPr>
      <w:tab/>
      <w:t xml:space="preserve">Page </w:t>
    </w:r>
    <w:r w:rsidRPr="00EE64E8" w:rsidR="00EE64E8">
      <w:rPr>
        <w:b/>
        <w:sz w:val="20"/>
        <w:szCs w:val="20"/>
      </w:rPr>
      <w:fldChar w:fldCharType="begin"/>
    </w:r>
    <w:r w:rsidRPr="00EE64E8" w:rsidR="00EE64E8">
      <w:rPr>
        <w:b/>
        <w:sz w:val="20"/>
        <w:szCs w:val="20"/>
      </w:rPr>
      <w:instrText xml:space="preserve"> PAGE </w:instrText>
    </w:r>
    <w:r w:rsidRPr="00EE64E8" w:rsidR="00EE64E8">
      <w:rPr>
        <w:b/>
        <w:sz w:val="20"/>
        <w:szCs w:val="20"/>
      </w:rPr>
      <w:fldChar w:fldCharType="separate"/>
    </w:r>
    <w:r w:rsidRPr="00EE64E8" w:rsidR="00EE64E8">
      <w:rPr>
        <w:b/>
        <w:sz w:val="20"/>
        <w:szCs w:val="20"/>
      </w:rPr>
      <w:t>2</w:t>
    </w:r>
    <w:r w:rsidRPr="00EE64E8" w:rsidR="00EE64E8">
      <w:rPr>
        <w:b/>
        <w:sz w:val="20"/>
        <w:szCs w:val="20"/>
      </w:rPr>
      <w:fldChar w:fldCharType="end"/>
    </w:r>
    <w:r w:rsidRPr="00EE64E8" w:rsidR="00EE64E8">
      <w:rPr>
        <w:b/>
        <w:sz w:val="20"/>
        <w:szCs w:val="20"/>
      </w:rPr>
      <w:t xml:space="preserve"> of </w:t>
    </w:r>
    <w:r w:rsidRPr="00EE64E8" w:rsidR="00EE64E8">
      <w:rPr>
        <w:b/>
        <w:sz w:val="20"/>
        <w:szCs w:val="20"/>
      </w:rPr>
      <w:fldChar w:fldCharType="begin"/>
    </w:r>
    <w:r w:rsidRPr="00EE64E8" w:rsidR="00EE64E8">
      <w:rPr>
        <w:b/>
        <w:sz w:val="20"/>
        <w:szCs w:val="20"/>
      </w:rPr>
      <w:instrText xml:space="preserve"> NUMPAGES </w:instrText>
    </w:r>
    <w:r w:rsidRPr="00EE64E8" w:rsidR="00EE64E8">
      <w:rPr>
        <w:b/>
        <w:sz w:val="20"/>
        <w:szCs w:val="20"/>
      </w:rPr>
      <w:fldChar w:fldCharType="separate"/>
    </w:r>
    <w:r w:rsidRPr="00EE64E8" w:rsidR="00EE64E8">
      <w:rPr>
        <w:b/>
        <w:sz w:val="20"/>
        <w:szCs w:val="20"/>
      </w:rPr>
      <w:t>17</w:t>
    </w:r>
    <w:r w:rsidRPr="00EE64E8" w:rsidR="00EE64E8">
      <w:rPr>
        <w:b/>
        <w:sz w:val="20"/>
        <w:szCs w:val="20"/>
      </w:rPr>
      <w:fldChar w:fldCharType="end"/>
    </w:r>
  </w:p>
  <w:p w:rsidR="00EE64E8" w:rsidRPr="00EE64E8" w:rsidP="00EB4D32" w14:paraId="54D14D7A" w14:textId="1A28085B">
    <w:pPr>
      <w:pStyle w:val="Footer"/>
      <w:rPr>
        <w:b/>
        <w:sz w:val="20"/>
        <w:szCs w:val="20"/>
      </w:rPr>
    </w:pPr>
    <w:r w:rsidRPr="00EE64E8">
      <w:rPr>
        <w:b/>
        <w:sz w:val="20"/>
        <w:szCs w:val="20"/>
      </w:rPr>
      <w:tab/>
    </w:r>
    <w:r w:rsidRPr="00EE64E8">
      <w:rPr>
        <w:b/>
        <w:sz w:val="20"/>
        <w:szCs w:val="20"/>
      </w:rPr>
      <w:tab/>
      <w:t>(</w:t>
    </w:r>
    <w:r w:rsidR="00AE7D07">
      <w:rPr>
        <w:b/>
        <w:sz w:val="20"/>
        <w:szCs w:val="20"/>
      </w:rPr>
      <w:t>XX/XXXX</w:t>
    </w:r>
    <w:r w:rsidRPr="00EE64E8">
      <w:rPr>
        <w: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0761E33A" w14:textId="77777777">
    <w:pPr>
      <w:pStyle w:val="Footer"/>
      <w:pBdr>
        <w:bottom w:val="single" w:sz="6" w:space="1" w:color="auto"/>
      </w:pBdr>
      <w:jc w:val="center"/>
    </w:pPr>
  </w:p>
  <w:p w:rsidR="001B1F4F" w:rsidRPr="00EE64E8" w:rsidP="326BB5C2" w14:paraId="5156DDB8" w14:textId="1C421237">
    <w:pPr>
      <w:pStyle w:val="Footer"/>
      <w:rPr>
        <w:b/>
        <w:bCs/>
        <w:sz w:val="20"/>
        <w:szCs w:val="20"/>
      </w:rPr>
    </w:pPr>
    <w:r>
      <w:rPr>
        <w:sz w:val="20"/>
        <w:szCs w:val="20"/>
      </w:rPr>
      <w:tab/>
    </w:r>
    <w:r>
      <w:rPr>
        <w:sz w:val="20"/>
        <w:szCs w:val="20"/>
      </w:rPr>
      <w:tab/>
    </w:r>
    <w:r w:rsidRPr="326BB5C2" w:rsidR="326BB5C2">
      <w:rPr>
        <w:b/>
        <w:bCs/>
        <w:sz w:val="20"/>
        <w:szCs w:val="20"/>
      </w:rPr>
      <w:t>Agreement to Enter into HAP Contract</w:t>
    </w:r>
  </w:p>
  <w:p w:rsidR="001B1F4F" w:rsidRPr="00EE64E8" w:rsidP="00EB4D32" w14:paraId="0C84B7C9" w14:textId="77777777">
    <w:pPr>
      <w:pStyle w:val="Footer"/>
      <w:rPr>
        <w:b/>
        <w:sz w:val="20"/>
        <w:szCs w:val="20"/>
      </w:rPr>
    </w:pPr>
    <w:r w:rsidRPr="00EE64E8">
      <w:rPr>
        <w:b/>
        <w:sz w:val="20"/>
        <w:szCs w:val="20"/>
      </w:rPr>
      <w:tab/>
    </w:r>
    <w:r w:rsidRPr="00EE64E8">
      <w:rPr>
        <w:b/>
        <w:sz w:val="20"/>
        <w:szCs w:val="20"/>
      </w:rPr>
      <w:tab/>
    </w:r>
    <w:r w:rsidRPr="00EE64E8" w:rsidR="00EB4D32">
      <w:rPr>
        <w:b/>
        <w:sz w:val="20"/>
        <w:szCs w:val="20"/>
      </w:rPr>
      <w:t>HUD 52531</w:t>
    </w:r>
    <w:r w:rsidRPr="00EE64E8" w:rsidR="00C20F1C">
      <w:rPr>
        <w:b/>
        <w:sz w:val="20"/>
        <w:szCs w:val="20"/>
      </w:rPr>
      <w:t>B</w:t>
    </w:r>
    <w:r w:rsidRPr="00EE64E8">
      <w:rPr>
        <w:b/>
        <w:sz w:val="20"/>
        <w:szCs w:val="20"/>
      </w:rPr>
      <w:t>, Part 2 of 2</w:t>
    </w:r>
  </w:p>
  <w:p w:rsidR="00EB4D32" w:rsidRPr="00EE64E8" w:rsidP="00EB4D32" w14:paraId="5A8B48A0" w14:textId="77777777">
    <w:pPr>
      <w:pStyle w:val="Footer"/>
      <w:rPr>
        <w:b/>
        <w:sz w:val="20"/>
        <w:szCs w:val="20"/>
      </w:rPr>
    </w:pPr>
    <w:r w:rsidRPr="00EE64E8">
      <w:rPr>
        <w:b/>
        <w:sz w:val="20"/>
        <w:szCs w:val="20"/>
      </w:rPr>
      <w:t xml:space="preserve">Previous Editions are obsolete </w:t>
    </w:r>
    <w:r w:rsidRPr="00EE64E8">
      <w:rPr>
        <w:b/>
        <w:sz w:val="20"/>
        <w:szCs w:val="20"/>
      </w:rPr>
      <w:tab/>
    </w:r>
    <w:r w:rsidRPr="00EE64E8">
      <w:rPr>
        <w:b/>
        <w:sz w:val="20"/>
        <w:szCs w:val="20"/>
      </w:rPr>
      <w:tab/>
    </w:r>
    <w:r w:rsidRPr="00EE64E8" w:rsidR="001B1F4F">
      <w:rPr>
        <w:b/>
        <w:sz w:val="20"/>
        <w:szCs w:val="20"/>
      </w:rPr>
      <w:t xml:space="preserve">Page </w:t>
    </w:r>
    <w:r w:rsidRPr="00EE64E8" w:rsidR="001B1F4F">
      <w:rPr>
        <w:b/>
        <w:sz w:val="20"/>
        <w:szCs w:val="20"/>
      </w:rPr>
      <w:fldChar w:fldCharType="begin"/>
    </w:r>
    <w:r w:rsidRPr="00EE64E8" w:rsidR="001B1F4F">
      <w:rPr>
        <w:b/>
        <w:sz w:val="20"/>
        <w:szCs w:val="20"/>
      </w:rPr>
      <w:instrText xml:space="preserve"> PAGE </w:instrText>
    </w:r>
    <w:r w:rsidRPr="00EE64E8" w:rsidR="001B1F4F">
      <w:rPr>
        <w:b/>
        <w:sz w:val="20"/>
        <w:szCs w:val="20"/>
      </w:rPr>
      <w:fldChar w:fldCharType="separate"/>
    </w:r>
    <w:r w:rsidRPr="00EE64E8" w:rsidR="001B1F4F">
      <w:rPr>
        <w:b/>
        <w:sz w:val="20"/>
        <w:szCs w:val="20"/>
      </w:rPr>
      <w:t>1</w:t>
    </w:r>
    <w:r w:rsidRPr="00EE64E8" w:rsidR="001B1F4F">
      <w:rPr>
        <w:b/>
        <w:sz w:val="20"/>
        <w:szCs w:val="20"/>
      </w:rPr>
      <w:fldChar w:fldCharType="end"/>
    </w:r>
    <w:r w:rsidRPr="00EE64E8" w:rsidR="001B1F4F">
      <w:rPr>
        <w:b/>
        <w:sz w:val="20"/>
        <w:szCs w:val="20"/>
      </w:rPr>
      <w:t xml:space="preserve"> of </w:t>
    </w:r>
    <w:r w:rsidRPr="00EE64E8" w:rsidR="001B1F4F">
      <w:rPr>
        <w:b/>
        <w:sz w:val="20"/>
        <w:szCs w:val="20"/>
      </w:rPr>
      <w:fldChar w:fldCharType="begin"/>
    </w:r>
    <w:r w:rsidRPr="00EE64E8" w:rsidR="001B1F4F">
      <w:rPr>
        <w:b/>
        <w:sz w:val="20"/>
        <w:szCs w:val="20"/>
      </w:rPr>
      <w:instrText xml:space="preserve"> NUMPAGES </w:instrText>
    </w:r>
    <w:r w:rsidRPr="00EE64E8" w:rsidR="001B1F4F">
      <w:rPr>
        <w:b/>
        <w:sz w:val="20"/>
        <w:szCs w:val="20"/>
      </w:rPr>
      <w:fldChar w:fldCharType="separate"/>
    </w:r>
    <w:r w:rsidRPr="00EE64E8" w:rsidR="001B1F4F">
      <w:rPr>
        <w:b/>
        <w:sz w:val="20"/>
        <w:szCs w:val="20"/>
      </w:rPr>
      <w:t>16</w:t>
    </w:r>
    <w:r w:rsidRPr="00EE64E8" w:rsidR="001B1F4F">
      <w:rPr>
        <w:b/>
        <w:sz w:val="20"/>
        <w:szCs w:val="20"/>
      </w:rPr>
      <w:fldChar w:fldCharType="end"/>
    </w:r>
  </w:p>
  <w:p w:rsidR="00475526" w:rsidRPr="00EE64E8" w:rsidP="00EB4D32" w14:paraId="2C6DFB37" w14:textId="50B58FFD">
    <w:pPr>
      <w:pStyle w:val="Footer"/>
      <w:rPr>
        <w:b/>
        <w:sz w:val="20"/>
        <w:szCs w:val="20"/>
      </w:rPr>
    </w:pPr>
    <w:r w:rsidRPr="00EE64E8">
      <w:rPr>
        <w:b/>
        <w:sz w:val="20"/>
        <w:szCs w:val="20"/>
      </w:rPr>
      <w:tab/>
    </w:r>
    <w:r w:rsidRPr="00EE64E8">
      <w:rPr>
        <w:b/>
        <w:sz w:val="20"/>
        <w:szCs w:val="20"/>
      </w:rPr>
      <w:tab/>
    </w:r>
    <w:r w:rsidRPr="00EE64E8" w:rsidR="00EE64E8">
      <w:rPr>
        <w:b/>
        <w:sz w:val="20"/>
        <w:szCs w:val="20"/>
      </w:rPr>
      <w:t>(</w:t>
    </w:r>
    <w:r w:rsidR="00AE7D07">
      <w:rPr>
        <w:b/>
        <w:sz w:val="20"/>
        <w:szCs w:val="20"/>
      </w:rPr>
      <w:t>XX/XXXX</w:t>
    </w:r>
    <w:r w:rsidRPr="00EE64E8" w:rsidR="00EE64E8">
      <w:rPr>
        <w:b/>
        <w:sz w:val="20"/>
        <w:szCs w:val="20"/>
      </w:rPr>
      <w:t>)</w:t>
    </w:r>
  </w:p>
  <w:p w:rsidR="00EE64E8" w14:paraId="124B45B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5755F66D" w14:textId="77777777" w:rsidTr="043449FC">
      <w:tblPrEx>
        <w:tblW w:w="0" w:type="auto"/>
        <w:tblLayout w:type="fixed"/>
        <w:tblLook w:val="06A0"/>
      </w:tblPrEx>
      <w:trPr>
        <w:trHeight w:val="300"/>
      </w:trPr>
      <w:tc>
        <w:tcPr>
          <w:tcW w:w="2880" w:type="dxa"/>
        </w:tcPr>
        <w:p w:rsidR="043449FC" w:rsidP="043449FC" w14:paraId="5E4999E6" w14:textId="02B3A618">
          <w:pPr>
            <w:pStyle w:val="Header"/>
            <w:ind w:left="-115"/>
            <w:jc w:val="left"/>
          </w:pPr>
        </w:p>
      </w:tc>
      <w:tc>
        <w:tcPr>
          <w:tcW w:w="2880" w:type="dxa"/>
        </w:tcPr>
        <w:p w:rsidR="043449FC" w:rsidP="043449FC" w14:paraId="715842E8" w14:textId="3FA7E192">
          <w:pPr>
            <w:pStyle w:val="Header"/>
            <w:jc w:val="center"/>
          </w:pPr>
        </w:p>
      </w:tc>
      <w:tc>
        <w:tcPr>
          <w:tcW w:w="2880" w:type="dxa"/>
        </w:tcPr>
        <w:p w:rsidR="043449FC" w:rsidP="043449FC" w14:paraId="0648B23C" w14:textId="34843C2E">
          <w:pPr>
            <w:pStyle w:val="Header"/>
            <w:ind w:right="-115"/>
            <w:jc w:val="right"/>
          </w:pPr>
        </w:p>
      </w:tc>
    </w:tr>
  </w:tbl>
  <w:p w:rsidR="043449FC" w:rsidP="043449FC" w14:paraId="67249931" w14:textId="37118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09F" w:rsidP="00DC16A6" w14:paraId="29B8D63C" w14:textId="724E3357">
    <w:pPr>
      <w:jc w:val="right"/>
      <w:rPr>
        <w:sz w:val="20"/>
        <w:szCs w:val="20"/>
      </w:rPr>
    </w:pPr>
    <w:r w:rsidRPr="00DC16A6">
      <w:rPr>
        <w:sz w:val="20"/>
        <w:szCs w:val="20"/>
      </w:rPr>
      <w:t>OMB</w:t>
    </w:r>
    <w:r>
      <w:rPr>
        <w:sz w:val="20"/>
        <w:szCs w:val="20"/>
      </w:rPr>
      <w:t xml:space="preserve"> Approval No. 2577–0169</w:t>
    </w:r>
  </w:p>
  <w:p w:rsidR="00DC16A6" w:rsidRPr="00DC16A6" w:rsidP="00DC16A6" w14:paraId="32FF890D" w14:textId="7116560B">
    <w:pPr>
      <w:jc w:val="right"/>
      <w:rPr>
        <w:sz w:val="20"/>
        <w:szCs w:val="20"/>
      </w:rPr>
    </w:pPr>
    <w:r w:rsidRPr="043449FC">
      <w:rPr>
        <w:sz w:val="20"/>
        <w:szCs w:val="20"/>
      </w:rPr>
      <w:t>(exp</w:t>
    </w:r>
    <w:r w:rsidR="00C26E6C">
      <w:rPr>
        <w:sz w:val="20"/>
        <w:szCs w:val="20"/>
      </w:rPr>
      <w:t xml:space="preserve">. </w:t>
    </w:r>
    <w:r w:rsidR="00AE7D07">
      <w:rPr>
        <w:sz w:val="20"/>
        <w:szCs w:val="20"/>
      </w:rPr>
      <w:t>XX/XX/XXXX</w:t>
    </w:r>
    <w:r w:rsidRPr="043449FC">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12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024CF0"/>
    <w:multiLevelType w:val="hybridMultilevel"/>
    <w:tmpl w:val="8A58D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BE1058"/>
    <w:multiLevelType w:val="hybridMultilevel"/>
    <w:tmpl w:val="10D048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B82C10"/>
    <w:multiLevelType w:val="hybridMultilevel"/>
    <w:tmpl w:val="0E9E09D6"/>
    <w:lvl w:ilvl="0">
      <w:start w:val="1"/>
      <w:numFmt w:val="lowerLetter"/>
      <w:lvlText w:val="(%1)"/>
      <w:lvlJc w:val="left"/>
      <w:pPr>
        <w:tabs>
          <w:tab w:val="num" w:pos="900"/>
        </w:tabs>
        <w:ind w:left="900" w:hanging="360"/>
      </w:pPr>
      <w:rPr>
        <w:rFonts w:hint="default"/>
      </w:rPr>
    </w:lvl>
    <w:lvl w:ilvl="1">
      <w:start w:val="1"/>
      <w:numFmt w:val="upperLetter"/>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41465A11"/>
    <w:multiLevelType w:val="hybridMultilevel"/>
    <w:tmpl w:val="2BA477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56745"/>
    <w:multiLevelType w:val="hybridMultilevel"/>
    <w:tmpl w:val="614C2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B37F80"/>
    <w:multiLevelType w:val="hybridMultilevel"/>
    <w:tmpl w:val="02EED4F0"/>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7D742D"/>
    <w:multiLevelType w:val="hybridMultilevel"/>
    <w:tmpl w:val="67267DB6"/>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32C4D15"/>
    <w:multiLevelType w:val="hybridMultilevel"/>
    <w:tmpl w:val="B134BE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7311A80"/>
    <w:multiLevelType w:val="hybridMultilevel"/>
    <w:tmpl w:val="3A94B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FE4817"/>
    <w:multiLevelType w:val="multilevel"/>
    <w:tmpl w:val="BCA24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71496113">
    <w:abstractNumId w:val="4"/>
  </w:num>
  <w:num w:numId="2" w16cid:durableId="943417105">
    <w:abstractNumId w:val="7"/>
  </w:num>
  <w:num w:numId="3" w16cid:durableId="1205603496">
    <w:abstractNumId w:val="9"/>
  </w:num>
  <w:num w:numId="4" w16cid:durableId="1150319754">
    <w:abstractNumId w:val="8"/>
  </w:num>
  <w:num w:numId="5" w16cid:durableId="458693532">
    <w:abstractNumId w:val="11"/>
  </w:num>
  <w:num w:numId="6" w16cid:durableId="1697462308">
    <w:abstractNumId w:val="0"/>
  </w:num>
  <w:num w:numId="7" w16cid:durableId="2115321912">
    <w:abstractNumId w:val="3"/>
  </w:num>
  <w:num w:numId="8" w16cid:durableId="1628968107">
    <w:abstractNumId w:val="6"/>
  </w:num>
  <w:num w:numId="9" w16cid:durableId="685058538">
    <w:abstractNumId w:val="5"/>
  </w:num>
  <w:num w:numId="10" w16cid:durableId="695621296">
    <w:abstractNumId w:val="10"/>
  </w:num>
  <w:num w:numId="11" w16cid:durableId="1780296711">
    <w:abstractNumId w:val="2"/>
  </w:num>
  <w:num w:numId="12" w16cid:durableId="948775736">
    <w:abstractNumId w:val="1"/>
  </w:num>
  <w:num w:numId="13" w16cid:durableId="69207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CE"/>
    <w:rsid w:val="00000A75"/>
    <w:rsid w:val="00002E5B"/>
    <w:rsid w:val="000109AC"/>
    <w:rsid w:val="00014A17"/>
    <w:rsid w:val="000170B3"/>
    <w:rsid w:val="000171C5"/>
    <w:rsid w:val="000341F6"/>
    <w:rsid w:val="00045A67"/>
    <w:rsid w:val="000479DE"/>
    <w:rsid w:val="00054143"/>
    <w:rsid w:val="000542AE"/>
    <w:rsid w:val="00054569"/>
    <w:rsid w:val="000821A4"/>
    <w:rsid w:val="00097BDD"/>
    <w:rsid w:val="000A61BF"/>
    <w:rsid w:val="000C4185"/>
    <w:rsid w:val="000C495A"/>
    <w:rsid w:val="000C6DD6"/>
    <w:rsid w:val="000D1901"/>
    <w:rsid w:val="000D7FE5"/>
    <w:rsid w:val="000E5180"/>
    <w:rsid w:val="001030AD"/>
    <w:rsid w:val="00110CA8"/>
    <w:rsid w:val="00131514"/>
    <w:rsid w:val="001340E7"/>
    <w:rsid w:val="0014158C"/>
    <w:rsid w:val="001551F9"/>
    <w:rsid w:val="00164674"/>
    <w:rsid w:val="00165BBB"/>
    <w:rsid w:val="00175AAA"/>
    <w:rsid w:val="00175DBF"/>
    <w:rsid w:val="0019248B"/>
    <w:rsid w:val="00194C61"/>
    <w:rsid w:val="00197658"/>
    <w:rsid w:val="001A52F4"/>
    <w:rsid w:val="001B16DD"/>
    <w:rsid w:val="001B1F4F"/>
    <w:rsid w:val="001B3F7F"/>
    <w:rsid w:val="001B709F"/>
    <w:rsid w:val="001B7D7B"/>
    <w:rsid w:val="001C4637"/>
    <w:rsid w:val="001C76CE"/>
    <w:rsid w:val="001D0400"/>
    <w:rsid w:val="001D6A3F"/>
    <w:rsid w:val="001E3FDD"/>
    <w:rsid w:val="001E6D80"/>
    <w:rsid w:val="001E7FEC"/>
    <w:rsid w:val="001F4668"/>
    <w:rsid w:val="001F5470"/>
    <w:rsid w:val="001F7306"/>
    <w:rsid w:val="00211C6D"/>
    <w:rsid w:val="00217C69"/>
    <w:rsid w:val="00227FAA"/>
    <w:rsid w:val="0023778F"/>
    <w:rsid w:val="0024612F"/>
    <w:rsid w:val="0025406E"/>
    <w:rsid w:val="0025423E"/>
    <w:rsid w:val="00270C4E"/>
    <w:rsid w:val="002722D9"/>
    <w:rsid w:val="00273AA1"/>
    <w:rsid w:val="00276F27"/>
    <w:rsid w:val="00277651"/>
    <w:rsid w:val="002819BF"/>
    <w:rsid w:val="00283798"/>
    <w:rsid w:val="002A1436"/>
    <w:rsid w:val="002A1D55"/>
    <w:rsid w:val="002A5066"/>
    <w:rsid w:val="002B7BE4"/>
    <w:rsid w:val="002C102B"/>
    <w:rsid w:val="002C2585"/>
    <w:rsid w:val="002D00AA"/>
    <w:rsid w:val="002D0B69"/>
    <w:rsid w:val="002E36AA"/>
    <w:rsid w:val="002F5DC2"/>
    <w:rsid w:val="002F5FDC"/>
    <w:rsid w:val="002F702F"/>
    <w:rsid w:val="00300EED"/>
    <w:rsid w:val="00301A43"/>
    <w:rsid w:val="00311695"/>
    <w:rsid w:val="00320B06"/>
    <w:rsid w:val="00324669"/>
    <w:rsid w:val="00333C7A"/>
    <w:rsid w:val="003461AD"/>
    <w:rsid w:val="00351247"/>
    <w:rsid w:val="0036633B"/>
    <w:rsid w:val="003740E3"/>
    <w:rsid w:val="00376A8F"/>
    <w:rsid w:val="003A09DB"/>
    <w:rsid w:val="003A2803"/>
    <w:rsid w:val="003B0F71"/>
    <w:rsid w:val="003B48D9"/>
    <w:rsid w:val="003B521F"/>
    <w:rsid w:val="003C30DD"/>
    <w:rsid w:val="003C4CC0"/>
    <w:rsid w:val="003C6E6B"/>
    <w:rsid w:val="003D7877"/>
    <w:rsid w:val="003E4B18"/>
    <w:rsid w:val="003F0CE5"/>
    <w:rsid w:val="003F4539"/>
    <w:rsid w:val="004033C6"/>
    <w:rsid w:val="004058D2"/>
    <w:rsid w:val="004169DF"/>
    <w:rsid w:val="004313A9"/>
    <w:rsid w:val="00433EDF"/>
    <w:rsid w:val="00436795"/>
    <w:rsid w:val="00436CCB"/>
    <w:rsid w:val="0044649E"/>
    <w:rsid w:val="00447567"/>
    <w:rsid w:val="00450381"/>
    <w:rsid w:val="004524CD"/>
    <w:rsid w:val="004575EE"/>
    <w:rsid w:val="004630B2"/>
    <w:rsid w:val="004648DC"/>
    <w:rsid w:val="004748AD"/>
    <w:rsid w:val="00475526"/>
    <w:rsid w:val="0048450F"/>
    <w:rsid w:val="0048520B"/>
    <w:rsid w:val="004A018E"/>
    <w:rsid w:val="004B26E7"/>
    <w:rsid w:val="004B375E"/>
    <w:rsid w:val="004B70BD"/>
    <w:rsid w:val="004C3FA6"/>
    <w:rsid w:val="004D328D"/>
    <w:rsid w:val="004D4E82"/>
    <w:rsid w:val="004D7DE3"/>
    <w:rsid w:val="004F00DA"/>
    <w:rsid w:val="004F051C"/>
    <w:rsid w:val="00501A83"/>
    <w:rsid w:val="00507A6F"/>
    <w:rsid w:val="00512F23"/>
    <w:rsid w:val="00521615"/>
    <w:rsid w:val="0053241E"/>
    <w:rsid w:val="005503A8"/>
    <w:rsid w:val="00566D17"/>
    <w:rsid w:val="00577AE2"/>
    <w:rsid w:val="00581423"/>
    <w:rsid w:val="005A2B6B"/>
    <w:rsid w:val="005C46ED"/>
    <w:rsid w:val="005C7D94"/>
    <w:rsid w:val="005D2158"/>
    <w:rsid w:val="005E050D"/>
    <w:rsid w:val="005E3F2A"/>
    <w:rsid w:val="006003C3"/>
    <w:rsid w:val="006151A4"/>
    <w:rsid w:val="0062746C"/>
    <w:rsid w:val="00630BFB"/>
    <w:rsid w:val="00632EBF"/>
    <w:rsid w:val="006349B6"/>
    <w:rsid w:val="00637D27"/>
    <w:rsid w:val="00643948"/>
    <w:rsid w:val="00657DFF"/>
    <w:rsid w:val="006617B4"/>
    <w:rsid w:val="00663B67"/>
    <w:rsid w:val="00667955"/>
    <w:rsid w:val="00667AF2"/>
    <w:rsid w:val="00675424"/>
    <w:rsid w:val="00675630"/>
    <w:rsid w:val="006766F8"/>
    <w:rsid w:val="00680C56"/>
    <w:rsid w:val="0068235C"/>
    <w:rsid w:val="00684D3A"/>
    <w:rsid w:val="006B2E65"/>
    <w:rsid w:val="006C2451"/>
    <w:rsid w:val="006C250B"/>
    <w:rsid w:val="006D05C4"/>
    <w:rsid w:val="006D44EF"/>
    <w:rsid w:val="006D4A8A"/>
    <w:rsid w:val="006E1046"/>
    <w:rsid w:val="006E1F64"/>
    <w:rsid w:val="006F2C98"/>
    <w:rsid w:val="006F30C4"/>
    <w:rsid w:val="006F39EE"/>
    <w:rsid w:val="00707186"/>
    <w:rsid w:val="00711A96"/>
    <w:rsid w:val="00715E3A"/>
    <w:rsid w:val="00731223"/>
    <w:rsid w:val="007519E0"/>
    <w:rsid w:val="007540B8"/>
    <w:rsid w:val="00760789"/>
    <w:rsid w:val="00763F2F"/>
    <w:rsid w:val="007674A6"/>
    <w:rsid w:val="0076759B"/>
    <w:rsid w:val="00771A34"/>
    <w:rsid w:val="00771D33"/>
    <w:rsid w:val="00777D81"/>
    <w:rsid w:val="00794A3D"/>
    <w:rsid w:val="007977BD"/>
    <w:rsid w:val="007B402B"/>
    <w:rsid w:val="007B42C8"/>
    <w:rsid w:val="007B7767"/>
    <w:rsid w:val="007C1B8E"/>
    <w:rsid w:val="007E01E7"/>
    <w:rsid w:val="00803684"/>
    <w:rsid w:val="00803AAA"/>
    <w:rsid w:val="008051C1"/>
    <w:rsid w:val="00813429"/>
    <w:rsid w:val="008165A1"/>
    <w:rsid w:val="00817C99"/>
    <w:rsid w:val="00821268"/>
    <w:rsid w:val="00831875"/>
    <w:rsid w:val="00832DE8"/>
    <w:rsid w:val="00840298"/>
    <w:rsid w:val="00841A8C"/>
    <w:rsid w:val="00845802"/>
    <w:rsid w:val="00850BAF"/>
    <w:rsid w:val="0085256A"/>
    <w:rsid w:val="00852ACD"/>
    <w:rsid w:val="0085340E"/>
    <w:rsid w:val="00856164"/>
    <w:rsid w:val="00864B4B"/>
    <w:rsid w:val="00870056"/>
    <w:rsid w:val="00893A78"/>
    <w:rsid w:val="00893DC4"/>
    <w:rsid w:val="00894B11"/>
    <w:rsid w:val="008A08A8"/>
    <w:rsid w:val="008A47D6"/>
    <w:rsid w:val="008B457D"/>
    <w:rsid w:val="008B5B48"/>
    <w:rsid w:val="008C19A7"/>
    <w:rsid w:val="008C2F90"/>
    <w:rsid w:val="008D24AC"/>
    <w:rsid w:val="008E331C"/>
    <w:rsid w:val="008E3FD9"/>
    <w:rsid w:val="008F3520"/>
    <w:rsid w:val="008F4081"/>
    <w:rsid w:val="008F51B5"/>
    <w:rsid w:val="00910FAA"/>
    <w:rsid w:val="00916ABD"/>
    <w:rsid w:val="00917C90"/>
    <w:rsid w:val="009251C7"/>
    <w:rsid w:val="009460A8"/>
    <w:rsid w:val="00950474"/>
    <w:rsid w:val="00954014"/>
    <w:rsid w:val="00957154"/>
    <w:rsid w:val="009608A5"/>
    <w:rsid w:val="009630EE"/>
    <w:rsid w:val="00994BD8"/>
    <w:rsid w:val="00995499"/>
    <w:rsid w:val="0099656A"/>
    <w:rsid w:val="00997EB6"/>
    <w:rsid w:val="009A5D30"/>
    <w:rsid w:val="009B668F"/>
    <w:rsid w:val="009B6A50"/>
    <w:rsid w:val="009B7F52"/>
    <w:rsid w:val="009C40BD"/>
    <w:rsid w:val="009C6327"/>
    <w:rsid w:val="009C7BF5"/>
    <w:rsid w:val="009D2188"/>
    <w:rsid w:val="009D31E4"/>
    <w:rsid w:val="009E15B4"/>
    <w:rsid w:val="009E1C28"/>
    <w:rsid w:val="009E2383"/>
    <w:rsid w:val="009F06D0"/>
    <w:rsid w:val="009F0E86"/>
    <w:rsid w:val="009F13B4"/>
    <w:rsid w:val="009F2965"/>
    <w:rsid w:val="009F51CF"/>
    <w:rsid w:val="009F705F"/>
    <w:rsid w:val="009F736F"/>
    <w:rsid w:val="00A052FB"/>
    <w:rsid w:val="00A07EF4"/>
    <w:rsid w:val="00A21D3D"/>
    <w:rsid w:val="00A234D7"/>
    <w:rsid w:val="00A2516C"/>
    <w:rsid w:val="00A266DE"/>
    <w:rsid w:val="00A40CEE"/>
    <w:rsid w:val="00A5376A"/>
    <w:rsid w:val="00A625D0"/>
    <w:rsid w:val="00A845D9"/>
    <w:rsid w:val="00A95643"/>
    <w:rsid w:val="00A95D89"/>
    <w:rsid w:val="00A966D0"/>
    <w:rsid w:val="00AB524B"/>
    <w:rsid w:val="00AD221E"/>
    <w:rsid w:val="00AD3C2C"/>
    <w:rsid w:val="00AD6D92"/>
    <w:rsid w:val="00AE7D07"/>
    <w:rsid w:val="00AF5231"/>
    <w:rsid w:val="00B04471"/>
    <w:rsid w:val="00B167D7"/>
    <w:rsid w:val="00B17F95"/>
    <w:rsid w:val="00B20B05"/>
    <w:rsid w:val="00B454CE"/>
    <w:rsid w:val="00B52878"/>
    <w:rsid w:val="00B57681"/>
    <w:rsid w:val="00B57A6A"/>
    <w:rsid w:val="00B60DD7"/>
    <w:rsid w:val="00B62FA1"/>
    <w:rsid w:val="00B74222"/>
    <w:rsid w:val="00B7685C"/>
    <w:rsid w:val="00B81A34"/>
    <w:rsid w:val="00B82653"/>
    <w:rsid w:val="00B97930"/>
    <w:rsid w:val="00BB480D"/>
    <w:rsid w:val="00BB585F"/>
    <w:rsid w:val="00BB5E52"/>
    <w:rsid w:val="00BC6C2C"/>
    <w:rsid w:val="00BD3FEE"/>
    <w:rsid w:val="00BD6157"/>
    <w:rsid w:val="00BE3368"/>
    <w:rsid w:val="00BF4333"/>
    <w:rsid w:val="00BF583E"/>
    <w:rsid w:val="00C02C0A"/>
    <w:rsid w:val="00C10A03"/>
    <w:rsid w:val="00C12E79"/>
    <w:rsid w:val="00C20F1C"/>
    <w:rsid w:val="00C2141C"/>
    <w:rsid w:val="00C26E6C"/>
    <w:rsid w:val="00C541DA"/>
    <w:rsid w:val="00C62136"/>
    <w:rsid w:val="00C64335"/>
    <w:rsid w:val="00C653A1"/>
    <w:rsid w:val="00C77E99"/>
    <w:rsid w:val="00C82333"/>
    <w:rsid w:val="00CA272D"/>
    <w:rsid w:val="00CA4EBF"/>
    <w:rsid w:val="00CB6594"/>
    <w:rsid w:val="00CC0100"/>
    <w:rsid w:val="00CC56C5"/>
    <w:rsid w:val="00CD3D06"/>
    <w:rsid w:val="00CE7712"/>
    <w:rsid w:val="00CE7E88"/>
    <w:rsid w:val="00D0021B"/>
    <w:rsid w:val="00D01849"/>
    <w:rsid w:val="00D043DA"/>
    <w:rsid w:val="00D14A30"/>
    <w:rsid w:val="00D14DB9"/>
    <w:rsid w:val="00D15267"/>
    <w:rsid w:val="00D217C9"/>
    <w:rsid w:val="00D24EE3"/>
    <w:rsid w:val="00D41DC3"/>
    <w:rsid w:val="00D44A0E"/>
    <w:rsid w:val="00D45B5E"/>
    <w:rsid w:val="00D50B6C"/>
    <w:rsid w:val="00D51393"/>
    <w:rsid w:val="00D5690E"/>
    <w:rsid w:val="00D6736E"/>
    <w:rsid w:val="00D827DE"/>
    <w:rsid w:val="00D83249"/>
    <w:rsid w:val="00D85D81"/>
    <w:rsid w:val="00D862CB"/>
    <w:rsid w:val="00D91B15"/>
    <w:rsid w:val="00D93458"/>
    <w:rsid w:val="00DA0C92"/>
    <w:rsid w:val="00DA6412"/>
    <w:rsid w:val="00DB31A4"/>
    <w:rsid w:val="00DC16A6"/>
    <w:rsid w:val="00DC632D"/>
    <w:rsid w:val="00DD1F36"/>
    <w:rsid w:val="00DE5D11"/>
    <w:rsid w:val="00DE7B1E"/>
    <w:rsid w:val="00DF282E"/>
    <w:rsid w:val="00E10488"/>
    <w:rsid w:val="00E119DE"/>
    <w:rsid w:val="00E17169"/>
    <w:rsid w:val="00E23BAC"/>
    <w:rsid w:val="00E23FA6"/>
    <w:rsid w:val="00E305D6"/>
    <w:rsid w:val="00E32FDD"/>
    <w:rsid w:val="00E377F2"/>
    <w:rsid w:val="00E539F7"/>
    <w:rsid w:val="00E62254"/>
    <w:rsid w:val="00E65956"/>
    <w:rsid w:val="00E72DC7"/>
    <w:rsid w:val="00E75404"/>
    <w:rsid w:val="00E757C0"/>
    <w:rsid w:val="00E854FA"/>
    <w:rsid w:val="00E934B9"/>
    <w:rsid w:val="00EA0E49"/>
    <w:rsid w:val="00EA3A7E"/>
    <w:rsid w:val="00EA3F6B"/>
    <w:rsid w:val="00EB3B09"/>
    <w:rsid w:val="00EB4494"/>
    <w:rsid w:val="00EB4D32"/>
    <w:rsid w:val="00ED4F0C"/>
    <w:rsid w:val="00ED5B9E"/>
    <w:rsid w:val="00ED7079"/>
    <w:rsid w:val="00EE1318"/>
    <w:rsid w:val="00EE64E8"/>
    <w:rsid w:val="00EF1FA9"/>
    <w:rsid w:val="00EF3963"/>
    <w:rsid w:val="00EF3AD3"/>
    <w:rsid w:val="00F02291"/>
    <w:rsid w:val="00F027BA"/>
    <w:rsid w:val="00F25C95"/>
    <w:rsid w:val="00F30E04"/>
    <w:rsid w:val="00F3217C"/>
    <w:rsid w:val="00F45B18"/>
    <w:rsid w:val="00F56E7F"/>
    <w:rsid w:val="00F61B12"/>
    <w:rsid w:val="00F61F70"/>
    <w:rsid w:val="00F637E3"/>
    <w:rsid w:val="00F67FD1"/>
    <w:rsid w:val="00F76D3B"/>
    <w:rsid w:val="00F80060"/>
    <w:rsid w:val="00F9058B"/>
    <w:rsid w:val="00F90734"/>
    <w:rsid w:val="00FA7F8A"/>
    <w:rsid w:val="00FB1A89"/>
    <w:rsid w:val="00FB4C8D"/>
    <w:rsid w:val="00FC0006"/>
    <w:rsid w:val="00FC0D73"/>
    <w:rsid w:val="00FC3024"/>
    <w:rsid w:val="00FC582A"/>
    <w:rsid w:val="00FC7284"/>
    <w:rsid w:val="00FD3687"/>
    <w:rsid w:val="00FD74CE"/>
    <w:rsid w:val="00FF56B6"/>
    <w:rsid w:val="00FF6378"/>
    <w:rsid w:val="043449FC"/>
    <w:rsid w:val="047940EB"/>
    <w:rsid w:val="0A7255A2"/>
    <w:rsid w:val="0D19C4C7"/>
    <w:rsid w:val="132C6CD1"/>
    <w:rsid w:val="1E333B43"/>
    <w:rsid w:val="1E9FEDE5"/>
    <w:rsid w:val="2887C02A"/>
    <w:rsid w:val="326BB5C2"/>
    <w:rsid w:val="3801069D"/>
    <w:rsid w:val="3B51BFE1"/>
    <w:rsid w:val="4B7ABAB5"/>
    <w:rsid w:val="50912EA9"/>
    <w:rsid w:val="514B3232"/>
    <w:rsid w:val="57B8B215"/>
    <w:rsid w:val="57C7FE0B"/>
    <w:rsid w:val="59191617"/>
    <w:rsid w:val="5E130425"/>
    <w:rsid w:val="5EE38390"/>
    <w:rsid w:val="60FB752E"/>
    <w:rsid w:val="712BB6C3"/>
    <w:rsid w:val="793AAC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3F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B4D32"/>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A6A6A6"/>
      <w:jc w:val="center"/>
      <w:outlineLvl w:val="3"/>
    </w:pPr>
    <w:rPr>
      <w:b/>
      <w:bCs/>
      <w:sz w:val="28"/>
    </w:rPr>
  </w:style>
  <w:style w:type="paragraph" w:styleId="Heading6">
    <w:name w:val="heading 6"/>
    <w:basedOn w:val="Normal"/>
    <w:next w:val="Normal"/>
    <w:link w:val="Heading6Char"/>
    <w:semiHidden/>
    <w:unhideWhenUsed/>
    <w:qFormat/>
    <w:rsid w:val="00217C69"/>
    <w:pPr>
      <w:spacing w:before="240" w:after="60"/>
      <w:outlineLvl w:val="5"/>
    </w:pPr>
    <w:rPr>
      <w:rFonts w:ascii="Calibri" w:hAnsi="Calibri"/>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A6A6A6"/>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A2B6B"/>
    <w:pPr>
      <w:ind w:left="360" w:hanging="360"/>
      <w:jc w:val="both"/>
    </w:pPr>
    <w:rPr>
      <w:b/>
      <w:bCs/>
      <w:sz w:val="28"/>
      <w:szCs w:val="28"/>
      <w:bdr w:val="single" w:sz="4" w:space="0" w:color="auto"/>
    </w:rPr>
  </w:style>
  <w:style w:type="paragraph" w:styleId="BodyTextIndent">
    <w:name w:val="Body Text Indent"/>
    <w:basedOn w:val="Normal"/>
    <w:pPr>
      <w:ind w:left="720"/>
    </w:pPr>
  </w:style>
  <w:style w:type="paragraph" w:customStyle="1" w:styleId="MyStyle">
    <w:name w:val="MyStyle"/>
    <w:basedOn w:val="Normal"/>
    <w:autoRedefine/>
    <w:pPr>
      <w:ind w:left="180"/>
    </w:pPr>
    <w:rPr>
      <w:b/>
      <w:bCs/>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167D7"/>
    <w:rPr>
      <w:rFonts w:ascii="Tahoma" w:hAnsi="Tahoma" w:cs="Tahoma"/>
      <w:sz w:val="16"/>
      <w:szCs w:val="16"/>
    </w:rPr>
  </w:style>
  <w:style w:type="character" w:customStyle="1" w:styleId="FooterChar">
    <w:name w:val="Footer Char"/>
    <w:link w:val="Footer"/>
    <w:rsid w:val="00EB4D32"/>
    <w:rPr>
      <w:sz w:val="24"/>
      <w:szCs w:val="24"/>
    </w:rPr>
  </w:style>
  <w:style w:type="character" w:customStyle="1" w:styleId="Heading1Char">
    <w:name w:val="Heading 1 Char"/>
    <w:link w:val="Heading1"/>
    <w:rsid w:val="00EB4D32"/>
    <w:rPr>
      <w:rFonts w:ascii="Calibri Light" w:eastAsia="Times New Roman" w:hAnsi="Calibri Light" w:cs="Times New Roman"/>
      <w:b/>
      <w:bCs/>
      <w:kern w:val="32"/>
      <w:sz w:val="32"/>
      <w:szCs w:val="32"/>
    </w:rPr>
  </w:style>
  <w:style w:type="character" w:customStyle="1" w:styleId="Heading6Char">
    <w:name w:val="Heading 6 Char"/>
    <w:link w:val="Heading6"/>
    <w:semiHidden/>
    <w:rsid w:val="00217C69"/>
    <w:rPr>
      <w:rFonts w:ascii="Calibri" w:eastAsia="Times New Roman" w:hAnsi="Calibri" w:cs="Times New Roman"/>
      <w:b/>
      <w:bCs/>
      <w:sz w:val="22"/>
      <w:szCs w:val="22"/>
    </w:rPr>
  </w:style>
  <w:style w:type="paragraph" w:customStyle="1" w:styleId="Style1">
    <w:name w:val="Style1"/>
    <w:basedOn w:val="Heading6"/>
    <w:qFormat/>
    <w:rsid w:val="00CE7E88"/>
    <w:pPr>
      <w:keepNext/>
      <w:numPr>
        <w:ilvl w:val="1"/>
        <w:numId w:val="6"/>
      </w:numPr>
      <w:spacing w:after="240"/>
      <w:ind w:left="375"/>
    </w:pPr>
    <w:rPr>
      <w:rFonts w:ascii="Times New Roman" w:hAnsi="Times New Roman"/>
      <w:sz w:val="28"/>
      <w:szCs w:val="28"/>
    </w:rPr>
  </w:style>
  <w:style w:type="paragraph" w:styleId="Revision">
    <w:name w:val="Revision"/>
    <w:hidden/>
    <w:uiPriority w:val="99"/>
    <w:semiHidden/>
    <w:rsid w:val="00045A67"/>
    <w:rPr>
      <w:sz w:val="24"/>
      <w:szCs w:val="24"/>
    </w:rPr>
  </w:style>
  <w:style w:type="character" w:styleId="Hyperlink">
    <w:name w:val="Hyperlink"/>
    <w:uiPriority w:val="99"/>
    <w:unhideWhenUsed/>
    <w:rsid w:val="00C77E99"/>
    <w:rPr>
      <w:color w:val="0000FF"/>
      <w:u w:val="single"/>
    </w:rPr>
  </w:style>
  <w:style w:type="character" w:styleId="CommentReference">
    <w:name w:val="annotation reference"/>
    <w:rsid w:val="008C19A7"/>
    <w:rPr>
      <w:sz w:val="16"/>
      <w:szCs w:val="16"/>
    </w:rPr>
  </w:style>
  <w:style w:type="paragraph" w:styleId="CommentText">
    <w:name w:val="annotation text"/>
    <w:basedOn w:val="Normal"/>
    <w:link w:val="CommentTextChar"/>
    <w:rsid w:val="008C19A7"/>
    <w:rPr>
      <w:sz w:val="20"/>
      <w:szCs w:val="20"/>
    </w:rPr>
  </w:style>
  <w:style w:type="character" w:customStyle="1" w:styleId="CommentTextChar">
    <w:name w:val="Comment Text Char"/>
    <w:basedOn w:val="DefaultParagraphFont"/>
    <w:link w:val="CommentText"/>
    <w:rsid w:val="008C19A7"/>
  </w:style>
  <w:style w:type="paragraph" w:styleId="CommentSubject">
    <w:name w:val="annotation subject"/>
    <w:basedOn w:val="CommentText"/>
    <w:next w:val="CommentText"/>
    <w:link w:val="CommentSubjectChar"/>
    <w:rsid w:val="008C19A7"/>
    <w:rPr>
      <w:b/>
      <w:bCs/>
    </w:rPr>
  </w:style>
  <w:style w:type="character" w:customStyle="1" w:styleId="CommentSubjectChar">
    <w:name w:val="Comment Subject Char"/>
    <w:link w:val="CommentSubject"/>
    <w:rsid w:val="008C19A7"/>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0400"/>
    <w:pPr>
      <w:ind w:left="720"/>
      <w:contextualSpacing/>
    </w:pPr>
  </w:style>
  <w:style w:type="character" w:styleId="UnresolvedMention">
    <w:name w:val="Unresolved Mention"/>
    <w:basedOn w:val="DefaultParagraphFont"/>
    <w:uiPriority w:val="99"/>
    <w:semiHidden/>
    <w:unhideWhenUsed/>
    <w:rsid w:val="002F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Props1.xml><?xml version="1.0" encoding="utf-8"?>
<ds:datastoreItem xmlns:ds="http://schemas.openxmlformats.org/officeDocument/2006/customXml" ds:itemID="{865A6D8F-3298-477D-9A3D-25DDC55A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77495-9A74-44EE-821D-F337E02ECBC8}">
  <ds:schemaRefs>
    <ds:schemaRef ds:uri="http://schemas.microsoft.com/sharepoint/v3/contenttype/forms"/>
  </ds:schemaRefs>
</ds:datastoreItem>
</file>

<file path=customXml/itemProps3.xml><?xml version="1.0" encoding="utf-8"?>
<ds:datastoreItem xmlns:ds="http://schemas.openxmlformats.org/officeDocument/2006/customXml" ds:itemID="{3BDD1C35-B4F1-443C-B41B-63BA361B7FBE}">
  <ds:schemaRefs>
    <ds:schemaRef ds:uri="http://schemas.microsoft.com/office/2006/metadata/longProperties"/>
  </ds:schemaRefs>
</ds:datastoreItem>
</file>

<file path=customXml/itemProps4.xml><?xml version="1.0" encoding="utf-8"?>
<ds:datastoreItem xmlns:ds="http://schemas.openxmlformats.org/officeDocument/2006/customXml" ds:itemID="{3B0B91A2-3562-40F8-B8C7-868C64D88B88}">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5728</Words>
  <Characters>32652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2026-04-28T14:38:00Z</dcterms:created>
  <dcterms:modified xsi:type="dcterms:W3CDTF">2026-04-28T14:38:00Z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