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DD7E9E" w:rsidP="00AB1FC1" w14:paraId="4D0CA50B" w14:textId="28C4F7B9">
      <w:pPr>
        <w:pStyle w:val="Title"/>
        <w:spacing w:before="0" w:after="0"/>
        <w:ind w:left="2880"/>
        <w:jc w:val="left"/>
        <w:rPr>
          <w:rFonts w:ascii="Times New Roman" w:hAnsi="Times New Roman"/>
          <w:snapToGrid/>
          <w:sz w:val="24"/>
          <w:szCs w:val="24"/>
        </w:rPr>
      </w:pPr>
      <w:r>
        <w:rPr>
          <w:rFonts w:ascii="Times New Roman" w:hAnsi="Times New Roman"/>
          <w:snapToGrid/>
          <w:sz w:val="24"/>
          <w:szCs w:val="24"/>
        </w:rPr>
        <w:t xml:space="preserve">    </w:t>
      </w:r>
      <w:r w:rsidRPr="00476C39">
        <w:rPr>
          <w:rFonts w:ascii="Times New Roman" w:hAnsi="Times New Roman"/>
          <w:snapToGrid/>
          <w:sz w:val="24"/>
          <w:szCs w:val="24"/>
        </w:rPr>
        <w:t>Department of Transportation</w:t>
      </w:r>
    </w:p>
    <w:p w:rsidR="0028688C" w:rsidRPr="00AB1FC1" w:rsidP="00AB1FC1" w14:paraId="10434620" w14:textId="4381423E">
      <w:pPr>
        <w:jc w:val="center"/>
        <w:rPr>
          <w:rFonts w:ascii="Times New Roman" w:hAnsi="Times New Roman"/>
          <w:b/>
          <w:bCs/>
        </w:rPr>
      </w:pPr>
      <w:r w:rsidRPr="00AB1FC1">
        <w:rPr>
          <w:rFonts w:ascii="Times New Roman" w:hAnsi="Times New Roman"/>
          <w:b/>
          <w:bCs/>
        </w:rPr>
        <w:t>Maritime Administration</w:t>
      </w:r>
    </w:p>
    <w:p w:rsidR="0028688C" w:rsidRPr="00AB1FC1" w:rsidP="00AB1FC1" w14:paraId="1331163D" w14:textId="50D72B53">
      <w:pPr>
        <w:jc w:val="center"/>
        <w:rPr>
          <w:rFonts w:ascii="Times New Roman" w:hAnsi="Times New Roman"/>
          <w:b/>
          <w:bCs/>
        </w:rPr>
      </w:pPr>
      <w:r w:rsidRPr="00AB1FC1">
        <w:rPr>
          <w:rFonts w:ascii="Times New Roman" w:hAnsi="Times New Roman"/>
          <w:b/>
          <w:bCs/>
        </w:rPr>
        <w:t>Information Collection Request (ICR)</w:t>
      </w:r>
    </w:p>
    <w:p w:rsidR="0028688C" w:rsidRPr="00AB1FC1" w:rsidP="00AB1FC1" w14:paraId="2E554486" w14:textId="69A5F115">
      <w:pPr>
        <w:jc w:val="center"/>
        <w:rPr>
          <w:rFonts w:ascii="Times New Roman" w:hAnsi="Times New Roman"/>
          <w:b/>
          <w:bCs/>
        </w:rPr>
      </w:pPr>
      <w:r w:rsidRPr="00AB1FC1">
        <w:rPr>
          <w:rFonts w:ascii="Times New Roman" w:hAnsi="Times New Roman"/>
          <w:b/>
          <w:bCs/>
        </w:rPr>
        <w:t>OMB 2133-0511</w:t>
      </w:r>
    </w:p>
    <w:p w:rsidR="0028688C" w:rsidRPr="00476C39" w:rsidP="0028688C" w14:paraId="2A860C2A" w14:textId="094BD877">
      <w:pPr>
        <w:autoSpaceDE w:val="0"/>
        <w:autoSpaceDN w:val="0"/>
        <w:adjustRightInd w:val="0"/>
        <w:jc w:val="center"/>
        <w:rPr>
          <w:rFonts w:ascii="Times New Roman" w:hAnsi="Times New Roman"/>
          <w:b/>
          <w:bCs/>
          <w:snapToGrid/>
          <w:color w:val="FF0000"/>
          <w:szCs w:val="24"/>
        </w:rPr>
      </w:pPr>
      <w:r w:rsidRPr="00476C39">
        <w:rPr>
          <w:rFonts w:ascii="Times New Roman" w:hAnsi="Times New Roman"/>
          <w:b/>
          <w:szCs w:val="24"/>
        </w:rPr>
        <w:t>Effective U.S. Control (EUSC)</w:t>
      </w:r>
      <w:r>
        <w:rPr>
          <w:rFonts w:ascii="Times New Roman" w:hAnsi="Times New Roman"/>
          <w:b/>
          <w:szCs w:val="24"/>
        </w:rPr>
        <w:t>/</w:t>
      </w:r>
      <w:r w:rsidRPr="00476C39">
        <w:rPr>
          <w:rFonts w:ascii="Times New Roman" w:hAnsi="Times New Roman"/>
          <w:b/>
          <w:szCs w:val="24"/>
        </w:rPr>
        <w:t>Parent Company</w:t>
      </w:r>
    </w:p>
    <w:p w:rsidR="0028688C" w:rsidP="0028688C" w14:paraId="612EBB7D" w14:textId="738D7D93">
      <w:pPr>
        <w:rPr>
          <w:rFonts w:ascii="Times New Roman" w:hAnsi="Times New Roman"/>
        </w:rPr>
      </w:pPr>
    </w:p>
    <w:p w:rsidR="0028688C" w:rsidRPr="00AB1FC1" w:rsidP="00AB1FC1" w14:paraId="5A778D77" w14:textId="77777777">
      <w:pPr>
        <w:rPr>
          <w:rFonts w:ascii="Times New Roman" w:hAnsi="Times New Roman"/>
        </w:rPr>
      </w:pPr>
    </w:p>
    <w:p w:rsidR="00DD7E9E" w:rsidRPr="00AB1FC1" w:rsidP="005F158F" w14:paraId="792476D4" w14:textId="77777777">
      <w:pPr>
        <w:autoSpaceDE w:val="0"/>
        <w:autoSpaceDN w:val="0"/>
        <w:adjustRightInd w:val="0"/>
        <w:jc w:val="center"/>
        <w:rPr>
          <w:rFonts w:ascii="Times New Roman" w:hAnsi="Times New Roman"/>
          <w:b/>
          <w:bCs/>
          <w:snapToGrid/>
          <w:szCs w:val="24"/>
        </w:rPr>
      </w:pPr>
      <w:r w:rsidRPr="00AB1FC1">
        <w:rPr>
          <w:rFonts w:ascii="Times New Roman" w:hAnsi="Times New Roman"/>
          <w:b/>
          <w:bCs/>
          <w:snapToGrid/>
          <w:szCs w:val="24"/>
        </w:rPr>
        <w:t>SUPPORTING STATEMENT</w:t>
      </w:r>
    </w:p>
    <w:p w:rsidR="00DD7E9E" w:rsidRPr="00476C39" w:rsidP="005F158F" w14:paraId="2E6A3A4D" w14:textId="77777777">
      <w:pPr>
        <w:autoSpaceDE w:val="0"/>
        <w:autoSpaceDN w:val="0"/>
        <w:adjustRightInd w:val="0"/>
        <w:rPr>
          <w:rFonts w:ascii="Times New Roman" w:hAnsi="Times New Roman"/>
          <w:b/>
          <w:bCs/>
          <w:snapToGrid/>
          <w:szCs w:val="24"/>
        </w:rPr>
      </w:pPr>
    </w:p>
    <w:p w:rsidR="00DD7E9E" w:rsidRPr="00AB1FC1" w:rsidP="005F158F" w14:paraId="3C4B6FBE" w14:textId="77777777">
      <w:pPr>
        <w:autoSpaceDE w:val="0"/>
        <w:autoSpaceDN w:val="0"/>
        <w:adjustRightInd w:val="0"/>
        <w:rPr>
          <w:rFonts w:ascii="Times New Roman" w:hAnsi="Times New Roman"/>
          <w:b/>
          <w:bCs/>
          <w:snapToGrid/>
          <w:szCs w:val="24"/>
        </w:rPr>
      </w:pPr>
      <w:r w:rsidRPr="00AB1FC1">
        <w:rPr>
          <w:rFonts w:ascii="Times New Roman" w:hAnsi="Times New Roman"/>
          <w:b/>
          <w:bCs/>
          <w:snapToGrid/>
          <w:szCs w:val="24"/>
        </w:rPr>
        <w:t>INTRODUCTION</w:t>
      </w:r>
    </w:p>
    <w:p w:rsidR="00DD7E9E" w:rsidRPr="00476C39" w:rsidP="005F158F" w14:paraId="350AA8B6" w14:textId="77777777">
      <w:pPr>
        <w:autoSpaceDE w:val="0"/>
        <w:autoSpaceDN w:val="0"/>
        <w:adjustRightInd w:val="0"/>
        <w:rPr>
          <w:rFonts w:ascii="Times New Roman" w:hAnsi="Times New Roman"/>
          <w:b/>
          <w:bCs/>
          <w:snapToGrid/>
          <w:szCs w:val="24"/>
        </w:rPr>
      </w:pPr>
    </w:p>
    <w:p w:rsidR="00780374" w:rsidRPr="00476C39" w:rsidP="00780374" w14:paraId="74F71C0A" w14:textId="056B3912">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sidRPr="00476C39">
        <w:rPr>
          <w:rFonts w:ascii="Times New Roman" w:hAnsi="Times New Roman"/>
          <w:snapToGrid/>
          <w:szCs w:val="24"/>
        </w:rPr>
        <w:t>This</w:t>
      </w:r>
      <w:r w:rsidR="0028688C">
        <w:rPr>
          <w:rFonts w:ascii="Times New Roman" w:hAnsi="Times New Roman"/>
          <w:snapToGrid/>
          <w:szCs w:val="24"/>
        </w:rPr>
        <w:t xml:space="preserve"> submission is</w:t>
      </w:r>
      <w:r w:rsidRPr="00476C39">
        <w:rPr>
          <w:rFonts w:ascii="Times New Roman" w:hAnsi="Times New Roman"/>
          <w:snapToGrid/>
          <w:szCs w:val="24"/>
        </w:rPr>
        <w:t xml:space="preserve"> to request</w:t>
      </w:r>
      <w:r w:rsidR="0028688C">
        <w:rPr>
          <w:rFonts w:ascii="Times New Roman" w:hAnsi="Times New Roman"/>
          <w:snapToGrid/>
          <w:szCs w:val="24"/>
        </w:rPr>
        <w:t xml:space="preserve"> a three-year approval from</w:t>
      </w:r>
      <w:r w:rsidRPr="00476C39">
        <w:rPr>
          <w:rFonts w:ascii="Times New Roman" w:hAnsi="Times New Roman"/>
          <w:snapToGrid/>
          <w:szCs w:val="24"/>
        </w:rPr>
        <w:t xml:space="preserve"> the Office of Management and Budget</w:t>
      </w:r>
      <w:r w:rsidR="0028688C">
        <w:rPr>
          <w:rFonts w:ascii="Times New Roman" w:hAnsi="Times New Roman"/>
          <w:snapToGrid/>
          <w:szCs w:val="24"/>
        </w:rPr>
        <w:t xml:space="preserve"> </w:t>
      </w:r>
      <w:r w:rsidRPr="00476C39">
        <w:rPr>
          <w:rFonts w:ascii="Times New Roman" w:hAnsi="Times New Roman"/>
          <w:snapToGrid/>
          <w:szCs w:val="24"/>
        </w:rPr>
        <w:t>(OMB) for the information collection entitled</w:t>
      </w:r>
      <w:r w:rsidR="0028688C">
        <w:rPr>
          <w:rFonts w:ascii="Times New Roman" w:hAnsi="Times New Roman"/>
          <w:snapToGrid/>
          <w:szCs w:val="24"/>
        </w:rPr>
        <w:t xml:space="preserve"> </w:t>
      </w:r>
      <w:r w:rsidRPr="0028688C" w:rsidR="0028688C">
        <w:rPr>
          <w:rFonts w:ascii="Times New Roman" w:hAnsi="Times New Roman"/>
          <w:snapToGrid/>
          <w:szCs w:val="24"/>
        </w:rPr>
        <w:t>OMB 2133-0511</w:t>
      </w:r>
      <w:r w:rsidR="0028688C">
        <w:rPr>
          <w:rFonts w:ascii="Times New Roman" w:hAnsi="Times New Roman"/>
          <w:snapToGrid/>
          <w:szCs w:val="24"/>
        </w:rPr>
        <w:t xml:space="preserve"> (</w:t>
      </w:r>
      <w:r w:rsidRPr="00476C39">
        <w:rPr>
          <w:rFonts w:ascii="Times New Roman" w:hAnsi="Times New Roman"/>
          <w:szCs w:val="24"/>
        </w:rPr>
        <w:t>Effective U.S. Control (EUSC)</w:t>
      </w:r>
      <w:r w:rsidR="0028688C">
        <w:rPr>
          <w:rFonts w:ascii="Times New Roman" w:hAnsi="Times New Roman"/>
          <w:szCs w:val="24"/>
        </w:rPr>
        <w:t xml:space="preserve">/ </w:t>
      </w:r>
      <w:r w:rsidRPr="00476C39">
        <w:rPr>
          <w:rFonts w:ascii="Times New Roman" w:hAnsi="Times New Roman"/>
          <w:szCs w:val="24"/>
        </w:rPr>
        <w:t>Parent Company</w:t>
      </w:r>
      <w:r w:rsidRPr="00476C39">
        <w:rPr>
          <w:rFonts w:ascii="Times New Roman" w:hAnsi="Times New Roman"/>
          <w:snapToGrid/>
          <w:szCs w:val="24"/>
        </w:rPr>
        <w:t>), which expire</w:t>
      </w:r>
      <w:r w:rsidR="0028688C">
        <w:rPr>
          <w:rFonts w:ascii="Times New Roman" w:hAnsi="Times New Roman"/>
          <w:snapToGrid/>
          <w:szCs w:val="24"/>
        </w:rPr>
        <w:t>s</w:t>
      </w:r>
      <w:r w:rsidRPr="00476C39">
        <w:rPr>
          <w:rFonts w:ascii="Times New Roman" w:hAnsi="Times New Roman"/>
          <w:snapToGrid/>
          <w:szCs w:val="24"/>
        </w:rPr>
        <w:t xml:space="preserve"> on </w:t>
      </w:r>
      <w:r w:rsidR="0028688C">
        <w:rPr>
          <w:rFonts w:ascii="Times New Roman" w:hAnsi="Times New Roman"/>
          <w:snapToGrid/>
          <w:szCs w:val="24"/>
        </w:rPr>
        <w:t>February 28</w:t>
      </w:r>
      <w:r w:rsidRPr="00476C39">
        <w:rPr>
          <w:rFonts w:ascii="Times New Roman" w:hAnsi="Times New Roman"/>
          <w:snapToGrid/>
          <w:szCs w:val="24"/>
        </w:rPr>
        <w:t>, 20</w:t>
      </w:r>
      <w:r w:rsidR="00476C39">
        <w:rPr>
          <w:rFonts w:ascii="Times New Roman" w:hAnsi="Times New Roman"/>
          <w:snapToGrid/>
          <w:szCs w:val="24"/>
        </w:rPr>
        <w:t>2</w:t>
      </w:r>
      <w:r w:rsidR="0028688C">
        <w:rPr>
          <w:rFonts w:ascii="Times New Roman" w:hAnsi="Times New Roman"/>
          <w:snapToGrid/>
          <w:szCs w:val="24"/>
        </w:rPr>
        <w:t>6</w:t>
      </w:r>
      <w:r w:rsidRPr="00476C39">
        <w:rPr>
          <w:rFonts w:ascii="Times New Roman" w:hAnsi="Times New Roman"/>
          <w:snapToGrid/>
          <w:szCs w:val="24"/>
        </w:rPr>
        <w:t xml:space="preserve">.  </w:t>
      </w:r>
      <w:r w:rsidR="0028688C">
        <w:rPr>
          <w:rFonts w:ascii="Times New Roman" w:hAnsi="Times New Roman"/>
          <w:szCs w:val="24"/>
        </w:rPr>
        <w:t xml:space="preserve">There are no </w:t>
      </w:r>
      <w:r w:rsidRPr="00476C39">
        <w:rPr>
          <w:rFonts w:ascii="Times New Roman" w:hAnsi="Times New Roman"/>
          <w:szCs w:val="24"/>
        </w:rPr>
        <w:t xml:space="preserve">changes </w:t>
      </w:r>
      <w:r w:rsidR="0028688C">
        <w:rPr>
          <w:rFonts w:ascii="Times New Roman" w:hAnsi="Times New Roman"/>
          <w:szCs w:val="24"/>
        </w:rPr>
        <w:t xml:space="preserve">since the last renewal, so this collection will be submitted as </w:t>
      </w:r>
      <w:r w:rsidRPr="00AB1FC1" w:rsidR="0028688C">
        <w:rPr>
          <w:rFonts w:ascii="Times New Roman" w:hAnsi="Times New Roman"/>
          <w:i/>
          <w:iCs/>
          <w:szCs w:val="24"/>
        </w:rPr>
        <w:t>an extension without change of a currently approved collection</w:t>
      </w:r>
      <w:r w:rsidRPr="00476C39">
        <w:rPr>
          <w:rFonts w:ascii="Times New Roman" w:hAnsi="Times New Roman"/>
          <w:szCs w:val="24"/>
        </w:rPr>
        <w:t>.</w:t>
      </w:r>
    </w:p>
    <w:p w:rsidR="00DD7E9E" w:rsidRPr="00476C39" w:rsidP="005F158F" w14:paraId="46FBA83D" w14:textId="77777777">
      <w:pPr>
        <w:autoSpaceDE w:val="0"/>
        <w:autoSpaceDN w:val="0"/>
        <w:adjustRightInd w:val="0"/>
        <w:rPr>
          <w:rFonts w:ascii="Times New Roman" w:hAnsi="Times New Roman"/>
          <w:b/>
          <w:bCs/>
          <w:snapToGrid/>
          <w:szCs w:val="24"/>
        </w:rPr>
      </w:pPr>
    </w:p>
    <w:p w:rsidR="00476C39" w:rsidRPr="00AB1FC1" w:rsidP="00AB1FC1" w14:paraId="3F7208B2" w14:textId="39549643">
      <w:pPr>
        <w:pStyle w:val="ListParagraph"/>
        <w:numPr>
          <w:ilvl w:val="0"/>
          <w:numId w:val="36"/>
        </w:numPr>
        <w:tabs>
          <w:tab w:val="left" w:pos="-1440"/>
        </w:tabs>
        <w:rPr>
          <w:rFonts w:ascii="Times New Roman" w:hAnsi="Times New Roman"/>
          <w:b/>
          <w:szCs w:val="24"/>
        </w:rPr>
      </w:pPr>
      <w:r w:rsidRPr="00AB1FC1">
        <w:rPr>
          <w:rFonts w:ascii="Times New Roman" w:hAnsi="Times New Roman"/>
          <w:b/>
          <w:szCs w:val="24"/>
        </w:rPr>
        <w:t xml:space="preserve">JUSTIFICATION </w:t>
      </w:r>
    </w:p>
    <w:p w:rsidR="00476C39" w:rsidP="00476C39" w14:paraId="14C47B05" w14:textId="77777777">
      <w:pPr>
        <w:tabs>
          <w:tab w:val="left" w:pos="-1440"/>
        </w:tabs>
        <w:rPr>
          <w:rFonts w:ascii="Times New Roman" w:hAnsi="Times New Roman"/>
          <w:b/>
          <w:szCs w:val="24"/>
          <w:u w:val="single"/>
        </w:rPr>
      </w:pPr>
    </w:p>
    <w:p w:rsidR="0077022A" w:rsidRPr="00AB1FC1" w:rsidP="00AB1FC1" w14:paraId="50B026F0" w14:textId="3B182813">
      <w:pPr>
        <w:numPr>
          <w:ilvl w:val="0"/>
          <w:numId w:val="38"/>
        </w:numPr>
        <w:tabs>
          <w:tab w:val="left" w:pos="-1440"/>
        </w:tabs>
        <w:rPr>
          <w:rFonts w:ascii="Times New Roman" w:hAnsi="Times New Roman"/>
          <w:b/>
          <w:szCs w:val="24"/>
        </w:rPr>
      </w:pPr>
      <w:r w:rsidRPr="00AB1FC1">
        <w:rPr>
          <w:rFonts w:ascii="Times New Roman" w:hAnsi="Times New Roman"/>
          <w:b/>
          <w:bCs/>
          <w:szCs w:val="24"/>
        </w:rPr>
        <w:t xml:space="preserve">Circumstances </w:t>
      </w:r>
      <w:r w:rsidRPr="00AB1FC1" w:rsidR="009F4B58">
        <w:rPr>
          <w:rFonts w:ascii="Times New Roman" w:hAnsi="Times New Roman"/>
          <w:b/>
          <w:bCs/>
          <w:szCs w:val="24"/>
        </w:rPr>
        <w:t>M</w:t>
      </w:r>
      <w:r w:rsidRPr="00AB1FC1">
        <w:rPr>
          <w:rFonts w:ascii="Times New Roman" w:hAnsi="Times New Roman"/>
          <w:b/>
          <w:bCs/>
          <w:szCs w:val="24"/>
        </w:rPr>
        <w:t>ak</w:t>
      </w:r>
      <w:r w:rsidRPr="00AB1FC1" w:rsidR="009F4B58">
        <w:rPr>
          <w:rFonts w:ascii="Times New Roman" w:hAnsi="Times New Roman"/>
          <w:b/>
          <w:bCs/>
          <w:szCs w:val="24"/>
        </w:rPr>
        <w:t>ing the</w:t>
      </w:r>
      <w:r w:rsidRPr="00AB1FC1">
        <w:rPr>
          <w:rFonts w:ascii="Times New Roman" w:hAnsi="Times New Roman"/>
          <w:b/>
          <w:bCs/>
          <w:szCs w:val="24"/>
        </w:rPr>
        <w:t xml:space="preserve"> </w:t>
      </w:r>
      <w:r w:rsidRPr="00AB1FC1" w:rsidR="009F4B58">
        <w:rPr>
          <w:rFonts w:ascii="Times New Roman" w:hAnsi="Times New Roman"/>
          <w:b/>
          <w:bCs/>
          <w:szCs w:val="24"/>
        </w:rPr>
        <w:t>C</w:t>
      </w:r>
      <w:r w:rsidRPr="00AB1FC1">
        <w:rPr>
          <w:rFonts w:ascii="Times New Roman" w:hAnsi="Times New Roman"/>
          <w:b/>
          <w:bCs/>
          <w:szCs w:val="24"/>
        </w:rPr>
        <w:t xml:space="preserve">ollection of </w:t>
      </w:r>
      <w:r w:rsidRPr="00AB1FC1" w:rsidR="009F4B58">
        <w:rPr>
          <w:rFonts w:ascii="Times New Roman" w:hAnsi="Times New Roman"/>
          <w:b/>
          <w:bCs/>
          <w:szCs w:val="24"/>
        </w:rPr>
        <w:t>Information Necessary</w:t>
      </w:r>
      <w:r w:rsidRPr="00AB1FC1">
        <w:rPr>
          <w:rFonts w:ascii="Times New Roman" w:hAnsi="Times New Roman"/>
          <w:b/>
          <w:bCs/>
          <w:szCs w:val="24"/>
        </w:rPr>
        <w:br/>
      </w:r>
    </w:p>
    <w:p w:rsidR="00E53BE8" w:rsidRPr="00E53BE8" w:rsidP="00AB1FC1" w14:paraId="10D2A0E7" w14:textId="71C5B461">
      <w:pPr>
        <w:ind w:left="720"/>
        <w:rPr>
          <w:rFonts w:ascii="Times New Roman" w:hAnsi="Times New Roman"/>
          <w:szCs w:val="24"/>
        </w:rPr>
      </w:pPr>
      <w:r w:rsidRPr="00E53BE8">
        <w:rPr>
          <w:rFonts w:ascii="Times New Roman" w:hAnsi="Times New Roman"/>
          <w:szCs w:val="24"/>
        </w:rPr>
        <w:t>Th</w:t>
      </w:r>
      <w:r w:rsidR="001E78E4">
        <w:rPr>
          <w:rFonts w:ascii="Times New Roman" w:hAnsi="Times New Roman"/>
          <w:szCs w:val="24"/>
        </w:rPr>
        <w:t xml:space="preserve">is </w:t>
      </w:r>
      <w:r w:rsidRPr="00E53BE8">
        <w:rPr>
          <w:rFonts w:ascii="Times New Roman" w:hAnsi="Times New Roman"/>
          <w:szCs w:val="24"/>
        </w:rPr>
        <w:t>collection aid</w:t>
      </w:r>
      <w:r w:rsidR="001E78E4">
        <w:rPr>
          <w:rFonts w:ascii="Times New Roman" w:hAnsi="Times New Roman"/>
          <w:szCs w:val="24"/>
        </w:rPr>
        <w:t>s</w:t>
      </w:r>
      <w:r w:rsidRPr="00E53BE8">
        <w:rPr>
          <w:rFonts w:ascii="Times New Roman" w:hAnsi="Times New Roman"/>
          <w:szCs w:val="24"/>
        </w:rPr>
        <w:t xml:space="preserve"> in identifying oceangoing vessels that may be both useful and available to the Department of Defense</w:t>
      </w:r>
      <w:r w:rsidR="001E78E4">
        <w:rPr>
          <w:rFonts w:ascii="Times New Roman" w:hAnsi="Times New Roman"/>
          <w:szCs w:val="24"/>
        </w:rPr>
        <w:t xml:space="preserve"> (DOD)</w:t>
      </w:r>
      <w:r w:rsidRPr="00E53BE8">
        <w:rPr>
          <w:rFonts w:ascii="Times New Roman" w:hAnsi="Times New Roman"/>
          <w:szCs w:val="24"/>
        </w:rPr>
        <w:t xml:space="preserve"> for deploying U.S. military equipment (such as tanks and other tracked and wheeled vehicles) and the full range of supplies (including petroleum products and fuel)</w:t>
      </w:r>
      <w:r w:rsidR="001E78E4">
        <w:rPr>
          <w:rFonts w:ascii="Times New Roman" w:hAnsi="Times New Roman"/>
          <w:szCs w:val="24"/>
        </w:rPr>
        <w:t>, that are</w:t>
      </w:r>
      <w:r w:rsidRPr="00E53BE8">
        <w:rPr>
          <w:rFonts w:ascii="Times New Roman" w:hAnsi="Times New Roman"/>
          <w:szCs w:val="24"/>
        </w:rPr>
        <w:t xml:space="preserve"> necessary to sustain a force in a foreign theater of operations.  In order to identify “militarily useful” vessels, </w:t>
      </w:r>
      <w:r w:rsidR="001E78E4">
        <w:rPr>
          <w:rFonts w:ascii="Times New Roman" w:hAnsi="Times New Roman"/>
          <w:szCs w:val="24"/>
        </w:rPr>
        <w:t>the Maritime Administration (</w:t>
      </w:r>
      <w:r w:rsidRPr="00E53BE8">
        <w:rPr>
          <w:rFonts w:ascii="Times New Roman" w:hAnsi="Times New Roman"/>
          <w:szCs w:val="24"/>
        </w:rPr>
        <w:t>MARAD</w:t>
      </w:r>
      <w:r w:rsidR="001E78E4">
        <w:rPr>
          <w:rFonts w:ascii="Times New Roman" w:hAnsi="Times New Roman"/>
          <w:szCs w:val="24"/>
        </w:rPr>
        <w:t>)</w:t>
      </w:r>
      <w:r w:rsidRPr="00E53BE8">
        <w:rPr>
          <w:rFonts w:ascii="Times New Roman" w:hAnsi="Times New Roman"/>
          <w:szCs w:val="24"/>
        </w:rPr>
        <w:t xml:space="preserve"> consults Lloyd’s Register of Shipping (Lloyd’s List), S and P Global’s Market Intelligence Maritime Portal, and other commercial shipping registry sources.  These sources represent the principal standard compendium of information </w:t>
      </w:r>
      <w:r w:rsidR="001E78E4">
        <w:rPr>
          <w:rFonts w:ascii="Times New Roman" w:hAnsi="Times New Roman"/>
          <w:szCs w:val="24"/>
        </w:rPr>
        <w:t>about</w:t>
      </w:r>
      <w:r w:rsidRPr="00E53BE8" w:rsidR="001E78E4">
        <w:rPr>
          <w:rFonts w:ascii="Times New Roman" w:hAnsi="Times New Roman"/>
          <w:szCs w:val="24"/>
        </w:rPr>
        <w:t xml:space="preserve"> </w:t>
      </w:r>
      <w:r w:rsidRPr="00E53BE8">
        <w:rPr>
          <w:rFonts w:ascii="Times New Roman" w:hAnsi="Times New Roman"/>
          <w:szCs w:val="24"/>
        </w:rPr>
        <w:t>commercial cargo vessels.  They describe, classify, and register vessels according to certain criteria of physical structure and equipment as well as ownership.  Thus, these sources are principally a list of vessels and the corporate entities that own and operate them, not of persons.  MARAD is satisfied that these sources effectively capture all vessels which might be considered “militarily useful.”  MARAD is interested in persons to the extent that their nationality is relevant to a determination of the citizenship of the owners of a vessel.</w:t>
      </w:r>
    </w:p>
    <w:p w:rsidR="00E53BE8" w:rsidRPr="00E53BE8" w:rsidP="00AB1FC1" w14:paraId="7B737DFA" w14:textId="77777777">
      <w:pPr>
        <w:ind w:left="720"/>
        <w:rPr>
          <w:rFonts w:ascii="Times New Roman" w:hAnsi="Times New Roman"/>
          <w:szCs w:val="24"/>
        </w:rPr>
      </w:pPr>
      <w:r w:rsidRPr="00E53BE8">
        <w:rPr>
          <w:rFonts w:ascii="Times New Roman" w:hAnsi="Times New Roman"/>
          <w:szCs w:val="24"/>
        </w:rPr>
        <w:t xml:space="preserve"> </w:t>
      </w:r>
    </w:p>
    <w:p w:rsidR="00E53BE8" w:rsidRPr="00E53BE8" w:rsidP="00AB1FC1" w14:paraId="18B4EBA4" w14:textId="1EAA2FC9">
      <w:pPr>
        <w:ind w:left="720"/>
        <w:rPr>
          <w:rFonts w:ascii="Times New Roman" w:hAnsi="Times New Roman"/>
          <w:szCs w:val="24"/>
        </w:rPr>
      </w:pPr>
      <w:r w:rsidRPr="00E53BE8">
        <w:rPr>
          <w:rFonts w:ascii="Times New Roman" w:hAnsi="Times New Roman"/>
          <w:szCs w:val="24"/>
        </w:rPr>
        <w:t>In order for a vessel to be considered available for DOD use (other than a U.S. or foreign flag vessel hired [chartered] by DOD)</w:t>
      </w:r>
      <w:r w:rsidR="004005D5">
        <w:rPr>
          <w:rFonts w:ascii="Times New Roman" w:hAnsi="Times New Roman"/>
          <w:szCs w:val="24"/>
        </w:rPr>
        <w:t>,</w:t>
      </w:r>
      <w:r w:rsidRPr="00E53BE8">
        <w:rPr>
          <w:rFonts w:ascii="Times New Roman" w:hAnsi="Times New Roman"/>
          <w:szCs w:val="24"/>
        </w:rPr>
        <w:t xml:space="preserve"> it must be subject to requisition pursuant to US law, 46 </w:t>
      </w:r>
      <w:r w:rsidR="004005D5">
        <w:rPr>
          <w:rFonts w:ascii="Times New Roman" w:hAnsi="Times New Roman"/>
          <w:szCs w:val="24"/>
        </w:rPr>
        <w:t>United States Code (</w:t>
      </w:r>
      <w:r w:rsidRPr="00E53BE8">
        <w:rPr>
          <w:rFonts w:ascii="Times New Roman" w:hAnsi="Times New Roman"/>
          <w:szCs w:val="24"/>
        </w:rPr>
        <w:t>U.S.C.</w:t>
      </w:r>
      <w:r w:rsidR="004005D5">
        <w:rPr>
          <w:rFonts w:ascii="Times New Roman" w:hAnsi="Times New Roman"/>
          <w:szCs w:val="24"/>
        </w:rPr>
        <w:t>)</w:t>
      </w:r>
      <w:r w:rsidRPr="00E53BE8">
        <w:rPr>
          <w:rFonts w:ascii="Times New Roman" w:hAnsi="Times New Roman"/>
          <w:szCs w:val="24"/>
        </w:rPr>
        <w:t xml:space="preserve"> 56301.  This means that if the vessel in question is registered in a foreign country, it must be owned by U.S. citizens to be considered </w:t>
      </w:r>
      <w:r w:rsidR="004005D5">
        <w:rPr>
          <w:rFonts w:ascii="Times New Roman" w:hAnsi="Times New Roman"/>
          <w:szCs w:val="24"/>
        </w:rPr>
        <w:t xml:space="preserve">for </w:t>
      </w:r>
      <w:r w:rsidRPr="00E53BE8">
        <w:rPr>
          <w:rFonts w:ascii="Times New Roman" w:hAnsi="Times New Roman"/>
          <w:szCs w:val="24"/>
        </w:rPr>
        <w:t xml:space="preserve">requisition.  MARAD uses the names of vessel owners (most commonly corporations) identified in vessel registry data as the starting point for a determination of the citizenship of the owners.  Ownership (and the nationality of owners) is verified through direct contact with owners identified in vessel registry data.  </w:t>
      </w:r>
    </w:p>
    <w:p w:rsidR="00E53BE8" w:rsidRPr="00E53BE8" w:rsidP="00AB1FC1" w14:paraId="6FC0A3F4" w14:textId="77777777">
      <w:pPr>
        <w:ind w:left="720"/>
        <w:rPr>
          <w:rFonts w:ascii="Times New Roman" w:hAnsi="Times New Roman"/>
          <w:szCs w:val="24"/>
        </w:rPr>
      </w:pPr>
    </w:p>
    <w:p w:rsidR="005824AA" w:rsidRPr="005824AA" w:rsidP="005824AA" w14:paraId="4BAB0F2A" w14:textId="1000B1C6">
      <w:pPr>
        <w:ind w:left="720"/>
        <w:rPr>
          <w:rFonts w:ascii="Times New Roman" w:hAnsi="Times New Roman"/>
          <w:szCs w:val="24"/>
        </w:rPr>
      </w:pPr>
      <w:r w:rsidRPr="00E53BE8">
        <w:rPr>
          <w:rFonts w:ascii="Times New Roman" w:hAnsi="Times New Roman"/>
          <w:szCs w:val="24"/>
        </w:rPr>
        <w:t xml:space="preserve">This collection of information enhances the Department of Transportation’s strategic goal </w:t>
      </w:r>
      <w:r w:rsidRPr="00E53BE8">
        <w:rPr>
          <w:rFonts w:ascii="Times New Roman" w:hAnsi="Times New Roman"/>
          <w:szCs w:val="24"/>
        </w:rPr>
        <w:t>for security, preparedness, and response.</w:t>
      </w:r>
      <w:r>
        <w:rPr>
          <w:rFonts w:ascii="Times New Roman" w:hAnsi="Times New Roman"/>
          <w:szCs w:val="24"/>
        </w:rPr>
        <w:t xml:space="preserve"> MARAD utilizes these resources to s</w:t>
      </w:r>
      <w:r w:rsidRPr="005824AA">
        <w:rPr>
          <w:rFonts w:ascii="Times New Roman" w:hAnsi="Times New Roman"/>
          <w:szCs w:val="24"/>
        </w:rPr>
        <w:t xml:space="preserve">trengthen </w:t>
      </w:r>
      <w:r>
        <w:rPr>
          <w:rFonts w:ascii="Times New Roman" w:hAnsi="Times New Roman"/>
          <w:szCs w:val="24"/>
        </w:rPr>
        <w:t>its</w:t>
      </w:r>
      <w:r w:rsidRPr="005824AA">
        <w:rPr>
          <w:rFonts w:ascii="Times New Roman" w:hAnsi="Times New Roman"/>
          <w:szCs w:val="24"/>
        </w:rPr>
        <w:t xml:space="preserve"> use of informed data-driven decision-making and apply comprehensive</w:t>
      </w:r>
    </w:p>
    <w:p w:rsidR="00B24543" w:rsidP="005824AA" w14:paraId="4C5EBC61" w14:textId="3DD0301C">
      <w:pPr>
        <w:ind w:left="720"/>
        <w:rPr>
          <w:rFonts w:ascii="Times New Roman" w:hAnsi="Times New Roman"/>
          <w:szCs w:val="24"/>
        </w:rPr>
      </w:pPr>
      <w:r w:rsidRPr="005824AA">
        <w:rPr>
          <w:rFonts w:ascii="Times New Roman" w:hAnsi="Times New Roman"/>
          <w:szCs w:val="24"/>
        </w:rPr>
        <w:t>approaches such as the Safe System approach and safety management systems for all modes</w:t>
      </w:r>
      <w:r>
        <w:rPr>
          <w:rFonts w:ascii="Times New Roman" w:hAnsi="Times New Roman"/>
          <w:szCs w:val="24"/>
        </w:rPr>
        <w:t xml:space="preserve"> of transportation</w:t>
      </w:r>
      <w:r w:rsidRPr="005824AA">
        <w:rPr>
          <w:rFonts w:ascii="Times New Roman" w:hAnsi="Times New Roman"/>
          <w:szCs w:val="24"/>
        </w:rPr>
        <w:t>.</w:t>
      </w:r>
    </w:p>
    <w:p w:rsidR="00E53BE8" w:rsidRPr="00476C39" w:rsidP="00E53BE8" w14:paraId="696DAF13" w14:textId="77777777">
      <w:pPr>
        <w:ind w:left="720"/>
        <w:rPr>
          <w:rFonts w:ascii="Times New Roman" w:hAnsi="Times New Roman"/>
          <w:szCs w:val="24"/>
        </w:rPr>
      </w:pPr>
    </w:p>
    <w:p w:rsidR="008452D4" w:rsidRPr="00AB1FC1" w:rsidP="00AB1FC1" w14:paraId="48B2C628" w14:textId="0CB9293B">
      <w:pPr>
        <w:pStyle w:val="ListParagraph"/>
        <w:numPr>
          <w:ilvl w:val="0"/>
          <w:numId w:val="38"/>
        </w:numPr>
        <w:tabs>
          <w:tab w:val="left" w:pos="-1440"/>
        </w:tabs>
        <w:rPr>
          <w:rFonts w:ascii="Times New Roman" w:hAnsi="Times New Roman"/>
          <w:b/>
          <w:szCs w:val="24"/>
        </w:rPr>
      </w:pPr>
      <w:r w:rsidRPr="00AB1FC1">
        <w:rPr>
          <w:rFonts w:ascii="Times New Roman" w:hAnsi="Times New Roman"/>
          <w:b/>
          <w:szCs w:val="24"/>
        </w:rPr>
        <w:t>P</w:t>
      </w:r>
      <w:r w:rsidRPr="00AB1FC1" w:rsidR="003B2596">
        <w:rPr>
          <w:rFonts w:ascii="Times New Roman" w:hAnsi="Times New Roman"/>
          <w:b/>
          <w:szCs w:val="24"/>
        </w:rPr>
        <w:t>urpose</w:t>
      </w:r>
      <w:r w:rsidRPr="00AB1FC1">
        <w:rPr>
          <w:rFonts w:ascii="Times New Roman" w:hAnsi="Times New Roman"/>
          <w:b/>
          <w:szCs w:val="24"/>
        </w:rPr>
        <w:t xml:space="preserve"> and Use of </w:t>
      </w:r>
      <w:r w:rsidRPr="00AB1FC1" w:rsidR="003B2596">
        <w:rPr>
          <w:rFonts w:ascii="Times New Roman" w:hAnsi="Times New Roman"/>
          <w:b/>
          <w:szCs w:val="24"/>
        </w:rPr>
        <w:t xml:space="preserve">the </w:t>
      </w:r>
      <w:r w:rsidRPr="00AB1FC1">
        <w:rPr>
          <w:rFonts w:ascii="Times New Roman" w:hAnsi="Times New Roman"/>
          <w:b/>
          <w:szCs w:val="24"/>
        </w:rPr>
        <w:t>Information Collection</w:t>
      </w:r>
      <w:r w:rsidRPr="00AB1FC1" w:rsidR="003B2596">
        <w:rPr>
          <w:rFonts w:ascii="Times New Roman" w:hAnsi="Times New Roman"/>
          <w:b/>
          <w:szCs w:val="24"/>
        </w:rPr>
        <w:t xml:space="preserve">  </w:t>
      </w:r>
    </w:p>
    <w:p w:rsidR="00476C39" w:rsidRPr="00AB1FC1" w:rsidP="00AB1FC1" w14:paraId="1B20C794" w14:textId="77777777">
      <w:pPr>
        <w:pStyle w:val="ListParagraph"/>
        <w:tabs>
          <w:tab w:val="left" w:pos="-1440"/>
        </w:tabs>
        <w:rPr>
          <w:rFonts w:ascii="Times New Roman" w:hAnsi="Times New Roman"/>
          <w:b/>
          <w:szCs w:val="24"/>
        </w:rPr>
      </w:pPr>
    </w:p>
    <w:p w:rsidR="00E53BE8" w:rsidRPr="00E53BE8" w:rsidP="00AB1FC1" w14:paraId="539546FD" w14:textId="366F6E69">
      <w:pPr>
        <w:pStyle w:val="ListParagraph"/>
        <w:rPr>
          <w:rFonts w:ascii="Times New Roman" w:eastAsia="Times New Roman" w:hAnsi="Times New Roman"/>
          <w:snapToGrid w:val="0"/>
          <w:sz w:val="24"/>
          <w:szCs w:val="24"/>
        </w:rPr>
      </w:pPr>
      <w:r w:rsidRPr="00E53BE8">
        <w:rPr>
          <w:rFonts w:ascii="Times New Roman" w:eastAsia="Times New Roman" w:hAnsi="Times New Roman"/>
          <w:snapToGrid w:val="0"/>
          <w:sz w:val="24"/>
          <w:szCs w:val="24"/>
        </w:rPr>
        <w:t xml:space="preserve">The </w:t>
      </w:r>
      <w:r w:rsidR="008452D4">
        <w:rPr>
          <w:rFonts w:ascii="Times New Roman" w:eastAsia="Times New Roman" w:hAnsi="Times New Roman"/>
          <w:snapToGrid w:val="0"/>
          <w:sz w:val="24"/>
          <w:szCs w:val="24"/>
        </w:rPr>
        <w:t xml:space="preserve">collected </w:t>
      </w:r>
      <w:r w:rsidRPr="00E53BE8">
        <w:rPr>
          <w:rFonts w:ascii="Times New Roman" w:eastAsia="Times New Roman" w:hAnsi="Times New Roman"/>
          <w:snapToGrid w:val="0"/>
          <w:sz w:val="24"/>
          <w:szCs w:val="24"/>
        </w:rPr>
        <w:t>information is used by MARAD's Office of Policy and Plans and the Division of Sealift Operations and Emergency Preparedness for contingency planning for sealift capacity.  Each respondent is requested to provide the following elements of information for vessels identified as owned by the respondent</w:t>
      </w:r>
      <w:r w:rsidR="008452D4">
        <w:rPr>
          <w:rFonts w:ascii="Times New Roman" w:eastAsia="Times New Roman" w:hAnsi="Times New Roman"/>
          <w:snapToGrid w:val="0"/>
          <w:sz w:val="24"/>
          <w:szCs w:val="24"/>
        </w:rPr>
        <w:t>:</w:t>
      </w:r>
      <w:r w:rsidRPr="00E53BE8">
        <w:rPr>
          <w:rFonts w:ascii="Times New Roman" w:eastAsia="Times New Roman" w:hAnsi="Times New Roman"/>
          <w:snapToGrid w:val="0"/>
          <w:sz w:val="24"/>
          <w:szCs w:val="24"/>
        </w:rPr>
        <w:t xml:space="preserve"> </w:t>
      </w:r>
    </w:p>
    <w:p w:rsidR="00E53BE8" w:rsidRPr="00E53BE8" w:rsidP="00E53BE8" w14:paraId="20D14A07" w14:textId="77777777">
      <w:pPr>
        <w:pStyle w:val="ListParagraph"/>
        <w:ind w:left="0"/>
        <w:rPr>
          <w:rFonts w:ascii="Times New Roman" w:eastAsia="Times New Roman" w:hAnsi="Times New Roman"/>
          <w:snapToGrid w:val="0"/>
          <w:sz w:val="24"/>
          <w:szCs w:val="24"/>
        </w:rPr>
      </w:pPr>
    </w:p>
    <w:p w:rsidR="00E53BE8" w:rsidRPr="00E53BE8" w:rsidP="00AB1FC1" w14:paraId="1811BA86" w14:textId="77777777">
      <w:pPr>
        <w:pStyle w:val="ListParagraph"/>
        <w:rPr>
          <w:rFonts w:ascii="Times New Roman" w:eastAsia="Times New Roman" w:hAnsi="Times New Roman"/>
          <w:snapToGrid w:val="0"/>
          <w:sz w:val="24"/>
          <w:szCs w:val="24"/>
        </w:rPr>
      </w:pPr>
      <w:r w:rsidRPr="00E53BE8">
        <w:rPr>
          <w:rFonts w:ascii="Times New Roman" w:eastAsia="Times New Roman" w:hAnsi="Times New Roman"/>
          <w:snapToGrid w:val="0"/>
          <w:sz w:val="24"/>
          <w:szCs w:val="24"/>
        </w:rPr>
        <w:t>Vessel name</w:t>
      </w:r>
    </w:p>
    <w:p w:rsidR="00E53BE8" w:rsidRPr="00E53BE8" w:rsidP="00AB1FC1" w14:paraId="7B2D6132" w14:textId="77777777">
      <w:pPr>
        <w:pStyle w:val="ListParagraph"/>
        <w:rPr>
          <w:rFonts w:ascii="Times New Roman" w:eastAsia="Times New Roman" w:hAnsi="Times New Roman"/>
          <w:snapToGrid w:val="0"/>
          <w:sz w:val="24"/>
          <w:szCs w:val="24"/>
        </w:rPr>
      </w:pPr>
      <w:r w:rsidRPr="00E53BE8">
        <w:rPr>
          <w:rFonts w:ascii="Times New Roman" w:eastAsia="Times New Roman" w:hAnsi="Times New Roman"/>
          <w:snapToGrid w:val="0"/>
          <w:sz w:val="24"/>
          <w:szCs w:val="24"/>
        </w:rPr>
        <w:t>Flag (country of registry)</w:t>
      </w:r>
    </w:p>
    <w:p w:rsidR="00E53BE8" w:rsidRPr="00E53BE8" w:rsidP="00AB1FC1" w14:paraId="16F6B60D" w14:textId="77777777">
      <w:pPr>
        <w:pStyle w:val="ListParagraph"/>
        <w:rPr>
          <w:rFonts w:ascii="Times New Roman" w:eastAsia="Times New Roman" w:hAnsi="Times New Roman"/>
          <w:snapToGrid w:val="0"/>
          <w:sz w:val="24"/>
          <w:szCs w:val="24"/>
        </w:rPr>
      </w:pPr>
      <w:r w:rsidRPr="00E53BE8">
        <w:rPr>
          <w:rFonts w:ascii="Times New Roman" w:eastAsia="Times New Roman" w:hAnsi="Times New Roman"/>
          <w:snapToGrid w:val="0"/>
          <w:sz w:val="24"/>
          <w:szCs w:val="24"/>
        </w:rPr>
        <w:t>Vessel type (e. g., containership, tanker, bulk, roll-on/roll-off, breakbulk, refrigerated)</w:t>
      </w:r>
    </w:p>
    <w:p w:rsidR="00E53BE8" w:rsidRPr="00E53BE8" w:rsidP="00AB1FC1" w14:paraId="11B2C001" w14:textId="77777777">
      <w:pPr>
        <w:pStyle w:val="ListParagraph"/>
        <w:rPr>
          <w:rFonts w:ascii="Times New Roman" w:eastAsia="Times New Roman" w:hAnsi="Times New Roman"/>
          <w:snapToGrid w:val="0"/>
          <w:sz w:val="24"/>
          <w:szCs w:val="24"/>
        </w:rPr>
      </w:pPr>
      <w:r w:rsidRPr="00E53BE8">
        <w:rPr>
          <w:rFonts w:ascii="Times New Roman" w:eastAsia="Times New Roman" w:hAnsi="Times New Roman"/>
          <w:snapToGrid w:val="0"/>
          <w:sz w:val="24"/>
          <w:szCs w:val="24"/>
        </w:rPr>
        <w:t>International Maritime Organization (IMO) number</w:t>
      </w:r>
    </w:p>
    <w:p w:rsidR="00E53BE8" w:rsidRPr="00E53BE8" w:rsidP="00AB1FC1" w14:paraId="117CB172" w14:textId="77777777">
      <w:pPr>
        <w:pStyle w:val="ListParagraph"/>
        <w:rPr>
          <w:rFonts w:ascii="Times New Roman" w:eastAsia="Times New Roman" w:hAnsi="Times New Roman"/>
          <w:snapToGrid w:val="0"/>
          <w:sz w:val="24"/>
          <w:szCs w:val="24"/>
        </w:rPr>
      </w:pPr>
      <w:r w:rsidRPr="00E53BE8">
        <w:rPr>
          <w:rFonts w:ascii="Times New Roman" w:eastAsia="Times New Roman" w:hAnsi="Times New Roman"/>
          <w:snapToGrid w:val="0"/>
          <w:sz w:val="24"/>
          <w:szCs w:val="24"/>
        </w:rPr>
        <w:t>Call sign</w:t>
      </w:r>
    </w:p>
    <w:p w:rsidR="00E53BE8" w:rsidRPr="00E53BE8" w:rsidP="00AB1FC1" w14:paraId="77B01609" w14:textId="77777777">
      <w:pPr>
        <w:pStyle w:val="ListParagraph"/>
        <w:rPr>
          <w:rFonts w:ascii="Times New Roman" w:eastAsia="Times New Roman" w:hAnsi="Times New Roman"/>
          <w:snapToGrid w:val="0"/>
          <w:sz w:val="24"/>
          <w:szCs w:val="24"/>
        </w:rPr>
      </w:pPr>
      <w:r w:rsidRPr="00E53BE8">
        <w:rPr>
          <w:rFonts w:ascii="Times New Roman" w:eastAsia="Times New Roman" w:hAnsi="Times New Roman"/>
          <w:snapToGrid w:val="0"/>
          <w:sz w:val="24"/>
          <w:szCs w:val="24"/>
        </w:rPr>
        <w:t>Cargo capacity</w:t>
      </w:r>
    </w:p>
    <w:p w:rsidR="00E53BE8" w:rsidRPr="00E53BE8" w:rsidP="00AB1FC1" w14:paraId="394A5D3E" w14:textId="77777777">
      <w:pPr>
        <w:pStyle w:val="ListParagraph"/>
        <w:rPr>
          <w:rFonts w:ascii="Times New Roman" w:eastAsia="Times New Roman" w:hAnsi="Times New Roman"/>
          <w:snapToGrid w:val="0"/>
          <w:sz w:val="24"/>
          <w:szCs w:val="24"/>
        </w:rPr>
      </w:pPr>
      <w:r w:rsidRPr="00E53BE8">
        <w:rPr>
          <w:rFonts w:ascii="Times New Roman" w:eastAsia="Times New Roman" w:hAnsi="Times New Roman"/>
          <w:snapToGrid w:val="0"/>
          <w:sz w:val="24"/>
          <w:szCs w:val="24"/>
        </w:rPr>
        <w:t>Year of launch</w:t>
      </w:r>
    </w:p>
    <w:p w:rsidR="00E53BE8" w:rsidRPr="00E53BE8" w:rsidP="00AB1FC1" w14:paraId="74E7E4AB" w14:textId="77777777">
      <w:pPr>
        <w:pStyle w:val="ListParagraph"/>
        <w:rPr>
          <w:rFonts w:ascii="Times New Roman" w:eastAsia="Times New Roman" w:hAnsi="Times New Roman"/>
          <w:snapToGrid w:val="0"/>
          <w:sz w:val="24"/>
          <w:szCs w:val="24"/>
        </w:rPr>
      </w:pPr>
      <w:r w:rsidRPr="00E53BE8">
        <w:rPr>
          <w:rFonts w:ascii="Times New Roman" w:eastAsia="Times New Roman" w:hAnsi="Times New Roman"/>
          <w:snapToGrid w:val="0"/>
          <w:sz w:val="24"/>
          <w:szCs w:val="24"/>
        </w:rPr>
        <w:t>Where built</w:t>
      </w:r>
    </w:p>
    <w:p w:rsidR="00E53BE8" w:rsidRPr="00E53BE8" w:rsidP="00AB1FC1" w14:paraId="7F3C6975" w14:textId="77777777">
      <w:pPr>
        <w:pStyle w:val="ListParagraph"/>
        <w:rPr>
          <w:rFonts w:ascii="Times New Roman" w:eastAsia="Times New Roman" w:hAnsi="Times New Roman"/>
          <w:snapToGrid w:val="0"/>
          <w:sz w:val="24"/>
          <w:szCs w:val="24"/>
        </w:rPr>
      </w:pPr>
      <w:r w:rsidRPr="00E53BE8">
        <w:rPr>
          <w:rFonts w:ascii="Times New Roman" w:eastAsia="Times New Roman" w:hAnsi="Times New Roman"/>
          <w:snapToGrid w:val="0"/>
          <w:sz w:val="24"/>
          <w:szCs w:val="24"/>
        </w:rPr>
        <w:t>Dimensions (depth, breadth, length)</w:t>
      </w:r>
    </w:p>
    <w:p w:rsidR="00E53BE8" w:rsidRPr="00E53BE8" w:rsidP="00AB1FC1" w14:paraId="4BA698BA" w14:textId="77777777">
      <w:pPr>
        <w:pStyle w:val="ListParagraph"/>
        <w:rPr>
          <w:rFonts w:ascii="Times New Roman" w:eastAsia="Times New Roman" w:hAnsi="Times New Roman"/>
          <w:snapToGrid w:val="0"/>
          <w:sz w:val="24"/>
          <w:szCs w:val="24"/>
        </w:rPr>
      </w:pPr>
      <w:r w:rsidRPr="00E53BE8">
        <w:rPr>
          <w:rFonts w:ascii="Times New Roman" w:eastAsia="Times New Roman" w:hAnsi="Times New Roman"/>
          <w:snapToGrid w:val="0"/>
          <w:sz w:val="24"/>
          <w:szCs w:val="24"/>
        </w:rPr>
        <w:t>Names of insurers</w:t>
      </w:r>
    </w:p>
    <w:p w:rsidR="00E53BE8" w:rsidRPr="00E53BE8" w:rsidP="00AB1FC1" w14:paraId="513DEEB6" w14:textId="77777777">
      <w:pPr>
        <w:pStyle w:val="ListParagraph"/>
        <w:rPr>
          <w:rFonts w:ascii="Times New Roman" w:eastAsia="Times New Roman" w:hAnsi="Times New Roman"/>
          <w:snapToGrid w:val="0"/>
          <w:sz w:val="24"/>
          <w:szCs w:val="24"/>
        </w:rPr>
      </w:pPr>
      <w:r w:rsidRPr="00E53BE8">
        <w:rPr>
          <w:rFonts w:ascii="Times New Roman" w:eastAsia="Times New Roman" w:hAnsi="Times New Roman"/>
          <w:snapToGrid w:val="0"/>
          <w:sz w:val="24"/>
          <w:szCs w:val="24"/>
        </w:rPr>
        <w:t>Primary fuel type</w:t>
      </w:r>
    </w:p>
    <w:p w:rsidR="00E53BE8" w:rsidRPr="00E53BE8" w:rsidP="00AB1FC1" w14:paraId="4FFB9F79" w14:textId="77777777">
      <w:pPr>
        <w:pStyle w:val="ListParagraph"/>
        <w:rPr>
          <w:rFonts w:ascii="Times New Roman" w:eastAsia="Times New Roman" w:hAnsi="Times New Roman"/>
          <w:snapToGrid w:val="0"/>
          <w:sz w:val="24"/>
          <w:szCs w:val="24"/>
        </w:rPr>
      </w:pPr>
      <w:r w:rsidRPr="00E53BE8">
        <w:rPr>
          <w:rFonts w:ascii="Times New Roman" w:eastAsia="Times New Roman" w:hAnsi="Times New Roman"/>
          <w:snapToGrid w:val="0"/>
          <w:sz w:val="24"/>
          <w:szCs w:val="24"/>
        </w:rPr>
        <w:t xml:space="preserve">Speed </w:t>
      </w:r>
    </w:p>
    <w:p w:rsidR="00E53BE8" w:rsidRPr="00E53BE8" w:rsidP="00AB1FC1" w14:paraId="0321B941" w14:textId="77777777">
      <w:pPr>
        <w:pStyle w:val="ListParagraph"/>
        <w:rPr>
          <w:rFonts w:ascii="Times New Roman" w:eastAsia="Times New Roman" w:hAnsi="Times New Roman"/>
          <w:snapToGrid w:val="0"/>
          <w:sz w:val="24"/>
          <w:szCs w:val="24"/>
        </w:rPr>
      </w:pPr>
      <w:r w:rsidRPr="00E53BE8">
        <w:rPr>
          <w:rFonts w:ascii="Times New Roman" w:eastAsia="Times New Roman" w:hAnsi="Times New Roman"/>
          <w:snapToGrid w:val="0"/>
          <w:sz w:val="24"/>
          <w:szCs w:val="24"/>
        </w:rPr>
        <w:t>Current beneficial owner</w:t>
      </w:r>
    </w:p>
    <w:p w:rsidR="00E53BE8" w:rsidRPr="00E53BE8" w:rsidP="00E53BE8" w14:paraId="3FCCB35A" w14:textId="77777777">
      <w:pPr>
        <w:pStyle w:val="ListParagraph"/>
        <w:ind w:left="0"/>
        <w:rPr>
          <w:rFonts w:ascii="Times New Roman" w:eastAsia="Times New Roman" w:hAnsi="Times New Roman"/>
          <w:snapToGrid w:val="0"/>
          <w:sz w:val="24"/>
          <w:szCs w:val="24"/>
        </w:rPr>
      </w:pPr>
    </w:p>
    <w:p w:rsidR="00E53BE8" w:rsidRPr="00E53BE8" w:rsidP="00AB1FC1" w14:paraId="2B095B24" w14:textId="6BEB91E7">
      <w:pPr>
        <w:pStyle w:val="ListParagraph"/>
        <w:rPr>
          <w:rFonts w:ascii="Times New Roman" w:eastAsia="Times New Roman" w:hAnsi="Times New Roman"/>
          <w:snapToGrid w:val="0"/>
          <w:sz w:val="24"/>
          <w:szCs w:val="24"/>
        </w:rPr>
      </w:pPr>
      <w:r w:rsidRPr="00E53BE8">
        <w:rPr>
          <w:rFonts w:ascii="Times New Roman" w:eastAsia="Times New Roman" w:hAnsi="Times New Roman"/>
          <w:snapToGrid w:val="0"/>
          <w:sz w:val="24"/>
          <w:szCs w:val="24"/>
        </w:rPr>
        <w:t xml:space="preserve">Incomplete or inaccurate information </w:t>
      </w:r>
      <w:r w:rsidR="008452D4">
        <w:rPr>
          <w:rFonts w:ascii="Times New Roman" w:eastAsia="Times New Roman" w:hAnsi="Times New Roman"/>
          <w:snapToGrid w:val="0"/>
          <w:sz w:val="24"/>
          <w:szCs w:val="24"/>
        </w:rPr>
        <w:t>about</w:t>
      </w:r>
      <w:r w:rsidRPr="00E53BE8">
        <w:rPr>
          <w:rFonts w:ascii="Times New Roman" w:eastAsia="Times New Roman" w:hAnsi="Times New Roman"/>
          <w:snapToGrid w:val="0"/>
          <w:sz w:val="24"/>
          <w:szCs w:val="24"/>
        </w:rPr>
        <w:t xml:space="preserve"> the ownership, flag, size, age, speed and tonnage could lead to invalid conclusions and faulty analysis.</w:t>
      </w:r>
    </w:p>
    <w:p w:rsidR="00DF62C4" w:rsidRPr="00476C39" w:rsidP="005F158F" w14:paraId="20FA3D96" w14:textId="77777777">
      <w:pPr>
        <w:pStyle w:val="ListParagraph"/>
        <w:spacing w:after="0" w:line="240" w:lineRule="auto"/>
        <w:ind w:left="0"/>
        <w:rPr>
          <w:rFonts w:ascii="Times New Roman" w:hAnsi="Times New Roman"/>
          <w:sz w:val="24"/>
          <w:szCs w:val="24"/>
        </w:rPr>
      </w:pPr>
    </w:p>
    <w:p w:rsidR="00B24543" w:rsidRPr="00AB1FC1" w:rsidP="00AB1FC1" w14:paraId="3B195E3D" w14:textId="3D5C931D">
      <w:pPr>
        <w:numPr>
          <w:ilvl w:val="0"/>
          <w:numId w:val="38"/>
        </w:numPr>
        <w:tabs>
          <w:tab w:val="left" w:pos="-1440"/>
        </w:tabs>
        <w:rPr>
          <w:rFonts w:ascii="Times New Roman" w:hAnsi="Times New Roman"/>
          <w:b/>
          <w:szCs w:val="24"/>
        </w:rPr>
      </w:pPr>
      <w:r w:rsidRPr="00AB1FC1">
        <w:rPr>
          <w:rFonts w:ascii="Times New Roman" w:hAnsi="Times New Roman"/>
          <w:b/>
          <w:szCs w:val="24"/>
        </w:rPr>
        <w:t>A</w:t>
      </w:r>
      <w:r w:rsidRPr="00AB1FC1" w:rsidR="003B2596">
        <w:rPr>
          <w:rFonts w:ascii="Times New Roman" w:hAnsi="Times New Roman"/>
          <w:b/>
          <w:szCs w:val="24"/>
        </w:rPr>
        <w:t>utomat</w:t>
      </w:r>
      <w:r w:rsidRPr="00AB1FC1">
        <w:rPr>
          <w:rFonts w:ascii="Times New Roman" w:hAnsi="Times New Roman"/>
          <w:b/>
          <w:szCs w:val="24"/>
        </w:rPr>
        <w:t>ion or Use of I</w:t>
      </w:r>
      <w:r w:rsidRPr="00AB1FC1" w:rsidR="003B2596">
        <w:rPr>
          <w:rFonts w:ascii="Times New Roman" w:hAnsi="Times New Roman"/>
          <w:b/>
          <w:szCs w:val="24"/>
        </w:rPr>
        <w:t xml:space="preserve">nformation </w:t>
      </w:r>
      <w:r w:rsidRPr="00AB1FC1">
        <w:rPr>
          <w:rFonts w:ascii="Times New Roman" w:hAnsi="Times New Roman"/>
          <w:b/>
          <w:szCs w:val="24"/>
        </w:rPr>
        <w:t>Technology (IT)</w:t>
      </w:r>
    </w:p>
    <w:p w:rsidR="00B24543" w:rsidRPr="00476C39" w:rsidP="00AB1FC1" w14:paraId="57410D38" w14:textId="77777777">
      <w:pPr>
        <w:ind w:left="720"/>
        <w:rPr>
          <w:rFonts w:ascii="Times New Roman" w:hAnsi="Times New Roman"/>
          <w:szCs w:val="24"/>
        </w:rPr>
      </w:pPr>
      <w:r>
        <w:rPr>
          <w:rFonts w:ascii="Times New Roman" w:hAnsi="Times New Roman"/>
          <w:szCs w:val="24"/>
        </w:rPr>
        <w:br/>
      </w:r>
      <w:r w:rsidRPr="00476C39">
        <w:rPr>
          <w:rFonts w:ascii="Times New Roman" w:hAnsi="Times New Roman"/>
          <w:szCs w:val="24"/>
        </w:rPr>
        <w:t>MARAD offers a total electronic option for this collection.</w:t>
      </w:r>
    </w:p>
    <w:p w:rsidR="00B24543" w:rsidRPr="00476C39" w:rsidP="005F158F" w14:paraId="75A50CFC" w14:textId="77777777">
      <w:pPr>
        <w:rPr>
          <w:rFonts w:ascii="Times New Roman" w:hAnsi="Times New Roman"/>
          <w:szCs w:val="24"/>
        </w:rPr>
      </w:pPr>
    </w:p>
    <w:p w:rsidR="00476C39" w:rsidRPr="00AB1FC1" w:rsidP="00AB1FC1" w14:paraId="57F0121C" w14:textId="30B20CE9">
      <w:pPr>
        <w:numPr>
          <w:ilvl w:val="0"/>
          <w:numId w:val="38"/>
        </w:numPr>
        <w:tabs>
          <w:tab w:val="left" w:pos="-1440"/>
        </w:tabs>
        <w:rPr>
          <w:rFonts w:ascii="Times New Roman" w:hAnsi="Times New Roman"/>
          <w:b/>
          <w:szCs w:val="24"/>
        </w:rPr>
      </w:pPr>
      <w:r w:rsidRPr="00AB1FC1">
        <w:rPr>
          <w:rFonts w:ascii="Times New Roman" w:hAnsi="Times New Roman"/>
          <w:b/>
          <w:szCs w:val="24"/>
        </w:rPr>
        <w:t xml:space="preserve">Efforts to </w:t>
      </w:r>
      <w:r w:rsidR="00D25295">
        <w:rPr>
          <w:rFonts w:ascii="Times New Roman" w:hAnsi="Times New Roman"/>
          <w:b/>
          <w:szCs w:val="24"/>
        </w:rPr>
        <w:t>I</w:t>
      </w:r>
      <w:r w:rsidRPr="00AB1FC1">
        <w:rPr>
          <w:rFonts w:ascii="Times New Roman" w:hAnsi="Times New Roman"/>
          <w:b/>
          <w:szCs w:val="24"/>
        </w:rPr>
        <w:t xml:space="preserve">dentify </w:t>
      </w:r>
      <w:r w:rsidR="00D25295">
        <w:rPr>
          <w:rFonts w:ascii="Times New Roman" w:hAnsi="Times New Roman"/>
          <w:b/>
          <w:szCs w:val="24"/>
        </w:rPr>
        <w:t>D</w:t>
      </w:r>
      <w:r w:rsidRPr="00AB1FC1" w:rsidR="00D25295">
        <w:rPr>
          <w:rFonts w:ascii="Times New Roman" w:hAnsi="Times New Roman"/>
          <w:b/>
          <w:szCs w:val="24"/>
        </w:rPr>
        <w:t>uplication</w:t>
      </w:r>
      <w:r w:rsidRPr="00AB1FC1">
        <w:rPr>
          <w:rFonts w:ascii="Times New Roman" w:hAnsi="Times New Roman"/>
          <w:b/>
          <w:szCs w:val="24"/>
        </w:rPr>
        <w:t xml:space="preserve">.  </w:t>
      </w:r>
      <w:r w:rsidRPr="00AB1FC1">
        <w:rPr>
          <w:rFonts w:ascii="Times New Roman" w:hAnsi="Times New Roman"/>
          <w:b/>
          <w:szCs w:val="24"/>
        </w:rPr>
        <w:br/>
      </w:r>
    </w:p>
    <w:p w:rsidR="00E53BE8" w:rsidP="00D25295" w14:paraId="2FF3B209" w14:textId="0F287E9C">
      <w:pPr>
        <w:widowControl/>
        <w:ind w:left="720"/>
        <w:rPr>
          <w:rFonts w:ascii="Times New Roman" w:hAnsi="Times New Roman"/>
          <w:szCs w:val="24"/>
        </w:rPr>
      </w:pPr>
      <w:r>
        <w:rPr>
          <w:rFonts w:ascii="Times New Roman" w:hAnsi="Times New Roman"/>
          <w:szCs w:val="24"/>
        </w:rPr>
        <w:t>MARAD</w:t>
      </w:r>
      <w:r w:rsidRPr="00E53BE8" w:rsidR="003B2596">
        <w:rPr>
          <w:rFonts w:ascii="Times New Roman" w:hAnsi="Times New Roman"/>
          <w:szCs w:val="24"/>
        </w:rPr>
        <w:t xml:space="preserve"> identified commercial sources of shipping information as the primary source for information on vessel ownership and vessel characteristics.  </w:t>
      </w:r>
      <w:r w:rsidR="00D25295">
        <w:rPr>
          <w:rFonts w:ascii="Times New Roman" w:hAnsi="Times New Roman"/>
          <w:szCs w:val="24"/>
        </w:rPr>
        <w:t xml:space="preserve">Since </w:t>
      </w:r>
      <w:r w:rsidRPr="00E53BE8" w:rsidR="003B2596">
        <w:rPr>
          <w:rFonts w:ascii="Times New Roman" w:hAnsi="Times New Roman"/>
          <w:szCs w:val="24"/>
        </w:rPr>
        <w:t xml:space="preserve">relevant information of vessel ownership, characteristics, and country of registry may change between periodic publication of updates to these sources, </w:t>
      </w:r>
      <w:r>
        <w:rPr>
          <w:rFonts w:ascii="Times New Roman" w:hAnsi="Times New Roman"/>
          <w:szCs w:val="24"/>
        </w:rPr>
        <w:t>collected</w:t>
      </w:r>
      <w:r w:rsidRPr="00E53BE8" w:rsidR="003B2596">
        <w:rPr>
          <w:rFonts w:ascii="Times New Roman" w:hAnsi="Times New Roman"/>
          <w:szCs w:val="24"/>
        </w:rPr>
        <w:t xml:space="preserve"> information</w:t>
      </w:r>
      <w:r>
        <w:rPr>
          <w:rFonts w:ascii="Times New Roman" w:hAnsi="Times New Roman"/>
          <w:szCs w:val="24"/>
        </w:rPr>
        <w:t xml:space="preserve"> is verified</w:t>
      </w:r>
      <w:r w:rsidRPr="00E53BE8" w:rsidR="003B2596">
        <w:rPr>
          <w:rFonts w:ascii="Times New Roman" w:hAnsi="Times New Roman"/>
          <w:szCs w:val="24"/>
        </w:rPr>
        <w:t xml:space="preserve"> by direct contact with vessel owners, beginning with owners identified by these sources.   </w:t>
      </w:r>
    </w:p>
    <w:p w:rsidR="00D25295" w:rsidP="00D25295" w14:paraId="10BC708B" w14:textId="77777777">
      <w:pPr>
        <w:widowControl/>
        <w:rPr>
          <w:rFonts w:ascii="Times New Roman" w:hAnsi="Times New Roman"/>
          <w:szCs w:val="24"/>
        </w:rPr>
      </w:pPr>
    </w:p>
    <w:p w:rsidR="00B24543" w:rsidRPr="00AB1FC1" w:rsidP="00AB1FC1" w14:paraId="3301D265" w14:textId="25B05BFB">
      <w:pPr>
        <w:pStyle w:val="ListParagraph"/>
        <w:numPr>
          <w:ilvl w:val="0"/>
          <w:numId w:val="38"/>
        </w:numPr>
        <w:rPr>
          <w:rFonts w:ascii="Times New Roman" w:hAnsi="Times New Roman"/>
          <w:b/>
          <w:szCs w:val="24"/>
        </w:rPr>
      </w:pPr>
      <w:r w:rsidRPr="00D25295">
        <w:rPr>
          <w:rFonts w:ascii="Times New Roman" w:hAnsi="Times New Roman"/>
          <w:b/>
          <w:szCs w:val="24"/>
        </w:rPr>
        <w:t xml:space="preserve">Impact on </w:t>
      </w:r>
      <w:r w:rsidRPr="00AB1FC1">
        <w:rPr>
          <w:rFonts w:ascii="Times New Roman" w:hAnsi="Times New Roman"/>
          <w:b/>
          <w:szCs w:val="24"/>
        </w:rPr>
        <w:t>S</w:t>
      </w:r>
      <w:r w:rsidRPr="00AB1FC1" w:rsidR="003B2596">
        <w:rPr>
          <w:rFonts w:ascii="Times New Roman" w:hAnsi="Times New Roman"/>
          <w:b/>
          <w:szCs w:val="24"/>
        </w:rPr>
        <w:t xml:space="preserve">mall </w:t>
      </w:r>
      <w:r w:rsidRPr="00AB1FC1">
        <w:rPr>
          <w:rFonts w:ascii="Times New Roman" w:hAnsi="Times New Roman"/>
          <w:b/>
          <w:szCs w:val="24"/>
        </w:rPr>
        <w:t>Businesses or Other Small Entities</w:t>
      </w:r>
      <w:r w:rsidRPr="00AB1FC1" w:rsidR="003B2596">
        <w:rPr>
          <w:rFonts w:ascii="Times New Roman" w:hAnsi="Times New Roman"/>
          <w:b/>
          <w:szCs w:val="24"/>
        </w:rPr>
        <w:t xml:space="preserve">  </w:t>
      </w:r>
    </w:p>
    <w:p w:rsidR="00B24543" w:rsidRPr="00476C39" w:rsidP="00AB1FC1" w14:paraId="2D17AD7F" w14:textId="291EBD66">
      <w:pPr>
        <w:ind w:left="720"/>
        <w:rPr>
          <w:rFonts w:ascii="Times New Roman" w:hAnsi="Times New Roman"/>
          <w:szCs w:val="24"/>
        </w:rPr>
      </w:pPr>
      <w:r w:rsidRPr="00476C39">
        <w:rPr>
          <w:rFonts w:ascii="Times New Roman" w:hAnsi="Times New Roman"/>
          <w:szCs w:val="24"/>
        </w:rPr>
        <w:t>This information collection does not impact small businesses.</w:t>
      </w:r>
    </w:p>
    <w:p w:rsidR="00323D6B" w:rsidRPr="00476C39" w:rsidP="005F158F" w14:paraId="0067A028" w14:textId="77777777">
      <w:pPr>
        <w:rPr>
          <w:rFonts w:ascii="Times New Roman" w:hAnsi="Times New Roman"/>
          <w:szCs w:val="24"/>
        </w:rPr>
      </w:pPr>
    </w:p>
    <w:p w:rsidR="00B24543" w:rsidRPr="00AB1FC1" w:rsidP="00AB1FC1" w14:paraId="2277C8CB" w14:textId="7E48D761">
      <w:pPr>
        <w:pStyle w:val="ListParagraph"/>
        <w:numPr>
          <w:ilvl w:val="0"/>
          <w:numId w:val="38"/>
        </w:numPr>
        <w:rPr>
          <w:rFonts w:ascii="Times New Roman" w:hAnsi="Times New Roman"/>
          <w:b/>
          <w:bCs/>
          <w:szCs w:val="24"/>
        </w:rPr>
      </w:pPr>
      <w:r w:rsidRPr="00AB1FC1">
        <w:rPr>
          <w:rFonts w:ascii="Times New Roman" w:hAnsi="Times New Roman"/>
          <w:b/>
          <w:bCs/>
          <w:szCs w:val="24"/>
        </w:rPr>
        <w:t xml:space="preserve">Impact of </w:t>
      </w:r>
      <w:r w:rsidRPr="00AB1FC1" w:rsidR="00D25295">
        <w:rPr>
          <w:rFonts w:ascii="Times New Roman" w:hAnsi="Times New Roman"/>
          <w:b/>
          <w:bCs/>
          <w:szCs w:val="24"/>
        </w:rPr>
        <w:t>Not Conducting or L</w:t>
      </w:r>
      <w:r w:rsidRPr="00AB1FC1">
        <w:rPr>
          <w:rFonts w:ascii="Times New Roman" w:hAnsi="Times New Roman"/>
          <w:b/>
          <w:bCs/>
          <w:szCs w:val="24"/>
        </w:rPr>
        <w:t xml:space="preserve">ess </w:t>
      </w:r>
      <w:r w:rsidRPr="00AB1FC1" w:rsidR="00D25295">
        <w:rPr>
          <w:rFonts w:ascii="Times New Roman" w:hAnsi="Times New Roman"/>
          <w:b/>
          <w:bCs/>
          <w:szCs w:val="24"/>
        </w:rPr>
        <w:t>Frequent C</w:t>
      </w:r>
      <w:r w:rsidRPr="00AB1FC1">
        <w:rPr>
          <w:rFonts w:ascii="Times New Roman" w:hAnsi="Times New Roman"/>
          <w:b/>
          <w:bCs/>
          <w:szCs w:val="24"/>
        </w:rPr>
        <w:t xml:space="preserve">ollection of </w:t>
      </w:r>
      <w:r w:rsidRPr="00AB1FC1" w:rsidR="00D25295">
        <w:rPr>
          <w:rFonts w:ascii="Times New Roman" w:hAnsi="Times New Roman"/>
          <w:b/>
          <w:bCs/>
          <w:szCs w:val="24"/>
        </w:rPr>
        <w:t>Information</w:t>
      </w:r>
      <w:r w:rsidRPr="00AB1FC1">
        <w:rPr>
          <w:rFonts w:ascii="Times New Roman" w:hAnsi="Times New Roman"/>
          <w:b/>
          <w:bCs/>
          <w:szCs w:val="24"/>
        </w:rPr>
        <w:t xml:space="preserve"> </w:t>
      </w:r>
      <w:r w:rsidRPr="00AB1FC1">
        <w:rPr>
          <w:rFonts w:ascii="Times New Roman" w:hAnsi="Times New Roman"/>
          <w:b/>
          <w:bCs/>
          <w:szCs w:val="24"/>
        </w:rPr>
        <w:br/>
      </w:r>
    </w:p>
    <w:p w:rsidR="00B24543" w:rsidRPr="00476C39" w:rsidP="00AB1FC1" w14:paraId="685ED84E" w14:textId="77777777">
      <w:pPr>
        <w:ind w:firstLine="720"/>
        <w:rPr>
          <w:rFonts w:ascii="Times New Roman" w:hAnsi="Times New Roman"/>
          <w:szCs w:val="24"/>
        </w:rPr>
      </w:pPr>
      <w:r w:rsidRPr="00476C39">
        <w:rPr>
          <w:rFonts w:ascii="Times New Roman" w:hAnsi="Times New Roman"/>
          <w:szCs w:val="24"/>
        </w:rPr>
        <w:t>Mobilization plans would lack current information thereby reducing their accuracy.</w:t>
      </w:r>
    </w:p>
    <w:p w:rsidR="00B24543" w:rsidRPr="00476C39" w:rsidP="005F158F" w14:paraId="199D1848" w14:textId="77777777">
      <w:pPr>
        <w:rPr>
          <w:rFonts w:ascii="Times New Roman" w:hAnsi="Times New Roman"/>
          <w:szCs w:val="24"/>
        </w:rPr>
      </w:pPr>
    </w:p>
    <w:p w:rsidR="00B24543" w:rsidRPr="00AB1FC1" w:rsidP="00AB1FC1" w14:paraId="3AB943DE" w14:textId="60B6BC5A">
      <w:pPr>
        <w:pStyle w:val="ListParagraph"/>
        <w:numPr>
          <w:ilvl w:val="0"/>
          <w:numId w:val="38"/>
        </w:num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Cs w:val="24"/>
        </w:rPr>
      </w:pPr>
      <w:r w:rsidRPr="00AB1FC1">
        <w:rPr>
          <w:rFonts w:ascii="Times New Roman" w:hAnsi="Times New Roman"/>
          <w:b/>
          <w:bCs/>
          <w:szCs w:val="24"/>
        </w:rPr>
        <w:t>Special Circumstances</w:t>
      </w:r>
      <w:r w:rsidRPr="00AB1FC1" w:rsidR="00D25295">
        <w:rPr>
          <w:rFonts w:ascii="Times New Roman" w:hAnsi="Times New Roman"/>
          <w:b/>
          <w:bCs/>
          <w:szCs w:val="24"/>
        </w:rPr>
        <w:t xml:space="preserve"> Relating to the Guidelines 5 CFR 1320.5</w:t>
      </w:r>
      <w:r w:rsidRPr="00AB1FC1">
        <w:rPr>
          <w:rFonts w:ascii="Times New Roman" w:hAnsi="Times New Roman"/>
          <w:b/>
          <w:bCs/>
          <w:szCs w:val="24"/>
        </w:rPr>
        <w:t xml:space="preserve">  </w:t>
      </w:r>
    </w:p>
    <w:p w:rsidR="00B24543" w:rsidP="00D25295" w14:paraId="706D80F3" w14:textId="7A9C3DD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Cs w:val="24"/>
        </w:rPr>
      </w:pPr>
      <w:r w:rsidRPr="00476C39">
        <w:rPr>
          <w:rFonts w:ascii="Times New Roman" w:hAnsi="Times New Roman"/>
          <w:szCs w:val="24"/>
        </w:rPr>
        <w:t xml:space="preserve">There are no special circumstances that require the collection of information to be conducted in a manner described </w:t>
      </w:r>
      <w:r w:rsidR="00D25295">
        <w:rPr>
          <w:rFonts w:ascii="Times New Roman" w:hAnsi="Times New Roman"/>
          <w:szCs w:val="24"/>
        </w:rPr>
        <w:t>below:</w:t>
      </w:r>
    </w:p>
    <w:p w:rsidR="00D25295" w:rsidP="00D25295" w14:paraId="7518BE5D"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Cs w:val="24"/>
        </w:rPr>
      </w:pPr>
    </w:p>
    <w:p w:rsidR="00D25295" w:rsidRPr="00D25295" w:rsidP="00AB1FC1" w14:paraId="64943971" w14:textId="77777777">
      <w:pPr>
        <w:numPr>
          <w:ilvl w:val="0"/>
          <w:numId w:val="39"/>
        </w:numPr>
        <w:autoSpaceDE w:val="0"/>
        <w:autoSpaceDN w:val="0"/>
        <w:adjustRightInd w:val="0"/>
        <w:ind w:left="1170" w:hanging="450"/>
        <w:contextualSpacing/>
        <w:rPr>
          <w:rFonts w:ascii="Times New Roman" w:hAnsi="Times New Roman"/>
          <w:bCs/>
          <w:snapToGrid/>
          <w:szCs w:val="24"/>
        </w:rPr>
      </w:pPr>
      <w:r w:rsidRPr="00D25295">
        <w:rPr>
          <w:rFonts w:ascii="Times New Roman" w:hAnsi="Times New Roman"/>
          <w:bCs/>
          <w:snapToGrid/>
          <w:szCs w:val="24"/>
        </w:rPr>
        <w:t>Requiring respondents to report information to MARAD more often than quarterly;</w:t>
      </w:r>
    </w:p>
    <w:p w:rsidR="00D25295" w:rsidRPr="00D25295" w:rsidP="00AB1FC1" w14:paraId="256C96C5" w14:textId="77777777">
      <w:pPr>
        <w:numPr>
          <w:ilvl w:val="0"/>
          <w:numId w:val="39"/>
        </w:numPr>
        <w:autoSpaceDE w:val="0"/>
        <w:autoSpaceDN w:val="0"/>
        <w:adjustRightInd w:val="0"/>
        <w:ind w:left="1170" w:hanging="450"/>
        <w:contextualSpacing/>
        <w:rPr>
          <w:rFonts w:ascii="Times New Roman" w:hAnsi="Times New Roman"/>
          <w:bCs/>
          <w:snapToGrid/>
          <w:szCs w:val="24"/>
        </w:rPr>
      </w:pPr>
      <w:r w:rsidRPr="00D25295">
        <w:rPr>
          <w:rFonts w:ascii="Times New Roman" w:hAnsi="Times New Roman"/>
          <w:bCs/>
          <w:snapToGrid/>
          <w:szCs w:val="24"/>
        </w:rPr>
        <w:t>Requiring respondents to prepare a written response in fewer than 30 days after receipt of a collection instrument;</w:t>
      </w:r>
    </w:p>
    <w:p w:rsidR="00D25295" w:rsidRPr="00D25295" w:rsidP="00AB1FC1" w14:paraId="51E0BA90" w14:textId="77777777">
      <w:pPr>
        <w:numPr>
          <w:ilvl w:val="0"/>
          <w:numId w:val="39"/>
        </w:numPr>
        <w:autoSpaceDE w:val="0"/>
        <w:autoSpaceDN w:val="0"/>
        <w:adjustRightInd w:val="0"/>
        <w:ind w:left="1170" w:hanging="450"/>
        <w:contextualSpacing/>
        <w:rPr>
          <w:rFonts w:ascii="Times New Roman" w:hAnsi="Times New Roman"/>
          <w:bCs/>
          <w:snapToGrid/>
          <w:szCs w:val="24"/>
        </w:rPr>
      </w:pPr>
      <w:r w:rsidRPr="00D25295">
        <w:rPr>
          <w:rFonts w:ascii="Times New Roman" w:hAnsi="Times New Roman"/>
          <w:bCs/>
          <w:snapToGrid/>
          <w:szCs w:val="24"/>
        </w:rPr>
        <w:t>Requiring respondents to submit more than one original copy of any document;</w:t>
      </w:r>
    </w:p>
    <w:p w:rsidR="00D25295" w:rsidRPr="00D25295" w:rsidP="00AB1FC1" w14:paraId="35620C97" w14:textId="77777777">
      <w:pPr>
        <w:numPr>
          <w:ilvl w:val="0"/>
          <w:numId w:val="39"/>
        </w:numPr>
        <w:autoSpaceDE w:val="0"/>
        <w:autoSpaceDN w:val="0"/>
        <w:adjustRightInd w:val="0"/>
        <w:ind w:left="1170" w:hanging="450"/>
        <w:contextualSpacing/>
        <w:rPr>
          <w:rFonts w:ascii="Times New Roman" w:hAnsi="Times New Roman"/>
          <w:bCs/>
          <w:snapToGrid/>
          <w:szCs w:val="24"/>
        </w:rPr>
      </w:pPr>
      <w:r w:rsidRPr="00D25295">
        <w:rPr>
          <w:rFonts w:ascii="Times New Roman" w:hAnsi="Times New Roman"/>
          <w:bCs/>
          <w:snapToGrid/>
          <w:szCs w:val="24"/>
        </w:rPr>
        <w:t>Requiring respondents to retain records, other than health, medical, government contract, grant-in-aid, or tax records for more than three years;</w:t>
      </w:r>
    </w:p>
    <w:p w:rsidR="00D25295" w:rsidRPr="00D25295" w:rsidP="00AB1FC1" w14:paraId="0D89D460" w14:textId="77777777">
      <w:pPr>
        <w:numPr>
          <w:ilvl w:val="0"/>
          <w:numId w:val="39"/>
        </w:numPr>
        <w:autoSpaceDE w:val="0"/>
        <w:autoSpaceDN w:val="0"/>
        <w:adjustRightInd w:val="0"/>
        <w:ind w:left="1170" w:hanging="450"/>
        <w:contextualSpacing/>
        <w:rPr>
          <w:rFonts w:ascii="Times New Roman" w:hAnsi="Times New Roman"/>
          <w:bCs/>
          <w:snapToGrid/>
          <w:szCs w:val="24"/>
        </w:rPr>
      </w:pPr>
      <w:r w:rsidRPr="00D25295">
        <w:rPr>
          <w:rFonts w:ascii="Times New Roman" w:hAnsi="Times New Roman"/>
          <w:bCs/>
          <w:snapToGrid/>
          <w:szCs w:val="24"/>
        </w:rPr>
        <w:t>Requiring the use of any statistical data that is not designed to produce valid and reliable results that can be generalized to the universe of study;</w:t>
      </w:r>
    </w:p>
    <w:p w:rsidR="00D25295" w:rsidRPr="00D25295" w:rsidP="00AB1FC1" w14:paraId="7BA52057" w14:textId="77777777">
      <w:pPr>
        <w:numPr>
          <w:ilvl w:val="0"/>
          <w:numId w:val="39"/>
        </w:numPr>
        <w:autoSpaceDE w:val="0"/>
        <w:autoSpaceDN w:val="0"/>
        <w:adjustRightInd w:val="0"/>
        <w:ind w:left="1170" w:hanging="450"/>
        <w:contextualSpacing/>
        <w:rPr>
          <w:rFonts w:ascii="Times New Roman" w:hAnsi="Times New Roman"/>
          <w:bCs/>
          <w:snapToGrid/>
          <w:szCs w:val="24"/>
        </w:rPr>
      </w:pPr>
      <w:r w:rsidRPr="00D25295">
        <w:rPr>
          <w:rFonts w:ascii="Times New Roman" w:hAnsi="Times New Roman"/>
          <w:bCs/>
          <w:snapToGrid/>
          <w:szCs w:val="24"/>
        </w:rPr>
        <w:t>Requiring the use of a statistical data classification that has not been reviewed and approved by OMB;</w:t>
      </w:r>
    </w:p>
    <w:p w:rsidR="00D25295" w:rsidP="00AB1FC1" w14:paraId="08D6B606" w14:textId="77777777">
      <w:pPr>
        <w:numPr>
          <w:ilvl w:val="0"/>
          <w:numId w:val="39"/>
        </w:numPr>
        <w:autoSpaceDE w:val="0"/>
        <w:autoSpaceDN w:val="0"/>
        <w:adjustRightInd w:val="0"/>
        <w:ind w:left="1170" w:hanging="450"/>
        <w:contextualSpacing/>
        <w:rPr>
          <w:rFonts w:ascii="Times New Roman" w:hAnsi="Times New Roman"/>
          <w:bCs/>
          <w:snapToGrid/>
          <w:szCs w:val="24"/>
        </w:rPr>
      </w:pPr>
      <w:r w:rsidRPr="00D25295">
        <w:rPr>
          <w:rFonts w:ascii="Times New Roman" w:hAnsi="Times New Roman"/>
          <w:bCs/>
          <w:snapToGrid/>
          <w:szCs w:val="24"/>
        </w:rPr>
        <w:t xml:space="preserve">Requiring any pledge of confidentiality; or </w:t>
      </w:r>
    </w:p>
    <w:p w:rsidR="00D25295" w:rsidRPr="00AB1FC1" w:rsidP="00AB1FC1" w14:paraId="0A5474C3" w14:textId="5B132C41">
      <w:pPr>
        <w:numPr>
          <w:ilvl w:val="0"/>
          <w:numId w:val="39"/>
        </w:numPr>
        <w:autoSpaceDE w:val="0"/>
        <w:autoSpaceDN w:val="0"/>
        <w:adjustRightInd w:val="0"/>
        <w:ind w:left="1170" w:hanging="450"/>
        <w:contextualSpacing/>
        <w:rPr>
          <w:rFonts w:ascii="Times New Roman" w:hAnsi="Times New Roman"/>
          <w:bCs/>
          <w:szCs w:val="24"/>
        </w:rPr>
      </w:pPr>
      <w:r w:rsidRPr="00C94597">
        <w:rPr>
          <w:rFonts w:ascii="Times New Roman" w:hAnsi="Times New Roman"/>
          <w:bCs/>
          <w:szCs w:val="24"/>
        </w:rPr>
        <w:t xml:space="preserve">Requiring respondents to submit </w:t>
      </w:r>
      <w:r>
        <w:rPr>
          <w:rFonts w:ascii="Times New Roman" w:hAnsi="Times New Roman"/>
          <w:bCs/>
          <w:szCs w:val="24"/>
        </w:rPr>
        <w:t xml:space="preserve">any </w:t>
      </w:r>
      <w:r w:rsidRPr="00C94597">
        <w:rPr>
          <w:rFonts w:ascii="Times New Roman" w:hAnsi="Times New Roman"/>
          <w:bCs/>
          <w:szCs w:val="24"/>
        </w:rPr>
        <w:t>proprietary</w:t>
      </w:r>
      <w:r>
        <w:rPr>
          <w:rFonts w:ascii="Times New Roman" w:hAnsi="Times New Roman"/>
          <w:bCs/>
          <w:szCs w:val="24"/>
        </w:rPr>
        <w:t xml:space="preserve"> or</w:t>
      </w:r>
      <w:r w:rsidRPr="00C94597">
        <w:rPr>
          <w:rFonts w:ascii="Times New Roman" w:hAnsi="Times New Roman"/>
          <w:bCs/>
          <w:szCs w:val="24"/>
        </w:rPr>
        <w:t xml:space="preserve"> trade secret</w:t>
      </w:r>
      <w:r>
        <w:rPr>
          <w:rFonts w:ascii="Times New Roman" w:hAnsi="Times New Roman"/>
          <w:bCs/>
          <w:szCs w:val="24"/>
        </w:rPr>
        <w:t>s</w:t>
      </w:r>
      <w:r w:rsidRPr="00C94597">
        <w:rPr>
          <w:rFonts w:ascii="Times New Roman" w:hAnsi="Times New Roman"/>
          <w:bCs/>
          <w:szCs w:val="24"/>
        </w:rPr>
        <w:t>.</w:t>
      </w:r>
    </w:p>
    <w:p w:rsidR="00323D6B" w:rsidRPr="00476C39" w:rsidP="00D25295" w14:paraId="33F8DA4C"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p>
    <w:p w:rsidR="00B24543" w:rsidRPr="00AB1FC1" w:rsidP="00AB1FC1" w14:paraId="6CDB5E5D" w14:textId="56FD632E">
      <w:pPr>
        <w:numPr>
          <w:ilvl w:val="0"/>
          <w:numId w:val="38"/>
        </w:num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Cs w:val="24"/>
        </w:rPr>
      </w:pPr>
      <w:r w:rsidRPr="00AB1FC1">
        <w:rPr>
          <w:rFonts w:ascii="Times New Roman" w:hAnsi="Times New Roman"/>
          <w:b/>
          <w:szCs w:val="24"/>
        </w:rPr>
        <w:t xml:space="preserve">Public Comments in Response to the Federal Register Notice and Outside Consultation </w:t>
      </w:r>
      <w:r w:rsidRPr="00AB1FC1" w:rsidR="003B2596">
        <w:rPr>
          <w:rFonts w:ascii="Times New Roman" w:hAnsi="Times New Roman"/>
          <w:b/>
          <w:szCs w:val="24"/>
        </w:rPr>
        <w:t xml:space="preserve">  </w:t>
      </w:r>
      <w:r w:rsidRPr="00AB1FC1" w:rsidR="003B2596">
        <w:rPr>
          <w:rFonts w:ascii="Times New Roman" w:hAnsi="Times New Roman"/>
          <w:b/>
          <w:szCs w:val="24"/>
        </w:rPr>
        <w:br/>
      </w:r>
    </w:p>
    <w:p w:rsidR="00DD56C1" w:rsidP="00010611" w14:paraId="29CA3BF4" w14:textId="6C55D41C">
      <w:pPr>
        <w:pStyle w:val="ListParagraph"/>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sidRPr="00094145">
        <w:rPr>
          <w:rFonts w:ascii="Times New Roman" w:eastAsia="Times New Roman" w:hAnsi="Times New Roman"/>
          <w:snapToGrid w:val="0"/>
          <w:sz w:val="24"/>
          <w:szCs w:val="24"/>
        </w:rPr>
        <w:t>MARAD published a 60-day notice and request for comments on this information collection in the Federal Register (FR 60235, Vol 90, No. 244) on December 23, 2025, indicating comments should be submitted on or before February 23, 2026.</w:t>
      </w:r>
      <w:r>
        <w:rPr>
          <w:rFonts w:ascii="Times New Roman" w:eastAsia="Times New Roman" w:hAnsi="Times New Roman"/>
          <w:snapToGrid w:val="0"/>
          <w:sz w:val="24"/>
          <w:szCs w:val="24"/>
        </w:rPr>
        <w:t xml:space="preserve">  No comments were received. </w:t>
      </w:r>
      <w:r w:rsidRPr="00094145">
        <w:rPr>
          <w:rFonts w:ascii="Times New Roman" w:eastAsia="Times New Roman" w:hAnsi="Times New Roman"/>
          <w:snapToGrid w:val="0"/>
          <w:sz w:val="24"/>
          <w:szCs w:val="24"/>
        </w:rPr>
        <w:t xml:space="preserve"> A 30-day notice will now be published in the Federal Register to solicit public comments.</w:t>
      </w:r>
      <w:r w:rsidRPr="00094145">
        <w:rPr>
          <w:rFonts w:ascii="Times New Roman" w:hAnsi="Times New Roman"/>
          <w:szCs w:val="24"/>
        </w:rPr>
        <w:t xml:space="preserve"> </w:t>
      </w:r>
    </w:p>
    <w:p w:rsidR="00DD56C1" w:rsidP="00AB1FC1" w14:paraId="76C5DC4B" w14:textId="25869539">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Cs w:val="24"/>
        </w:rPr>
      </w:pPr>
      <w:r w:rsidRPr="0010689D">
        <w:rPr>
          <w:rFonts w:ascii="Times New Roman" w:hAnsi="Times New Roman"/>
          <w:szCs w:val="24"/>
        </w:rPr>
        <w:t>MARAD</w:t>
      </w:r>
      <w:r w:rsidRPr="0010689D" w:rsidR="003B2596">
        <w:rPr>
          <w:rFonts w:ascii="Times New Roman" w:hAnsi="Times New Roman"/>
          <w:szCs w:val="24"/>
        </w:rPr>
        <w:t xml:space="preserve"> currently does not</w:t>
      </w:r>
      <w:r w:rsidRPr="0010689D">
        <w:rPr>
          <w:rFonts w:ascii="Times New Roman" w:hAnsi="Times New Roman"/>
          <w:szCs w:val="24"/>
        </w:rPr>
        <w:t xml:space="preserve"> </w:t>
      </w:r>
      <w:r w:rsidRPr="0010689D" w:rsidR="006321D1">
        <w:rPr>
          <w:rFonts w:ascii="Times New Roman" w:hAnsi="Times New Roman"/>
          <w:szCs w:val="24"/>
        </w:rPr>
        <w:t>c</w:t>
      </w:r>
      <w:r w:rsidRPr="0010689D">
        <w:rPr>
          <w:rFonts w:ascii="Times New Roman" w:hAnsi="Times New Roman"/>
          <w:szCs w:val="24"/>
        </w:rPr>
        <w:t>onsults with</w:t>
      </w:r>
      <w:r w:rsidRPr="0010689D" w:rsidR="003B2596">
        <w:rPr>
          <w:rFonts w:ascii="Times New Roman" w:hAnsi="Times New Roman"/>
          <w:szCs w:val="24"/>
        </w:rPr>
        <w:t xml:space="preserve"> subsequent stakeholders regarding</w:t>
      </w:r>
      <w:r w:rsidRPr="0010689D" w:rsidR="0010689D">
        <w:rPr>
          <w:rFonts w:ascii="Times New Roman" w:hAnsi="Times New Roman"/>
          <w:szCs w:val="24"/>
        </w:rPr>
        <w:t xml:space="preserve"> any </w:t>
      </w:r>
      <w:r w:rsidRPr="0010689D" w:rsidR="003B2596">
        <w:rPr>
          <w:rFonts w:ascii="Times New Roman" w:hAnsi="Times New Roman"/>
          <w:szCs w:val="24"/>
        </w:rPr>
        <w:t>aspect of this collection.</w:t>
      </w:r>
    </w:p>
    <w:p w:rsidR="00E53BE8" w:rsidRPr="00476C39" w:rsidP="005F158F" w14:paraId="7E7DA63E"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p>
    <w:p w:rsidR="00B24543" w:rsidRPr="00AB1FC1" w:rsidP="00AB1FC1" w14:paraId="355F925C" w14:textId="37B6AF37">
      <w:pPr>
        <w:numPr>
          <w:ilvl w:val="0"/>
          <w:numId w:val="38"/>
        </w:num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Cs w:val="24"/>
        </w:rPr>
      </w:pPr>
      <w:r w:rsidRPr="00AB1FC1">
        <w:rPr>
          <w:rFonts w:ascii="Times New Roman" w:hAnsi="Times New Roman"/>
          <w:b/>
          <w:bCs/>
          <w:szCs w:val="24"/>
        </w:rPr>
        <w:t xml:space="preserve">Explanation of Any Payments or Gifts to Respondents </w:t>
      </w:r>
      <w:r w:rsidRPr="00AB1FC1">
        <w:rPr>
          <w:rFonts w:ascii="Times New Roman" w:hAnsi="Times New Roman"/>
          <w:b/>
          <w:bCs/>
          <w:szCs w:val="24"/>
        </w:rPr>
        <w:br/>
      </w:r>
    </w:p>
    <w:p w:rsidR="00B24543" w:rsidRPr="00476C39" w:rsidP="005F158F" w14:paraId="2E7E9463" w14:textId="2F94E9D5">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Pr>
          <w:rFonts w:ascii="Times New Roman" w:hAnsi="Times New Roman"/>
          <w:szCs w:val="24"/>
        </w:rPr>
        <w:tab/>
      </w:r>
      <w:r w:rsidRPr="00476C39">
        <w:rPr>
          <w:rFonts w:ascii="Times New Roman" w:hAnsi="Times New Roman"/>
          <w:szCs w:val="24"/>
        </w:rPr>
        <w:t>No payments or gifts are provided to respondents.</w:t>
      </w:r>
    </w:p>
    <w:p w:rsidR="00B24543" w:rsidRPr="00476C39" w:rsidP="005F158F" w14:paraId="490F5FF3"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p>
    <w:p w:rsidR="00B24543" w:rsidRPr="00AB1FC1" w:rsidP="00AB1FC1" w14:paraId="6DE0B9C7" w14:textId="766C916A">
      <w:pPr>
        <w:numPr>
          <w:ilvl w:val="0"/>
          <w:numId w:val="38"/>
        </w:num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Cs w:val="24"/>
        </w:rPr>
      </w:pPr>
      <w:r w:rsidRPr="00AB1FC1">
        <w:rPr>
          <w:rFonts w:ascii="Times New Roman" w:hAnsi="Times New Roman"/>
          <w:b/>
          <w:bCs/>
          <w:szCs w:val="24"/>
        </w:rPr>
        <w:t>Assurance of Confidentiality</w:t>
      </w:r>
      <w:r w:rsidRPr="00AB1FC1" w:rsidR="00FA6E9D">
        <w:rPr>
          <w:rFonts w:ascii="Times New Roman" w:hAnsi="Times New Roman"/>
          <w:b/>
          <w:bCs/>
          <w:szCs w:val="24"/>
        </w:rPr>
        <w:t xml:space="preserve"> and Protection of Privacy </w:t>
      </w:r>
      <w:r w:rsidRPr="00AB1FC1">
        <w:rPr>
          <w:rFonts w:ascii="Times New Roman" w:hAnsi="Times New Roman"/>
          <w:b/>
          <w:bCs/>
          <w:szCs w:val="24"/>
        </w:rPr>
        <w:t xml:space="preserve">  </w:t>
      </w:r>
      <w:r w:rsidRPr="00AB1FC1">
        <w:rPr>
          <w:rFonts w:ascii="Times New Roman" w:hAnsi="Times New Roman"/>
          <w:b/>
          <w:bCs/>
          <w:szCs w:val="24"/>
        </w:rPr>
        <w:br/>
      </w:r>
    </w:p>
    <w:p w:rsidR="00B24543" w:rsidRPr="00476C39" w:rsidP="00AB1FC1" w14:paraId="6143F297" w14:textId="3E1397CE">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Cs w:val="24"/>
        </w:rPr>
      </w:pPr>
      <w:r w:rsidRPr="00476C39">
        <w:rPr>
          <w:rFonts w:ascii="Times New Roman" w:hAnsi="Times New Roman"/>
          <w:szCs w:val="24"/>
        </w:rPr>
        <w:t>The information requested is not of a confidential nature</w:t>
      </w:r>
      <w:r w:rsidR="009E537F">
        <w:rPr>
          <w:rFonts w:ascii="Times New Roman" w:hAnsi="Times New Roman"/>
          <w:szCs w:val="24"/>
        </w:rPr>
        <w:t xml:space="preserve">, so </w:t>
      </w:r>
      <w:r w:rsidRPr="00476C39">
        <w:rPr>
          <w:rFonts w:ascii="Times New Roman" w:hAnsi="Times New Roman"/>
          <w:szCs w:val="24"/>
        </w:rPr>
        <w:t>no assurance of confidentiality need be given.</w:t>
      </w:r>
    </w:p>
    <w:p w:rsidR="000B4568" w:rsidRPr="00476C39" w:rsidP="005F158F" w14:paraId="06BE68E5"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p>
    <w:p w:rsidR="00B24543" w:rsidRPr="00AB1FC1" w:rsidP="00AB1FC1" w14:paraId="51CACB18" w14:textId="50CB4CD5">
      <w:pPr>
        <w:numPr>
          <w:ilvl w:val="0"/>
          <w:numId w:val="38"/>
        </w:num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Cs w:val="24"/>
        </w:rPr>
      </w:pPr>
      <w:r w:rsidRPr="00AB1FC1">
        <w:rPr>
          <w:rFonts w:ascii="Times New Roman" w:hAnsi="Times New Roman"/>
          <w:b/>
          <w:bCs/>
          <w:szCs w:val="24"/>
        </w:rPr>
        <w:t xml:space="preserve">Justification for </w:t>
      </w:r>
      <w:r w:rsidRPr="00AB1FC1" w:rsidR="00FA6E9D">
        <w:rPr>
          <w:rFonts w:ascii="Times New Roman" w:hAnsi="Times New Roman"/>
          <w:b/>
          <w:bCs/>
          <w:szCs w:val="24"/>
        </w:rPr>
        <w:t>S</w:t>
      </w:r>
      <w:r w:rsidRPr="00AB1FC1">
        <w:rPr>
          <w:rFonts w:ascii="Times New Roman" w:hAnsi="Times New Roman"/>
          <w:b/>
          <w:bCs/>
          <w:szCs w:val="24"/>
        </w:rPr>
        <w:t xml:space="preserve">ensitive </w:t>
      </w:r>
      <w:r w:rsidRPr="00AB1FC1" w:rsidR="00FA6E9D">
        <w:rPr>
          <w:rFonts w:ascii="Times New Roman" w:hAnsi="Times New Roman"/>
          <w:b/>
          <w:bCs/>
          <w:szCs w:val="24"/>
        </w:rPr>
        <w:t>Questions</w:t>
      </w:r>
      <w:r w:rsidRPr="00AB1FC1">
        <w:rPr>
          <w:rFonts w:ascii="Times New Roman" w:hAnsi="Times New Roman"/>
          <w:b/>
          <w:bCs/>
          <w:szCs w:val="24"/>
        </w:rPr>
        <w:t xml:space="preserve">  </w:t>
      </w:r>
      <w:r w:rsidRPr="00AB1FC1">
        <w:rPr>
          <w:rFonts w:ascii="Times New Roman" w:hAnsi="Times New Roman"/>
          <w:b/>
          <w:bCs/>
          <w:szCs w:val="24"/>
        </w:rPr>
        <w:br/>
      </w:r>
    </w:p>
    <w:p w:rsidR="00B24543" w:rsidRPr="00476C39" w:rsidP="005F158F" w14:paraId="6BDE3082" w14:textId="224F79F2">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Pr>
          <w:rFonts w:ascii="Times New Roman" w:hAnsi="Times New Roman"/>
          <w:szCs w:val="24"/>
        </w:rPr>
        <w:tab/>
      </w:r>
      <w:r w:rsidRPr="00476C39">
        <w:rPr>
          <w:rFonts w:ascii="Times New Roman" w:hAnsi="Times New Roman"/>
          <w:szCs w:val="24"/>
        </w:rPr>
        <w:t>There are no questions of a sensitive nature.</w:t>
      </w:r>
    </w:p>
    <w:p w:rsidR="00323D6B" w:rsidRPr="00476C39" w:rsidP="005F158F" w14:paraId="45F7CE6E"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Cs w:val="24"/>
        </w:rPr>
      </w:pPr>
    </w:p>
    <w:p w:rsidR="00FA6E9D" w:rsidP="00D25295" w14:paraId="77428EA5" w14:textId="2195D530">
      <w:pPr>
        <w:numPr>
          <w:ilvl w:val="0"/>
          <w:numId w:val="38"/>
        </w:num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Cs w:val="24"/>
        </w:rPr>
      </w:pPr>
      <w:r w:rsidRPr="00AB1FC1">
        <w:rPr>
          <w:rFonts w:ascii="Times New Roman" w:hAnsi="Times New Roman"/>
          <w:b/>
          <w:szCs w:val="24"/>
        </w:rPr>
        <w:t>Estimate of</w:t>
      </w:r>
      <w:r w:rsidRPr="00AB1FC1">
        <w:rPr>
          <w:rFonts w:ascii="Times New Roman" w:hAnsi="Times New Roman"/>
          <w:b/>
          <w:szCs w:val="24"/>
        </w:rPr>
        <w:t xml:space="preserve"> Annualized</w:t>
      </w:r>
      <w:r w:rsidRPr="00AB1FC1">
        <w:rPr>
          <w:rFonts w:ascii="Times New Roman" w:hAnsi="Times New Roman"/>
          <w:b/>
          <w:szCs w:val="24"/>
        </w:rPr>
        <w:t xml:space="preserve"> </w:t>
      </w:r>
      <w:r w:rsidRPr="00AB1FC1">
        <w:rPr>
          <w:rFonts w:ascii="Times New Roman" w:hAnsi="Times New Roman"/>
          <w:b/>
          <w:szCs w:val="24"/>
        </w:rPr>
        <w:t>B</w:t>
      </w:r>
      <w:r w:rsidRPr="00AB1FC1">
        <w:rPr>
          <w:rFonts w:ascii="Times New Roman" w:hAnsi="Times New Roman"/>
          <w:b/>
          <w:szCs w:val="24"/>
        </w:rPr>
        <w:t xml:space="preserve">urden </w:t>
      </w:r>
      <w:r w:rsidRPr="00AB1FC1">
        <w:rPr>
          <w:rFonts w:ascii="Times New Roman" w:hAnsi="Times New Roman"/>
          <w:b/>
          <w:szCs w:val="24"/>
        </w:rPr>
        <w:t xml:space="preserve">Hours and Cost </w:t>
      </w:r>
      <w:r w:rsidRPr="00AB1FC1">
        <w:rPr>
          <w:rFonts w:ascii="Times New Roman" w:hAnsi="Times New Roman"/>
          <w:b/>
          <w:szCs w:val="24"/>
        </w:rPr>
        <w:t xml:space="preserve">  </w:t>
      </w:r>
    </w:p>
    <w:p w:rsidR="00FA6E9D" w:rsidP="00AB1FC1" w14:paraId="75E49EE2"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b/>
          <w:szCs w:val="24"/>
        </w:rPr>
      </w:pPr>
    </w:p>
    <w:p w:rsidR="00413976" w:rsidRPr="00AB1FC1" w:rsidP="00AB1FC1" w14:paraId="241FB1A0" w14:textId="4514D96C">
      <w:pPr>
        <w:pStyle w:val="ListParagraph"/>
        <w:numPr>
          <w:ilvl w:val="0"/>
          <w:numId w:val="40"/>
        </w:num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Cs w:val="24"/>
        </w:rPr>
      </w:pPr>
      <w:r>
        <w:rPr>
          <w:rFonts w:ascii="Times New Roman" w:hAnsi="Times New Roman"/>
          <w:b/>
          <w:szCs w:val="24"/>
        </w:rPr>
        <w:t xml:space="preserve">Estimated Annualized Burden Hours </w:t>
      </w:r>
    </w:p>
    <w:p w:rsidR="006E6447" w:rsidRPr="00AB1FC1" w:rsidP="00AB1FC1" w14:paraId="55A07299" w14:textId="1491377D">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bCs/>
          <w:szCs w:val="24"/>
        </w:rPr>
      </w:pPr>
      <w:r w:rsidRPr="00AB1FC1">
        <w:rPr>
          <w:rFonts w:ascii="Times New Roman" w:hAnsi="Times New Roman"/>
          <w:bCs/>
          <w:szCs w:val="24"/>
        </w:rPr>
        <w:t>An estimated 60 respondents will each take one (1) hour to respond once to this collection for a total 60 responses. Therefore, the total burden hours associated with this collection is 60 hours, which can be calculated as shown in the table below:</w:t>
      </w:r>
      <w:r>
        <w:rPr>
          <w:rFonts w:ascii="Times New Roman" w:eastAsia="Calibri" w:hAnsi="Times New Roman"/>
          <w:b/>
          <w:snapToGrid/>
          <w:szCs w:val="24"/>
        </w:rPr>
        <w:fldChar w:fldCharType="begin"/>
      </w:r>
      <w:r>
        <w:rPr>
          <w:rFonts w:ascii="Times New Roman" w:eastAsia="Calibri" w:hAnsi="Times New Roman"/>
          <w:b/>
          <w:snapToGrid/>
          <w:szCs w:val="24"/>
        </w:rPr>
        <w:instrText xml:space="preserve"> LINK Excel.Sheet.12 "C:\\Users\\tamelia.bolton\\Desktop\\2133-0511 (Effective U.S. Control (EUSC) or Parent Company)\\60-Day FRN\\Copy of Public Burden Calculators 8.25.2025.xlsx" "12a. Annualized Burden Hours !R3C1:R4C10" \a \f 5 \h  \* MERGEFORMAT </w:instrText>
      </w:r>
      <w:r>
        <w:rPr>
          <w:rFonts w:ascii="Times New Roman" w:eastAsia="Calibri" w:hAnsi="Times New Roman"/>
          <w:b/>
          <w:snapToGrid/>
          <w:szCs w:val="24"/>
        </w:rPr>
        <w:fldChar w:fldCharType="separate"/>
      </w:r>
    </w:p>
    <w:tbl>
      <w:tblPr>
        <w:tblStyle w:val="TableGrid"/>
        <w:tblW w:w="97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1604"/>
        <w:gridCol w:w="636"/>
        <w:gridCol w:w="1480"/>
        <w:gridCol w:w="719"/>
        <w:gridCol w:w="1308"/>
        <w:gridCol w:w="836"/>
        <w:gridCol w:w="1373"/>
        <w:gridCol w:w="719"/>
        <w:gridCol w:w="1040"/>
      </w:tblGrid>
      <w:tr w14:paraId="45C40C9A" w14:textId="77777777" w:rsidTr="00AB1FC1">
        <w:tblPrEx>
          <w:tblW w:w="97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Ex>
        <w:trPr>
          <w:trHeight w:val="1460"/>
        </w:trPr>
        <w:tc>
          <w:tcPr>
            <w:tcW w:w="1615" w:type="dxa"/>
            <w:shd w:val="clear" w:color="auto" w:fill="D0CECE" w:themeFill="background2" w:themeFillShade="E6"/>
            <w:hideMark/>
          </w:tcPr>
          <w:p w:rsidR="006E6447" w:rsidRPr="00AB1FC1" w:rsidP="00AB1FC1" w14:paraId="686BEEF7"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0"/>
              <w:rPr>
                <w:rFonts w:ascii="Times New Roman" w:eastAsia="Calibri" w:hAnsi="Times New Roman"/>
                <w:b/>
                <w:bCs/>
                <w:snapToGrid/>
                <w:szCs w:val="24"/>
              </w:rPr>
            </w:pPr>
            <w:r w:rsidRPr="00AB1FC1">
              <w:rPr>
                <w:rFonts w:ascii="Times New Roman" w:eastAsia="Calibri" w:hAnsi="Times New Roman"/>
                <w:b/>
                <w:bCs/>
                <w:snapToGrid/>
                <w:szCs w:val="24"/>
              </w:rPr>
              <w:t>Total Respondents</w:t>
            </w:r>
          </w:p>
        </w:tc>
        <w:tc>
          <w:tcPr>
            <w:tcW w:w="636" w:type="dxa"/>
            <w:shd w:val="clear" w:color="auto" w:fill="D0CECE" w:themeFill="background2" w:themeFillShade="E6"/>
            <w:hideMark/>
          </w:tcPr>
          <w:p w:rsidR="006E6447" w:rsidRPr="00AB1FC1" w:rsidP="00AB1FC1" w14:paraId="0FBB5BF7"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eastAsia="Calibri" w:hAnsi="Times New Roman"/>
                <w:b/>
                <w:snapToGrid/>
                <w:szCs w:val="24"/>
              </w:rPr>
            </w:pPr>
            <w:r w:rsidRPr="00AB1FC1">
              <w:rPr>
                <w:rFonts w:ascii="Times New Roman" w:eastAsia="Calibri" w:hAnsi="Times New Roman"/>
                <w:b/>
                <w:snapToGrid/>
                <w:szCs w:val="24"/>
              </w:rPr>
              <w:t> </w:t>
            </w:r>
          </w:p>
        </w:tc>
        <w:tc>
          <w:tcPr>
            <w:tcW w:w="1524" w:type="dxa"/>
            <w:shd w:val="clear" w:color="auto" w:fill="D0CECE" w:themeFill="background2" w:themeFillShade="E6"/>
            <w:hideMark/>
          </w:tcPr>
          <w:p w:rsidR="006E6447" w:rsidRPr="00AB1FC1" w:rsidP="00AB1FC1" w14:paraId="21C3CB3B"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
              <w:rPr>
                <w:rFonts w:ascii="Times New Roman" w:eastAsia="Calibri" w:hAnsi="Times New Roman"/>
                <w:b/>
                <w:bCs/>
                <w:snapToGrid/>
                <w:szCs w:val="24"/>
              </w:rPr>
            </w:pPr>
            <w:r w:rsidRPr="00AB1FC1">
              <w:rPr>
                <w:rFonts w:ascii="Times New Roman" w:eastAsia="Calibri" w:hAnsi="Times New Roman"/>
                <w:b/>
                <w:bCs/>
                <w:snapToGrid/>
                <w:szCs w:val="24"/>
              </w:rPr>
              <w:t>Total Responses per Respondent</w:t>
            </w:r>
          </w:p>
        </w:tc>
        <w:tc>
          <w:tcPr>
            <w:tcW w:w="810" w:type="dxa"/>
            <w:shd w:val="clear" w:color="auto" w:fill="D0CECE" w:themeFill="background2" w:themeFillShade="E6"/>
            <w:hideMark/>
          </w:tcPr>
          <w:p w:rsidR="006E6447" w:rsidRPr="00AB1FC1" w:rsidP="00AB1FC1" w14:paraId="6F584842"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eastAsia="Calibri" w:hAnsi="Times New Roman"/>
                <w:b/>
                <w:bCs/>
                <w:snapToGrid/>
                <w:szCs w:val="24"/>
              </w:rPr>
            </w:pPr>
            <w:r w:rsidRPr="00AB1FC1">
              <w:rPr>
                <w:rFonts w:ascii="Times New Roman" w:eastAsia="Calibri" w:hAnsi="Times New Roman"/>
                <w:b/>
                <w:bCs/>
                <w:snapToGrid/>
                <w:szCs w:val="24"/>
              </w:rPr>
              <w:t> </w:t>
            </w:r>
          </w:p>
        </w:tc>
        <w:tc>
          <w:tcPr>
            <w:tcW w:w="1350" w:type="dxa"/>
            <w:shd w:val="clear" w:color="auto" w:fill="D0CECE" w:themeFill="background2" w:themeFillShade="E6"/>
            <w:hideMark/>
          </w:tcPr>
          <w:p w:rsidR="006E6447" w:rsidRPr="00AB1FC1" w:rsidP="00AB1FC1" w14:paraId="28D9042A"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eastAsia="Calibri" w:hAnsi="Times New Roman"/>
                <w:b/>
                <w:bCs/>
                <w:snapToGrid/>
                <w:szCs w:val="24"/>
              </w:rPr>
            </w:pPr>
            <w:r w:rsidRPr="00AB1FC1">
              <w:rPr>
                <w:rFonts w:ascii="Times New Roman" w:eastAsia="Calibri" w:hAnsi="Times New Roman"/>
                <w:b/>
                <w:bCs/>
                <w:snapToGrid/>
                <w:szCs w:val="24"/>
              </w:rPr>
              <w:t>Total Responses</w:t>
            </w:r>
          </w:p>
        </w:tc>
        <w:tc>
          <w:tcPr>
            <w:tcW w:w="990" w:type="dxa"/>
            <w:shd w:val="clear" w:color="auto" w:fill="D0CECE" w:themeFill="background2" w:themeFillShade="E6"/>
            <w:hideMark/>
          </w:tcPr>
          <w:p w:rsidR="006E6447" w:rsidRPr="00AB1FC1" w:rsidP="00AB1FC1" w14:paraId="28818039"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eastAsia="Calibri" w:hAnsi="Times New Roman"/>
                <w:b/>
                <w:bCs/>
                <w:snapToGrid/>
                <w:szCs w:val="24"/>
              </w:rPr>
            </w:pPr>
            <w:r w:rsidRPr="00AB1FC1">
              <w:rPr>
                <w:rFonts w:ascii="Times New Roman" w:eastAsia="Calibri" w:hAnsi="Times New Roman"/>
                <w:b/>
                <w:bCs/>
                <w:snapToGrid/>
                <w:szCs w:val="24"/>
              </w:rPr>
              <w:t> </w:t>
            </w:r>
          </w:p>
        </w:tc>
        <w:tc>
          <w:tcPr>
            <w:tcW w:w="1530" w:type="dxa"/>
            <w:shd w:val="clear" w:color="auto" w:fill="D0CECE" w:themeFill="background2" w:themeFillShade="E6"/>
            <w:hideMark/>
          </w:tcPr>
          <w:p w:rsidR="006E6447" w:rsidRPr="00AB1FC1" w:rsidP="00AB1FC1" w14:paraId="0B20D0B2"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 w:right="140"/>
              <w:rPr>
                <w:rFonts w:ascii="Times New Roman" w:eastAsia="Calibri" w:hAnsi="Times New Roman"/>
                <w:b/>
                <w:bCs/>
                <w:snapToGrid/>
                <w:szCs w:val="24"/>
              </w:rPr>
            </w:pPr>
            <w:r w:rsidRPr="00AB1FC1">
              <w:rPr>
                <w:rFonts w:ascii="Times New Roman" w:eastAsia="Calibri" w:hAnsi="Times New Roman"/>
                <w:b/>
                <w:bCs/>
                <w:snapToGrid/>
                <w:szCs w:val="24"/>
              </w:rPr>
              <w:t>Average Time Taken to Respond (Hour)</w:t>
            </w:r>
          </w:p>
        </w:tc>
        <w:tc>
          <w:tcPr>
            <w:tcW w:w="810" w:type="dxa"/>
            <w:shd w:val="clear" w:color="auto" w:fill="D0CECE" w:themeFill="background2" w:themeFillShade="E6"/>
            <w:hideMark/>
          </w:tcPr>
          <w:p w:rsidR="006E6447" w:rsidRPr="00AB1FC1" w:rsidP="00AB1FC1" w14:paraId="04F2E2CE"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eastAsia="Calibri" w:hAnsi="Times New Roman"/>
                <w:b/>
                <w:bCs/>
                <w:snapToGrid/>
                <w:szCs w:val="24"/>
              </w:rPr>
            </w:pPr>
            <w:r w:rsidRPr="00AB1FC1">
              <w:rPr>
                <w:rFonts w:ascii="Times New Roman" w:eastAsia="Calibri" w:hAnsi="Times New Roman"/>
                <w:b/>
                <w:bCs/>
                <w:snapToGrid/>
                <w:szCs w:val="24"/>
              </w:rPr>
              <w:t> </w:t>
            </w:r>
          </w:p>
        </w:tc>
        <w:tc>
          <w:tcPr>
            <w:tcW w:w="450" w:type="dxa"/>
            <w:shd w:val="clear" w:color="auto" w:fill="D0CECE" w:themeFill="background2" w:themeFillShade="E6"/>
            <w:hideMark/>
          </w:tcPr>
          <w:p w:rsidR="006E6447" w:rsidRPr="00AB1FC1" w:rsidP="00AB1FC1" w14:paraId="74F3BDC4"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0" w:hanging="50"/>
              <w:rPr>
                <w:rFonts w:ascii="Times New Roman" w:eastAsia="Calibri" w:hAnsi="Times New Roman"/>
                <w:b/>
                <w:bCs/>
                <w:snapToGrid/>
                <w:szCs w:val="24"/>
              </w:rPr>
            </w:pPr>
            <w:r w:rsidRPr="00AB1FC1">
              <w:rPr>
                <w:rFonts w:ascii="Times New Roman" w:eastAsia="Calibri" w:hAnsi="Times New Roman"/>
                <w:b/>
                <w:bCs/>
                <w:snapToGrid/>
                <w:szCs w:val="24"/>
              </w:rPr>
              <w:t>Total Burden Hours</w:t>
            </w:r>
          </w:p>
        </w:tc>
      </w:tr>
      <w:tr w14:paraId="694AA80F" w14:textId="77777777" w:rsidTr="00AB1FC1">
        <w:tblPrEx>
          <w:tblW w:w="9715" w:type="dxa"/>
          <w:tblLook w:val="04A0"/>
        </w:tblPrEx>
        <w:trPr>
          <w:trHeight w:val="290"/>
        </w:trPr>
        <w:tc>
          <w:tcPr>
            <w:tcW w:w="1615" w:type="dxa"/>
            <w:hideMark/>
          </w:tcPr>
          <w:p w:rsidR="006E6447" w:rsidRPr="00AB1FC1" w:rsidP="00AB1FC1" w14:paraId="43F5F847"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eastAsia="Calibri" w:hAnsi="Times New Roman"/>
                <w:b/>
                <w:snapToGrid/>
                <w:szCs w:val="24"/>
              </w:rPr>
            </w:pPr>
            <w:r w:rsidRPr="00AB1FC1">
              <w:rPr>
                <w:rFonts w:ascii="Times New Roman" w:eastAsia="Calibri" w:hAnsi="Times New Roman"/>
                <w:b/>
                <w:snapToGrid/>
                <w:szCs w:val="24"/>
              </w:rPr>
              <w:t>60</w:t>
            </w:r>
          </w:p>
        </w:tc>
        <w:tc>
          <w:tcPr>
            <w:tcW w:w="636" w:type="dxa"/>
            <w:hideMark/>
          </w:tcPr>
          <w:p w:rsidR="006E6447" w:rsidRPr="00AB1FC1" w:rsidP="00AB1FC1" w14:paraId="4E429AE0" w14:textId="2AC47221">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eastAsia="Calibri" w:hAnsi="Times New Roman"/>
                <w:b/>
                <w:snapToGrid/>
                <w:szCs w:val="24"/>
              </w:rPr>
            </w:pPr>
            <w:r>
              <w:rPr>
                <w:rFonts w:ascii="Times New Roman" w:eastAsia="Calibri" w:hAnsi="Times New Roman"/>
                <w:b/>
                <w:snapToGrid/>
                <w:szCs w:val="24"/>
              </w:rPr>
              <w:t xml:space="preserve">    </w:t>
            </w:r>
            <w:r w:rsidRPr="00AB1FC1">
              <w:rPr>
                <w:rFonts w:ascii="Times New Roman" w:eastAsia="Calibri" w:hAnsi="Times New Roman"/>
                <w:b/>
                <w:snapToGrid/>
                <w:szCs w:val="24"/>
              </w:rPr>
              <w:t>*</w:t>
            </w:r>
          </w:p>
        </w:tc>
        <w:tc>
          <w:tcPr>
            <w:tcW w:w="1524" w:type="dxa"/>
            <w:hideMark/>
          </w:tcPr>
          <w:p w:rsidR="006E6447" w:rsidRPr="00AB1FC1" w:rsidP="00AB1FC1" w14:paraId="6C3C7078"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eastAsia="Calibri" w:hAnsi="Times New Roman"/>
                <w:b/>
                <w:snapToGrid/>
                <w:szCs w:val="24"/>
              </w:rPr>
            </w:pPr>
            <w:r w:rsidRPr="00AB1FC1">
              <w:rPr>
                <w:rFonts w:ascii="Times New Roman" w:eastAsia="Calibri" w:hAnsi="Times New Roman"/>
                <w:b/>
                <w:snapToGrid/>
                <w:szCs w:val="24"/>
              </w:rPr>
              <w:t>1</w:t>
            </w:r>
          </w:p>
        </w:tc>
        <w:tc>
          <w:tcPr>
            <w:tcW w:w="810" w:type="dxa"/>
            <w:hideMark/>
          </w:tcPr>
          <w:p w:rsidR="006E6447" w:rsidRPr="00AB1FC1" w:rsidP="00AB1FC1" w14:paraId="65B3976A" w14:textId="48C53694">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eastAsia="Calibri" w:hAnsi="Times New Roman"/>
                <w:b/>
                <w:snapToGrid/>
                <w:szCs w:val="24"/>
              </w:rPr>
            </w:pPr>
            <w:r>
              <w:rPr>
                <w:rFonts w:ascii="Times New Roman" w:eastAsia="Calibri" w:hAnsi="Times New Roman"/>
                <w:b/>
                <w:snapToGrid/>
                <w:szCs w:val="24"/>
              </w:rPr>
              <w:t xml:space="preserve">   </w:t>
            </w:r>
            <w:r w:rsidRPr="00AB1FC1">
              <w:rPr>
                <w:rFonts w:ascii="Times New Roman" w:eastAsia="Calibri" w:hAnsi="Times New Roman"/>
                <w:b/>
                <w:snapToGrid/>
                <w:szCs w:val="24"/>
              </w:rPr>
              <w:t>=</w:t>
            </w:r>
          </w:p>
        </w:tc>
        <w:tc>
          <w:tcPr>
            <w:tcW w:w="1350" w:type="dxa"/>
            <w:hideMark/>
          </w:tcPr>
          <w:p w:rsidR="006E6447" w:rsidRPr="00AB1FC1" w:rsidP="00AB1FC1" w14:paraId="35C4A609"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eastAsia="Calibri" w:hAnsi="Times New Roman"/>
                <w:b/>
                <w:snapToGrid/>
                <w:szCs w:val="24"/>
              </w:rPr>
            </w:pPr>
            <w:r w:rsidRPr="00AB1FC1">
              <w:rPr>
                <w:rFonts w:ascii="Times New Roman" w:eastAsia="Calibri" w:hAnsi="Times New Roman"/>
                <w:b/>
                <w:snapToGrid/>
                <w:szCs w:val="24"/>
              </w:rPr>
              <w:t>60</w:t>
            </w:r>
          </w:p>
        </w:tc>
        <w:tc>
          <w:tcPr>
            <w:tcW w:w="990" w:type="dxa"/>
            <w:hideMark/>
          </w:tcPr>
          <w:p w:rsidR="006E6447" w:rsidRPr="00AB1FC1" w:rsidP="00AB1FC1" w14:paraId="542269A8"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eastAsia="Calibri" w:hAnsi="Times New Roman"/>
                <w:b/>
                <w:snapToGrid/>
                <w:szCs w:val="24"/>
              </w:rPr>
            </w:pPr>
            <w:r w:rsidRPr="00AB1FC1">
              <w:rPr>
                <w:rFonts w:ascii="Times New Roman" w:eastAsia="Calibri" w:hAnsi="Times New Roman"/>
                <w:b/>
                <w:snapToGrid/>
                <w:szCs w:val="24"/>
              </w:rPr>
              <w:t>*</w:t>
            </w:r>
          </w:p>
        </w:tc>
        <w:tc>
          <w:tcPr>
            <w:tcW w:w="1530" w:type="dxa"/>
            <w:hideMark/>
          </w:tcPr>
          <w:p w:rsidR="006E6447" w:rsidRPr="00AB1FC1" w:rsidP="00AB1FC1" w14:paraId="473C2953"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eastAsia="Calibri" w:hAnsi="Times New Roman"/>
                <w:b/>
                <w:snapToGrid/>
                <w:szCs w:val="24"/>
              </w:rPr>
            </w:pPr>
            <w:r w:rsidRPr="00AB1FC1">
              <w:rPr>
                <w:rFonts w:ascii="Times New Roman" w:eastAsia="Calibri" w:hAnsi="Times New Roman"/>
                <w:b/>
                <w:snapToGrid/>
                <w:szCs w:val="24"/>
              </w:rPr>
              <w:t>1</w:t>
            </w:r>
          </w:p>
        </w:tc>
        <w:tc>
          <w:tcPr>
            <w:tcW w:w="810" w:type="dxa"/>
            <w:hideMark/>
          </w:tcPr>
          <w:p w:rsidR="006E6447" w:rsidRPr="00AB1FC1" w:rsidP="00AB1FC1" w14:paraId="6A0A2014" w14:textId="038DDC90">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eastAsia="Calibri" w:hAnsi="Times New Roman"/>
                <w:b/>
                <w:snapToGrid/>
                <w:szCs w:val="24"/>
              </w:rPr>
            </w:pPr>
            <w:r>
              <w:rPr>
                <w:rFonts w:ascii="Times New Roman" w:eastAsia="Calibri" w:hAnsi="Times New Roman"/>
                <w:b/>
                <w:snapToGrid/>
                <w:szCs w:val="24"/>
              </w:rPr>
              <w:t xml:space="preserve">    </w:t>
            </w:r>
            <w:r w:rsidRPr="00AB1FC1">
              <w:rPr>
                <w:rFonts w:ascii="Times New Roman" w:eastAsia="Calibri" w:hAnsi="Times New Roman"/>
                <w:b/>
                <w:snapToGrid/>
                <w:szCs w:val="24"/>
              </w:rPr>
              <w:t>=</w:t>
            </w:r>
          </w:p>
        </w:tc>
        <w:tc>
          <w:tcPr>
            <w:tcW w:w="450" w:type="dxa"/>
            <w:hideMark/>
          </w:tcPr>
          <w:p w:rsidR="006E6447" w:rsidRPr="00AB1FC1" w:rsidP="00AB1FC1" w14:paraId="217D91AF"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eastAsia="Calibri" w:hAnsi="Times New Roman"/>
                <w:b/>
                <w:snapToGrid/>
                <w:szCs w:val="24"/>
              </w:rPr>
            </w:pPr>
            <w:r w:rsidRPr="00AB1FC1">
              <w:rPr>
                <w:rFonts w:ascii="Times New Roman" w:eastAsia="Calibri" w:hAnsi="Times New Roman"/>
                <w:b/>
                <w:snapToGrid/>
                <w:szCs w:val="24"/>
              </w:rPr>
              <w:t>60</w:t>
            </w:r>
          </w:p>
        </w:tc>
      </w:tr>
    </w:tbl>
    <w:p w:rsidR="001A6B90" w:rsidP="00413976" w14:paraId="107E5B9A"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eastAsia="Calibri" w:hAnsi="Times New Roman"/>
          <w:b/>
          <w:snapToGrid/>
          <w:szCs w:val="24"/>
        </w:rPr>
      </w:pPr>
      <w:r>
        <w:rPr>
          <w:rFonts w:ascii="Times New Roman" w:eastAsia="Calibri" w:hAnsi="Times New Roman"/>
          <w:b/>
          <w:snapToGrid/>
          <w:szCs w:val="24"/>
        </w:rPr>
        <w:fldChar w:fldCharType="end"/>
      </w:r>
    </w:p>
    <w:p w:rsidR="001A6B90" w:rsidP="00413976" w14:paraId="54D4055A"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eastAsia="Calibri" w:hAnsi="Times New Roman"/>
          <w:b/>
          <w:snapToGrid/>
          <w:szCs w:val="24"/>
        </w:rPr>
      </w:pPr>
    </w:p>
    <w:p w:rsidR="002D4EF5" w:rsidRPr="002D4EF5" w:rsidP="002D4EF5" w14:paraId="737D01B6" w14:textId="77777777">
      <w:pPr>
        <w:pStyle w:val="ListParagraph"/>
        <w:numPr>
          <w:ilvl w:val="0"/>
          <w:numId w:val="40"/>
        </w:numPr>
        <w:rPr>
          <w:rFonts w:ascii="Times New Roman" w:hAnsi="Times New Roman"/>
          <w:b/>
          <w:szCs w:val="24"/>
        </w:rPr>
      </w:pPr>
      <w:r w:rsidRPr="002D4EF5">
        <w:rPr>
          <w:rFonts w:ascii="Times New Roman" w:hAnsi="Times New Roman"/>
          <w:b/>
          <w:szCs w:val="24"/>
        </w:rPr>
        <w:t>Estimated Annualized Cost Burden</w:t>
      </w:r>
    </w:p>
    <w:p w:rsidR="0015724A" w:rsidP="002D4EF5" w14:paraId="16A32E7B"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pPr>
      <w:r>
        <w:rPr>
          <w:rFonts w:ascii="Times New Roman" w:eastAsia="Calibri" w:hAnsi="Times New Roman"/>
          <w:b/>
          <w:snapToGrid/>
          <w:szCs w:val="24"/>
        </w:rPr>
        <w:tab/>
      </w:r>
      <w:bookmarkStart w:id="0" w:name="_Hlk218261233"/>
      <w:r w:rsidRPr="009E4DD4">
        <w:rPr>
          <w:rFonts w:ascii="Times New Roman" w:hAnsi="Times New Roman"/>
          <w:iCs/>
          <w:szCs w:val="24"/>
        </w:rPr>
        <w:t>The Bureau of Labor and Statistics (BLS)</w:t>
      </w:r>
      <w:r>
        <w:rPr>
          <w:rFonts w:ascii="Times New Roman" w:hAnsi="Times New Roman"/>
          <w:iCs/>
          <w:szCs w:val="24"/>
          <w:vertAlign w:val="superscript"/>
        </w:rPr>
        <w:footnoteReference w:id="2"/>
      </w:r>
      <w:r w:rsidRPr="009E4DD4">
        <w:rPr>
          <w:rFonts w:ascii="Times New Roman" w:hAnsi="Times New Roman"/>
          <w:iCs/>
          <w:szCs w:val="24"/>
        </w:rPr>
        <w:t xml:space="preserve"> estimates that the average hourly wage for</w:t>
      </w:r>
      <w:r w:rsidRPr="0015724A">
        <w:t xml:space="preserve"> </w:t>
      </w:r>
      <w:bookmarkEnd w:id="0"/>
    </w:p>
    <w:p w:rsidR="00186F22" w:rsidP="0015724A" w14:paraId="564E4C0E"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iCs/>
          <w:szCs w:val="24"/>
        </w:rPr>
      </w:pPr>
      <w:r w:rsidRPr="0015724A">
        <w:rPr>
          <w:rFonts w:ascii="Times New Roman" w:hAnsi="Times New Roman"/>
          <w:iCs/>
          <w:szCs w:val="24"/>
        </w:rPr>
        <w:t>Accountants and Auditors (13-2011)</w:t>
      </w:r>
      <w:r>
        <w:rPr>
          <w:rFonts w:ascii="Times New Roman" w:hAnsi="Times New Roman"/>
          <w:iCs/>
          <w:szCs w:val="24"/>
        </w:rPr>
        <w:t xml:space="preserve"> and </w:t>
      </w:r>
      <w:r w:rsidRPr="0015724A">
        <w:rPr>
          <w:rFonts w:ascii="Times New Roman" w:hAnsi="Times New Roman"/>
          <w:iCs/>
          <w:szCs w:val="24"/>
        </w:rPr>
        <w:t xml:space="preserve">Other Office and Administrative Support </w:t>
      </w:r>
      <w:r>
        <w:rPr>
          <w:rFonts w:ascii="Times New Roman" w:hAnsi="Times New Roman"/>
          <w:iCs/>
          <w:szCs w:val="24"/>
        </w:rPr>
        <w:t xml:space="preserve"> </w:t>
      </w:r>
      <w:r w:rsidRPr="0015724A">
        <w:rPr>
          <w:rFonts w:ascii="Times New Roman" w:hAnsi="Times New Roman"/>
          <w:iCs/>
          <w:szCs w:val="24"/>
        </w:rPr>
        <w:t>Workers (43-9000)</w:t>
      </w:r>
      <w:r>
        <w:rPr>
          <w:rFonts w:ascii="Times New Roman" w:hAnsi="Times New Roman"/>
          <w:iCs/>
          <w:szCs w:val="24"/>
        </w:rPr>
        <w:t xml:space="preserve"> are $ 44.96 and $ 22.09 respectively.  </w:t>
      </w:r>
      <w:bookmarkStart w:id="1" w:name="_Hlk218263422"/>
      <w:r w:rsidRPr="0015724A">
        <w:rPr>
          <w:rFonts w:ascii="Times New Roman" w:hAnsi="Times New Roman"/>
          <w:iCs/>
          <w:szCs w:val="24"/>
        </w:rPr>
        <w:t>When combined the total compensation rate of  29%</w:t>
      </w:r>
      <w:r>
        <w:rPr>
          <w:rFonts w:ascii="Times New Roman" w:hAnsi="Times New Roman"/>
          <w:iCs/>
          <w:szCs w:val="24"/>
          <w:vertAlign w:val="superscript"/>
        </w:rPr>
        <w:footnoteReference w:id="3"/>
      </w:r>
      <w:r>
        <w:rPr>
          <w:rFonts w:ascii="Times New Roman" w:hAnsi="Times New Roman"/>
          <w:iCs/>
          <w:szCs w:val="24"/>
        </w:rPr>
        <w:t xml:space="preserve">, </w:t>
      </w:r>
      <w:bookmarkEnd w:id="1"/>
      <w:r>
        <w:rPr>
          <w:rFonts w:ascii="Times New Roman" w:hAnsi="Times New Roman"/>
          <w:iCs/>
          <w:szCs w:val="24"/>
        </w:rPr>
        <w:t xml:space="preserve">the total hourly wage for both set of employees are $ 58.00 and $ 28.00 respectively. </w:t>
      </w:r>
      <w:r>
        <w:rPr>
          <w:rFonts w:ascii="Times New Roman" w:hAnsi="Times New Roman"/>
          <w:iCs/>
          <w:szCs w:val="24"/>
        </w:rPr>
        <w:t xml:space="preserve"> </w:t>
      </w:r>
      <w:bookmarkStart w:id="3" w:name="_Hlk218263502"/>
      <w:r>
        <w:rPr>
          <w:rFonts w:ascii="Times New Roman" w:hAnsi="Times New Roman"/>
          <w:iCs/>
          <w:szCs w:val="24"/>
        </w:rPr>
        <w:t>Therefore the tota</w:t>
      </w:r>
      <w:r>
        <w:rPr>
          <w:rFonts w:ascii="Times New Roman" w:hAnsi="Times New Roman"/>
          <w:iCs/>
          <w:szCs w:val="24"/>
        </w:rPr>
        <w:t>l</w:t>
      </w:r>
      <w:r>
        <w:rPr>
          <w:rFonts w:ascii="Times New Roman" w:hAnsi="Times New Roman"/>
          <w:iCs/>
          <w:szCs w:val="24"/>
        </w:rPr>
        <w:t xml:space="preserve"> </w:t>
      </w:r>
      <w:r>
        <w:rPr>
          <w:rFonts w:ascii="Times New Roman" w:hAnsi="Times New Roman"/>
          <w:iCs/>
          <w:szCs w:val="24"/>
        </w:rPr>
        <w:t xml:space="preserve">annualized cost burden is  </w:t>
      </w:r>
      <w:bookmarkEnd w:id="3"/>
      <w:r>
        <w:rPr>
          <w:rFonts w:ascii="Times New Roman" w:hAnsi="Times New Roman"/>
          <w:iCs/>
          <w:szCs w:val="24"/>
        </w:rPr>
        <w:t>$ 2, 595.00, which can be calculated as shown in the table below:</w:t>
      </w:r>
    </w:p>
    <w:p w:rsidR="00186F22" w:rsidP="0015724A" w14:paraId="3F318F0B"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eastAsia="Calibri" w:hAnsi="Times New Roman"/>
          <w:b/>
          <w:szCs w:val="24"/>
        </w:rPr>
      </w:pPr>
    </w:p>
    <w:tbl>
      <w:tblPr>
        <w:tblW w:w="9648" w:type="dxa"/>
        <w:tblLook w:val="04A0"/>
      </w:tblPr>
      <w:tblGrid>
        <w:gridCol w:w="1904"/>
        <w:gridCol w:w="1583"/>
        <w:gridCol w:w="1646"/>
        <w:gridCol w:w="1461"/>
        <w:gridCol w:w="1479"/>
        <w:gridCol w:w="1575"/>
      </w:tblGrid>
      <w:tr w14:paraId="3A2EC96D" w14:textId="77777777" w:rsidTr="00AB1FC1">
        <w:tblPrEx>
          <w:tblW w:w="9648" w:type="dxa"/>
          <w:tblLook w:val="04A0"/>
        </w:tblPrEx>
        <w:trPr>
          <w:trHeight w:val="891"/>
        </w:trPr>
        <w:tc>
          <w:tcPr>
            <w:tcW w:w="1904" w:type="dxa"/>
            <w:tcBorders>
              <w:top w:val="single" w:sz="12" w:space="0" w:color="auto"/>
              <w:left w:val="single" w:sz="12" w:space="0" w:color="auto"/>
              <w:bottom w:val="single" w:sz="12" w:space="0" w:color="auto"/>
              <w:right w:val="single" w:sz="12" w:space="0" w:color="auto"/>
            </w:tcBorders>
            <w:shd w:val="clear" w:color="000000" w:fill="D0CECE"/>
            <w:vAlign w:val="center"/>
            <w:hideMark/>
          </w:tcPr>
          <w:p w:rsidR="00186F22" w:rsidRPr="00AB1FC1" w:rsidP="00AB1FC1" w14:paraId="6AAAA937" w14:textId="5440FE5F">
            <w:pPr>
              <w:widowControl/>
              <w:jc w:val="center"/>
              <w:rPr>
                <w:rFonts w:ascii="Times New Roman" w:hAnsi="Times New Roman"/>
                <w:b/>
                <w:bCs/>
                <w:snapToGrid/>
                <w:color w:val="000000" w:themeColor="text1"/>
                <w:sz w:val="22"/>
                <w:szCs w:val="22"/>
              </w:rPr>
            </w:pPr>
            <w:r w:rsidRPr="00AB1FC1">
              <w:rPr>
                <w:rFonts w:ascii="Times New Roman" w:hAnsi="Times New Roman"/>
                <w:b/>
                <w:bCs/>
                <w:snapToGrid/>
                <w:color w:val="000000" w:themeColor="text1"/>
                <w:sz w:val="22"/>
                <w:szCs w:val="22"/>
              </w:rPr>
              <w:t>Title and Code of  Respondents</w:t>
            </w:r>
          </w:p>
        </w:tc>
        <w:tc>
          <w:tcPr>
            <w:tcW w:w="1583" w:type="dxa"/>
            <w:tcBorders>
              <w:top w:val="single" w:sz="12" w:space="0" w:color="auto"/>
              <w:left w:val="single" w:sz="12" w:space="0" w:color="auto"/>
              <w:bottom w:val="single" w:sz="12" w:space="0" w:color="auto"/>
              <w:right w:val="single" w:sz="12" w:space="0" w:color="auto"/>
            </w:tcBorders>
            <w:shd w:val="clear" w:color="000000" w:fill="D0CECE"/>
            <w:vAlign w:val="center"/>
            <w:hideMark/>
          </w:tcPr>
          <w:p w:rsidR="00186F22" w:rsidRPr="00AB1FC1" w:rsidP="00AB1FC1" w14:paraId="302A8C08" w14:textId="5C6B69FC">
            <w:pPr>
              <w:widowControl/>
              <w:jc w:val="center"/>
              <w:rPr>
                <w:rFonts w:ascii="Times New Roman" w:hAnsi="Times New Roman"/>
                <w:b/>
                <w:bCs/>
                <w:snapToGrid/>
                <w:color w:val="000000" w:themeColor="text1"/>
                <w:sz w:val="22"/>
                <w:szCs w:val="22"/>
              </w:rPr>
            </w:pPr>
            <w:r w:rsidRPr="00AB1FC1">
              <w:rPr>
                <w:rFonts w:ascii="Times New Roman" w:hAnsi="Times New Roman"/>
                <w:b/>
                <w:bCs/>
                <w:snapToGrid/>
                <w:color w:val="000000" w:themeColor="text1"/>
                <w:sz w:val="22"/>
                <w:szCs w:val="22"/>
              </w:rPr>
              <w:t>Hourly Wage</w:t>
            </w:r>
          </w:p>
        </w:tc>
        <w:tc>
          <w:tcPr>
            <w:tcW w:w="1646" w:type="dxa"/>
            <w:tcBorders>
              <w:top w:val="single" w:sz="12" w:space="0" w:color="auto"/>
              <w:left w:val="single" w:sz="12" w:space="0" w:color="auto"/>
              <w:bottom w:val="single" w:sz="12" w:space="0" w:color="auto"/>
              <w:right w:val="single" w:sz="12" w:space="0" w:color="auto"/>
            </w:tcBorders>
            <w:shd w:val="clear" w:color="000000" w:fill="D0CECE"/>
            <w:vAlign w:val="center"/>
            <w:hideMark/>
          </w:tcPr>
          <w:p w:rsidR="00186F22" w:rsidRPr="00AB1FC1" w:rsidP="00AB1FC1" w14:paraId="6B4ADBB5" w14:textId="065F61A6">
            <w:pPr>
              <w:widowControl/>
              <w:jc w:val="center"/>
              <w:rPr>
                <w:rFonts w:ascii="Times New Roman" w:hAnsi="Times New Roman"/>
                <w:b/>
                <w:bCs/>
                <w:snapToGrid/>
                <w:color w:val="000000" w:themeColor="text1"/>
                <w:sz w:val="22"/>
                <w:szCs w:val="22"/>
              </w:rPr>
            </w:pPr>
            <w:r w:rsidRPr="00AB1FC1">
              <w:rPr>
                <w:rFonts w:ascii="Times New Roman" w:hAnsi="Times New Roman"/>
                <w:b/>
                <w:bCs/>
                <w:snapToGrid/>
                <w:color w:val="000000" w:themeColor="text1"/>
                <w:sz w:val="22"/>
                <w:szCs w:val="22"/>
              </w:rPr>
              <w:t>Compensation Rate of 29%</w:t>
            </w:r>
          </w:p>
        </w:tc>
        <w:tc>
          <w:tcPr>
            <w:tcW w:w="1458" w:type="dxa"/>
            <w:tcBorders>
              <w:top w:val="single" w:sz="12" w:space="0" w:color="auto"/>
              <w:left w:val="single" w:sz="12" w:space="0" w:color="auto"/>
              <w:bottom w:val="single" w:sz="12" w:space="0" w:color="auto"/>
              <w:right w:val="single" w:sz="12" w:space="0" w:color="auto"/>
            </w:tcBorders>
            <w:shd w:val="clear" w:color="000000" w:fill="D0CECE"/>
            <w:vAlign w:val="center"/>
            <w:hideMark/>
          </w:tcPr>
          <w:p w:rsidR="00186F22" w:rsidRPr="00AB1FC1" w:rsidP="00186F22" w14:paraId="31DB8F90" w14:textId="3883C9A4">
            <w:pPr>
              <w:widowControl/>
              <w:jc w:val="center"/>
              <w:rPr>
                <w:rFonts w:ascii="Times New Roman" w:hAnsi="Times New Roman"/>
                <w:b/>
                <w:bCs/>
                <w:snapToGrid/>
                <w:color w:val="000000" w:themeColor="text1"/>
                <w:sz w:val="22"/>
                <w:szCs w:val="22"/>
              </w:rPr>
            </w:pPr>
            <w:r w:rsidRPr="00AB1FC1">
              <w:rPr>
                <w:rFonts w:ascii="Times New Roman" w:hAnsi="Times New Roman"/>
                <w:b/>
                <w:bCs/>
                <w:snapToGrid/>
                <w:color w:val="000000" w:themeColor="text1"/>
                <w:sz w:val="22"/>
                <w:szCs w:val="22"/>
              </w:rPr>
              <w:t>Number of Employees</w:t>
            </w:r>
          </w:p>
        </w:tc>
        <w:tc>
          <w:tcPr>
            <w:tcW w:w="1479" w:type="dxa"/>
            <w:tcBorders>
              <w:top w:val="single" w:sz="12" w:space="0" w:color="auto"/>
              <w:left w:val="single" w:sz="12" w:space="0" w:color="auto"/>
              <w:bottom w:val="single" w:sz="12" w:space="0" w:color="auto"/>
              <w:right w:val="single" w:sz="12" w:space="0" w:color="auto"/>
            </w:tcBorders>
            <w:shd w:val="clear" w:color="000000" w:fill="D0CECE"/>
            <w:vAlign w:val="center"/>
            <w:hideMark/>
          </w:tcPr>
          <w:p w:rsidR="00186F22" w:rsidRPr="00AB1FC1" w:rsidP="00AB1FC1" w14:paraId="4F1F54DD" w14:textId="77777777">
            <w:pPr>
              <w:widowControl/>
              <w:jc w:val="center"/>
              <w:rPr>
                <w:rFonts w:ascii="Times New Roman" w:hAnsi="Times New Roman"/>
                <w:b/>
                <w:bCs/>
                <w:snapToGrid/>
                <w:color w:val="000000" w:themeColor="text1"/>
                <w:sz w:val="22"/>
                <w:szCs w:val="22"/>
              </w:rPr>
            </w:pPr>
            <w:r w:rsidRPr="00AB1FC1">
              <w:rPr>
                <w:rFonts w:ascii="Times New Roman" w:hAnsi="Times New Roman"/>
                <w:b/>
                <w:bCs/>
                <w:snapToGrid/>
                <w:color w:val="000000" w:themeColor="text1"/>
                <w:sz w:val="22"/>
                <w:szCs w:val="22"/>
              </w:rPr>
              <w:t>Total Annualized Burden Hours</w:t>
            </w:r>
          </w:p>
        </w:tc>
        <w:tc>
          <w:tcPr>
            <w:tcW w:w="1575" w:type="dxa"/>
            <w:tcBorders>
              <w:top w:val="single" w:sz="12" w:space="0" w:color="auto"/>
              <w:left w:val="single" w:sz="12" w:space="0" w:color="auto"/>
              <w:bottom w:val="single" w:sz="12" w:space="0" w:color="auto"/>
              <w:right w:val="single" w:sz="12" w:space="0" w:color="auto"/>
            </w:tcBorders>
            <w:shd w:val="clear" w:color="000000" w:fill="D0CECE"/>
            <w:vAlign w:val="center"/>
            <w:hideMark/>
          </w:tcPr>
          <w:p w:rsidR="00186F22" w:rsidRPr="00AB1FC1" w:rsidP="00AB1FC1" w14:paraId="00077C0E" w14:textId="32DB5E43">
            <w:pPr>
              <w:widowControl/>
              <w:jc w:val="center"/>
              <w:rPr>
                <w:rFonts w:ascii="Times New Roman" w:hAnsi="Times New Roman"/>
                <w:b/>
                <w:bCs/>
                <w:snapToGrid/>
                <w:color w:val="000000" w:themeColor="text1"/>
                <w:sz w:val="22"/>
                <w:szCs w:val="22"/>
              </w:rPr>
            </w:pPr>
            <w:r w:rsidRPr="00AB1FC1">
              <w:rPr>
                <w:rFonts w:ascii="Times New Roman" w:hAnsi="Times New Roman"/>
                <w:b/>
                <w:bCs/>
                <w:snapToGrid/>
                <w:color w:val="000000" w:themeColor="text1"/>
                <w:sz w:val="22"/>
                <w:szCs w:val="22"/>
              </w:rPr>
              <w:t>Total Annualized Cost Burden</w:t>
            </w:r>
          </w:p>
        </w:tc>
      </w:tr>
      <w:tr w14:paraId="2AF73F77" w14:textId="77777777" w:rsidTr="00AB1FC1">
        <w:tblPrEx>
          <w:tblW w:w="9648" w:type="dxa"/>
          <w:tblLook w:val="04A0"/>
        </w:tblPrEx>
        <w:trPr>
          <w:trHeight w:val="594"/>
        </w:trPr>
        <w:tc>
          <w:tcPr>
            <w:tcW w:w="1904"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186F22" w:rsidRPr="00AB1FC1" w:rsidP="00AB1FC1" w14:paraId="2FF2381C" w14:textId="4D5608B8">
            <w:pPr>
              <w:widowControl/>
              <w:jc w:val="center"/>
              <w:rPr>
                <w:rFonts w:ascii="Times New Roman" w:hAnsi="Times New Roman"/>
                <w:snapToGrid/>
                <w:color w:val="000000" w:themeColor="text1"/>
                <w:sz w:val="22"/>
                <w:szCs w:val="22"/>
              </w:rPr>
            </w:pPr>
            <w:r w:rsidRPr="00AB1FC1">
              <w:rPr>
                <w:rFonts w:ascii="Times New Roman" w:hAnsi="Times New Roman"/>
                <w:snapToGrid/>
                <w:color w:val="000000" w:themeColor="text1"/>
                <w:sz w:val="22"/>
                <w:szCs w:val="22"/>
              </w:rPr>
              <w:t xml:space="preserve">Accountants and Auditors </w:t>
            </w:r>
            <w:r>
              <w:rPr>
                <w:rFonts w:ascii="Times New Roman" w:hAnsi="Times New Roman"/>
                <w:snapToGrid/>
                <w:color w:val="000000" w:themeColor="text1"/>
                <w:sz w:val="22"/>
                <w:szCs w:val="22"/>
              </w:rPr>
              <w:t xml:space="preserve">           </w:t>
            </w:r>
            <w:r w:rsidRPr="00AB1FC1">
              <w:rPr>
                <w:rFonts w:ascii="Times New Roman" w:hAnsi="Times New Roman"/>
                <w:snapToGrid/>
                <w:color w:val="000000" w:themeColor="text1"/>
                <w:sz w:val="22"/>
                <w:szCs w:val="22"/>
              </w:rPr>
              <w:t>(13-2011)</w:t>
            </w:r>
          </w:p>
        </w:tc>
        <w:tc>
          <w:tcPr>
            <w:tcW w:w="1583"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186F22" w:rsidRPr="00AB1FC1" w:rsidP="00AB1FC1" w14:paraId="7A5F65A8" w14:textId="0488BCA9">
            <w:pPr>
              <w:widowControl/>
              <w:jc w:val="center"/>
              <w:rPr>
                <w:rFonts w:ascii="Times New Roman" w:hAnsi="Times New Roman"/>
                <w:snapToGrid/>
                <w:color w:val="000000" w:themeColor="text1"/>
                <w:sz w:val="22"/>
                <w:szCs w:val="22"/>
              </w:rPr>
            </w:pPr>
            <w:r w:rsidRPr="00AB1FC1">
              <w:rPr>
                <w:rFonts w:ascii="Times New Roman" w:hAnsi="Times New Roman"/>
                <w:snapToGrid/>
                <w:color w:val="000000" w:themeColor="text1"/>
                <w:sz w:val="22"/>
                <w:szCs w:val="22"/>
              </w:rPr>
              <w:t>$    44.96</w:t>
            </w:r>
          </w:p>
        </w:tc>
        <w:tc>
          <w:tcPr>
            <w:tcW w:w="1646"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186F22" w:rsidRPr="00AB1FC1" w:rsidP="00AB1FC1" w14:paraId="38CBD5EB" w14:textId="60CE006B">
            <w:pPr>
              <w:widowControl/>
              <w:jc w:val="center"/>
              <w:rPr>
                <w:rFonts w:ascii="Times New Roman" w:hAnsi="Times New Roman"/>
                <w:snapToGrid/>
                <w:color w:val="000000" w:themeColor="text1"/>
                <w:sz w:val="22"/>
                <w:szCs w:val="22"/>
              </w:rPr>
            </w:pPr>
            <w:r w:rsidRPr="00AB1FC1">
              <w:rPr>
                <w:rFonts w:ascii="Times New Roman" w:hAnsi="Times New Roman"/>
                <w:snapToGrid/>
                <w:color w:val="000000" w:themeColor="text1"/>
                <w:sz w:val="22"/>
                <w:szCs w:val="22"/>
              </w:rPr>
              <w:t>$     58.00</w:t>
            </w:r>
          </w:p>
        </w:tc>
        <w:tc>
          <w:tcPr>
            <w:tcW w:w="1458"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186F22" w:rsidRPr="00AB1FC1" w:rsidP="00AB1FC1" w14:paraId="7EDA63D2" w14:textId="77777777">
            <w:pPr>
              <w:widowControl/>
              <w:jc w:val="center"/>
              <w:rPr>
                <w:rFonts w:ascii="Times New Roman" w:hAnsi="Times New Roman"/>
                <w:snapToGrid/>
                <w:color w:val="000000" w:themeColor="text1"/>
                <w:sz w:val="22"/>
                <w:szCs w:val="22"/>
              </w:rPr>
            </w:pPr>
            <w:r w:rsidRPr="00AB1FC1">
              <w:rPr>
                <w:rFonts w:ascii="Times New Roman" w:hAnsi="Times New Roman"/>
                <w:snapToGrid/>
                <w:color w:val="000000" w:themeColor="text1"/>
                <w:sz w:val="22"/>
                <w:szCs w:val="22"/>
              </w:rPr>
              <w:t>1</w:t>
            </w:r>
          </w:p>
        </w:tc>
        <w:tc>
          <w:tcPr>
            <w:tcW w:w="1479"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186F22" w:rsidRPr="00AB1FC1" w:rsidP="00186F22" w14:paraId="1B346C1F" w14:textId="77777777">
            <w:pPr>
              <w:widowControl/>
              <w:jc w:val="center"/>
              <w:rPr>
                <w:rFonts w:ascii="Times New Roman" w:hAnsi="Times New Roman"/>
                <w:snapToGrid/>
                <w:color w:val="000000" w:themeColor="text1"/>
                <w:sz w:val="22"/>
                <w:szCs w:val="22"/>
              </w:rPr>
            </w:pPr>
            <w:r w:rsidRPr="00AB1FC1">
              <w:rPr>
                <w:rFonts w:ascii="Times New Roman" w:hAnsi="Times New Roman"/>
                <w:snapToGrid/>
                <w:color w:val="000000" w:themeColor="text1"/>
                <w:sz w:val="22"/>
                <w:szCs w:val="22"/>
              </w:rPr>
              <w:t>30</w:t>
            </w:r>
          </w:p>
        </w:tc>
        <w:tc>
          <w:tcPr>
            <w:tcW w:w="1575"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186F22" w:rsidRPr="00AB1FC1" w:rsidP="00AB1FC1" w14:paraId="4524AC6A" w14:textId="59F2F0B8">
            <w:pPr>
              <w:widowControl/>
              <w:jc w:val="center"/>
              <w:rPr>
                <w:rFonts w:ascii="Times New Roman" w:hAnsi="Times New Roman"/>
                <w:snapToGrid/>
                <w:color w:val="000000" w:themeColor="text1"/>
                <w:sz w:val="22"/>
                <w:szCs w:val="22"/>
              </w:rPr>
            </w:pPr>
            <w:r w:rsidRPr="00AB1FC1">
              <w:rPr>
                <w:rFonts w:ascii="Times New Roman" w:hAnsi="Times New Roman"/>
                <w:snapToGrid/>
                <w:color w:val="000000" w:themeColor="text1"/>
                <w:sz w:val="22"/>
                <w:szCs w:val="22"/>
              </w:rPr>
              <w:t>$</w:t>
            </w:r>
            <w:r>
              <w:rPr>
                <w:rFonts w:ascii="Times New Roman" w:hAnsi="Times New Roman"/>
                <w:snapToGrid/>
                <w:color w:val="000000" w:themeColor="text1"/>
                <w:sz w:val="22"/>
                <w:szCs w:val="22"/>
              </w:rPr>
              <w:t xml:space="preserve">  </w:t>
            </w:r>
            <w:r w:rsidRPr="00AB1FC1">
              <w:rPr>
                <w:rFonts w:ascii="Times New Roman" w:hAnsi="Times New Roman"/>
                <w:snapToGrid/>
                <w:color w:val="000000" w:themeColor="text1"/>
                <w:sz w:val="22"/>
                <w:szCs w:val="22"/>
              </w:rPr>
              <w:t>1,740.00</w:t>
            </w:r>
          </w:p>
        </w:tc>
      </w:tr>
      <w:tr w14:paraId="72EC6F66" w14:textId="77777777" w:rsidTr="00AB1FC1">
        <w:tblPrEx>
          <w:tblW w:w="9648" w:type="dxa"/>
          <w:tblLook w:val="04A0"/>
        </w:tblPrEx>
        <w:trPr>
          <w:trHeight w:val="1189"/>
        </w:trPr>
        <w:tc>
          <w:tcPr>
            <w:tcW w:w="1904"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186F22" w:rsidRPr="00AB1FC1" w:rsidP="00AB1FC1" w14:paraId="6A4A93B7" w14:textId="77777777">
            <w:pPr>
              <w:widowControl/>
              <w:jc w:val="center"/>
              <w:rPr>
                <w:rFonts w:ascii="Times New Roman" w:hAnsi="Times New Roman"/>
                <w:snapToGrid/>
                <w:color w:val="000000" w:themeColor="text1"/>
                <w:sz w:val="22"/>
                <w:szCs w:val="22"/>
              </w:rPr>
            </w:pPr>
            <w:r w:rsidRPr="00AB1FC1">
              <w:rPr>
                <w:rFonts w:ascii="Times New Roman" w:hAnsi="Times New Roman"/>
                <w:snapToGrid/>
                <w:color w:val="000000" w:themeColor="text1"/>
                <w:sz w:val="22"/>
                <w:szCs w:val="22"/>
              </w:rPr>
              <w:t>Other Office and Administrative Support Workers (43-9000)</w:t>
            </w:r>
          </w:p>
        </w:tc>
        <w:tc>
          <w:tcPr>
            <w:tcW w:w="1583"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186F22" w:rsidRPr="00AB1FC1" w:rsidP="00AB1FC1" w14:paraId="4A11CB5E" w14:textId="08224554">
            <w:pPr>
              <w:widowControl/>
              <w:jc w:val="center"/>
              <w:rPr>
                <w:rFonts w:ascii="Times New Roman" w:hAnsi="Times New Roman"/>
                <w:snapToGrid/>
                <w:color w:val="000000" w:themeColor="text1"/>
                <w:sz w:val="22"/>
                <w:szCs w:val="22"/>
              </w:rPr>
            </w:pPr>
            <w:r w:rsidRPr="00AB1FC1">
              <w:rPr>
                <w:rFonts w:ascii="Times New Roman" w:hAnsi="Times New Roman"/>
                <w:snapToGrid/>
                <w:color w:val="000000" w:themeColor="text1"/>
                <w:sz w:val="22"/>
                <w:szCs w:val="22"/>
              </w:rPr>
              <w:t>$    22.09</w:t>
            </w:r>
          </w:p>
        </w:tc>
        <w:tc>
          <w:tcPr>
            <w:tcW w:w="1646"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186F22" w:rsidRPr="00AB1FC1" w:rsidP="00AB1FC1" w14:paraId="27B3A09A" w14:textId="6213F149">
            <w:pPr>
              <w:widowControl/>
              <w:jc w:val="center"/>
              <w:rPr>
                <w:rFonts w:ascii="Times New Roman" w:hAnsi="Times New Roman"/>
                <w:snapToGrid/>
                <w:color w:val="000000" w:themeColor="text1"/>
                <w:sz w:val="22"/>
                <w:szCs w:val="22"/>
              </w:rPr>
            </w:pPr>
            <w:r w:rsidRPr="00AB1FC1">
              <w:rPr>
                <w:rFonts w:ascii="Times New Roman" w:hAnsi="Times New Roman"/>
                <w:snapToGrid/>
                <w:color w:val="000000" w:themeColor="text1"/>
                <w:sz w:val="22"/>
                <w:szCs w:val="22"/>
              </w:rPr>
              <w:t>$    28.50</w:t>
            </w:r>
          </w:p>
        </w:tc>
        <w:tc>
          <w:tcPr>
            <w:tcW w:w="1458"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186F22" w:rsidRPr="00AB1FC1" w:rsidP="00AB1FC1" w14:paraId="31250A6A" w14:textId="77777777">
            <w:pPr>
              <w:widowControl/>
              <w:jc w:val="center"/>
              <w:rPr>
                <w:rFonts w:ascii="Times New Roman" w:hAnsi="Times New Roman"/>
                <w:snapToGrid/>
                <w:color w:val="000000" w:themeColor="text1"/>
                <w:sz w:val="22"/>
                <w:szCs w:val="22"/>
              </w:rPr>
            </w:pPr>
            <w:r w:rsidRPr="00AB1FC1">
              <w:rPr>
                <w:rFonts w:ascii="Times New Roman" w:hAnsi="Times New Roman"/>
                <w:snapToGrid/>
                <w:color w:val="000000" w:themeColor="text1"/>
                <w:sz w:val="22"/>
                <w:szCs w:val="22"/>
              </w:rPr>
              <w:t>1</w:t>
            </w:r>
          </w:p>
        </w:tc>
        <w:tc>
          <w:tcPr>
            <w:tcW w:w="1479"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186F22" w:rsidRPr="00AB1FC1" w:rsidP="00186F22" w14:paraId="750D4F82" w14:textId="77777777">
            <w:pPr>
              <w:widowControl/>
              <w:jc w:val="center"/>
              <w:rPr>
                <w:rFonts w:ascii="Times New Roman" w:hAnsi="Times New Roman"/>
                <w:snapToGrid/>
                <w:color w:val="000000" w:themeColor="text1"/>
                <w:sz w:val="22"/>
                <w:szCs w:val="22"/>
              </w:rPr>
            </w:pPr>
            <w:r w:rsidRPr="00AB1FC1">
              <w:rPr>
                <w:rFonts w:ascii="Times New Roman" w:hAnsi="Times New Roman"/>
                <w:snapToGrid/>
                <w:color w:val="000000" w:themeColor="text1"/>
                <w:sz w:val="22"/>
                <w:szCs w:val="22"/>
              </w:rPr>
              <w:t>30</w:t>
            </w:r>
          </w:p>
        </w:tc>
        <w:tc>
          <w:tcPr>
            <w:tcW w:w="1575"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186F22" w:rsidRPr="00AB1FC1" w:rsidP="00AB1FC1" w14:paraId="1AB0279D" w14:textId="057568E8">
            <w:pPr>
              <w:widowControl/>
              <w:jc w:val="center"/>
              <w:rPr>
                <w:rFonts w:ascii="Times New Roman" w:hAnsi="Times New Roman"/>
                <w:snapToGrid/>
                <w:color w:val="000000" w:themeColor="text1"/>
                <w:sz w:val="22"/>
                <w:szCs w:val="22"/>
              </w:rPr>
            </w:pPr>
            <w:r w:rsidRPr="00AB1FC1">
              <w:rPr>
                <w:rFonts w:ascii="Times New Roman" w:hAnsi="Times New Roman"/>
                <w:snapToGrid/>
                <w:color w:val="000000" w:themeColor="text1"/>
                <w:sz w:val="22"/>
                <w:szCs w:val="22"/>
              </w:rPr>
              <w:t>$</w:t>
            </w:r>
            <w:r>
              <w:rPr>
                <w:rFonts w:ascii="Times New Roman" w:hAnsi="Times New Roman"/>
                <w:snapToGrid/>
                <w:color w:val="000000" w:themeColor="text1"/>
                <w:sz w:val="22"/>
                <w:szCs w:val="22"/>
              </w:rPr>
              <w:t xml:space="preserve">      </w:t>
            </w:r>
            <w:r w:rsidRPr="00AB1FC1">
              <w:rPr>
                <w:rFonts w:ascii="Times New Roman" w:hAnsi="Times New Roman"/>
                <w:snapToGrid/>
                <w:color w:val="000000" w:themeColor="text1"/>
                <w:sz w:val="22"/>
                <w:szCs w:val="22"/>
              </w:rPr>
              <w:t>855.00</w:t>
            </w:r>
          </w:p>
        </w:tc>
      </w:tr>
      <w:tr w14:paraId="1189A402" w14:textId="77777777" w:rsidTr="00AB1FC1">
        <w:tblPrEx>
          <w:tblW w:w="9648" w:type="dxa"/>
          <w:tblLook w:val="04A0"/>
        </w:tblPrEx>
        <w:trPr>
          <w:trHeight w:val="615"/>
        </w:trPr>
        <w:tc>
          <w:tcPr>
            <w:tcW w:w="6594" w:type="dxa"/>
            <w:gridSpan w:val="4"/>
            <w:tcBorders>
              <w:top w:val="single" w:sz="12" w:space="0" w:color="auto"/>
              <w:left w:val="single" w:sz="12" w:space="0" w:color="auto"/>
              <w:bottom w:val="single" w:sz="12" w:space="0" w:color="auto"/>
              <w:right w:val="single" w:sz="12" w:space="0" w:color="auto"/>
            </w:tcBorders>
            <w:shd w:val="clear" w:color="auto" w:fill="D0CECE" w:themeFill="background2" w:themeFillShade="E6"/>
            <w:vAlign w:val="center"/>
            <w:hideMark/>
          </w:tcPr>
          <w:p w:rsidR="00186F22" w:rsidRPr="00AB1FC1" w:rsidP="00AB1FC1" w14:paraId="737A9330" w14:textId="5F76808B">
            <w:pPr>
              <w:widowControl/>
              <w:jc w:val="center"/>
              <w:rPr>
                <w:rFonts w:ascii="Times New Roman" w:hAnsi="Times New Roman"/>
                <w:b/>
                <w:bCs/>
                <w:snapToGrid/>
                <w:color w:val="000000" w:themeColor="text1"/>
                <w:sz w:val="22"/>
                <w:szCs w:val="22"/>
              </w:rPr>
            </w:pPr>
            <w:r w:rsidRPr="00AB1FC1">
              <w:rPr>
                <w:rFonts w:ascii="Times New Roman" w:hAnsi="Times New Roman"/>
                <w:b/>
                <w:bCs/>
                <w:snapToGrid/>
                <w:color w:val="000000" w:themeColor="text1"/>
                <w:sz w:val="22"/>
                <w:szCs w:val="22"/>
              </w:rPr>
              <w:t>Total Annualized Cost Burden</w:t>
            </w:r>
          </w:p>
        </w:tc>
        <w:tc>
          <w:tcPr>
            <w:tcW w:w="1479"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186F22" w:rsidRPr="00AB1FC1" w:rsidP="00186F22" w14:paraId="406D9172" w14:textId="77777777">
            <w:pPr>
              <w:widowControl/>
              <w:jc w:val="center"/>
              <w:rPr>
                <w:rFonts w:ascii="Times New Roman" w:hAnsi="Times New Roman"/>
                <w:snapToGrid/>
                <w:color w:val="000000" w:themeColor="text1"/>
                <w:sz w:val="22"/>
                <w:szCs w:val="22"/>
              </w:rPr>
            </w:pPr>
            <w:r w:rsidRPr="00AB1FC1">
              <w:rPr>
                <w:rFonts w:ascii="Times New Roman" w:hAnsi="Times New Roman"/>
                <w:snapToGrid/>
                <w:color w:val="000000" w:themeColor="text1"/>
                <w:sz w:val="22"/>
                <w:szCs w:val="22"/>
              </w:rPr>
              <w:t>60</w:t>
            </w:r>
          </w:p>
        </w:tc>
        <w:tc>
          <w:tcPr>
            <w:tcW w:w="1575"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186F22" w:rsidRPr="00AB1FC1" w:rsidP="00186F22" w14:paraId="4671A9BD" w14:textId="0A5203BF">
            <w:pPr>
              <w:widowControl/>
              <w:jc w:val="center"/>
              <w:rPr>
                <w:rFonts w:ascii="Times New Roman" w:hAnsi="Times New Roman"/>
                <w:snapToGrid/>
                <w:color w:val="000000" w:themeColor="text1"/>
                <w:sz w:val="22"/>
                <w:szCs w:val="22"/>
              </w:rPr>
            </w:pPr>
            <w:r w:rsidRPr="00AB1FC1">
              <w:rPr>
                <w:rFonts w:ascii="Times New Roman" w:hAnsi="Times New Roman"/>
                <w:snapToGrid/>
                <w:color w:val="000000" w:themeColor="text1"/>
                <w:sz w:val="22"/>
                <w:szCs w:val="22"/>
              </w:rPr>
              <w:t xml:space="preserve">$  </w:t>
            </w:r>
            <w:r>
              <w:rPr>
                <w:rFonts w:ascii="Times New Roman" w:hAnsi="Times New Roman"/>
                <w:snapToGrid/>
                <w:color w:val="000000" w:themeColor="text1"/>
                <w:sz w:val="22"/>
                <w:szCs w:val="22"/>
              </w:rPr>
              <w:t xml:space="preserve">  </w:t>
            </w:r>
            <w:r w:rsidRPr="00AB1FC1">
              <w:rPr>
                <w:rFonts w:ascii="Times New Roman" w:hAnsi="Times New Roman"/>
                <w:snapToGrid/>
                <w:color w:val="000000" w:themeColor="text1"/>
                <w:sz w:val="22"/>
                <w:szCs w:val="22"/>
              </w:rPr>
              <w:t>2,595.00</w:t>
            </w:r>
          </w:p>
        </w:tc>
      </w:tr>
    </w:tbl>
    <w:p w:rsidR="00B24543" w:rsidRPr="00AB1FC1" w:rsidP="00AB1FC1" w14:paraId="4EB73EAE" w14:textId="299B2044">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eastAsia="Calibri" w:hAnsi="Times New Roman"/>
          <w:b/>
          <w:snapToGrid/>
          <w:szCs w:val="24"/>
        </w:rPr>
      </w:pPr>
      <w:r w:rsidRPr="00AB1FC1">
        <w:rPr>
          <w:rFonts w:ascii="Times New Roman" w:eastAsia="Calibri" w:hAnsi="Times New Roman"/>
          <w:b/>
          <w:snapToGrid/>
          <w:szCs w:val="24"/>
        </w:rPr>
        <w:br/>
      </w:r>
    </w:p>
    <w:p w:rsidR="00B24543" w:rsidRPr="00AB1FC1" w:rsidP="00AB1FC1" w14:paraId="4F176E06" w14:textId="7DC96AE4">
      <w:pPr>
        <w:pStyle w:val="ListParagraph"/>
        <w:numPr>
          <w:ilvl w:val="0"/>
          <w:numId w:val="38"/>
        </w:num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Cs w:val="24"/>
        </w:rPr>
      </w:pPr>
      <w:r w:rsidRPr="00AB1FC1">
        <w:rPr>
          <w:rFonts w:ascii="Times New Roman" w:hAnsi="Times New Roman"/>
          <w:b/>
          <w:sz w:val="24"/>
          <w:szCs w:val="24"/>
        </w:rPr>
        <w:t>Estimate of</w:t>
      </w:r>
      <w:r w:rsidRPr="00AB1FC1" w:rsidR="00186F22">
        <w:rPr>
          <w:rFonts w:ascii="Times New Roman" w:hAnsi="Times New Roman"/>
          <w:b/>
          <w:sz w:val="24"/>
          <w:szCs w:val="24"/>
        </w:rPr>
        <w:t xml:space="preserve"> the</w:t>
      </w:r>
      <w:r w:rsidRPr="00AB1FC1">
        <w:rPr>
          <w:rFonts w:ascii="Times New Roman" w:hAnsi="Times New Roman"/>
          <w:b/>
          <w:sz w:val="24"/>
          <w:szCs w:val="24"/>
        </w:rPr>
        <w:t xml:space="preserve"> </w:t>
      </w:r>
      <w:r w:rsidRPr="00AB1FC1" w:rsidR="00186F22">
        <w:rPr>
          <w:rFonts w:ascii="Times New Roman" w:hAnsi="Times New Roman"/>
          <w:b/>
          <w:sz w:val="24"/>
          <w:szCs w:val="24"/>
        </w:rPr>
        <w:t xml:space="preserve">Total Annual Costs </w:t>
      </w:r>
      <w:r w:rsidRPr="00AB1FC1">
        <w:rPr>
          <w:rFonts w:ascii="Times New Roman" w:hAnsi="Times New Roman"/>
          <w:b/>
          <w:sz w:val="24"/>
          <w:szCs w:val="24"/>
        </w:rPr>
        <w:t xml:space="preserve">to </w:t>
      </w:r>
      <w:r w:rsidRPr="00AB1FC1" w:rsidR="00186F22">
        <w:rPr>
          <w:rFonts w:ascii="Times New Roman" w:hAnsi="Times New Roman"/>
          <w:b/>
          <w:sz w:val="24"/>
          <w:szCs w:val="24"/>
        </w:rPr>
        <w:t>Respondents or Recordkeepers</w:t>
      </w:r>
      <w:r w:rsidRPr="00AB1FC1" w:rsidR="00186F22">
        <w:rPr>
          <w:rFonts w:ascii="Times New Roman" w:hAnsi="Times New Roman"/>
          <w:b/>
          <w:sz w:val="24"/>
          <w:szCs w:val="24"/>
        </w:rPr>
        <w:tab/>
      </w:r>
      <w:r w:rsidRPr="00AB1FC1">
        <w:rPr>
          <w:rFonts w:ascii="Times New Roman" w:hAnsi="Times New Roman"/>
          <w:b/>
          <w:sz w:val="24"/>
          <w:szCs w:val="24"/>
        </w:rPr>
        <w:t xml:space="preserve"> </w:t>
      </w:r>
    </w:p>
    <w:p w:rsidR="0044305A" w:rsidP="00186F22" w14:paraId="50E4C5D4" w14:textId="21165FDA">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bCs/>
          <w:szCs w:val="24"/>
        </w:rPr>
      </w:pPr>
      <w:r w:rsidRPr="00AB1FC1">
        <w:rPr>
          <w:rFonts w:ascii="Times New Roman" w:hAnsi="Times New Roman"/>
          <w:bCs/>
          <w:szCs w:val="24"/>
        </w:rPr>
        <w:t xml:space="preserve">There are no capital, start-up, </w:t>
      </w:r>
      <w:r w:rsidRPr="00AB1FC1" w:rsidR="000A3741">
        <w:rPr>
          <w:rFonts w:ascii="Times New Roman" w:hAnsi="Times New Roman"/>
          <w:bCs/>
          <w:szCs w:val="24"/>
        </w:rPr>
        <w:t>maintenance</w:t>
      </w:r>
      <w:r w:rsidRPr="00AB1FC1">
        <w:rPr>
          <w:rFonts w:ascii="Times New Roman" w:hAnsi="Times New Roman"/>
          <w:bCs/>
          <w:szCs w:val="24"/>
        </w:rPr>
        <w:t xml:space="preserve"> and purchase of service cost associated with this </w:t>
      </w:r>
      <w:r w:rsidRPr="00AB1FC1" w:rsidR="000A3741">
        <w:rPr>
          <w:rFonts w:ascii="Times New Roman" w:hAnsi="Times New Roman"/>
          <w:bCs/>
          <w:szCs w:val="24"/>
        </w:rPr>
        <w:t xml:space="preserve">information collection. </w:t>
      </w:r>
    </w:p>
    <w:p w:rsidR="000A3741" w:rsidRPr="00AB1FC1" w:rsidP="00AB1FC1" w14:paraId="75D4E3EB"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bCs/>
          <w:szCs w:val="24"/>
        </w:rPr>
      </w:pPr>
    </w:p>
    <w:p w:rsidR="00B24543" w:rsidRPr="00AB1FC1" w:rsidP="00AB1FC1" w14:paraId="5F7628C3" w14:textId="742E6F25">
      <w:pPr>
        <w:numPr>
          <w:ilvl w:val="0"/>
          <w:numId w:val="38"/>
        </w:num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Cs w:val="24"/>
        </w:rPr>
      </w:pPr>
      <w:r w:rsidRPr="00AB1FC1">
        <w:rPr>
          <w:rFonts w:ascii="Times New Roman" w:hAnsi="Times New Roman"/>
          <w:b/>
          <w:szCs w:val="24"/>
        </w:rPr>
        <w:t>Estimate</w:t>
      </w:r>
      <w:r w:rsidRPr="00AB1FC1" w:rsidR="000A3741">
        <w:rPr>
          <w:rFonts w:ascii="Times New Roman" w:hAnsi="Times New Roman"/>
          <w:b/>
          <w:szCs w:val="24"/>
        </w:rPr>
        <w:t>s o</w:t>
      </w:r>
      <w:r w:rsidR="009A4AF4">
        <w:rPr>
          <w:rFonts w:ascii="Times New Roman" w:hAnsi="Times New Roman"/>
          <w:b/>
          <w:szCs w:val="24"/>
        </w:rPr>
        <w:t>f</w:t>
      </w:r>
      <w:r w:rsidRPr="00AB1FC1" w:rsidR="000A3741">
        <w:rPr>
          <w:rFonts w:ascii="Times New Roman" w:hAnsi="Times New Roman"/>
          <w:b/>
          <w:szCs w:val="24"/>
        </w:rPr>
        <w:t xml:space="preserve"> </w:t>
      </w:r>
      <w:r w:rsidRPr="00AB1FC1">
        <w:rPr>
          <w:rFonts w:ascii="Times New Roman" w:hAnsi="Times New Roman"/>
          <w:b/>
          <w:szCs w:val="24"/>
        </w:rPr>
        <w:t xml:space="preserve">Federal </w:t>
      </w:r>
      <w:r w:rsidRPr="00AB1FC1" w:rsidR="000A3741">
        <w:rPr>
          <w:rFonts w:ascii="Times New Roman" w:hAnsi="Times New Roman"/>
          <w:b/>
          <w:szCs w:val="24"/>
        </w:rPr>
        <w:t xml:space="preserve">Government Costs </w:t>
      </w:r>
      <w:r w:rsidRPr="00AB1FC1">
        <w:rPr>
          <w:rFonts w:ascii="Times New Roman" w:hAnsi="Times New Roman"/>
          <w:b/>
          <w:szCs w:val="24"/>
        </w:rPr>
        <w:t xml:space="preserve">  </w:t>
      </w:r>
      <w:r w:rsidRPr="00AB1FC1">
        <w:rPr>
          <w:rFonts w:ascii="Times New Roman" w:hAnsi="Times New Roman"/>
          <w:b/>
          <w:szCs w:val="24"/>
        </w:rPr>
        <w:br/>
      </w:r>
    </w:p>
    <w:p w:rsidR="00B24543" w:rsidRPr="00476C39" w:rsidP="005F158F" w14:paraId="5306A937" w14:textId="014B6485">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Pr>
          <w:rFonts w:ascii="Times New Roman" w:hAnsi="Times New Roman"/>
          <w:szCs w:val="24"/>
        </w:rPr>
        <w:tab/>
      </w:r>
      <w:r w:rsidRPr="00476C39">
        <w:rPr>
          <w:rFonts w:ascii="Times New Roman" w:hAnsi="Times New Roman"/>
          <w:szCs w:val="24"/>
        </w:rPr>
        <w:t>The total annual cost to the Federal Government for processing the collection is:</w:t>
      </w:r>
    </w:p>
    <w:p w:rsidR="00B24543" w:rsidRPr="00476C39" w:rsidP="005F158F" w14:paraId="41967DCB"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p>
    <w:p w:rsidR="0010270C" w:rsidP="00C71AF7" w14:paraId="2B58CEE3" w14:textId="50E99AE1">
      <w:pPr>
        <w:tabs>
          <w:tab w:val="left" w:pos="-1440"/>
          <w:tab w:val="left" w:pos="-720"/>
          <w:tab w:val="left" w:pos="720"/>
          <w:tab w:val="left" w:pos="81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iCs/>
        </w:rPr>
      </w:pPr>
      <w:r w:rsidRPr="000A3741">
        <w:rPr>
          <w:rFonts w:ascii="Times New Roman" w:hAnsi="Times New Roman"/>
          <w:iCs/>
        </w:rPr>
        <w:t>According to the Office of Personnel Management (OPM)</w:t>
      </w:r>
      <w:r>
        <w:rPr>
          <w:rFonts w:ascii="Times New Roman" w:hAnsi="Times New Roman"/>
          <w:iCs/>
          <w:vertAlign w:val="superscript"/>
        </w:rPr>
        <w:footnoteReference w:id="4"/>
      </w:r>
      <w:r w:rsidRPr="000A3741">
        <w:rPr>
          <w:rFonts w:ascii="Times New Roman" w:hAnsi="Times New Roman"/>
          <w:iCs/>
        </w:rPr>
        <w:t xml:space="preserve"> wage tables, the hourly wage rate for one </w:t>
      </w:r>
      <w:r>
        <w:rPr>
          <w:rFonts w:ascii="Times New Roman" w:hAnsi="Times New Roman"/>
          <w:iCs/>
        </w:rPr>
        <w:t xml:space="preserve">GS 12, Step 8 employee with a Washington-Baltimore-Arlington locality pay is </w:t>
      </w:r>
      <w:r w:rsidR="00C71AF7">
        <w:rPr>
          <w:rFonts w:ascii="Times New Roman" w:hAnsi="Times New Roman"/>
          <w:iCs/>
        </w:rPr>
        <w:t xml:space="preserve"> </w:t>
      </w:r>
      <w:r>
        <w:rPr>
          <w:rFonts w:ascii="Times New Roman" w:hAnsi="Times New Roman"/>
          <w:iCs/>
        </w:rPr>
        <w:t xml:space="preserve">$ 59.93.  </w:t>
      </w:r>
      <w:r w:rsidRPr="000A3741">
        <w:rPr>
          <w:rFonts w:ascii="Times New Roman" w:hAnsi="Times New Roman"/>
          <w:iCs/>
        </w:rPr>
        <w:t>When combined with the Federal Employee Compensation rate of 31%</w:t>
      </w:r>
      <w:r>
        <w:rPr>
          <w:rFonts w:ascii="Times New Roman" w:hAnsi="Times New Roman"/>
          <w:iCs/>
          <w:vertAlign w:val="superscript"/>
        </w:rPr>
        <w:footnoteReference w:id="5"/>
      </w:r>
      <w:r w:rsidRPr="000A3741">
        <w:rPr>
          <w:rFonts w:ascii="Times New Roman" w:hAnsi="Times New Roman"/>
          <w:iCs/>
        </w:rPr>
        <w:t>, the total hourly wage rate for this employee is</w:t>
      </w:r>
      <w:r>
        <w:rPr>
          <w:rFonts w:ascii="Times New Roman" w:hAnsi="Times New Roman"/>
          <w:iCs/>
        </w:rPr>
        <w:t xml:space="preserve"> $78.52.  This employee will take approximately one (1) hour to perform various tasks (i.e.,</w:t>
      </w:r>
      <w:r w:rsidRPr="000A3741">
        <w:rPr>
          <w:rFonts w:ascii="Times New Roman" w:hAnsi="Times New Roman"/>
          <w:szCs w:val="24"/>
        </w:rPr>
        <w:t xml:space="preserve"> </w:t>
      </w:r>
      <w:r w:rsidRPr="000A3741">
        <w:rPr>
          <w:rFonts w:ascii="Times New Roman" w:hAnsi="Times New Roman"/>
          <w:iCs/>
        </w:rPr>
        <w:t>analyz</w:t>
      </w:r>
      <w:r>
        <w:rPr>
          <w:rFonts w:ascii="Times New Roman" w:hAnsi="Times New Roman"/>
          <w:iCs/>
        </w:rPr>
        <w:t>ing</w:t>
      </w:r>
      <w:r w:rsidRPr="000A3741">
        <w:rPr>
          <w:rFonts w:ascii="Times New Roman" w:hAnsi="Times New Roman"/>
          <w:iCs/>
        </w:rPr>
        <w:t xml:space="preserve"> the primary service, request</w:t>
      </w:r>
      <w:r>
        <w:rPr>
          <w:rFonts w:ascii="Times New Roman" w:hAnsi="Times New Roman"/>
          <w:iCs/>
        </w:rPr>
        <w:t xml:space="preserve">ing </w:t>
      </w:r>
      <w:r w:rsidRPr="000A3741">
        <w:rPr>
          <w:rFonts w:ascii="Times New Roman" w:hAnsi="Times New Roman"/>
          <w:iCs/>
        </w:rPr>
        <w:t>the annual statement, receiv</w:t>
      </w:r>
      <w:r>
        <w:rPr>
          <w:rFonts w:ascii="Times New Roman" w:hAnsi="Times New Roman"/>
          <w:iCs/>
        </w:rPr>
        <w:t>ing</w:t>
      </w:r>
      <w:r w:rsidRPr="000A3741">
        <w:rPr>
          <w:rFonts w:ascii="Times New Roman" w:hAnsi="Times New Roman"/>
          <w:iCs/>
        </w:rPr>
        <w:t xml:space="preserve"> the annual statement, incorporat</w:t>
      </w:r>
      <w:r>
        <w:rPr>
          <w:rFonts w:ascii="Times New Roman" w:hAnsi="Times New Roman"/>
          <w:iCs/>
        </w:rPr>
        <w:t>ing</w:t>
      </w:r>
      <w:r w:rsidRPr="000A3741">
        <w:rPr>
          <w:rFonts w:ascii="Times New Roman" w:hAnsi="Times New Roman"/>
          <w:iCs/>
        </w:rPr>
        <w:t xml:space="preserve"> the data, and fil</w:t>
      </w:r>
      <w:r>
        <w:rPr>
          <w:rFonts w:ascii="Times New Roman" w:hAnsi="Times New Roman"/>
          <w:iCs/>
        </w:rPr>
        <w:t>ing</w:t>
      </w:r>
      <w:r w:rsidRPr="000A3741">
        <w:rPr>
          <w:rFonts w:ascii="Times New Roman" w:hAnsi="Times New Roman"/>
          <w:iCs/>
        </w:rPr>
        <w:t xml:space="preserve"> the statement</w:t>
      </w:r>
      <w:r>
        <w:rPr>
          <w:rFonts w:ascii="Times New Roman" w:hAnsi="Times New Roman"/>
          <w:iCs/>
        </w:rPr>
        <w:t xml:space="preserve">) related to each of the 60 responses </w:t>
      </w:r>
      <w:r>
        <w:rPr>
          <w:rFonts w:ascii="Times New Roman" w:hAnsi="Times New Roman"/>
          <w:iCs/>
        </w:rPr>
        <w:t>to this collection.  Therefore, the total federal government cost associated with this collection is $ 4, 710.60, which can be calculated as shown in the table below:</w:t>
      </w:r>
    </w:p>
    <w:p w:rsidR="009A4AF4" w:rsidRPr="000A3741" w:rsidP="000A3741" w14:paraId="226C8B4E"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iCs/>
        </w:rPr>
      </w:pPr>
    </w:p>
    <w:tbl>
      <w:tblPr>
        <w:tblW w:w="11160" w:type="dxa"/>
        <w:tblInd w:w="-73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tblPr>
      <w:tblGrid>
        <w:gridCol w:w="1620"/>
        <w:gridCol w:w="1018"/>
        <w:gridCol w:w="1573"/>
        <w:gridCol w:w="1231"/>
        <w:gridCol w:w="569"/>
        <w:gridCol w:w="1476"/>
        <w:gridCol w:w="426"/>
        <w:gridCol w:w="1402"/>
        <w:gridCol w:w="500"/>
        <w:gridCol w:w="1345"/>
      </w:tblGrid>
      <w:tr w14:paraId="23E5B8F9" w14:textId="77777777" w:rsidTr="00AB1FC1">
        <w:tblPrEx>
          <w:tblW w:w="11160" w:type="dxa"/>
          <w:tblInd w:w="-73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tblPrEx>
        <w:trPr>
          <w:trHeight w:val="780"/>
        </w:trPr>
        <w:tc>
          <w:tcPr>
            <w:tcW w:w="1620" w:type="dxa"/>
            <w:shd w:val="clear" w:color="000000" w:fill="D9D9D9"/>
            <w:vAlign w:val="center"/>
            <w:hideMark/>
          </w:tcPr>
          <w:p w:rsidR="0010270C" w:rsidRPr="00AB1FC1" w:rsidP="0010270C" w14:paraId="0905AB51" w14:textId="77777777">
            <w:pPr>
              <w:widowControl/>
              <w:rPr>
                <w:rFonts w:ascii="Times New Roman" w:hAnsi="Times New Roman"/>
                <w:b/>
                <w:bCs/>
                <w:snapToGrid/>
                <w:color w:val="000000"/>
                <w:sz w:val="22"/>
                <w:szCs w:val="22"/>
              </w:rPr>
            </w:pPr>
            <w:r w:rsidRPr="00AB1FC1">
              <w:rPr>
                <w:rFonts w:ascii="Times New Roman" w:hAnsi="Times New Roman"/>
                <w:b/>
                <w:bCs/>
                <w:snapToGrid/>
                <w:color w:val="000000"/>
                <w:sz w:val="22"/>
                <w:szCs w:val="22"/>
              </w:rPr>
              <w:t>FTE Grade and Step &amp; CRF Program Related  Task</w:t>
            </w:r>
          </w:p>
        </w:tc>
        <w:tc>
          <w:tcPr>
            <w:tcW w:w="1018" w:type="dxa"/>
            <w:shd w:val="clear" w:color="000000" w:fill="D9D9D9"/>
            <w:vAlign w:val="center"/>
            <w:hideMark/>
          </w:tcPr>
          <w:p w:rsidR="0010270C" w:rsidRPr="00AB1FC1" w:rsidP="0010270C" w14:paraId="3989F587" w14:textId="77777777">
            <w:pPr>
              <w:widowControl/>
              <w:jc w:val="center"/>
              <w:rPr>
                <w:rFonts w:ascii="Times New Roman" w:hAnsi="Times New Roman"/>
                <w:b/>
                <w:bCs/>
                <w:snapToGrid/>
                <w:color w:val="000000"/>
                <w:sz w:val="22"/>
                <w:szCs w:val="22"/>
              </w:rPr>
            </w:pPr>
            <w:r w:rsidRPr="00AB1FC1">
              <w:rPr>
                <w:rFonts w:ascii="Times New Roman" w:hAnsi="Times New Roman"/>
                <w:b/>
                <w:bCs/>
                <w:snapToGrid/>
                <w:color w:val="000000"/>
                <w:sz w:val="22"/>
                <w:szCs w:val="22"/>
              </w:rPr>
              <w:t>Hourly Wage</w:t>
            </w:r>
          </w:p>
        </w:tc>
        <w:tc>
          <w:tcPr>
            <w:tcW w:w="1573" w:type="dxa"/>
            <w:shd w:val="clear" w:color="000000" w:fill="D9D9D9"/>
            <w:vAlign w:val="center"/>
            <w:hideMark/>
          </w:tcPr>
          <w:p w:rsidR="0010270C" w:rsidRPr="00AB1FC1" w:rsidP="0010270C" w14:paraId="7C9D113C" w14:textId="77777777">
            <w:pPr>
              <w:widowControl/>
              <w:jc w:val="center"/>
              <w:rPr>
                <w:rFonts w:ascii="Times New Roman" w:hAnsi="Times New Roman"/>
                <w:b/>
                <w:bCs/>
                <w:snapToGrid/>
                <w:color w:val="000000"/>
                <w:sz w:val="22"/>
                <w:szCs w:val="22"/>
              </w:rPr>
            </w:pPr>
            <w:r w:rsidRPr="00AB1FC1">
              <w:rPr>
                <w:rFonts w:ascii="Times New Roman" w:hAnsi="Times New Roman"/>
                <w:b/>
                <w:bCs/>
                <w:snapToGrid/>
                <w:color w:val="000000"/>
                <w:sz w:val="22"/>
                <w:szCs w:val="22"/>
              </w:rPr>
              <w:t xml:space="preserve">Average Hourly Wage Rate with 31% Compensation   </w:t>
            </w:r>
          </w:p>
        </w:tc>
        <w:tc>
          <w:tcPr>
            <w:tcW w:w="1231" w:type="dxa"/>
            <w:shd w:val="clear" w:color="000000" w:fill="D9D9D9"/>
            <w:vAlign w:val="center"/>
            <w:hideMark/>
          </w:tcPr>
          <w:p w:rsidR="0010270C" w:rsidRPr="00AB1FC1" w:rsidP="0010270C" w14:paraId="30AB18CB" w14:textId="77777777">
            <w:pPr>
              <w:widowControl/>
              <w:jc w:val="center"/>
              <w:rPr>
                <w:rFonts w:ascii="Times New Roman" w:hAnsi="Times New Roman"/>
                <w:b/>
                <w:bCs/>
                <w:snapToGrid/>
                <w:color w:val="000000"/>
                <w:sz w:val="22"/>
                <w:szCs w:val="22"/>
              </w:rPr>
            </w:pPr>
            <w:r w:rsidRPr="00AB1FC1">
              <w:rPr>
                <w:rFonts w:ascii="Times New Roman" w:hAnsi="Times New Roman"/>
                <w:b/>
                <w:bCs/>
                <w:snapToGrid/>
                <w:color w:val="000000"/>
                <w:sz w:val="22"/>
                <w:szCs w:val="22"/>
              </w:rPr>
              <w:t xml:space="preserve">Total Employees </w:t>
            </w:r>
          </w:p>
        </w:tc>
        <w:tc>
          <w:tcPr>
            <w:tcW w:w="569" w:type="dxa"/>
            <w:shd w:val="clear" w:color="000000" w:fill="D9D9D9"/>
          </w:tcPr>
          <w:p w:rsidR="0010270C" w:rsidRPr="00AB1FC1" w:rsidP="0010270C" w14:paraId="2E8B438A" w14:textId="77777777">
            <w:pPr>
              <w:widowControl/>
              <w:jc w:val="center"/>
              <w:rPr>
                <w:rFonts w:ascii="Times New Roman" w:hAnsi="Times New Roman"/>
                <w:b/>
                <w:bCs/>
                <w:snapToGrid/>
                <w:color w:val="000000"/>
                <w:sz w:val="22"/>
                <w:szCs w:val="22"/>
              </w:rPr>
            </w:pPr>
          </w:p>
        </w:tc>
        <w:tc>
          <w:tcPr>
            <w:tcW w:w="1476" w:type="dxa"/>
            <w:shd w:val="clear" w:color="000000" w:fill="D9D9D9"/>
            <w:vAlign w:val="center"/>
            <w:hideMark/>
          </w:tcPr>
          <w:p w:rsidR="0010270C" w:rsidRPr="00AB1FC1" w:rsidP="0010270C" w14:paraId="2EE2F019" w14:textId="142E8A77">
            <w:pPr>
              <w:widowControl/>
              <w:jc w:val="center"/>
              <w:rPr>
                <w:rFonts w:ascii="Times New Roman" w:hAnsi="Times New Roman"/>
                <w:b/>
                <w:bCs/>
                <w:snapToGrid/>
                <w:color w:val="000000"/>
                <w:sz w:val="22"/>
                <w:szCs w:val="22"/>
              </w:rPr>
            </w:pPr>
            <w:r w:rsidRPr="00AB1FC1">
              <w:rPr>
                <w:rFonts w:ascii="Times New Roman" w:hAnsi="Times New Roman"/>
                <w:b/>
                <w:bCs/>
                <w:snapToGrid/>
                <w:color w:val="000000"/>
                <w:sz w:val="22"/>
                <w:szCs w:val="22"/>
              </w:rPr>
              <w:t>Total Time for Per application  (Avg. Hours)</w:t>
            </w:r>
          </w:p>
        </w:tc>
        <w:tc>
          <w:tcPr>
            <w:tcW w:w="426" w:type="dxa"/>
            <w:shd w:val="clear" w:color="000000" w:fill="D9D9D9"/>
          </w:tcPr>
          <w:p w:rsidR="0010270C" w:rsidRPr="00AB1FC1" w:rsidP="0010270C" w14:paraId="2A400D64" w14:textId="77777777">
            <w:pPr>
              <w:widowControl/>
              <w:jc w:val="center"/>
              <w:rPr>
                <w:rFonts w:ascii="Times New Roman" w:hAnsi="Times New Roman"/>
                <w:b/>
                <w:bCs/>
                <w:snapToGrid/>
                <w:color w:val="000000"/>
                <w:sz w:val="22"/>
                <w:szCs w:val="22"/>
              </w:rPr>
            </w:pPr>
          </w:p>
        </w:tc>
        <w:tc>
          <w:tcPr>
            <w:tcW w:w="1402" w:type="dxa"/>
            <w:shd w:val="clear" w:color="000000" w:fill="D9D9D9"/>
            <w:vAlign w:val="center"/>
            <w:hideMark/>
          </w:tcPr>
          <w:p w:rsidR="0010270C" w:rsidRPr="00AB1FC1" w:rsidP="0010270C" w14:paraId="5321CC71" w14:textId="61E85CE1">
            <w:pPr>
              <w:widowControl/>
              <w:jc w:val="center"/>
              <w:rPr>
                <w:rFonts w:ascii="Times New Roman" w:hAnsi="Times New Roman"/>
                <w:b/>
                <w:bCs/>
                <w:snapToGrid/>
                <w:color w:val="000000"/>
                <w:sz w:val="22"/>
                <w:szCs w:val="22"/>
              </w:rPr>
            </w:pPr>
            <w:r w:rsidRPr="00AB1FC1">
              <w:rPr>
                <w:rFonts w:ascii="Times New Roman" w:hAnsi="Times New Roman"/>
                <w:b/>
                <w:bCs/>
                <w:snapToGrid/>
                <w:color w:val="000000"/>
                <w:sz w:val="22"/>
                <w:szCs w:val="22"/>
              </w:rPr>
              <w:t xml:space="preserve">Total Applications </w:t>
            </w:r>
          </w:p>
        </w:tc>
        <w:tc>
          <w:tcPr>
            <w:tcW w:w="500" w:type="dxa"/>
            <w:shd w:val="clear" w:color="000000" w:fill="D9D9D9"/>
          </w:tcPr>
          <w:p w:rsidR="0010270C" w:rsidRPr="00AB1FC1" w:rsidP="00AB1FC1" w14:paraId="1947CD2C" w14:textId="77777777">
            <w:pPr>
              <w:widowControl/>
              <w:ind w:right="-110"/>
              <w:jc w:val="center"/>
              <w:rPr>
                <w:rFonts w:ascii="Times New Roman" w:hAnsi="Times New Roman"/>
                <w:b/>
                <w:bCs/>
                <w:snapToGrid/>
                <w:color w:val="000000"/>
                <w:sz w:val="22"/>
                <w:szCs w:val="22"/>
              </w:rPr>
            </w:pPr>
          </w:p>
        </w:tc>
        <w:tc>
          <w:tcPr>
            <w:tcW w:w="1345" w:type="dxa"/>
            <w:shd w:val="clear" w:color="000000" w:fill="D9D9D9"/>
            <w:vAlign w:val="center"/>
            <w:hideMark/>
          </w:tcPr>
          <w:p w:rsidR="0010270C" w:rsidRPr="00AB1FC1" w:rsidP="00AB1FC1" w14:paraId="52ACF154" w14:textId="65B2D950">
            <w:pPr>
              <w:widowControl/>
              <w:ind w:right="-110"/>
              <w:jc w:val="center"/>
              <w:rPr>
                <w:rFonts w:ascii="Times New Roman" w:hAnsi="Times New Roman"/>
                <w:b/>
                <w:bCs/>
                <w:snapToGrid/>
                <w:color w:val="000000"/>
                <w:sz w:val="22"/>
                <w:szCs w:val="22"/>
              </w:rPr>
            </w:pPr>
            <w:r w:rsidRPr="00AB1FC1">
              <w:rPr>
                <w:rFonts w:ascii="Times New Roman" w:hAnsi="Times New Roman"/>
                <w:b/>
                <w:bCs/>
                <w:snapToGrid/>
                <w:color w:val="000000"/>
                <w:sz w:val="22"/>
                <w:szCs w:val="22"/>
              </w:rPr>
              <w:t xml:space="preserve">Total Federal Government Wages   </w:t>
            </w:r>
          </w:p>
        </w:tc>
      </w:tr>
      <w:tr w14:paraId="4F53514A" w14:textId="77777777" w:rsidTr="00AB1FC1">
        <w:tblPrEx>
          <w:tblW w:w="11160" w:type="dxa"/>
          <w:tblInd w:w="-735" w:type="dxa"/>
          <w:tblLayout w:type="fixed"/>
          <w:tblLook w:val="04A0"/>
        </w:tblPrEx>
        <w:trPr>
          <w:trHeight w:val="1440"/>
        </w:trPr>
        <w:tc>
          <w:tcPr>
            <w:tcW w:w="1620" w:type="dxa"/>
            <w:shd w:val="clear" w:color="auto" w:fill="auto"/>
            <w:vAlign w:val="center"/>
            <w:hideMark/>
          </w:tcPr>
          <w:p w:rsidR="0010270C" w:rsidRPr="00AB1FC1" w:rsidP="0010270C" w14:paraId="205541BE" w14:textId="1E34F459">
            <w:pPr>
              <w:widowControl/>
              <w:rPr>
                <w:rFonts w:ascii="Times New Roman" w:hAnsi="Times New Roman"/>
                <w:snapToGrid/>
                <w:color w:val="000000" w:themeColor="text1"/>
                <w:sz w:val="22"/>
                <w:szCs w:val="22"/>
              </w:rPr>
            </w:pPr>
            <w:r w:rsidRPr="00AB1FC1">
              <w:rPr>
                <w:rFonts w:ascii="Times New Roman" w:hAnsi="Times New Roman"/>
                <w:snapToGrid/>
                <w:color w:val="000000" w:themeColor="text1"/>
                <w:sz w:val="22"/>
                <w:szCs w:val="22"/>
              </w:rPr>
              <w:t>GS 12 (Step 8):  (analyze, receive and file</w:t>
            </w:r>
            <w:r w:rsidR="0012401D">
              <w:rPr>
                <w:rFonts w:ascii="Times New Roman" w:hAnsi="Times New Roman"/>
                <w:snapToGrid/>
                <w:color w:val="000000" w:themeColor="text1"/>
                <w:sz w:val="22"/>
                <w:szCs w:val="22"/>
              </w:rPr>
              <w:t xml:space="preserve"> </w:t>
            </w:r>
            <w:r w:rsidRPr="00AB1FC1">
              <w:rPr>
                <w:rFonts w:ascii="Times New Roman" w:hAnsi="Times New Roman"/>
                <w:snapToGrid/>
                <w:color w:val="000000" w:themeColor="text1"/>
                <w:sz w:val="22"/>
                <w:szCs w:val="22"/>
              </w:rPr>
              <w:t>statement)</w:t>
            </w:r>
          </w:p>
        </w:tc>
        <w:tc>
          <w:tcPr>
            <w:tcW w:w="1018" w:type="dxa"/>
            <w:shd w:val="clear" w:color="auto" w:fill="auto"/>
            <w:vAlign w:val="center"/>
            <w:hideMark/>
          </w:tcPr>
          <w:p w:rsidR="0010270C" w:rsidRPr="00AB1FC1" w:rsidP="0010270C" w14:paraId="01C7D5B7" w14:textId="50D658B9">
            <w:pPr>
              <w:widowControl/>
              <w:rPr>
                <w:rFonts w:ascii="Times New Roman" w:hAnsi="Times New Roman"/>
                <w:snapToGrid/>
                <w:color w:val="000000" w:themeColor="text1"/>
                <w:sz w:val="22"/>
                <w:szCs w:val="22"/>
              </w:rPr>
            </w:pPr>
            <w:r w:rsidRPr="00AB1FC1">
              <w:rPr>
                <w:rFonts w:ascii="Times New Roman" w:hAnsi="Times New Roman"/>
                <w:snapToGrid/>
                <w:color w:val="000000" w:themeColor="text1"/>
                <w:sz w:val="22"/>
                <w:szCs w:val="22"/>
              </w:rPr>
              <w:t xml:space="preserve"> $  59.93 </w:t>
            </w:r>
          </w:p>
        </w:tc>
        <w:tc>
          <w:tcPr>
            <w:tcW w:w="1573" w:type="dxa"/>
            <w:shd w:val="clear" w:color="auto" w:fill="auto"/>
            <w:vAlign w:val="center"/>
            <w:hideMark/>
          </w:tcPr>
          <w:p w:rsidR="0010270C" w:rsidRPr="00AB1FC1" w:rsidP="0010270C" w14:paraId="6A5E9017" w14:textId="4DDC88B2">
            <w:pPr>
              <w:widowControl/>
              <w:rPr>
                <w:rFonts w:ascii="Times New Roman" w:hAnsi="Times New Roman"/>
                <w:snapToGrid/>
                <w:color w:val="000000" w:themeColor="text1"/>
                <w:sz w:val="22"/>
                <w:szCs w:val="22"/>
              </w:rPr>
            </w:pPr>
            <w:r w:rsidRPr="00AB1FC1">
              <w:rPr>
                <w:rFonts w:ascii="Times New Roman" w:hAnsi="Times New Roman"/>
                <w:snapToGrid/>
                <w:color w:val="000000" w:themeColor="text1"/>
                <w:sz w:val="22"/>
                <w:szCs w:val="22"/>
              </w:rPr>
              <w:t xml:space="preserve"> $        78.51 </w:t>
            </w:r>
          </w:p>
        </w:tc>
        <w:tc>
          <w:tcPr>
            <w:tcW w:w="1231" w:type="dxa"/>
            <w:shd w:val="clear" w:color="auto" w:fill="auto"/>
            <w:vAlign w:val="center"/>
            <w:hideMark/>
          </w:tcPr>
          <w:p w:rsidR="0010270C" w:rsidRPr="00AB1FC1" w:rsidP="0010270C" w14:paraId="48CAAE8E" w14:textId="77777777">
            <w:pPr>
              <w:widowControl/>
              <w:jc w:val="center"/>
              <w:rPr>
                <w:rFonts w:ascii="Times New Roman" w:hAnsi="Times New Roman"/>
                <w:snapToGrid/>
                <w:color w:val="000000" w:themeColor="text1"/>
                <w:sz w:val="22"/>
                <w:szCs w:val="22"/>
              </w:rPr>
            </w:pPr>
            <w:r w:rsidRPr="00AB1FC1">
              <w:rPr>
                <w:rFonts w:ascii="Times New Roman" w:hAnsi="Times New Roman"/>
                <w:snapToGrid/>
                <w:color w:val="000000" w:themeColor="text1"/>
                <w:sz w:val="22"/>
                <w:szCs w:val="22"/>
              </w:rPr>
              <w:t>1</w:t>
            </w:r>
          </w:p>
        </w:tc>
        <w:tc>
          <w:tcPr>
            <w:tcW w:w="569" w:type="dxa"/>
          </w:tcPr>
          <w:p w:rsidR="0010270C" w:rsidRPr="00AB1FC1" w:rsidP="0010270C" w14:paraId="6EEDD7BE" w14:textId="77777777">
            <w:pPr>
              <w:widowControl/>
              <w:jc w:val="center"/>
              <w:rPr>
                <w:rFonts w:ascii="Times New Roman" w:hAnsi="Times New Roman"/>
                <w:snapToGrid/>
                <w:color w:val="000000" w:themeColor="text1"/>
                <w:sz w:val="22"/>
                <w:szCs w:val="22"/>
              </w:rPr>
            </w:pPr>
          </w:p>
          <w:p w:rsidR="0010270C" w:rsidRPr="00AB1FC1" w:rsidP="0010270C" w14:paraId="7AEEB639" w14:textId="77777777">
            <w:pPr>
              <w:widowControl/>
              <w:jc w:val="center"/>
              <w:rPr>
                <w:rFonts w:ascii="Times New Roman" w:hAnsi="Times New Roman"/>
                <w:snapToGrid/>
                <w:color w:val="000000" w:themeColor="text1"/>
                <w:sz w:val="22"/>
                <w:szCs w:val="22"/>
              </w:rPr>
            </w:pPr>
          </w:p>
          <w:p w:rsidR="0010270C" w:rsidRPr="00AB1FC1" w:rsidP="0010270C" w14:paraId="45B711A2" w14:textId="77777777">
            <w:pPr>
              <w:widowControl/>
              <w:jc w:val="center"/>
              <w:rPr>
                <w:rFonts w:ascii="Times New Roman" w:hAnsi="Times New Roman"/>
                <w:snapToGrid/>
                <w:color w:val="000000" w:themeColor="text1"/>
                <w:sz w:val="22"/>
                <w:szCs w:val="22"/>
              </w:rPr>
            </w:pPr>
          </w:p>
          <w:p w:rsidR="0010270C" w:rsidRPr="00AB1FC1" w:rsidP="0010270C" w14:paraId="476CDCD2" w14:textId="3E1057AD">
            <w:pPr>
              <w:widowControl/>
              <w:jc w:val="center"/>
              <w:rPr>
                <w:rFonts w:ascii="Times New Roman" w:hAnsi="Times New Roman"/>
                <w:snapToGrid/>
                <w:color w:val="000000" w:themeColor="text1"/>
                <w:sz w:val="22"/>
                <w:szCs w:val="22"/>
              </w:rPr>
            </w:pPr>
            <w:r w:rsidRPr="00AB1FC1">
              <w:rPr>
                <w:rFonts w:ascii="Times New Roman" w:hAnsi="Times New Roman"/>
                <w:snapToGrid/>
                <w:color w:val="000000" w:themeColor="text1"/>
                <w:sz w:val="22"/>
                <w:szCs w:val="22"/>
              </w:rPr>
              <w:t>*</w:t>
            </w:r>
          </w:p>
        </w:tc>
        <w:tc>
          <w:tcPr>
            <w:tcW w:w="1476" w:type="dxa"/>
            <w:shd w:val="clear" w:color="auto" w:fill="auto"/>
            <w:vAlign w:val="center"/>
            <w:hideMark/>
          </w:tcPr>
          <w:p w:rsidR="0010270C" w:rsidRPr="00AB1FC1" w:rsidP="0010270C" w14:paraId="22975328" w14:textId="2FAAD2FC">
            <w:pPr>
              <w:widowControl/>
              <w:jc w:val="center"/>
              <w:rPr>
                <w:rFonts w:ascii="Times New Roman" w:hAnsi="Times New Roman"/>
                <w:snapToGrid/>
                <w:color w:val="000000" w:themeColor="text1"/>
                <w:sz w:val="22"/>
                <w:szCs w:val="22"/>
              </w:rPr>
            </w:pPr>
            <w:r w:rsidRPr="00AB1FC1">
              <w:rPr>
                <w:rFonts w:ascii="Times New Roman" w:hAnsi="Times New Roman"/>
                <w:snapToGrid/>
                <w:color w:val="000000" w:themeColor="text1"/>
                <w:sz w:val="22"/>
                <w:szCs w:val="22"/>
              </w:rPr>
              <w:t>1</w:t>
            </w:r>
          </w:p>
        </w:tc>
        <w:tc>
          <w:tcPr>
            <w:tcW w:w="426" w:type="dxa"/>
          </w:tcPr>
          <w:p w:rsidR="0010270C" w:rsidRPr="00AB1FC1" w:rsidP="0010270C" w14:paraId="29FBDB90" w14:textId="77777777">
            <w:pPr>
              <w:widowControl/>
              <w:jc w:val="center"/>
              <w:rPr>
                <w:rFonts w:ascii="Times New Roman" w:hAnsi="Times New Roman"/>
                <w:snapToGrid/>
                <w:color w:val="000000" w:themeColor="text1"/>
                <w:sz w:val="22"/>
                <w:szCs w:val="22"/>
              </w:rPr>
            </w:pPr>
          </w:p>
          <w:p w:rsidR="0010270C" w:rsidRPr="00AB1FC1" w:rsidP="0010270C" w14:paraId="7B5BD2BD" w14:textId="77777777">
            <w:pPr>
              <w:widowControl/>
              <w:jc w:val="center"/>
              <w:rPr>
                <w:rFonts w:ascii="Times New Roman" w:hAnsi="Times New Roman"/>
                <w:snapToGrid/>
                <w:color w:val="000000" w:themeColor="text1"/>
                <w:sz w:val="22"/>
                <w:szCs w:val="22"/>
              </w:rPr>
            </w:pPr>
          </w:p>
          <w:p w:rsidR="0010270C" w:rsidRPr="00AB1FC1" w:rsidP="00AB1FC1" w14:paraId="39BE3102" w14:textId="30AC012F">
            <w:pPr>
              <w:widowControl/>
              <w:rPr>
                <w:rFonts w:ascii="Times New Roman" w:hAnsi="Times New Roman"/>
                <w:snapToGrid/>
                <w:color w:val="000000" w:themeColor="text1"/>
                <w:sz w:val="22"/>
                <w:szCs w:val="22"/>
              </w:rPr>
            </w:pPr>
            <w:r w:rsidRPr="00AB1FC1">
              <w:rPr>
                <w:rFonts w:ascii="Times New Roman" w:hAnsi="Times New Roman"/>
                <w:snapToGrid/>
                <w:color w:val="000000" w:themeColor="text1"/>
                <w:sz w:val="22"/>
                <w:szCs w:val="22"/>
              </w:rPr>
              <w:t xml:space="preserve">  *</w:t>
            </w:r>
          </w:p>
        </w:tc>
        <w:tc>
          <w:tcPr>
            <w:tcW w:w="1402" w:type="dxa"/>
            <w:shd w:val="clear" w:color="auto" w:fill="auto"/>
            <w:noWrap/>
            <w:vAlign w:val="center"/>
            <w:hideMark/>
          </w:tcPr>
          <w:p w:rsidR="0010270C" w:rsidRPr="00AB1FC1" w:rsidP="0010270C" w14:paraId="225DE9A5" w14:textId="764E6D26">
            <w:pPr>
              <w:widowControl/>
              <w:jc w:val="center"/>
              <w:rPr>
                <w:rFonts w:ascii="Times New Roman" w:hAnsi="Times New Roman"/>
                <w:snapToGrid/>
                <w:color w:val="000000" w:themeColor="text1"/>
                <w:sz w:val="22"/>
                <w:szCs w:val="22"/>
              </w:rPr>
            </w:pPr>
            <w:r w:rsidRPr="00AB1FC1">
              <w:rPr>
                <w:rFonts w:ascii="Times New Roman" w:hAnsi="Times New Roman"/>
                <w:snapToGrid/>
                <w:color w:val="000000" w:themeColor="text1"/>
                <w:sz w:val="22"/>
                <w:szCs w:val="22"/>
              </w:rPr>
              <w:t>60</w:t>
            </w:r>
          </w:p>
        </w:tc>
        <w:tc>
          <w:tcPr>
            <w:tcW w:w="500" w:type="dxa"/>
          </w:tcPr>
          <w:p w:rsidR="0010270C" w:rsidRPr="00AB1FC1" w:rsidP="0010270C" w14:paraId="6EAA1889" w14:textId="77777777">
            <w:pPr>
              <w:widowControl/>
              <w:ind w:right="-110"/>
              <w:jc w:val="center"/>
              <w:rPr>
                <w:rFonts w:ascii="Times New Roman" w:hAnsi="Times New Roman"/>
                <w:snapToGrid/>
                <w:color w:val="000000" w:themeColor="text1"/>
                <w:sz w:val="22"/>
                <w:szCs w:val="22"/>
              </w:rPr>
            </w:pPr>
          </w:p>
          <w:p w:rsidR="0010270C" w:rsidRPr="00AB1FC1" w:rsidP="0010270C" w14:paraId="1916F74C" w14:textId="77777777">
            <w:pPr>
              <w:widowControl/>
              <w:ind w:right="-110"/>
              <w:jc w:val="center"/>
              <w:rPr>
                <w:rFonts w:ascii="Times New Roman" w:hAnsi="Times New Roman"/>
                <w:snapToGrid/>
                <w:color w:val="000000" w:themeColor="text1"/>
                <w:sz w:val="22"/>
                <w:szCs w:val="22"/>
              </w:rPr>
            </w:pPr>
          </w:p>
          <w:p w:rsidR="0010270C" w:rsidRPr="00AB1FC1" w:rsidP="0010270C" w14:paraId="72CC6F6D" w14:textId="77777777">
            <w:pPr>
              <w:widowControl/>
              <w:ind w:right="-110"/>
              <w:jc w:val="center"/>
              <w:rPr>
                <w:rFonts w:ascii="Times New Roman" w:hAnsi="Times New Roman"/>
                <w:snapToGrid/>
                <w:color w:val="000000" w:themeColor="text1"/>
                <w:sz w:val="22"/>
                <w:szCs w:val="22"/>
              </w:rPr>
            </w:pPr>
          </w:p>
          <w:p w:rsidR="0010270C" w:rsidRPr="00AB1FC1" w:rsidP="00AB1FC1" w14:paraId="1F7CB7B4" w14:textId="5374712B">
            <w:pPr>
              <w:widowControl/>
              <w:ind w:right="-110"/>
              <w:jc w:val="center"/>
              <w:rPr>
                <w:rFonts w:ascii="Times New Roman" w:hAnsi="Times New Roman"/>
                <w:snapToGrid/>
                <w:color w:val="000000" w:themeColor="text1"/>
                <w:sz w:val="22"/>
                <w:szCs w:val="22"/>
              </w:rPr>
            </w:pPr>
            <w:r w:rsidRPr="00AB1FC1">
              <w:rPr>
                <w:rFonts w:ascii="Times New Roman" w:hAnsi="Times New Roman"/>
                <w:snapToGrid/>
                <w:color w:val="000000" w:themeColor="text1"/>
                <w:sz w:val="22"/>
                <w:szCs w:val="22"/>
              </w:rPr>
              <w:t>=</w:t>
            </w:r>
          </w:p>
        </w:tc>
        <w:tc>
          <w:tcPr>
            <w:tcW w:w="1345" w:type="dxa"/>
            <w:shd w:val="clear" w:color="auto" w:fill="auto"/>
            <w:noWrap/>
            <w:vAlign w:val="center"/>
            <w:hideMark/>
          </w:tcPr>
          <w:p w:rsidR="0010270C" w:rsidRPr="00AB1FC1" w:rsidP="00AB1FC1" w14:paraId="07D916B1" w14:textId="46FC5D20">
            <w:pPr>
              <w:widowControl/>
              <w:ind w:right="-110"/>
              <w:jc w:val="center"/>
              <w:rPr>
                <w:rFonts w:ascii="Times New Roman" w:hAnsi="Times New Roman"/>
                <w:snapToGrid/>
                <w:color w:val="000000" w:themeColor="text1"/>
                <w:sz w:val="22"/>
                <w:szCs w:val="22"/>
              </w:rPr>
            </w:pPr>
            <w:r w:rsidRPr="00AB1FC1">
              <w:rPr>
                <w:rFonts w:ascii="Times New Roman" w:hAnsi="Times New Roman"/>
                <w:snapToGrid/>
                <w:color w:val="000000" w:themeColor="text1"/>
                <w:sz w:val="22"/>
                <w:szCs w:val="22"/>
              </w:rPr>
              <w:t xml:space="preserve"> $    4,710.60 </w:t>
            </w:r>
          </w:p>
        </w:tc>
      </w:tr>
    </w:tbl>
    <w:p w:rsidR="000A3741" w:rsidRPr="00476C39" w:rsidP="00AB1FC1" w14:paraId="24E5067C" w14:textId="6BFB863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sidRPr="000A3741">
        <w:rPr>
          <w:rFonts w:ascii="Times New Roman" w:hAnsi="Times New Roman"/>
          <w:iCs/>
        </w:rPr>
        <w:t xml:space="preserve"> </w:t>
      </w:r>
    </w:p>
    <w:p w:rsidR="00B24543" w:rsidRPr="00AB1FC1" w:rsidP="00AB1FC1" w14:paraId="3E5000B3" w14:textId="6EFB7A48">
      <w:pPr>
        <w:numPr>
          <w:ilvl w:val="0"/>
          <w:numId w:val="38"/>
        </w:num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Cs w:val="24"/>
        </w:rPr>
      </w:pPr>
      <w:r w:rsidRPr="00AB1FC1">
        <w:rPr>
          <w:rFonts w:ascii="Times New Roman" w:hAnsi="Times New Roman"/>
          <w:b/>
          <w:bCs/>
          <w:szCs w:val="24"/>
        </w:rPr>
        <w:t xml:space="preserve">Explanation of </w:t>
      </w:r>
      <w:r w:rsidRPr="00AB1FC1" w:rsidR="0010270C">
        <w:rPr>
          <w:rFonts w:ascii="Times New Roman" w:hAnsi="Times New Roman"/>
          <w:b/>
          <w:bCs/>
          <w:szCs w:val="24"/>
        </w:rPr>
        <w:t xml:space="preserve">Program Changes </w:t>
      </w:r>
      <w:r w:rsidRPr="00AB1FC1">
        <w:rPr>
          <w:rFonts w:ascii="Times New Roman" w:hAnsi="Times New Roman"/>
          <w:b/>
          <w:bCs/>
          <w:szCs w:val="24"/>
        </w:rPr>
        <w:t xml:space="preserve">or </w:t>
      </w:r>
      <w:r w:rsidRPr="00AB1FC1" w:rsidR="0010270C">
        <w:rPr>
          <w:rFonts w:ascii="Times New Roman" w:hAnsi="Times New Roman"/>
          <w:b/>
          <w:bCs/>
          <w:szCs w:val="24"/>
        </w:rPr>
        <w:t>Adjustments</w:t>
      </w:r>
      <w:r w:rsidRPr="00AB1FC1">
        <w:rPr>
          <w:rFonts w:ascii="Times New Roman" w:hAnsi="Times New Roman"/>
          <w:b/>
          <w:bCs/>
          <w:szCs w:val="24"/>
        </w:rPr>
        <w:br/>
      </w:r>
    </w:p>
    <w:p w:rsidR="000B3340" w:rsidRPr="00476C39" w:rsidP="00AB1FC1" w14:paraId="1E37AA2C" w14:textId="6192EA3D">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Cs w:val="24"/>
        </w:rPr>
      </w:pPr>
      <w:r>
        <w:rPr>
          <w:rFonts w:ascii="Times New Roman" w:hAnsi="Times New Roman"/>
          <w:szCs w:val="24"/>
        </w:rPr>
        <w:t xml:space="preserve">There </w:t>
      </w:r>
      <w:r w:rsidR="0012401D">
        <w:rPr>
          <w:rFonts w:ascii="Times New Roman" w:hAnsi="Times New Roman"/>
          <w:szCs w:val="24"/>
        </w:rPr>
        <w:t>is</w:t>
      </w:r>
      <w:r>
        <w:rPr>
          <w:rFonts w:ascii="Times New Roman" w:hAnsi="Times New Roman"/>
          <w:szCs w:val="24"/>
        </w:rPr>
        <w:t xml:space="preserve"> n</w:t>
      </w:r>
      <w:r w:rsidRPr="00476C39">
        <w:rPr>
          <w:rFonts w:ascii="Times New Roman" w:hAnsi="Times New Roman"/>
          <w:szCs w:val="24"/>
        </w:rPr>
        <w:t xml:space="preserve">o </w:t>
      </w:r>
      <w:r w:rsidR="0012401D">
        <w:rPr>
          <w:rFonts w:ascii="Times New Roman" w:hAnsi="Times New Roman"/>
          <w:szCs w:val="24"/>
        </w:rPr>
        <w:t xml:space="preserve">program </w:t>
      </w:r>
      <w:r w:rsidRPr="00476C39">
        <w:rPr>
          <w:rFonts w:ascii="Times New Roman" w:hAnsi="Times New Roman"/>
          <w:szCs w:val="24"/>
        </w:rPr>
        <w:t>change</w:t>
      </w:r>
      <w:r w:rsidRPr="00476C39" w:rsidR="0056190E">
        <w:rPr>
          <w:rFonts w:ascii="Times New Roman" w:hAnsi="Times New Roman"/>
          <w:szCs w:val="24"/>
        </w:rPr>
        <w:t xml:space="preserve"> or adjustment </w:t>
      </w:r>
      <w:r w:rsidR="0012401D">
        <w:rPr>
          <w:rFonts w:ascii="Times New Roman" w:hAnsi="Times New Roman"/>
          <w:szCs w:val="24"/>
        </w:rPr>
        <w:t>since the last renewal.</w:t>
      </w:r>
    </w:p>
    <w:p w:rsidR="000B3340" w:rsidRPr="00476C39" w:rsidP="005F158F" w14:paraId="588816FA"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p>
    <w:p w:rsidR="0044305A" w:rsidRPr="00AB1FC1" w:rsidP="00AB1FC1" w14:paraId="77E6491D" w14:textId="276D3455">
      <w:pPr>
        <w:numPr>
          <w:ilvl w:val="0"/>
          <w:numId w:val="38"/>
        </w:num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Cs w:val="24"/>
        </w:rPr>
      </w:pPr>
      <w:r w:rsidRPr="00AB1FC1">
        <w:rPr>
          <w:rFonts w:ascii="Times New Roman" w:hAnsi="Times New Roman"/>
          <w:b/>
          <w:szCs w:val="24"/>
        </w:rPr>
        <w:t xml:space="preserve">Publication of </w:t>
      </w:r>
      <w:r w:rsidRPr="00AB1FC1" w:rsidR="0012401D">
        <w:rPr>
          <w:rFonts w:ascii="Times New Roman" w:hAnsi="Times New Roman"/>
          <w:b/>
          <w:szCs w:val="24"/>
        </w:rPr>
        <w:t>D</w:t>
      </w:r>
      <w:r w:rsidRPr="00AB1FC1">
        <w:rPr>
          <w:rFonts w:ascii="Times New Roman" w:hAnsi="Times New Roman"/>
          <w:b/>
          <w:szCs w:val="24"/>
        </w:rPr>
        <w:t xml:space="preserve">ata </w:t>
      </w:r>
      <w:r w:rsidRPr="00AB1FC1" w:rsidR="0012401D">
        <w:rPr>
          <w:rFonts w:ascii="Times New Roman" w:hAnsi="Times New Roman"/>
          <w:b/>
          <w:szCs w:val="24"/>
        </w:rPr>
        <w:t>Collection Results</w:t>
      </w:r>
      <w:r w:rsidRPr="00AB1FC1" w:rsidR="00AE0CB4">
        <w:rPr>
          <w:rFonts w:ascii="Times New Roman" w:hAnsi="Times New Roman"/>
          <w:b/>
          <w:szCs w:val="24"/>
        </w:rPr>
        <w:br/>
      </w:r>
    </w:p>
    <w:p w:rsidR="00B24543" w:rsidRPr="00476C39" w:rsidP="005F158F" w14:paraId="588FC4A3" w14:textId="23E4E682">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Pr>
          <w:rFonts w:ascii="Times New Roman" w:hAnsi="Times New Roman"/>
          <w:szCs w:val="24"/>
        </w:rPr>
        <w:tab/>
      </w:r>
      <w:r w:rsidRPr="00476C39">
        <w:rPr>
          <w:rFonts w:ascii="Times New Roman" w:hAnsi="Times New Roman"/>
          <w:szCs w:val="24"/>
        </w:rPr>
        <w:t>The schedule for collecting and publishing the data is as follows:</w:t>
      </w:r>
    </w:p>
    <w:p w:rsidR="00AE0CB4" w:rsidP="00AE0CB4" w14:paraId="1E7778A9"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p>
    <w:tbl>
      <w:tblPr>
        <w:tblW w:w="11032" w:type="dxa"/>
        <w:tblInd w:w="-52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1444"/>
        <w:gridCol w:w="793"/>
        <w:gridCol w:w="796"/>
        <w:gridCol w:w="805"/>
        <w:gridCol w:w="801"/>
        <w:gridCol w:w="806"/>
        <w:gridCol w:w="793"/>
        <w:gridCol w:w="793"/>
        <w:gridCol w:w="801"/>
        <w:gridCol w:w="797"/>
        <w:gridCol w:w="801"/>
        <w:gridCol w:w="801"/>
        <w:gridCol w:w="801"/>
      </w:tblGrid>
      <w:tr w14:paraId="4422445D" w14:textId="77777777" w:rsidTr="00AB1FC1">
        <w:tblPrEx>
          <w:tblW w:w="11032" w:type="dxa"/>
          <w:tblInd w:w="-52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Ex>
        <w:trPr>
          <w:trHeight w:val="287"/>
        </w:trPr>
        <w:tc>
          <w:tcPr>
            <w:tcW w:w="11032" w:type="dxa"/>
            <w:gridSpan w:val="13"/>
            <w:shd w:val="clear" w:color="auto" w:fill="auto"/>
          </w:tcPr>
          <w:p w:rsidR="00AE0CB4" w:rsidRPr="005C3A02" w:rsidP="005C3A02" w14:paraId="685C9DE5"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bCs/>
                <w:szCs w:val="24"/>
              </w:rPr>
            </w:pPr>
            <w:r w:rsidRPr="005C3A02">
              <w:rPr>
                <w:rFonts w:ascii="Times New Roman" w:hAnsi="Times New Roman"/>
                <w:b/>
                <w:bCs/>
                <w:szCs w:val="24"/>
              </w:rPr>
              <w:t>Months of the Year (By First Initial)</w:t>
            </w:r>
          </w:p>
        </w:tc>
      </w:tr>
      <w:tr w14:paraId="34DF3EFB" w14:textId="77777777" w:rsidTr="00AB1FC1">
        <w:tblPrEx>
          <w:tblW w:w="11032" w:type="dxa"/>
          <w:tblInd w:w="-522" w:type="dxa"/>
          <w:tblLook w:val="04A0"/>
        </w:tblPrEx>
        <w:trPr>
          <w:trHeight w:val="497"/>
        </w:trPr>
        <w:tc>
          <w:tcPr>
            <w:tcW w:w="1444" w:type="dxa"/>
            <w:shd w:val="clear" w:color="auto" w:fill="auto"/>
          </w:tcPr>
          <w:p w:rsidR="00AE0CB4" w:rsidRPr="005C3A02" w:rsidP="005C3A02" w14:paraId="71A58C62"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p>
        </w:tc>
        <w:tc>
          <w:tcPr>
            <w:tcW w:w="793" w:type="dxa"/>
            <w:shd w:val="clear" w:color="auto" w:fill="auto"/>
          </w:tcPr>
          <w:p w:rsidR="00AE0CB4" w:rsidRPr="005C3A02" w:rsidP="005C3A02" w14:paraId="77077B51"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sidRPr="005C3A02">
              <w:rPr>
                <w:rFonts w:ascii="Times New Roman" w:hAnsi="Times New Roman"/>
                <w:szCs w:val="24"/>
              </w:rPr>
              <w:t>J</w:t>
            </w:r>
          </w:p>
        </w:tc>
        <w:tc>
          <w:tcPr>
            <w:tcW w:w="796" w:type="dxa"/>
            <w:shd w:val="clear" w:color="auto" w:fill="auto"/>
          </w:tcPr>
          <w:p w:rsidR="00AE0CB4" w:rsidRPr="005C3A02" w:rsidP="005C3A02" w14:paraId="7512CC08"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sidRPr="005C3A02">
              <w:rPr>
                <w:rFonts w:ascii="Times New Roman" w:hAnsi="Times New Roman"/>
                <w:szCs w:val="24"/>
              </w:rPr>
              <w:t>F</w:t>
            </w:r>
          </w:p>
        </w:tc>
        <w:tc>
          <w:tcPr>
            <w:tcW w:w="805" w:type="dxa"/>
            <w:shd w:val="clear" w:color="auto" w:fill="auto"/>
          </w:tcPr>
          <w:p w:rsidR="00AE0CB4" w:rsidRPr="005C3A02" w:rsidP="005C3A02" w14:paraId="6D2A479D"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sidRPr="005C3A02">
              <w:rPr>
                <w:rFonts w:ascii="Times New Roman" w:hAnsi="Times New Roman"/>
                <w:szCs w:val="24"/>
              </w:rPr>
              <w:t>M</w:t>
            </w:r>
          </w:p>
        </w:tc>
        <w:tc>
          <w:tcPr>
            <w:tcW w:w="801" w:type="dxa"/>
            <w:shd w:val="clear" w:color="auto" w:fill="auto"/>
          </w:tcPr>
          <w:p w:rsidR="00AE0CB4" w:rsidRPr="005C3A02" w:rsidP="005C3A02" w14:paraId="0A0A43DB"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sidRPr="005C3A02">
              <w:rPr>
                <w:rFonts w:ascii="Times New Roman" w:hAnsi="Times New Roman"/>
                <w:szCs w:val="24"/>
              </w:rPr>
              <w:t>A</w:t>
            </w:r>
          </w:p>
        </w:tc>
        <w:tc>
          <w:tcPr>
            <w:tcW w:w="806" w:type="dxa"/>
            <w:shd w:val="clear" w:color="auto" w:fill="auto"/>
          </w:tcPr>
          <w:p w:rsidR="00AE0CB4" w:rsidRPr="005C3A02" w:rsidP="005C3A02" w14:paraId="46D9D8BD"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sidRPr="005C3A02">
              <w:rPr>
                <w:rFonts w:ascii="Times New Roman" w:hAnsi="Times New Roman"/>
                <w:szCs w:val="24"/>
              </w:rPr>
              <w:t>M</w:t>
            </w:r>
          </w:p>
        </w:tc>
        <w:tc>
          <w:tcPr>
            <w:tcW w:w="793" w:type="dxa"/>
            <w:shd w:val="clear" w:color="auto" w:fill="auto"/>
          </w:tcPr>
          <w:p w:rsidR="00AE0CB4" w:rsidRPr="005C3A02" w:rsidP="005C3A02" w14:paraId="2E5C9CA2"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sidRPr="005C3A02">
              <w:rPr>
                <w:rFonts w:ascii="Times New Roman" w:hAnsi="Times New Roman"/>
                <w:szCs w:val="24"/>
              </w:rPr>
              <w:t>J</w:t>
            </w:r>
          </w:p>
        </w:tc>
        <w:tc>
          <w:tcPr>
            <w:tcW w:w="793" w:type="dxa"/>
            <w:shd w:val="clear" w:color="auto" w:fill="auto"/>
          </w:tcPr>
          <w:p w:rsidR="00AE0CB4" w:rsidRPr="005C3A02" w:rsidP="005C3A02" w14:paraId="31F1C1C1"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sidRPr="005C3A02">
              <w:rPr>
                <w:rFonts w:ascii="Times New Roman" w:hAnsi="Times New Roman"/>
                <w:szCs w:val="24"/>
              </w:rPr>
              <w:t>J</w:t>
            </w:r>
          </w:p>
        </w:tc>
        <w:tc>
          <w:tcPr>
            <w:tcW w:w="801" w:type="dxa"/>
            <w:shd w:val="clear" w:color="auto" w:fill="auto"/>
          </w:tcPr>
          <w:p w:rsidR="00AE0CB4" w:rsidRPr="005C3A02" w:rsidP="005C3A02" w14:paraId="22A2C6DB"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sidRPr="005C3A02">
              <w:rPr>
                <w:rFonts w:ascii="Times New Roman" w:hAnsi="Times New Roman"/>
                <w:szCs w:val="24"/>
              </w:rPr>
              <w:t xml:space="preserve">A </w:t>
            </w:r>
          </w:p>
        </w:tc>
        <w:tc>
          <w:tcPr>
            <w:tcW w:w="797" w:type="dxa"/>
            <w:shd w:val="clear" w:color="auto" w:fill="auto"/>
          </w:tcPr>
          <w:p w:rsidR="00AE0CB4" w:rsidRPr="005C3A02" w:rsidP="005C3A02" w14:paraId="59B38CCF"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sidRPr="005C3A02">
              <w:rPr>
                <w:rFonts w:ascii="Times New Roman" w:hAnsi="Times New Roman"/>
                <w:szCs w:val="24"/>
              </w:rPr>
              <w:t>S</w:t>
            </w:r>
          </w:p>
        </w:tc>
        <w:tc>
          <w:tcPr>
            <w:tcW w:w="801" w:type="dxa"/>
            <w:shd w:val="clear" w:color="auto" w:fill="auto"/>
          </w:tcPr>
          <w:p w:rsidR="00AE0CB4" w:rsidRPr="005C3A02" w:rsidP="005C3A02" w14:paraId="582DC574"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sidRPr="005C3A02">
              <w:rPr>
                <w:rFonts w:ascii="Times New Roman" w:hAnsi="Times New Roman"/>
                <w:szCs w:val="24"/>
              </w:rPr>
              <w:t>O</w:t>
            </w:r>
          </w:p>
        </w:tc>
        <w:tc>
          <w:tcPr>
            <w:tcW w:w="801" w:type="dxa"/>
            <w:shd w:val="clear" w:color="auto" w:fill="auto"/>
          </w:tcPr>
          <w:p w:rsidR="00AE0CB4" w:rsidRPr="005C3A02" w:rsidP="005C3A02" w14:paraId="6EFCCE53"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sidRPr="005C3A02">
              <w:rPr>
                <w:rFonts w:ascii="Times New Roman" w:hAnsi="Times New Roman"/>
                <w:szCs w:val="24"/>
              </w:rPr>
              <w:t>N</w:t>
            </w:r>
          </w:p>
        </w:tc>
        <w:tc>
          <w:tcPr>
            <w:tcW w:w="801" w:type="dxa"/>
            <w:shd w:val="clear" w:color="auto" w:fill="auto"/>
          </w:tcPr>
          <w:p w:rsidR="00AE0CB4" w:rsidRPr="005C3A02" w:rsidP="005C3A02" w14:paraId="73844886"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sidRPr="005C3A02">
              <w:rPr>
                <w:rFonts w:ascii="Times New Roman" w:hAnsi="Times New Roman"/>
                <w:szCs w:val="24"/>
              </w:rPr>
              <w:t>D</w:t>
            </w:r>
          </w:p>
        </w:tc>
      </w:tr>
      <w:tr w14:paraId="61494A3A" w14:textId="77777777" w:rsidTr="00AB1FC1">
        <w:tblPrEx>
          <w:tblW w:w="11032" w:type="dxa"/>
          <w:tblInd w:w="-522" w:type="dxa"/>
          <w:tblLook w:val="04A0"/>
        </w:tblPrEx>
        <w:trPr>
          <w:trHeight w:val="476"/>
        </w:trPr>
        <w:tc>
          <w:tcPr>
            <w:tcW w:w="1444" w:type="dxa"/>
            <w:shd w:val="clear" w:color="auto" w:fill="auto"/>
          </w:tcPr>
          <w:p w:rsidR="00AE0CB4" w:rsidRPr="005C3A02" w:rsidP="005C3A02" w14:paraId="737FF839"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sidRPr="005C3A02">
              <w:rPr>
                <w:rFonts w:ascii="Times New Roman" w:hAnsi="Times New Roman"/>
                <w:szCs w:val="24"/>
              </w:rPr>
              <w:t>Analysis of Commercial Source</w:t>
            </w:r>
          </w:p>
        </w:tc>
        <w:tc>
          <w:tcPr>
            <w:tcW w:w="793" w:type="dxa"/>
            <w:shd w:val="clear" w:color="auto" w:fill="auto"/>
          </w:tcPr>
          <w:p w:rsidR="00AE0CB4" w:rsidRPr="005C3A02" w:rsidP="005C3A02" w14:paraId="0F62A922"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p>
        </w:tc>
        <w:tc>
          <w:tcPr>
            <w:tcW w:w="796" w:type="dxa"/>
            <w:shd w:val="clear" w:color="auto" w:fill="auto"/>
          </w:tcPr>
          <w:p w:rsidR="00AE0CB4" w:rsidRPr="005C3A02" w:rsidP="005C3A02" w14:paraId="56FF2BBB"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p>
        </w:tc>
        <w:tc>
          <w:tcPr>
            <w:tcW w:w="805" w:type="dxa"/>
            <w:shd w:val="clear" w:color="auto" w:fill="auto"/>
          </w:tcPr>
          <w:p w:rsidR="00AE0CB4" w:rsidRPr="005C3A02" w:rsidP="005C3A02" w14:paraId="163D8F7C"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sidRPr="005C3A02">
              <w:rPr>
                <w:rFonts w:ascii="Times New Roman" w:hAnsi="Times New Roman"/>
                <w:szCs w:val="24"/>
              </w:rPr>
              <w:t>X</w:t>
            </w:r>
          </w:p>
        </w:tc>
        <w:tc>
          <w:tcPr>
            <w:tcW w:w="801" w:type="dxa"/>
            <w:shd w:val="clear" w:color="auto" w:fill="auto"/>
          </w:tcPr>
          <w:p w:rsidR="00AE0CB4" w:rsidRPr="005C3A02" w:rsidP="005C3A02" w14:paraId="52B646C3"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p>
        </w:tc>
        <w:tc>
          <w:tcPr>
            <w:tcW w:w="806" w:type="dxa"/>
            <w:shd w:val="clear" w:color="auto" w:fill="auto"/>
          </w:tcPr>
          <w:p w:rsidR="00AE0CB4" w:rsidRPr="005C3A02" w:rsidP="005C3A02" w14:paraId="35C581F4"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p>
        </w:tc>
        <w:tc>
          <w:tcPr>
            <w:tcW w:w="793" w:type="dxa"/>
            <w:shd w:val="clear" w:color="auto" w:fill="auto"/>
          </w:tcPr>
          <w:p w:rsidR="00AE0CB4" w:rsidRPr="005C3A02" w:rsidP="005C3A02" w14:paraId="751742AE"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p>
        </w:tc>
        <w:tc>
          <w:tcPr>
            <w:tcW w:w="793" w:type="dxa"/>
            <w:shd w:val="clear" w:color="auto" w:fill="auto"/>
          </w:tcPr>
          <w:p w:rsidR="00AE0CB4" w:rsidRPr="005C3A02" w:rsidP="005C3A02" w14:paraId="186613A3"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p>
        </w:tc>
        <w:tc>
          <w:tcPr>
            <w:tcW w:w="801" w:type="dxa"/>
            <w:shd w:val="clear" w:color="auto" w:fill="auto"/>
          </w:tcPr>
          <w:p w:rsidR="00AE0CB4" w:rsidRPr="005C3A02" w:rsidP="005C3A02" w14:paraId="1F0C0299"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p>
        </w:tc>
        <w:tc>
          <w:tcPr>
            <w:tcW w:w="797" w:type="dxa"/>
            <w:shd w:val="clear" w:color="auto" w:fill="auto"/>
          </w:tcPr>
          <w:p w:rsidR="00AE0CB4" w:rsidRPr="005C3A02" w:rsidP="005C3A02" w14:paraId="2ACC6BC5"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p>
        </w:tc>
        <w:tc>
          <w:tcPr>
            <w:tcW w:w="801" w:type="dxa"/>
            <w:shd w:val="clear" w:color="auto" w:fill="auto"/>
          </w:tcPr>
          <w:p w:rsidR="00AE0CB4" w:rsidRPr="005C3A02" w:rsidP="005C3A02" w14:paraId="7F4F2347"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p>
        </w:tc>
        <w:tc>
          <w:tcPr>
            <w:tcW w:w="801" w:type="dxa"/>
            <w:shd w:val="clear" w:color="auto" w:fill="auto"/>
          </w:tcPr>
          <w:p w:rsidR="00AE0CB4" w:rsidRPr="005C3A02" w:rsidP="005C3A02" w14:paraId="1A095C46"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p>
        </w:tc>
        <w:tc>
          <w:tcPr>
            <w:tcW w:w="801" w:type="dxa"/>
            <w:shd w:val="clear" w:color="auto" w:fill="auto"/>
          </w:tcPr>
          <w:p w:rsidR="00AE0CB4" w:rsidRPr="005C3A02" w:rsidP="005C3A02" w14:paraId="7425981B"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p>
        </w:tc>
      </w:tr>
      <w:tr w14:paraId="230C8CE6" w14:textId="77777777" w:rsidTr="00AB1FC1">
        <w:tblPrEx>
          <w:tblW w:w="11032" w:type="dxa"/>
          <w:tblInd w:w="-522" w:type="dxa"/>
          <w:tblLook w:val="04A0"/>
        </w:tblPrEx>
        <w:trPr>
          <w:trHeight w:val="476"/>
        </w:trPr>
        <w:tc>
          <w:tcPr>
            <w:tcW w:w="1444" w:type="dxa"/>
            <w:shd w:val="clear" w:color="auto" w:fill="auto"/>
          </w:tcPr>
          <w:p w:rsidR="00AE0CB4" w:rsidRPr="005C3A02" w:rsidP="005C3A02" w14:paraId="53B18E2D"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sidRPr="005C3A02">
              <w:rPr>
                <w:rFonts w:ascii="Times New Roman" w:hAnsi="Times New Roman"/>
                <w:szCs w:val="24"/>
              </w:rPr>
              <w:t>Interoffice Consultation</w:t>
            </w:r>
          </w:p>
        </w:tc>
        <w:tc>
          <w:tcPr>
            <w:tcW w:w="793" w:type="dxa"/>
            <w:shd w:val="clear" w:color="auto" w:fill="auto"/>
          </w:tcPr>
          <w:p w:rsidR="00AE0CB4" w:rsidRPr="005C3A02" w:rsidP="005C3A02" w14:paraId="5DA83EE5"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p>
        </w:tc>
        <w:tc>
          <w:tcPr>
            <w:tcW w:w="796" w:type="dxa"/>
            <w:shd w:val="clear" w:color="auto" w:fill="auto"/>
          </w:tcPr>
          <w:p w:rsidR="00AE0CB4" w:rsidRPr="005C3A02" w:rsidP="005C3A02" w14:paraId="1A81BC46"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p>
        </w:tc>
        <w:tc>
          <w:tcPr>
            <w:tcW w:w="805" w:type="dxa"/>
            <w:shd w:val="clear" w:color="auto" w:fill="auto"/>
          </w:tcPr>
          <w:p w:rsidR="00AE0CB4" w:rsidRPr="005C3A02" w:rsidP="005C3A02" w14:paraId="7E207E2D"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sidRPr="005C3A02">
              <w:rPr>
                <w:rFonts w:ascii="Times New Roman" w:hAnsi="Times New Roman"/>
                <w:szCs w:val="24"/>
              </w:rPr>
              <w:t>X</w:t>
            </w:r>
          </w:p>
        </w:tc>
        <w:tc>
          <w:tcPr>
            <w:tcW w:w="801" w:type="dxa"/>
            <w:shd w:val="clear" w:color="auto" w:fill="auto"/>
          </w:tcPr>
          <w:p w:rsidR="00AE0CB4" w:rsidRPr="005C3A02" w:rsidP="005C3A02" w14:paraId="3F957FC1"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p>
        </w:tc>
        <w:tc>
          <w:tcPr>
            <w:tcW w:w="806" w:type="dxa"/>
            <w:shd w:val="clear" w:color="auto" w:fill="auto"/>
          </w:tcPr>
          <w:p w:rsidR="00AE0CB4" w:rsidRPr="005C3A02" w:rsidP="005C3A02" w14:paraId="6552EF3F"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p>
        </w:tc>
        <w:tc>
          <w:tcPr>
            <w:tcW w:w="793" w:type="dxa"/>
            <w:shd w:val="clear" w:color="auto" w:fill="auto"/>
          </w:tcPr>
          <w:p w:rsidR="00AE0CB4" w:rsidRPr="005C3A02" w:rsidP="005C3A02" w14:paraId="39B11F73"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p>
        </w:tc>
        <w:tc>
          <w:tcPr>
            <w:tcW w:w="793" w:type="dxa"/>
            <w:shd w:val="clear" w:color="auto" w:fill="auto"/>
          </w:tcPr>
          <w:p w:rsidR="00AE0CB4" w:rsidRPr="005C3A02" w:rsidP="005C3A02" w14:paraId="5B105744"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p>
        </w:tc>
        <w:tc>
          <w:tcPr>
            <w:tcW w:w="801" w:type="dxa"/>
            <w:shd w:val="clear" w:color="auto" w:fill="auto"/>
          </w:tcPr>
          <w:p w:rsidR="00AE0CB4" w:rsidRPr="005C3A02" w:rsidP="005C3A02" w14:paraId="1CF0B967"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p>
        </w:tc>
        <w:tc>
          <w:tcPr>
            <w:tcW w:w="797" w:type="dxa"/>
            <w:shd w:val="clear" w:color="auto" w:fill="auto"/>
          </w:tcPr>
          <w:p w:rsidR="00AE0CB4" w:rsidRPr="005C3A02" w:rsidP="005C3A02" w14:paraId="5A0554E5"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p>
        </w:tc>
        <w:tc>
          <w:tcPr>
            <w:tcW w:w="801" w:type="dxa"/>
            <w:shd w:val="clear" w:color="auto" w:fill="auto"/>
          </w:tcPr>
          <w:p w:rsidR="00AE0CB4" w:rsidRPr="005C3A02" w:rsidP="005C3A02" w14:paraId="1996C30A"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p>
        </w:tc>
        <w:tc>
          <w:tcPr>
            <w:tcW w:w="801" w:type="dxa"/>
            <w:shd w:val="clear" w:color="auto" w:fill="auto"/>
          </w:tcPr>
          <w:p w:rsidR="00AE0CB4" w:rsidRPr="005C3A02" w:rsidP="005C3A02" w14:paraId="47C5150C"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p>
        </w:tc>
        <w:tc>
          <w:tcPr>
            <w:tcW w:w="801" w:type="dxa"/>
            <w:shd w:val="clear" w:color="auto" w:fill="auto"/>
          </w:tcPr>
          <w:p w:rsidR="00AE0CB4" w:rsidRPr="005C3A02" w:rsidP="005C3A02" w14:paraId="6EC552F6"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p>
        </w:tc>
      </w:tr>
      <w:tr w14:paraId="06C88B30" w14:textId="77777777" w:rsidTr="00AB1FC1">
        <w:tblPrEx>
          <w:tblW w:w="11032" w:type="dxa"/>
          <w:tblInd w:w="-522" w:type="dxa"/>
          <w:tblLook w:val="04A0"/>
        </w:tblPrEx>
        <w:trPr>
          <w:trHeight w:val="476"/>
        </w:trPr>
        <w:tc>
          <w:tcPr>
            <w:tcW w:w="1444" w:type="dxa"/>
            <w:shd w:val="clear" w:color="auto" w:fill="auto"/>
          </w:tcPr>
          <w:p w:rsidR="00AE0CB4" w:rsidRPr="005C3A02" w:rsidP="005C3A02" w14:paraId="33860BD4"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sidRPr="005C3A02">
              <w:rPr>
                <w:rFonts w:ascii="Times New Roman" w:hAnsi="Times New Roman"/>
                <w:szCs w:val="24"/>
              </w:rPr>
              <w:t>Preparation and Mailing</w:t>
            </w:r>
          </w:p>
          <w:p w:rsidR="00AE0CB4" w:rsidRPr="005C3A02" w:rsidP="005C3A02" w14:paraId="3880874D"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sidRPr="005C3A02">
              <w:rPr>
                <w:rFonts w:ascii="Times New Roman" w:hAnsi="Times New Roman"/>
                <w:szCs w:val="24"/>
              </w:rPr>
              <w:t>Of Verification Letters/e-mail</w:t>
            </w:r>
          </w:p>
        </w:tc>
        <w:tc>
          <w:tcPr>
            <w:tcW w:w="793" w:type="dxa"/>
            <w:shd w:val="clear" w:color="auto" w:fill="auto"/>
          </w:tcPr>
          <w:p w:rsidR="00AE0CB4" w:rsidRPr="005C3A02" w:rsidP="005C3A02" w14:paraId="35D37329"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p>
        </w:tc>
        <w:tc>
          <w:tcPr>
            <w:tcW w:w="796" w:type="dxa"/>
            <w:shd w:val="clear" w:color="auto" w:fill="auto"/>
          </w:tcPr>
          <w:p w:rsidR="00AE0CB4" w:rsidRPr="005C3A02" w:rsidP="005C3A02" w14:paraId="0BF5ABBD"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p>
        </w:tc>
        <w:tc>
          <w:tcPr>
            <w:tcW w:w="805" w:type="dxa"/>
            <w:shd w:val="clear" w:color="auto" w:fill="auto"/>
          </w:tcPr>
          <w:p w:rsidR="00AE0CB4" w:rsidRPr="005C3A02" w:rsidP="005C3A02" w14:paraId="6ACA1BD8"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sidRPr="005C3A02">
              <w:rPr>
                <w:rFonts w:ascii="Times New Roman" w:hAnsi="Times New Roman"/>
                <w:szCs w:val="24"/>
              </w:rPr>
              <w:t>X</w:t>
            </w:r>
          </w:p>
        </w:tc>
        <w:tc>
          <w:tcPr>
            <w:tcW w:w="801" w:type="dxa"/>
            <w:shd w:val="clear" w:color="auto" w:fill="auto"/>
          </w:tcPr>
          <w:p w:rsidR="00AE0CB4" w:rsidRPr="005C3A02" w:rsidP="005C3A02" w14:paraId="669B116C"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p>
        </w:tc>
        <w:tc>
          <w:tcPr>
            <w:tcW w:w="806" w:type="dxa"/>
            <w:shd w:val="clear" w:color="auto" w:fill="auto"/>
          </w:tcPr>
          <w:p w:rsidR="00AE0CB4" w:rsidRPr="005C3A02" w:rsidP="005C3A02" w14:paraId="65F8420F"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p>
        </w:tc>
        <w:tc>
          <w:tcPr>
            <w:tcW w:w="793" w:type="dxa"/>
            <w:shd w:val="clear" w:color="auto" w:fill="auto"/>
          </w:tcPr>
          <w:p w:rsidR="00AE0CB4" w:rsidRPr="005C3A02" w:rsidP="005C3A02" w14:paraId="000B33E3"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p>
        </w:tc>
        <w:tc>
          <w:tcPr>
            <w:tcW w:w="793" w:type="dxa"/>
            <w:shd w:val="clear" w:color="auto" w:fill="auto"/>
          </w:tcPr>
          <w:p w:rsidR="00AE0CB4" w:rsidRPr="005C3A02" w:rsidP="005C3A02" w14:paraId="48D2374C"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p>
        </w:tc>
        <w:tc>
          <w:tcPr>
            <w:tcW w:w="801" w:type="dxa"/>
            <w:shd w:val="clear" w:color="auto" w:fill="auto"/>
          </w:tcPr>
          <w:p w:rsidR="00AE0CB4" w:rsidRPr="005C3A02" w:rsidP="005C3A02" w14:paraId="43A0426A"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p>
        </w:tc>
        <w:tc>
          <w:tcPr>
            <w:tcW w:w="797" w:type="dxa"/>
            <w:shd w:val="clear" w:color="auto" w:fill="auto"/>
          </w:tcPr>
          <w:p w:rsidR="00AE0CB4" w:rsidRPr="005C3A02" w:rsidP="005C3A02" w14:paraId="7620C1E2"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p>
        </w:tc>
        <w:tc>
          <w:tcPr>
            <w:tcW w:w="801" w:type="dxa"/>
            <w:shd w:val="clear" w:color="auto" w:fill="auto"/>
          </w:tcPr>
          <w:p w:rsidR="00AE0CB4" w:rsidRPr="005C3A02" w:rsidP="005C3A02" w14:paraId="61BAF216"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p>
        </w:tc>
        <w:tc>
          <w:tcPr>
            <w:tcW w:w="801" w:type="dxa"/>
            <w:shd w:val="clear" w:color="auto" w:fill="auto"/>
          </w:tcPr>
          <w:p w:rsidR="00AE0CB4" w:rsidRPr="005C3A02" w:rsidP="005C3A02" w14:paraId="5BE620EA"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p>
        </w:tc>
        <w:tc>
          <w:tcPr>
            <w:tcW w:w="801" w:type="dxa"/>
            <w:shd w:val="clear" w:color="auto" w:fill="auto"/>
          </w:tcPr>
          <w:p w:rsidR="00AE0CB4" w:rsidRPr="005C3A02" w:rsidP="005C3A02" w14:paraId="26899291"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p>
        </w:tc>
      </w:tr>
      <w:tr w14:paraId="0FA9E858" w14:textId="77777777" w:rsidTr="00AB1FC1">
        <w:tblPrEx>
          <w:tblW w:w="11032" w:type="dxa"/>
          <w:tblInd w:w="-522" w:type="dxa"/>
          <w:tblLook w:val="04A0"/>
        </w:tblPrEx>
        <w:trPr>
          <w:trHeight w:val="476"/>
        </w:trPr>
        <w:tc>
          <w:tcPr>
            <w:tcW w:w="1444" w:type="dxa"/>
            <w:shd w:val="clear" w:color="auto" w:fill="auto"/>
          </w:tcPr>
          <w:p w:rsidR="00AE0CB4" w:rsidRPr="005C3A02" w:rsidP="005C3A02" w14:paraId="569060FD"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sidRPr="005C3A02">
              <w:rPr>
                <w:rFonts w:ascii="Times New Roman" w:hAnsi="Times New Roman"/>
                <w:szCs w:val="24"/>
              </w:rPr>
              <w:t>Receipt of Responses</w:t>
            </w:r>
            <w:r w:rsidRPr="005C3A02">
              <w:rPr>
                <w:rFonts w:ascii="Times New Roman" w:hAnsi="Times New Roman"/>
                <w:szCs w:val="24"/>
              </w:rPr>
              <w:tab/>
            </w:r>
          </w:p>
        </w:tc>
        <w:tc>
          <w:tcPr>
            <w:tcW w:w="793" w:type="dxa"/>
            <w:shd w:val="clear" w:color="auto" w:fill="auto"/>
          </w:tcPr>
          <w:p w:rsidR="00AE0CB4" w:rsidRPr="005C3A02" w:rsidP="005C3A02" w14:paraId="7BE5BEB8"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p>
        </w:tc>
        <w:tc>
          <w:tcPr>
            <w:tcW w:w="796" w:type="dxa"/>
            <w:shd w:val="clear" w:color="auto" w:fill="auto"/>
          </w:tcPr>
          <w:p w:rsidR="00AE0CB4" w:rsidRPr="005C3A02" w:rsidP="005C3A02" w14:paraId="37D29FDE"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p>
        </w:tc>
        <w:tc>
          <w:tcPr>
            <w:tcW w:w="805" w:type="dxa"/>
            <w:shd w:val="clear" w:color="auto" w:fill="auto"/>
          </w:tcPr>
          <w:p w:rsidR="00AE0CB4" w:rsidRPr="005C3A02" w:rsidP="005C3A02" w14:paraId="264BC76A"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sidRPr="005C3A02">
              <w:rPr>
                <w:rFonts w:ascii="Times New Roman" w:hAnsi="Times New Roman"/>
                <w:szCs w:val="24"/>
              </w:rPr>
              <w:t>X</w:t>
            </w:r>
          </w:p>
        </w:tc>
        <w:tc>
          <w:tcPr>
            <w:tcW w:w="801" w:type="dxa"/>
            <w:shd w:val="clear" w:color="auto" w:fill="auto"/>
          </w:tcPr>
          <w:p w:rsidR="00AE0CB4" w:rsidRPr="005C3A02" w:rsidP="005C3A02" w14:paraId="442DF716"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sidRPr="005C3A02">
              <w:rPr>
                <w:rFonts w:ascii="Times New Roman" w:hAnsi="Times New Roman"/>
                <w:szCs w:val="24"/>
              </w:rPr>
              <w:t>X</w:t>
            </w:r>
          </w:p>
        </w:tc>
        <w:tc>
          <w:tcPr>
            <w:tcW w:w="806" w:type="dxa"/>
            <w:shd w:val="clear" w:color="auto" w:fill="auto"/>
          </w:tcPr>
          <w:p w:rsidR="00AE0CB4" w:rsidRPr="005C3A02" w:rsidP="005C3A02" w14:paraId="326CEF12"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p>
        </w:tc>
        <w:tc>
          <w:tcPr>
            <w:tcW w:w="793" w:type="dxa"/>
            <w:shd w:val="clear" w:color="auto" w:fill="auto"/>
          </w:tcPr>
          <w:p w:rsidR="00AE0CB4" w:rsidRPr="005C3A02" w:rsidP="005C3A02" w14:paraId="181C447B"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p>
        </w:tc>
        <w:tc>
          <w:tcPr>
            <w:tcW w:w="793" w:type="dxa"/>
            <w:shd w:val="clear" w:color="auto" w:fill="auto"/>
          </w:tcPr>
          <w:p w:rsidR="00AE0CB4" w:rsidRPr="005C3A02" w:rsidP="005C3A02" w14:paraId="0F7BEC57"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p>
        </w:tc>
        <w:tc>
          <w:tcPr>
            <w:tcW w:w="801" w:type="dxa"/>
            <w:shd w:val="clear" w:color="auto" w:fill="auto"/>
          </w:tcPr>
          <w:p w:rsidR="00AE0CB4" w:rsidRPr="005C3A02" w:rsidP="005C3A02" w14:paraId="20268E4A"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p>
        </w:tc>
        <w:tc>
          <w:tcPr>
            <w:tcW w:w="797" w:type="dxa"/>
            <w:shd w:val="clear" w:color="auto" w:fill="auto"/>
          </w:tcPr>
          <w:p w:rsidR="00AE0CB4" w:rsidRPr="005C3A02" w:rsidP="005C3A02" w14:paraId="022D67B5"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p>
        </w:tc>
        <w:tc>
          <w:tcPr>
            <w:tcW w:w="801" w:type="dxa"/>
            <w:shd w:val="clear" w:color="auto" w:fill="auto"/>
          </w:tcPr>
          <w:p w:rsidR="00AE0CB4" w:rsidRPr="005C3A02" w:rsidP="005C3A02" w14:paraId="22F02E6C"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p>
        </w:tc>
        <w:tc>
          <w:tcPr>
            <w:tcW w:w="801" w:type="dxa"/>
            <w:shd w:val="clear" w:color="auto" w:fill="auto"/>
          </w:tcPr>
          <w:p w:rsidR="00AE0CB4" w:rsidRPr="005C3A02" w:rsidP="005C3A02" w14:paraId="7331AA65"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p>
        </w:tc>
        <w:tc>
          <w:tcPr>
            <w:tcW w:w="801" w:type="dxa"/>
            <w:shd w:val="clear" w:color="auto" w:fill="auto"/>
          </w:tcPr>
          <w:p w:rsidR="00AE0CB4" w:rsidRPr="005C3A02" w:rsidP="005C3A02" w14:paraId="5362C845"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p>
        </w:tc>
      </w:tr>
      <w:tr w14:paraId="54AD9589" w14:textId="77777777" w:rsidTr="00AB1FC1">
        <w:tblPrEx>
          <w:tblW w:w="11032" w:type="dxa"/>
          <w:tblInd w:w="-522" w:type="dxa"/>
          <w:tblLook w:val="04A0"/>
        </w:tblPrEx>
        <w:trPr>
          <w:trHeight w:val="476"/>
        </w:trPr>
        <w:tc>
          <w:tcPr>
            <w:tcW w:w="1444" w:type="dxa"/>
            <w:shd w:val="clear" w:color="auto" w:fill="auto"/>
          </w:tcPr>
          <w:p w:rsidR="00AE0CB4" w:rsidRPr="005C3A02" w:rsidP="005C3A02" w14:paraId="04433351"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sidRPr="005C3A02">
              <w:rPr>
                <w:rFonts w:ascii="Times New Roman" w:hAnsi="Times New Roman"/>
                <w:szCs w:val="24"/>
              </w:rPr>
              <w:t>Follow-Up on Delinquent Respondents</w:t>
            </w:r>
          </w:p>
        </w:tc>
        <w:tc>
          <w:tcPr>
            <w:tcW w:w="793" w:type="dxa"/>
            <w:shd w:val="clear" w:color="auto" w:fill="auto"/>
          </w:tcPr>
          <w:p w:rsidR="00AE0CB4" w:rsidRPr="005C3A02" w:rsidP="005C3A02" w14:paraId="21145882"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p>
        </w:tc>
        <w:tc>
          <w:tcPr>
            <w:tcW w:w="796" w:type="dxa"/>
            <w:shd w:val="clear" w:color="auto" w:fill="auto"/>
          </w:tcPr>
          <w:p w:rsidR="00AE0CB4" w:rsidRPr="005C3A02" w:rsidP="005C3A02" w14:paraId="249441E7"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p>
        </w:tc>
        <w:tc>
          <w:tcPr>
            <w:tcW w:w="805" w:type="dxa"/>
            <w:shd w:val="clear" w:color="auto" w:fill="auto"/>
          </w:tcPr>
          <w:p w:rsidR="00AE0CB4" w:rsidRPr="005C3A02" w:rsidP="005C3A02" w14:paraId="66B10A1D"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p>
        </w:tc>
        <w:tc>
          <w:tcPr>
            <w:tcW w:w="801" w:type="dxa"/>
            <w:shd w:val="clear" w:color="auto" w:fill="auto"/>
          </w:tcPr>
          <w:p w:rsidR="00AE0CB4" w:rsidRPr="005C3A02" w:rsidP="005C3A02" w14:paraId="30DDFA84"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sidRPr="005C3A02">
              <w:rPr>
                <w:rFonts w:ascii="Times New Roman" w:hAnsi="Times New Roman"/>
                <w:szCs w:val="24"/>
              </w:rPr>
              <w:t>X</w:t>
            </w:r>
          </w:p>
        </w:tc>
        <w:tc>
          <w:tcPr>
            <w:tcW w:w="806" w:type="dxa"/>
            <w:shd w:val="clear" w:color="auto" w:fill="auto"/>
          </w:tcPr>
          <w:p w:rsidR="00AE0CB4" w:rsidRPr="005C3A02" w:rsidP="005C3A02" w14:paraId="4EE056B8"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sidRPr="005C3A02">
              <w:rPr>
                <w:rFonts w:ascii="Times New Roman" w:hAnsi="Times New Roman"/>
                <w:szCs w:val="24"/>
              </w:rPr>
              <w:t>X</w:t>
            </w:r>
          </w:p>
        </w:tc>
        <w:tc>
          <w:tcPr>
            <w:tcW w:w="793" w:type="dxa"/>
            <w:shd w:val="clear" w:color="auto" w:fill="auto"/>
          </w:tcPr>
          <w:p w:rsidR="00AE0CB4" w:rsidRPr="005C3A02" w:rsidP="005C3A02" w14:paraId="0F6BB69A"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p>
        </w:tc>
        <w:tc>
          <w:tcPr>
            <w:tcW w:w="793" w:type="dxa"/>
            <w:shd w:val="clear" w:color="auto" w:fill="auto"/>
          </w:tcPr>
          <w:p w:rsidR="00AE0CB4" w:rsidRPr="005C3A02" w:rsidP="005C3A02" w14:paraId="3248D8AF"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p>
        </w:tc>
        <w:tc>
          <w:tcPr>
            <w:tcW w:w="801" w:type="dxa"/>
            <w:shd w:val="clear" w:color="auto" w:fill="auto"/>
          </w:tcPr>
          <w:p w:rsidR="00AE0CB4" w:rsidRPr="005C3A02" w:rsidP="005C3A02" w14:paraId="2FAD87E5"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p>
        </w:tc>
        <w:tc>
          <w:tcPr>
            <w:tcW w:w="797" w:type="dxa"/>
            <w:shd w:val="clear" w:color="auto" w:fill="auto"/>
          </w:tcPr>
          <w:p w:rsidR="00AE0CB4" w:rsidRPr="005C3A02" w:rsidP="005C3A02" w14:paraId="2F431942"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p>
        </w:tc>
        <w:tc>
          <w:tcPr>
            <w:tcW w:w="801" w:type="dxa"/>
            <w:shd w:val="clear" w:color="auto" w:fill="auto"/>
          </w:tcPr>
          <w:p w:rsidR="00AE0CB4" w:rsidRPr="005C3A02" w:rsidP="005C3A02" w14:paraId="3C2CD43D"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p>
        </w:tc>
        <w:tc>
          <w:tcPr>
            <w:tcW w:w="801" w:type="dxa"/>
            <w:shd w:val="clear" w:color="auto" w:fill="auto"/>
          </w:tcPr>
          <w:p w:rsidR="00AE0CB4" w:rsidRPr="005C3A02" w:rsidP="005C3A02" w14:paraId="1ED70B25"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p>
        </w:tc>
        <w:tc>
          <w:tcPr>
            <w:tcW w:w="801" w:type="dxa"/>
            <w:shd w:val="clear" w:color="auto" w:fill="auto"/>
          </w:tcPr>
          <w:p w:rsidR="00AE0CB4" w:rsidRPr="005C3A02" w:rsidP="005C3A02" w14:paraId="3AD33BE5"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p>
        </w:tc>
      </w:tr>
      <w:tr w14:paraId="514FA876" w14:textId="77777777" w:rsidTr="00AB1FC1">
        <w:tblPrEx>
          <w:tblW w:w="11032" w:type="dxa"/>
          <w:tblInd w:w="-522" w:type="dxa"/>
          <w:tblLook w:val="04A0"/>
        </w:tblPrEx>
        <w:trPr>
          <w:trHeight w:val="476"/>
        </w:trPr>
        <w:tc>
          <w:tcPr>
            <w:tcW w:w="1444" w:type="dxa"/>
            <w:shd w:val="clear" w:color="auto" w:fill="auto"/>
          </w:tcPr>
          <w:p w:rsidR="00AE0CB4" w:rsidRPr="005C3A02" w:rsidP="005C3A02" w14:paraId="224E7E57"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sidRPr="005C3A02">
              <w:rPr>
                <w:rFonts w:ascii="Times New Roman" w:hAnsi="Times New Roman"/>
                <w:szCs w:val="24"/>
              </w:rPr>
              <w:t>Compilation of Data</w:t>
            </w:r>
          </w:p>
        </w:tc>
        <w:tc>
          <w:tcPr>
            <w:tcW w:w="793" w:type="dxa"/>
            <w:shd w:val="clear" w:color="auto" w:fill="auto"/>
          </w:tcPr>
          <w:p w:rsidR="00AE0CB4" w:rsidRPr="005C3A02" w:rsidP="005C3A02" w14:paraId="385193B7"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p>
        </w:tc>
        <w:tc>
          <w:tcPr>
            <w:tcW w:w="796" w:type="dxa"/>
            <w:shd w:val="clear" w:color="auto" w:fill="auto"/>
          </w:tcPr>
          <w:p w:rsidR="00AE0CB4" w:rsidRPr="005C3A02" w:rsidP="005C3A02" w14:paraId="2C9CB198"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p>
        </w:tc>
        <w:tc>
          <w:tcPr>
            <w:tcW w:w="805" w:type="dxa"/>
            <w:shd w:val="clear" w:color="auto" w:fill="auto"/>
          </w:tcPr>
          <w:p w:rsidR="00AE0CB4" w:rsidRPr="005C3A02" w:rsidP="005C3A02" w14:paraId="1255CD18"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p>
        </w:tc>
        <w:tc>
          <w:tcPr>
            <w:tcW w:w="801" w:type="dxa"/>
            <w:shd w:val="clear" w:color="auto" w:fill="auto"/>
          </w:tcPr>
          <w:p w:rsidR="00AE0CB4" w:rsidRPr="005C3A02" w:rsidP="005C3A02" w14:paraId="00A9C007"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sidRPr="005C3A02">
              <w:rPr>
                <w:rFonts w:ascii="Times New Roman" w:hAnsi="Times New Roman"/>
                <w:szCs w:val="24"/>
              </w:rPr>
              <w:t>X</w:t>
            </w:r>
          </w:p>
        </w:tc>
        <w:tc>
          <w:tcPr>
            <w:tcW w:w="806" w:type="dxa"/>
            <w:shd w:val="clear" w:color="auto" w:fill="auto"/>
          </w:tcPr>
          <w:p w:rsidR="00AE0CB4" w:rsidRPr="005C3A02" w:rsidP="005C3A02" w14:paraId="0B3889C3"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p>
        </w:tc>
        <w:tc>
          <w:tcPr>
            <w:tcW w:w="793" w:type="dxa"/>
            <w:shd w:val="clear" w:color="auto" w:fill="auto"/>
          </w:tcPr>
          <w:p w:rsidR="00AE0CB4" w:rsidRPr="005C3A02" w:rsidP="005C3A02" w14:paraId="1309C0AE"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p>
        </w:tc>
        <w:tc>
          <w:tcPr>
            <w:tcW w:w="793" w:type="dxa"/>
            <w:shd w:val="clear" w:color="auto" w:fill="auto"/>
          </w:tcPr>
          <w:p w:rsidR="00AE0CB4" w:rsidRPr="005C3A02" w:rsidP="005C3A02" w14:paraId="78319316"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p>
        </w:tc>
        <w:tc>
          <w:tcPr>
            <w:tcW w:w="801" w:type="dxa"/>
            <w:shd w:val="clear" w:color="auto" w:fill="auto"/>
          </w:tcPr>
          <w:p w:rsidR="00AE0CB4" w:rsidRPr="005C3A02" w:rsidP="005C3A02" w14:paraId="20E49A35"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p>
        </w:tc>
        <w:tc>
          <w:tcPr>
            <w:tcW w:w="797" w:type="dxa"/>
            <w:shd w:val="clear" w:color="auto" w:fill="auto"/>
          </w:tcPr>
          <w:p w:rsidR="00AE0CB4" w:rsidRPr="005C3A02" w:rsidP="005C3A02" w14:paraId="7CFCB200"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p>
        </w:tc>
        <w:tc>
          <w:tcPr>
            <w:tcW w:w="801" w:type="dxa"/>
            <w:shd w:val="clear" w:color="auto" w:fill="auto"/>
          </w:tcPr>
          <w:p w:rsidR="00AE0CB4" w:rsidRPr="005C3A02" w:rsidP="005C3A02" w14:paraId="0545A689"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p>
        </w:tc>
        <w:tc>
          <w:tcPr>
            <w:tcW w:w="801" w:type="dxa"/>
            <w:shd w:val="clear" w:color="auto" w:fill="auto"/>
          </w:tcPr>
          <w:p w:rsidR="00AE0CB4" w:rsidRPr="005C3A02" w:rsidP="005C3A02" w14:paraId="5C12850C"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p>
        </w:tc>
        <w:tc>
          <w:tcPr>
            <w:tcW w:w="801" w:type="dxa"/>
            <w:shd w:val="clear" w:color="auto" w:fill="auto"/>
          </w:tcPr>
          <w:p w:rsidR="00AE0CB4" w:rsidRPr="005C3A02" w:rsidP="005C3A02" w14:paraId="4D870ECD"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p>
        </w:tc>
      </w:tr>
      <w:tr w14:paraId="29E968AB" w14:textId="77777777" w:rsidTr="00AB1FC1">
        <w:tblPrEx>
          <w:tblW w:w="11032" w:type="dxa"/>
          <w:tblInd w:w="-522" w:type="dxa"/>
          <w:tblLook w:val="04A0"/>
        </w:tblPrEx>
        <w:trPr>
          <w:trHeight w:val="476"/>
        </w:trPr>
        <w:tc>
          <w:tcPr>
            <w:tcW w:w="1444" w:type="dxa"/>
            <w:shd w:val="clear" w:color="auto" w:fill="auto"/>
          </w:tcPr>
          <w:p w:rsidR="00AE0CB4" w:rsidRPr="005C3A02" w:rsidP="005C3A02" w14:paraId="77FE9679"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sidRPr="005C3A02">
              <w:rPr>
                <w:rFonts w:ascii="Times New Roman" w:hAnsi="Times New Roman"/>
                <w:szCs w:val="24"/>
              </w:rPr>
              <w:t>Preparation of Publication</w:t>
            </w:r>
          </w:p>
        </w:tc>
        <w:tc>
          <w:tcPr>
            <w:tcW w:w="793" w:type="dxa"/>
            <w:shd w:val="clear" w:color="auto" w:fill="auto"/>
          </w:tcPr>
          <w:p w:rsidR="00AE0CB4" w:rsidRPr="005C3A02" w:rsidP="005C3A02" w14:paraId="7CDF9777"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p>
        </w:tc>
        <w:tc>
          <w:tcPr>
            <w:tcW w:w="796" w:type="dxa"/>
            <w:shd w:val="clear" w:color="auto" w:fill="auto"/>
          </w:tcPr>
          <w:p w:rsidR="00AE0CB4" w:rsidRPr="005C3A02" w:rsidP="005C3A02" w14:paraId="28C2A5A5"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p>
        </w:tc>
        <w:tc>
          <w:tcPr>
            <w:tcW w:w="805" w:type="dxa"/>
            <w:shd w:val="clear" w:color="auto" w:fill="auto"/>
          </w:tcPr>
          <w:p w:rsidR="00AE0CB4" w:rsidRPr="005C3A02" w:rsidP="005C3A02" w14:paraId="4E5976B2"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p>
        </w:tc>
        <w:tc>
          <w:tcPr>
            <w:tcW w:w="801" w:type="dxa"/>
            <w:shd w:val="clear" w:color="auto" w:fill="auto"/>
          </w:tcPr>
          <w:p w:rsidR="00AE0CB4" w:rsidRPr="005C3A02" w:rsidP="005C3A02" w14:paraId="592B56A4"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sidRPr="005C3A02">
              <w:rPr>
                <w:rFonts w:ascii="Times New Roman" w:hAnsi="Times New Roman"/>
                <w:szCs w:val="24"/>
              </w:rPr>
              <w:t>X</w:t>
            </w:r>
          </w:p>
        </w:tc>
        <w:tc>
          <w:tcPr>
            <w:tcW w:w="806" w:type="dxa"/>
            <w:shd w:val="clear" w:color="auto" w:fill="auto"/>
          </w:tcPr>
          <w:p w:rsidR="00AE0CB4" w:rsidRPr="005C3A02" w:rsidP="005C3A02" w14:paraId="6EA7B275"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p>
        </w:tc>
        <w:tc>
          <w:tcPr>
            <w:tcW w:w="793" w:type="dxa"/>
            <w:shd w:val="clear" w:color="auto" w:fill="auto"/>
          </w:tcPr>
          <w:p w:rsidR="00AE0CB4" w:rsidRPr="005C3A02" w:rsidP="005C3A02" w14:paraId="32762D63"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p>
        </w:tc>
        <w:tc>
          <w:tcPr>
            <w:tcW w:w="793" w:type="dxa"/>
            <w:shd w:val="clear" w:color="auto" w:fill="auto"/>
          </w:tcPr>
          <w:p w:rsidR="00AE0CB4" w:rsidRPr="005C3A02" w:rsidP="005C3A02" w14:paraId="7AB8049B"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p>
        </w:tc>
        <w:tc>
          <w:tcPr>
            <w:tcW w:w="801" w:type="dxa"/>
            <w:shd w:val="clear" w:color="auto" w:fill="auto"/>
          </w:tcPr>
          <w:p w:rsidR="00AE0CB4" w:rsidRPr="005C3A02" w:rsidP="005C3A02" w14:paraId="00959FC1"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p>
        </w:tc>
        <w:tc>
          <w:tcPr>
            <w:tcW w:w="797" w:type="dxa"/>
            <w:shd w:val="clear" w:color="auto" w:fill="auto"/>
          </w:tcPr>
          <w:p w:rsidR="00AE0CB4" w:rsidRPr="005C3A02" w:rsidP="005C3A02" w14:paraId="071E62E4"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p>
        </w:tc>
        <w:tc>
          <w:tcPr>
            <w:tcW w:w="801" w:type="dxa"/>
            <w:shd w:val="clear" w:color="auto" w:fill="auto"/>
          </w:tcPr>
          <w:p w:rsidR="00AE0CB4" w:rsidRPr="005C3A02" w:rsidP="005C3A02" w14:paraId="33C48C03"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p>
        </w:tc>
        <w:tc>
          <w:tcPr>
            <w:tcW w:w="801" w:type="dxa"/>
            <w:shd w:val="clear" w:color="auto" w:fill="auto"/>
          </w:tcPr>
          <w:p w:rsidR="00AE0CB4" w:rsidRPr="005C3A02" w:rsidP="005C3A02" w14:paraId="163C2380"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p>
        </w:tc>
        <w:tc>
          <w:tcPr>
            <w:tcW w:w="801" w:type="dxa"/>
            <w:shd w:val="clear" w:color="auto" w:fill="auto"/>
          </w:tcPr>
          <w:p w:rsidR="00AE0CB4" w:rsidRPr="005C3A02" w:rsidP="005C3A02" w14:paraId="1C2A9D83"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p>
        </w:tc>
      </w:tr>
    </w:tbl>
    <w:p w:rsidR="00B24543" w:rsidRPr="00476C39" w:rsidP="005F158F" w14:paraId="7A61418B"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p>
    <w:p w:rsidR="00E53BE8" w:rsidRPr="00E53BE8" w:rsidP="00AB1FC1" w14:paraId="001C7CC1"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Cs w:val="24"/>
        </w:rPr>
      </w:pPr>
      <w:r w:rsidRPr="00E53BE8">
        <w:rPr>
          <w:rFonts w:ascii="Times New Roman" w:hAnsi="Times New Roman"/>
          <w:szCs w:val="24"/>
        </w:rPr>
        <w:t>Information collected is used to determine which vessels are to be included in a table that shows the number of ships, gross tonnage, and deadweight tonnage by vessel type and flag.  The information is also included in a tabulation that exhibits the parent company, direct owner, vessel name, class of vessel, where built (country), year built, gross tonnage, deadweight tonnage, speed, and flag of registry.</w:t>
      </w:r>
    </w:p>
    <w:p w:rsidR="00E53BE8" w:rsidRPr="00E53BE8" w:rsidP="00AB1FC1" w14:paraId="5FEAAEBC"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Cs w:val="24"/>
        </w:rPr>
      </w:pPr>
    </w:p>
    <w:p w:rsidR="00B24543" w:rsidP="00AB1FC1" w14:paraId="493E4C19"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Cs w:val="24"/>
        </w:rPr>
      </w:pPr>
      <w:r w:rsidRPr="00E53BE8">
        <w:rPr>
          <w:rFonts w:ascii="Times New Roman" w:hAnsi="Times New Roman"/>
          <w:szCs w:val="24"/>
        </w:rPr>
        <w:t>Publication is released annually in May based on survey data as of January 1.</w:t>
      </w:r>
    </w:p>
    <w:p w:rsidR="00E53BE8" w:rsidRPr="00476C39" w:rsidP="00E53BE8" w14:paraId="75FA2F39"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p>
    <w:p w:rsidR="00AE0CB4" w:rsidRPr="00AB1FC1" w:rsidP="00AB1FC1" w14:paraId="19F29D3D" w14:textId="38251744">
      <w:pPr>
        <w:numPr>
          <w:ilvl w:val="0"/>
          <w:numId w:val="38"/>
        </w:num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Cs w:val="24"/>
        </w:rPr>
      </w:pPr>
      <w:r w:rsidRPr="00AB1FC1">
        <w:rPr>
          <w:rFonts w:ascii="Times New Roman" w:hAnsi="Times New Roman"/>
          <w:b/>
          <w:szCs w:val="24"/>
        </w:rPr>
        <w:t>D</w:t>
      </w:r>
      <w:r w:rsidRPr="00AB1FC1" w:rsidR="003B2596">
        <w:rPr>
          <w:rFonts w:ascii="Times New Roman" w:hAnsi="Times New Roman"/>
          <w:b/>
          <w:szCs w:val="24"/>
        </w:rPr>
        <w:t>isplay</w:t>
      </w:r>
      <w:r w:rsidRPr="00AB1FC1">
        <w:rPr>
          <w:rFonts w:ascii="Times New Roman" w:hAnsi="Times New Roman"/>
          <w:b/>
          <w:szCs w:val="24"/>
        </w:rPr>
        <w:t xml:space="preserve"> of the OMB</w:t>
      </w:r>
      <w:r w:rsidRPr="00AB1FC1" w:rsidR="003B2596">
        <w:rPr>
          <w:rFonts w:ascii="Times New Roman" w:hAnsi="Times New Roman"/>
          <w:b/>
          <w:szCs w:val="24"/>
        </w:rPr>
        <w:t xml:space="preserve"> </w:t>
      </w:r>
      <w:r w:rsidRPr="00AB1FC1">
        <w:rPr>
          <w:rFonts w:ascii="Times New Roman" w:hAnsi="Times New Roman"/>
          <w:b/>
          <w:szCs w:val="24"/>
        </w:rPr>
        <w:t>E</w:t>
      </w:r>
      <w:r w:rsidRPr="00AB1FC1" w:rsidR="003B2596">
        <w:rPr>
          <w:rFonts w:ascii="Times New Roman" w:hAnsi="Times New Roman"/>
          <w:b/>
          <w:szCs w:val="24"/>
        </w:rPr>
        <w:t xml:space="preserve">xpiration </w:t>
      </w:r>
      <w:r w:rsidRPr="00AB1FC1">
        <w:rPr>
          <w:rFonts w:ascii="Times New Roman" w:hAnsi="Times New Roman"/>
          <w:b/>
          <w:szCs w:val="24"/>
        </w:rPr>
        <w:t>Date</w:t>
      </w:r>
    </w:p>
    <w:p w:rsidR="00AE0CB4" w:rsidRPr="00AE0CB4" w:rsidP="00AE0CB4" w14:paraId="0B86E6A2"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Cs w:val="24"/>
        </w:rPr>
      </w:pPr>
    </w:p>
    <w:p w:rsidR="00AE0CB4" w:rsidRPr="00AE0CB4" w:rsidP="00AB1FC1" w14:paraId="514A948A" w14:textId="7B41F7C1">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bCs/>
          <w:szCs w:val="24"/>
        </w:rPr>
      </w:pPr>
      <w:r>
        <w:rPr>
          <w:rFonts w:ascii="Times New Roman" w:hAnsi="Times New Roman"/>
          <w:bCs/>
          <w:szCs w:val="24"/>
        </w:rPr>
        <w:t>MARAD is not seeking</w:t>
      </w:r>
      <w:r w:rsidRPr="00AE0CB4">
        <w:rPr>
          <w:rFonts w:ascii="Times New Roman" w:hAnsi="Times New Roman"/>
          <w:bCs/>
          <w:szCs w:val="24"/>
        </w:rPr>
        <w:t xml:space="preserve"> approval </w:t>
      </w:r>
      <w:r>
        <w:rPr>
          <w:rFonts w:ascii="Times New Roman" w:hAnsi="Times New Roman"/>
          <w:bCs/>
          <w:szCs w:val="24"/>
        </w:rPr>
        <w:t>to avoid displaying the OMB expiration date</w:t>
      </w:r>
      <w:r w:rsidRPr="00AE0CB4">
        <w:rPr>
          <w:rFonts w:ascii="Times New Roman" w:hAnsi="Times New Roman"/>
          <w:bCs/>
          <w:szCs w:val="24"/>
        </w:rPr>
        <w:t>.</w:t>
      </w:r>
    </w:p>
    <w:p w:rsidR="00AE0CB4" w:rsidRPr="00AE0CB4" w:rsidP="00AE0CB4" w14:paraId="35315B1C"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Cs w:val="24"/>
        </w:rPr>
      </w:pPr>
    </w:p>
    <w:p w:rsidR="00AE0CB4" w:rsidRPr="00AB1FC1" w:rsidP="00AB1FC1" w14:paraId="41810701" w14:textId="789A997C">
      <w:pPr>
        <w:numPr>
          <w:ilvl w:val="0"/>
          <w:numId w:val="38"/>
        </w:num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Cs w:val="24"/>
        </w:rPr>
      </w:pPr>
      <w:r w:rsidRPr="00AB1FC1">
        <w:rPr>
          <w:rFonts w:ascii="Times New Roman" w:hAnsi="Times New Roman"/>
          <w:b/>
          <w:szCs w:val="24"/>
        </w:rPr>
        <w:t xml:space="preserve">Exceptions to </w:t>
      </w:r>
      <w:r w:rsidRPr="00AB1FC1" w:rsidR="0012401D">
        <w:rPr>
          <w:rFonts w:ascii="Times New Roman" w:hAnsi="Times New Roman"/>
          <w:b/>
          <w:szCs w:val="24"/>
        </w:rPr>
        <w:t>the C</w:t>
      </w:r>
      <w:r w:rsidRPr="00AB1FC1">
        <w:rPr>
          <w:rFonts w:ascii="Times New Roman" w:hAnsi="Times New Roman"/>
          <w:b/>
          <w:szCs w:val="24"/>
        </w:rPr>
        <w:t xml:space="preserve">ertification </w:t>
      </w:r>
      <w:r w:rsidRPr="00AB1FC1" w:rsidR="0012401D">
        <w:rPr>
          <w:rFonts w:ascii="Times New Roman" w:hAnsi="Times New Roman"/>
          <w:b/>
          <w:szCs w:val="24"/>
        </w:rPr>
        <w:t>Statement</w:t>
      </w:r>
    </w:p>
    <w:p w:rsidR="00AE0CB4" w:rsidRPr="00AE0CB4" w:rsidP="00AE0CB4" w14:paraId="0DF6964C"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Cs w:val="24"/>
        </w:rPr>
      </w:pPr>
    </w:p>
    <w:p w:rsidR="000B4568" w:rsidRPr="00AE0CB4" w:rsidP="00AE0CB4" w14:paraId="47F0886C" w14:textId="45776EAD">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szCs w:val="24"/>
        </w:rPr>
      </w:pPr>
      <w:r>
        <w:rPr>
          <w:rFonts w:ascii="Times New Roman" w:hAnsi="Times New Roman"/>
          <w:bCs/>
          <w:szCs w:val="24"/>
        </w:rPr>
        <w:tab/>
      </w:r>
      <w:r w:rsidRPr="00AE0CB4">
        <w:rPr>
          <w:rFonts w:ascii="Times New Roman" w:hAnsi="Times New Roman"/>
          <w:bCs/>
          <w:szCs w:val="24"/>
        </w:rPr>
        <w:t>There are no exceptions to the certificate statement.</w:t>
      </w:r>
    </w:p>
    <w:sectPr w:rsidSect="005F158F">
      <w:headerReference w:type="default" r:id="rId6"/>
      <w:footerReference w:type="even" r:id="rId7"/>
      <w:footerReference w:type="default" r:id="rId8"/>
      <w:footerReference w:type="first" r:id="rId9"/>
      <w:endnotePr>
        <w:numFmt w:val="decimal"/>
      </w:endnotePr>
      <w:type w:val="continuous"/>
      <w:pgSz w:w="12240" w:h="15840"/>
      <w:pgMar w:top="1296" w:right="1440" w:bottom="1296" w:left="1440" w:header="576" w:footer="432" w:gutter="0"/>
      <w:cols w:space="720"/>
      <w:noEndnote/>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F4DC8" w:rsidP="00DB15AC" w14:paraId="4C303338"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sidR="00000000">
      <w:rPr>
        <w:rStyle w:val="PageNumber"/>
      </w:rPr>
      <w:fldChar w:fldCharType="separate"/>
    </w:r>
    <w:r>
      <w:rPr>
        <w:rStyle w:val="PageNumber"/>
      </w:rPr>
      <w:fldChar w:fldCharType="end"/>
    </w:r>
  </w:p>
  <w:p w:rsidR="00DF4DC8" w14:paraId="7029DA8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4305A" w:rsidRPr="0044305A" w14:paraId="0AA8F4B2" w14:textId="77777777">
    <w:pPr>
      <w:pStyle w:val="Footer"/>
      <w:jc w:val="right"/>
      <w:rPr>
        <w:rFonts w:ascii="Times New Roman" w:hAnsi="Times New Roman"/>
      </w:rPr>
    </w:pPr>
    <w:r w:rsidRPr="0044305A">
      <w:rPr>
        <w:rFonts w:ascii="Times New Roman" w:hAnsi="Times New Roman"/>
      </w:rPr>
      <w:t xml:space="preserve">Page </w:t>
    </w:r>
    <w:r w:rsidRPr="0044305A">
      <w:rPr>
        <w:rFonts w:ascii="Times New Roman" w:hAnsi="Times New Roman"/>
        <w:b/>
        <w:bCs/>
        <w:szCs w:val="24"/>
      </w:rPr>
      <w:fldChar w:fldCharType="begin"/>
    </w:r>
    <w:r w:rsidRPr="0044305A">
      <w:rPr>
        <w:rFonts w:ascii="Times New Roman" w:hAnsi="Times New Roman"/>
        <w:b/>
        <w:bCs/>
      </w:rPr>
      <w:instrText xml:space="preserve"> PAGE </w:instrText>
    </w:r>
    <w:r w:rsidRPr="0044305A">
      <w:rPr>
        <w:rFonts w:ascii="Times New Roman" w:hAnsi="Times New Roman"/>
        <w:b/>
        <w:bCs/>
        <w:szCs w:val="24"/>
      </w:rPr>
      <w:fldChar w:fldCharType="separate"/>
    </w:r>
    <w:r w:rsidRPr="0044305A">
      <w:rPr>
        <w:rFonts w:ascii="Times New Roman" w:hAnsi="Times New Roman"/>
        <w:b/>
        <w:bCs/>
        <w:noProof/>
      </w:rPr>
      <w:t>2</w:t>
    </w:r>
    <w:r w:rsidRPr="0044305A">
      <w:rPr>
        <w:rFonts w:ascii="Times New Roman" w:hAnsi="Times New Roman"/>
        <w:b/>
        <w:bCs/>
        <w:szCs w:val="24"/>
      </w:rPr>
      <w:fldChar w:fldCharType="end"/>
    </w:r>
    <w:r w:rsidRPr="0044305A">
      <w:rPr>
        <w:rFonts w:ascii="Times New Roman" w:hAnsi="Times New Roman"/>
      </w:rPr>
      <w:t xml:space="preserve"> of </w:t>
    </w:r>
    <w:r w:rsidRPr="0044305A">
      <w:rPr>
        <w:rFonts w:ascii="Times New Roman" w:hAnsi="Times New Roman"/>
        <w:b/>
        <w:bCs/>
        <w:szCs w:val="24"/>
      </w:rPr>
      <w:fldChar w:fldCharType="begin"/>
    </w:r>
    <w:r w:rsidRPr="0044305A">
      <w:rPr>
        <w:rFonts w:ascii="Times New Roman" w:hAnsi="Times New Roman"/>
        <w:b/>
        <w:bCs/>
      </w:rPr>
      <w:instrText xml:space="preserve"> NUMPAGES  </w:instrText>
    </w:r>
    <w:r w:rsidRPr="0044305A">
      <w:rPr>
        <w:rFonts w:ascii="Times New Roman" w:hAnsi="Times New Roman"/>
        <w:b/>
        <w:bCs/>
        <w:szCs w:val="24"/>
      </w:rPr>
      <w:fldChar w:fldCharType="separate"/>
    </w:r>
    <w:r w:rsidRPr="0044305A">
      <w:rPr>
        <w:rFonts w:ascii="Times New Roman" w:hAnsi="Times New Roman"/>
        <w:b/>
        <w:bCs/>
        <w:noProof/>
      </w:rPr>
      <w:t>2</w:t>
    </w:r>
    <w:r w:rsidRPr="0044305A">
      <w:rPr>
        <w:rFonts w:ascii="Times New Roman" w:hAnsi="Times New Roman"/>
        <w:b/>
        <w:bCs/>
        <w:szCs w:val="24"/>
      </w:rPr>
      <w:fldChar w:fldCharType="end"/>
    </w:r>
  </w:p>
  <w:p w:rsidR="00303089" w14:paraId="0EBFF72E"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930082429"/>
      <w:docPartObj>
        <w:docPartGallery w:val="Page Numbers (Bottom of Page)"/>
        <w:docPartUnique/>
      </w:docPartObj>
    </w:sdtPr>
    <w:sdtEndPr>
      <w:rPr>
        <w:noProof/>
      </w:rPr>
    </w:sdtEndPr>
    <w:sdtContent>
      <w:p w:rsidR="004005D5" w14:paraId="04DB5B0F" w14:textId="739AEC2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4005D5" w14:paraId="7DCB8C89"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CF4AF5" w14:paraId="504DD78A" w14:textId="77777777">
      <w:r>
        <w:separator/>
      </w:r>
    </w:p>
  </w:footnote>
  <w:footnote w:type="continuationSeparator" w:id="1">
    <w:p w:rsidR="00CF4AF5" w14:paraId="5D5746BB" w14:textId="77777777">
      <w:r>
        <w:continuationSeparator/>
      </w:r>
    </w:p>
  </w:footnote>
  <w:footnote w:id="2">
    <w:p w:rsidR="009E4DD4" w:rsidRPr="009779D4" w:rsidP="009E4DD4" w14:paraId="6D83842F" w14:textId="77777777">
      <w:pPr>
        <w:pStyle w:val="FootnoteText"/>
      </w:pPr>
      <w:r w:rsidRPr="009779D4">
        <w:rPr>
          <w:rStyle w:val="FootnoteReference"/>
        </w:rPr>
        <w:footnoteRef/>
      </w:r>
      <w:r w:rsidRPr="009779D4">
        <w:t xml:space="preserve"> The hourly wage estimate is taken from current BLS tables: </w:t>
      </w:r>
      <w:hyperlink r:id="rId1" w:anchor="/industry/000000" w:history="1">
        <w:r w:rsidRPr="00AA0112">
          <w:rPr>
            <w:rStyle w:val="Hyperlink"/>
          </w:rPr>
          <w:t>https://data.bls.gov/oes/#/industry/000000</w:t>
        </w:r>
      </w:hyperlink>
      <w:r>
        <w:t xml:space="preserve"> </w:t>
      </w:r>
      <w:r w:rsidRPr="009779D4">
        <w:t>.</w:t>
      </w:r>
    </w:p>
  </w:footnote>
  <w:footnote w:id="3">
    <w:p w:rsidR="0015724A" w:rsidP="0015724A" w14:paraId="7DA7A640" w14:textId="77777777">
      <w:pPr>
        <w:pStyle w:val="FootnoteText"/>
      </w:pPr>
      <w:r w:rsidRPr="009779D4">
        <w:rPr>
          <w:rStyle w:val="FootnoteReference"/>
        </w:rPr>
        <w:footnoteRef/>
      </w:r>
      <w:r w:rsidRPr="009779D4">
        <w:t xml:space="preserve"> </w:t>
      </w:r>
      <w:bookmarkStart w:id="2" w:name="_Hlk164072686"/>
      <w:r w:rsidRPr="009779D4">
        <w:t>Per BLS Employee Compensation Memo, the total compensation rate for the private sector is 29%,  :</w:t>
      </w:r>
      <w:hyperlink r:id="rId2" w:history="1">
        <w:r w:rsidRPr="009779D4">
          <w:rPr>
            <w:rStyle w:val="Hyperlink"/>
          </w:rPr>
          <w:t>https://www.bls.gov/news.release/pdf/ecec.pdf</w:t>
        </w:r>
      </w:hyperlink>
      <w:bookmarkEnd w:id="2"/>
    </w:p>
  </w:footnote>
  <w:footnote w:id="4">
    <w:p w:rsidR="000A3741" w:rsidRPr="00E11D85" w:rsidP="000A3741" w14:paraId="63979C43" w14:textId="77777777">
      <w:pPr>
        <w:pStyle w:val="FootnoteText"/>
      </w:pPr>
      <w:r w:rsidRPr="00E11D85">
        <w:rPr>
          <w:rStyle w:val="FootnoteReference"/>
        </w:rPr>
        <w:footnoteRef/>
      </w:r>
      <w:r w:rsidRPr="00E11D85">
        <w:t xml:space="preserve"> The hourly Federal Government wage is taken from OMB 2025 wage tables: </w:t>
      </w:r>
      <w:hyperlink r:id="rId3" w:history="1">
        <w:r w:rsidRPr="00E11D85">
          <w:rPr>
            <w:rStyle w:val="Hyperlink"/>
          </w:rPr>
          <w:t>https://www.opm.gov/policy-data-oversight/pay-leave/salaries-wages/salary-tables/25Tables/html/DCB_h.aspx</w:t>
        </w:r>
      </w:hyperlink>
      <w:r w:rsidRPr="00E11D85">
        <w:t xml:space="preserve"> </w:t>
      </w:r>
    </w:p>
  </w:footnote>
  <w:footnote w:id="5">
    <w:p w:rsidR="000A3741" w:rsidP="000A3741" w14:paraId="7CB7CA9B" w14:textId="77777777">
      <w:pPr>
        <w:pStyle w:val="FootnoteText"/>
      </w:pPr>
      <w:r w:rsidRPr="00952A06">
        <w:rPr>
          <w:rStyle w:val="FootnoteReference"/>
        </w:rPr>
        <w:footnoteRef/>
      </w:r>
      <w:r w:rsidRPr="00952A06">
        <w:t xml:space="preserve"> Per BLS Employee Compensation Memo, the total compensation rate for the Federal Government  is 31%,  :</w:t>
      </w:r>
      <w:hyperlink r:id="rId2" w:history="1">
        <w:r w:rsidRPr="00952A06">
          <w:rPr>
            <w:rStyle w:val="Hyperlink"/>
          </w:rPr>
          <w:t>https://www.bls.gov/news.release/pdf/ecec.pdf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F4DC8" w14:paraId="26B5E2D0" w14:textId="77777777">
    <w:pPr>
      <w:spacing w:line="240" w:lineRule="exact"/>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FE10D5"/>
    <w:multiLevelType w:val="singleLevel"/>
    <w:tmpl w:val="4B80E044"/>
    <w:lvl w:ilvl="0">
      <w:start w:val="0"/>
      <w:numFmt w:val="bullet"/>
      <w:lvlText w:val=""/>
      <w:lvlJc w:val="left"/>
      <w:pPr>
        <w:tabs>
          <w:tab w:val="num" w:pos="1155"/>
        </w:tabs>
        <w:ind w:left="1155" w:hanging="435"/>
      </w:pPr>
      <w:rPr>
        <w:rFonts w:ascii="Symbol" w:hAnsi="Symbol" w:hint="default"/>
      </w:rPr>
    </w:lvl>
  </w:abstractNum>
  <w:abstractNum w:abstractNumId="1">
    <w:nsid w:val="062F6B9B"/>
    <w:multiLevelType w:val="singleLevel"/>
    <w:tmpl w:val="CBB8FF12"/>
    <w:lvl w:ilvl="0">
      <w:start w:val="0"/>
      <w:numFmt w:val="bullet"/>
      <w:lvlText w:val=""/>
      <w:lvlJc w:val="left"/>
      <w:pPr>
        <w:tabs>
          <w:tab w:val="num" w:pos="1155"/>
        </w:tabs>
        <w:ind w:left="1155" w:hanging="435"/>
      </w:pPr>
      <w:rPr>
        <w:rFonts w:ascii="Symbol" w:hAnsi="Symbol" w:hint="default"/>
      </w:rPr>
    </w:lvl>
  </w:abstractNum>
  <w:abstractNum w:abstractNumId="2">
    <w:nsid w:val="08832D81"/>
    <w:multiLevelType w:val="hybridMultilevel"/>
    <w:tmpl w:val="9D80BD1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88A4611"/>
    <w:multiLevelType w:val="singleLevel"/>
    <w:tmpl w:val="4B80E044"/>
    <w:lvl w:ilvl="0">
      <w:start w:val="0"/>
      <w:numFmt w:val="bullet"/>
      <w:lvlText w:val=""/>
      <w:lvlJc w:val="left"/>
      <w:pPr>
        <w:tabs>
          <w:tab w:val="num" w:pos="1155"/>
        </w:tabs>
        <w:ind w:left="1155" w:hanging="435"/>
      </w:pPr>
      <w:rPr>
        <w:rFonts w:ascii="Symbol" w:hAnsi="Symbol" w:hint="default"/>
      </w:rPr>
    </w:lvl>
  </w:abstractNum>
  <w:abstractNum w:abstractNumId="4">
    <w:nsid w:val="09790AE5"/>
    <w:multiLevelType w:val="singleLevel"/>
    <w:tmpl w:val="4B80E044"/>
    <w:lvl w:ilvl="0">
      <w:start w:val="0"/>
      <w:numFmt w:val="bullet"/>
      <w:lvlText w:val=""/>
      <w:lvlJc w:val="left"/>
      <w:pPr>
        <w:tabs>
          <w:tab w:val="num" w:pos="1155"/>
        </w:tabs>
        <w:ind w:left="1155" w:hanging="435"/>
      </w:pPr>
      <w:rPr>
        <w:rFonts w:ascii="Symbol" w:hAnsi="Symbol" w:hint="default"/>
      </w:rPr>
    </w:lvl>
  </w:abstractNum>
  <w:abstractNum w:abstractNumId="5">
    <w:nsid w:val="0AC0180D"/>
    <w:multiLevelType w:val="hybridMultilevel"/>
    <w:tmpl w:val="50D0D0F4"/>
    <w:lvl w:ilvl="0">
      <w:start w:val="1"/>
      <w:numFmt w:val="decimal"/>
      <w:lvlText w:val="%1."/>
      <w:lvlJc w:val="left"/>
      <w:pPr>
        <w:ind w:left="720" w:hanging="360"/>
      </w:pPr>
      <w:rPr>
        <w:rFonts w:hint="default"/>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07C247C"/>
    <w:multiLevelType w:val="hybridMultilevel"/>
    <w:tmpl w:val="718A5C7E"/>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11C02C72"/>
    <w:multiLevelType w:val="singleLevel"/>
    <w:tmpl w:val="4B80E044"/>
    <w:lvl w:ilvl="0">
      <w:start w:val="0"/>
      <w:numFmt w:val="bullet"/>
      <w:lvlText w:val=""/>
      <w:lvlJc w:val="left"/>
      <w:pPr>
        <w:tabs>
          <w:tab w:val="num" w:pos="1155"/>
        </w:tabs>
        <w:ind w:left="1155" w:hanging="435"/>
      </w:pPr>
      <w:rPr>
        <w:rFonts w:ascii="Symbol" w:hAnsi="Symbol" w:hint="default"/>
      </w:rPr>
    </w:lvl>
  </w:abstractNum>
  <w:abstractNum w:abstractNumId="8">
    <w:nsid w:val="129641C9"/>
    <w:multiLevelType w:val="hybridMultilevel"/>
    <w:tmpl w:val="D638A606"/>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5714571"/>
    <w:multiLevelType w:val="hybridMultilevel"/>
    <w:tmpl w:val="477A801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0">
    <w:nsid w:val="1A3D4850"/>
    <w:multiLevelType w:val="hybridMultilevel"/>
    <w:tmpl w:val="CB90FD00"/>
    <w:lvl w:ilvl="0">
      <w:start w:val="6"/>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1E6010E0"/>
    <w:multiLevelType w:val="hybridMultilevel"/>
    <w:tmpl w:val="9F724AF0"/>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2">
    <w:nsid w:val="222B0D03"/>
    <w:multiLevelType w:val="singleLevel"/>
    <w:tmpl w:val="AEA4421A"/>
    <w:lvl w:ilvl="0">
      <w:start w:val="3"/>
      <w:numFmt w:val="decimal"/>
      <w:lvlText w:val="%1."/>
      <w:lvlJc w:val="left"/>
      <w:pPr>
        <w:tabs>
          <w:tab w:val="num" w:pos="720"/>
        </w:tabs>
        <w:ind w:left="720" w:hanging="720"/>
      </w:pPr>
      <w:rPr>
        <w:rFonts w:hint="default"/>
      </w:rPr>
    </w:lvl>
  </w:abstractNum>
  <w:abstractNum w:abstractNumId="13">
    <w:nsid w:val="27F46312"/>
    <w:multiLevelType w:val="singleLevel"/>
    <w:tmpl w:val="C766496C"/>
    <w:lvl w:ilvl="0">
      <w:start w:val="92"/>
      <w:numFmt w:val="bullet"/>
      <w:lvlText w:val=""/>
      <w:lvlJc w:val="left"/>
      <w:pPr>
        <w:tabs>
          <w:tab w:val="num" w:pos="1800"/>
        </w:tabs>
        <w:ind w:left="1800" w:hanging="360"/>
      </w:pPr>
      <w:rPr>
        <w:rFonts w:ascii="Symbol" w:hAnsi="Symbol" w:hint="default"/>
      </w:rPr>
    </w:lvl>
  </w:abstractNum>
  <w:abstractNum w:abstractNumId="14">
    <w:nsid w:val="31386378"/>
    <w:multiLevelType w:val="singleLevel"/>
    <w:tmpl w:val="7882A458"/>
    <w:lvl w:ilvl="0">
      <w:start w:val="15"/>
      <w:numFmt w:val="decimal"/>
      <w:lvlText w:val="%1."/>
      <w:lvlJc w:val="left"/>
      <w:pPr>
        <w:tabs>
          <w:tab w:val="num" w:pos="720"/>
        </w:tabs>
        <w:ind w:left="720" w:hanging="720"/>
      </w:pPr>
      <w:rPr>
        <w:rFonts w:hint="default"/>
      </w:rPr>
    </w:lvl>
  </w:abstractNum>
  <w:abstractNum w:abstractNumId="15">
    <w:nsid w:val="35C74A3E"/>
    <w:multiLevelType w:val="singleLevel"/>
    <w:tmpl w:val="4B80E044"/>
    <w:lvl w:ilvl="0">
      <w:start w:val="0"/>
      <w:numFmt w:val="bullet"/>
      <w:lvlText w:val=""/>
      <w:lvlJc w:val="left"/>
      <w:pPr>
        <w:tabs>
          <w:tab w:val="num" w:pos="1155"/>
        </w:tabs>
        <w:ind w:left="1155" w:hanging="435"/>
      </w:pPr>
      <w:rPr>
        <w:rFonts w:ascii="Symbol" w:hAnsi="Symbol" w:hint="default"/>
      </w:rPr>
    </w:lvl>
  </w:abstractNum>
  <w:abstractNum w:abstractNumId="16">
    <w:nsid w:val="3C653418"/>
    <w:multiLevelType w:val="singleLevel"/>
    <w:tmpl w:val="04090019"/>
    <w:lvl w:ilvl="0">
      <w:start w:val="2"/>
      <w:numFmt w:val="lowerLetter"/>
      <w:lvlText w:val="(%1)"/>
      <w:lvlJc w:val="left"/>
      <w:pPr>
        <w:tabs>
          <w:tab w:val="num" w:pos="360"/>
        </w:tabs>
        <w:ind w:left="360" w:hanging="360"/>
      </w:pPr>
      <w:rPr>
        <w:rFonts w:hint="default"/>
      </w:rPr>
    </w:lvl>
  </w:abstractNum>
  <w:abstractNum w:abstractNumId="17">
    <w:nsid w:val="3F433C25"/>
    <w:multiLevelType w:val="hybridMultilevel"/>
    <w:tmpl w:val="8B049462"/>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8">
    <w:nsid w:val="42C07597"/>
    <w:multiLevelType w:val="hybridMultilevel"/>
    <w:tmpl w:val="12CC81E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493F41AC"/>
    <w:multiLevelType w:val="hybridMultilevel"/>
    <w:tmpl w:val="29307AC8"/>
    <w:lvl w:ilvl="0">
      <w:start w:val="1"/>
      <w:numFmt w:val="bullet"/>
      <w:lvlText w:val=""/>
      <w:lvlJc w:val="left"/>
      <w:pPr>
        <w:ind w:left="1440" w:hanging="360"/>
      </w:pPr>
      <w:rPr>
        <w:rFonts w:ascii="Wingdings" w:hAnsi="Wingdings"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0">
    <w:nsid w:val="4A4B5251"/>
    <w:multiLevelType w:val="hybridMultilevel"/>
    <w:tmpl w:val="6AB057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nsid w:val="4BCB6D73"/>
    <w:multiLevelType w:val="singleLevel"/>
    <w:tmpl w:val="CBB8FF12"/>
    <w:lvl w:ilvl="0">
      <w:start w:val="92"/>
      <w:numFmt w:val="bullet"/>
      <w:lvlText w:val=""/>
      <w:lvlJc w:val="left"/>
      <w:pPr>
        <w:tabs>
          <w:tab w:val="num" w:pos="1155"/>
        </w:tabs>
        <w:ind w:left="1155" w:hanging="435"/>
      </w:pPr>
      <w:rPr>
        <w:rFonts w:ascii="Symbol" w:hAnsi="Symbol" w:hint="default"/>
      </w:rPr>
    </w:lvl>
  </w:abstractNum>
  <w:abstractNum w:abstractNumId="22">
    <w:nsid w:val="518F1EE7"/>
    <w:multiLevelType w:val="hybridMultilevel"/>
    <w:tmpl w:val="0F7A0F9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54212CD8"/>
    <w:multiLevelType w:val="singleLevel"/>
    <w:tmpl w:val="4364A57A"/>
    <w:lvl w:ilvl="0">
      <w:start w:val="11"/>
      <w:numFmt w:val="decimal"/>
      <w:lvlText w:val="%1."/>
      <w:lvlJc w:val="left"/>
      <w:pPr>
        <w:tabs>
          <w:tab w:val="num" w:pos="720"/>
        </w:tabs>
        <w:ind w:left="720" w:hanging="720"/>
      </w:pPr>
      <w:rPr>
        <w:rFonts w:hint="default"/>
      </w:rPr>
    </w:lvl>
  </w:abstractNum>
  <w:abstractNum w:abstractNumId="24">
    <w:nsid w:val="54BC0967"/>
    <w:multiLevelType w:val="singleLevel"/>
    <w:tmpl w:val="4B80E044"/>
    <w:lvl w:ilvl="0">
      <w:start w:val="0"/>
      <w:numFmt w:val="bullet"/>
      <w:lvlText w:val=""/>
      <w:lvlJc w:val="left"/>
      <w:pPr>
        <w:tabs>
          <w:tab w:val="num" w:pos="1155"/>
        </w:tabs>
        <w:ind w:left="1155" w:hanging="435"/>
      </w:pPr>
      <w:rPr>
        <w:rFonts w:ascii="Symbol" w:hAnsi="Symbol" w:hint="default"/>
      </w:rPr>
    </w:lvl>
  </w:abstractNum>
  <w:abstractNum w:abstractNumId="25">
    <w:nsid w:val="58C134CA"/>
    <w:multiLevelType w:val="singleLevel"/>
    <w:tmpl w:val="4B80E044"/>
    <w:lvl w:ilvl="0">
      <w:start w:val="0"/>
      <w:numFmt w:val="bullet"/>
      <w:lvlText w:val=""/>
      <w:lvlJc w:val="left"/>
      <w:pPr>
        <w:tabs>
          <w:tab w:val="num" w:pos="1155"/>
        </w:tabs>
        <w:ind w:left="1155" w:hanging="435"/>
      </w:pPr>
      <w:rPr>
        <w:rFonts w:ascii="Symbol" w:hAnsi="Symbol" w:hint="default"/>
      </w:rPr>
    </w:lvl>
  </w:abstractNum>
  <w:abstractNum w:abstractNumId="26">
    <w:nsid w:val="5914126B"/>
    <w:multiLevelType w:val="singleLevel"/>
    <w:tmpl w:val="A59004CE"/>
    <w:lvl w:ilvl="0">
      <w:start w:val="1"/>
      <w:numFmt w:val="bullet"/>
      <w:lvlText w:val="O"/>
      <w:lvlJc w:val="left"/>
      <w:pPr>
        <w:tabs>
          <w:tab w:val="num" w:pos="360"/>
        </w:tabs>
        <w:ind w:left="360" w:hanging="360"/>
      </w:pPr>
      <w:rPr>
        <w:rFonts w:ascii="Symbol" w:hAnsi="Symbol" w:hint="default"/>
        <w:sz w:val="16"/>
      </w:rPr>
    </w:lvl>
  </w:abstractNum>
  <w:abstractNum w:abstractNumId="27">
    <w:nsid w:val="5AF41164"/>
    <w:multiLevelType w:val="singleLevel"/>
    <w:tmpl w:val="4B80E044"/>
    <w:lvl w:ilvl="0">
      <w:start w:val="0"/>
      <w:numFmt w:val="bullet"/>
      <w:lvlText w:val=""/>
      <w:lvlJc w:val="left"/>
      <w:pPr>
        <w:tabs>
          <w:tab w:val="num" w:pos="1155"/>
        </w:tabs>
        <w:ind w:left="1155" w:hanging="435"/>
      </w:pPr>
      <w:rPr>
        <w:rFonts w:ascii="Symbol" w:hAnsi="Symbol" w:hint="default"/>
      </w:rPr>
    </w:lvl>
  </w:abstractNum>
  <w:abstractNum w:abstractNumId="28">
    <w:nsid w:val="5F330574"/>
    <w:multiLevelType w:val="singleLevel"/>
    <w:tmpl w:val="4B80E044"/>
    <w:lvl w:ilvl="0">
      <w:start w:val="0"/>
      <w:numFmt w:val="bullet"/>
      <w:lvlText w:val=""/>
      <w:lvlJc w:val="left"/>
      <w:pPr>
        <w:tabs>
          <w:tab w:val="num" w:pos="1155"/>
        </w:tabs>
        <w:ind w:left="1155" w:hanging="435"/>
      </w:pPr>
      <w:rPr>
        <w:rFonts w:ascii="Symbol" w:hAnsi="Symbol" w:hint="default"/>
      </w:rPr>
    </w:lvl>
  </w:abstractNum>
  <w:abstractNum w:abstractNumId="29">
    <w:nsid w:val="60C8164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nsid w:val="63477952"/>
    <w:multiLevelType w:val="hybridMultilevel"/>
    <w:tmpl w:val="855C9F04"/>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6520575E"/>
    <w:multiLevelType w:val="singleLevel"/>
    <w:tmpl w:val="4B80E044"/>
    <w:lvl w:ilvl="0">
      <w:start w:val="0"/>
      <w:numFmt w:val="bullet"/>
      <w:lvlText w:val=""/>
      <w:lvlJc w:val="left"/>
      <w:pPr>
        <w:tabs>
          <w:tab w:val="num" w:pos="1155"/>
        </w:tabs>
        <w:ind w:left="1155" w:hanging="435"/>
      </w:pPr>
      <w:rPr>
        <w:rFonts w:ascii="Symbol" w:hAnsi="Symbol" w:hint="default"/>
      </w:rPr>
    </w:lvl>
  </w:abstractNum>
  <w:abstractNum w:abstractNumId="32">
    <w:nsid w:val="653F7A70"/>
    <w:multiLevelType w:val="singleLevel"/>
    <w:tmpl w:val="4B80E044"/>
    <w:lvl w:ilvl="0">
      <w:start w:val="0"/>
      <w:numFmt w:val="bullet"/>
      <w:lvlText w:val=""/>
      <w:lvlJc w:val="left"/>
      <w:pPr>
        <w:tabs>
          <w:tab w:val="num" w:pos="1155"/>
        </w:tabs>
        <w:ind w:left="1155" w:hanging="435"/>
      </w:pPr>
      <w:rPr>
        <w:rFonts w:ascii="Symbol" w:hAnsi="Symbol" w:hint="default"/>
      </w:rPr>
    </w:lvl>
  </w:abstractNum>
  <w:abstractNum w:abstractNumId="33">
    <w:nsid w:val="66F75B21"/>
    <w:multiLevelType w:val="singleLevel"/>
    <w:tmpl w:val="4B80E044"/>
    <w:lvl w:ilvl="0">
      <w:start w:val="0"/>
      <w:numFmt w:val="bullet"/>
      <w:lvlText w:val=""/>
      <w:lvlJc w:val="left"/>
      <w:pPr>
        <w:tabs>
          <w:tab w:val="num" w:pos="1155"/>
        </w:tabs>
        <w:ind w:left="1155" w:hanging="435"/>
      </w:pPr>
      <w:rPr>
        <w:rFonts w:ascii="Symbol" w:hAnsi="Symbol" w:hint="default"/>
      </w:rPr>
    </w:lvl>
  </w:abstractNum>
  <w:abstractNum w:abstractNumId="34">
    <w:nsid w:val="6E742540"/>
    <w:multiLevelType w:val="singleLevel"/>
    <w:tmpl w:val="4B80E044"/>
    <w:lvl w:ilvl="0">
      <w:start w:val="0"/>
      <w:numFmt w:val="bullet"/>
      <w:lvlText w:val=""/>
      <w:lvlJc w:val="left"/>
      <w:pPr>
        <w:tabs>
          <w:tab w:val="num" w:pos="1155"/>
        </w:tabs>
        <w:ind w:left="1155" w:hanging="435"/>
      </w:pPr>
      <w:rPr>
        <w:rFonts w:ascii="Symbol" w:hAnsi="Symbol" w:hint="default"/>
      </w:rPr>
    </w:lvl>
  </w:abstractNum>
  <w:abstractNum w:abstractNumId="35">
    <w:nsid w:val="75AB5FFF"/>
    <w:multiLevelType w:val="singleLevel"/>
    <w:tmpl w:val="4B80E044"/>
    <w:lvl w:ilvl="0">
      <w:start w:val="0"/>
      <w:numFmt w:val="bullet"/>
      <w:lvlText w:val=""/>
      <w:lvlJc w:val="left"/>
      <w:pPr>
        <w:tabs>
          <w:tab w:val="num" w:pos="1155"/>
        </w:tabs>
        <w:ind w:left="1155" w:hanging="435"/>
      </w:pPr>
      <w:rPr>
        <w:rFonts w:ascii="Symbol" w:hAnsi="Symbol" w:hint="default"/>
      </w:rPr>
    </w:lvl>
  </w:abstractNum>
  <w:abstractNum w:abstractNumId="36">
    <w:nsid w:val="78D83ADE"/>
    <w:multiLevelType w:val="singleLevel"/>
    <w:tmpl w:val="1DF6CD34"/>
    <w:lvl w:ilvl="0">
      <w:start w:val="2"/>
      <w:numFmt w:val="lowerLetter"/>
      <w:lvlText w:val="(%1)"/>
      <w:lvlJc w:val="left"/>
      <w:pPr>
        <w:tabs>
          <w:tab w:val="num" w:pos="1455"/>
        </w:tabs>
        <w:ind w:left="1455" w:hanging="735"/>
      </w:pPr>
      <w:rPr>
        <w:rFonts w:hint="default"/>
      </w:rPr>
    </w:lvl>
  </w:abstractNum>
  <w:abstractNum w:abstractNumId="37">
    <w:nsid w:val="7A6536E6"/>
    <w:multiLevelType w:val="singleLevel"/>
    <w:tmpl w:val="CBB8FF12"/>
    <w:lvl w:ilvl="0">
      <w:start w:val="0"/>
      <w:numFmt w:val="bullet"/>
      <w:lvlText w:val=""/>
      <w:lvlJc w:val="left"/>
      <w:pPr>
        <w:tabs>
          <w:tab w:val="num" w:pos="1155"/>
        </w:tabs>
        <w:ind w:left="1155" w:hanging="435"/>
      </w:pPr>
      <w:rPr>
        <w:rFonts w:ascii="Symbol" w:hAnsi="Symbol" w:hint="default"/>
      </w:rPr>
    </w:lvl>
  </w:abstractNum>
  <w:abstractNum w:abstractNumId="38">
    <w:nsid w:val="7B9603A4"/>
    <w:multiLevelType w:val="hybridMultilevel"/>
    <w:tmpl w:val="C04003CC"/>
    <w:lvl w:ilvl="0">
      <w:start w:val="1"/>
      <w:numFmt w:val="upperLetter"/>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631597270">
    <w:abstractNumId w:val="13"/>
  </w:num>
  <w:num w:numId="2" w16cid:durableId="11996644">
    <w:abstractNumId w:val="12"/>
  </w:num>
  <w:num w:numId="3" w16cid:durableId="1789666735">
    <w:abstractNumId w:val="1"/>
  </w:num>
  <w:num w:numId="4" w16cid:durableId="1890334581">
    <w:abstractNumId w:val="37"/>
  </w:num>
  <w:num w:numId="5" w16cid:durableId="1632009300">
    <w:abstractNumId w:val="26"/>
  </w:num>
  <w:num w:numId="6" w16cid:durableId="415052367">
    <w:abstractNumId w:val="23"/>
  </w:num>
  <w:num w:numId="7" w16cid:durableId="1081370955">
    <w:abstractNumId w:val="36"/>
  </w:num>
  <w:num w:numId="8" w16cid:durableId="1937862494">
    <w:abstractNumId w:val="21"/>
  </w:num>
  <w:num w:numId="9" w16cid:durableId="935476901">
    <w:abstractNumId w:val="29"/>
  </w:num>
  <w:num w:numId="10" w16cid:durableId="1099984584">
    <w:abstractNumId w:val="4"/>
  </w:num>
  <w:num w:numId="11" w16cid:durableId="408886632">
    <w:abstractNumId w:val="7"/>
  </w:num>
  <w:num w:numId="12" w16cid:durableId="699672218">
    <w:abstractNumId w:val="24"/>
  </w:num>
  <w:num w:numId="13" w16cid:durableId="1977829512">
    <w:abstractNumId w:val="28"/>
  </w:num>
  <w:num w:numId="14" w16cid:durableId="2139909484">
    <w:abstractNumId w:val="33"/>
  </w:num>
  <w:num w:numId="15" w16cid:durableId="867303945">
    <w:abstractNumId w:val="27"/>
  </w:num>
  <w:num w:numId="16" w16cid:durableId="558832602">
    <w:abstractNumId w:val="25"/>
  </w:num>
  <w:num w:numId="17" w16cid:durableId="129641346">
    <w:abstractNumId w:val="35"/>
  </w:num>
  <w:num w:numId="18" w16cid:durableId="1179394178">
    <w:abstractNumId w:val="0"/>
  </w:num>
  <w:num w:numId="19" w16cid:durableId="1084574843">
    <w:abstractNumId w:val="32"/>
  </w:num>
  <w:num w:numId="20" w16cid:durableId="587232263">
    <w:abstractNumId w:val="31"/>
  </w:num>
  <w:num w:numId="21" w16cid:durableId="579944749">
    <w:abstractNumId w:val="3"/>
  </w:num>
  <w:num w:numId="22" w16cid:durableId="1144005410">
    <w:abstractNumId w:val="15"/>
  </w:num>
  <w:num w:numId="23" w16cid:durableId="735513933">
    <w:abstractNumId w:val="34"/>
  </w:num>
  <w:num w:numId="24" w16cid:durableId="1344555807">
    <w:abstractNumId w:val="16"/>
  </w:num>
  <w:num w:numId="25" w16cid:durableId="1504468059">
    <w:abstractNumId w:val="14"/>
  </w:num>
  <w:num w:numId="26" w16cid:durableId="211814507">
    <w:abstractNumId w:val="20"/>
  </w:num>
  <w:num w:numId="27" w16cid:durableId="1127354822">
    <w:abstractNumId w:val="20"/>
  </w:num>
  <w:num w:numId="28" w16cid:durableId="501549087">
    <w:abstractNumId w:val="19"/>
  </w:num>
  <w:num w:numId="29" w16cid:durableId="270550409">
    <w:abstractNumId w:val="17"/>
  </w:num>
  <w:num w:numId="30" w16cid:durableId="1550148672">
    <w:abstractNumId w:val="9"/>
  </w:num>
  <w:num w:numId="31" w16cid:durableId="1476991790">
    <w:abstractNumId w:val="2"/>
  </w:num>
  <w:num w:numId="32" w16cid:durableId="860969015">
    <w:abstractNumId w:val="6"/>
  </w:num>
  <w:num w:numId="33" w16cid:durableId="589000761">
    <w:abstractNumId w:val="22"/>
  </w:num>
  <w:num w:numId="34" w16cid:durableId="124085147">
    <w:abstractNumId w:val="11"/>
  </w:num>
  <w:num w:numId="35" w16cid:durableId="480199601">
    <w:abstractNumId w:val="10"/>
  </w:num>
  <w:num w:numId="36" w16cid:durableId="2008173705">
    <w:abstractNumId w:val="38"/>
  </w:num>
  <w:num w:numId="37" w16cid:durableId="1746998374">
    <w:abstractNumId w:val="30"/>
  </w:num>
  <w:num w:numId="38" w16cid:durableId="1659118467">
    <w:abstractNumId w:val="5"/>
  </w:num>
  <w:num w:numId="39" w16cid:durableId="314532490">
    <w:abstractNumId w:val="8"/>
  </w:num>
  <w:num w:numId="40" w16cid:durableId="97710263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7"/>
  <w:embedSystemFonts/>
  <w:bordersDoNotSurroundHeader/>
  <w:bordersDoNotSurroundFooter/>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revisionView w:comments="1" w:formatting="1" w:inkAnnotations="0" w:insDel="1" w:markup="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Pr>
  <w:endnotePr>
    <w:numFmt w:val="decimal"/>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6EF8"/>
    <w:rsid w:val="00004825"/>
    <w:rsid w:val="00010611"/>
    <w:rsid w:val="00016EF8"/>
    <w:rsid w:val="000345E5"/>
    <w:rsid w:val="00062385"/>
    <w:rsid w:val="000736B9"/>
    <w:rsid w:val="00077862"/>
    <w:rsid w:val="00094145"/>
    <w:rsid w:val="00097A64"/>
    <w:rsid w:val="000A3741"/>
    <w:rsid w:val="000B3340"/>
    <w:rsid w:val="000B4568"/>
    <w:rsid w:val="000C2FF5"/>
    <w:rsid w:val="000E2D43"/>
    <w:rsid w:val="000F74C1"/>
    <w:rsid w:val="0010270C"/>
    <w:rsid w:val="00102AD2"/>
    <w:rsid w:val="0010689D"/>
    <w:rsid w:val="00121BF6"/>
    <w:rsid w:val="0012401D"/>
    <w:rsid w:val="00130AFC"/>
    <w:rsid w:val="001327F3"/>
    <w:rsid w:val="0015724A"/>
    <w:rsid w:val="001576AF"/>
    <w:rsid w:val="00165048"/>
    <w:rsid w:val="00173B71"/>
    <w:rsid w:val="00186F22"/>
    <w:rsid w:val="001950BD"/>
    <w:rsid w:val="001A450C"/>
    <w:rsid w:val="001A6B90"/>
    <w:rsid w:val="001C1D2E"/>
    <w:rsid w:val="001E78E4"/>
    <w:rsid w:val="00211E71"/>
    <w:rsid w:val="00244F99"/>
    <w:rsid w:val="0024728D"/>
    <w:rsid w:val="0028688C"/>
    <w:rsid w:val="002872D8"/>
    <w:rsid w:val="002903AF"/>
    <w:rsid w:val="00290CE8"/>
    <w:rsid w:val="002B29B0"/>
    <w:rsid w:val="002C28FF"/>
    <w:rsid w:val="002D4EF5"/>
    <w:rsid w:val="002F100D"/>
    <w:rsid w:val="00303089"/>
    <w:rsid w:val="00303FA2"/>
    <w:rsid w:val="00304691"/>
    <w:rsid w:val="00310A1D"/>
    <w:rsid w:val="00323D6B"/>
    <w:rsid w:val="00374810"/>
    <w:rsid w:val="003807C6"/>
    <w:rsid w:val="00394DAE"/>
    <w:rsid w:val="003B2596"/>
    <w:rsid w:val="003D1316"/>
    <w:rsid w:val="003D2AAD"/>
    <w:rsid w:val="003E2210"/>
    <w:rsid w:val="004005D5"/>
    <w:rsid w:val="00403BB7"/>
    <w:rsid w:val="00413976"/>
    <w:rsid w:val="00427EDB"/>
    <w:rsid w:val="00431250"/>
    <w:rsid w:val="00442E56"/>
    <w:rsid w:val="0044305A"/>
    <w:rsid w:val="004533B3"/>
    <w:rsid w:val="00453C00"/>
    <w:rsid w:val="004648EA"/>
    <w:rsid w:val="00467369"/>
    <w:rsid w:val="00471CE5"/>
    <w:rsid w:val="00476C39"/>
    <w:rsid w:val="0048009A"/>
    <w:rsid w:val="004947BD"/>
    <w:rsid w:val="004968AD"/>
    <w:rsid w:val="004D2524"/>
    <w:rsid w:val="004F2A29"/>
    <w:rsid w:val="004F459C"/>
    <w:rsid w:val="00512615"/>
    <w:rsid w:val="00513D91"/>
    <w:rsid w:val="00522DD4"/>
    <w:rsid w:val="005446DC"/>
    <w:rsid w:val="005504F0"/>
    <w:rsid w:val="0056190E"/>
    <w:rsid w:val="005737BB"/>
    <w:rsid w:val="00575E56"/>
    <w:rsid w:val="00581A60"/>
    <w:rsid w:val="005824AA"/>
    <w:rsid w:val="00582BFB"/>
    <w:rsid w:val="005848F3"/>
    <w:rsid w:val="00584D42"/>
    <w:rsid w:val="00587006"/>
    <w:rsid w:val="005957F1"/>
    <w:rsid w:val="005A2A49"/>
    <w:rsid w:val="005C3A02"/>
    <w:rsid w:val="005D1201"/>
    <w:rsid w:val="005E4F39"/>
    <w:rsid w:val="005E549E"/>
    <w:rsid w:val="005F158F"/>
    <w:rsid w:val="0060676B"/>
    <w:rsid w:val="006162A5"/>
    <w:rsid w:val="00622B7E"/>
    <w:rsid w:val="006321D1"/>
    <w:rsid w:val="0063315B"/>
    <w:rsid w:val="00637B38"/>
    <w:rsid w:val="006A6E16"/>
    <w:rsid w:val="006D41E4"/>
    <w:rsid w:val="006E4C4B"/>
    <w:rsid w:val="006E6447"/>
    <w:rsid w:val="00703752"/>
    <w:rsid w:val="007074A6"/>
    <w:rsid w:val="00740E0F"/>
    <w:rsid w:val="00745485"/>
    <w:rsid w:val="0076255D"/>
    <w:rsid w:val="007659F3"/>
    <w:rsid w:val="0077022A"/>
    <w:rsid w:val="00772865"/>
    <w:rsid w:val="00780374"/>
    <w:rsid w:val="00792A0B"/>
    <w:rsid w:val="00795115"/>
    <w:rsid w:val="007B2141"/>
    <w:rsid w:val="007E36EE"/>
    <w:rsid w:val="0080042A"/>
    <w:rsid w:val="008238AC"/>
    <w:rsid w:val="008452D4"/>
    <w:rsid w:val="00863208"/>
    <w:rsid w:val="008843C5"/>
    <w:rsid w:val="008B1618"/>
    <w:rsid w:val="008C0426"/>
    <w:rsid w:val="009108C4"/>
    <w:rsid w:val="00920D92"/>
    <w:rsid w:val="00925143"/>
    <w:rsid w:val="009251D3"/>
    <w:rsid w:val="00945C90"/>
    <w:rsid w:val="00945D9A"/>
    <w:rsid w:val="00952A06"/>
    <w:rsid w:val="009779D4"/>
    <w:rsid w:val="009873A6"/>
    <w:rsid w:val="00991A61"/>
    <w:rsid w:val="00996361"/>
    <w:rsid w:val="009A4AF4"/>
    <w:rsid w:val="009A66F4"/>
    <w:rsid w:val="009B5FFE"/>
    <w:rsid w:val="009B62E7"/>
    <w:rsid w:val="009E4DD4"/>
    <w:rsid w:val="009E537F"/>
    <w:rsid w:val="009F4B58"/>
    <w:rsid w:val="00A13243"/>
    <w:rsid w:val="00A22FF2"/>
    <w:rsid w:val="00A34825"/>
    <w:rsid w:val="00A41E85"/>
    <w:rsid w:val="00A423BD"/>
    <w:rsid w:val="00A55C6D"/>
    <w:rsid w:val="00A72C0B"/>
    <w:rsid w:val="00A91FE8"/>
    <w:rsid w:val="00A944EF"/>
    <w:rsid w:val="00AA0112"/>
    <w:rsid w:val="00AA1A2F"/>
    <w:rsid w:val="00AA1B51"/>
    <w:rsid w:val="00AA3E1B"/>
    <w:rsid w:val="00AA51A6"/>
    <w:rsid w:val="00AB1FC1"/>
    <w:rsid w:val="00AD764D"/>
    <w:rsid w:val="00AE0CB4"/>
    <w:rsid w:val="00AF7E75"/>
    <w:rsid w:val="00B136CB"/>
    <w:rsid w:val="00B177D9"/>
    <w:rsid w:val="00B24543"/>
    <w:rsid w:val="00B4073C"/>
    <w:rsid w:val="00B63BD0"/>
    <w:rsid w:val="00B843D0"/>
    <w:rsid w:val="00BA561E"/>
    <w:rsid w:val="00BB43B1"/>
    <w:rsid w:val="00BD17C6"/>
    <w:rsid w:val="00BD3EA4"/>
    <w:rsid w:val="00BE31FE"/>
    <w:rsid w:val="00BF1F86"/>
    <w:rsid w:val="00C17059"/>
    <w:rsid w:val="00C25D8D"/>
    <w:rsid w:val="00C31B81"/>
    <w:rsid w:val="00C57CB1"/>
    <w:rsid w:val="00C71AF7"/>
    <w:rsid w:val="00C800BD"/>
    <w:rsid w:val="00C84012"/>
    <w:rsid w:val="00C94597"/>
    <w:rsid w:val="00C964A5"/>
    <w:rsid w:val="00CA1ED4"/>
    <w:rsid w:val="00CB0AB8"/>
    <w:rsid w:val="00CE626E"/>
    <w:rsid w:val="00CF4AF5"/>
    <w:rsid w:val="00D1671C"/>
    <w:rsid w:val="00D23B78"/>
    <w:rsid w:val="00D25295"/>
    <w:rsid w:val="00D359F8"/>
    <w:rsid w:val="00D4691B"/>
    <w:rsid w:val="00D4701B"/>
    <w:rsid w:val="00D97CBA"/>
    <w:rsid w:val="00DA3462"/>
    <w:rsid w:val="00DA39DD"/>
    <w:rsid w:val="00DB15AC"/>
    <w:rsid w:val="00DC6DDA"/>
    <w:rsid w:val="00DD1D1E"/>
    <w:rsid w:val="00DD56C1"/>
    <w:rsid w:val="00DD699F"/>
    <w:rsid w:val="00DD7E9E"/>
    <w:rsid w:val="00DF4DC8"/>
    <w:rsid w:val="00DF62C4"/>
    <w:rsid w:val="00E05E16"/>
    <w:rsid w:val="00E11D85"/>
    <w:rsid w:val="00E14D5C"/>
    <w:rsid w:val="00E21124"/>
    <w:rsid w:val="00E53BE8"/>
    <w:rsid w:val="00E94EFE"/>
    <w:rsid w:val="00EA71E4"/>
    <w:rsid w:val="00EB0411"/>
    <w:rsid w:val="00EB57C4"/>
    <w:rsid w:val="00ED589D"/>
    <w:rsid w:val="00F42ED6"/>
    <w:rsid w:val="00F67223"/>
    <w:rsid w:val="00F95361"/>
    <w:rsid w:val="00F96232"/>
    <w:rsid w:val="00FA6E9D"/>
    <w:rsid w:val="00FF17F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890A153"/>
  <w15:chartTrackingRefBased/>
  <w15:docId w15:val="{1E5112B0-F248-43C8-920C-255ADE1BE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styleId="Footer">
    <w:name w:val="footer"/>
    <w:basedOn w:val="Normal"/>
    <w:link w:val="FooterChar"/>
    <w:uiPriority w:val="99"/>
    <w:rsid w:val="00D1671C"/>
    <w:pPr>
      <w:tabs>
        <w:tab w:val="center" w:pos="4320"/>
        <w:tab w:val="right" w:pos="8640"/>
      </w:tabs>
    </w:pPr>
  </w:style>
  <w:style w:type="character" w:styleId="PageNumber">
    <w:name w:val="page number"/>
    <w:basedOn w:val="DefaultParagraphFont"/>
    <w:rsid w:val="00D1671C"/>
  </w:style>
  <w:style w:type="paragraph" w:styleId="Header">
    <w:name w:val="header"/>
    <w:basedOn w:val="Normal"/>
    <w:link w:val="HeaderChar"/>
    <w:uiPriority w:val="99"/>
    <w:rsid w:val="001576AF"/>
    <w:pPr>
      <w:tabs>
        <w:tab w:val="center" w:pos="4680"/>
        <w:tab w:val="right" w:pos="9360"/>
      </w:tabs>
    </w:pPr>
  </w:style>
  <w:style w:type="character" w:customStyle="1" w:styleId="HeaderChar">
    <w:name w:val="Header Char"/>
    <w:link w:val="Header"/>
    <w:uiPriority w:val="99"/>
    <w:rsid w:val="001576AF"/>
    <w:rPr>
      <w:rFonts w:ascii="Courier" w:hAnsi="Courier"/>
      <w:snapToGrid w:val="0"/>
      <w:sz w:val="24"/>
    </w:rPr>
  </w:style>
  <w:style w:type="paragraph" w:styleId="BalloonText">
    <w:name w:val="Balloon Text"/>
    <w:basedOn w:val="Normal"/>
    <w:link w:val="BalloonTextChar"/>
    <w:rsid w:val="00077862"/>
    <w:rPr>
      <w:rFonts w:ascii="Tahoma" w:hAnsi="Tahoma" w:cs="Tahoma"/>
      <w:sz w:val="16"/>
      <w:szCs w:val="16"/>
    </w:rPr>
  </w:style>
  <w:style w:type="character" w:customStyle="1" w:styleId="BalloonTextChar">
    <w:name w:val="Balloon Text Char"/>
    <w:link w:val="BalloonText"/>
    <w:rsid w:val="00077862"/>
    <w:rPr>
      <w:rFonts w:ascii="Tahoma" w:hAnsi="Tahoma" w:cs="Tahoma"/>
      <w:snapToGrid w:val="0"/>
      <w:sz w:val="16"/>
      <w:szCs w:val="16"/>
    </w:rPr>
  </w:style>
  <w:style w:type="character" w:styleId="Hyperlink">
    <w:name w:val="Hyperlink"/>
    <w:uiPriority w:val="99"/>
    <w:unhideWhenUsed/>
    <w:rsid w:val="00DF62C4"/>
    <w:rPr>
      <w:color w:val="0000FF"/>
      <w:u w:val="single"/>
    </w:rPr>
  </w:style>
  <w:style w:type="paragraph" w:styleId="ListParagraph">
    <w:name w:val="List Paragraph"/>
    <w:basedOn w:val="Normal"/>
    <w:uiPriority w:val="34"/>
    <w:qFormat/>
    <w:rsid w:val="00DF62C4"/>
    <w:pPr>
      <w:widowControl/>
      <w:spacing w:after="200" w:line="276" w:lineRule="auto"/>
      <w:ind w:left="720"/>
      <w:contextualSpacing/>
    </w:pPr>
    <w:rPr>
      <w:rFonts w:ascii="Calibri" w:eastAsia="Calibri" w:hAnsi="Calibri"/>
      <w:snapToGrid/>
      <w:sz w:val="22"/>
      <w:szCs w:val="22"/>
    </w:rPr>
  </w:style>
  <w:style w:type="paragraph" w:styleId="Title">
    <w:name w:val="Title"/>
    <w:basedOn w:val="Normal"/>
    <w:next w:val="Normal"/>
    <w:link w:val="TitleChar"/>
    <w:qFormat/>
    <w:rsid w:val="00DD7E9E"/>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DD7E9E"/>
    <w:rPr>
      <w:rFonts w:ascii="Calibri Light" w:eastAsia="Times New Roman" w:hAnsi="Calibri Light" w:cs="Times New Roman"/>
      <w:b/>
      <w:bCs/>
      <w:snapToGrid w:val="0"/>
      <w:kern w:val="28"/>
      <w:sz w:val="32"/>
      <w:szCs w:val="32"/>
    </w:rPr>
  </w:style>
  <w:style w:type="character" w:styleId="CommentReference">
    <w:name w:val="annotation reference"/>
    <w:rsid w:val="009873A6"/>
    <w:rPr>
      <w:sz w:val="16"/>
      <w:szCs w:val="16"/>
    </w:rPr>
  </w:style>
  <w:style w:type="paragraph" w:styleId="CommentText">
    <w:name w:val="annotation text"/>
    <w:basedOn w:val="Normal"/>
    <w:link w:val="CommentTextChar"/>
    <w:rsid w:val="009873A6"/>
    <w:rPr>
      <w:sz w:val="20"/>
    </w:rPr>
  </w:style>
  <w:style w:type="character" w:customStyle="1" w:styleId="CommentTextChar">
    <w:name w:val="Comment Text Char"/>
    <w:link w:val="CommentText"/>
    <w:rsid w:val="009873A6"/>
    <w:rPr>
      <w:rFonts w:ascii="Courier" w:hAnsi="Courier"/>
      <w:snapToGrid w:val="0"/>
    </w:rPr>
  </w:style>
  <w:style w:type="paragraph" w:styleId="CommentSubject">
    <w:name w:val="annotation subject"/>
    <w:basedOn w:val="CommentText"/>
    <w:next w:val="CommentText"/>
    <w:link w:val="CommentSubjectChar"/>
    <w:rsid w:val="009873A6"/>
    <w:rPr>
      <w:b/>
      <w:bCs/>
    </w:rPr>
  </w:style>
  <w:style w:type="character" w:customStyle="1" w:styleId="CommentSubjectChar">
    <w:name w:val="Comment Subject Char"/>
    <w:link w:val="CommentSubject"/>
    <w:rsid w:val="009873A6"/>
    <w:rPr>
      <w:rFonts w:ascii="Courier" w:hAnsi="Courier"/>
      <w:b/>
      <w:bCs/>
      <w:snapToGrid w:val="0"/>
    </w:rPr>
  </w:style>
  <w:style w:type="paragraph" w:styleId="Revision">
    <w:name w:val="Revision"/>
    <w:hidden/>
    <w:uiPriority w:val="99"/>
    <w:semiHidden/>
    <w:rsid w:val="009873A6"/>
    <w:rPr>
      <w:rFonts w:ascii="Courier" w:hAnsi="Courier"/>
      <w:snapToGrid w:val="0"/>
      <w:sz w:val="24"/>
    </w:rPr>
  </w:style>
  <w:style w:type="character" w:customStyle="1" w:styleId="FooterChar">
    <w:name w:val="Footer Char"/>
    <w:link w:val="Footer"/>
    <w:uiPriority w:val="99"/>
    <w:rsid w:val="00303089"/>
    <w:rPr>
      <w:rFonts w:ascii="Courier" w:hAnsi="Courier"/>
      <w:snapToGrid w:val="0"/>
      <w:sz w:val="24"/>
    </w:rPr>
  </w:style>
  <w:style w:type="character" w:styleId="UnresolvedMention">
    <w:name w:val="Unresolved Mention"/>
    <w:uiPriority w:val="99"/>
    <w:semiHidden/>
    <w:unhideWhenUsed/>
    <w:rsid w:val="0048009A"/>
    <w:rPr>
      <w:color w:val="808080"/>
      <w:shd w:val="clear" w:color="auto" w:fill="E6E6E6"/>
    </w:rPr>
  </w:style>
  <w:style w:type="table" w:styleId="TableGrid">
    <w:name w:val="Table Grid"/>
    <w:basedOn w:val="TableNormal"/>
    <w:rsid w:val="00AE0C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9E4DD4"/>
    <w:rPr>
      <w:rFonts w:ascii="Times New Roman" w:hAnsi="Times New Roman"/>
      <w:sz w:val="20"/>
    </w:rPr>
  </w:style>
  <w:style w:type="character" w:customStyle="1" w:styleId="FootnoteTextChar">
    <w:name w:val="Footnote Text Char"/>
    <w:basedOn w:val="DefaultParagraphFont"/>
    <w:link w:val="FootnoteText"/>
    <w:uiPriority w:val="99"/>
    <w:rsid w:val="009E4DD4"/>
    <w:rPr>
      <w:snapToGrid w:val="0"/>
    </w:rPr>
  </w:style>
  <w:style w:type="character" w:styleId="FollowedHyperlink">
    <w:name w:val="FollowedHyperlink"/>
    <w:basedOn w:val="DefaultParagraphFont"/>
    <w:rsid w:val="000A374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footnotes.xml.rels><?xml version="1.0" encoding="utf-8" standalone="yes"?><Relationships xmlns="http://schemas.openxmlformats.org/package/2006/relationships"><Relationship Id="rId1" Type="http://schemas.openxmlformats.org/officeDocument/2006/relationships/hyperlink" Target="https://data.bls.gov/oes/" TargetMode="External" /><Relationship Id="rId2" Type="http://schemas.openxmlformats.org/officeDocument/2006/relationships/hyperlink" Target="https://www.bls.gov/news.release/pdf/ecec.pdf" TargetMode="External" /><Relationship Id="rId3" Type="http://schemas.openxmlformats.org/officeDocument/2006/relationships/hyperlink" Target="https://www.opm.gov/policy-data-oversight/pay-leave/salaries-wages/salary-tables/25Tables/html/DCB_h.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10B2AA-87F6-4B2B-BFB6-03F2BB263D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6</Pages>
  <Words>1624</Words>
  <Characters>9263</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MARAD</Company>
  <LinksUpToDate>false</LinksUpToDate>
  <CharactersWithSpaces>10866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Tamelia.Bolton</dc:creator>
  <cp:lastModifiedBy>Bolton, Tamelia (MARAD)</cp:lastModifiedBy>
  <cp:revision>4</cp:revision>
  <cp:lastPrinted>2019-06-03T18:34:00Z</cp:lastPrinted>
  <dcterms:created xsi:type="dcterms:W3CDTF">2026-02-19T17:31:00Z</dcterms:created>
  <dcterms:modified xsi:type="dcterms:W3CDTF">2026-02-19T23:27:00Z</dcterms:modified>
</cp:coreProperties>
</file>