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134E" w:rsidRPr="00FD134E" w:rsidP="00FD134E" w14:paraId="37D342AD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FD134E">
        <w:rPr>
          <w:b/>
          <w:szCs w:val="24"/>
        </w:rPr>
        <w:t>FEDERAL RAILROAD ADMINISTRATION</w:t>
      </w:r>
    </w:p>
    <w:p w:rsidR="00FD134E" w:rsidRPr="00FD134E" w:rsidP="00FD134E" w14:paraId="3EB1B599" w14:textId="2CF8E3E9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FD134E">
        <w:rPr>
          <w:b/>
          <w:szCs w:val="24"/>
        </w:rPr>
        <w:t>Rear End Marking Devices</w:t>
      </w:r>
    </w:p>
    <w:p w:rsidR="00FD134E" w:rsidRPr="00FD134E" w:rsidP="00FD134E" w14:paraId="429084C0" w14:textId="486D7A8B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FD134E">
        <w:rPr>
          <w:b/>
          <w:szCs w:val="24"/>
        </w:rPr>
        <w:t>(Title 49 Code of Federal Regulations Part 2</w:t>
      </w:r>
      <w:r>
        <w:rPr>
          <w:b/>
          <w:szCs w:val="24"/>
        </w:rPr>
        <w:t>21</w:t>
      </w:r>
      <w:r w:rsidRPr="00FD134E">
        <w:rPr>
          <w:b/>
          <w:szCs w:val="24"/>
        </w:rPr>
        <w:t>)</w:t>
      </w:r>
    </w:p>
    <w:p w:rsidR="00FD134E" w:rsidRPr="00FD134E" w:rsidP="00FD134E" w14:paraId="3D418F3E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FD134E">
        <w:rPr>
          <w:b/>
          <w:szCs w:val="24"/>
        </w:rPr>
        <w:t xml:space="preserve">SUPPORTING JUSTIFICATION </w:t>
      </w:r>
    </w:p>
    <w:p w:rsidR="00FD134E" w:rsidRPr="00FD134E" w:rsidP="00FD134E" w14:paraId="330616A0" w14:textId="1FF3933F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FD134E">
        <w:rPr>
          <w:b/>
          <w:szCs w:val="24"/>
        </w:rPr>
        <w:t>OMB Control No. 2130-0523</w:t>
      </w:r>
    </w:p>
    <w:p w:rsidR="00FB79AA" w:rsidRPr="000A2EA6" w:rsidP="00B10C31" w14:paraId="7B5663D8" w14:textId="77777777">
      <w:pPr>
        <w:widowControl w:val="0"/>
        <w:rPr>
          <w:b/>
          <w:szCs w:val="24"/>
        </w:rPr>
      </w:pPr>
    </w:p>
    <w:p w:rsidR="00627D12" w:rsidRPr="00D863FB" w:rsidP="00627D12" w14:paraId="6188F7A2" w14:textId="77777777">
      <w:pPr>
        <w:widowControl w:val="0"/>
        <w:ind w:left="720"/>
        <w:rPr>
          <w:szCs w:val="24"/>
          <w:u w:val="single"/>
        </w:rPr>
      </w:pPr>
      <w:r w:rsidRPr="00D863FB">
        <w:rPr>
          <w:szCs w:val="24"/>
          <w:u w:val="single"/>
        </w:rPr>
        <w:t>Summary of Submission</w:t>
      </w:r>
    </w:p>
    <w:p w:rsidR="00627D12" w:rsidRPr="008E0457" w:rsidP="008E0457" w14:paraId="5E90F0F8" w14:textId="77777777"/>
    <w:p w:rsidR="00627D12" w:rsidRPr="008E0457" w:rsidP="008E0457" w14:paraId="7979423E" w14:textId="68C75206">
      <w:pPr>
        <w:pStyle w:val="ListParagraph"/>
        <w:numPr>
          <w:ilvl w:val="0"/>
          <w:numId w:val="4"/>
        </w:numPr>
      </w:pPr>
      <w:r w:rsidRPr="008E0457">
        <w:t xml:space="preserve">This submission is a request for an extension without change of the last three-year approval granted by the Office of Management and Budget (OMB) on </w:t>
      </w:r>
      <w:r w:rsidRPr="008E0457" w:rsidR="00C20B9E">
        <w:t>April 28, 2023</w:t>
      </w:r>
      <w:r w:rsidRPr="008E0457">
        <w:t xml:space="preserve">, </w:t>
      </w:r>
      <w:r w:rsidRPr="008E0457" w:rsidR="00C20B9E">
        <w:t xml:space="preserve">with an expiration date on April 30, 2026. </w:t>
      </w:r>
    </w:p>
    <w:p w:rsidR="00627D12" w:rsidRPr="008E0457" w:rsidP="008E0457" w14:paraId="3BEF30CC" w14:textId="77777777"/>
    <w:p w:rsidR="00627D12" w:rsidP="008E0457" w14:paraId="5E0DADDE" w14:textId="55D563ED">
      <w:pPr>
        <w:pStyle w:val="ListParagraph"/>
        <w:numPr>
          <w:ilvl w:val="0"/>
          <w:numId w:val="4"/>
        </w:numPr>
      </w:pPr>
      <w:r w:rsidRPr="008E0457">
        <w:t>The Federal Railroad Administration (</w:t>
      </w:r>
      <w:r w:rsidRPr="008E0457" w:rsidR="00C20B9E">
        <w:t>hereafter “</w:t>
      </w:r>
      <w:r w:rsidRPr="008E0457">
        <w:t>FRA</w:t>
      </w:r>
      <w:r w:rsidRPr="008E0457" w:rsidR="00C20B9E">
        <w:t>” or “the Agency”</w:t>
      </w:r>
      <w:r w:rsidRPr="008E0457">
        <w:t xml:space="preserve">) published </w:t>
      </w:r>
      <w:r w:rsidRPr="008E0457" w:rsidR="00C20B9E">
        <w:t>a</w:t>
      </w:r>
      <w:r w:rsidRPr="008E0457">
        <w:t xml:space="preserve"> required 60-day </w:t>
      </w:r>
      <w:r w:rsidRPr="008E0457" w:rsidR="00C20B9E">
        <w:t xml:space="preserve">Notice in the </w:t>
      </w:r>
      <w:r w:rsidRPr="003053FF">
        <w:rPr>
          <w:i/>
        </w:rPr>
        <w:t>Federal Register</w:t>
      </w:r>
      <w:r w:rsidRPr="008E0457" w:rsidR="00A95C8A">
        <w:t xml:space="preserve"> </w:t>
      </w:r>
      <w:r w:rsidRPr="008E0457">
        <w:t>on</w:t>
      </w:r>
      <w:r w:rsidR="002D2B2C">
        <w:t xml:space="preserve"> January 30, 2026</w:t>
      </w:r>
      <w:r w:rsidRPr="008E0457">
        <w:t>.</w:t>
      </w:r>
      <w:r w:rsidRPr="008E0457" w:rsidR="00A95C8A">
        <w:t xml:space="preserve"> </w:t>
      </w:r>
      <w:r w:rsidRPr="003053FF">
        <w:rPr>
          <w:i/>
        </w:rPr>
        <w:t>See</w:t>
      </w:r>
      <w:r w:rsidRPr="008E0457" w:rsidR="00C20B9E">
        <w:t xml:space="preserve"> 9</w:t>
      </w:r>
      <w:r w:rsidR="000735B8">
        <w:t>1</w:t>
      </w:r>
      <w:r w:rsidRPr="008E0457" w:rsidR="00C20B9E">
        <w:t xml:space="preserve"> </w:t>
      </w:r>
      <w:r w:rsidRPr="008E0457">
        <w:t xml:space="preserve">FR </w:t>
      </w:r>
      <w:r w:rsidR="000735B8">
        <w:t>4166</w:t>
      </w:r>
      <w:r w:rsidRPr="008E0457">
        <w:t xml:space="preserve">. </w:t>
      </w:r>
      <w:r w:rsidRPr="008E0457" w:rsidR="00CC1480">
        <w:t xml:space="preserve">FRA received </w:t>
      </w:r>
      <w:r w:rsidR="003053FF">
        <w:t>zero</w:t>
      </w:r>
      <w:r w:rsidRPr="008E0457" w:rsidR="00A95C8A">
        <w:t xml:space="preserve"> </w:t>
      </w:r>
      <w:r w:rsidR="001966F3">
        <w:t xml:space="preserve">public </w:t>
      </w:r>
      <w:r w:rsidRPr="008E0457" w:rsidR="00CC1480">
        <w:t>comment</w:t>
      </w:r>
      <w:r w:rsidRPr="008E0457" w:rsidR="00A95C8A">
        <w:t>s in response to this Notice.</w:t>
      </w:r>
    </w:p>
    <w:p w:rsidR="000735B8" w:rsidP="000735B8" w14:paraId="702ECC0A" w14:textId="77777777"/>
    <w:p w:rsidR="00627D12" w:rsidRPr="008E0457" w:rsidP="008E0457" w14:paraId="4DD3F730" w14:textId="2F88014F">
      <w:pPr>
        <w:pStyle w:val="ListParagraph"/>
        <w:numPr>
          <w:ilvl w:val="0"/>
          <w:numId w:val="4"/>
        </w:numPr>
      </w:pPr>
      <w:r w:rsidRPr="008E0457">
        <w:t xml:space="preserve">The total number of burden hours requested for this information collection </w:t>
      </w:r>
      <w:r w:rsidR="00A669EE">
        <w:t>request (ICR)</w:t>
      </w:r>
      <w:r w:rsidRPr="008E0457">
        <w:t xml:space="preserve"> submission is </w:t>
      </w:r>
      <w:r w:rsidRPr="008E0457" w:rsidR="002A536A">
        <w:t>two</w:t>
      </w:r>
      <w:r w:rsidRPr="008E0457">
        <w:t xml:space="preserve"> hours, which is unchanged from the last submission.</w:t>
      </w:r>
    </w:p>
    <w:p w:rsidR="00627D12" w:rsidRPr="008E0457" w:rsidP="008E0457" w14:paraId="57BEC899" w14:textId="77777777"/>
    <w:p w:rsidR="00627D12" w:rsidRPr="008E0457" w:rsidP="008E0457" w14:paraId="4D227F75" w14:textId="33763A16">
      <w:pPr>
        <w:pStyle w:val="ListParagraph"/>
        <w:numPr>
          <w:ilvl w:val="0"/>
          <w:numId w:val="4"/>
        </w:numPr>
      </w:pPr>
      <w:r w:rsidRPr="008E0457">
        <w:t xml:space="preserve">The total number of responses requested for this information collection submission is </w:t>
      </w:r>
      <w:r w:rsidRPr="008E0457" w:rsidR="002A536A">
        <w:t>two</w:t>
      </w:r>
      <w:r w:rsidRPr="008E0457">
        <w:t>, which is unchanged from the last submission</w:t>
      </w:r>
      <w:r w:rsidRPr="008E0457" w:rsidR="00E36634">
        <w:t>.</w:t>
      </w:r>
    </w:p>
    <w:p w:rsidR="00627D12" w:rsidRPr="008E0457" w:rsidP="008E0457" w14:paraId="3F80783B" w14:textId="77777777"/>
    <w:p w:rsidR="001C2F4B" w:rsidRPr="000A2EA6" w:rsidP="004144E7" w14:paraId="20BA9F63" w14:textId="4A9AFB31">
      <w:pPr>
        <w:widowControl w:val="0"/>
        <w:numPr>
          <w:ilvl w:val="0"/>
          <w:numId w:val="2"/>
        </w:numPr>
        <w:ind w:left="720"/>
        <w:rPr>
          <w:szCs w:val="24"/>
        </w:rPr>
      </w:pPr>
      <w:r w:rsidRPr="000A2EA6">
        <w:rPr>
          <w:b/>
          <w:szCs w:val="24"/>
          <w:u w:val="single"/>
        </w:rPr>
        <w:t>Circumstances that make collection of the information necessary</w:t>
      </w:r>
      <w:r w:rsidRPr="004144E7">
        <w:rPr>
          <w:szCs w:val="24"/>
        </w:rPr>
        <w:t>.</w:t>
      </w:r>
    </w:p>
    <w:p w:rsidR="00FB79AA" w:rsidRPr="000A2EA6" w:rsidP="00B10C31" w14:paraId="3281507D" w14:textId="77777777">
      <w:pPr>
        <w:widowControl w:val="0"/>
        <w:rPr>
          <w:szCs w:val="24"/>
        </w:rPr>
      </w:pPr>
    </w:p>
    <w:p w:rsidR="00FB79AA" w:rsidRPr="000A2EA6" w:rsidP="00B10C31" w14:paraId="55A7ECC1" w14:textId="4B3520C5">
      <w:pPr>
        <w:widowControl w:val="0"/>
        <w:ind w:left="720"/>
        <w:rPr>
          <w:szCs w:val="24"/>
        </w:rPr>
      </w:pPr>
      <w:r w:rsidRPr="000A2EA6">
        <w:rPr>
          <w:szCs w:val="24"/>
        </w:rPr>
        <w:t>On July 8, 1976, Congress enacted the Federal Railroad Safety</w:t>
      </w:r>
      <w:r w:rsidR="004144E7">
        <w:rPr>
          <w:szCs w:val="24"/>
        </w:rPr>
        <w:t xml:space="preserve"> Authorization</w:t>
      </w:r>
      <w:r w:rsidRPr="000A2EA6">
        <w:rPr>
          <w:szCs w:val="24"/>
        </w:rPr>
        <w:t xml:space="preserve"> Act of 1976</w:t>
      </w:r>
      <w:r w:rsidR="007E669A">
        <w:rPr>
          <w:szCs w:val="24"/>
        </w:rPr>
        <w:t xml:space="preserve"> (Pub</w:t>
      </w:r>
      <w:r w:rsidR="0092320D">
        <w:rPr>
          <w:szCs w:val="24"/>
        </w:rPr>
        <w:t>.</w:t>
      </w:r>
      <w:r w:rsidR="007E669A">
        <w:rPr>
          <w:szCs w:val="24"/>
        </w:rPr>
        <w:t xml:space="preserve"> L</w:t>
      </w:r>
      <w:r w:rsidR="0092320D">
        <w:rPr>
          <w:szCs w:val="24"/>
        </w:rPr>
        <w:t>. No.</w:t>
      </w:r>
      <w:r w:rsidR="007E669A">
        <w:rPr>
          <w:szCs w:val="24"/>
        </w:rPr>
        <w:t xml:space="preserve"> </w:t>
      </w:r>
      <w:r w:rsidR="00583AC1">
        <w:rPr>
          <w:szCs w:val="24"/>
        </w:rPr>
        <w:t>94-358)</w:t>
      </w:r>
      <w:r w:rsidRPr="000A2EA6">
        <w:rPr>
          <w:szCs w:val="24"/>
        </w:rPr>
        <w:t>. In addition to providing authorization for continued railroad safety appropriations, the statute included a provision that required the Secretary of</w:t>
      </w:r>
      <w:r w:rsidR="00C05AFA">
        <w:rPr>
          <w:szCs w:val="24"/>
        </w:rPr>
        <w:t xml:space="preserve"> the U.S. Department of</w:t>
      </w:r>
      <w:r w:rsidRPr="000A2EA6">
        <w:rPr>
          <w:szCs w:val="24"/>
        </w:rPr>
        <w:t xml:space="preserve"> Transportation</w:t>
      </w:r>
      <w:r w:rsidR="00C05AFA">
        <w:rPr>
          <w:szCs w:val="24"/>
        </w:rPr>
        <w:t xml:space="preserve"> (DOT)</w:t>
      </w:r>
      <w:r w:rsidRPr="000A2EA6">
        <w:rPr>
          <w:szCs w:val="24"/>
        </w:rPr>
        <w:t xml:space="preserve"> to issue within 180 days such rules as may be necessary to require that the rear car of passenger, commuter</w:t>
      </w:r>
      <w:r w:rsidR="00427C51">
        <w:rPr>
          <w:szCs w:val="24"/>
        </w:rPr>
        <w:t>,</w:t>
      </w:r>
      <w:r w:rsidRPr="000A2EA6">
        <w:rPr>
          <w:szCs w:val="24"/>
        </w:rPr>
        <w:t xml:space="preserve"> and freight trains </w:t>
      </w:r>
      <w:r w:rsidR="00A54B68">
        <w:rPr>
          <w:szCs w:val="24"/>
        </w:rPr>
        <w:t>be</w:t>
      </w:r>
      <w:r w:rsidRPr="000A2EA6" w:rsidR="00A54B68">
        <w:rPr>
          <w:szCs w:val="24"/>
        </w:rPr>
        <w:t xml:space="preserve"> </w:t>
      </w:r>
      <w:r w:rsidRPr="000A2EA6">
        <w:rPr>
          <w:szCs w:val="24"/>
        </w:rPr>
        <w:t xml:space="preserve">equipped with highly visible markers. (49 U.S.C. </w:t>
      </w:r>
      <w:r w:rsidR="00E32995">
        <w:rPr>
          <w:szCs w:val="24"/>
        </w:rPr>
        <w:t xml:space="preserve">§ </w:t>
      </w:r>
      <w:r w:rsidRPr="000A2EA6">
        <w:rPr>
          <w:szCs w:val="24"/>
        </w:rPr>
        <w:t>20132).</w:t>
      </w:r>
    </w:p>
    <w:p w:rsidR="00B5750F" w:rsidP="00B10C31" w14:paraId="5A2CC166" w14:textId="77777777">
      <w:pPr>
        <w:widowControl w:val="0"/>
        <w:ind w:left="720"/>
        <w:rPr>
          <w:szCs w:val="24"/>
        </w:rPr>
      </w:pPr>
    </w:p>
    <w:p w:rsidR="00FB79AA" w:rsidRPr="000A2EA6" w:rsidP="00B10C31" w14:paraId="26329C07" w14:textId="02374CE0">
      <w:pPr>
        <w:widowControl w:val="0"/>
        <w:ind w:left="720"/>
      </w:pPr>
      <w:r>
        <w:t xml:space="preserve">On January 11, 1977, FRA issued </w:t>
      </w:r>
      <w:r w:rsidR="00427C51">
        <w:t xml:space="preserve">Title 49 Code of Federal Regulations (CFR) </w:t>
      </w:r>
      <w:r w:rsidR="009B0607">
        <w:t>p</w:t>
      </w:r>
      <w:r>
        <w:t>art 221</w:t>
      </w:r>
      <w:r w:rsidR="00427C51">
        <w:t>,</w:t>
      </w:r>
      <w:r>
        <w:t xml:space="preserve"> </w:t>
      </w:r>
      <w:r w:rsidRPr="3B20DB71">
        <w:rPr>
          <w:i/>
        </w:rPr>
        <w:t>Rear End Marking Device - Passenger, Commuter and Freight Trains</w:t>
      </w:r>
      <w:r>
        <w:t xml:space="preserve">. Through the requirements of this part, FRA ensures that marking devices </w:t>
      </w:r>
      <w:r w:rsidR="003C66C8">
        <w:t xml:space="preserve">used for any locomotive operating singly or </w:t>
      </w:r>
      <w:r>
        <w:t xml:space="preserve">for </w:t>
      </w:r>
      <w:r w:rsidR="003C66C8">
        <w:t>cars or locomotives operating at</w:t>
      </w:r>
      <w:r>
        <w:t xml:space="preserve"> the trailing end of </w:t>
      </w:r>
      <w:r w:rsidR="000708D3">
        <w:t>a train</w:t>
      </w:r>
      <w:r w:rsidR="009B0955">
        <w:t xml:space="preserve"> </w:t>
      </w:r>
      <w:r>
        <w:t xml:space="preserve">meet minimum requirements regarding visibility and display. The rule established the performance standards for </w:t>
      </w:r>
      <w:r w:rsidR="00874E64">
        <w:t>“</w:t>
      </w:r>
      <w:r>
        <w:t>highly visible</w:t>
      </w:r>
      <w:r w:rsidR="00874E64">
        <w:t>”</w:t>
      </w:r>
      <w:r>
        <w:t xml:space="preserve"> marking devices to be approved by </w:t>
      </w:r>
      <w:r w:rsidR="00BC03CF">
        <w:t>FRA</w:t>
      </w:r>
      <w:r w:rsidR="00665C81">
        <w:t>’s</w:t>
      </w:r>
      <w:r w:rsidR="00BC03CF">
        <w:t xml:space="preserve"> </w:t>
      </w:r>
      <w:r>
        <w:t>Administrator.</w:t>
      </w:r>
    </w:p>
    <w:p w:rsidR="00FB79AA" w:rsidP="00B10C31" w14:paraId="7E98924E" w14:textId="218C4F2E">
      <w:pPr>
        <w:widowControl w:val="0"/>
        <w:rPr>
          <w:szCs w:val="24"/>
        </w:rPr>
      </w:pPr>
    </w:p>
    <w:p w:rsidR="00FB79AA" w:rsidP="00B10C31" w14:paraId="3E31AB67" w14:textId="1D5B9FB8">
      <w:pPr>
        <w:widowControl w:val="0"/>
        <w:ind w:left="720"/>
      </w:pPr>
      <w:r>
        <w:t xml:space="preserve">On December 8, 1977, </w:t>
      </w:r>
      <w:r w:rsidR="009B0607">
        <w:t>a</w:t>
      </w:r>
      <w:r>
        <w:t>ppendix</w:t>
      </w:r>
      <w:r w:rsidR="001843FB">
        <w:t xml:space="preserve"> A</w:t>
      </w:r>
      <w:r>
        <w:t xml:space="preserve"> to </w:t>
      </w:r>
      <w:r w:rsidR="009B0607">
        <w:t>p</w:t>
      </w:r>
      <w:r>
        <w:t>art 221 was added</w:t>
      </w:r>
      <w:r w:rsidR="00610F85">
        <w:t>,</w:t>
      </w:r>
      <w:r>
        <w:t xml:space="preserve"> </w:t>
      </w:r>
      <w:r w:rsidR="00D019D3">
        <w:t>establishing</w:t>
      </w:r>
      <w:r>
        <w:t xml:space="preserve"> the procedures railroads </w:t>
      </w:r>
      <w:r w:rsidR="00D019D3">
        <w:t>must use</w:t>
      </w:r>
      <w:r>
        <w:t xml:space="preserve"> to </w:t>
      </w:r>
      <w:r w:rsidR="001A7AA6">
        <w:t>get</w:t>
      </w:r>
      <w:r>
        <w:t xml:space="preserve"> marking devices </w:t>
      </w:r>
      <w:r w:rsidR="001A7AA6">
        <w:t>approved</w:t>
      </w:r>
      <w:r>
        <w:t>.</w:t>
      </w:r>
    </w:p>
    <w:p w:rsidR="00AF27B4" w:rsidP="00B10C31" w14:paraId="5A60C657" w14:textId="77777777">
      <w:pPr>
        <w:widowControl w:val="0"/>
        <w:ind w:left="720"/>
        <w:rPr>
          <w:szCs w:val="24"/>
        </w:rPr>
      </w:pPr>
    </w:p>
    <w:p w:rsidR="00FD134E" w:rsidRPr="00FE1030" w:rsidP="00FD134E" w14:paraId="2EE49650" w14:textId="005B178D">
      <w:pPr>
        <w:widowControl w:val="0"/>
        <w:ind w:left="720" w:hanging="720"/>
        <w:rPr>
          <w:szCs w:val="24"/>
        </w:rPr>
      </w:pPr>
      <w:r>
        <w:rPr>
          <w:b/>
          <w:szCs w:val="24"/>
        </w:rPr>
        <w:t>2</w:t>
      </w:r>
      <w:r w:rsidRPr="000A2EA6">
        <w:rPr>
          <w:b/>
          <w:szCs w:val="24"/>
        </w:rPr>
        <w:t>.</w:t>
      </w:r>
      <w:r w:rsidRPr="000A2EA6">
        <w:rPr>
          <w:b/>
          <w:szCs w:val="24"/>
        </w:rPr>
        <w:tab/>
      </w:r>
      <w:r w:rsidRPr="00FD134E">
        <w:rPr>
          <w:b/>
          <w:szCs w:val="24"/>
          <w:u w:val="single"/>
        </w:rPr>
        <w:t>How, by whom, and for what purpose the information is to be used</w:t>
      </w:r>
      <w:r w:rsidRPr="00FE1030">
        <w:rPr>
          <w:szCs w:val="24"/>
        </w:rPr>
        <w:t>.</w:t>
      </w:r>
    </w:p>
    <w:p w:rsidR="00AF27B4" w:rsidP="00B10C31" w14:paraId="6DD98EA7" w14:textId="77777777">
      <w:pPr>
        <w:widowControl w:val="0"/>
        <w:ind w:left="720"/>
        <w:rPr>
          <w:szCs w:val="24"/>
        </w:rPr>
      </w:pPr>
    </w:p>
    <w:p w:rsidR="009335BA" w:rsidRPr="009335BA" w:rsidP="009335BA" w14:paraId="2B44DF20" w14:textId="04CEA523">
      <w:pPr>
        <w:ind w:left="720"/>
        <w:rPr>
          <w:szCs w:val="24"/>
        </w:rPr>
      </w:pPr>
      <w:r w:rsidRPr="00627D12">
        <w:rPr>
          <w:szCs w:val="24"/>
        </w:rPr>
        <w:t xml:space="preserve">Railroads must provide FRA with detailed </w:t>
      </w:r>
      <w:r w:rsidRPr="009335BA">
        <w:rPr>
          <w:szCs w:val="24"/>
        </w:rPr>
        <w:t>descriptions</w:t>
      </w:r>
      <w:r w:rsidRPr="00627D12">
        <w:rPr>
          <w:szCs w:val="24"/>
        </w:rPr>
        <w:t xml:space="preserve"> of marking devices used </w:t>
      </w:r>
      <w:r w:rsidRPr="009335BA">
        <w:rPr>
          <w:szCs w:val="24"/>
        </w:rPr>
        <w:t>on single</w:t>
      </w:r>
      <w:r w:rsidRPr="00627D12">
        <w:rPr>
          <w:szCs w:val="24"/>
        </w:rPr>
        <w:t xml:space="preserve"> locomotives </w:t>
      </w:r>
      <w:r w:rsidRPr="009335BA">
        <w:rPr>
          <w:szCs w:val="24"/>
        </w:rPr>
        <w:t xml:space="preserve">or </w:t>
      </w:r>
      <w:r w:rsidRPr="00627D12">
        <w:rPr>
          <w:szCs w:val="24"/>
        </w:rPr>
        <w:t xml:space="preserve">at the </w:t>
      </w:r>
      <w:r w:rsidRPr="009335BA">
        <w:rPr>
          <w:szCs w:val="24"/>
        </w:rPr>
        <w:t>trailing end</w:t>
      </w:r>
      <w:r w:rsidRPr="00627D12">
        <w:rPr>
          <w:szCs w:val="24"/>
        </w:rPr>
        <w:t xml:space="preserve"> of a train to ensure they meet visibility </w:t>
      </w:r>
      <w:r w:rsidRPr="009335BA">
        <w:rPr>
          <w:szCs w:val="24"/>
        </w:rPr>
        <w:t xml:space="preserve">standards. Per </w:t>
      </w:r>
      <w:r w:rsidR="009B0607">
        <w:rPr>
          <w:szCs w:val="24"/>
        </w:rPr>
        <w:t>p</w:t>
      </w:r>
      <w:r w:rsidRPr="009335BA">
        <w:rPr>
          <w:szCs w:val="24"/>
        </w:rPr>
        <w:t>art</w:t>
      </w:r>
      <w:r w:rsidRPr="00627D12">
        <w:rPr>
          <w:szCs w:val="24"/>
        </w:rPr>
        <w:t xml:space="preserve"> 221</w:t>
      </w:r>
      <w:r w:rsidRPr="009335BA">
        <w:rPr>
          <w:szCs w:val="24"/>
        </w:rPr>
        <w:t>,</w:t>
      </w:r>
      <w:r w:rsidRPr="00627D12">
        <w:rPr>
          <w:szCs w:val="24"/>
        </w:rPr>
        <w:t xml:space="preserve"> railroads </w:t>
      </w:r>
      <w:r w:rsidRPr="009335BA">
        <w:rPr>
          <w:szCs w:val="24"/>
        </w:rPr>
        <w:t>must certify</w:t>
      </w:r>
      <w:r w:rsidRPr="00627D12">
        <w:rPr>
          <w:szCs w:val="24"/>
        </w:rPr>
        <w:t xml:space="preserve"> that </w:t>
      </w:r>
      <w:r w:rsidRPr="009335BA">
        <w:rPr>
          <w:szCs w:val="24"/>
        </w:rPr>
        <w:t>these devices were</w:t>
      </w:r>
      <w:r w:rsidRPr="00627D12">
        <w:rPr>
          <w:szCs w:val="24"/>
        </w:rPr>
        <w:t xml:space="preserve"> tested </w:t>
      </w:r>
      <w:r w:rsidRPr="009335BA">
        <w:rPr>
          <w:szCs w:val="24"/>
        </w:rPr>
        <w:t xml:space="preserve">according to the </w:t>
      </w:r>
      <w:r w:rsidR="00FC0F10">
        <w:rPr>
          <w:szCs w:val="24"/>
        </w:rPr>
        <w:t>“</w:t>
      </w:r>
      <w:r w:rsidRPr="00627D12">
        <w:rPr>
          <w:szCs w:val="24"/>
        </w:rPr>
        <w:t xml:space="preserve">Guidelines for Testing of </w:t>
      </w:r>
      <w:r w:rsidRPr="00627D12">
        <w:rPr>
          <w:szCs w:val="24"/>
        </w:rPr>
        <w:t>Rear End Marking Devices</w:t>
      </w:r>
      <w:r w:rsidRPr="009335BA">
        <w:rPr>
          <w:szCs w:val="24"/>
        </w:rPr>
        <w:t>.</w:t>
      </w:r>
      <w:r w:rsidR="00FC0F10">
        <w:rPr>
          <w:szCs w:val="24"/>
        </w:rPr>
        <w:t>”</w:t>
      </w:r>
      <w:r w:rsidRPr="009335BA">
        <w:rPr>
          <w:szCs w:val="24"/>
        </w:rPr>
        <w:t xml:space="preserve"> They must also submit comprehensive test records—including testing organizations, methods, sample sizes, and results—to prove compliance. </w:t>
      </w:r>
    </w:p>
    <w:p w:rsidR="003662CB" w:rsidP="00B10C31" w14:paraId="3F376E36" w14:textId="77777777">
      <w:pPr>
        <w:widowControl w:val="0"/>
        <w:rPr>
          <w:b/>
          <w:szCs w:val="24"/>
        </w:rPr>
      </w:pPr>
    </w:p>
    <w:p w:rsidR="00E27CF7" w:rsidRPr="00FE1030" w:rsidP="00B10C31" w14:paraId="3A2944F0" w14:textId="77777777">
      <w:pPr>
        <w:widowControl w:val="0"/>
        <w:ind w:left="720" w:hanging="720"/>
        <w:rPr>
          <w:szCs w:val="24"/>
        </w:rPr>
      </w:pPr>
      <w:r w:rsidRPr="000A2EA6">
        <w:rPr>
          <w:b/>
          <w:szCs w:val="24"/>
        </w:rPr>
        <w:t>3.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Extent of automated information collection</w:t>
      </w:r>
      <w:r w:rsidRPr="00FE1030">
        <w:rPr>
          <w:szCs w:val="24"/>
        </w:rPr>
        <w:t>.</w:t>
      </w:r>
    </w:p>
    <w:p w:rsidR="00FB79AA" w:rsidRPr="000A2EA6" w:rsidP="00B10C31" w14:paraId="5C46822E" w14:textId="77777777">
      <w:pPr>
        <w:widowControl w:val="0"/>
        <w:rPr>
          <w:b/>
          <w:szCs w:val="24"/>
        </w:rPr>
      </w:pPr>
    </w:p>
    <w:p w:rsidR="00FB79AA" w:rsidP="00AB3AAE" w14:paraId="17FCF422" w14:textId="4437DEBE">
      <w:pPr>
        <w:widowControl w:val="0"/>
        <w:ind w:left="720"/>
        <w:rPr>
          <w:szCs w:val="24"/>
        </w:rPr>
      </w:pPr>
      <w:r w:rsidRPr="005E3B94">
        <w:t xml:space="preserve">FRA strongly encourages the use of advanced information technology, wherever feasible, to reduce </w:t>
      </w:r>
      <w:r>
        <w:t xml:space="preserve">the </w:t>
      </w:r>
      <w:r w:rsidRPr="005E3B94">
        <w:t>burden on respondents.</w:t>
      </w:r>
      <w:r>
        <w:t xml:space="preserve"> </w:t>
      </w:r>
      <w:r w:rsidRPr="000A2EA6">
        <w:rPr>
          <w:szCs w:val="24"/>
        </w:rPr>
        <w:t>Railroads may keep detailed test records</w:t>
      </w:r>
      <w:r w:rsidR="00EB7555">
        <w:rPr>
          <w:szCs w:val="24"/>
        </w:rPr>
        <w:t xml:space="preserve"> electronically </w:t>
      </w:r>
      <w:r w:rsidRPr="000A2EA6">
        <w:rPr>
          <w:szCs w:val="24"/>
        </w:rPr>
        <w:t>if they are equipped to do so.</w:t>
      </w:r>
      <w:r w:rsidR="00BC59F4">
        <w:rPr>
          <w:szCs w:val="24"/>
        </w:rPr>
        <w:t xml:space="preserve">  </w:t>
      </w:r>
    </w:p>
    <w:p w:rsidR="003662CB" w:rsidRPr="00BC59F4" w:rsidP="00BC59F4" w14:paraId="40E7AD6A" w14:textId="77777777">
      <w:pPr>
        <w:widowControl w:val="0"/>
        <w:ind w:left="720"/>
        <w:rPr>
          <w:szCs w:val="24"/>
        </w:rPr>
      </w:pPr>
    </w:p>
    <w:p w:rsidR="00C84591" w:rsidRPr="000A2EA6" w:rsidP="00B10C31" w14:paraId="36EC6508" w14:textId="77777777">
      <w:pPr>
        <w:widowControl w:val="0"/>
        <w:rPr>
          <w:szCs w:val="24"/>
        </w:rPr>
      </w:pPr>
      <w:r w:rsidRPr="000A2EA6">
        <w:rPr>
          <w:b/>
          <w:szCs w:val="24"/>
        </w:rPr>
        <w:t>4.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Efforts to identify duplication</w:t>
      </w:r>
      <w:r w:rsidRPr="00FE1030">
        <w:rPr>
          <w:szCs w:val="24"/>
        </w:rPr>
        <w:t>.</w:t>
      </w:r>
    </w:p>
    <w:p w:rsidR="00FB79AA" w:rsidRPr="000A2EA6" w:rsidP="00B10C31" w14:paraId="25ECC265" w14:textId="77777777">
      <w:pPr>
        <w:widowControl w:val="0"/>
        <w:rPr>
          <w:b/>
          <w:szCs w:val="24"/>
        </w:rPr>
      </w:pPr>
    </w:p>
    <w:p w:rsidR="00FB79AA" w:rsidRPr="000A2EA6" w:rsidP="00B10C31" w14:paraId="06EA520B" w14:textId="2E68EFF3">
      <w:pPr>
        <w:widowControl w:val="0"/>
        <w:ind w:left="720"/>
        <w:rPr>
          <w:b/>
          <w:szCs w:val="24"/>
        </w:rPr>
      </w:pPr>
      <w:r>
        <w:rPr>
          <w:szCs w:val="24"/>
        </w:rPr>
        <w:t>To our knowledge, t</w:t>
      </w:r>
      <w:r w:rsidRPr="000A2EA6">
        <w:rPr>
          <w:szCs w:val="24"/>
        </w:rPr>
        <w:t xml:space="preserve">he information collection requirements are not duplicated </w:t>
      </w:r>
      <w:r w:rsidR="0086720C">
        <w:rPr>
          <w:szCs w:val="24"/>
        </w:rPr>
        <w:t>else</w:t>
      </w:r>
      <w:r w:rsidRPr="000A2EA6">
        <w:rPr>
          <w:szCs w:val="24"/>
        </w:rPr>
        <w:t>where.</w:t>
      </w:r>
      <w:r w:rsidR="00DC480A">
        <w:rPr>
          <w:b/>
          <w:szCs w:val="24"/>
        </w:rPr>
        <w:t xml:space="preserve"> </w:t>
      </w:r>
      <w:r w:rsidRPr="000A2EA6">
        <w:rPr>
          <w:szCs w:val="24"/>
        </w:rPr>
        <w:t xml:space="preserve">Similar data </w:t>
      </w:r>
      <w:r w:rsidRPr="000A2EA6">
        <w:rPr>
          <w:szCs w:val="24"/>
        </w:rPr>
        <w:t>are</w:t>
      </w:r>
      <w:r w:rsidRPr="000A2EA6">
        <w:rPr>
          <w:szCs w:val="24"/>
        </w:rPr>
        <w:t xml:space="preserve"> not available from any other source.</w:t>
      </w:r>
    </w:p>
    <w:p w:rsidR="00FB79AA" w:rsidRPr="000A2EA6" w:rsidP="00B10C31" w14:paraId="665A300F" w14:textId="77777777">
      <w:pPr>
        <w:widowControl w:val="0"/>
        <w:rPr>
          <w:b/>
          <w:szCs w:val="24"/>
        </w:rPr>
      </w:pPr>
    </w:p>
    <w:p w:rsidR="00437FF0" w:rsidRPr="000A2EA6" w:rsidP="00B10C31" w14:paraId="2CF294E7" w14:textId="77777777">
      <w:pPr>
        <w:widowControl w:val="0"/>
        <w:rPr>
          <w:szCs w:val="24"/>
        </w:rPr>
      </w:pPr>
      <w:r w:rsidRPr="000A2EA6">
        <w:rPr>
          <w:b/>
          <w:szCs w:val="24"/>
        </w:rPr>
        <w:t>5.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Efforts to minimize the burden on small businesses</w:t>
      </w:r>
      <w:r w:rsidRPr="00FE1030">
        <w:rPr>
          <w:szCs w:val="24"/>
        </w:rPr>
        <w:t>.</w:t>
      </w:r>
    </w:p>
    <w:p w:rsidR="00FB79AA" w:rsidRPr="000A2EA6" w:rsidP="00B10C31" w14:paraId="71473982" w14:textId="77777777">
      <w:pPr>
        <w:widowControl w:val="0"/>
        <w:rPr>
          <w:b/>
          <w:szCs w:val="24"/>
        </w:rPr>
      </w:pPr>
    </w:p>
    <w:p w:rsidR="00FB79AA" w:rsidRPr="000A2EA6" w:rsidP="00B10C31" w14:paraId="54761707" w14:textId="06F9973E">
      <w:pPr>
        <w:widowControl w:val="0"/>
        <w:ind w:left="720"/>
        <w:rPr>
          <w:szCs w:val="24"/>
        </w:rPr>
      </w:pPr>
      <w:r>
        <w:rPr>
          <w:szCs w:val="24"/>
        </w:rPr>
        <w:t>Many</w:t>
      </w:r>
      <w:r w:rsidRPr="000A2EA6">
        <w:rPr>
          <w:szCs w:val="24"/>
        </w:rPr>
        <w:t xml:space="preserve"> small railroads are specifically exempt from this regulation</w:t>
      </w:r>
      <w:r w:rsidR="007F3B4E">
        <w:rPr>
          <w:szCs w:val="24"/>
        </w:rPr>
        <w:t xml:space="preserve"> because</w:t>
      </w:r>
      <w:r w:rsidR="006833D2">
        <w:rPr>
          <w:szCs w:val="24"/>
        </w:rPr>
        <w:t>, for example,</w:t>
      </w:r>
      <w:r w:rsidR="007F3B4E">
        <w:rPr>
          <w:szCs w:val="24"/>
        </w:rPr>
        <w:t xml:space="preserve"> they operate only one train at any given time</w:t>
      </w:r>
      <w:r w:rsidR="006833D2">
        <w:rPr>
          <w:szCs w:val="24"/>
        </w:rPr>
        <w:t xml:space="preserve">. </w:t>
      </w:r>
      <w:r w:rsidRPr="003053FF" w:rsidR="006833D2">
        <w:rPr>
          <w:i/>
          <w:szCs w:val="24"/>
        </w:rPr>
        <w:t>See</w:t>
      </w:r>
      <w:r w:rsidR="006833D2">
        <w:rPr>
          <w:szCs w:val="24"/>
        </w:rPr>
        <w:t xml:space="preserve"> </w:t>
      </w:r>
      <w:r w:rsidR="007F3B4E">
        <w:rPr>
          <w:szCs w:val="24"/>
        </w:rPr>
        <w:t xml:space="preserve">49 CFR </w:t>
      </w:r>
      <w:r w:rsidR="00E94C0F">
        <w:rPr>
          <w:szCs w:val="24"/>
        </w:rPr>
        <w:t xml:space="preserve">§ </w:t>
      </w:r>
      <w:r w:rsidR="007F3B4E">
        <w:rPr>
          <w:szCs w:val="24"/>
        </w:rPr>
        <w:t xml:space="preserve">221.3. </w:t>
      </w:r>
      <w:r w:rsidRPr="000A2EA6">
        <w:rPr>
          <w:szCs w:val="24"/>
        </w:rPr>
        <w:t>Those that are not exempt can u</w:t>
      </w:r>
      <w:r w:rsidR="00E94C0F">
        <w:rPr>
          <w:szCs w:val="24"/>
        </w:rPr>
        <w:t>se</w:t>
      </w:r>
      <w:r w:rsidRPr="000A2EA6">
        <w:rPr>
          <w:szCs w:val="24"/>
        </w:rPr>
        <w:t xml:space="preserve"> a shortened approval procedure</w:t>
      </w:r>
      <w:r w:rsidR="00A25F9A">
        <w:rPr>
          <w:szCs w:val="24"/>
        </w:rPr>
        <w:t xml:space="preserve"> available to all </w:t>
      </w:r>
      <w:r w:rsidR="00EB0656">
        <w:rPr>
          <w:szCs w:val="24"/>
        </w:rPr>
        <w:t>railroads covered by the regulation</w:t>
      </w:r>
      <w:r w:rsidRPr="000A2EA6">
        <w:rPr>
          <w:szCs w:val="24"/>
        </w:rPr>
        <w:t xml:space="preserve">. Under this </w:t>
      </w:r>
      <w:r w:rsidR="00BA5586">
        <w:rPr>
          <w:szCs w:val="24"/>
        </w:rPr>
        <w:t xml:space="preserve">shortened approval </w:t>
      </w:r>
      <w:r w:rsidRPr="000A2EA6">
        <w:rPr>
          <w:szCs w:val="24"/>
        </w:rPr>
        <w:t xml:space="preserve">procedure, they </w:t>
      </w:r>
      <w:r w:rsidR="00592C05">
        <w:rPr>
          <w:szCs w:val="24"/>
        </w:rPr>
        <w:t>can</w:t>
      </w:r>
      <w:r w:rsidRPr="000A2EA6">
        <w:rPr>
          <w:szCs w:val="24"/>
        </w:rPr>
        <w:t xml:space="preserve"> </w:t>
      </w:r>
      <w:r w:rsidR="0086165A">
        <w:rPr>
          <w:szCs w:val="24"/>
        </w:rPr>
        <w:t xml:space="preserve">certify that they </w:t>
      </w:r>
      <w:r w:rsidR="00A773F3">
        <w:rPr>
          <w:szCs w:val="24"/>
        </w:rPr>
        <w:t>have installed</w:t>
      </w:r>
      <w:r w:rsidRPr="000A2EA6" w:rsidR="0086165A">
        <w:rPr>
          <w:szCs w:val="24"/>
        </w:rPr>
        <w:t xml:space="preserve"> </w:t>
      </w:r>
      <w:r w:rsidRPr="000A2EA6">
        <w:rPr>
          <w:szCs w:val="24"/>
        </w:rPr>
        <w:t xml:space="preserve">a marking device </w:t>
      </w:r>
      <w:r w:rsidR="00FF3FB0">
        <w:rPr>
          <w:szCs w:val="24"/>
        </w:rPr>
        <w:t>that</w:t>
      </w:r>
      <w:r w:rsidRPr="000A2EA6" w:rsidR="00FF3FB0">
        <w:rPr>
          <w:szCs w:val="24"/>
        </w:rPr>
        <w:t xml:space="preserve"> </w:t>
      </w:r>
      <w:r w:rsidRPr="000A2EA6">
        <w:rPr>
          <w:szCs w:val="24"/>
        </w:rPr>
        <w:t xml:space="preserve">has already been approved for use </w:t>
      </w:r>
      <w:r w:rsidR="003D78A9">
        <w:rPr>
          <w:szCs w:val="24"/>
        </w:rPr>
        <w:t>under the regulation</w:t>
      </w:r>
      <w:r w:rsidR="00BA5586">
        <w:rPr>
          <w:szCs w:val="24"/>
        </w:rPr>
        <w:t>,</w:t>
      </w:r>
      <w:r w:rsidR="00B54F5B">
        <w:rPr>
          <w:szCs w:val="24"/>
        </w:rPr>
        <w:t xml:space="preserve"> </w:t>
      </w:r>
      <w:r w:rsidR="00BA5586">
        <w:rPr>
          <w:szCs w:val="24"/>
        </w:rPr>
        <w:t xml:space="preserve">eliminating </w:t>
      </w:r>
      <w:r w:rsidR="00B54F5B">
        <w:rPr>
          <w:szCs w:val="24"/>
        </w:rPr>
        <w:t>additional expenses related to testing.</w:t>
      </w:r>
      <w:r w:rsidRPr="000A2EA6">
        <w:rPr>
          <w:szCs w:val="24"/>
        </w:rPr>
        <w:t xml:space="preserve"> </w:t>
      </w:r>
    </w:p>
    <w:p w:rsidR="00A97BEA" w:rsidRPr="000A2EA6" w:rsidP="00B10C31" w14:paraId="515E4979" w14:textId="77777777">
      <w:pPr>
        <w:widowControl w:val="0"/>
        <w:ind w:left="720"/>
        <w:rPr>
          <w:szCs w:val="24"/>
        </w:rPr>
      </w:pPr>
    </w:p>
    <w:p w:rsidR="00D84F9C" w:rsidRPr="000A2EA6" w:rsidP="00B10C31" w14:paraId="2935904F" w14:textId="77777777">
      <w:pPr>
        <w:widowControl w:val="0"/>
        <w:ind w:left="720" w:hanging="720"/>
        <w:rPr>
          <w:b/>
          <w:szCs w:val="24"/>
        </w:rPr>
      </w:pPr>
      <w:r w:rsidRPr="000A2EA6">
        <w:rPr>
          <w:b/>
          <w:szCs w:val="24"/>
        </w:rPr>
        <w:t>6.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Impact of less frequent collection of information</w:t>
      </w:r>
      <w:r w:rsidRPr="00FE1030">
        <w:rPr>
          <w:szCs w:val="24"/>
        </w:rPr>
        <w:t>.</w:t>
      </w:r>
    </w:p>
    <w:p w:rsidR="00FB79AA" w:rsidRPr="000A2EA6" w:rsidP="00B10C31" w14:paraId="06EDE904" w14:textId="77777777">
      <w:pPr>
        <w:widowControl w:val="0"/>
        <w:rPr>
          <w:szCs w:val="24"/>
        </w:rPr>
      </w:pPr>
    </w:p>
    <w:p w:rsidR="00FB4888" w:rsidRPr="000A2EA6" w:rsidP="00B10C31" w14:paraId="7010E869" w14:textId="79E84EF1">
      <w:pPr>
        <w:widowControl w:val="0"/>
        <w:ind w:left="720"/>
        <w:rPr>
          <w:szCs w:val="24"/>
        </w:rPr>
      </w:pPr>
      <w:r w:rsidRPr="000A2EA6">
        <w:rPr>
          <w:szCs w:val="24"/>
        </w:rPr>
        <w:t xml:space="preserve">If this information </w:t>
      </w:r>
      <w:r w:rsidRPr="000A2EA6" w:rsidR="00FF3FB0">
        <w:rPr>
          <w:szCs w:val="24"/>
        </w:rPr>
        <w:t>w</w:t>
      </w:r>
      <w:r w:rsidR="00FF3FB0">
        <w:rPr>
          <w:szCs w:val="24"/>
        </w:rPr>
        <w:t>as</w:t>
      </w:r>
      <w:r w:rsidRPr="000A2EA6" w:rsidR="00FF3FB0">
        <w:rPr>
          <w:szCs w:val="24"/>
        </w:rPr>
        <w:t xml:space="preserve"> </w:t>
      </w:r>
      <w:r w:rsidRPr="000A2EA6">
        <w:rPr>
          <w:szCs w:val="24"/>
        </w:rPr>
        <w:t>not collected or collected less frequently, railroad safety in the U</w:t>
      </w:r>
      <w:r w:rsidR="002B26C5">
        <w:rPr>
          <w:szCs w:val="24"/>
        </w:rPr>
        <w:t>.</w:t>
      </w:r>
      <w:r w:rsidRPr="000A2EA6">
        <w:rPr>
          <w:szCs w:val="24"/>
        </w:rPr>
        <w:t>S</w:t>
      </w:r>
      <w:r w:rsidR="002B26C5">
        <w:rPr>
          <w:szCs w:val="24"/>
        </w:rPr>
        <w:t>.</w:t>
      </w:r>
      <w:r w:rsidRPr="000A2EA6">
        <w:rPr>
          <w:szCs w:val="24"/>
        </w:rPr>
        <w:t xml:space="preserve"> would be hindered. Specifically, if rear-end marking devices were not</w:t>
      </w:r>
      <w:r w:rsidRPr="000A2EA6" w:rsidR="005E4208">
        <w:rPr>
          <w:szCs w:val="24"/>
        </w:rPr>
        <w:t xml:space="preserve"> </w:t>
      </w:r>
      <w:r w:rsidRPr="000A2EA6">
        <w:rPr>
          <w:szCs w:val="24"/>
        </w:rPr>
        <w:t xml:space="preserve">approved by FRA before being used by railroads, they might not meet Federal standards for visibility. This could result in rear-end passenger, commuter, and freight cars not being visible to other trains. Such a lack of visibility could, in turn, result in </w:t>
      </w:r>
      <w:r w:rsidR="00FF3FB0">
        <w:rPr>
          <w:szCs w:val="24"/>
        </w:rPr>
        <w:t xml:space="preserve">an </w:t>
      </w:r>
      <w:r w:rsidRPr="000A2EA6">
        <w:rPr>
          <w:szCs w:val="24"/>
        </w:rPr>
        <w:t xml:space="preserve">increased number of accidents/incidents </w:t>
      </w:r>
      <w:r w:rsidR="00FF3FB0">
        <w:rPr>
          <w:szCs w:val="24"/>
        </w:rPr>
        <w:t>in which</w:t>
      </w:r>
      <w:r w:rsidRPr="000A2EA6" w:rsidR="00FF3FB0">
        <w:rPr>
          <w:szCs w:val="24"/>
        </w:rPr>
        <w:t xml:space="preserve"> </w:t>
      </w:r>
      <w:r w:rsidRPr="000A2EA6">
        <w:rPr>
          <w:szCs w:val="24"/>
        </w:rPr>
        <w:t>train crews</w:t>
      </w:r>
      <w:r w:rsidR="00F4370B">
        <w:rPr>
          <w:szCs w:val="24"/>
        </w:rPr>
        <w:t xml:space="preserve"> and</w:t>
      </w:r>
      <w:r w:rsidRPr="000A2EA6">
        <w:rPr>
          <w:szCs w:val="24"/>
        </w:rPr>
        <w:t xml:space="preserve"> the traveling public are injured </w:t>
      </w:r>
      <w:r w:rsidR="00FF3FB0">
        <w:rPr>
          <w:szCs w:val="24"/>
        </w:rPr>
        <w:t>or</w:t>
      </w:r>
      <w:r w:rsidRPr="000A2EA6">
        <w:rPr>
          <w:szCs w:val="24"/>
        </w:rPr>
        <w:t xml:space="preserve"> possibly killed. </w:t>
      </w:r>
    </w:p>
    <w:p w:rsidR="00FB79AA" w:rsidRPr="000A2EA6" w:rsidP="00B10C31" w14:paraId="53B0F98E" w14:textId="77777777">
      <w:pPr>
        <w:widowControl w:val="0"/>
        <w:rPr>
          <w:szCs w:val="24"/>
        </w:rPr>
      </w:pPr>
    </w:p>
    <w:p w:rsidR="00FB79AA" w:rsidP="00B10C31" w14:paraId="2FD4FB5F" w14:textId="602966CA">
      <w:pPr>
        <w:widowControl w:val="0"/>
        <w:ind w:left="720"/>
        <w:rPr>
          <w:szCs w:val="24"/>
        </w:rPr>
      </w:pPr>
      <w:r>
        <w:rPr>
          <w:szCs w:val="24"/>
        </w:rPr>
        <w:t>Submission</w:t>
      </w:r>
      <w:r w:rsidRPr="000A2EA6">
        <w:rPr>
          <w:szCs w:val="24"/>
        </w:rPr>
        <w:t xml:space="preserve"> frequency is</w:t>
      </w:r>
      <w:r w:rsidR="002E38B1">
        <w:rPr>
          <w:szCs w:val="24"/>
        </w:rPr>
        <w:t xml:space="preserve"> </w:t>
      </w:r>
      <w:r w:rsidRPr="000A2EA6">
        <w:rPr>
          <w:szCs w:val="24"/>
        </w:rPr>
        <w:t xml:space="preserve">minimal </w:t>
      </w:r>
      <w:r w:rsidR="002E38B1">
        <w:rPr>
          <w:szCs w:val="24"/>
        </w:rPr>
        <w:t>because</w:t>
      </w:r>
      <w:r>
        <w:rPr>
          <w:szCs w:val="24"/>
        </w:rPr>
        <w:t xml:space="preserve"> </w:t>
      </w:r>
      <w:r w:rsidRPr="000A2EA6">
        <w:rPr>
          <w:szCs w:val="24"/>
        </w:rPr>
        <w:t>railroad</w:t>
      </w:r>
      <w:r w:rsidR="002E38B1">
        <w:rPr>
          <w:szCs w:val="24"/>
        </w:rPr>
        <w:t>s</w:t>
      </w:r>
      <w:r w:rsidRPr="000A2EA6">
        <w:rPr>
          <w:szCs w:val="24"/>
        </w:rPr>
        <w:t xml:space="preserve"> submit the required data </w:t>
      </w:r>
      <w:r w:rsidR="00BA54DA">
        <w:rPr>
          <w:szCs w:val="24"/>
        </w:rPr>
        <w:t xml:space="preserve">to FRA </w:t>
      </w:r>
      <w:r w:rsidR="00FE1030">
        <w:rPr>
          <w:szCs w:val="24"/>
        </w:rPr>
        <w:t>on</w:t>
      </w:r>
      <w:r w:rsidR="00BA54DA">
        <w:rPr>
          <w:szCs w:val="24"/>
        </w:rPr>
        <w:t>e time</w:t>
      </w:r>
      <w:r w:rsidRPr="000A2EA6">
        <w:rPr>
          <w:szCs w:val="24"/>
        </w:rPr>
        <w:t xml:space="preserve">. </w:t>
      </w:r>
      <w:r w:rsidR="00BA54DA">
        <w:rPr>
          <w:szCs w:val="24"/>
        </w:rPr>
        <w:t>However, i</w:t>
      </w:r>
      <w:r w:rsidRPr="000A2EA6">
        <w:rPr>
          <w:szCs w:val="24"/>
        </w:rPr>
        <w:t xml:space="preserve">f </w:t>
      </w:r>
      <w:r w:rsidR="00BA54DA">
        <w:rPr>
          <w:szCs w:val="24"/>
        </w:rPr>
        <w:t>a</w:t>
      </w:r>
      <w:r w:rsidRPr="000A2EA6">
        <w:rPr>
          <w:szCs w:val="24"/>
        </w:rPr>
        <w:t xml:space="preserve"> railroad changes manufacturers or design</w:t>
      </w:r>
      <w:r w:rsidR="0001388A">
        <w:rPr>
          <w:szCs w:val="24"/>
        </w:rPr>
        <w:t xml:space="preserve"> of the marking device or its components</w:t>
      </w:r>
      <w:r w:rsidRPr="000A2EA6">
        <w:rPr>
          <w:szCs w:val="24"/>
        </w:rPr>
        <w:t>, the</w:t>
      </w:r>
      <w:r>
        <w:rPr>
          <w:szCs w:val="24"/>
        </w:rPr>
        <w:t>n</w:t>
      </w:r>
      <w:r w:rsidRPr="000A2EA6">
        <w:rPr>
          <w:szCs w:val="24"/>
        </w:rPr>
        <w:t xml:space="preserve"> new information </w:t>
      </w:r>
      <w:r w:rsidR="00FF3FB0">
        <w:rPr>
          <w:szCs w:val="24"/>
        </w:rPr>
        <w:t>must</w:t>
      </w:r>
      <w:r w:rsidRPr="000A2EA6">
        <w:rPr>
          <w:szCs w:val="24"/>
        </w:rPr>
        <w:t xml:space="preserve"> be submitted to FRA.</w:t>
      </w:r>
    </w:p>
    <w:p w:rsidR="000C6A00" w:rsidP="00B10C31" w14:paraId="18BC2609" w14:textId="77777777">
      <w:pPr>
        <w:widowControl w:val="0"/>
        <w:ind w:left="720"/>
        <w:rPr>
          <w:b/>
          <w:szCs w:val="24"/>
        </w:rPr>
      </w:pPr>
    </w:p>
    <w:p w:rsidR="00D50CFE" w:rsidRPr="000A2EA6" w:rsidP="00B10C31" w14:paraId="050BD56E" w14:textId="6D947762">
      <w:pPr>
        <w:widowControl w:val="0"/>
        <w:rPr>
          <w:b/>
          <w:szCs w:val="24"/>
        </w:rPr>
      </w:pPr>
      <w:r w:rsidRPr="000A2EA6">
        <w:rPr>
          <w:b/>
          <w:szCs w:val="24"/>
        </w:rPr>
        <w:t>7.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Special circumstances</w:t>
      </w:r>
      <w:r w:rsidRPr="00FE1030">
        <w:rPr>
          <w:szCs w:val="24"/>
        </w:rPr>
        <w:t>.</w:t>
      </w:r>
    </w:p>
    <w:p w:rsidR="00AF27B4" w:rsidP="00F50C24" w14:paraId="2055C11F" w14:textId="77777777">
      <w:pPr>
        <w:widowControl w:val="0"/>
        <w:ind w:firstLine="720"/>
        <w:rPr>
          <w:szCs w:val="24"/>
        </w:rPr>
      </w:pPr>
    </w:p>
    <w:p w:rsidR="008E0457" w:rsidP="00F50C24" w14:paraId="24DE6213" w14:textId="77777777">
      <w:pPr>
        <w:widowControl w:val="0"/>
        <w:ind w:firstLine="720"/>
        <w:rPr>
          <w:szCs w:val="24"/>
        </w:rPr>
      </w:pPr>
      <w:r w:rsidRPr="005872C4">
        <w:rPr>
          <w:szCs w:val="24"/>
        </w:rPr>
        <w:t xml:space="preserve">There are no special circumstances </w:t>
      </w:r>
      <w:r w:rsidR="00C20B9E">
        <w:rPr>
          <w:szCs w:val="24"/>
        </w:rPr>
        <w:t xml:space="preserve">associated with this information collection request. </w:t>
      </w:r>
    </w:p>
    <w:p w:rsidR="00FB79AA" w:rsidRPr="000A2EA6" w:rsidP="00F50C24" w14:paraId="566F2D78" w14:textId="015E9748">
      <w:pPr>
        <w:widowControl w:val="0"/>
        <w:ind w:firstLine="720"/>
        <w:rPr>
          <w:b/>
          <w:szCs w:val="24"/>
        </w:rPr>
      </w:pPr>
      <w:r w:rsidRPr="005872C4">
        <w:rPr>
          <w:szCs w:val="24"/>
        </w:rPr>
        <w:t xml:space="preserve"> </w:t>
      </w:r>
    </w:p>
    <w:p w:rsidR="007C6139" w:rsidP="00B10C31" w14:paraId="4C702A71" w14:textId="77777777">
      <w:pPr>
        <w:widowControl w:val="0"/>
        <w:ind w:left="720" w:hanging="720"/>
        <w:rPr>
          <w:b/>
          <w:szCs w:val="24"/>
        </w:rPr>
        <w:sectPr w:rsidSect="00B10A3D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440" w:right="1080" w:bottom="1440" w:left="1080" w:header="1440" w:footer="615" w:gutter="0"/>
          <w:cols w:space="720"/>
          <w:titlePg/>
          <w:docGrid w:linePitch="326"/>
        </w:sectPr>
      </w:pPr>
    </w:p>
    <w:p w:rsidR="006C6B5D" w:rsidP="00B10C31" w14:paraId="023049F0" w14:textId="22206AE3">
      <w:pPr>
        <w:widowControl w:val="0"/>
        <w:ind w:left="720" w:hanging="720"/>
        <w:rPr>
          <w:szCs w:val="24"/>
        </w:rPr>
      </w:pPr>
      <w:r w:rsidRPr="000A2EA6">
        <w:rPr>
          <w:b/>
          <w:szCs w:val="24"/>
        </w:rPr>
        <w:t>8.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Compliance with</w:t>
      </w:r>
      <w:r w:rsidR="00FF3FB0">
        <w:rPr>
          <w:b/>
          <w:szCs w:val="24"/>
          <w:u w:val="single"/>
        </w:rPr>
        <w:t xml:space="preserve"> </w:t>
      </w:r>
      <w:r w:rsidRPr="000A2EA6">
        <w:rPr>
          <w:b/>
          <w:szCs w:val="24"/>
          <w:u w:val="single"/>
        </w:rPr>
        <w:t xml:space="preserve">5 CFR </w:t>
      </w:r>
      <w:r w:rsidR="00A668F5">
        <w:rPr>
          <w:b/>
          <w:szCs w:val="24"/>
          <w:u w:val="single"/>
        </w:rPr>
        <w:t xml:space="preserve">§ </w:t>
      </w:r>
      <w:r w:rsidRPr="000A2EA6">
        <w:rPr>
          <w:b/>
          <w:szCs w:val="24"/>
          <w:u w:val="single"/>
        </w:rPr>
        <w:t>1320.8</w:t>
      </w:r>
      <w:r w:rsidRPr="00FE1030">
        <w:rPr>
          <w:szCs w:val="24"/>
        </w:rPr>
        <w:t>.</w:t>
      </w:r>
    </w:p>
    <w:p w:rsidR="004677B8" w:rsidRPr="000A2EA6" w:rsidP="00B10C31" w14:paraId="134465C3" w14:textId="77777777">
      <w:pPr>
        <w:widowControl w:val="0"/>
        <w:ind w:left="720" w:hanging="720"/>
        <w:rPr>
          <w:b/>
          <w:szCs w:val="24"/>
        </w:rPr>
      </w:pPr>
    </w:p>
    <w:p w:rsidR="00AB3AAE" w:rsidP="00AB3AAE" w14:paraId="6ED4B968" w14:textId="256A4DE8">
      <w:pPr>
        <w:widowControl w:val="0"/>
        <w:ind w:left="720"/>
      </w:pPr>
      <w:r w:rsidRPr="007469FD">
        <w:t>As required by the Paperwork Reduction Act of 1995</w:t>
      </w:r>
      <w:r>
        <w:t xml:space="preserve"> (PRA)</w:t>
      </w:r>
      <w:r w:rsidRPr="007469FD">
        <w:t xml:space="preserve"> and 5 CFR </w:t>
      </w:r>
      <w:r w:rsidR="00E607E8">
        <w:t>p</w:t>
      </w:r>
      <w:r w:rsidR="00A55A0B">
        <w:t xml:space="preserve">art </w:t>
      </w:r>
      <w:r w:rsidRPr="007469FD">
        <w:t xml:space="preserve">1320, FRA published a notice in the </w:t>
      </w:r>
      <w:r w:rsidRPr="003053FF">
        <w:rPr>
          <w:i/>
        </w:rPr>
        <w:t>Federal Register</w:t>
      </w:r>
      <w:r w:rsidRPr="003053FF">
        <w:t xml:space="preserve"> </w:t>
      </w:r>
      <w:r w:rsidRPr="007469FD">
        <w:t>on</w:t>
      </w:r>
      <w:r w:rsidR="00C20B9E">
        <w:t xml:space="preserve"> </w:t>
      </w:r>
      <w:r w:rsidR="009A1446">
        <w:t>January 30</w:t>
      </w:r>
      <w:r w:rsidRPr="007469FD">
        <w:t>,</w:t>
      </w:r>
      <w:r w:rsidR="00C20B9E">
        <w:t xml:space="preserve"> 202</w:t>
      </w:r>
      <w:r w:rsidR="009A1446">
        <w:t>6</w:t>
      </w:r>
      <w:r>
        <w:rPr>
          <w:rStyle w:val="FootnoteReference"/>
        </w:rPr>
        <w:footnoteReference w:id="3"/>
      </w:r>
      <w:r w:rsidRPr="007469FD">
        <w:t xml:space="preserve"> soliciting comment</w:t>
      </w:r>
      <w:r>
        <w:t xml:space="preserve"> from the </w:t>
      </w:r>
      <w:r>
        <w:t>public, railroads, and other interested parties</w:t>
      </w:r>
      <w:r w:rsidRPr="007469FD">
        <w:t xml:space="preserve"> on these information collection requirements. </w:t>
      </w:r>
      <w:r w:rsidRPr="00317823" w:rsidR="00317823">
        <w:t xml:space="preserve">FRA received </w:t>
      </w:r>
      <w:r w:rsidR="00306CFA">
        <w:t>zero</w:t>
      </w:r>
      <w:r w:rsidR="001966F3">
        <w:t xml:space="preserve"> comments from the public</w:t>
      </w:r>
      <w:r w:rsidRPr="00317823" w:rsidR="00317823">
        <w:t>.</w:t>
      </w:r>
    </w:p>
    <w:p w:rsidR="00AB3AAE" w:rsidP="00AB3AAE" w14:paraId="71D9BC72" w14:textId="77777777">
      <w:pPr>
        <w:ind w:left="720"/>
        <w:rPr>
          <w:i/>
          <w:iCs/>
          <w:color w:val="000000"/>
          <w:szCs w:val="24"/>
          <w:u w:val="single"/>
        </w:rPr>
      </w:pPr>
    </w:p>
    <w:p w:rsidR="00AB3AAE" w:rsidRPr="002F3B9B" w:rsidP="00AB3AAE" w14:paraId="491F5062" w14:textId="77777777">
      <w:pPr>
        <w:ind w:left="720"/>
        <w:rPr>
          <w:i/>
          <w:iCs/>
          <w:color w:val="000000"/>
          <w:szCs w:val="24"/>
          <w:u w:val="single"/>
        </w:rPr>
      </w:pPr>
      <w:r w:rsidRPr="002F3B9B">
        <w:rPr>
          <w:i/>
          <w:iCs/>
          <w:color w:val="000000"/>
          <w:szCs w:val="24"/>
          <w:u w:val="single"/>
        </w:rPr>
        <w:t>Consultations with representatives of the affected population:</w:t>
      </w:r>
    </w:p>
    <w:p w:rsidR="00AB3AAE" w:rsidP="00AB3AAE" w14:paraId="515B99E4" w14:textId="77777777">
      <w:pPr>
        <w:widowControl w:val="0"/>
        <w:ind w:left="720"/>
      </w:pPr>
    </w:p>
    <w:p w:rsidR="00AB3AAE" w:rsidP="00AB3AAE" w14:paraId="422B94F2" w14:textId="0FB356F7">
      <w:pPr>
        <w:widowControl w:val="0"/>
        <w:ind w:left="720"/>
      </w:pPr>
      <w:r w:rsidRPr="009B262A">
        <w:t>As a part of FRA</w:t>
      </w:r>
      <w:r w:rsidR="0066240E">
        <w:t>’</w:t>
      </w:r>
      <w:r w:rsidRPr="009B262A">
        <w:t xml:space="preserve">s oversight and enforcement, individuals from the railroad industry are generally in direct contact with FRA’s </w:t>
      </w:r>
      <w:r>
        <w:t>inspectors</w:t>
      </w:r>
      <w:r w:rsidRPr="009B262A">
        <w:t xml:space="preserve"> at the time of site inspection</w:t>
      </w:r>
      <w:r w:rsidR="00317823">
        <w:t>s</w:t>
      </w:r>
      <w:r w:rsidRPr="009B262A">
        <w:t xml:space="preserve"> and can provide any comments or concerns to </w:t>
      </w:r>
      <w:r>
        <w:t>them</w:t>
      </w:r>
      <w:r w:rsidRPr="009B262A">
        <w:t>.</w:t>
      </w:r>
    </w:p>
    <w:p w:rsidR="001C09F2" w:rsidRPr="000A2EA6" w:rsidP="00B10C31" w14:paraId="7BA6BA32" w14:textId="77777777">
      <w:pPr>
        <w:widowControl w:val="0"/>
        <w:ind w:left="720"/>
        <w:rPr>
          <w:b/>
          <w:szCs w:val="24"/>
        </w:rPr>
      </w:pPr>
    </w:p>
    <w:p w:rsidR="00AB3AAE" w:rsidRPr="00D863FB" w:rsidP="00AB3AAE" w14:paraId="15A4A3EA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9.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Payments or gifts to respondents</w:t>
      </w:r>
      <w:r w:rsidRPr="007E62DC">
        <w:rPr>
          <w:szCs w:val="24"/>
        </w:rPr>
        <w:t>.</w:t>
      </w:r>
    </w:p>
    <w:p w:rsidR="00AB3AAE" w:rsidRPr="00D863FB" w:rsidP="00AB3AAE" w14:paraId="6831115C" w14:textId="77777777">
      <w:pPr>
        <w:widowControl w:val="0"/>
        <w:rPr>
          <w:szCs w:val="24"/>
        </w:rPr>
      </w:pPr>
    </w:p>
    <w:p w:rsidR="00AB3AAE" w:rsidRPr="00D863FB" w:rsidP="00AB3AAE" w14:paraId="3D73EFF5" w14:textId="116B6542">
      <w:pPr>
        <w:widowControl w:val="0"/>
        <w:ind w:left="720"/>
        <w:rPr>
          <w:b/>
          <w:szCs w:val="24"/>
        </w:rPr>
      </w:pPr>
      <w:r w:rsidRPr="00D863FB">
        <w:rPr>
          <w:szCs w:val="24"/>
        </w:rPr>
        <w:t xml:space="preserve">There are no monetary payments or gifts made to respondents associated with the information collection requirements contained in this </w:t>
      </w:r>
      <w:r w:rsidR="00AF27B4">
        <w:rPr>
          <w:szCs w:val="24"/>
        </w:rPr>
        <w:t>ICR</w:t>
      </w:r>
      <w:r w:rsidRPr="00D863FB">
        <w:rPr>
          <w:szCs w:val="24"/>
        </w:rPr>
        <w:t>.</w:t>
      </w:r>
    </w:p>
    <w:p w:rsidR="00AB3AAE" w:rsidRPr="00D863FB" w:rsidP="00AB3AAE" w14:paraId="23C9554F" w14:textId="77777777">
      <w:pPr>
        <w:widowControl w:val="0"/>
        <w:rPr>
          <w:b/>
          <w:szCs w:val="24"/>
        </w:rPr>
      </w:pPr>
    </w:p>
    <w:p w:rsidR="00AB3AAE" w:rsidRPr="00D863FB" w:rsidP="00AB3AAE" w14:paraId="7DDA803A" w14:textId="77777777">
      <w:pPr>
        <w:widowControl w:val="0"/>
        <w:rPr>
          <w:szCs w:val="24"/>
        </w:rPr>
      </w:pPr>
      <w:r w:rsidRPr="00D863FB">
        <w:rPr>
          <w:b/>
          <w:szCs w:val="24"/>
        </w:rPr>
        <w:t>10.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Assurance of confidentiality</w:t>
      </w:r>
      <w:r w:rsidRPr="007E62DC">
        <w:rPr>
          <w:szCs w:val="24"/>
        </w:rPr>
        <w:t>.</w:t>
      </w:r>
    </w:p>
    <w:p w:rsidR="00AB3AAE" w:rsidRPr="00D863FB" w:rsidP="00AB3AAE" w14:paraId="42762AAE" w14:textId="77777777">
      <w:pPr>
        <w:widowControl w:val="0"/>
        <w:ind w:left="720"/>
        <w:rPr>
          <w:szCs w:val="24"/>
        </w:rPr>
      </w:pPr>
    </w:p>
    <w:p w:rsidR="00AB3AAE" w:rsidRPr="00D863FB" w:rsidP="00AB3AAE" w14:paraId="4A50278F" w14:textId="42F97426">
      <w:pPr>
        <w:widowControl w:val="0"/>
        <w:ind w:left="720"/>
        <w:rPr>
          <w:szCs w:val="24"/>
        </w:rPr>
      </w:pPr>
      <w:r>
        <w:rPr>
          <w:szCs w:val="24"/>
        </w:rPr>
        <w:t>The i</w:t>
      </w:r>
      <w:r w:rsidRPr="00D863FB">
        <w:rPr>
          <w:szCs w:val="24"/>
        </w:rPr>
        <w:t xml:space="preserve">nformation collected is not of a confidential nature and FRA pledges no confidentiality. </w:t>
      </w:r>
    </w:p>
    <w:p w:rsidR="00AB3AAE" w:rsidRPr="00D863FB" w:rsidP="00AB3AAE" w14:paraId="000A6455" w14:textId="77777777">
      <w:pPr>
        <w:widowControl w:val="0"/>
        <w:rPr>
          <w:szCs w:val="24"/>
        </w:rPr>
      </w:pPr>
    </w:p>
    <w:p w:rsidR="00AB3AAE" w:rsidRPr="00D863FB" w:rsidP="00AB3AAE" w14:paraId="29B7BA04" w14:textId="77777777">
      <w:pPr>
        <w:widowControl w:val="0"/>
        <w:ind w:left="720" w:hanging="720"/>
        <w:rPr>
          <w:szCs w:val="24"/>
        </w:rPr>
      </w:pPr>
      <w:r w:rsidRPr="00D863FB">
        <w:rPr>
          <w:b/>
          <w:szCs w:val="24"/>
        </w:rPr>
        <w:t>11.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Justification for any questions of a sensitive nature</w:t>
      </w:r>
      <w:r w:rsidRPr="007E62DC">
        <w:rPr>
          <w:szCs w:val="24"/>
        </w:rPr>
        <w:t>.</w:t>
      </w:r>
    </w:p>
    <w:p w:rsidR="00AB3AAE" w:rsidRPr="00D863FB" w:rsidP="00AB3AAE" w14:paraId="0867FA95" w14:textId="77777777">
      <w:pPr>
        <w:widowControl w:val="0"/>
        <w:rPr>
          <w:szCs w:val="24"/>
        </w:rPr>
      </w:pPr>
    </w:p>
    <w:p w:rsidR="00AB3AAE" w:rsidRPr="00D863FB" w:rsidP="00AB3AAE" w14:paraId="1804E00D" w14:textId="77777777">
      <w:pPr>
        <w:widowControl w:val="0"/>
        <w:ind w:left="720"/>
        <w:rPr>
          <w:szCs w:val="24"/>
        </w:rPr>
      </w:pPr>
      <w:r w:rsidRPr="00D863FB">
        <w:rPr>
          <w:szCs w:val="24"/>
        </w:rPr>
        <w:t>This information collection does not contain any data of a personal or sensitive nature.</w:t>
      </w:r>
    </w:p>
    <w:p w:rsidR="00AD1627" w:rsidRPr="000A2EA6" w:rsidP="00B10C31" w14:paraId="05D8CF6A" w14:textId="77777777">
      <w:pPr>
        <w:widowControl w:val="0"/>
        <w:ind w:left="720"/>
        <w:rPr>
          <w:b/>
          <w:szCs w:val="24"/>
        </w:rPr>
      </w:pPr>
    </w:p>
    <w:p w:rsidR="002571B4" w:rsidRPr="00A3202B" w:rsidP="00B10C31" w14:paraId="6999D51F" w14:textId="77777777">
      <w:pPr>
        <w:widowControl w:val="0"/>
        <w:rPr>
          <w:szCs w:val="24"/>
        </w:rPr>
      </w:pPr>
      <w:r w:rsidRPr="000A2EA6">
        <w:rPr>
          <w:b/>
          <w:bCs/>
          <w:szCs w:val="24"/>
        </w:rPr>
        <w:t>12.        </w:t>
      </w:r>
      <w:r w:rsidRPr="000A2EA6">
        <w:rPr>
          <w:b/>
          <w:bCs/>
          <w:szCs w:val="24"/>
          <w:u w:val="single"/>
        </w:rPr>
        <w:t>Estimate of burden hours for information collected</w:t>
      </w:r>
      <w:r w:rsidRPr="00D4654D">
        <w:rPr>
          <w:bCs/>
          <w:szCs w:val="24"/>
        </w:rPr>
        <w:t>.</w:t>
      </w:r>
    </w:p>
    <w:p w:rsidR="00FB79AA" w:rsidRPr="000A2EA6" w:rsidP="00B10C31" w14:paraId="4D91E844" w14:textId="77777777">
      <w:pPr>
        <w:widowControl w:val="0"/>
        <w:rPr>
          <w:b/>
          <w:szCs w:val="24"/>
        </w:rPr>
      </w:pPr>
    </w:p>
    <w:p w:rsidR="00BB372F" w:rsidP="00B10C31" w14:paraId="71886905" w14:textId="60184D65">
      <w:pPr>
        <w:widowControl w:val="0"/>
        <w:ind w:left="720"/>
        <w:rPr>
          <w:szCs w:val="24"/>
        </w:rPr>
      </w:pPr>
      <w:r w:rsidRPr="000A2EA6">
        <w:rPr>
          <w:szCs w:val="24"/>
        </w:rPr>
        <w:t>The burden is influenced by the number of new railroads (which do not fall under the exemption) that may come into being during the year. In addition, there may be a few railroads that seek approval of a different marking device to accommodate changes in their operations.</w:t>
      </w:r>
    </w:p>
    <w:p w:rsidR="00A56334" w:rsidP="00B10C31" w14:paraId="6D046190" w14:textId="77777777">
      <w:pPr>
        <w:widowControl w:val="0"/>
        <w:ind w:left="720"/>
        <w:rPr>
          <w:szCs w:val="24"/>
        </w:rPr>
      </w:pPr>
    </w:p>
    <w:tbl>
      <w:tblPr>
        <w:tblW w:w="10165" w:type="dxa"/>
        <w:jc w:val="center"/>
        <w:tblLayout w:type="fixed"/>
        <w:tblLook w:val="0000"/>
      </w:tblPr>
      <w:tblGrid>
        <w:gridCol w:w="1537"/>
        <w:gridCol w:w="1440"/>
        <w:gridCol w:w="1263"/>
        <w:gridCol w:w="990"/>
        <w:gridCol w:w="1080"/>
        <w:gridCol w:w="795"/>
        <w:gridCol w:w="1260"/>
        <w:gridCol w:w="1800"/>
      </w:tblGrid>
      <w:tr w14:paraId="79EAA6D5" w14:textId="2EBDE4D8" w:rsidTr="002C05CB">
        <w:tblPrEx>
          <w:tblW w:w="10165" w:type="dxa"/>
          <w:jc w:val="center"/>
          <w:tblLayout w:type="fixed"/>
          <w:tblLook w:val="0000"/>
        </w:tblPrEx>
        <w:trPr>
          <w:trHeight w:val="56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0CB53AB1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CFR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1F9947F5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Respondent </w:t>
            </w:r>
          </w:p>
          <w:p w:rsidR="005B2A29" w:rsidRPr="00452CF6" w:rsidP="00452CF6" w14:paraId="566A498F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Universe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4694DEB2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Total</w:t>
            </w:r>
          </w:p>
          <w:p w:rsidR="005B2A29" w:rsidRPr="00452CF6" w:rsidP="00452CF6" w14:paraId="58303425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Annual</w:t>
            </w:r>
          </w:p>
          <w:p w:rsidR="005B2A29" w:rsidRPr="00452CF6" w:rsidP="00452CF6" w14:paraId="4C4D5558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 Responses</w:t>
            </w:r>
            <w:r w:rsidRPr="00452CF6">
              <w:rPr>
                <w:rFonts w:eastAsiaTheme="minorHAnsi"/>
                <w:color w:val="000000"/>
                <w:sz w:val="20"/>
              </w:rPr>
              <w:br/>
            </w:r>
            <w:r w:rsidRPr="00452CF6">
              <w:rPr>
                <w:rFonts w:eastAsiaTheme="minorHAnsi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4DCFEC02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Avg. </w:t>
            </w:r>
          </w:p>
          <w:p w:rsidR="005B2A29" w:rsidRPr="00452CF6" w:rsidP="00452CF6" w14:paraId="3C9DD6CD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Time </w:t>
            </w:r>
          </w:p>
          <w:p w:rsidR="005B2A29" w:rsidRPr="00452CF6" w:rsidP="00452CF6" w14:paraId="0E465AA8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per </w:t>
            </w:r>
          </w:p>
          <w:p w:rsidR="005B2A29" w:rsidRPr="00452CF6" w:rsidP="00452CF6" w14:paraId="3C108CE3" w14:textId="77777777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Response</w:t>
            </w:r>
          </w:p>
          <w:p w:rsidR="005B2A29" w:rsidRPr="00452CF6" w:rsidP="00452CF6" w14:paraId="61F9C099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 (Hours)</w:t>
            </w:r>
            <w:r w:rsidRPr="00452CF6">
              <w:rPr>
                <w:rFonts w:eastAsiaTheme="minorHAnsi"/>
                <w:color w:val="000000"/>
                <w:sz w:val="16"/>
                <w:szCs w:val="16"/>
              </w:rPr>
              <w:br/>
              <w:t>(B)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455E8925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Total Annual Burden Hours</w:t>
            </w:r>
            <w:r w:rsidRPr="00452CF6">
              <w:rPr>
                <w:rFonts w:eastAsiaTheme="minorHAnsi"/>
                <w:color w:val="000000"/>
                <w:sz w:val="20"/>
              </w:rPr>
              <w:br/>
            </w:r>
            <w:r w:rsidRPr="00452CF6">
              <w:rPr>
                <w:rFonts w:eastAsiaTheme="minorHAnsi"/>
                <w:color w:val="000000"/>
                <w:sz w:val="16"/>
                <w:szCs w:val="16"/>
              </w:rPr>
              <w:t>(A*B=C)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56C028EE" w14:textId="777777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Wage </w:t>
            </w:r>
          </w:p>
          <w:p w:rsidR="005B2A29" w:rsidRPr="00452CF6" w:rsidP="00452CF6" w14:paraId="24EF2028" w14:textId="777777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>Rate</w:t>
            </w:r>
            <w:r>
              <w:rPr>
                <w:rFonts w:eastAsiaTheme="minorHAnsi"/>
                <w:color w:val="000000"/>
                <w:sz w:val="20"/>
                <w:vertAlign w:val="superscript"/>
              </w:rPr>
              <w:footnoteReference w:id="4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RPr="00452CF6" w:rsidP="00452CF6" w14:paraId="04B17561" w14:textId="44A246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452CF6">
              <w:rPr>
                <w:rFonts w:eastAsiaTheme="minorHAnsi"/>
                <w:color w:val="000000"/>
                <w:sz w:val="20"/>
              </w:rPr>
              <w:t xml:space="preserve">Total Cost </w:t>
            </w:r>
            <w:r w:rsidRPr="00452CF6">
              <w:rPr>
                <w:rFonts w:eastAsiaTheme="minorHAnsi"/>
                <w:color w:val="000000"/>
                <w:sz w:val="20"/>
              </w:rPr>
              <w:br/>
              <w:t>Equivalent</w:t>
            </w:r>
            <w:r w:rsidRPr="00452CF6">
              <w:rPr>
                <w:rFonts w:eastAsiaTheme="minorHAnsi"/>
                <w:color w:val="000000"/>
                <w:sz w:val="20"/>
              </w:rPr>
              <w:br/>
              <w:t>U.S.D</w:t>
            </w:r>
            <w:r w:rsidR="00A147DE">
              <w:rPr>
                <w:rFonts w:eastAsiaTheme="minorHAnsi"/>
                <w:color w:val="000000"/>
                <w:sz w:val="20"/>
              </w:rPr>
              <w:t>.</w:t>
            </w:r>
            <w:r w:rsidRPr="00452CF6">
              <w:rPr>
                <w:rFonts w:eastAsiaTheme="minorHAnsi"/>
                <w:color w:val="000000"/>
                <w:sz w:val="20"/>
              </w:rPr>
              <w:br/>
            </w:r>
            <w:r w:rsidRPr="00452CF6">
              <w:rPr>
                <w:rFonts w:eastAsiaTheme="minorHAnsi"/>
                <w:color w:val="000000"/>
                <w:sz w:val="16"/>
                <w:szCs w:val="16"/>
              </w:rPr>
              <w:t>(D =C*</w:t>
            </w:r>
          </w:p>
          <w:p w:rsidR="005B2A29" w:rsidRPr="00452CF6" w:rsidP="00452CF6" w14:paraId="26F0AB5C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rFonts w:eastAsiaTheme="minorHAnsi"/>
                <w:color w:val="000000"/>
                <w:sz w:val="16"/>
                <w:szCs w:val="16"/>
              </w:rPr>
              <w:t>wage rate)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9" w:rsidP="00452CF6" w14:paraId="1B762776" w14:textId="777777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</w:rPr>
            </w:pPr>
            <w:r>
              <w:rPr>
                <w:rFonts w:eastAsiaTheme="minorHAnsi"/>
                <w:color w:val="000000"/>
                <w:sz w:val="20"/>
              </w:rPr>
              <w:t>PRA Analysis</w:t>
            </w:r>
          </w:p>
          <w:p w:rsidR="007C6139" w:rsidRPr="00452CF6" w:rsidP="00452CF6" w14:paraId="460105B7" w14:textId="12ACFC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</w:rPr>
            </w:pPr>
            <w:r>
              <w:rPr>
                <w:rFonts w:eastAsiaTheme="minorHAnsi"/>
                <w:color w:val="000000"/>
                <w:sz w:val="20"/>
              </w:rPr>
              <w:t>and Estimates</w:t>
            </w:r>
          </w:p>
        </w:tc>
      </w:tr>
      <w:tr w14:paraId="76E4267E" w14:textId="3CB19F4D" w:rsidTr="00045708">
        <w:tblPrEx>
          <w:tblW w:w="10165" w:type="dxa"/>
          <w:jc w:val="center"/>
          <w:tblLayout w:type="fixed"/>
          <w:tblLook w:val="0000"/>
        </w:tblPrEx>
        <w:trPr>
          <w:trHeight w:val="300"/>
          <w:jc w:val="center"/>
        </w:trPr>
        <w:tc>
          <w:tcPr>
            <w:tcW w:w="101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139" w:rsidRPr="00452CF6" w:rsidP="00452CF6" w14:paraId="05391BBA" w14:textId="789DB9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452CF6">
              <w:rPr>
                <w:b/>
                <w:bCs/>
                <w:color w:val="000000"/>
                <w:sz w:val="20"/>
              </w:rPr>
              <w:t>Appendix A to Part 221—Procedures for Approval of Rear End Marking Devices</w:t>
            </w:r>
          </w:p>
        </w:tc>
      </w:tr>
      <w:tr w14:paraId="6AA5C2F5" w14:textId="6BEF1FBA" w:rsidTr="002C05CB">
        <w:tblPrEx>
          <w:tblW w:w="10165" w:type="dxa"/>
          <w:jc w:val="center"/>
          <w:tblLayout w:type="fixed"/>
          <w:tblLook w:val="0000"/>
        </w:tblPrEx>
        <w:trPr>
          <w:trHeight w:val="1245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29A5B4B3" w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—Approval of marking devices in accordance with appendix procedures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511F37E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754 </w:t>
            </w:r>
          </w:p>
          <w:p w:rsidR="005B2A29" w:rsidRPr="00452CF6" w:rsidP="00452CF6" w14:paraId="2CB71904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railroads  </w:t>
            </w:r>
          </w:p>
          <w:p w:rsidR="005B2A29" w:rsidRPr="00452CF6" w:rsidP="00452CF6" w14:paraId="07478C0B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 w:themeColor="text1"/>
                <w:kern w:val="2"/>
                <w:sz w:val="20"/>
                <w14:ligatures w14:val="standardContextual"/>
              </w:rPr>
              <w:t>30</w:t>
            </w:r>
            <w:r w:rsidRPr="00452CF6">
              <w:rPr>
                <w:color w:val="000000"/>
                <w:sz w:val="20"/>
              </w:rPr>
              <w:t xml:space="preserve"> manufacturers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ED43073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2</w:t>
            </w:r>
          </w:p>
          <w:p w:rsidR="005B2A29" w:rsidRPr="00452CF6" w:rsidP="00452CF6" w14:paraId="0D539D4C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submissions &amp; records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BC62734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1 </w:t>
            </w:r>
          </w:p>
          <w:p w:rsidR="005B2A29" w:rsidRPr="00452CF6" w:rsidP="00452CF6" w14:paraId="5BDAD160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hour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749F47C2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2</w:t>
            </w:r>
          </w:p>
          <w:p w:rsidR="005B2A29" w:rsidRPr="00452CF6" w:rsidP="00452CF6" w14:paraId="1D90CF4C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 hours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76D46CA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$90.19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1641855B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$180.38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27458B" w14:paraId="4FA10BC5" w14:textId="1F5E134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sz w:val="20"/>
              </w:rPr>
              <w:t>R</w:t>
            </w:r>
            <w:r w:rsidRPr="00EB36B3">
              <w:rPr>
                <w:sz w:val="20"/>
              </w:rPr>
              <w:t>ailroads</w:t>
            </w:r>
            <w:r>
              <w:rPr>
                <w:sz w:val="20"/>
              </w:rPr>
              <w:t xml:space="preserve"> are required to </w:t>
            </w:r>
            <w:r w:rsidRPr="00EB36B3">
              <w:rPr>
                <w:sz w:val="20"/>
              </w:rPr>
              <w:t xml:space="preserve">provide FRA with a detailed description of the type of marking devices used for any </w:t>
            </w:r>
            <w:r w:rsidRPr="00EB36B3">
              <w:rPr>
                <w:sz w:val="20"/>
              </w:rPr>
              <w:t>locomotive operating singly or for cars or locomotives operating at the end of a train</w:t>
            </w:r>
            <w:r>
              <w:rPr>
                <w:sz w:val="20"/>
              </w:rPr>
              <w:t xml:space="preserve">. </w:t>
            </w:r>
            <w:r w:rsidR="00A147DE">
              <w:rPr>
                <w:sz w:val="20"/>
              </w:rPr>
              <w:t>Also</w:t>
            </w:r>
            <w:r w:rsidRPr="00A371C5">
              <w:rPr>
                <w:sz w:val="20"/>
              </w:rPr>
              <w:t>, railroads</w:t>
            </w:r>
            <w:r>
              <w:rPr>
                <w:sz w:val="20"/>
              </w:rPr>
              <w:t xml:space="preserve"> are required</w:t>
            </w:r>
            <w:r w:rsidRPr="00A371C5">
              <w:rPr>
                <w:sz w:val="20"/>
              </w:rPr>
              <w:t xml:space="preserve"> to furnish detailed test records</w:t>
            </w:r>
            <w:r>
              <w:rPr>
                <w:sz w:val="20"/>
              </w:rPr>
              <w:t xml:space="preserve"> </w:t>
            </w:r>
            <w:r w:rsidRPr="00A371C5">
              <w:rPr>
                <w:sz w:val="20"/>
              </w:rPr>
              <w:t>to demonstrate compliance with the performance standard.</w:t>
            </w:r>
          </w:p>
        </w:tc>
      </w:tr>
      <w:tr w14:paraId="5AE47D82" w14:textId="442B6B5E" w:rsidTr="002C05CB">
        <w:tblPrEx>
          <w:tblW w:w="10165" w:type="dxa"/>
          <w:jc w:val="center"/>
          <w:tblLayout w:type="fixed"/>
          <w:tblLook w:val="0000"/>
        </w:tblPrEx>
        <w:trPr>
          <w:trHeight w:val="642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7435151B" w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3377A06D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754 </w:t>
            </w:r>
          </w:p>
          <w:p w:rsidR="005B2A29" w:rsidRPr="00452CF6" w:rsidP="00452CF6" w14:paraId="0F523391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 xml:space="preserve">railroads  </w:t>
            </w:r>
          </w:p>
          <w:p w:rsidR="005B2A29" w:rsidRPr="00452CF6" w:rsidP="00452CF6" w14:paraId="5F90FD78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30 manufacturers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858BC7C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2</w:t>
            </w:r>
          </w:p>
          <w:p w:rsidR="005B2A29" w:rsidRPr="00452CF6" w:rsidP="00452CF6" w14:paraId="5F43BD5B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44C443DE" w14:textId="3D5D52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386C867F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2</w:t>
            </w:r>
          </w:p>
          <w:p w:rsidR="005B2A29" w:rsidRPr="00452CF6" w:rsidP="00452CF6" w14:paraId="367090BA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hours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176CFA34" w14:textId="62FA0A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N/A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4AC74D12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52CF6">
              <w:rPr>
                <w:color w:val="000000"/>
                <w:sz w:val="20"/>
              </w:rPr>
              <w:t>$180.38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A29" w:rsidRPr="00452CF6" w:rsidP="00452CF6" w14:paraId="50C2D5CE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</w:tbl>
    <w:p w:rsidR="007318CF" w:rsidRPr="000A2EA6" w:rsidP="000F6A51" w14:paraId="608B8568" w14:textId="77777777">
      <w:pPr>
        <w:widowControl w:val="0"/>
        <w:rPr>
          <w:szCs w:val="24"/>
        </w:rPr>
      </w:pPr>
    </w:p>
    <w:p w:rsidR="00E60649" w:rsidRPr="000A2EA6" w:rsidP="00B10C31" w14:paraId="6389D6F2" w14:textId="77777777">
      <w:pPr>
        <w:widowControl w:val="0"/>
        <w:rPr>
          <w:szCs w:val="24"/>
        </w:rPr>
      </w:pPr>
      <w:r w:rsidRPr="000A2EA6">
        <w:rPr>
          <w:b/>
          <w:szCs w:val="24"/>
        </w:rPr>
        <w:t>13.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>Estimate of total annual costs to respondents</w:t>
      </w:r>
      <w:r w:rsidRPr="000A2EA6">
        <w:rPr>
          <w:szCs w:val="24"/>
        </w:rPr>
        <w:t>.</w:t>
      </w:r>
    </w:p>
    <w:p w:rsidR="00FB79AA" w:rsidRPr="000A2EA6" w:rsidP="00B10C31" w14:paraId="3A07FEE5" w14:textId="77777777">
      <w:pPr>
        <w:widowControl w:val="0"/>
        <w:rPr>
          <w:b/>
          <w:szCs w:val="24"/>
        </w:rPr>
      </w:pPr>
    </w:p>
    <w:p w:rsidR="00AB3AAE" w:rsidP="00AB3AAE" w14:paraId="4010D110" w14:textId="77777777">
      <w:pPr>
        <w:widowControl w:val="0"/>
        <w:ind w:left="720"/>
      </w:pPr>
      <w:r>
        <w:t>There is no additional cost to the respondents outside of the burden hours accounted for under Item 12 above.</w:t>
      </w:r>
    </w:p>
    <w:p w:rsidR="000C02B6" w:rsidRPr="000A2EA6" w:rsidP="00B10C31" w14:paraId="3F73EE66" w14:textId="77777777">
      <w:pPr>
        <w:widowControl w:val="0"/>
        <w:ind w:left="720" w:hanging="720"/>
        <w:rPr>
          <w:b/>
          <w:szCs w:val="24"/>
        </w:rPr>
      </w:pPr>
    </w:p>
    <w:p w:rsidR="000C02B6" w:rsidRPr="000A2EA6" w:rsidP="00B10C31" w14:paraId="5D8D95AC" w14:textId="77777777">
      <w:pPr>
        <w:widowControl w:val="0"/>
        <w:ind w:left="720" w:hanging="720"/>
        <w:rPr>
          <w:b/>
          <w:szCs w:val="24"/>
        </w:rPr>
      </w:pPr>
      <w:r w:rsidRPr="000A2EA6">
        <w:rPr>
          <w:b/>
          <w:szCs w:val="24"/>
        </w:rPr>
        <w:t>14.</w:t>
      </w:r>
      <w:r w:rsidRPr="000A2EA6">
        <w:rPr>
          <w:b/>
          <w:szCs w:val="24"/>
        </w:rPr>
        <w:tab/>
      </w:r>
      <w:r w:rsidRPr="000A2EA6">
        <w:rPr>
          <w:b/>
          <w:szCs w:val="24"/>
          <w:u w:val="single"/>
        </w:rPr>
        <w:t xml:space="preserve">Estimate of </w:t>
      </w:r>
      <w:r w:rsidR="006975C6">
        <w:rPr>
          <w:b/>
          <w:szCs w:val="24"/>
          <w:u w:val="single"/>
        </w:rPr>
        <w:t>c</w:t>
      </w:r>
      <w:r w:rsidRPr="000A2EA6">
        <w:rPr>
          <w:b/>
          <w:szCs w:val="24"/>
          <w:u w:val="single"/>
        </w:rPr>
        <w:t>ost to Federal Government</w:t>
      </w:r>
      <w:r w:rsidRPr="000A2EA6">
        <w:rPr>
          <w:szCs w:val="24"/>
        </w:rPr>
        <w:t>.</w:t>
      </w:r>
    </w:p>
    <w:p w:rsidR="00FB79AA" w:rsidRPr="000A2EA6" w:rsidP="00B10C31" w14:paraId="1BB3C06D" w14:textId="77777777">
      <w:pPr>
        <w:widowControl w:val="0"/>
        <w:rPr>
          <w:b/>
          <w:szCs w:val="24"/>
        </w:rPr>
      </w:pPr>
    </w:p>
    <w:p w:rsidR="008E0457" w:rsidP="000F6A51" w14:paraId="19C4AEB2" w14:textId="55991D26">
      <w:pPr>
        <w:widowControl w:val="0"/>
        <w:ind w:left="720"/>
        <w:rPr>
          <w:szCs w:val="24"/>
        </w:rPr>
      </w:pPr>
      <w:r w:rsidRPr="00561B7F">
        <w:rPr>
          <w:szCs w:val="24"/>
        </w:rPr>
        <w:t xml:space="preserve">FRA estimates that approximately </w:t>
      </w:r>
      <w:r w:rsidR="009539D8">
        <w:rPr>
          <w:szCs w:val="24"/>
        </w:rPr>
        <w:t>four</w:t>
      </w:r>
      <w:r w:rsidRPr="00561B7F">
        <w:rPr>
          <w:szCs w:val="24"/>
        </w:rPr>
        <w:t xml:space="preserve"> hours are spent processing the respondents’ </w:t>
      </w:r>
      <w:r>
        <w:rPr>
          <w:szCs w:val="24"/>
        </w:rPr>
        <w:t>notifications</w:t>
      </w:r>
      <w:r w:rsidRPr="00561B7F">
        <w:rPr>
          <w:szCs w:val="24"/>
        </w:rPr>
        <w:t xml:space="preserve">.  This excludes time spent during routine compliance and enforcement activities.  </w:t>
      </w:r>
      <w:r w:rsidR="005D1B79">
        <w:rPr>
          <w:szCs w:val="24"/>
        </w:rPr>
        <w:t xml:space="preserve"> </w:t>
      </w:r>
    </w:p>
    <w:p w:rsidR="00B67662" w:rsidP="000F6A51" w14:paraId="2CD7FF6B" w14:textId="77777777">
      <w:pPr>
        <w:widowControl w:val="0"/>
        <w:ind w:left="720"/>
        <w:rPr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61"/>
        <w:gridCol w:w="1139"/>
        <w:gridCol w:w="1115"/>
        <w:gridCol w:w="850"/>
        <w:gridCol w:w="1653"/>
        <w:gridCol w:w="1273"/>
        <w:gridCol w:w="990"/>
      </w:tblGrid>
      <w:tr w14:paraId="09CD1354" w14:textId="77777777" w:rsidTr="00A80E20">
        <w:tblPrEx>
          <w:tblW w:w="0" w:type="auto"/>
          <w:tblInd w:w="720" w:type="dxa"/>
          <w:tblLook w:val="04A0"/>
        </w:tblPrEx>
        <w:tc>
          <w:tcPr>
            <w:tcW w:w="2061" w:type="dxa"/>
          </w:tcPr>
          <w:p w:rsidR="005B6398" w:rsidRPr="00A80E20" w:rsidP="000F6A51" w14:paraId="586EE0E7" w14:textId="395FB403">
            <w:pPr>
              <w:widowControl w:val="0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Task</w:t>
            </w:r>
          </w:p>
        </w:tc>
        <w:tc>
          <w:tcPr>
            <w:tcW w:w="1139" w:type="dxa"/>
          </w:tcPr>
          <w:p w:rsidR="005B6398" w:rsidRPr="00A80E20" w:rsidP="0068040C" w14:paraId="30B6E3D2" w14:textId="7D7BD394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No. of Employees</w:t>
            </w:r>
          </w:p>
        </w:tc>
        <w:tc>
          <w:tcPr>
            <w:tcW w:w="1115" w:type="dxa"/>
          </w:tcPr>
          <w:p w:rsidR="005B6398" w:rsidRPr="00A80E20" w:rsidP="0068040C" w14:paraId="734ECA53" w14:textId="34CCC52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Grade</w:t>
            </w:r>
          </w:p>
        </w:tc>
        <w:tc>
          <w:tcPr>
            <w:tcW w:w="551" w:type="dxa"/>
          </w:tcPr>
          <w:p w:rsidR="005B6398" w:rsidRPr="00A80E20" w:rsidP="0068040C" w14:paraId="30B4C698" w14:textId="3AC44EFA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Time Spent</w:t>
            </w:r>
          </w:p>
        </w:tc>
        <w:tc>
          <w:tcPr>
            <w:tcW w:w="1653" w:type="dxa"/>
          </w:tcPr>
          <w:p w:rsidR="005B6398" w:rsidRPr="00A80E20" w:rsidP="0068040C" w14:paraId="34466613" w14:textId="77777777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Burdened Wage Rate</w:t>
            </w:r>
          </w:p>
          <w:p w:rsidR="005B6398" w:rsidRPr="00A80E20" w:rsidP="0068040C" w14:paraId="22337330" w14:textId="7918E61D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(wage rate</w:t>
            </w:r>
            <w:r>
              <w:rPr>
                <w:rStyle w:val="FootnoteReference"/>
                <w:b/>
                <w:bCs/>
                <w:sz w:val="20"/>
              </w:rPr>
              <w:footnoteReference w:id="5"/>
            </w:r>
            <w:r w:rsidRPr="00A80E20">
              <w:rPr>
                <w:b/>
                <w:bCs/>
                <w:sz w:val="20"/>
              </w:rPr>
              <w:t xml:space="preserve"> x 75%)</w:t>
            </w:r>
          </w:p>
        </w:tc>
        <w:tc>
          <w:tcPr>
            <w:tcW w:w="1273" w:type="dxa"/>
          </w:tcPr>
          <w:p w:rsidR="005B6398" w:rsidRPr="00A80E20" w:rsidP="0068040C" w14:paraId="49EA1043" w14:textId="22A546B2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 xml:space="preserve">No. of </w:t>
            </w:r>
            <w:r w:rsidRPr="00A80E20" w:rsidR="0068040C">
              <w:rPr>
                <w:b/>
                <w:bCs/>
                <w:sz w:val="20"/>
              </w:rPr>
              <w:t>Submissions</w:t>
            </w:r>
          </w:p>
        </w:tc>
        <w:tc>
          <w:tcPr>
            <w:tcW w:w="990" w:type="dxa"/>
          </w:tcPr>
          <w:p w:rsidR="005B6398" w:rsidRPr="00A80E20" w:rsidP="0068040C" w14:paraId="2AD6B43B" w14:textId="034D775C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A80E20">
              <w:rPr>
                <w:b/>
                <w:bCs/>
                <w:sz w:val="20"/>
              </w:rPr>
              <w:t>Total</w:t>
            </w:r>
          </w:p>
        </w:tc>
      </w:tr>
      <w:tr w14:paraId="315496A1" w14:textId="77777777" w:rsidTr="00A80E20">
        <w:tblPrEx>
          <w:tblW w:w="0" w:type="auto"/>
          <w:tblInd w:w="720" w:type="dxa"/>
          <w:tblLook w:val="04A0"/>
        </w:tblPrEx>
        <w:tc>
          <w:tcPr>
            <w:tcW w:w="2061" w:type="dxa"/>
          </w:tcPr>
          <w:p w:rsidR="005B6398" w:rsidRPr="00A80E20" w:rsidP="000F6A51" w14:paraId="1B6B3377" w14:textId="5C97AE15">
            <w:pPr>
              <w:widowControl w:val="0"/>
              <w:rPr>
                <w:sz w:val="20"/>
              </w:rPr>
            </w:pPr>
            <w:r w:rsidRPr="00A80E20">
              <w:rPr>
                <w:sz w:val="20"/>
              </w:rPr>
              <w:t>File and assign approval request</w:t>
            </w:r>
          </w:p>
        </w:tc>
        <w:tc>
          <w:tcPr>
            <w:tcW w:w="1139" w:type="dxa"/>
          </w:tcPr>
          <w:p w:rsidR="005B6398" w:rsidRPr="00A80E20" w:rsidP="00714DF5" w14:paraId="7AA22DAD" w14:textId="16EFDFD8">
            <w:pPr>
              <w:widowControl w:val="0"/>
              <w:jc w:val="center"/>
              <w:rPr>
                <w:sz w:val="20"/>
              </w:rPr>
            </w:pPr>
            <w:r w:rsidRPr="00A80E20">
              <w:rPr>
                <w:sz w:val="20"/>
              </w:rPr>
              <w:t>1</w:t>
            </w:r>
          </w:p>
        </w:tc>
        <w:tc>
          <w:tcPr>
            <w:tcW w:w="1115" w:type="dxa"/>
          </w:tcPr>
          <w:p w:rsidR="005B6398" w:rsidRPr="00A80E20" w:rsidP="00714DF5" w14:paraId="3ABF30B2" w14:textId="4905C66E">
            <w:pPr>
              <w:widowControl w:val="0"/>
              <w:jc w:val="center"/>
              <w:rPr>
                <w:sz w:val="20"/>
              </w:rPr>
            </w:pPr>
            <w:r w:rsidRPr="00A80E20">
              <w:rPr>
                <w:sz w:val="20"/>
              </w:rPr>
              <w:t>GS13-5</w:t>
            </w:r>
          </w:p>
        </w:tc>
        <w:tc>
          <w:tcPr>
            <w:tcW w:w="551" w:type="dxa"/>
          </w:tcPr>
          <w:p w:rsidR="005B6398" w:rsidP="00714DF5" w14:paraId="2C95F670" w14:textId="777777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E711B1" w:rsidRPr="00A80E20" w:rsidP="00714DF5" w14:paraId="53BBF767" w14:textId="4EA72EC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  <w:tc>
          <w:tcPr>
            <w:tcW w:w="1653" w:type="dxa"/>
          </w:tcPr>
          <w:p w:rsidR="005B6398" w:rsidRPr="00A80E20" w:rsidP="00AA61B8" w14:paraId="6D0F02FB" w14:textId="50CD5FF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$115.73</w:t>
            </w:r>
          </w:p>
        </w:tc>
        <w:tc>
          <w:tcPr>
            <w:tcW w:w="1273" w:type="dxa"/>
          </w:tcPr>
          <w:p w:rsidR="005B6398" w:rsidRPr="00A80E20" w:rsidP="00AA61B8" w14:paraId="43C27D6C" w14:textId="4363BCF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 w:rsidR="005B6398" w:rsidRPr="00A80E20" w:rsidP="000F6A51" w14:paraId="73F24BD8" w14:textId="1E33FA5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$115.74</w:t>
            </w:r>
          </w:p>
        </w:tc>
      </w:tr>
      <w:tr w14:paraId="4FDC71E6" w14:textId="77777777" w:rsidTr="00A80E20">
        <w:tblPrEx>
          <w:tblW w:w="0" w:type="auto"/>
          <w:tblInd w:w="720" w:type="dxa"/>
          <w:tblLook w:val="04A0"/>
        </w:tblPrEx>
        <w:tc>
          <w:tcPr>
            <w:tcW w:w="2061" w:type="dxa"/>
          </w:tcPr>
          <w:p w:rsidR="005B6398" w:rsidRPr="00A80E20" w:rsidP="000F6A51" w14:paraId="15236D64" w14:textId="626DCF18">
            <w:pPr>
              <w:widowControl w:val="0"/>
              <w:rPr>
                <w:sz w:val="20"/>
              </w:rPr>
            </w:pPr>
            <w:r w:rsidRPr="00A80E20">
              <w:rPr>
                <w:sz w:val="20"/>
              </w:rPr>
              <w:t>Review and draft acceptance letter</w:t>
            </w:r>
          </w:p>
        </w:tc>
        <w:tc>
          <w:tcPr>
            <w:tcW w:w="1139" w:type="dxa"/>
          </w:tcPr>
          <w:p w:rsidR="005B6398" w:rsidRPr="00A80E20" w:rsidP="00714DF5" w14:paraId="0B285313" w14:textId="0B6B11F3">
            <w:pPr>
              <w:widowControl w:val="0"/>
              <w:jc w:val="center"/>
              <w:rPr>
                <w:sz w:val="20"/>
              </w:rPr>
            </w:pPr>
            <w:r w:rsidRPr="00A80E20">
              <w:rPr>
                <w:sz w:val="20"/>
              </w:rPr>
              <w:t>1</w:t>
            </w:r>
          </w:p>
        </w:tc>
        <w:tc>
          <w:tcPr>
            <w:tcW w:w="1115" w:type="dxa"/>
          </w:tcPr>
          <w:p w:rsidR="005B6398" w:rsidRPr="00A80E20" w:rsidP="00714DF5" w14:paraId="2507A6CB" w14:textId="6E4D7C8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GS</w:t>
            </w:r>
            <w:r w:rsidR="00A97AE3">
              <w:rPr>
                <w:sz w:val="20"/>
              </w:rPr>
              <w:t>13-5</w:t>
            </w:r>
          </w:p>
        </w:tc>
        <w:tc>
          <w:tcPr>
            <w:tcW w:w="551" w:type="dxa"/>
          </w:tcPr>
          <w:p w:rsidR="005B6398" w:rsidP="00714DF5" w14:paraId="511FACA7" w14:textId="777777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714DF5" w:rsidRPr="00A80E20" w:rsidP="00714DF5" w14:paraId="319677A3" w14:textId="4D2A637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hours</w:t>
            </w:r>
          </w:p>
        </w:tc>
        <w:tc>
          <w:tcPr>
            <w:tcW w:w="1653" w:type="dxa"/>
          </w:tcPr>
          <w:p w:rsidR="005B6398" w:rsidRPr="00A80E20" w:rsidP="00AA61B8" w14:paraId="74788366" w14:textId="4E228E3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$115.73</w:t>
            </w:r>
          </w:p>
        </w:tc>
        <w:tc>
          <w:tcPr>
            <w:tcW w:w="1273" w:type="dxa"/>
          </w:tcPr>
          <w:p w:rsidR="005B6398" w:rsidRPr="00A80E20" w:rsidP="00AA61B8" w14:paraId="68574B7B" w14:textId="64558E4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 w:rsidR="005B6398" w:rsidRPr="00A80E20" w:rsidP="000F6A51" w14:paraId="4E55E26E" w14:textId="31D36AD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$694.38</w:t>
            </w:r>
          </w:p>
        </w:tc>
      </w:tr>
      <w:tr w14:paraId="303BB830" w14:textId="77777777" w:rsidTr="00A80E20">
        <w:tblPrEx>
          <w:tblW w:w="0" w:type="auto"/>
          <w:tblInd w:w="720" w:type="dxa"/>
          <w:tblLook w:val="04A0"/>
        </w:tblPrEx>
        <w:tc>
          <w:tcPr>
            <w:tcW w:w="2061" w:type="dxa"/>
          </w:tcPr>
          <w:p w:rsidR="005B6398" w:rsidRPr="00A80E20" w:rsidP="000F6A51" w14:paraId="643CCA56" w14:textId="4CC0AE69">
            <w:pPr>
              <w:widowControl w:val="0"/>
              <w:rPr>
                <w:sz w:val="20"/>
              </w:rPr>
            </w:pPr>
            <w:r w:rsidRPr="00A80E20">
              <w:rPr>
                <w:sz w:val="20"/>
              </w:rPr>
              <w:t xml:space="preserve">Finalize and send out letter. </w:t>
            </w:r>
          </w:p>
        </w:tc>
        <w:tc>
          <w:tcPr>
            <w:tcW w:w="1139" w:type="dxa"/>
          </w:tcPr>
          <w:p w:rsidR="005B6398" w:rsidRPr="00A80E20" w:rsidP="00714DF5" w14:paraId="0B2B3351" w14:textId="259C5EC3">
            <w:pPr>
              <w:widowControl w:val="0"/>
              <w:jc w:val="center"/>
              <w:rPr>
                <w:sz w:val="20"/>
              </w:rPr>
            </w:pPr>
            <w:r w:rsidRPr="00A80E20">
              <w:rPr>
                <w:sz w:val="20"/>
              </w:rPr>
              <w:t>1</w:t>
            </w:r>
          </w:p>
        </w:tc>
        <w:tc>
          <w:tcPr>
            <w:tcW w:w="1115" w:type="dxa"/>
          </w:tcPr>
          <w:p w:rsidR="005B6398" w:rsidRPr="00A80E20" w:rsidP="00714DF5" w14:paraId="135C5763" w14:textId="0D491CF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GS13-5</w:t>
            </w:r>
          </w:p>
        </w:tc>
        <w:tc>
          <w:tcPr>
            <w:tcW w:w="551" w:type="dxa"/>
          </w:tcPr>
          <w:p w:rsidR="005B6398" w:rsidP="00714DF5" w14:paraId="660E1796" w14:textId="777777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714DF5" w:rsidRPr="00A80E20" w:rsidP="00714DF5" w14:paraId="589123D7" w14:textId="77CACEC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  <w:tc>
          <w:tcPr>
            <w:tcW w:w="1653" w:type="dxa"/>
          </w:tcPr>
          <w:p w:rsidR="005B6398" w:rsidRPr="00A80E20" w:rsidP="00AA61B8" w14:paraId="5318D5C2" w14:textId="6B12982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$115.73</w:t>
            </w:r>
          </w:p>
        </w:tc>
        <w:tc>
          <w:tcPr>
            <w:tcW w:w="1273" w:type="dxa"/>
          </w:tcPr>
          <w:p w:rsidR="005B6398" w:rsidRPr="00A80E20" w:rsidP="00AA61B8" w14:paraId="472B140F" w14:textId="413FE9E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 w:rsidR="005B6398" w:rsidRPr="00A80E20" w:rsidP="000F6A51" w14:paraId="7ACD4778" w14:textId="14363A5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$115.74</w:t>
            </w:r>
          </w:p>
        </w:tc>
      </w:tr>
      <w:tr w14:paraId="4DB4BB15" w14:textId="77777777" w:rsidTr="00A80E20">
        <w:tblPrEx>
          <w:tblW w:w="0" w:type="auto"/>
          <w:tblInd w:w="720" w:type="dxa"/>
          <w:tblLook w:val="04A0"/>
        </w:tblPrEx>
        <w:tc>
          <w:tcPr>
            <w:tcW w:w="2061" w:type="dxa"/>
          </w:tcPr>
          <w:p w:rsidR="00714DF5" w:rsidRPr="000C1470" w:rsidP="000F6A51" w14:paraId="70798F85" w14:textId="423C8046">
            <w:pPr>
              <w:widowControl w:val="0"/>
              <w:rPr>
                <w:b/>
                <w:bCs/>
                <w:sz w:val="20"/>
              </w:rPr>
            </w:pPr>
            <w:r w:rsidRPr="000C1470">
              <w:rPr>
                <w:b/>
                <w:bCs/>
                <w:sz w:val="20"/>
              </w:rPr>
              <w:t>Total Annual Cost</w:t>
            </w:r>
          </w:p>
        </w:tc>
        <w:tc>
          <w:tcPr>
            <w:tcW w:w="1139" w:type="dxa"/>
          </w:tcPr>
          <w:p w:rsidR="00714DF5" w:rsidRPr="00A80E20" w:rsidP="00714DF5" w14:paraId="0283C99F" w14:textId="7777777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:rsidR="00714DF5" w:rsidP="00714DF5" w14:paraId="14DA863F" w14:textId="7777777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1" w:type="dxa"/>
          </w:tcPr>
          <w:p w:rsidR="00714DF5" w:rsidP="00714DF5" w14:paraId="1E5CDC2F" w14:textId="7777777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714DF5" w:rsidRPr="00A80E20" w:rsidP="000F6A51" w14:paraId="6B77B184" w14:textId="77777777">
            <w:pPr>
              <w:widowControl w:val="0"/>
              <w:rPr>
                <w:sz w:val="20"/>
              </w:rPr>
            </w:pPr>
          </w:p>
        </w:tc>
        <w:tc>
          <w:tcPr>
            <w:tcW w:w="1273" w:type="dxa"/>
          </w:tcPr>
          <w:p w:rsidR="00714DF5" w:rsidRPr="00A80E20" w:rsidP="000F6A51" w14:paraId="69E208DD" w14:textId="77777777">
            <w:pPr>
              <w:widowControl w:val="0"/>
              <w:rPr>
                <w:sz w:val="20"/>
              </w:rPr>
            </w:pPr>
          </w:p>
        </w:tc>
        <w:tc>
          <w:tcPr>
            <w:tcW w:w="990" w:type="dxa"/>
          </w:tcPr>
          <w:p w:rsidR="00714DF5" w:rsidRPr="00A80E20" w:rsidP="000F6A51" w14:paraId="1F7B067D" w14:textId="01879E6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$925.86</w:t>
            </w:r>
          </w:p>
        </w:tc>
      </w:tr>
    </w:tbl>
    <w:p w:rsidR="0038393F" w:rsidRPr="00D863FB" w:rsidP="0038393F" w14:paraId="678424FD" w14:textId="77777777">
      <w:pPr>
        <w:widowControl w:val="0"/>
        <w:ind w:left="720" w:hanging="720"/>
        <w:rPr>
          <w:szCs w:val="24"/>
        </w:rPr>
      </w:pPr>
      <w:r w:rsidRPr="00D863FB">
        <w:rPr>
          <w:b/>
          <w:szCs w:val="24"/>
        </w:rPr>
        <w:t>15.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Explanation of program changes and adjustments</w:t>
      </w:r>
      <w:r w:rsidRPr="00D863FB">
        <w:rPr>
          <w:szCs w:val="24"/>
        </w:rPr>
        <w:t>.</w:t>
      </w:r>
    </w:p>
    <w:p w:rsidR="0038393F" w:rsidRPr="00D863FB" w:rsidP="0038393F" w14:paraId="538BEF0D" w14:textId="77777777">
      <w:pPr>
        <w:widowControl w:val="0"/>
        <w:rPr>
          <w:szCs w:val="24"/>
        </w:rPr>
      </w:pPr>
    </w:p>
    <w:p w:rsidR="0038393F" w:rsidRPr="00561B7F" w:rsidP="0038393F" w14:paraId="3A5EAA34" w14:textId="55A59147">
      <w:pPr>
        <w:widowControl w:val="0"/>
        <w:ind w:left="720"/>
        <w:rPr>
          <w:szCs w:val="24"/>
        </w:rPr>
      </w:pPr>
      <w:r w:rsidRPr="00561B7F">
        <w:rPr>
          <w:szCs w:val="24"/>
        </w:rPr>
        <w:t xml:space="preserve">This is an extension without change to a current ICR. </w:t>
      </w:r>
      <w:r w:rsidR="005C4459">
        <w:rPr>
          <w:szCs w:val="24"/>
        </w:rPr>
        <w:t>FRA made no adjustments</w:t>
      </w:r>
      <w:r w:rsidR="008E7247">
        <w:rPr>
          <w:szCs w:val="24"/>
        </w:rPr>
        <w:t xml:space="preserve"> to the previously approved burden hours. The request</w:t>
      </w:r>
      <w:r w:rsidR="002226E5">
        <w:rPr>
          <w:szCs w:val="24"/>
        </w:rPr>
        <w:t>ed</w:t>
      </w:r>
      <w:r w:rsidR="008E7247">
        <w:rPr>
          <w:szCs w:val="24"/>
        </w:rPr>
        <w:t xml:space="preserve"> estimated burden hours remain 2 hours and 2 responses. </w:t>
      </w:r>
      <w:r w:rsidRPr="00561B7F">
        <w:rPr>
          <w:szCs w:val="24"/>
        </w:rPr>
        <w:t xml:space="preserve"> </w:t>
      </w:r>
    </w:p>
    <w:p w:rsidR="0038393F" w:rsidRPr="00D863FB" w:rsidP="0038393F" w14:paraId="5CB4569E" w14:textId="77777777">
      <w:pPr>
        <w:widowControl w:val="0"/>
        <w:ind w:left="720"/>
        <w:rPr>
          <w:szCs w:val="24"/>
        </w:rPr>
      </w:pPr>
    </w:p>
    <w:p w:rsidR="0038393F" w:rsidRPr="00D863FB" w:rsidP="0038393F" w14:paraId="0D6BE16A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16.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Publication of results of data collection</w:t>
      </w:r>
      <w:r w:rsidRPr="007E62DC">
        <w:rPr>
          <w:szCs w:val="24"/>
        </w:rPr>
        <w:t>.</w:t>
      </w:r>
    </w:p>
    <w:p w:rsidR="0038393F" w:rsidRPr="00D863FB" w:rsidP="0038393F" w14:paraId="7EB35634" w14:textId="77777777">
      <w:pPr>
        <w:widowControl w:val="0"/>
        <w:rPr>
          <w:szCs w:val="24"/>
        </w:rPr>
      </w:pPr>
    </w:p>
    <w:p w:rsidR="0038393F" w:rsidP="0038393F" w14:paraId="40FEF9A8" w14:textId="05EB9920">
      <w:pPr>
        <w:widowControl w:val="0"/>
        <w:ind w:firstLine="720"/>
        <w:rPr>
          <w:szCs w:val="24"/>
        </w:rPr>
      </w:pPr>
      <w:r w:rsidRPr="00561B7F">
        <w:rPr>
          <w:szCs w:val="24"/>
        </w:rPr>
        <w:t xml:space="preserve">FRA </w:t>
      </w:r>
      <w:r w:rsidR="005D1B79">
        <w:rPr>
          <w:szCs w:val="24"/>
        </w:rPr>
        <w:t>does not plan to publish the information collected.</w:t>
      </w:r>
    </w:p>
    <w:p w:rsidR="007027CA" w:rsidP="0038393F" w14:paraId="5641F7E1" w14:textId="77777777">
      <w:pPr>
        <w:widowControl w:val="0"/>
        <w:ind w:firstLine="720"/>
        <w:rPr>
          <w:szCs w:val="24"/>
        </w:rPr>
      </w:pPr>
    </w:p>
    <w:p w:rsidR="0038393F" w:rsidRPr="00D863FB" w:rsidP="0038393F" w14:paraId="2C0B131D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17.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Approval for not displaying the expiration date for OMB approval</w:t>
      </w:r>
      <w:r w:rsidRPr="007E62DC">
        <w:rPr>
          <w:szCs w:val="24"/>
        </w:rPr>
        <w:t>.</w:t>
      </w:r>
    </w:p>
    <w:p w:rsidR="0038393F" w:rsidRPr="00D863FB" w:rsidP="0038393F" w14:paraId="3FE90931" w14:textId="77777777">
      <w:pPr>
        <w:widowControl w:val="0"/>
        <w:rPr>
          <w:szCs w:val="24"/>
        </w:rPr>
      </w:pPr>
    </w:p>
    <w:p w:rsidR="0038393F" w:rsidP="0038393F" w14:paraId="6A12657B" w14:textId="0910DCF7">
      <w:pPr>
        <w:widowControl w:val="0"/>
        <w:ind w:firstLine="720"/>
        <w:rPr>
          <w:szCs w:val="24"/>
        </w:rPr>
      </w:pPr>
      <w:r w:rsidRPr="00561B7F">
        <w:rPr>
          <w:szCs w:val="24"/>
        </w:rPr>
        <w:t xml:space="preserve">FRA </w:t>
      </w:r>
      <w:r w:rsidR="005D1B79">
        <w:rPr>
          <w:szCs w:val="24"/>
        </w:rPr>
        <w:t>will be displaying the expiration date.</w:t>
      </w:r>
    </w:p>
    <w:p w:rsidR="0038393F" w:rsidRPr="00D863FB" w:rsidP="0038393F" w14:paraId="5ECC00DD" w14:textId="77777777">
      <w:pPr>
        <w:widowControl w:val="0"/>
        <w:rPr>
          <w:szCs w:val="24"/>
        </w:rPr>
      </w:pPr>
    </w:p>
    <w:p w:rsidR="0038393F" w:rsidRPr="00D863FB" w:rsidP="0038393F" w14:paraId="534A0EAD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18.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Exception to certification statement</w:t>
      </w:r>
      <w:r w:rsidRPr="007E62DC">
        <w:rPr>
          <w:szCs w:val="24"/>
        </w:rPr>
        <w:t>.</w:t>
      </w:r>
    </w:p>
    <w:p w:rsidR="0038393F" w:rsidRPr="00D863FB" w:rsidP="0038393F" w14:paraId="5B21EE5E" w14:textId="77777777">
      <w:pPr>
        <w:widowControl w:val="0"/>
        <w:rPr>
          <w:b/>
          <w:szCs w:val="24"/>
        </w:rPr>
      </w:pPr>
    </w:p>
    <w:p w:rsidR="0038393F" w:rsidRPr="00D863FB" w:rsidP="0038393F" w14:paraId="3FC27F17" w14:textId="77777777">
      <w:pPr>
        <w:widowControl w:val="0"/>
        <w:ind w:left="720"/>
        <w:rPr>
          <w:szCs w:val="24"/>
        </w:rPr>
      </w:pPr>
      <w:r w:rsidRPr="00D863FB">
        <w:rPr>
          <w:szCs w:val="24"/>
        </w:rPr>
        <w:t>No exceptions are taken at this time.</w:t>
      </w:r>
    </w:p>
    <w:p w:rsidR="00FB79AA" w:rsidRPr="000A2EA6" w:rsidP="0038393F" w14:paraId="33C0B488" w14:textId="77777777">
      <w:pPr>
        <w:widowControl w:val="0"/>
        <w:ind w:left="720" w:hanging="720"/>
        <w:rPr>
          <w:szCs w:val="24"/>
        </w:rPr>
      </w:pPr>
    </w:p>
    <w:sectPr w:rsidSect="00B10A3D">
      <w:type w:val="continuous"/>
      <w:pgSz w:w="12240" w:h="15840"/>
      <w:pgMar w:top="1440" w:right="1080" w:bottom="1440" w:left="1080" w:header="1440" w:footer="61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53260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84D" w14:paraId="232A218F" w14:textId="50B93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4EA2" w14:paraId="22562758" w14:textId="777777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6200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84D" w14:paraId="76F72271" w14:textId="4C34C9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4EA2" w14:paraId="01F143DD" w14:textId="77777777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A5ACB" w14:paraId="6AD96436" w14:textId="77777777">
      <w:r>
        <w:separator/>
      </w:r>
    </w:p>
  </w:footnote>
  <w:footnote w:type="continuationSeparator" w:id="1">
    <w:p w:rsidR="00EA5ACB" w14:paraId="1158F956" w14:textId="77777777">
      <w:r>
        <w:continuationSeparator/>
      </w:r>
    </w:p>
  </w:footnote>
  <w:footnote w:type="continuationNotice" w:id="2">
    <w:p w:rsidR="00EA5ACB" w14:paraId="53B6570B" w14:textId="77777777"/>
  </w:footnote>
  <w:footnote w:id="3">
    <w:p w:rsidR="00C20B9E" w:rsidP="00306CFA" w14:paraId="3CEB0C2E" w14:textId="15D376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4687">
        <w:t>91 FR 4166</w:t>
      </w:r>
      <w:r w:rsidR="008460B4">
        <w:t>.</w:t>
      </w:r>
    </w:p>
  </w:footnote>
  <w:footnote w:id="4">
    <w:p w:rsidR="005B2A29" w:rsidP="00306CFA" w14:paraId="457DB934" w14:textId="66B50BBE">
      <w:pPr>
        <w:pStyle w:val="FootnoteText"/>
      </w:pPr>
      <w:r w:rsidRPr="00C0077A">
        <w:rPr>
          <w:rStyle w:val="FootnoteReference"/>
        </w:rPr>
        <w:footnoteRef/>
      </w:r>
      <w:r w:rsidRPr="0031022A">
        <w:t xml:space="preserve"> Surface Transportation Board (STB), </w:t>
      </w:r>
      <w:r w:rsidRPr="0031022A">
        <w:rPr>
          <w:i/>
          <w:iCs/>
        </w:rPr>
        <w:t>Quarterly Wage Form A&amp;B Data</w:t>
      </w:r>
      <w:r w:rsidRPr="0031022A">
        <w:t xml:space="preserve"> (2024). Compiled from Class I railroad data reported on Wage Form A&amp;B for year 2024. Calculated as: Wage ($/hour) = sum of </w:t>
      </w:r>
      <w:r w:rsidRPr="0031022A">
        <w:rPr>
          <w:i/>
          <w:iCs/>
        </w:rPr>
        <w:t>compensation for time worked and paid for straight time rates</w:t>
      </w:r>
      <w:r w:rsidRPr="0031022A">
        <w:t xml:space="preserve"> ($) for Class I railroads ÷ sum of </w:t>
      </w:r>
      <w:r w:rsidRPr="0031022A">
        <w:rPr>
          <w:i/>
          <w:iCs/>
        </w:rPr>
        <w:t xml:space="preserve">service hours for time worked and paid for straight time rates </w:t>
      </w:r>
      <w:r w:rsidRPr="0031022A">
        <w:t xml:space="preserve">(hours) for Class I railroads. Available: </w:t>
      </w:r>
      <w:r w:rsidRPr="008F1E43">
        <w:t>https://www.stb.gov/reports-data/economic-data/quarterly-wage-ab-data/</w:t>
      </w:r>
      <w:r w:rsidRPr="0031022A">
        <w:t>.</w:t>
      </w:r>
      <w:r>
        <w:t xml:space="preserve"> Using employee group 200 (Professional and Administrative) hourly wage rate of $51.54 multiplied by 1.75 gives a total burdened wage rate of $90.19.</w:t>
      </w:r>
    </w:p>
  </w:footnote>
  <w:footnote w:id="5">
    <w:p w:rsidR="005E7F35" w:rsidP="003053FF" w14:paraId="4B40E28B" w14:textId="1F67888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5E7F35">
        <w:t xml:space="preserve">To calculate the government administrative cost, the 2025 Office of Personnel </w:t>
      </w:r>
      <w:r w:rsidR="00A147DE">
        <w:t>M</w:t>
      </w:r>
      <w:r w:rsidRPr="005E7F35">
        <w:t>anagement wage rates were used. Wages are considered at the burdened wage rate by multiplying the actual wage rate by an overhead cost of 75%.  $66.13 x 1.75  = $115.73.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4EA2" w14:paraId="5ECF9F1F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4EA2" w14:paraId="68BD16CA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EA61A6"/>
    <w:multiLevelType w:val="hybridMultilevel"/>
    <w:tmpl w:val="5E62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139EF"/>
    <w:multiLevelType w:val="hybridMultilevel"/>
    <w:tmpl w:val="B7FA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11440"/>
    <w:multiLevelType w:val="hybridMultilevel"/>
    <w:tmpl w:val="AFE80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302"/>
    <w:multiLevelType w:val="hybridMultilevel"/>
    <w:tmpl w:val="EAA08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22845">
    <w:abstractNumId w:val="0"/>
  </w:num>
  <w:num w:numId="2" w16cid:durableId="3171244">
    <w:abstractNumId w:val="2"/>
  </w:num>
  <w:num w:numId="3" w16cid:durableId="1790078250">
    <w:abstractNumId w:val="1"/>
  </w:num>
  <w:num w:numId="4" w16cid:durableId="1791852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BB"/>
    <w:rsid w:val="00000144"/>
    <w:rsid w:val="0000235A"/>
    <w:rsid w:val="00011C68"/>
    <w:rsid w:val="00012625"/>
    <w:rsid w:val="0001388A"/>
    <w:rsid w:val="000219DB"/>
    <w:rsid w:val="000230C5"/>
    <w:rsid w:val="00027DC4"/>
    <w:rsid w:val="00035EA7"/>
    <w:rsid w:val="00037857"/>
    <w:rsid w:val="00044E3E"/>
    <w:rsid w:val="00045708"/>
    <w:rsid w:val="00046490"/>
    <w:rsid w:val="0005721A"/>
    <w:rsid w:val="00064926"/>
    <w:rsid w:val="000708D3"/>
    <w:rsid w:val="000735B8"/>
    <w:rsid w:val="00082051"/>
    <w:rsid w:val="00082874"/>
    <w:rsid w:val="000846C7"/>
    <w:rsid w:val="00085974"/>
    <w:rsid w:val="0008675D"/>
    <w:rsid w:val="00092208"/>
    <w:rsid w:val="000931A9"/>
    <w:rsid w:val="00094D3C"/>
    <w:rsid w:val="000A2EA6"/>
    <w:rsid w:val="000A4AF7"/>
    <w:rsid w:val="000A54C5"/>
    <w:rsid w:val="000A588E"/>
    <w:rsid w:val="000B2512"/>
    <w:rsid w:val="000B3B03"/>
    <w:rsid w:val="000B74A1"/>
    <w:rsid w:val="000C02B6"/>
    <w:rsid w:val="000C110F"/>
    <w:rsid w:val="000C1470"/>
    <w:rsid w:val="000C6A00"/>
    <w:rsid w:val="000E541C"/>
    <w:rsid w:val="000E759F"/>
    <w:rsid w:val="000F6A51"/>
    <w:rsid w:val="001053A2"/>
    <w:rsid w:val="00125933"/>
    <w:rsid w:val="0012779C"/>
    <w:rsid w:val="00150415"/>
    <w:rsid w:val="00161D3A"/>
    <w:rsid w:val="00167E49"/>
    <w:rsid w:val="001721B6"/>
    <w:rsid w:val="00172500"/>
    <w:rsid w:val="00173A01"/>
    <w:rsid w:val="00177E4B"/>
    <w:rsid w:val="001843FB"/>
    <w:rsid w:val="001845B9"/>
    <w:rsid w:val="00186543"/>
    <w:rsid w:val="001941E2"/>
    <w:rsid w:val="001966F3"/>
    <w:rsid w:val="001A7AA6"/>
    <w:rsid w:val="001B27AC"/>
    <w:rsid w:val="001B3745"/>
    <w:rsid w:val="001B6F3A"/>
    <w:rsid w:val="001C09F2"/>
    <w:rsid w:val="001C2F4B"/>
    <w:rsid w:val="001C46E7"/>
    <w:rsid w:val="001C5079"/>
    <w:rsid w:val="001C6565"/>
    <w:rsid w:val="001C7C0E"/>
    <w:rsid w:val="001E22D7"/>
    <w:rsid w:val="001E3584"/>
    <w:rsid w:val="001E4E90"/>
    <w:rsid w:val="001E6C1B"/>
    <w:rsid w:val="001F19B2"/>
    <w:rsid w:val="00202ED9"/>
    <w:rsid w:val="0021245B"/>
    <w:rsid w:val="00212E71"/>
    <w:rsid w:val="0021374E"/>
    <w:rsid w:val="002226E5"/>
    <w:rsid w:val="00223E8D"/>
    <w:rsid w:val="00234E49"/>
    <w:rsid w:val="00236A57"/>
    <w:rsid w:val="00243B52"/>
    <w:rsid w:val="002445A3"/>
    <w:rsid w:val="002571B4"/>
    <w:rsid w:val="00267E8D"/>
    <w:rsid w:val="0027458B"/>
    <w:rsid w:val="00276D03"/>
    <w:rsid w:val="00280909"/>
    <w:rsid w:val="00283BEB"/>
    <w:rsid w:val="00283D09"/>
    <w:rsid w:val="00292CB3"/>
    <w:rsid w:val="002A2307"/>
    <w:rsid w:val="002A536A"/>
    <w:rsid w:val="002B0CA9"/>
    <w:rsid w:val="002B26C5"/>
    <w:rsid w:val="002B2E75"/>
    <w:rsid w:val="002C05CB"/>
    <w:rsid w:val="002D2B2C"/>
    <w:rsid w:val="002D3965"/>
    <w:rsid w:val="002D56AD"/>
    <w:rsid w:val="002D647D"/>
    <w:rsid w:val="002D79B5"/>
    <w:rsid w:val="002D7A6A"/>
    <w:rsid w:val="002E38B1"/>
    <w:rsid w:val="002E4B9F"/>
    <w:rsid w:val="002E5079"/>
    <w:rsid w:val="002F16B1"/>
    <w:rsid w:val="002F370D"/>
    <w:rsid w:val="002F3B9B"/>
    <w:rsid w:val="002F4687"/>
    <w:rsid w:val="003053FF"/>
    <w:rsid w:val="00306CFA"/>
    <w:rsid w:val="0031022A"/>
    <w:rsid w:val="00310C5B"/>
    <w:rsid w:val="00313D55"/>
    <w:rsid w:val="00314EAA"/>
    <w:rsid w:val="00317823"/>
    <w:rsid w:val="00320489"/>
    <w:rsid w:val="00322CD6"/>
    <w:rsid w:val="00324D47"/>
    <w:rsid w:val="00333C31"/>
    <w:rsid w:val="003444CD"/>
    <w:rsid w:val="003468AB"/>
    <w:rsid w:val="00351117"/>
    <w:rsid w:val="0035112D"/>
    <w:rsid w:val="003516D7"/>
    <w:rsid w:val="003662CB"/>
    <w:rsid w:val="00367E7A"/>
    <w:rsid w:val="0038393F"/>
    <w:rsid w:val="00386DE1"/>
    <w:rsid w:val="00387BA3"/>
    <w:rsid w:val="0039287D"/>
    <w:rsid w:val="00395A05"/>
    <w:rsid w:val="003A1105"/>
    <w:rsid w:val="003B397D"/>
    <w:rsid w:val="003B471A"/>
    <w:rsid w:val="003C00F7"/>
    <w:rsid w:val="003C0B26"/>
    <w:rsid w:val="003C1C4C"/>
    <w:rsid w:val="003C66C8"/>
    <w:rsid w:val="003C795E"/>
    <w:rsid w:val="003D0771"/>
    <w:rsid w:val="003D78A9"/>
    <w:rsid w:val="003F35B3"/>
    <w:rsid w:val="003F47C6"/>
    <w:rsid w:val="003F57B3"/>
    <w:rsid w:val="003F6C0E"/>
    <w:rsid w:val="003F6E0D"/>
    <w:rsid w:val="00406F0C"/>
    <w:rsid w:val="004144E7"/>
    <w:rsid w:val="00424E82"/>
    <w:rsid w:val="00427C51"/>
    <w:rsid w:val="00430171"/>
    <w:rsid w:val="00435EBE"/>
    <w:rsid w:val="00437FF0"/>
    <w:rsid w:val="00452CF6"/>
    <w:rsid w:val="00454437"/>
    <w:rsid w:val="004611EB"/>
    <w:rsid w:val="00464930"/>
    <w:rsid w:val="004661E5"/>
    <w:rsid w:val="004677B8"/>
    <w:rsid w:val="004731FB"/>
    <w:rsid w:val="00475D47"/>
    <w:rsid w:val="00484FD4"/>
    <w:rsid w:val="0048663C"/>
    <w:rsid w:val="00490946"/>
    <w:rsid w:val="004A6178"/>
    <w:rsid w:val="004C65E1"/>
    <w:rsid w:val="004C69E5"/>
    <w:rsid w:val="004D338A"/>
    <w:rsid w:val="004D4EA2"/>
    <w:rsid w:val="004D4FF6"/>
    <w:rsid w:val="004E0F5A"/>
    <w:rsid w:val="004E38BF"/>
    <w:rsid w:val="004E39EB"/>
    <w:rsid w:val="004F1117"/>
    <w:rsid w:val="004F51CC"/>
    <w:rsid w:val="004F60A7"/>
    <w:rsid w:val="00501857"/>
    <w:rsid w:val="005034F0"/>
    <w:rsid w:val="00515A39"/>
    <w:rsid w:val="00527A08"/>
    <w:rsid w:val="00532FFC"/>
    <w:rsid w:val="005344DE"/>
    <w:rsid w:val="00546AC1"/>
    <w:rsid w:val="00546D3E"/>
    <w:rsid w:val="00554F51"/>
    <w:rsid w:val="00561B7F"/>
    <w:rsid w:val="00565EFF"/>
    <w:rsid w:val="00570EEB"/>
    <w:rsid w:val="005711C4"/>
    <w:rsid w:val="005768EB"/>
    <w:rsid w:val="00583AC1"/>
    <w:rsid w:val="00585836"/>
    <w:rsid w:val="005872C4"/>
    <w:rsid w:val="00592C05"/>
    <w:rsid w:val="00593E79"/>
    <w:rsid w:val="00594308"/>
    <w:rsid w:val="005A2A9F"/>
    <w:rsid w:val="005A41C1"/>
    <w:rsid w:val="005A6C1A"/>
    <w:rsid w:val="005A6E66"/>
    <w:rsid w:val="005B2A29"/>
    <w:rsid w:val="005B6398"/>
    <w:rsid w:val="005C0A2B"/>
    <w:rsid w:val="005C4459"/>
    <w:rsid w:val="005D180B"/>
    <w:rsid w:val="005D1B79"/>
    <w:rsid w:val="005D390A"/>
    <w:rsid w:val="005D6AA4"/>
    <w:rsid w:val="005E2777"/>
    <w:rsid w:val="005E3B94"/>
    <w:rsid w:val="005E4208"/>
    <w:rsid w:val="005E5458"/>
    <w:rsid w:val="005E7F35"/>
    <w:rsid w:val="005F5123"/>
    <w:rsid w:val="005F5EF0"/>
    <w:rsid w:val="00610F85"/>
    <w:rsid w:val="0061106D"/>
    <w:rsid w:val="00613364"/>
    <w:rsid w:val="00613698"/>
    <w:rsid w:val="00615C68"/>
    <w:rsid w:val="006227D7"/>
    <w:rsid w:val="00625455"/>
    <w:rsid w:val="00627D12"/>
    <w:rsid w:val="006400F9"/>
    <w:rsid w:val="00640D54"/>
    <w:rsid w:val="0066240E"/>
    <w:rsid w:val="00664C10"/>
    <w:rsid w:val="00665C81"/>
    <w:rsid w:val="00672A3E"/>
    <w:rsid w:val="00672E43"/>
    <w:rsid w:val="0068040C"/>
    <w:rsid w:val="006833D2"/>
    <w:rsid w:val="006868CF"/>
    <w:rsid w:val="006975C6"/>
    <w:rsid w:val="006B57B6"/>
    <w:rsid w:val="006B5B06"/>
    <w:rsid w:val="006C09E9"/>
    <w:rsid w:val="006C6B5D"/>
    <w:rsid w:val="006D1793"/>
    <w:rsid w:val="006D4445"/>
    <w:rsid w:val="006D5AAA"/>
    <w:rsid w:val="006D704F"/>
    <w:rsid w:val="006D7DF8"/>
    <w:rsid w:val="006E206C"/>
    <w:rsid w:val="006F05EB"/>
    <w:rsid w:val="006F6258"/>
    <w:rsid w:val="007027CA"/>
    <w:rsid w:val="007133FA"/>
    <w:rsid w:val="00714DF5"/>
    <w:rsid w:val="00715B30"/>
    <w:rsid w:val="00727403"/>
    <w:rsid w:val="007318CF"/>
    <w:rsid w:val="0073364E"/>
    <w:rsid w:val="007357CA"/>
    <w:rsid w:val="00741852"/>
    <w:rsid w:val="007469FD"/>
    <w:rsid w:val="00753EA9"/>
    <w:rsid w:val="00755EEC"/>
    <w:rsid w:val="00774127"/>
    <w:rsid w:val="00776C06"/>
    <w:rsid w:val="00782C8E"/>
    <w:rsid w:val="00783A35"/>
    <w:rsid w:val="00786027"/>
    <w:rsid w:val="00791F38"/>
    <w:rsid w:val="0079383B"/>
    <w:rsid w:val="00795BD6"/>
    <w:rsid w:val="00796A89"/>
    <w:rsid w:val="00796FB7"/>
    <w:rsid w:val="007A32ED"/>
    <w:rsid w:val="007A39F4"/>
    <w:rsid w:val="007A48DA"/>
    <w:rsid w:val="007A546A"/>
    <w:rsid w:val="007B4418"/>
    <w:rsid w:val="007B5E1C"/>
    <w:rsid w:val="007C0B25"/>
    <w:rsid w:val="007C0C4C"/>
    <w:rsid w:val="007C40B2"/>
    <w:rsid w:val="007C6139"/>
    <w:rsid w:val="007C7176"/>
    <w:rsid w:val="007D2FF4"/>
    <w:rsid w:val="007E62DC"/>
    <w:rsid w:val="007E669A"/>
    <w:rsid w:val="007E67A8"/>
    <w:rsid w:val="007E7E49"/>
    <w:rsid w:val="007F3B4E"/>
    <w:rsid w:val="00800BDC"/>
    <w:rsid w:val="008227FA"/>
    <w:rsid w:val="008460B4"/>
    <w:rsid w:val="00846253"/>
    <w:rsid w:val="00851446"/>
    <w:rsid w:val="008562FD"/>
    <w:rsid w:val="00860535"/>
    <w:rsid w:val="0086165A"/>
    <w:rsid w:val="008658FD"/>
    <w:rsid w:val="0086720C"/>
    <w:rsid w:val="00870DDB"/>
    <w:rsid w:val="008723BF"/>
    <w:rsid w:val="00873082"/>
    <w:rsid w:val="00874E64"/>
    <w:rsid w:val="00884154"/>
    <w:rsid w:val="008866CD"/>
    <w:rsid w:val="00897F98"/>
    <w:rsid w:val="008A5114"/>
    <w:rsid w:val="008A5B6D"/>
    <w:rsid w:val="008B1D35"/>
    <w:rsid w:val="008B63F9"/>
    <w:rsid w:val="008C101C"/>
    <w:rsid w:val="008C63AE"/>
    <w:rsid w:val="008D3170"/>
    <w:rsid w:val="008D38EF"/>
    <w:rsid w:val="008D4455"/>
    <w:rsid w:val="008D4BAB"/>
    <w:rsid w:val="008D70DD"/>
    <w:rsid w:val="008E0457"/>
    <w:rsid w:val="008E7247"/>
    <w:rsid w:val="008F1E43"/>
    <w:rsid w:val="008F42C3"/>
    <w:rsid w:val="008F48FF"/>
    <w:rsid w:val="008F4DCC"/>
    <w:rsid w:val="008F5E63"/>
    <w:rsid w:val="00900A2F"/>
    <w:rsid w:val="00901010"/>
    <w:rsid w:val="00901E2D"/>
    <w:rsid w:val="0090781D"/>
    <w:rsid w:val="00920DD9"/>
    <w:rsid w:val="0092320D"/>
    <w:rsid w:val="009233E3"/>
    <w:rsid w:val="00923C7D"/>
    <w:rsid w:val="00930654"/>
    <w:rsid w:val="009335BA"/>
    <w:rsid w:val="00933A89"/>
    <w:rsid w:val="00941069"/>
    <w:rsid w:val="009410FD"/>
    <w:rsid w:val="009441DA"/>
    <w:rsid w:val="00950886"/>
    <w:rsid w:val="009539D8"/>
    <w:rsid w:val="009558EA"/>
    <w:rsid w:val="0095675F"/>
    <w:rsid w:val="00957DF2"/>
    <w:rsid w:val="0097002D"/>
    <w:rsid w:val="00975E67"/>
    <w:rsid w:val="00977366"/>
    <w:rsid w:val="00982FDD"/>
    <w:rsid w:val="009848B8"/>
    <w:rsid w:val="009910A3"/>
    <w:rsid w:val="00994AFF"/>
    <w:rsid w:val="00996793"/>
    <w:rsid w:val="009A1446"/>
    <w:rsid w:val="009A7457"/>
    <w:rsid w:val="009B0607"/>
    <w:rsid w:val="009B0955"/>
    <w:rsid w:val="009B262A"/>
    <w:rsid w:val="009C6F48"/>
    <w:rsid w:val="009D262E"/>
    <w:rsid w:val="009D3A40"/>
    <w:rsid w:val="009D4808"/>
    <w:rsid w:val="009D6E21"/>
    <w:rsid w:val="009E4A04"/>
    <w:rsid w:val="009F06C9"/>
    <w:rsid w:val="009F09DF"/>
    <w:rsid w:val="00A00AF1"/>
    <w:rsid w:val="00A02DFC"/>
    <w:rsid w:val="00A05C1F"/>
    <w:rsid w:val="00A10923"/>
    <w:rsid w:val="00A13D53"/>
    <w:rsid w:val="00A147DE"/>
    <w:rsid w:val="00A23E22"/>
    <w:rsid w:val="00A25F9A"/>
    <w:rsid w:val="00A264BB"/>
    <w:rsid w:val="00A266C0"/>
    <w:rsid w:val="00A3202B"/>
    <w:rsid w:val="00A33122"/>
    <w:rsid w:val="00A350C7"/>
    <w:rsid w:val="00A371C5"/>
    <w:rsid w:val="00A37401"/>
    <w:rsid w:val="00A4136A"/>
    <w:rsid w:val="00A441FA"/>
    <w:rsid w:val="00A4606E"/>
    <w:rsid w:val="00A52645"/>
    <w:rsid w:val="00A54B68"/>
    <w:rsid w:val="00A553CE"/>
    <w:rsid w:val="00A55A0B"/>
    <w:rsid w:val="00A56334"/>
    <w:rsid w:val="00A60C8A"/>
    <w:rsid w:val="00A62DFC"/>
    <w:rsid w:val="00A65689"/>
    <w:rsid w:val="00A668F5"/>
    <w:rsid w:val="00A669EE"/>
    <w:rsid w:val="00A70532"/>
    <w:rsid w:val="00A74E2A"/>
    <w:rsid w:val="00A75564"/>
    <w:rsid w:val="00A773F3"/>
    <w:rsid w:val="00A80E20"/>
    <w:rsid w:val="00A84D75"/>
    <w:rsid w:val="00A92402"/>
    <w:rsid w:val="00A95C8A"/>
    <w:rsid w:val="00A97AE3"/>
    <w:rsid w:val="00A97B4F"/>
    <w:rsid w:val="00A97BEA"/>
    <w:rsid w:val="00AA61B8"/>
    <w:rsid w:val="00AB3AAE"/>
    <w:rsid w:val="00AB5E4C"/>
    <w:rsid w:val="00AC1EAE"/>
    <w:rsid w:val="00AC3BD3"/>
    <w:rsid w:val="00AC6EAD"/>
    <w:rsid w:val="00AD1627"/>
    <w:rsid w:val="00AD7AEB"/>
    <w:rsid w:val="00AE4E06"/>
    <w:rsid w:val="00AE764E"/>
    <w:rsid w:val="00AF1DA6"/>
    <w:rsid w:val="00AF27B4"/>
    <w:rsid w:val="00B009A5"/>
    <w:rsid w:val="00B03AD7"/>
    <w:rsid w:val="00B10A3D"/>
    <w:rsid w:val="00B10C31"/>
    <w:rsid w:val="00B37ED3"/>
    <w:rsid w:val="00B47231"/>
    <w:rsid w:val="00B5229F"/>
    <w:rsid w:val="00B54F5B"/>
    <w:rsid w:val="00B5750F"/>
    <w:rsid w:val="00B57D95"/>
    <w:rsid w:val="00B651DE"/>
    <w:rsid w:val="00B67662"/>
    <w:rsid w:val="00B73061"/>
    <w:rsid w:val="00B731B6"/>
    <w:rsid w:val="00B73D82"/>
    <w:rsid w:val="00B81F67"/>
    <w:rsid w:val="00B90903"/>
    <w:rsid w:val="00BA3B24"/>
    <w:rsid w:val="00BA54DA"/>
    <w:rsid w:val="00BA5586"/>
    <w:rsid w:val="00BB372F"/>
    <w:rsid w:val="00BC03CF"/>
    <w:rsid w:val="00BC59F4"/>
    <w:rsid w:val="00BC5F1B"/>
    <w:rsid w:val="00BC644E"/>
    <w:rsid w:val="00BD3F8E"/>
    <w:rsid w:val="00BD7CBC"/>
    <w:rsid w:val="00BE1571"/>
    <w:rsid w:val="00BE7C31"/>
    <w:rsid w:val="00BF1655"/>
    <w:rsid w:val="00BF2140"/>
    <w:rsid w:val="00C00474"/>
    <w:rsid w:val="00C00875"/>
    <w:rsid w:val="00C00B9A"/>
    <w:rsid w:val="00C05AFA"/>
    <w:rsid w:val="00C07B3A"/>
    <w:rsid w:val="00C143EA"/>
    <w:rsid w:val="00C20B9E"/>
    <w:rsid w:val="00C21E1B"/>
    <w:rsid w:val="00C27D87"/>
    <w:rsid w:val="00C43B12"/>
    <w:rsid w:val="00C43CD9"/>
    <w:rsid w:val="00C43F34"/>
    <w:rsid w:val="00C52F12"/>
    <w:rsid w:val="00C616D6"/>
    <w:rsid w:val="00C67216"/>
    <w:rsid w:val="00C730B4"/>
    <w:rsid w:val="00C84591"/>
    <w:rsid w:val="00C91096"/>
    <w:rsid w:val="00CA2FDF"/>
    <w:rsid w:val="00CA67B3"/>
    <w:rsid w:val="00CA784D"/>
    <w:rsid w:val="00CB1D00"/>
    <w:rsid w:val="00CC066B"/>
    <w:rsid w:val="00CC1480"/>
    <w:rsid w:val="00CC2135"/>
    <w:rsid w:val="00CC3F2B"/>
    <w:rsid w:val="00CC4397"/>
    <w:rsid w:val="00CC5A9D"/>
    <w:rsid w:val="00CD2A5F"/>
    <w:rsid w:val="00CD675F"/>
    <w:rsid w:val="00CE623D"/>
    <w:rsid w:val="00CE650B"/>
    <w:rsid w:val="00CE6F17"/>
    <w:rsid w:val="00CF1AAD"/>
    <w:rsid w:val="00CF4417"/>
    <w:rsid w:val="00D000AF"/>
    <w:rsid w:val="00D019D3"/>
    <w:rsid w:val="00D044E9"/>
    <w:rsid w:val="00D26495"/>
    <w:rsid w:val="00D344EA"/>
    <w:rsid w:val="00D351C9"/>
    <w:rsid w:val="00D41796"/>
    <w:rsid w:val="00D438F2"/>
    <w:rsid w:val="00D4654D"/>
    <w:rsid w:val="00D50CFE"/>
    <w:rsid w:val="00D515D6"/>
    <w:rsid w:val="00D53C00"/>
    <w:rsid w:val="00D53DBB"/>
    <w:rsid w:val="00D6070C"/>
    <w:rsid w:val="00D62F5D"/>
    <w:rsid w:val="00D63B35"/>
    <w:rsid w:val="00D67D2D"/>
    <w:rsid w:val="00D736AD"/>
    <w:rsid w:val="00D736EE"/>
    <w:rsid w:val="00D84F9C"/>
    <w:rsid w:val="00D863FB"/>
    <w:rsid w:val="00D86AB5"/>
    <w:rsid w:val="00D8776A"/>
    <w:rsid w:val="00D923A4"/>
    <w:rsid w:val="00D9577D"/>
    <w:rsid w:val="00DA43E0"/>
    <w:rsid w:val="00DB7DDE"/>
    <w:rsid w:val="00DC35AF"/>
    <w:rsid w:val="00DC35B3"/>
    <w:rsid w:val="00DC480A"/>
    <w:rsid w:val="00DD2B43"/>
    <w:rsid w:val="00DD6F3C"/>
    <w:rsid w:val="00DF1FD2"/>
    <w:rsid w:val="00DF4920"/>
    <w:rsid w:val="00E02038"/>
    <w:rsid w:val="00E1307B"/>
    <w:rsid w:val="00E1642D"/>
    <w:rsid w:val="00E20464"/>
    <w:rsid w:val="00E224E0"/>
    <w:rsid w:val="00E27CF7"/>
    <w:rsid w:val="00E30112"/>
    <w:rsid w:val="00E306E3"/>
    <w:rsid w:val="00E32995"/>
    <w:rsid w:val="00E33748"/>
    <w:rsid w:val="00E36634"/>
    <w:rsid w:val="00E368DD"/>
    <w:rsid w:val="00E429C9"/>
    <w:rsid w:val="00E45795"/>
    <w:rsid w:val="00E464E0"/>
    <w:rsid w:val="00E477D2"/>
    <w:rsid w:val="00E50030"/>
    <w:rsid w:val="00E5630C"/>
    <w:rsid w:val="00E56A92"/>
    <w:rsid w:val="00E60649"/>
    <w:rsid w:val="00E607E8"/>
    <w:rsid w:val="00E6315B"/>
    <w:rsid w:val="00E640AF"/>
    <w:rsid w:val="00E70A1D"/>
    <w:rsid w:val="00E711B1"/>
    <w:rsid w:val="00E86AE5"/>
    <w:rsid w:val="00E9268A"/>
    <w:rsid w:val="00E94C0F"/>
    <w:rsid w:val="00E95213"/>
    <w:rsid w:val="00E96CCC"/>
    <w:rsid w:val="00E973EF"/>
    <w:rsid w:val="00EA5ACB"/>
    <w:rsid w:val="00EA75F2"/>
    <w:rsid w:val="00EB0656"/>
    <w:rsid w:val="00EB09F6"/>
    <w:rsid w:val="00EB36B3"/>
    <w:rsid w:val="00EB7555"/>
    <w:rsid w:val="00EC65D6"/>
    <w:rsid w:val="00EE1DD6"/>
    <w:rsid w:val="00EE1E34"/>
    <w:rsid w:val="00EE4999"/>
    <w:rsid w:val="00EF2373"/>
    <w:rsid w:val="00EF27C9"/>
    <w:rsid w:val="00EF4CEE"/>
    <w:rsid w:val="00F04636"/>
    <w:rsid w:val="00F065D4"/>
    <w:rsid w:val="00F123B6"/>
    <w:rsid w:val="00F16E49"/>
    <w:rsid w:val="00F25607"/>
    <w:rsid w:val="00F3084A"/>
    <w:rsid w:val="00F31547"/>
    <w:rsid w:val="00F352A1"/>
    <w:rsid w:val="00F369E8"/>
    <w:rsid w:val="00F415D7"/>
    <w:rsid w:val="00F4370B"/>
    <w:rsid w:val="00F50C24"/>
    <w:rsid w:val="00F55746"/>
    <w:rsid w:val="00F56C53"/>
    <w:rsid w:val="00F57216"/>
    <w:rsid w:val="00F85B64"/>
    <w:rsid w:val="00F87BD4"/>
    <w:rsid w:val="00F900F1"/>
    <w:rsid w:val="00F90D4A"/>
    <w:rsid w:val="00F92D11"/>
    <w:rsid w:val="00FA170C"/>
    <w:rsid w:val="00FA6D37"/>
    <w:rsid w:val="00FA73A2"/>
    <w:rsid w:val="00FA78EB"/>
    <w:rsid w:val="00FB02DA"/>
    <w:rsid w:val="00FB4888"/>
    <w:rsid w:val="00FB6EAB"/>
    <w:rsid w:val="00FB79AA"/>
    <w:rsid w:val="00FC04BE"/>
    <w:rsid w:val="00FC0F10"/>
    <w:rsid w:val="00FC3767"/>
    <w:rsid w:val="00FD134E"/>
    <w:rsid w:val="00FD2D5C"/>
    <w:rsid w:val="00FD3301"/>
    <w:rsid w:val="00FE1030"/>
    <w:rsid w:val="00FE2ECC"/>
    <w:rsid w:val="00FE3E50"/>
    <w:rsid w:val="00FF3FB0"/>
    <w:rsid w:val="3B20DB71"/>
    <w:rsid w:val="6FE839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37B891"/>
  <w15:docId w15:val="{2DA65151-1F48-4FA7-BCB1-A234C052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30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3061"/>
  </w:style>
  <w:style w:type="paragraph" w:styleId="ListParagraph">
    <w:name w:val="List Paragraph"/>
    <w:basedOn w:val="Normal"/>
    <w:uiPriority w:val="99"/>
    <w:qFormat/>
    <w:rsid w:val="001C2F4B"/>
    <w:pPr>
      <w:ind w:left="720"/>
    </w:pPr>
  </w:style>
  <w:style w:type="paragraph" w:styleId="FootnoteText">
    <w:name w:val="footnote text"/>
    <w:basedOn w:val="Normal"/>
    <w:link w:val="FootnoteTextChar"/>
    <w:uiPriority w:val="99"/>
    <w:qFormat/>
    <w:rsid w:val="007318C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18CF"/>
  </w:style>
  <w:style w:type="character" w:styleId="FootnoteReference">
    <w:name w:val="footnote reference"/>
    <w:basedOn w:val="DefaultParagraphFont"/>
    <w:uiPriority w:val="99"/>
    <w:qFormat/>
    <w:rsid w:val="007318CF"/>
    <w:rPr>
      <w:vertAlign w:val="superscript"/>
    </w:rPr>
  </w:style>
  <w:style w:type="paragraph" w:styleId="BalloonText">
    <w:name w:val="Balloon Text"/>
    <w:basedOn w:val="Normal"/>
    <w:link w:val="BalloonTextChar"/>
    <w:rsid w:val="00B10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0C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C05A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FA"/>
  </w:style>
  <w:style w:type="paragraph" w:styleId="CommentSubject">
    <w:name w:val="annotation subject"/>
    <w:basedOn w:val="CommentText"/>
    <w:next w:val="CommentText"/>
    <w:link w:val="CommentSubjectChar"/>
    <w:rsid w:val="00C05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FA"/>
    <w:rPr>
      <w:b/>
      <w:bCs/>
    </w:rPr>
  </w:style>
  <w:style w:type="paragraph" w:styleId="Header">
    <w:name w:val="header"/>
    <w:basedOn w:val="Normal"/>
    <w:link w:val="HeaderChar"/>
    <w:rsid w:val="00CA7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784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A784D"/>
    <w:rPr>
      <w:sz w:val="24"/>
    </w:rPr>
  </w:style>
  <w:style w:type="character" w:styleId="Hyperlink">
    <w:name w:val="Hyperlink"/>
    <w:basedOn w:val="DefaultParagraphFont"/>
    <w:rsid w:val="00E020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62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F37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0B9E"/>
    <w:rPr>
      <w:sz w:val="24"/>
    </w:rPr>
  </w:style>
  <w:style w:type="character" w:styleId="Mention">
    <w:name w:val="Mention"/>
    <w:basedOn w:val="DefaultParagraphFont"/>
    <w:uiPriority w:val="99"/>
    <w:unhideWhenUsed/>
    <w:rsid w:val="002D7A6A"/>
    <w:rPr>
      <w:color w:val="2B579A"/>
      <w:shd w:val="clear" w:color="auto" w:fill="E1DFDD"/>
    </w:rPr>
  </w:style>
  <w:style w:type="table" w:styleId="TableGrid">
    <w:name w:val="Table Grid"/>
    <w:basedOn w:val="TableNormal"/>
    <w:rsid w:val="00E3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46B0C192ADC43A18D421D72B53E4F" ma:contentTypeVersion="6" ma:contentTypeDescription="Create a new document." ma:contentTypeScope="" ma:versionID="48e104d801ec2045d0b0431ca0363a01">
  <xsd:schema xmlns:xsd="http://www.w3.org/2001/XMLSchema" xmlns:xs="http://www.w3.org/2001/XMLSchema" xmlns:p="http://schemas.microsoft.com/office/2006/metadata/properties" xmlns:ns2="b270c13a-4492-4e1e-b47b-1c9c4fe9105b" xmlns:ns3="e2c2917e-047f-4ef5-af2e-e094bcfe6189" targetNamespace="http://schemas.microsoft.com/office/2006/metadata/properties" ma:root="true" ma:fieldsID="2e256177ae48e4235e07a2b39861501b" ns2:_="" ns3:_="">
    <xsd:import namespace="b270c13a-4492-4e1e-b47b-1c9c4fe9105b"/>
    <xsd:import namespace="e2c2917e-047f-4ef5-af2e-e094bcfe6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0c13a-4492-4e1e-b47b-1c9c4fe91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917e-047f-4ef5-af2e-e094bcfe6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34E-D61D-4CAC-BBF8-BEB54A390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D242B-BBEE-444A-9BA8-EC822416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0c13a-4492-4e1e-b47b-1c9c4fe9105b"/>
    <ds:schemaRef ds:uri="e2c2917e-047f-4ef5-af2e-e094bcfe6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8995E-2D96-4834-82FF-BA52639ED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A2246-B76B-4747-9A48-1A5A42FB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1249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Transportation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Toone, Kim (FRA)</dc:creator>
  <cp:lastModifiedBy>Swafford, Joanne (FRA)</cp:lastModifiedBy>
  <cp:revision>2</cp:revision>
  <cp:lastPrinted>2010-06-04T20:55:00Z</cp:lastPrinted>
  <dcterms:created xsi:type="dcterms:W3CDTF">2026-04-14T12:54:00Z</dcterms:created>
  <dcterms:modified xsi:type="dcterms:W3CDTF">2026-04-14T12:54:00Z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0x0101006DD46B0C192ADC43A18D421D72B53E4F</vt:lpwstr>
  </property>
  <property fmtid="{D5CDD505-2E9C-101B-9397-08002B2CF9AE}" pid="3" name="docLang">
    <vt:lpwstr>en</vt:lpwstr>
  </property>
  <property fmtid="{D5CDD505-2E9C-101B-9397-08002B2CF9AE}" pid="4" name="GrammarlyDocumentId">
    <vt:lpwstr>c3c28603-e713-4f7b-98d0-29e1779c8570</vt:lpwstr>
  </property>
  <property fmtid="{D5CDD505-2E9C-101B-9397-08002B2CF9AE}" pid="5" name="MediaServiceImageTags">
    <vt:lpwstr/>
  </property>
</Properties>
</file>