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5F41" w:rsidRPr="00A577DC" w:rsidP="00A577DC" w14:paraId="3269FABE" w14:textId="34FAE45E">
      <w:pPr>
        <w:spacing w:before="0" w:beforeAutospacing="0" w:after="0" w:afterAutospacing="0"/>
        <w:jc w:val="center"/>
        <w:rPr>
          <w:b/>
          <w:bCs/>
        </w:rPr>
      </w:pPr>
      <w:r w:rsidRPr="00A577DC">
        <w:rPr>
          <w:b/>
          <w:bCs/>
        </w:rPr>
        <w:t>Supporting Statements: Part A</w:t>
      </w:r>
    </w:p>
    <w:p w:rsidR="00A00531" w:rsidRPr="00A577DC" w:rsidP="00A577DC" w14:paraId="26C520F8" w14:textId="7E537AC9">
      <w:pPr>
        <w:spacing w:before="0" w:beforeAutospacing="0" w:after="0" w:afterAutospacing="0"/>
        <w:jc w:val="center"/>
        <w:rPr>
          <w:b/>
          <w:bCs/>
        </w:rPr>
      </w:pPr>
      <w:r w:rsidRPr="00A577DC">
        <w:rPr>
          <w:b/>
          <w:bCs/>
        </w:rPr>
        <w:t>49 CFR 5</w:t>
      </w:r>
      <w:r w:rsidRPr="00A577DC" w:rsidR="00641E14">
        <w:rPr>
          <w:b/>
          <w:bCs/>
        </w:rPr>
        <w:t>63</w:t>
      </w:r>
      <w:r w:rsidRPr="055FAEA5" w:rsidR="3F892AC0">
        <w:rPr>
          <w:b/>
          <w:bCs/>
        </w:rPr>
        <w:t xml:space="preserve"> </w:t>
      </w:r>
      <w:r w:rsidRPr="545DA5B8" w:rsidR="3F892AC0">
        <w:rPr>
          <w:b/>
          <w:bCs/>
        </w:rPr>
        <w:t xml:space="preserve">and </w:t>
      </w:r>
      <w:r w:rsidRPr="545DA5B8" w:rsidR="009E1815">
        <w:rPr>
          <w:b/>
          <w:bCs/>
        </w:rPr>
        <w:t>49 CFR</w:t>
      </w:r>
      <w:r w:rsidRPr="45EB183C" w:rsidR="009E1815">
        <w:rPr>
          <w:b/>
          <w:bCs/>
        </w:rPr>
        <w:t xml:space="preserve"> Part</w:t>
      </w:r>
      <w:r w:rsidRPr="52CD5D2F" w:rsidR="009E1815">
        <w:rPr>
          <w:b/>
          <w:bCs/>
        </w:rPr>
        <w:t xml:space="preserve"> 585</w:t>
      </w:r>
      <w:r w:rsidRPr="00A577DC" w:rsidR="009E1815">
        <w:rPr>
          <w:b/>
          <w:bCs/>
        </w:rPr>
        <w:t>; Phase-In Reporting Requirements</w:t>
      </w:r>
    </w:p>
    <w:p w:rsidR="00A00531" w:rsidRPr="00A577DC" w:rsidP="00A577DC" w14:paraId="738E8AAE" w14:textId="0AF31C08">
      <w:pPr>
        <w:spacing w:before="0" w:beforeAutospacing="0" w:after="0" w:afterAutospacing="0"/>
        <w:jc w:val="center"/>
        <w:rPr>
          <w:b/>
          <w:bCs/>
        </w:rPr>
      </w:pPr>
      <w:r w:rsidRPr="00A577DC">
        <w:rPr>
          <w:b/>
          <w:bCs/>
        </w:rPr>
        <w:t>OMB Control Number 2127</w:t>
      </w:r>
      <w:r w:rsidRPr="00A577DC" w:rsidR="00CC13F9">
        <w:rPr>
          <w:b/>
          <w:bCs/>
        </w:rPr>
        <w:t>-</w:t>
      </w:r>
      <w:r w:rsidRPr="00A577DC" w:rsidR="00471270">
        <w:rPr>
          <w:b/>
          <w:bCs/>
        </w:rPr>
        <w:t>0</w:t>
      </w:r>
      <w:r w:rsidRPr="00A577DC" w:rsidR="00216BF3">
        <w:rPr>
          <w:b/>
          <w:bCs/>
        </w:rPr>
        <w:t>535</w:t>
      </w:r>
    </w:p>
    <w:p w:rsidR="00CB115F" w:rsidRPr="00A577DC" w:rsidP="00A577DC" w14:paraId="3E6B2514" w14:textId="552D3BA3">
      <w:pPr>
        <w:rPr>
          <w:b/>
          <w:bCs/>
        </w:rPr>
      </w:pPr>
      <w:bookmarkStart w:id="0" w:name="_Hlk49938575"/>
      <w:r w:rsidRPr="00A577DC">
        <w:rPr>
          <w:b/>
          <w:bCs/>
        </w:rPr>
        <w:t>Abstract</w:t>
      </w:r>
      <w:bookmarkStart w:id="1" w:name="_Hlk47077366"/>
      <w:r w:rsidRPr="00A577DC">
        <w:rPr>
          <w:b/>
          <w:bCs/>
        </w:rPr>
        <w:t>:</w:t>
      </w:r>
      <w:r w:rsidRPr="00A577DC" w:rsidR="00257C85">
        <w:rPr>
          <w:b/>
          <w:bCs/>
        </w:rPr>
        <w:t xml:space="preserve"> </w:t>
      </w:r>
      <w:r>
        <w:rPr>
          <w:rStyle w:val="FootnoteReference"/>
          <w:b/>
          <w:bCs/>
        </w:rPr>
        <w:footnoteReference w:id="3"/>
      </w:r>
      <w:r w:rsidRPr="00A577DC" w:rsidR="00C23055">
        <w:rPr>
          <w:rStyle w:val="FootnoteReference"/>
          <w:b/>
          <w:bCs/>
        </w:rPr>
        <w:t xml:space="preserve"> </w:t>
      </w:r>
      <w:bookmarkEnd w:id="1"/>
    </w:p>
    <w:p w:rsidR="00925D46" w:rsidP="7E085C9B" w14:paraId="319C596F" w14:textId="1B142ED6">
      <w:r>
        <w:t>This information collection request (ICR) is to request</w:t>
      </w:r>
      <w:r w:rsidR="00602462">
        <w:t xml:space="preserve"> approval for a </w:t>
      </w:r>
      <w:r w:rsidR="001C0073">
        <w:t xml:space="preserve">modification of a previously approved </w:t>
      </w:r>
      <w:r w:rsidR="00602462">
        <w:t>information collectio</w:t>
      </w:r>
      <w:r w:rsidR="00235F8F">
        <w:t>n</w:t>
      </w:r>
      <w:r w:rsidR="001F2CD5">
        <w:t xml:space="preserve">. </w:t>
      </w:r>
      <w:r w:rsidR="00235F8F">
        <w:t>Specifically, NHTSA is requesting approval for a</w:t>
      </w:r>
      <w:r w:rsidR="01B11862">
        <w:t xml:space="preserve"> modified</w:t>
      </w:r>
      <w:r w:rsidR="00235F8F">
        <w:t xml:space="preserve"> information collection that would require manufacturers of passenger </w:t>
      </w:r>
      <w:r w:rsidR="00E22374">
        <w:t>vehicles, trucks, and buses</w:t>
      </w:r>
      <w:r w:rsidR="00235F8F">
        <w:t xml:space="preserve"> with a GVWR of 3,855 kg (8,500 lb</w:t>
      </w:r>
      <w:r w:rsidR="00C51B3E">
        <w:t>s</w:t>
      </w:r>
      <w:r w:rsidR="00235F8F">
        <w:t xml:space="preserve">) or less that are equipped with event data recorders (EDRs) </w:t>
      </w:r>
      <w:r w:rsidR="00CA1AB0">
        <w:t>to annually submit a report, and maintain records related to the report, concerning the number of such vehicles that meet the EDR requirements of 49 CFR 563 during the phase-i</w:t>
      </w:r>
      <w:r w:rsidR="00F03F03">
        <w:t>n period.</w:t>
      </w:r>
      <w:r w:rsidR="138A3613">
        <w:t xml:space="preserve"> On May 28, </w:t>
      </w:r>
      <w:r w:rsidR="138A3613">
        <w:t>2025</w:t>
      </w:r>
      <w:r w:rsidR="138A3613">
        <w:t xml:space="preserve"> NHTSA published </w:t>
      </w:r>
      <w:r w:rsidRPr="7E085C9B" w:rsidR="138A3613">
        <w:t>a notice</w:t>
      </w:r>
      <w:r w:rsidR="00811A8D">
        <w:t xml:space="preserve"> (90 FR 22574)</w:t>
      </w:r>
      <w:r w:rsidRPr="7E085C9B" w:rsidR="138A3613">
        <w:t xml:space="preserve"> and request for comment on</w:t>
      </w:r>
      <w:r w:rsidR="138A3613">
        <w:t xml:space="preserve"> </w:t>
      </w:r>
      <w:r w:rsidR="5EA405AE">
        <w:t xml:space="preserve">a reinstatement with modification of a previously approved information collection for mandatory phase-in reporting for vehicle manufacturers (OMB Control No. 2127-0535) and requesting that it be renamed as “49 CFR Part 585; Phase-In Reporting Requirements” </w:t>
      </w:r>
      <w:r w:rsidRPr="7E085C9B" w:rsidR="6EAD6D74">
        <w:t>and to consolidate all phase-in reporting requirements including in 49 CFR Part 585 in that ICR.</w:t>
      </w:r>
      <w:r w:rsidR="5EA405AE">
        <w:t xml:space="preserve"> </w:t>
      </w:r>
      <w:r w:rsidR="00811A8D">
        <w:t xml:space="preserve">The 30-day notice that followed was published on November 18, 2025 (90 FR 51810). </w:t>
      </w:r>
      <w:r w:rsidR="5EA405AE">
        <w:t xml:space="preserve"> </w:t>
      </w:r>
      <w:r w:rsidR="0AB14A61">
        <w:t>Th</w:t>
      </w:r>
      <w:r w:rsidR="1FBEF3C2">
        <w:t>at</w:t>
      </w:r>
      <w:r w:rsidR="0AB14A61">
        <w:t xml:space="preserve"> OMB control number</w:t>
      </w:r>
      <w:r w:rsidR="5EA405AE">
        <w:t xml:space="preserve"> was chosen because the OMB Control Number is currently listed in 49 CFR Part 509 as being associated with information collections contained in part 585. </w:t>
      </w:r>
      <w:r w:rsidRPr="0072B6A1" w:rsidR="1D78E841">
        <w:t xml:space="preserve">This </w:t>
      </w:r>
      <w:r w:rsidRPr="6DEEB0E6" w:rsidR="1D78E841">
        <w:t>ICR</w:t>
      </w:r>
      <w:r w:rsidRPr="73E90F4D" w:rsidR="1D78E841">
        <w:t xml:space="preserve"> </w:t>
      </w:r>
      <w:r w:rsidRPr="4844FBA3" w:rsidR="1D78E841">
        <w:t>requests</w:t>
      </w:r>
      <w:r w:rsidRPr="73E90F4D" w:rsidR="1D78E841">
        <w:t xml:space="preserve"> new information collection requirements for phase-in reporting and record retention requirements related to EDRs.</w:t>
      </w:r>
    </w:p>
    <w:p w:rsidR="00C15444" w:rsidP="00A577DC" w14:paraId="6E3D637E" w14:textId="4BCD42D0">
      <w:bookmarkStart w:id="2" w:name="_Hlk196289387"/>
      <w:bookmarkEnd w:id="0"/>
      <w:r>
        <w:t xml:space="preserve">NHTSA published a final rule on December 18, 2024 that </w:t>
      </w:r>
      <w:r w:rsidRPr="00096118" w:rsidR="00096118">
        <w:t>amend</w:t>
      </w:r>
      <w:r w:rsidR="00096118">
        <w:t>ed</w:t>
      </w:r>
      <w:r w:rsidRPr="00096118" w:rsidR="00096118">
        <w:t xml:space="preserve"> </w:t>
      </w:r>
      <w:r w:rsidR="00096118">
        <w:t>the</w:t>
      </w:r>
      <w:r w:rsidRPr="00096118" w:rsidR="00096118">
        <w:t xml:space="preserve"> NHTSA regulation</w:t>
      </w:r>
      <w:r w:rsidR="00096118">
        <w:t xml:space="preserve"> </w:t>
      </w:r>
      <w:r w:rsidRPr="00096118" w:rsidR="00096118">
        <w:t xml:space="preserve">regarding EDRs </w:t>
      </w:r>
      <w:r w:rsidR="00096118">
        <w:t xml:space="preserve">(49 CFR </w:t>
      </w:r>
      <w:r w:rsidRPr="00096118" w:rsidR="00096118">
        <w:t>563</w:t>
      </w:r>
      <w:r w:rsidR="00096118">
        <w:t>)</w:t>
      </w:r>
      <w:r w:rsidRPr="00096118" w:rsidR="00096118">
        <w:t xml:space="preserve"> by extending the capture and recording period for timed data metrics from 5 seconds of pre-crash data at a sample rate of 2 Hz to 20 seconds of pre-crash data at a sample rate of 10 Hz</w:t>
      </w:r>
      <w:r w:rsidR="00A20167">
        <w:t>.</w:t>
      </w:r>
      <w:r w:rsidR="00096118">
        <w:t xml:space="preserve"> </w:t>
      </w:r>
      <w:r w:rsidR="006E2C76">
        <w:t>The compliance date for EDRs to meet the updated requirements was set to September 1, 2027.</w:t>
      </w:r>
      <w:r w:rsidR="00A20167">
        <w:t xml:space="preserve"> </w:t>
      </w:r>
      <w:r w:rsidR="007C7896">
        <w:t xml:space="preserve">In response to the final rule, NHTSA received three petitions for reconsideration </w:t>
      </w:r>
      <w:r w:rsidR="000C688F">
        <w:t xml:space="preserve">from </w:t>
      </w:r>
      <w:r w:rsidR="004D06F4">
        <w:t xml:space="preserve">the </w:t>
      </w:r>
      <w:r w:rsidRPr="004D06F4" w:rsidR="004D06F4">
        <w:t>Alliance of Automotive Innovation (Auto Innovators), the EDR Committee of SAE International (SAE), and FCA U.S. LLC (FCA)</w:t>
      </w:r>
      <w:r w:rsidR="004D06F4">
        <w:t xml:space="preserve">. </w:t>
      </w:r>
      <w:r w:rsidR="00A154D2">
        <w:t>The petitions asked for an extension to the compliance date by implementing a phase-in perio</w:t>
      </w:r>
      <w:r w:rsidR="006A4AE1">
        <w:t>d.</w:t>
      </w:r>
      <w:r w:rsidR="000C688F">
        <w:t xml:space="preserve"> </w:t>
      </w:r>
      <w:r w:rsidR="00421012">
        <w:t>This would allow manufacturers more time to integra</w:t>
      </w:r>
      <w:r w:rsidR="00B33C39">
        <w:t>te the necessary EDR architecture changes within their current model development cycles without disrupting existing product plans.</w:t>
      </w:r>
    </w:p>
    <w:p w:rsidR="00C23055" w:rsidP="00A577DC" w14:paraId="796E34FA" w14:textId="4952A941">
      <w:r>
        <w:t xml:space="preserve">NHTSA is proposing to grant the petitions in part by </w:t>
      </w:r>
      <w:r w:rsidR="00347DF2">
        <w:t>extending the lead time one year from September 1, 2027 to September 1, 2028. In addition, NHTSA is proposing to add a phase-in period</w:t>
      </w:r>
      <w:r w:rsidR="00734EFA">
        <w:t xml:space="preserve"> that would</w:t>
      </w:r>
      <w:r w:rsidR="006367D7">
        <w:t xml:space="preserve"> begin on September 1, 2028, when twenty-five percent of a manufacturer’s vehicles</w:t>
      </w:r>
      <w:r w:rsidR="00734EFA">
        <w:t xml:space="preserve"> equipped with EDRs</w:t>
      </w:r>
      <w:r w:rsidR="006367D7">
        <w:t xml:space="preserve"> must comply with the </w:t>
      </w:r>
      <w:r w:rsidR="00734EFA">
        <w:t>amended</w:t>
      </w:r>
      <w:r w:rsidR="006367D7">
        <w:t xml:space="preserve"> data capture requirements. </w:t>
      </w:r>
      <w:r w:rsidR="00AE5789">
        <w:t xml:space="preserve">The phase-in would continue with fifty percent compliance </w:t>
      </w:r>
      <w:r w:rsidR="00734EFA">
        <w:t>beginning</w:t>
      </w:r>
      <w:r w:rsidR="00AE5789">
        <w:t xml:space="preserve"> September 1, 2029, seventy-five percent compliance </w:t>
      </w:r>
      <w:r w:rsidR="00734EFA">
        <w:t>beginning</w:t>
      </w:r>
      <w:r w:rsidR="00AE5789">
        <w:t xml:space="preserve"> September 1, 2030, and full compliance </w:t>
      </w:r>
      <w:r w:rsidR="00971939">
        <w:t xml:space="preserve">on or after </w:t>
      </w:r>
      <w:r w:rsidR="00971939">
        <w:t xml:space="preserve">September 1, 2031. </w:t>
      </w:r>
      <w:r w:rsidRPr="00545C68" w:rsidR="00C31F37">
        <w:t>As with all phase-ins, the agency is adopting a reporting and recordkeeping requirement to facilitate the agency’s enforcement of the standard by aiding NHTSA in determining whether a manufacturer has complied with the phase-in requirements during the phase-in period.</w:t>
      </w:r>
      <w:r w:rsidRPr="00545C68" w:rsidR="00A15951">
        <w:t xml:space="preserve"> </w:t>
      </w:r>
      <w:bookmarkEnd w:id="2"/>
      <w:r w:rsidR="00F277F5">
        <w:t xml:space="preserve"> </w:t>
      </w:r>
      <w:r w:rsidRPr="00545C68">
        <w:t>The reporting and recordkeeping requirements require that manufacturers</w:t>
      </w:r>
      <w:r w:rsidRPr="00545C68" w:rsidR="005B5A3D">
        <w:t xml:space="preserve"> </w:t>
      </w:r>
      <w:r w:rsidRPr="00545C68">
        <w:t>submit a</w:t>
      </w:r>
      <w:r w:rsidRPr="00545C68" w:rsidR="005B5A3D">
        <w:t>n annual production</w:t>
      </w:r>
      <w:r w:rsidRPr="00545C68">
        <w:t xml:space="preserve"> report to NHTSA that includes the number of vehicles manufactured </w:t>
      </w:r>
      <w:r w:rsidRPr="00545C68" w:rsidR="005B5A3D">
        <w:t>in the current production year</w:t>
      </w:r>
      <w:r w:rsidR="00516678">
        <w:t xml:space="preserve"> that are equipped with EDRs</w:t>
      </w:r>
      <w:r w:rsidRPr="00545C68">
        <w:t xml:space="preserve"> and </w:t>
      </w:r>
      <w:r w:rsidR="00902F8C">
        <w:t xml:space="preserve">the number of complying vehicles </w:t>
      </w:r>
      <w:r w:rsidRPr="00545C68" w:rsidR="00301F04">
        <w:t>and retain records of compliance with the phase-in requirements</w:t>
      </w:r>
      <w:r w:rsidR="00E561C8">
        <w:t xml:space="preserve"> for five years</w:t>
      </w:r>
      <w:r w:rsidRPr="00545C68">
        <w:t xml:space="preserve">. </w:t>
      </w:r>
      <w:r w:rsidRPr="00545C68" w:rsidR="00A15951">
        <w:t xml:space="preserve">NHTSA estimates this collection will impact </w:t>
      </w:r>
      <w:r w:rsidRPr="00545C68" w:rsidR="008F0A5C">
        <w:t>22</w:t>
      </w:r>
      <w:r w:rsidRPr="00545C68" w:rsidR="00A15951">
        <w:t xml:space="preserve"> manufacturers each</w:t>
      </w:r>
      <w:r w:rsidRPr="00545C68" w:rsidR="00AC39E9">
        <w:t xml:space="preserve"> year </w:t>
      </w:r>
      <w:r w:rsidRPr="00545C68" w:rsidR="00A15951">
        <w:t xml:space="preserve">and </w:t>
      </w:r>
      <w:r w:rsidR="00E561C8">
        <w:t xml:space="preserve">will have a total </w:t>
      </w:r>
      <w:r w:rsidRPr="00545C68" w:rsidR="00A15951">
        <w:t xml:space="preserve">annual burden of </w:t>
      </w:r>
      <w:r w:rsidRPr="00545C68" w:rsidR="008F0A5C">
        <w:t>22</w:t>
      </w:r>
      <w:r w:rsidRPr="00545C68" w:rsidR="00A15951">
        <w:t xml:space="preserve"> hours</w:t>
      </w:r>
      <w:r w:rsidR="00E561C8">
        <w:t xml:space="preserve"> and </w:t>
      </w:r>
      <w:r w:rsidR="00741B07">
        <w:t>a</w:t>
      </w:r>
      <w:r w:rsidR="009C7360">
        <w:t xml:space="preserve"> total cost of </w:t>
      </w:r>
      <w:r w:rsidR="00E561C8">
        <w:t>$</w:t>
      </w:r>
      <w:r w:rsidR="007F7FFA">
        <w:t>0</w:t>
      </w:r>
      <w:r w:rsidRPr="00545C68" w:rsidR="00A15951">
        <w:t>.</w:t>
      </w:r>
      <w:r>
        <w:rPr>
          <w:rStyle w:val="FootnoteReference"/>
        </w:rPr>
        <w:footnoteReference w:id="4"/>
      </w:r>
      <w:r w:rsidR="00A15951">
        <w:t xml:space="preserve"> </w:t>
      </w:r>
    </w:p>
    <w:p w:rsidR="00923D8F" w:rsidRPr="00C13484" w:rsidP="00C13484" w14:paraId="2D1BFD8E" w14:textId="206FA035">
      <w:pPr>
        <w:pStyle w:val="ListParagraph"/>
        <w:keepNext/>
        <w:numPr>
          <w:ilvl w:val="0"/>
          <w:numId w:val="10"/>
        </w:numPr>
        <w:overflowPunct/>
        <w:spacing w:before="0" w:beforeAutospacing="0" w:after="0" w:afterAutospacing="0"/>
        <w:textAlignment w:val="auto"/>
        <w:outlineLvl w:val="0"/>
        <w:rPr>
          <w:b/>
          <w:bCs/>
          <w:szCs w:val="16"/>
          <w:u w:val="single"/>
        </w:rPr>
      </w:pPr>
      <w:r>
        <w:rPr>
          <w:b/>
          <w:bCs/>
          <w:szCs w:val="16"/>
          <w:u w:val="single"/>
        </w:rPr>
        <w:t>Justification</w:t>
      </w:r>
    </w:p>
    <w:p w:rsidR="00C13484" w:rsidRPr="005271A9" w:rsidP="00C13484" w14:paraId="788C3531" w14:textId="77777777">
      <w:pPr>
        <w:pStyle w:val="ListParagraph"/>
        <w:numPr>
          <w:ilvl w:val="0"/>
          <w:numId w:val="6"/>
        </w:numPr>
        <w:overflowPunct/>
        <w:spacing w:before="240" w:beforeAutospacing="0" w:after="120" w:afterAutospacing="0"/>
        <w:contextualSpacing w:val="0"/>
        <w:textAlignment w:val="auto"/>
        <w:rPr>
          <w:b/>
        </w:rPr>
      </w:pPr>
      <w:bookmarkStart w:id="3" w:name="_Hlk51324508"/>
      <w:r w:rsidRPr="005271A9">
        <w:rPr>
          <w:b/>
        </w:rPr>
        <w:t>Explain the circumstances that mak</w:t>
      </w:r>
      <w:r>
        <w:rPr>
          <w:b/>
        </w:rPr>
        <w:t>e the collection of information</w:t>
      </w:r>
      <w:r w:rsidRPr="005271A9">
        <w:rPr>
          <w:b/>
        </w:rPr>
        <w:t xml:space="preserve"> necessary. Identify any legal and administrative requirements that necessitate the collection. Attach a copy of the appropriate section of each statute and regulation mandating or authorizing the collection of information.</w:t>
      </w:r>
    </w:p>
    <w:bookmarkEnd w:id="3"/>
    <w:p w:rsidR="00A00531" w:rsidRPr="00F210B9" w:rsidP="00A577DC" w14:paraId="2CFA5C8C" w14:textId="6D392C59">
      <w:r>
        <w:t xml:space="preserve">The National Highway Traffic Safety Administration (NHTSA), under the U.S. Department of Transportation, was established by the Highway Safety Act of 1970 to carry out safety programs under the National Traffic and Motor Vehicle Safety Act of 1966 and the Highway Safety Act of 1966. </w:t>
      </w:r>
      <w:r w:rsidRPr="000127B4">
        <w:t xml:space="preserve">The National Traffic and Motor Vehicle </w:t>
      </w:r>
      <w:r>
        <w:t xml:space="preserve">Safety </w:t>
      </w:r>
      <w:r w:rsidRPr="000127B4">
        <w:t>Act,</w:t>
      </w:r>
      <w:r>
        <w:t xml:space="preserve"> codified under Title 49 of the U.S. Code in Chapter 301, </w:t>
      </w:r>
      <w:r w:rsidRPr="00385B27">
        <w:t>authorizes the Secretary of Transportation (NHTSA by delegation), at 49 U.S.C. 30111, to issue Federal Motor Vehicle Safety Standards (FMVSS) that set performance standards for motor vehicles and items of motor vehicle equipment.</w:t>
      </w:r>
      <w:r>
        <w:t xml:space="preserve"> </w:t>
      </w:r>
      <w:r w:rsidRPr="00DF1C34">
        <w:t>49 U.S.C. § 30115 requires manufacturers of motor vehicles or motor vehicle equipment to certify that the vehicle or equipment complies with applicable motor vehicle safety standards prescribed under this chapter. Further, the Secretary (NHTSA by delegation) is authorized, at 49 U.S.C. § 30117, to require manufacturers to provide information to first purchasers of motor vehicles or motor vehicle equipment when the vehicle or equipment is purchased, in the form of printed matter placed in the vehicle or attached to the vehicle or motor vehicle equipment.</w:t>
      </w:r>
    </w:p>
    <w:p w:rsidR="008569CC" w:rsidP="00A577DC" w14:paraId="39F93011" w14:textId="039F81AA">
      <w:r w:rsidRPr="008569CC">
        <w:t xml:space="preserve">NHTSA established Part 563 on August 28, 2006, setting forth requirements for the accuracy, collection, storage, survivability, and retrievability of data in vehicles equipped with </w:t>
      </w:r>
      <w:r w:rsidR="00667DE0">
        <w:t>event data recorders (</w:t>
      </w:r>
      <w:r w:rsidRPr="008569CC">
        <w:t>EDRs</w:t>
      </w:r>
      <w:r w:rsidR="00667DE0">
        <w:t>)</w:t>
      </w:r>
      <w:r w:rsidRPr="008569CC">
        <w:t>.</w:t>
      </w:r>
      <w:r>
        <w:rPr>
          <w:rStyle w:val="FootnoteReference"/>
        </w:rPr>
        <w:footnoteReference w:id="5"/>
      </w:r>
      <w:r w:rsidRPr="008569CC">
        <w:t xml:space="preserve"> NHTSA does not mandate EDRs on vehicles, but, if vehicles are equipped with EDRs, the EDRs must meet specific data capture requirements as outlined in Tables I-III of Part 563. Table I </w:t>
      </w:r>
      <w:r w:rsidR="0061445B">
        <w:t xml:space="preserve">of Part 563 </w:t>
      </w:r>
      <w:r w:rsidRPr="008569CC">
        <w:t xml:space="preserve">lists </w:t>
      </w:r>
      <w:r w:rsidR="005C6CB1">
        <w:t>3 pre-crash data elements that must be captured by the EDR: “speed, vehicle indicated”, “engine throttle, % full (or accelerator pedal, % full)”, and “service brake, on/off”.</w:t>
      </w:r>
      <w:r w:rsidR="0061445B">
        <w:t xml:space="preserve"> Table II of Part 563 lists 4 pre-crash data elements that if recorded by the EDR must </w:t>
      </w:r>
      <w:r w:rsidR="00AB495C">
        <w:t xml:space="preserve">meet the recording interval and data sample rate requirements: “engine rpm”, “ABS </w:t>
      </w:r>
      <w:r w:rsidR="00AB495C">
        <w:t>activity”, “stability control”, and “steering input”.</w:t>
      </w:r>
      <w:r w:rsidR="0061445B">
        <w:t xml:space="preserve"> </w:t>
      </w:r>
      <w:r w:rsidRPr="008569CC">
        <w:t xml:space="preserve">Since Part 563 became fully effective on September 1, 2012, the adoption of EDRs has been nearly universal. NHTSA’s internal analysis estimates 99.5 percent of model year 2021 passenger cars and other vehicles with a gross vehicle weight rating (GVWR) of 3,855 kilograms (kg) (8,500 pounds) or less are equipped with EDRs that comply with Part 563. </w:t>
      </w:r>
    </w:p>
    <w:p w:rsidR="00AE7FA0" w:rsidP="00A577DC" w14:paraId="27724A93" w14:textId="66BB88A0">
      <w:r w:rsidRPr="00AE7FA0">
        <w:t>On June 22, 2022 pursuant to section 24303 of the Fixing America’s Surface Transportation Act (FAST Act), Pub. L. 119-14 (December 4, 2015), NHTSA issued an NPRM to amend Part 563.  The NPRM relied on the findings of an EDR Duration Study required by the FAST Act and information gathered from NHTSA’s defects investigation experience which indicated that EDR data can be used to assess whether a vehicle operated properly at the time of an event, or to help detect undesirable operations. The June 2022 NPRM proposed extending the recording interval and data sample rate of pre-crash data elements under Part 563 from 5 seconds at 2 Hz to 20 seconds at 10 Hz (i.e., an increase from 2 samples per second to 10 samples per second).</w:t>
      </w:r>
      <w:r w:rsidR="003A79A3">
        <w:t xml:space="preserve"> </w:t>
      </w:r>
      <w:r w:rsidR="00845C37">
        <w:t xml:space="preserve">A final rule published on December 18, 2024 amended Part 563 </w:t>
      </w:r>
      <w:r w:rsidR="00D24069">
        <w:t xml:space="preserve">to require 20 seconds at 10 Hz as proposed in the NPRM. </w:t>
      </w:r>
      <w:r w:rsidR="003A79A3">
        <w:t>NHTSA received three petitions for reconsideration from Auto Innovators, SAE, and FCA.</w:t>
      </w:r>
    </w:p>
    <w:p w:rsidR="002863FC" w:rsidP="002863FC" w14:paraId="10D977D7" w14:textId="7F1D5E40">
      <w:r w:rsidRPr="003A79A3">
        <w:t>NHTSA is proposing to grant the petitions in part by extending the lead time and implementing a phase-in schedule to align the changes made to EDRs more closely with the production life cycles of vehicles. The added lead time and phase-in period aims to ease the financial burden associated with the testing and development stages necessary to validate the EDR functions as intended and not compromise performance of the air bag deployment systems.</w:t>
      </w:r>
      <w:r>
        <w:t xml:space="preserve"> The proposed phase-in schedule, excluding small volume and multi-stage manufacturers, would be as follows for each manufacturer that produces vehicles equipped with EDRs:</w:t>
      </w:r>
    </w:p>
    <w:p w:rsidR="002863FC" w:rsidP="002863FC" w14:paraId="01D73D5D" w14:textId="7B208409">
      <w:pPr>
        <w:pStyle w:val="ListParagraph"/>
        <w:numPr>
          <w:ilvl w:val="0"/>
          <w:numId w:val="31"/>
        </w:numPr>
        <w:spacing w:before="0" w:beforeAutospacing="0" w:after="0" w:afterAutospacing="0"/>
      </w:pPr>
      <w:r>
        <w:t>25 percent of the vehicles manufactured on or after September 1, 2028 and before September 1, 2029.</w:t>
      </w:r>
    </w:p>
    <w:p w:rsidR="002863FC" w:rsidP="002863FC" w14:paraId="3959CC7D" w14:textId="094CFAB2">
      <w:pPr>
        <w:pStyle w:val="ListParagraph"/>
        <w:numPr>
          <w:ilvl w:val="0"/>
          <w:numId w:val="31"/>
        </w:numPr>
        <w:spacing w:before="0" w:beforeAutospacing="0" w:after="0" w:afterAutospacing="0"/>
      </w:pPr>
      <w:r>
        <w:t>50 percent of the vehicles manufactured on or after September 1, 2029 and before September 1, 2030.</w:t>
      </w:r>
    </w:p>
    <w:p w:rsidR="002863FC" w:rsidP="002863FC" w14:paraId="450697A0" w14:textId="61FDE6E7">
      <w:pPr>
        <w:pStyle w:val="ListParagraph"/>
        <w:numPr>
          <w:ilvl w:val="0"/>
          <w:numId w:val="31"/>
        </w:numPr>
        <w:spacing w:before="0" w:beforeAutospacing="0" w:after="0" w:afterAutospacing="0"/>
      </w:pPr>
      <w:r>
        <w:t>75 percent of the vehicles manufactured on or after September 1, 2030 and before September 1, 2031.</w:t>
      </w:r>
    </w:p>
    <w:p w:rsidR="00DD4566" w:rsidP="002863FC" w14:paraId="2608E9B8" w14:textId="484C6CA8">
      <w:pPr>
        <w:pStyle w:val="ListParagraph"/>
        <w:numPr>
          <w:ilvl w:val="0"/>
          <w:numId w:val="31"/>
        </w:numPr>
        <w:spacing w:before="0" w:beforeAutospacing="0" w:after="0" w:afterAutospacing="0"/>
      </w:pPr>
      <w:r>
        <w:t>100 percent of the vehicles manufactured on or after September 1, 2031.</w:t>
      </w:r>
    </w:p>
    <w:p w:rsidR="00A00531" w:rsidRPr="00F210B9" w:rsidP="00A577DC" w14:paraId="42EED296" w14:textId="696FCBBD">
      <w:r w:rsidRPr="005E728C">
        <w:t xml:space="preserve">The phase-in requires manufacturers to report achievement of the annual production quota in the phase-in period.  These requirements </w:t>
      </w:r>
      <w:r w:rsidR="003A79A3">
        <w:t>would be</w:t>
      </w:r>
      <w:r w:rsidRPr="005E728C">
        <w:t xml:space="preserve"> found in 49 CFR </w:t>
      </w:r>
      <w:r w:rsidR="003A79A3">
        <w:t>P</w:t>
      </w:r>
      <w:r w:rsidRPr="005E728C">
        <w:t xml:space="preserve">art 585, “Phase-In Reporting Requirements.”  The reporting and recordkeeping requirements </w:t>
      </w:r>
      <w:r w:rsidR="003A79A3">
        <w:t xml:space="preserve">would </w:t>
      </w:r>
      <w:r w:rsidRPr="005E728C">
        <w:t>require that manufacturers submit an annual production report to NHTSA that includes the number of vehicles</w:t>
      </w:r>
      <w:r w:rsidR="00F420E0">
        <w:t xml:space="preserve"> </w:t>
      </w:r>
      <w:r w:rsidRPr="005E728C">
        <w:t>manufactured in the current production year</w:t>
      </w:r>
      <w:r w:rsidR="003A79A3">
        <w:t xml:space="preserve"> equipped with EDRs</w:t>
      </w:r>
      <w:r w:rsidRPr="005E728C">
        <w:t xml:space="preserve"> and the production of complying vehicles and that they retain records of compliance with the phase-in requirements for five years.  The report is due within 60 days after the end of the production year</w:t>
      </w:r>
      <w:r w:rsidR="00DB2DF8">
        <w:t>s</w:t>
      </w:r>
      <w:r w:rsidRPr="005E728C">
        <w:t xml:space="preserve"> ending </w:t>
      </w:r>
      <w:r w:rsidR="003A79A3">
        <w:t>August</w:t>
      </w:r>
      <w:r w:rsidRPr="005E728C">
        <w:t xml:space="preserve"> 31, 202</w:t>
      </w:r>
      <w:r w:rsidR="009C17F6">
        <w:t>9</w:t>
      </w:r>
      <w:r w:rsidR="00DB2DF8">
        <w:t>, August 31, 2030, August 31, 2031, and August 31, 2032</w:t>
      </w:r>
      <w:r w:rsidRPr="005E728C">
        <w:t>.  After the report is received, requirements will cease and no further report will be required during that year.</w:t>
      </w:r>
    </w:p>
    <w:p w:rsidR="00C13484" w:rsidRPr="000407C1" w:rsidP="000407C1" w14:paraId="14C4883E" w14:textId="20604B89">
      <w:pPr>
        <w:pStyle w:val="ListParagraph"/>
        <w:numPr>
          <w:ilvl w:val="0"/>
          <w:numId w:val="6"/>
        </w:numPr>
        <w:overflowPunct/>
        <w:autoSpaceDE/>
        <w:autoSpaceDN/>
        <w:adjustRightInd/>
        <w:spacing w:before="240" w:beforeAutospacing="0" w:after="200" w:afterAutospacing="0" w:line="276" w:lineRule="auto"/>
        <w:textAlignment w:val="auto"/>
        <w:rPr>
          <w:b/>
        </w:rPr>
      </w:pPr>
      <w:bookmarkStart w:id="4" w:name="_Hlk51325321"/>
      <w:bookmarkStart w:id="5" w:name="_Hlk78838411"/>
      <w:r w:rsidRPr="005271A9">
        <w:rPr>
          <w:b/>
        </w:rPr>
        <w:t>Indicate how, by whom, and for what purpose the information is to be used. Except for a new collection, indicate the actual use the agency has made of the information received from the current collection</w:t>
      </w:r>
      <w:bookmarkEnd w:id="4"/>
      <w:r w:rsidRPr="005271A9">
        <w:rPr>
          <w:b/>
        </w:rPr>
        <w:t>.</w:t>
      </w:r>
      <w:bookmarkEnd w:id="5"/>
    </w:p>
    <w:p w:rsidR="00A00531" w:rsidRPr="00F210B9" w:rsidP="00A577DC" w14:paraId="4056072D" w14:textId="31F99E5E">
      <w:r w:rsidRPr="00F210B9">
        <w:t xml:space="preserve">The required information will be submitted to NHTSA by </w:t>
      </w:r>
      <w:r w:rsidR="00AC2FA2">
        <w:t>an estimated</w:t>
      </w:r>
      <w:r w:rsidRPr="00F210B9">
        <w:t xml:space="preserve"> </w:t>
      </w:r>
      <w:r w:rsidRPr="00545C68">
        <w:t>2</w:t>
      </w:r>
      <w:r w:rsidRPr="00545C68" w:rsidR="006E4E6E">
        <w:t>2</w:t>
      </w:r>
      <w:r w:rsidRPr="00F210B9">
        <w:t xml:space="preserve"> vehicle manufacturers.  The </w:t>
      </w:r>
      <w:r w:rsidR="00AC2FA2">
        <w:t xml:space="preserve">reporting requirements </w:t>
      </w:r>
      <w:r w:rsidR="00596DFF">
        <w:t xml:space="preserve">allow NHTSA </w:t>
      </w:r>
      <w:r w:rsidRPr="00F210B9">
        <w:t xml:space="preserve">to determine whether vehicle manufacturers are complying with the </w:t>
      </w:r>
      <w:r w:rsidR="002D186E">
        <w:t>phase-in</w:t>
      </w:r>
      <w:r w:rsidRPr="00F210B9">
        <w:t xml:space="preserve"> requirements. </w:t>
      </w:r>
    </w:p>
    <w:p w:rsidR="00A00531" w:rsidRPr="00F210B9" w:rsidP="00A577DC" w14:paraId="16599E11" w14:textId="54FA598B">
      <w:r w:rsidRPr="00F210B9">
        <w:t xml:space="preserve">For each report, the manufacturer will provide, in addition to the </w:t>
      </w:r>
      <w:r w:rsidR="008E3434">
        <w:t xml:space="preserve">manufacturer’s name and other identifying information, </w:t>
      </w:r>
      <w:r w:rsidRPr="00F210B9">
        <w:t>several numerical items of information.  The information should include the following items:</w:t>
      </w:r>
    </w:p>
    <w:p w:rsidR="00A00531" w:rsidRPr="00F210B9" w:rsidP="00A577DC" w14:paraId="07119FF6" w14:textId="5CC9FD92">
      <w:r w:rsidRPr="00F210B9">
        <w:t>a.</w:t>
      </w:r>
      <w:r w:rsidR="00140092">
        <w:t xml:space="preserve"> </w:t>
      </w:r>
      <w:r w:rsidRPr="00AC2FA2" w:rsidR="00AC2FA2">
        <w:t xml:space="preserve">The number of vehicles </w:t>
      </w:r>
      <w:r w:rsidR="00140092">
        <w:t xml:space="preserve">equipped with EDRs </w:t>
      </w:r>
      <w:r w:rsidRPr="00AC2FA2" w:rsidR="00AC2FA2">
        <w:t>manufactured in the current production year, or, at the manufacturer’s option, in each of the three previous production years.  A new manufacturer that is, for the first time, manufacturing passenger cars for sale in the United States must report the number of passenger cars manufactured dur</w:t>
      </w:r>
      <w:r w:rsidR="00AC2FA2">
        <w:t>ing the current production year</w:t>
      </w:r>
      <w:r w:rsidRPr="00F210B9">
        <w:t>; and</w:t>
      </w:r>
    </w:p>
    <w:p w:rsidR="00A00531" w:rsidRPr="00F210B9" w:rsidP="00A577DC" w14:paraId="07AD784F" w14:textId="027731E3">
      <w:r w:rsidRPr="00F210B9">
        <w:t>b.</w:t>
      </w:r>
      <w:r w:rsidR="00136356">
        <w:t xml:space="preserve"> </w:t>
      </w:r>
      <w:r w:rsidRPr="00AC2FA2" w:rsidR="00AC2FA2">
        <w:t xml:space="preserve">The number of vehicles </w:t>
      </w:r>
      <w:r w:rsidR="007764F1">
        <w:t xml:space="preserve">equipped with EDRs </w:t>
      </w:r>
      <w:r w:rsidRPr="00AC2FA2" w:rsidR="00AC2FA2">
        <w:t xml:space="preserve">that meet the requirements of </w:t>
      </w:r>
      <w:r w:rsidR="00136356">
        <w:t>Part 563</w:t>
      </w:r>
      <w:r w:rsidRPr="00F210B9">
        <w:t>.</w:t>
      </w:r>
    </w:p>
    <w:p w:rsidR="00A00531" w:rsidP="00A577DC" w14:paraId="4CBDD9D1" w14:textId="65353412">
      <w:r>
        <w:t>NHTSA’s</w:t>
      </w:r>
      <w:r w:rsidRPr="00F210B9">
        <w:t xml:space="preserve"> Office of Vehicle Safety Compliance will receive, </w:t>
      </w:r>
      <w:r w:rsidRPr="00F210B9" w:rsidR="00534A0A">
        <w:t>review,</w:t>
      </w:r>
      <w:r w:rsidRPr="00F210B9">
        <w:t xml:space="preserve"> and evaluate the information in the required reports</w:t>
      </w:r>
      <w:r>
        <w:t xml:space="preserve"> to assess compliance with the phase-in requirements. </w:t>
      </w:r>
    </w:p>
    <w:p w:rsidR="009462B2" w:rsidRPr="005271A9" w:rsidP="009462B2" w14:paraId="1B9C9855" w14:textId="77777777">
      <w:pPr>
        <w:numPr>
          <w:ilvl w:val="0"/>
          <w:numId w:val="6"/>
        </w:numPr>
        <w:overflowPunct/>
        <w:autoSpaceDE/>
        <w:autoSpaceDN/>
        <w:adjustRightInd/>
        <w:spacing w:before="0" w:beforeAutospacing="0" w:after="200" w:afterAutospacing="0" w:line="276" w:lineRule="auto"/>
        <w:textAlignment w:val="auto"/>
        <w:rPr>
          <w:b/>
        </w:rPr>
      </w:pPr>
      <w:bookmarkStart w:id="6"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6"/>
    <w:p w:rsidR="00A00531" w:rsidP="00A577DC" w14:paraId="1C0754DE" w14:textId="0C13D349">
      <w:r w:rsidRPr="00A86CBC">
        <w:t>This standard requires that manufacturers report the percent of their annual production</w:t>
      </w:r>
      <w:r w:rsidRPr="00A86CBC" w:rsidR="00136356">
        <w:t xml:space="preserve"> equipped with EDRs that</w:t>
      </w:r>
      <w:r w:rsidRPr="00A86CBC">
        <w:t xml:space="preserve"> comply with the requirements of the </w:t>
      </w:r>
      <w:r w:rsidRPr="00A86CBC" w:rsidR="002D186E">
        <w:t>phase-in</w:t>
      </w:r>
      <w:r w:rsidRPr="00A86CBC">
        <w:t xml:space="preserve">, and that manufacturers maintain records related to the report.  This standard does not impose any obstacles to using improved information technology to prepare these reports.  Thus, a manufacturer may use a computer, word processor, etc. to prepare the report. </w:t>
      </w:r>
      <w:r w:rsidRPr="00A86CBC" w:rsidR="00D764EB">
        <w:t xml:space="preserve"> We also accept various </w:t>
      </w:r>
      <w:r w:rsidRPr="00A86CBC" w:rsidR="00FE4A0C">
        <w:t xml:space="preserve">methods </w:t>
      </w:r>
      <w:r w:rsidRPr="00A86CBC" w:rsidR="00D764EB">
        <w:t>of submission including electronic submission.</w:t>
      </w:r>
    </w:p>
    <w:p w:rsidR="009462B2" w:rsidRPr="00221430" w:rsidP="00DE7631" w14:paraId="503FACCA" w14:textId="01C94CDA">
      <w:pPr>
        <w:pStyle w:val="ListParagraph"/>
        <w:numPr>
          <w:ilvl w:val="0"/>
          <w:numId w:val="6"/>
        </w:numPr>
        <w:overflowPunct/>
        <w:spacing w:before="0" w:beforeAutospacing="0" w:after="240" w:afterAutospacing="0"/>
        <w:textAlignment w:val="auto"/>
        <w:rPr>
          <w:b/>
        </w:rPr>
      </w:pPr>
      <w:bookmarkStart w:id="7" w:name="_Hlk51330199"/>
      <w:r w:rsidRPr="005271A9">
        <w:rPr>
          <w:b/>
        </w:rPr>
        <w:t xml:space="preserve">Describe efforts to identify duplication. </w:t>
      </w:r>
      <w:bookmarkStart w:id="8" w:name="_Hlk45117781"/>
      <w:r w:rsidRPr="005271A9">
        <w:rPr>
          <w:b/>
        </w:rPr>
        <w:t>Show specifically why any similar information already available cannot be used or modified for use for the purposes described in Item 2 above.</w:t>
      </w:r>
      <w:bookmarkEnd w:id="7"/>
      <w:bookmarkEnd w:id="8"/>
    </w:p>
    <w:p w:rsidR="00A00531" w:rsidRPr="00F210B9" w:rsidP="00A577DC" w14:paraId="68226937" w14:textId="5598CB3B">
      <w:r w:rsidRPr="00521262">
        <w:t xml:space="preserve">NHTSA is the only Federal government agency issuing FMVSSs and requiring motor vehicle manufacturers to comply with </w:t>
      </w:r>
      <w:r w:rsidRPr="00521262" w:rsidR="00521262">
        <w:t>Part 563</w:t>
      </w:r>
      <w:r w:rsidRPr="00521262">
        <w:t>.  No duplication of th</w:t>
      </w:r>
      <w:r w:rsidRPr="00521262" w:rsidR="001D5E49">
        <w:t xml:space="preserve">is information collection </w:t>
      </w:r>
      <w:r w:rsidRPr="00521262">
        <w:t>exists.</w:t>
      </w:r>
    </w:p>
    <w:p w:rsidR="00A00531" w:rsidP="00A577DC" w14:paraId="6D8EBD57" w14:textId="2CE6BB23">
      <w:r w:rsidRPr="00F210B9">
        <w:t>The required information is not related to other standards issued by NHTSA.  It is not possible to use or modify for use the existing information for other standards.</w:t>
      </w:r>
    </w:p>
    <w:p w:rsidR="000E71E6" w:rsidRPr="000E71E6" w:rsidP="000E71E6" w14:paraId="3A385567" w14:textId="2179E2E0">
      <w:pPr>
        <w:pStyle w:val="ListParagraph"/>
        <w:numPr>
          <w:ilvl w:val="0"/>
          <w:numId w:val="6"/>
        </w:numPr>
        <w:overflowPunct/>
        <w:autoSpaceDE/>
        <w:autoSpaceDN/>
        <w:adjustRightInd/>
        <w:spacing w:before="0" w:beforeAutospacing="0" w:after="200" w:afterAutospacing="0" w:line="276" w:lineRule="auto"/>
        <w:textAlignment w:val="auto"/>
        <w:rPr>
          <w:b/>
        </w:rPr>
      </w:pPr>
      <w:bookmarkStart w:id="9" w:name="_Hlk51330529"/>
      <w:bookmarkStart w:id="10" w:name="_Hlk78838823"/>
      <w:r w:rsidRPr="005271A9">
        <w:rPr>
          <w:b/>
        </w:rPr>
        <w:t>If the collection of information impacts small businesses or other small entities, describe any methods used to minimize burden</w:t>
      </w:r>
      <w:bookmarkEnd w:id="9"/>
      <w:r w:rsidRPr="005271A9">
        <w:rPr>
          <w:b/>
        </w:rPr>
        <w:t>.</w:t>
      </w:r>
      <w:bookmarkEnd w:id="10"/>
    </w:p>
    <w:p w:rsidR="007244F2" w:rsidP="00A577DC" w14:paraId="2B8E74BB" w14:textId="6F486040">
      <w:r w:rsidRPr="00253C1C">
        <w:t xml:space="preserve">This regulation applies to </w:t>
      </w:r>
      <w:r w:rsidRPr="00253C1C" w:rsidR="006E4E6E">
        <w:t>22</w:t>
      </w:r>
      <w:r w:rsidRPr="00253C1C">
        <w:t xml:space="preserve"> vehicle manufacturers</w:t>
      </w:r>
      <w:r w:rsidRPr="00585F41" w:rsidR="005B5A3D">
        <w:t>.</w:t>
      </w:r>
      <w:r w:rsidRPr="00545C68" w:rsidR="006E4E6E">
        <w:tab/>
      </w:r>
      <w:r w:rsidR="77625DF9">
        <w:t xml:space="preserve"> </w:t>
      </w:r>
      <w:r w:rsidRPr="007244F2">
        <w:t xml:space="preserve">Small-volume manufacturers and multi-stage manufacturers would not be subject to the phase-in. Small-volume manufacturers would have an additional year to comply, and multi-stage manufacturers and alterers would have two additional years. As proposed, the requirements would apply beginning September 1, 2032 to </w:t>
      </w:r>
      <w:r w:rsidRPr="007244F2">
        <w:t>small-volume manufacturers or limited-line manufacturers and September 1, 2033 for vehicles manufactured by manufacturers producing altered vehicles or vehicles in two or more stages.</w:t>
      </w:r>
      <w:r w:rsidRPr="00545C68">
        <w:t xml:space="preserve">      </w:t>
      </w:r>
    </w:p>
    <w:p w:rsidR="000E71E6" w:rsidP="00A577DC" w14:paraId="68EA29A6" w14:textId="09415CB6">
      <w:r w:rsidRPr="00545C68">
        <w:t>NHTSA believes that none of the manufacturers fall within the "small business" category. In general, small firms who produce one or two vehicle models per year would not choose a phase-in plan and, therefore, they are not required to file an annual production report. Small firms who choose a phase-in plan are required to file an annual production report. It is expected that the annual production of small firms would be relatively low. A proportionate reduction in paperwork can be expected for small firms</w:t>
      </w:r>
      <w:r w:rsidR="00B03042">
        <w:t xml:space="preserve"> given the smaller annual production and the relatively low estimated burden hours</w:t>
      </w:r>
      <w:r w:rsidR="00541F26">
        <w:t xml:space="preserve"> for the phase-in reporting and record keeping</w:t>
      </w:r>
      <w:r w:rsidRPr="00545C68">
        <w:t xml:space="preserve">. </w:t>
      </w:r>
    </w:p>
    <w:p w:rsidR="00A00531" w:rsidRPr="00E31449" w:rsidP="00E31449" w14:paraId="703D6965" w14:textId="6A6EBA61">
      <w:pPr>
        <w:numPr>
          <w:ilvl w:val="0"/>
          <w:numId w:val="6"/>
        </w:numPr>
        <w:overflowPunct/>
        <w:autoSpaceDE/>
        <w:autoSpaceDN/>
        <w:adjustRightInd/>
        <w:spacing w:before="0" w:beforeAutospacing="0" w:after="200" w:afterAutospacing="0" w:line="276" w:lineRule="auto"/>
        <w:textAlignment w:val="auto"/>
        <w:rPr>
          <w:b/>
        </w:rPr>
      </w:pPr>
      <w:bookmarkStart w:id="11" w:name="_Hlk51330653"/>
      <w:r w:rsidRPr="005271A9">
        <w:rPr>
          <w:b/>
        </w:rPr>
        <w:t>Describe the consequence to Federal program or policy activities if the collection is not conducted or is conducted less frequently, as well as any technical or legal obstacles to reducing burden.</w:t>
      </w:r>
      <w:bookmarkEnd w:id="11"/>
      <w:r w:rsidRPr="00F210B9">
        <w:t xml:space="preserve">      </w:t>
      </w:r>
    </w:p>
    <w:p w:rsidR="00A00531" w:rsidP="00A577DC" w14:paraId="41941D06" w14:textId="56F85BBC">
      <w:r>
        <w:t xml:space="preserve">This information allows NHTSA to effectively enforce the phase-in production requirements in </w:t>
      </w:r>
      <w:r w:rsidR="007244F2">
        <w:t>Part 563</w:t>
      </w:r>
      <w:r>
        <w:t xml:space="preserve">. </w:t>
      </w:r>
      <w:r w:rsidR="00654D94">
        <w:t xml:space="preserve">Without this information collection, </w:t>
      </w:r>
      <w:r>
        <w:t xml:space="preserve">there is a greater likelihood of noncompliance with </w:t>
      </w:r>
      <w:r w:rsidR="001C7F3B">
        <w:t>the</w:t>
      </w:r>
      <w:r>
        <w:t xml:space="preserve"> standards, which could result in motor vehicles being sold that do not </w:t>
      </w:r>
      <w:r w:rsidR="00A62A5D">
        <w:t>meet the amended pre-crash recording requirements in Part 563</w:t>
      </w:r>
      <w:r w:rsidRPr="00F210B9">
        <w:t>.</w:t>
      </w:r>
    </w:p>
    <w:p w:rsidR="00633847" w:rsidRPr="00341949" w:rsidP="00341949" w14:paraId="7B5F81B5" w14:textId="0B20FD9E">
      <w:pPr>
        <w:numPr>
          <w:ilvl w:val="0"/>
          <w:numId w:val="6"/>
        </w:numPr>
        <w:overflowPunct/>
        <w:autoSpaceDE/>
        <w:autoSpaceDN/>
        <w:adjustRightInd/>
        <w:spacing w:before="240" w:beforeAutospacing="0" w:after="200" w:afterAutospacing="0" w:line="276" w:lineRule="auto"/>
        <w:textAlignment w:val="auto"/>
        <w:rPr>
          <w:b/>
        </w:rPr>
      </w:pPr>
      <w:bookmarkStart w:id="12" w:name="_Hlk51330697"/>
      <w:r w:rsidRPr="005271A9">
        <w:rPr>
          <w:b/>
        </w:rPr>
        <w:t>Explain any special circumstances that would cause an information collection to be conducted in a manner:</w:t>
      </w:r>
      <w:r w:rsidRPr="00341949" w:rsidR="00341949">
        <w:rPr>
          <w:b/>
        </w:rPr>
        <w:t xml:space="preserve"> </w:t>
      </w:r>
    </w:p>
    <w:p w:rsidR="00633847" w:rsidRPr="005271A9" w:rsidP="00633847" w14:paraId="1A0004AD" w14:textId="77777777">
      <w:pPr>
        <w:pStyle w:val="ListParagraph"/>
        <w:numPr>
          <w:ilvl w:val="1"/>
          <w:numId w:val="16"/>
        </w:numPr>
        <w:overflowPunct/>
        <w:spacing w:before="0" w:beforeAutospacing="0" w:after="0" w:afterAutospacing="0"/>
        <w:textAlignment w:val="auto"/>
        <w:rPr>
          <w:b/>
        </w:rPr>
      </w:pPr>
      <w:r w:rsidRPr="005271A9">
        <w:rPr>
          <w:b/>
        </w:rPr>
        <w:t>requiring respondents to report information to the agency more often than quarterly;</w:t>
      </w:r>
    </w:p>
    <w:p w:rsidR="00633847" w:rsidRPr="005271A9" w:rsidP="00633847" w14:paraId="0DC032E6" w14:textId="77777777">
      <w:pPr>
        <w:pStyle w:val="ListParagraph"/>
        <w:numPr>
          <w:ilvl w:val="1"/>
          <w:numId w:val="16"/>
        </w:numPr>
        <w:overflowPunct/>
        <w:spacing w:before="0" w:beforeAutospacing="0" w:after="0" w:afterAutospacing="0"/>
        <w:textAlignment w:val="auto"/>
        <w:rPr>
          <w:b/>
        </w:rPr>
      </w:pPr>
      <w:r w:rsidRPr="005271A9">
        <w:rPr>
          <w:b/>
        </w:rPr>
        <w:t>requiring respondents to prepare a written response to a collection of information in fewer than 30 days after receipt of it;</w:t>
      </w:r>
    </w:p>
    <w:p w:rsidR="00633847" w:rsidRPr="005271A9" w:rsidP="00633847" w14:paraId="216D5110" w14:textId="77777777">
      <w:pPr>
        <w:pStyle w:val="ListParagraph"/>
        <w:numPr>
          <w:ilvl w:val="1"/>
          <w:numId w:val="16"/>
        </w:numPr>
        <w:overflowPunct/>
        <w:spacing w:before="0" w:beforeAutospacing="0" w:after="0" w:afterAutospacing="0"/>
        <w:textAlignment w:val="auto"/>
        <w:rPr>
          <w:b/>
        </w:rPr>
      </w:pPr>
      <w:r w:rsidRPr="005271A9">
        <w:rPr>
          <w:b/>
        </w:rPr>
        <w:t>requiring respondents to submit more than an original and two copies of any document;</w:t>
      </w:r>
    </w:p>
    <w:p w:rsidR="00633847" w:rsidRPr="005271A9" w:rsidP="00633847" w14:paraId="79CB8C6E" w14:textId="77777777">
      <w:pPr>
        <w:pStyle w:val="ListParagraph"/>
        <w:numPr>
          <w:ilvl w:val="1"/>
          <w:numId w:val="16"/>
        </w:numPr>
        <w:overflowPunct/>
        <w:spacing w:before="0" w:beforeAutospacing="0" w:after="0" w:afterAutospacing="0"/>
        <w:textAlignment w:val="auto"/>
        <w:rPr>
          <w:b/>
        </w:rPr>
      </w:pPr>
      <w:r w:rsidRPr="005271A9">
        <w:rPr>
          <w:b/>
        </w:rPr>
        <w:t>requiring respondents to retain records, other than health, medical, government contract, grant-in-aid, or tax records, for more than three years;</w:t>
      </w:r>
    </w:p>
    <w:p w:rsidR="00633847" w:rsidRPr="005271A9" w:rsidP="00633847" w14:paraId="10D74BF4" w14:textId="77777777">
      <w:pPr>
        <w:pStyle w:val="ListParagraph"/>
        <w:numPr>
          <w:ilvl w:val="1"/>
          <w:numId w:val="16"/>
        </w:numPr>
        <w:overflowPunct/>
        <w:spacing w:before="0" w:beforeAutospacing="0" w:after="0" w:afterAutospacing="0"/>
        <w:textAlignment w:val="auto"/>
        <w:rPr>
          <w:b/>
        </w:rPr>
      </w:pPr>
      <w:r w:rsidRPr="005271A9">
        <w:rPr>
          <w:b/>
        </w:rPr>
        <w:t>in connection with a statistical survey, that is not designed to produce valid and reliable results that can be generalized to the universe of study;</w:t>
      </w:r>
    </w:p>
    <w:p w:rsidR="00633847" w:rsidRPr="005271A9" w:rsidP="00633847" w14:paraId="2E898A03" w14:textId="77777777">
      <w:pPr>
        <w:pStyle w:val="ListParagraph"/>
        <w:numPr>
          <w:ilvl w:val="1"/>
          <w:numId w:val="16"/>
        </w:numPr>
        <w:overflowPunct/>
        <w:spacing w:before="0" w:beforeAutospacing="0" w:after="0" w:afterAutospacing="0"/>
        <w:textAlignment w:val="auto"/>
        <w:rPr>
          <w:b/>
        </w:rPr>
      </w:pPr>
      <w:r w:rsidRPr="005271A9">
        <w:rPr>
          <w:b/>
        </w:rPr>
        <w:t>requiring the use of a statistical data classification that has not been reviewed and approved by OMB;</w:t>
      </w:r>
    </w:p>
    <w:p w:rsidR="00633847" w:rsidRPr="005271A9" w:rsidP="00633847" w14:paraId="6D805BAB" w14:textId="77777777">
      <w:pPr>
        <w:pStyle w:val="ListParagraph"/>
        <w:numPr>
          <w:ilvl w:val="1"/>
          <w:numId w:val="16"/>
        </w:numPr>
        <w:overflowPunct/>
        <w:spacing w:before="0" w:beforeAutospacing="0" w:after="0" w:afterAutospacing="0"/>
        <w:textAlignment w:val="auto"/>
        <w:rPr>
          <w:b/>
        </w:rPr>
      </w:pPr>
      <w:r w:rsidRPr="005271A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33847" w:rsidRPr="005271A9" w:rsidP="00633847" w14:paraId="7049B35E" w14:textId="77777777">
      <w:pPr>
        <w:pStyle w:val="ListParagraph"/>
        <w:numPr>
          <w:ilvl w:val="1"/>
          <w:numId w:val="16"/>
        </w:numPr>
        <w:overflowPunct/>
        <w:spacing w:before="0" w:beforeAutospacing="0" w:after="0" w:afterAutospacing="0"/>
        <w:textAlignment w:val="auto"/>
        <w:rPr>
          <w:b/>
        </w:rPr>
      </w:pPr>
      <w:bookmarkStart w:id="13" w:name="_Hlk45117573"/>
      <w:r w:rsidRPr="005271A9">
        <w:rPr>
          <w:b/>
        </w:rPr>
        <w:t>requiring respondents to submit proprietary trade secrets, or other confidential information unless the agency can demonstrate that it has instituted procedures to protect the information's confidentiality to the extent permitted by law.</w:t>
      </w:r>
    </w:p>
    <w:bookmarkEnd w:id="12"/>
    <w:bookmarkEnd w:id="13"/>
    <w:p w:rsidR="00A00531" w:rsidRPr="00F210B9" w:rsidP="00A577DC" w14:paraId="70157AF5" w14:textId="13D878E5">
      <w:r w:rsidRPr="00F210B9">
        <w:t>The information collection is consistent with the guidelines set forth in 5 CFR 1320.</w:t>
      </w:r>
      <w:r w:rsidR="00311025">
        <w:t>5(d)(2)</w:t>
      </w:r>
      <w:r w:rsidR="001D5E49">
        <w:t xml:space="preserve"> except that </w:t>
      </w:r>
      <w:r w:rsidRPr="001D5E49">
        <w:t xml:space="preserve">respondents are required to retain their vehicle production records </w:t>
      </w:r>
      <w:r w:rsidRPr="001D5E49" w:rsidR="00473DFB">
        <w:t xml:space="preserve">and the records of </w:t>
      </w:r>
      <w:r w:rsidRPr="001D5E49" w:rsidR="00473DFB">
        <w:t>the Vehicle Identification Number for each vehicle for which information is reported u</w:t>
      </w:r>
      <w:r w:rsidRPr="001D5E49" w:rsidR="00B2020E">
        <w:t xml:space="preserve">nder §585.36 </w:t>
      </w:r>
      <w:r w:rsidRPr="001D5E49">
        <w:t xml:space="preserve">for </w:t>
      </w:r>
      <w:r w:rsidRPr="00545C68" w:rsidR="005B5A3D">
        <w:t xml:space="preserve">five years for </w:t>
      </w:r>
      <w:r w:rsidRPr="00E6287D">
        <w:t>verification purposes.</w:t>
      </w:r>
    </w:p>
    <w:p w:rsidR="00341949" w:rsidRPr="00341949" w:rsidP="00341949" w14:paraId="2B6C867A" w14:textId="77777777">
      <w:pPr>
        <w:numPr>
          <w:ilvl w:val="0"/>
          <w:numId w:val="19"/>
        </w:numPr>
        <w:overflowPunct/>
        <w:autoSpaceDE/>
        <w:autoSpaceDN/>
        <w:adjustRightInd/>
        <w:spacing w:before="240" w:beforeAutospacing="0" w:after="200" w:afterAutospacing="0" w:line="276" w:lineRule="auto"/>
        <w:ind w:left="1080"/>
        <w:textAlignment w:val="auto"/>
        <w:rPr>
          <w:b/>
        </w:rPr>
      </w:pPr>
      <w:r w:rsidRPr="005271A9">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t xml:space="preserve"> </w:t>
      </w:r>
      <w:r w:rsidRPr="007D0FB8">
        <w:rPr>
          <w:b/>
        </w:rPr>
        <w:t>on the availability of data, frequency of collection, the clarity of instructions and recordkeeping, disclosure, or reporting format, and on the data elements to be recorded, disclosed, or reported</w:t>
      </w:r>
      <w:r w:rsidRPr="005271A9">
        <w:rPr>
          <w:b/>
        </w:rPr>
        <w:t xml:space="preserve">. </w:t>
      </w:r>
    </w:p>
    <w:p w:rsidR="00A00531" w:rsidRPr="00F210B9" w:rsidP="00A577DC" w14:paraId="482807E9" w14:textId="7D0F6686">
      <w:r>
        <w:t xml:space="preserve">NHTSA </w:t>
      </w:r>
      <w:r w:rsidR="00587F33">
        <w:t>publish</w:t>
      </w:r>
      <w:r w:rsidR="00C16A92">
        <w:t>ed</w:t>
      </w:r>
      <w:r w:rsidR="00587F33">
        <w:t xml:space="preserve"> an NPRM</w:t>
      </w:r>
      <w:r w:rsidR="00C16A92">
        <w:t xml:space="preserve"> on November 28, 2025, (</w:t>
      </w:r>
      <w:r w:rsidRPr="00C16A92" w:rsidR="00C16A92">
        <w:t>90 FR 54619</w:t>
      </w:r>
      <w:r w:rsidR="00C16A92">
        <w:t>)</w:t>
      </w:r>
      <w:r w:rsidR="00587F33">
        <w:t xml:space="preserve"> proposing the extended lead time and phase-in period for vehicles to comply with the amended requirements set forth in Part 563. NHTSA </w:t>
      </w:r>
      <w:r w:rsidR="00C16A92">
        <w:t>received two comments on that NPRM</w:t>
      </w:r>
      <w:r w:rsidRPr="0040444F">
        <w:t>.</w:t>
      </w:r>
    </w:p>
    <w:p w:rsidR="00A00531" w:rsidRPr="00D33BC9" w:rsidP="00DE7631" w14:paraId="013E0D4F" w14:textId="10902368">
      <w:pPr>
        <w:pStyle w:val="ListParagraph"/>
        <w:numPr>
          <w:ilvl w:val="0"/>
          <w:numId w:val="19"/>
        </w:numPr>
        <w:overflowPunct/>
        <w:spacing w:before="0" w:beforeAutospacing="0" w:after="240" w:afterAutospacing="0"/>
        <w:ind w:left="1080"/>
        <w:textAlignment w:val="auto"/>
        <w:rPr>
          <w:b/>
        </w:rPr>
      </w:pPr>
      <w:bookmarkStart w:id="14" w:name="_Hlk51330973"/>
      <w:r w:rsidRPr="00D33BC9">
        <w:rPr>
          <w:b/>
        </w:rPr>
        <w:t>Explain any decision to provide any payment or gift to respondents, other than remuneration of contractors or grantees.</w:t>
      </w:r>
      <w:bookmarkEnd w:id="14"/>
    </w:p>
    <w:p w:rsidR="00A00531" w:rsidP="00A577DC" w14:paraId="01D17E09" w14:textId="5EFD0E29">
      <w:r w:rsidRPr="00F210B9">
        <w:t>NHTSA does not provide any payment or gift to respondents</w:t>
      </w:r>
      <w:r w:rsidR="00AC39E9">
        <w:t xml:space="preserve"> in connection with this information collection</w:t>
      </w:r>
      <w:r w:rsidRPr="00F210B9">
        <w:t>.</w:t>
      </w:r>
    </w:p>
    <w:p w:rsidR="001051FC" w:rsidRPr="001051FC" w:rsidP="00DE7631" w14:paraId="73A34B80" w14:textId="07F81B97">
      <w:pPr>
        <w:pStyle w:val="ListParagraph"/>
        <w:numPr>
          <w:ilvl w:val="0"/>
          <w:numId w:val="19"/>
        </w:numPr>
        <w:overflowPunct/>
        <w:spacing w:before="0" w:beforeAutospacing="0" w:after="240" w:afterAutospacing="0"/>
        <w:ind w:left="1080"/>
        <w:textAlignment w:val="auto"/>
        <w:rPr>
          <w:b/>
        </w:rPr>
      </w:pPr>
      <w:bookmarkStart w:id="15" w:name="_Hlk51331000"/>
      <w:r w:rsidRPr="001051FC">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bookmarkEnd w:id="15"/>
    <w:p w:rsidR="00A00531" w:rsidP="00A577DC" w14:paraId="357BE6D8" w14:textId="3C39D53C">
      <w:r w:rsidRPr="00F210B9">
        <w:t>If a respondent claims</w:t>
      </w:r>
      <w:r w:rsidR="007E03D6">
        <w:t xml:space="preserve"> </w:t>
      </w:r>
      <w:r w:rsidRPr="00F210B9">
        <w:t xml:space="preserve">that its report contains confidential business information, NHTSA will consider that claim under 49 CFR Part 512, Confidential Business Information. </w:t>
      </w:r>
    </w:p>
    <w:p w:rsidR="00A86AFF" w:rsidRPr="00A86AFF" w:rsidP="00A86AFF" w14:paraId="6BC7B78E" w14:textId="663FF08B">
      <w:pPr>
        <w:pStyle w:val="ListParagraph"/>
        <w:numPr>
          <w:ilvl w:val="0"/>
          <w:numId w:val="19"/>
        </w:numPr>
        <w:overflowPunct/>
        <w:autoSpaceDE/>
        <w:autoSpaceDN/>
        <w:adjustRightInd/>
        <w:spacing w:before="0" w:beforeAutospacing="0" w:after="200" w:afterAutospacing="0" w:line="276" w:lineRule="auto"/>
        <w:ind w:left="1080"/>
        <w:textAlignment w:val="auto"/>
        <w:rPr>
          <w:b/>
        </w:rPr>
      </w:pPr>
      <w:bookmarkStart w:id="16" w:name="_Hlk51331086"/>
      <w:r w:rsidRPr="00A86AFF">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6"/>
    <w:p w:rsidR="00A00531" w:rsidP="00A577DC" w14:paraId="48E04634" w14:textId="292ED811">
      <w:r w:rsidRPr="00F210B9">
        <w:t>The information provided is not of a private nature.  Therefore, no justification is necessary.</w:t>
      </w:r>
    </w:p>
    <w:p w:rsidR="00A86AFF" w:rsidRPr="00D72C03" w:rsidP="00DE7631" w14:paraId="47408838" w14:textId="1F9DE4F3">
      <w:pPr>
        <w:pStyle w:val="ListParagraph"/>
        <w:numPr>
          <w:ilvl w:val="0"/>
          <w:numId w:val="19"/>
        </w:numPr>
        <w:overflowPunct/>
        <w:spacing w:before="0" w:beforeAutospacing="0" w:after="240" w:afterAutospacing="0"/>
        <w:ind w:left="1080"/>
        <w:textAlignment w:val="auto"/>
        <w:rPr>
          <w:b/>
        </w:rPr>
      </w:pPr>
      <w:bookmarkStart w:id="17" w:name="_Hlk51332070"/>
      <w:r w:rsidRPr="00D72C03">
        <w:rPr>
          <w:b/>
        </w:rPr>
        <w:t xml:space="preserve">Provide estimates of the hour burden of the collection of information on the respondents and estimates of the annualized labor cost to respondents associated with that hour burden. </w:t>
      </w:r>
      <w:bookmarkEnd w:id="17"/>
    </w:p>
    <w:p w:rsidR="00F85FEC" w:rsidP="00A577DC" w14:paraId="3AC98F8F" w14:textId="64CE2A62">
      <w:r w:rsidRPr="00F210B9">
        <w:t>The annual burden involves the tasks of collection</w:t>
      </w:r>
      <w:r w:rsidR="00AC39E9">
        <w:t xml:space="preserve"> of</w:t>
      </w:r>
      <w:r w:rsidRPr="00F210B9">
        <w:t xml:space="preserve"> the information required by the annual report as well as placing the information in a form</w:t>
      </w:r>
      <w:r w:rsidR="00FE4A0C">
        <w:t>at</w:t>
      </w:r>
      <w:r w:rsidRPr="00F210B9">
        <w:t xml:space="preserve"> suitable for record keeping and data retrieval</w:t>
      </w:r>
      <w:r w:rsidRPr="00F210B9" w:rsidR="00FD1A44">
        <w:t xml:space="preserve">.  </w:t>
      </w:r>
      <w:r w:rsidRPr="00F210B9">
        <w:t>Since almost all of the information required is already recorded by the manufacturers as part of their production control and tracking sy</w:t>
      </w:r>
      <w:r w:rsidR="002B643A">
        <w:t xml:space="preserve">stems, a nominal assessment of </w:t>
      </w:r>
      <w:r w:rsidR="006E0363">
        <w:t>half a</w:t>
      </w:r>
      <w:r w:rsidR="002B643A">
        <w:t xml:space="preserve"> </w:t>
      </w:r>
      <w:r w:rsidRPr="00F210B9">
        <w:t>burden hour per respondent is estimated for data retrieval and report preparation</w:t>
      </w:r>
      <w:r w:rsidR="006E0363">
        <w:t xml:space="preserve"> and half a burden hour per respondent for the record keeping of the data</w:t>
      </w:r>
      <w:r w:rsidRPr="00F210B9">
        <w:t xml:space="preserve">.  </w:t>
      </w:r>
    </w:p>
    <w:p w:rsidR="00AC39E9" w:rsidRPr="00F210B9" w:rsidP="00A577DC" w14:paraId="577660ED" w14:textId="271D0BAE">
      <w:bookmarkStart w:id="18" w:name="_Hlk194396431"/>
      <w:r w:rsidRPr="00A02618">
        <w:t xml:space="preserve">NHTSA estimates the labor costs associated with these labor hours using hourly labor rates published by the Bureau of Labor Statistics (BLS). </w:t>
      </w:r>
      <w:r w:rsidR="00D53943">
        <w:t xml:space="preserve"> </w:t>
      </w:r>
      <w:r w:rsidRPr="00A02618">
        <w:t>BLS estimates that hourly wages represent approximately 70.</w:t>
      </w:r>
      <w:r w:rsidR="00542638">
        <w:t>2</w:t>
      </w:r>
      <w:r w:rsidRPr="00A02618">
        <w:t>% of total compensation for private industry workers.</w:t>
      </w:r>
      <w:r>
        <w:rPr>
          <w:bCs/>
          <w:vertAlign w:val="superscript"/>
        </w:rPr>
        <w:footnoteReference w:id="6"/>
      </w:r>
      <w:r w:rsidRPr="00A02618">
        <w:rPr>
          <w:vertAlign w:val="superscript"/>
        </w:rPr>
        <w:t xml:space="preserve"> </w:t>
      </w:r>
      <w:r>
        <w:rPr>
          <w:vertAlign w:val="superscript"/>
        </w:rPr>
        <w:t xml:space="preserve"> </w:t>
      </w:r>
      <w:r w:rsidRPr="00F85FEC" w:rsidR="00F85FEC">
        <w:t>For the labor costs associated with this ICR, NHTSA uses the mean hourly wage of $</w:t>
      </w:r>
      <w:r w:rsidR="00F85FEC">
        <w:t>4</w:t>
      </w:r>
      <w:r w:rsidR="001D0232">
        <w:t>0</w:t>
      </w:r>
      <w:r w:rsidR="00F85FEC">
        <w:t>.</w:t>
      </w:r>
      <w:r w:rsidR="00F04530">
        <w:t>64</w:t>
      </w:r>
      <w:r w:rsidRPr="00F85FEC" w:rsidR="00F85FEC">
        <w:t xml:space="preserve"> per hour for “Technical Writers” (occupational code 27-3042)</w:t>
      </w:r>
      <w:r>
        <w:rPr>
          <w:vertAlign w:val="superscript"/>
        </w:rPr>
        <w:footnoteReference w:id="7"/>
      </w:r>
      <w:r w:rsidRPr="00F85FEC" w:rsidR="00F85FEC">
        <w:t xml:space="preserve"> </w:t>
      </w:r>
      <w:r w:rsidR="00F85FEC">
        <w:t xml:space="preserve">for the Motor Vehicle Manufacturing Industry </w:t>
      </w:r>
      <w:r w:rsidRPr="00F85FEC" w:rsidR="00F85FEC">
        <w:t>and applies the 70.</w:t>
      </w:r>
      <w:r w:rsidR="00542638">
        <w:t>2</w:t>
      </w:r>
      <w:r w:rsidRPr="00F85FEC" w:rsidR="00F85FEC">
        <w:t>% factor to find the total compensation rate of $5</w:t>
      </w:r>
      <w:r w:rsidR="001D0232">
        <w:t>7.</w:t>
      </w:r>
      <w:r w:rsidR="00542638">
        <w:t>89</w:t>
      </w:r>
      <w:r w:rsidRPr="00F85FEC" w:rsidR="00F85FEC">
        <w:t xml:space="preserve"> per hour ($</w:t>
      </w:r>
      <w:r>
        <w:t>4</w:t>
      </w:r>
      <w:r w:rsidR="001D0232">
        <w:t>0</w:t>
      </w:r>
      <w:r>
        <w:t>.</w:t>
      </w:r>
      <w:r w:rsidR="00F04530">
        <w:t>64</w:t>
      </w:r>
      <w:r w:rsidRPr="00F85FEC" w:rsidR="00F85FEC">
        <w:t xml:space="preserve"> per hour divided by 0.70</w:t>
      </w:r>
      <w:r w:rsidR="00542638">
        <w:t>2</w:t>
      </w:r>
      <w:r w:rsidRPr="00F85FEC" w:rsidR="00F85FEC">
        <w:t xml:space="preserve">). </w:t>
      </w:r>
      <w:r w:rsidR="00D53943">
        <w:t xml:space="preserve"> </w:t>
      </w:r>
      <w:r w:rsidRPr="00F85FEC" w:rsidR="00F85FEC">
        <w:t>The total annual cost is estimated to be $</w:t>
      </w:r>
      <w:r>
        <w:t>1,2</w:t>
      </w:r>
      <w:r w:rsidR="00542638">
        <w:t>73</w:t>
      </w:r>
      <w:r w:rsidR="000E6EE2">
        <w:t>.</w:t>
      </w:r>
      <w:r w:rsidR="00542638">
        <w:t>58</w:t>
      </w:r>
      <w:r w:rsidRPr="00F85FEC" w:rsidR="00F85FEC">
        <w:t xml:space="preserve"> (time burden of </w:t>
      </w:r>
      <w:r>
        <w:t>22</w:t>
      </w:r>
      <w:r w:rsidRPr="00F85FEC" w:rsidR="00F85FEC">
        <w:t xml:space="preserve"> hours </w:t>
      </w:r>
      <w:r>
        <w:t>×</w:t>
      </w:r>
      <w:r w:rsidRPr="00F85FEC" w:rsidR="00F85FEC">
        <w:t xml:space="preserve"> $5</w:t>
      </w:r>
      <w:r w:rsidR="001D0232">
        <w:t>7.</w:t>
      </w:r>
      <w:r w:rsidR="00542638">
        <w:t>89</w:t>
      </w:r>
      <w:r w:rsidRPr="00F85FEC" w:rsidR="00F85FEC">
        <w:t xml:space="preserve"> cost per hour). </w:t>
      </w:r>
      <w:r w:rsidR="00D53943">
        <w:t xml:space="preserve"> </w:t>
      </w:r>
      <w:r w:rsidRPr="00F85FEC" w:rsidR="00F85FEC">
        <w:t>The burden hours and associated labor costs are summarized in Table 1 below.</w:t>
      </w:r>
      <w:bookmarkEnd w:id="18"/>
    </w:p>
    <w:p w:rsidR="00AC39E9" w:rsidRPr="000C2312" w:rsidP="000C2312" w14:paraId="43E819ED" w14:textId="2F77AF22">
      <w:pPr>
        <w:spacing w:before="0" w:beforeAutospacing="0" w:after="0" w:afterAutospacing="0"/>
        <w:jc w:val="center"/>
        <w:rPr>
          <w:b/>
          <w:bCs/>
        </w:rPr>
      </w:pPr>
      <w:r w:rsidRPr="000C2312">
        <w:rPr>
          <w:b/>
          <w:bCs/>
        </w:rPr>
        <w:t>Table 1:  Estimated Annual Burden Hours and Labor Cost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530"/>
        <w:gridCol w:w="900"/>
        <w:gridCol w:w="1530"/>
        <w:gridCol w:w="990"/>
        <w:gridCol w:w="1260"/>
      </w:tblGrid>
      <w:tr w14:paraId="4E9EE24F" w14:textId="77777777" w:rsidTr="00250BFB">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10"/>
        </w:trPr>
        <w:tc>
          <w:tcPr>
            <w:tcW w:w="1710" w:type="dxa"/>
            <w:vAlign w:val="center"/>
            <w:hideMark/>
          </w:tcPr>
          <w:p w:rsidR="00AC39E9" w:rsidRPr="00250BFB" w:rsidP="00250BFB" w14:paraId="6EE87FCC" w14:textId="14A644EB">
            <w:pPr>
              <w:spacing w:before="0" w:beforeAutospacing="0" w:after="0" w:afterAutospacing="0"/>
              <w:contextualSpacing/>
              <w:jc w:val="center"/>
            </w:pPr>
            <w:r w:rsidRPr="00250BFB">
              <w:t>Information Collection</w:t>
            </w:r>
          </w:p>
        </w:tc>
        <w:tc>
          <w:tcPr>
            <w:tcW w:w="1530" w:type="dxa"/>
            <w:vAlign w:val="center"/>
            <w:hideMark/>
          </w:tcPr>
          <w:p w:rsidR="00AC39E9" w:rsidRPr="00250BFB" w:rsidP="00250BFB" w14:paraId="687BA6EC" w14:textId="77777777">
            <w:pPr>
              <w:spacing w:before="0" w:beforeAutospacing="0" w:after="0" w:afterAutospacing="0"/>
              <w:contextualSpacing/>
              <w:jc w:val="center"/>
            </w:pPr>
            <w:r w:rsidRPr="00250BFB">
              <w:t>Number of Respondents</w:t>
            </w:r>
          </w:p>
        </w:tc>
        <w:tc>
          <w:tcPr>
            <w:tcW w:w="1530" w:type="dxa"/>
            <w:vAlign w:val="center"/>
            <w:hideMark/>
          </w:tcPr>
          <w:p w:rsidR="00AC39E9" w:rsidRPr="00250BFB" w:rsidP="00250BFB" w14:paraId="6ABFA8A3" w14:textId="77777777">
            <w:pPr>
              <w:spacing w:before="0" w:beforeAutospacing="0" w:after="0" w:afterAutospacing="0"/>
              <w:contextualSpacing/>
              <w:jc w:val="center"/>
            </w:pPr>
            <w:r w:rsidRPr="00250BFB">
              <w:t>Total Annual Burden Hours per Respondent</w:t>
            </w:r>
          </w:p>
        </w:tc>
        <w:tc>
          <w:tcPr>
            <w:tcW w:w="900" w:type="dxa"/>
            <w:vAlign w:val="center"/>
            <w:hideMark/>
          </w:tcPr>
          <w:p w:rsidR="00AC39E9" w:rsidRPr="00250BFB" w:rsidP="00250BFB" w14:paraId="55B56D8C" w14:textId="77777777">
            <w:pPr>
              <w:spacing w:before="0" w:beforeAutospacing="0" w:after="0" w:afterAutospacing="0"/>
              <w:contextualSpacing/>
              <w:jc w:val="center"/>
            </w:pPr>
            <w:r w:rsidRPr="00250BFB">
              <w:t>Hourly Labor Cost</w:t>
            </w:r>
          </w:p>
        </w:tc>
        <w:tc>
          <w:tcPr>
            <w:tcW w:w="1530" w:type="dxa"/>
            <w:vAlign w:val="center"/>
            <w:hideMark/>
          </w:tcPr>
          <w:p w:rsidR="00AC39E9" w:rsidRPr="00250BFB" w:rsidP="00250BFB" w14:paraId="2C388920" w14:textId="77777777">
            <w:pPr>
              <w:spacing w:before="0" w:beforeAutospacing="0" w:after="0" w:afterAutospacing="0"/>
              <w:contextualSpacing/>
              <w:jc w:val="center"/>
            </w:pPr>
            <w:r w:rsidRPr="00250BFB">
              <w:t>Total Annual Labor Cost per Respondent</w:t>
            </w:r>
          </w:p>
        </w:tc>
        <w:tc>
          <w:tcPr>
            <w:tcW w:w="990" w:type="dxa"/>
            <w:vAlign w:val="center"/>
            <w:hideMark/>
          </w:tcPr>
          <w:p w:rsidR="00AC39E9" w:rsidRPr="00250BFB" w:rsidP="00250BFB" w14:paraId="0FF14E5F" w14:textId="77777777">
            <w:pPr>
              <w:spacing w:before="0" w:beforeAutospacing="0" w:after="0" w:afterAutospacing="0"/>
              <w:contextualSpacing/>
              <w:jc w:val="center"/>
            </w:pPr>
            <w:r w:rsidRPr="00250BFB">
              <w:t>Total Annual Burden Hours</w:t>
            </w:r>
          </w:p>
        </w:tc>
        <w:tc>
          <w:tcPr>
            <w:tcW w:w="1260" w:type="dxa"/>
            <w:vAlign w:val="center"/>
            <w:hideMark/>
          </w:tcPr>
          <w:p w:rsidR="00AC39E9" w:rsidRPr="00250BFB" w:rsidP="00250BFB" w14:paraId="37583966" w14:textId="77777777">
            <w:pPr>
              <w:spacing w:before="0" w:beforeAutospacing="0" w:after="0" w:afterAutospacing="0"/>
              <w:contextualSpacing/>
              <w:jc w:val="center"/>
            </w:pPr>
            <w:r w:rsidRPr="00250BFB">
              <w:t>Total Annual Labor Cost</w:t>
            </w:r>
          </w:p>
        </w:tc>
      </w:tr>
      <w:tr w14:paraId="30470FDC" w14:textId="77777777" w:rsidTr="00250BFB">
        <w:tblPrEx>
          <w:tblW w:w="9450" w:type="dxa"/>
          <w:tblInd w:w="-5" w:type="dxa"/>
          <w:tblLayout w:type="fixed"/>
          <w:tblLook w:val="04A0"/>
        </w:tblPrEx>
        <w:trPr>
          <w:trHeight w:val="701"/>
        </w:trPr>
        <w:tc>
          <w:tcPr>
            <w:tcW w:w="1710" w:type="dxa"/>
            <w:vAlign w:val="center"/>
          </w:tcPr>
          <w:p w:rsidR="00AC39E9" w:rsidP="00250BFB" w14:paraId="33E2D008" w14:textId="4018C8E9">
            <w:pPr>
              <w:spacing w:before="0" w:beforeAutospacing="0" w:after="0" w:afterAutospacing="0"/>
              <w:contextualSpacing/>
            </w:pPr>
            <w:r>
              <w:t>Phase-In Reporting</w:t>
            </w:r>
          </w:p>
        </w:tc>
        <w:tc>
          <w:tcPr>
            <w:tcW w:w="1530" w:type="dxa"/>
            <w:vAlign w:val="center"/>
          </w:tcPr>
          <w:p w:rsidR="00AC39E9" w:rsidRPr="00336B52" w:rsidP="00250BFB" w14:paraId="1F53A118" w14:textId="07B4ED94">
            <w:pPr>
              <w:spacing w:before="0" w:beforeAutospacing="0" w:after="0" w:afterAutospacing="0"/>
              <w:contextualSpacing/>
            </w:pPr>
            <w:r>
              <w:t>22</w:t>
            </w:r>
          </w:p>
        </w:tc>
        <w:tc>
          <w:tcPr>
            <w:tcW w:w="1530" w:type="dxa"/>
            <w:vAlign w:val="center"/>
          </w:tcPr>
          <w:p w:rsidR="00AC39E9" w:rsidRPr="00336B52" w:rsidP="00250BFB" w14:paraId="6657D58E" w14:textId="07D5035A">
            <w:pPr>
              <w:spacing w:before="0" w:beforeAutospacing="0" w:after="0" w:afterAutospacing="0"/>
              <w:contextualSpacing/>
            </w:pPr>
            <w:r>
              <w:t>.5</w:t>
            </w:r>
          </w:p>
        </w:tc>
        <w:tc>
          <w:tcPr>
            <w:tcW w:w="900" w:type="dxa"/>
            <w:vAlign w:val="center"/>
          </w:tcPr>
          <w:p w:rsidR="00AC39E9" w:rsidRPr="00336B52" w:rsidP="00250BFB" w14:paraId="52A89F7F" w14:textId="561E414C">
            <w:pPr>
              <w:spacing w:before="0" w:beforeAutospacing="0" w:after="0" w:afterAutospacing="0"/>
              <w:contextualSpacing/>
            </w:pPr>
            <w:r>
              <w:t>$5</w:t>
            </w:r>
            <w:r w:rsidR="001D0232">
              <w:t>7</w:t>
            </w:r>
            <w:r>
              <w:t>.</w:t>
            </w:r>
            <w:r w:rsidR="00250BFB">
              <w:t>89</w:t>
            </w:r>
          </w:p>
        </w:tc>
        <w:tc>
          <w:tcPr>
            <w:tcW w:w="1530" w:type="dxa"/>
            <w:vAlign w:val="center"/>
          </w:tcPr>
          <w:p w:rsidR="00AC39E9" w:rsidRPr="00336B52" w:rsidP="00250BFB" w14:paraId="29FBAF18" w14:textId="794FD8A3">
            <w:pPr>
              <w:spacing w:before="0" w:beforeAutospacing="0" w:after="0" w:afterAutospacing="0"/>
              <w:contextualSpacing/>
            </w:pPr>
            <w:r>
              <w:t>$2</w:t>
            </w:r>
            <w:r w:rsidR="001D0232">
              <w:t>8.</w:t>
            </w:r>
            <w:r w:rsidR="00250BFB">
              <w:t>95</w:t>
            </w:r>
          </w:p>
        </w:tc>
        <w:tc>
          <w:tcPr>
            <w:tcW w:w="990" w:type="dxa"/>
            <w:vAlign w:val="center"/>
          </w:tcPr>
          <w:p w:rsidR="00AC39E9" w:rsidRPr="00545C68" w:rsidP="00250BFB" w14:paraId="3778EB09" w14:textId="5DD419A3">
            <w:pPr>
              <w:spacing w:before="0" w:beforeAutospacing="0" w:after="0" w:afterAutospacing="0"/>
              <w:contextualSpacing/>
            </w:pPr>
            <w:r w:rsidRPr="00545C68">
              <w:t>11</w:t>
            </w:r>
          </w:p>
        </w:tc>
        <w:tc>
          <w:tcPr>
            <w:tcW w:w="1260" w:type="dxa"/>
            <w:vAlign w:val="center"/>
          </w:tcPr>
          <w:p w:rsidR="00AC39E9" w:rsidRPr="00F879F8" w:rsidP="00250BFB" w14:paraId="34DD7E67" w14:textId="6AA54A16">
            <w:pPr>
              <w:spacing w:before="0" w:beforeAutospacing="0" w:after="0" w:afterAutospacing="0"/>
              <w:contextualSpacing/>
            </w:pPr>
            <w:r>
              <w:t>$6</w:t>
            </w:r>
            <w:r w:rsidR="001D0232">
              <w:t>3</w:t>
            </w:r>
            <w:r w:rsidR="00250BFB">
              <w:t>6</w:t>
            </w:r>
            <w:r w:rsidR="000E6EE2">
              <w:t>.</w:t>
            </w:r>
            <w:r w:rsidR="00250BFB">
              <w:t>79</w:t>
            </w:r>
          </w:p>
        </w:tc>
      </w:tr>
      <w:tr w14:paraId="70C5E97C" w14:textId="77777777" w:rsidTr="00250BFB">
        <w:tblPrEx>
          <w:tblW w:w="9450" w:type="dxa"/>
          <w:tblInd w:w="-5" w:type="dxa"/>
          <w:tblLayout w:type="fixed"/>
          <w:tblLook w:val="04A0"/>
        </w:tblPrEx>
        <w:trPr>
          <w:trHeight w:val="656"/>
        </w:trPr>
        <w:tc>
          <w:tcPr>
            <w:tcW w:w="1710" w:type="dxa"/>
            <w:vAlign w:val="center"/>
            <w:hideMark/>
          </w:tcPr>
          <w:p w:rsidR="00AC39E9" w:rsidRPr="00545C68" w:rsidP="00250BFB" w14:paraId="405CCBE3" w14:textId="4843046F">
            <w:pPr>
              <w:spacing w:before="0" w:beforeAutospacing="0" w:after="0" w:afterAutospacing="0"/>
              <w:contextualSpacing/>
            </w:pPr>
            <w:r w:rsidRPr="00545C68">
              <w:t>Phase-In Recordkeeping</w:t>
            </w:r>
          </w:p>
        </w:tc>
        <w:tc>
          <w:tcPr>
            <w:tcW w:w="1530" w:type="dxa"/>
            <w:vAlign w:val="center"/>
            <w:hideMark/>
          </w:tcPr>
          <w:p w:rsidR="00AC39E9" w:rsidRPr="00545C68" w:rsidP="00250BFB" w14:paraId="43069F7A" w14:textId="31EF814F">
            <w:pPr>
              <w:spacing w:before="0" w:beforeAutospacing="0" w:after="0" w:afterAutospacing="0"/>
              <w:contextualSpacing/>
            </w:pPr>
            <w:r w:rsidRPr="00545C68">
              <w:t>22</w:t>
            </w:r>
          </w:p>
        </w:tc>
        <w:tc>
          <w:tcPr>
            <w:tcW w:w="1530" w:type="dxa"/>
            <w:vAlign w:val="center"/>
            <w:hideMark/>
          </w:tcPr>
          <w:p w:rsidR="00AC39E9" w:rsidRPr="00545C68" w:rsidP="00250BFB" w14:paraId="7020E741" w14:textId="0F4F4387">
            <w:pPr>
              <w:spacing w:before="0" w:beforeAutospacing="0" w:after="0" w:afterAutospacing="0"/>
              <w:contextualSpacing/>
            </w:pPr>
            <w:r w:rsidRPr="00545C68">
              <w:t>.5</w:t>
            </w:r>
          </w:p>
        </w:tc>
        <w:tc>
          <w:tcPr>
            <w:tcW w:w="900" w:type="dxa"/>
            <w:vAlign w:val="center"/>
            <w:hideMark/>
          </w:tcPr>
          <w:p w:rsidR="00AC39E9" w:rsidRPr="00545C68" w:rsidP="00250BFB" w14:paraId="3954A3F2" w14:textId="5A94EE98">
            <w:pPr>
              <w:spacing w:before="0" w:beforeAutospacing="0" w:after="0" w:afterAutospacing="0"/>
              <w:contextualSpacing/>
            </w:pPr>
            <w:r w:rsidRPr="00545C68">
              <w:t>$5</w:t>
            </w:r>
            <w:r w:rsidR="001D0232">
              <w:t>7.</w:t>
            </w:r>
            <w:r w:rsidR="00250BFB">
              <w:t>89</w:t>
            </w:r>
            <w:r w:rsidRPr="00545C68">
              <w:t xml:space="preserve"> </w:t>
            </w:r>
          </w:p>
        </w:tc>
        <w:tc>
          <w:tcPr>
            <w:tcW w:w="1530" w:type="dxa"/>
            <w:vAlign w:val="center"/>
            <w:hideMark/>
          </w:tcPr>
          <w:p w:rsidR="00AC39E9" w:rsidRPr="00545C68" w:rsidP="00250BFB" w14:paraId="7F225426" w14:textId="3615D2BA">
            <w:pPr>
              <w:spacing w:before="0" w:beforeAutospacing="0" w:after="0" w:afterAutospacing="0"/>
              <w:contextualSpacing/>
            </w:pPr>
            <w:r w:rsidRPr="00545C68">
              <w:t>$2</w:t>
            </w:r>
            <w:r w:rsidR="001D0232">
              <w:t>8.</w:t>
            </w:r>
            <w:r w:rsidR="00250BFB">
              <w:t>95</w:t>
            </w:r>
          </w:p>
        </w:tc>
        <w:tc>
          <w:tcPr>
            <w:tcW w:w="990" w:type="dxa"/>
            <w:noWrap/>
            <w:vAlign w:val="center"/>
            <w:hideMark/>
          </w:tcPr>
          <w:p w:rsidR="00AC39E9" w:rsidRPr="00545C68" w:rsidP="00250BFB" w14:paraId="630342D1" w14:textId="423F6FC3">
            <w:pPr>
              <w:spacing w:before="0" w:beforeAutospacing="0" w:after="0" w:afterAutospacing="0"/>
              <w:contextualSpacing/>
            </w:pPr>
            <w:r w:rsidRPr="00545C68">
              <w:t>11</w:t>
            </w:r>
          </w:p>
        </w:tc>
        <w:tc>
          <w:tcPr>
            <w:tcW w:w="1260" w:type="dxa"/>
            <w:noWrap/>
            <w:vAlign w:val="center"/>
            <w:hideMark/>
          </w:tcPr>
          <w:p w:rsidR="00AC39E9" w:rsidRPr="00545C68" w:rsidP="00250BFB" w14:paraId="0F274670" w14:textId="251C6BE5">
            <w:pPr>
              <w:spacing w:before="0" w:beforeAutospacing="0" w:after="0" w:afterAutospacing="0"/>
              <w:contextualSpacing/>
            </w:pPr>
            <w:r w:rsidRPr="00545C68">
              <w:t>$</w:t>
            </w:r>
            <w:r w:rsidRPr="00545C68" w:rsidR="009D0AD4">
              <w:t>6</w:t>
            </w:r>
            <w:r w:rsidR="001D0232">
              <w:t>3</w:t>
            </w:r>
            <w:r w:rsidR="00250BFB">
              <w:t>6</w:t>
            </w:r>
            <w:r w:rsidR="000E6EE2">
              <w:t>.</w:t>
            </w:r>
            <w:r w:rsidR="00250BFB">
              <w:t>79</w:t>
            </w:r>
          </w:p>
        </w:tc>
      </w:tr>
      <w:tr w14:paraId="74D3D302" w14:textId="77777777" w:rsidTr="00250BFB">
        <w:tblPrEx>
          <w:tblW w:w="9450" w:type="dxa"/>
          <w:tblInd w:w="-5" w:type="dxa"/>
          <w:tblLayout w:type="fixed"/>
          <w:tblLook w:val="04A0"/>
        </w:tblPrEx>
        <w:trPr>
          <w:trHeight w:val="656"/>
        </w:trPr>
        <w:tc>
          <w:tcPr>
            <w:tcW w:w="1710" w:type="dxa"/>
            <w:vAlign w:val="center"/>
          </w:tcPr>
          <w:p w:rsidR="009D0AD4" w:rsidRPr="006A74F2" w:rsidP="00250BFB" w14:paraId="2D934C1B" w14:textId="435AF2F3">
            <w:pPr>
              <w:spacing w:before="0" w:beforeAutospacing="0" w:after="0" w:afterAutospacing="0"/>
              <w:contextualSpacing/>
            </w:pPr>
            <w:r w:rsidRPr="006A74F2">
              <w:t>TOTAL</w:t>
            </w:r>
          </w:p>
        </w:tc>
        <w:tc>
          <w:tcPr>
            <w:tcW w:w="1530" w:type="dxa"/>
            <w:vAlign w:val="center"/>
          </w:tcPr>
          <w:p w:rsidR="009D0AD4" w:rsidRPr="006A74F2" w:rsidP="00250BFB" w14:paraId="06DB78CF" w14:textId="7C1F5484">
            <w:pPr>
              <w:spacing w:before="0" w:beforeAutospacing="0" w:after="0" w:afterAutospacing="0"/>
              <w:contextualSpacing/>
            </w:pPr>
            <w:r w:rsidRPr="006A74F2">
              <w:t>22</w:t>
            </w:r>
          </w:p>
        </w:tc>
        <w:tc>
          <w:tcPr>
            <w:tcW w:w="1530" w:type="dxa"/>
            <w:vAlign w:val="center"/>
          </w:tcPr>
          <w:p w:rsidR="009D0AD4" w:rsidRPr="006A74F2" w:rsidP="00250BFB" w14:paraId="2CB65E3D" w14:textId="58FA43FD">
            <w:pPr>
              <w:spacing w:before="0" w:beforeAutospacing="0" w:after="0" w:afterAutospacing="0"/>
              <w:contextualSpacing/>
            </w:pPr>
            <w:r w:rsidRPr="006A74F2">
              <w:t>1</w:t>
            </w:r>
          </w:p>
        </w:tc>
        <w:tc>
          <w:tcPr>
            <w:tcW w:w="900" w:type="dxa"/>
            <w:vAlign w:val="center"/>
          </w:tcPr>
          <w:p w:rsidR="009D0AD4" w:rsidRPr="006A74F2" w:rsidP="00250BFB" w14:paraId="6B4A171C" w14:textId="05125AC0">
            <w:pPr>
              <w:spacing w:before="0" w:beforeAutospacing="0" w:after="0" w:afterAutospacing="0"/>
              <w:contextualSpacing/>
            </w:pPr>
            <w:r w:rsidRPr="006A74F2">
              <w:t>$5</w:t>
            </w:r>
            <w:r w:rsidRPr="006A74F2" w:rsidR="001D0232">
              <w:t>7.</w:t>
            </w:r>
            <w:r w:rsidR="00250BFB">
              <w:t>89</w:t>
            </w:r>
          </w:p>
        </w:tc>
        <w:tc>
          <w:tcPr>
            <w:tcW w:w="1530" w:type="dxa"/>
            <w:vAlign w:val="center"/>
          </w:tcPr>
          <w:p w:rsidR="009D0AD4" w:rsidRPr="006A74F2" w:rsidP="00250BFB" w14:paraId="14657BEB" w14:textId="71B3882C">
            <w:pPr>
              <w:spacing w:before="0" w:beforeAutospacing="0" w:after="0" w:afterAutospacing="0"/>
              <w:contextualSpacing/>
            </w:pPr>
            <w:r w:rsidRPr="006A74F2">
              <w:t>$5</w:t>
            </w:r>
            <w:r w:rsidRPr="006A74F2" w:rsidR="001D0232">
              <w:t>7.</w:t>
            </w:r>
            <w:r w:rsidR="00250BFB">
              <w:t>89</w:t>
            </w:r>
          </w:p>
        </w:tc>
        <w:tc>
          <w:tcPr>
            <w:tcW w:w="990" w:type="dxa"/>
            <w:noWrap/>
            <w:vAlign w:val="center"/>
          </w:tcPr>
          <w:p w:rsidR="009D0AD4" w:rsidRPr="006A74F2" w:rsidP="00250BFB" w14:paraId="144FABD5" w14:textId="21FD2D21">
            <w:pPr>
              <w:spacing w:before="0" w:beforeAutospacing="0" w:after="0" w:afterAutospacing="0"/>
              <w:contextualSpacing/>
            </w:pPr>
            <w:r w:rsidRPr="006A74F2">
              <w:t>22</w:t>
            </w:r>
          </w:p>
        </w:tc>
        <w:tc>
          <w:tcPr>
            <w:tcW w:w="1260" w:type="dxa"/>
            <w:noWrap/>
            <w:vAlign w:val="center"/>
          </w:tcPr>
          <w:p w:rsidR="009D0AD4" w:rsidRPr="006A74F2" w:rsidP="00250BFB" w14:paraId="4F7FCC77" w14:textId="7D1CC707">
            <w:pPr>
              <w:spacing w:before="0" w:beforeAutospacing="0" w:after="0" w:afterAutospacing="0"/>
              <w:contextualSpacing/>
            </w:pPr>
            <w:r w:rsidRPr="006A74F2">
              <w:t>$1,2</w:t>
            </w:r>
            <w:r w:rsidR="00250BFB">
              <w:t>73</w:t>
            </w:r>
            <w:r w:rsidRPr="006A74F2" w:rsidR="000E6EE2">
              <w:t>.</w:t>
            </w:r>
            <w:r w:rsidR="00250BFB">
              <w:t>58</w:t>
            </w:r>
          </w:p>
        </w:tc>
      </w:tr>
    </w:tbl>
    <w:p w:rsidR="00AC34DC" w:rsidP="00AC34DC" w14:paraId="6DFC9E9D" w14:textId="77777777">
      <w:pPr>
        <w:pStyle w:val="ListParagraph"/>
        <w:overflowPunct/>
        <w:spacing w:before="0" w:beforeAutospacing="0" w:after="0" w:afterAutospacing="0"/>
        <w:ind w:left="1080"/>
        <w:textAlignment w:val="auto"/>
        <w:rPr>
          <w:b/>
        </w:rPr>
      </w:pPr>
      <w:bookmarkStart w:id="20" w:name="_Hlk51332101"/>
    </w:p>
    <w:p w:rsidR="00A00531" w:rsidRPr="00AC34DC" w:rsidP="00DE7631" w14:paraId="300C1598" w14:textId="3BD36640">
      <w:pPr>
        <w:pStyle w:val="ListParagraph"/>
        <w:numPr>
          <w:ilvl w:val="0"/>
          <w:numId w:val="19"/>
        </w:numPr>
        <w:overflowPunct/>
        <w:spacing w:before="0" w:beforeAutospacing="0" w:after="240" w:afterAutospacing="0"/>
        <w:ind w:left="1080"/>
        <w:textAlignment w:val="auto"/>
        <w:rPr>
          <w:b/>
        </w:rPr>
      </w:pPr>
      <w:r w:rsidRPr="00AC34DC">
        <w:rPr>
          <w:b/>
        </w:rPr>
        <w:t xml:space="preserve">Provide an estimate of the total annual cost burden to respondents or record keepers resulting from the collection of information. Do not include the cost of any hour burden already reflected in the response provided in question 12.  </w:t>
      </w:r>
      <w:bookmarkEnd w:id="20"/>
    </w:p>
    <w:p w:rsidR="00A00531" w:rsidRPr="00F210B9" w:rsidP="00A577DC" w14:paraId="0E57887B" w14:textId="58899724">
      <w:r w:rsidRPr="00F210B9">
        <w:t>T</w:t>
      </w:r>
      <w:r w:rsidRPr="002942E9" w:rsidR="00D714CC">
        <w:t xml:space="preserve">here are no </w:t>
      </w:r>
      <w:r w:rsidR="00A621C9">
        <w:t xml:space="preserve">additional </w:t>
      </w:r>
      <w:r w:rsidRPr="002942E9" w:rsidR="00D714CC">
        <w:t xml:space="preserve">costs to respondents or record keepers other than </w:t>
      </w:r>
      <w:r w:rsidR="008F7C72">
        <w:t xml:space="preserve">the </w:t>
      </w:r>
      <w:r w:rsidRPr="002942E9" w:rsidR="00D714CC">
        <w:t>labor costs associated with the burden hours</w:t>
      </w:r>
      <w:r w:rsidR="008F7C72">
        <w:t xml:space="preserve"> described in question 12</w:t>
      </w:r>
      <w:r w:rsidRPr="002942E9" w:rsidR="00D714CC">
        <w:t xml:space="preserve">. </w:t>
      </w:r>
    </w:p>
    <w:p w:rsidR="00A00531" w:rsidRPr="00B66C24" w:rsidP="00B66C24" w14:paraId="70B51FDD" w14:textId="38DE61A8">
      <w:pPr>
        <w:pStyle w:val="ListParagraph"/>
        <w:numPr>
          <w:ilvl w:val="0"/>
          <w:numId w:val="19"/>
        </w:numPr>
        <w:overflowPunct/>
        <w:autoSpaceDE/>
        <w:autoSpaceDN/>
        <w:adjustRightInd/>
        <w:spacing w:before="0" w:beforeAutospacing="0" w:after="200" w:afterAutospacing="0"/>
        <w:ind w:left="1080"/>
        <w:textAlignment w:val="auto"/>
        <w:rPr>
          <w:b/>
        </w:rPr>
      </w:pPr>
      <w:bookmarkStart w:id="21" w:name="_Hlk51332118"/>
      <w:r w:rsidRPr="00B66C24">
        <w:rPr>
          <w:b/>
        </w:rPr>
        <w:t xml:space="preserve">Provide estimates of annualized costs to the Federal government. Provide a description of the method used to estimate cost, which should include quantification of hours, operational expenses (such as equipment, overhead, </w:t>
      </w:r>
      <w:r w:rsidRPr="00B66C24">
        <w:rPr>
          <w:b/>
        </w:rPr>
        <w:t xml:space="preserve">printing, and support staff), and any other expense that would not have been incurred without this collection of information. </w:t>
      </w:r>
      <w:bookmarkEnd w:id="21"/>
    </w:p>
    <w:p w:rsidR="00B22CAB" w:rsidP="00A577DC" w14:paraId="4308F117" w14:textId="43E44902">
      <w:r w:rsidRPr="00F210B9">
        <w:t>An estimate of the required cost has been prepared based on NHTSA's experience with programs of a similar nature.  The total annual cost is equal to the cost associated with analyzing all reports prepared by each individual respondent.</w:t>
      </w:r>
      <w:r w:rsidRPr="00B22CAB">
        <w:t xml:space="preserve"> </w:t>
      </w:r>
    </w:p>
    <w:p w:rsidR="00A00531" w:rsidRPr="00F210B9" w:rsidP="00A577DC" w14:paraId="2761CD22" w14:textId="0EB5935B">
      <w:r w:rsidRPr="00B22CAB">
        <w:t xml:space="preserve">The </w:t>
      </w:r>
      <w:r w:rsidRPr="00545C68">
        <w:t xml:space="preserve">estimated time to review each submission is .5 hours per submission. </w:t>
      </w:r>
      <w:r w:rsidR="00D53943">
        <w:t xml:space="preserve"> </w:t>
      </w:r>
      <w:r w:rsidRPr="00545C68">
        <w:rPr>
          <w:rFonts w:eastAsia="Calibri"/>
        </w:rPr>
        <w:t>NHTSA estimates the cost of this time using the salary of a GS 14 step 1 employee in the Washington, DC, area, which is $</w:t>
      </w:r>
      <w:r w:rsidR="00DE7D28">
        <w:rPr>
          <w:rFonts w:eastAsia="Calibri"/>
        </w:rPr>
        <w:t>66.79</w:t>
      </w:r>
      <w:r w:rsidRPr="00545C68">
        <w:rPr>
          <w:rFonts w:eastAsia="Calibri"/>
        </w:rPr>
        <w:t xml:space="preserve"> per hour.</w:t>
      </w:r>
      <w:r>
        <w:rPr>
          <w:rFonts w:eastAsia="Calibri"/>
          <w:vertAlign w:val="superscript"/>
        </w:rPr>
        <w:footnoteReference w:id="8"/>
      </w:r>
      <w:r w:rsidRPr="00545C68">
        <w:rPr>
          <w:rFonts w:eastAsia="Calibri"/>
        </w:rPr>
        <w:t xml:space="preserve"> </w:t>
      </w:r>
      <w:r w:rsidRPr="00545C68">
        <w:t xml:space="preserve"> The B</w:t>
      </w:r>
      <w:r w:rsidRPr="00545C68" w:rsidR="004F4DD4">
        <w:t>LS</w:t>
      </w:r>
      <w:r w:rsidRPr="00545C68">
        <w:t xml:space="preserve"> estimates that wages represent 61.</w:t>
      </w:r>
      <w:r w:rsidR="000E6EE2">
        <w:t>8</w:t>
      </w:r>
      <w:r w:rsidR="00B71CC3">
        <w:t>%</w:t>
      </w:r>
      <w:r w:rsidRPr="00545C68">
        <w:t xml:space="preserve"> of total compensation for State and local government workers, on average.</w:t>
      </w:r>
      <w:r>
        <w:rPr>
          <w:vertAlign w:val="superscript"/>
        </w:rPr>
        <w:footnoteReference w:id="9"/>
      </w:r>
      <w:r w:rsidRPr="00545C68">
        <w:t xml:space="preserve">  Using this estimate to calculate a loaded wage, NHTSA estimates the total hourly compensation cost to be $</w:t>
      </w:r>
      <w:r w:rsidR="00DE7D28">
        <w:t>10</w:t>
      </w:r>
      <w:r w:rsidR="000E6EE2">
        <w:t>8.07</w:t>
      </w:r>
      <w:r w:rsidRPr="00545C68">
        <w:t xml:space="preserve">. </w:t>
      </w:r>
      <w:r w:rsidRPr="00545C68" w:rsidR="004F4DD4">
        <w:t xml:space="preserve"> </w:t>
      </w:r>
      <w:r w:rsidRPr="00B22CAB">
        <w:t xml:space="preserve">  </w:t>
      </w:r>
    </w:p>
    <w:p w:rsidR="00A00531" w:rsidRPr="00177178" w:rsidP="00A577DC" w14:paraId="6E0748B9" w14:textId="77777777">
      <w:r>
        <w:t xml:space="preserve"> </w:t>
      </w:r>
      <w:r>
        <w:tab/>
      </w:r>
      <w:r w:rsidRPr="00177178">
        <w:t>Annual Cost = N x H x C</w:t>
      </w:r>
    </w:p>
    <w:p w:rsidR="00A00531" w:rsidRPr="00177178" w:rsidP="00A577DC" w14:paraId="287DC3F7" w14:textId="77777777">
      <w:r w:rsidRPr="00177178">
        <w:t xml:space="preserve">               </w:t>
      </w:r>
      <w:r w:rsidR="00C32A2F">
        <w:tab/>
      </w:r>
      <w:r w:rsidR="00C32A2F">
        <w:tab/>
        <w:t xml:space="preserve">where </w:t>
      </w:r>
      <w:r w:rsidRPr="00177178" w:rsidR="00FD1A44">
        <w:t>N</w:t>
      </w:r>
      <w:r w:rsidRPr="00177178">
        <w:t>, Number of respondents = 2</w:t>
      </w:r>
      <w:r w:rsidRPr="00177178" w:rsidR="006E4E6E">
        <w:t>2</w:t>
      </w:r>
    </w:p>
    <w:p w:rsidR="00A00531" w:rsidRPr="00177178" w:rsidP="00A577DC" w14:paraId="7BD39DCA" w14:textId="77777777">
      <w:r w:rsidRPr="00177178">
        <w:t xml:space="preserve">                     </w:t>
      </w:r>
      <w:r w:rsidRPr="00177178" w:rsidR="00FD1A44">
        <w:tab/>
      </w:r>
      <w:r w:rsidRPr="00177178" w:rsidR="00FD1A44">
        <w:tab/>
      </w:r>
      <w:r w:rsidRPr="00177178" w:rsidR="00FD1A44">
        <w:tab/>
      </w:r>
      <w:r w:rsidRPr="00177178">
        <w:t xml:space="preserve">H, Hours to analyze one report = </w:t>
      </w:r>
      <w:r w:rsidRPr="00177178" w:rsidR="002D186E">
        <w:t>.5</w:t>
      </w:r>
      <w:r w:rsidRPr="00177178">
        <w:t xml:space="preserve"> </w:t>
      </w:r>
    </w:p>
    <w:p w:rsidR="00A00531" w:rsidRPr="00177178" w:rsidP="00A577DC" w14:paraId="7AAD5EE4" w14:textId="417FB100">
      <w:r w:rsidRPr="00177178">
        <w:t xml:space="preserve">                     </w:t>
      </w:r>
      <w:r w:rsidRPr="00177178" w:rsidR="00FD1A44">
        <w:tab/>
      </w:r>
      <w:r w:rsidRPr="00177178" w:rsidR="00FD1A44">
        <w:tab/>
      </w:r>
      <w:r w:rsidRPr="00177178" w:rsidR="00FD1A44">
        <w:tab/>
      </w:r>
      <w:r w:rsidRPr="00177178">
        <w:t xml:space="preserve">C, Cost per hour in dollars = </w:t>
      </w:r>
      <w:r w:rsidR="004F4DD4">
        <w:t>$</w:t>
      </w:r>
      <w:r w:rsidR="000E6EE2">
        <w:t>108.07</w:t>
      </w:r>
      <w:r w:rsidRPr="00177178">
        <w:t xml:space="preserve"> </w:t>
      </w:r>
    </w:p>
    <w:p w:rsidR="00A00531" w:rsidRPr="00F210B9" w:rsidP="00A577DC" w14:paraId="6E9E99E2" w14:textId="449C5A73">
      <w:r w:rsidRPr="00177178">
        <w:t>The</w:t>
      </w:r>
      <w:r w:rsidR="006A4510">
        <w:t>refore, the</w:t>
      </w:r>
      <w:r w:rsidRPr="00177178">
        <w:t xml:space="preserve"> estimated annual cost to</w:t>
      </w:r>
      <w:r w:rsidR="006A4510">
        <w:t xml:space="preserve"> the</w:t>
      </w:r>
      <w:r w:rsidRPr="00177178">
        <w:t xml:space="preserve"> Federal government is $</w:t>
      </w:r>
      <w:r w:rsidR="004801E5">
        <w:t>1,188.82</w:t>
      </w:r>
      <w:r w:rsidRPr="00177178">
        <w:t>.</w:t>
      </w:r>
    </w:p>
    <w:p w:rsidR="0089693E" w:rsidRPr="0089693E" w:rsidP="0089693E" w14:paraId="386AB3B7" w14:textId="187DFAAB">
      <w:pPr>
        <w:pStyle w:val="ListParagraph"/>
        <w:numPr>
          <w:ilvl w:val="0"/>
          <w:numId w:val="19"/>
        </w:numPr>
        <w:overflowPunct/>
        <w:spacing w:before="0" w:beforeAutospacing="0" w:after="0" w:afterAutospacing="0"/>
        <w:ind w:left="1080"/>
        <w:textAlignment w:val="auto"/>
        <w:rPr>
          <w:b/>
        </w:rPr>
      </w:pPr>
      <w:bookmarkStart w:id="22" w:name="_Hlk63087643"/>
      <w:bookmarkStart w:id="23" w:name="_Hlk51332149"/>
      <w:r w:rsidRPr="0089693E">
        <w:rPr>
          <w:b/>
        </w:rPr>
        <w:t xml:space="preserve">Explain the reasons for any program changes or adjustments reported on the burden worksheet. If this is a new collection, the program change will be the number of burden hours reported in response to question 12 and the entire burden cost  reported in response to question 13. If this is a renewal or reinstatement, the change is the difference between the new burden estimates and the burden estimates from the last OMB approval. </w:t>
      </w:r>
      <w:bookmarkEnd w:id="22"/>
      <w:r w:rsidRPr="0089693E">
        <w:rPr>
          <w:b/>
        </w:rPr>
        <w:t xml:space="preserve"> </w:t>
      </w:r>
    </w:p>
    <w:bookmarkEnd w:id="23"/>
    <w:p w:rsidR="0078010C" w:rsidRPr="00F210B9" w:rsidP="00A577DC" w14:paraId="63C6A8DC" w14:textId="7055870E">
      <w:r>
        <w:t>Th</w:t>
      </w:r>
      <w:r w:rsidR="004F4DD4">
        <w:t>is</w:t>
      </w:r>
      <w:r>
        <w:t xml:space="preserve"> </w:t>
      </w:r>
      <w:r w:rsidR="00B22CAB">
        <w:t xml:space="preserve">ICR is </w:t>
      </w:r>
      <w:r w:rsidRPr="000C6269" w:rsidR="00B22CAB">
        <w:t xml:space="preserve">for a </w:t>
      </w:r>
      <w:r w:rsidRPr="000C6269" w:rsidR="00471270">
        <w:t>modification</w:t>
      </w:r>
      <w:r w:rsidR="00471270">
        <w:t xml:space="preserve"> of a previously approved information collection</w:t>
      </w:r>
      <w:r w:rsidR="00B22CAB">
        <w:t xml:space="preserve">. </w:t>
      </w:r>
      <w:r w:rsidRPr="1D71AA7E" w:rsidR="6B5C0D5E">
        <w:t xml:space="preserve">The modification </w:t>
      </w:r>
      <w:r w:rsidRPr="11582177" w:rsidR="3031D9ED">
        <w:t>in</w:t>
      </w:r>
      <w:r w:rsidRPr="1D71AA7E" w:rsidR="6B5C0D5E">
        <w:t xml:space="preserve"> this ICR request </w:t>
      </w:r>
      <w:r w:rsidRPr="44B951CD" w:rsidR="6B5C0D5E">
        <w:t xml:space="preserve">regards </w:t>
      </w:r>
      <w:r w:rsidRPr="0AE1AB33" w:rsidR="6B5C0D5E">
        <w:t>an</w:t>
      </w:r>
      <w:r w:rsidRPr="1D71AA7E" w:rsidR="6B5C0D5E">
        <w:t xml:space="preserve"> information collection </w:t>
      </w:r>
      <w:r w:rsidRPr="4841DC10" w:rsidR="57A7B648">
        <w:t>(OMB Control No. 2127-0535)</w:t>
      </w:r>
      <w:r w:rsidRPr="4841DC10" w:rsidR="6B5C0D5E">
        <w:t xml:space="preserve"> </w:t>
      </w:r>
      <w:r w:rsidRPr="1D71AA7E" w:rsidR="6B5C0D5E">
        <w:t>that was established as part of a final rule in which NHTSA amended Federal Motor Vehicle Safety Standard (FMVSS) No. 208, “Occupant crash protection,” to update the child restraint systems (CRSs) listed in Appendix A-1 of the standard (89 FR 67869).</w:t>
      </w:r>
      <w:r w:rsidR="00B22CAB">
        <w:t xml:space="preserve"> </w:t>
      </w:r>
      <w:r w:rsidRPr="593629BC" w:rsidR="1D3FD51C">
        <w:t xml:space="preserve">On May 28, </w:t>
      </w:r>
      <w:r w:rsidRPr="5468787C" w:rsidR="1D3FD51C">
        <w:t>2025</w:t>
      </w:r>
      <w:r w:rsidR="000D44BC">
        <w:t>,</w:t>
      </w:r>
      <w:r w:rsidRPr="5468787C" w:rsidR="1D3FD51C">
        <w:t xml:space="preserve"> </w:t>
      </w:r>
      <w:r w:rsidRPr="5468787C" w:rsidR="3E42DDCE">
        <w:t>NHTSA</w:t>
      </w:r>
      <w:r w:rsidRPr="1618040E" w:rsidR="3E42DDCE">
        <w:t xml:space="preserve"> </w:t>
      </w:r>
      <w:r w:rsidRPr="4841DC10" w:rsidR="1C95BF17">
        <w:t xml:space="preserve">published a notice and request for comment on a reinstatement with modification of that ICR, and </w:t>
      </w:r>
      <w:r w:rsidRPr="53FFABCD" w:rsidR="3E42DDCE">
        <w:t xml:space="preserve">to </w:t>
      </w:r>
      <w:r w:rsidRPr="1227DAF3" w:rsidR="252B2593">
        <w:t xml:space="preserve">rename that </w:t>
      </w:r>
      <w:r w:rsidRPr="64CE3A6C" w:rsidR="252B2593">
        <w:t xml:space="preserve">ICR </w:t>
      </w:r>
      <w:r w:rsidRPr="43215D9F" w:rsidR="252B2593">
        <w:t xml:space="preserve">as </w:t>
      </w:r>
      <w:r w:rsidRPr="43215D9F" w:rsidR="6D6E4384">
        <w:t>“49 CFR Part 585; Phase-In Reporting Requirements” and to consolidate all phase-in reporting requirements includ</w:t>
      </w:r>
      <w:r w:rsidR="00C75292">
        <w:t>ed</w:t>
      </w:r>
      <w:r w:rsidRPr="43215D9F" w:rsidR="6D6E4384">
        <w:t xml:space="preserve"> in 49 CFR Part 585 in that ICR</w:t>
      </w:r>
      <w:r w:rsidR="00EB595C">
        <w:t xml:space="preserve"> (90 FR 22574)</w:t>
      </w:r>
      <w:r w:rsidRPr="40EEF261" w:rsidR="6D6E4384">
        <w:t>.</w:t>
      </w:r>
      <w:r w:rsidR="00D26DCA">
        <w:t xml:space="preserve"> </w:t>
      </w:r>
      <w:r w:rsidR="00EB595C">
        <w:t xml:space="preserve">The 30-day notice that followed was published on November 18, 2025 (90 FR 51810).  </w:t>
      </w:r>
      <w:r w:rsidRPr="4841DC10" w:rsidR="6D6E4384">
        <w:t xml:space="preserve">This </w:t>
      </w:r>
      <w:r w:rsidRPr="4841DC10" w:rsidR="7D33FD4E">
        <w:t xml:space="preserve">ICR </w:t>
      </w:r>
      <w:r w:rsidRPr="4841DC10" w:rsidR="6F731EE9">
        <w:t>would establish new information collection requirements for phase-in reporting and record retention requirements related to EDRs as part of the ICR (OMB Control No. 2127-0535) for 49 CFR Part 585.</w:t>
      </w:r>
      <w:r w:rsidRPr="137F3F8E" w:rsidR="6D6E4384">
        <w:t xml:space="preserve"> </w:t>
      </w:r>
      <w:r w:rsidRPr="00545C68" w:rsidR="000E4FE7">
        <w:t xml:space="preserve">NHTSA estimates this collection will impact 22 manufacturers each year and </w:t>
      </w:r>
      <w:r w:rsidR="000E4FE7">
        <w:t xml:space="preserve">will have a total </w:t>
      </w:r>
      <w:r w:rsidRPr="00545C68" w:rsidR="000E4FE7">
        <w:t>annual burden of 22 hours</w:t>
      </w:r>
      <w:r w:rsidR="000E4FE7">
        <w:t xml:space="preserve"> and the total cost of $0</w:t>
      </w:r>
      <w:r w:rsidR="00E72BC5">
        <w:t xml:space="preserve">. </w:t>
      </w:r>
    </w:p>
    <w:p w:rsidR="00A00531" w:rsidRPr="00E04CD4" w:rsidP="00DE7631" w14:paraId="66125C30" w14:textId="2F6D2D40">
      <w:pPr>
        <w:pStyle w:val="ListParagraph"/>
        <w:numPr>
          <w:ilvl w:val="0"/>
          <w:numId w:val="19"/>
        </w:numPr>
        <w:overflowPunct/>
        <w:spacing w:before="0" w:beforeAutospacing="0" w:after="240" w:afterAutospacing="0"/>
        <w:ind w:left="1080"/>
        <w:textAlignment w:val="auto"/>
        <w:rPr>
          <w:b/>
        </w:rPr>
      </w:pPr>
      <w:bookmarkStart w:id="24" w:name="_Hlk51332176"/>
      <w:r w:rsidRPr="00E04CD4">
        <w:rPr>
          <w:b/>
        </w:rPr>
        <w:t xml:space="preserve">For </w:t>
      </w:r>
      <w:bookmarkStart w:id="25" w:name="_Hlk63087690"/>
      <w:r w:rsidRPr="00E04CD4">
        <w:rPr>
          <w:b/>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bookmarkEnd w:id="24"/>
      <w:bookmarkEnd w:id="25"/>
    </w:p>
    <w:p w:rsidR="00A00531" w:rsidRPr="00F210B9" w:rsidP="00A577DC" w14:paraId="4403D1AF" w14:textId="7884F532">
      <w:r w:rsidRPr="00F210B9">
        <w:t xml:space="preserve">NHTSA does not have plans to publish the results. </w:t>
      </w:r>
    </w:p>
    <w:p w:rsidR="00A00531" w:rsidRPr="00295755" w:rsidP="00295755" w14:paraId="6ED9983E" w14:textId="268F1C14">
      <w:pPr>
        <w:pStyle w:val="ListParagraph"/>
        <w:numPr>
          <w:ilvl w:val="0"/>
          <w:numId w:val="19"/>
        </w:numPr>
        <w:overflowPunct/>
        <w:spacing w:before="0" w:beforeAutospacing="0" w:after="0" w:afterAutospacing="0"/>
        <w:ind w:left="1080"/>
        <w:textAlignment w:val="auto"/>
        <w:rPr>
          <w:b/>
        </w:rPr>
      </w:pPr>
      <w:bookmarkStart w:id="26" w:name="_Hlk51332202"/>
      <w:r w:rsidRPr="00295755">
        <w:rPr>
          <w:b/>
        </w:rPr>
        <w:t>If seeking approval to not display the expiration date for OMB approval of the information collection, explain the reasons that display would be inappropriate.</w:t>
      </w:r>
      <w:bookmarkEnd w:id="26"/>
    </w:p>
    <w:p w:rsidR="00A00531" w:rsidRPr="00F210B9" w:rsidP="00A577DC" w14:paraId="5611B98B" w14:textId="0484A162">
      <w:r w:rsidRPr="00F210B9">
        <w:t>NHTSA is seeking approval</w:t>
      </w:r>
      <w:r w:rsidR="00B22CAB">
        <w:t xml:space="preserve"> to not display the expiration date. </w:t>
      </w:r>
      <w:r w:rsidR="00FC5B18">
        <w:t xml:space="preserve"> </w:t>
      </w:r>
      <w:r w:rsidR="00B22CAB">
        <w:t xml:space="preserve">The information collection is contained entirely within a regulation, and it would require rulemaking to display the expiration date. </w:t>
      </w:r>
    </w:p>
    <w:p w:rsidR="00295755" w:rsidRPr="00295755" w:rsidP="00295755" w14:paraId="1B5C3F0A" w14:textId="7AAE5F24">
      <w:pPr>
        <w:pStyle w:val="ListParagraph"/>
        <w:numPr>
          <w:ilvl w:val="0"/>
          <w:numId w:val="19"/>
        </w:numPr>
        <w:overflowPunct/>
        <w:autoSpaceDE/>
        <w:autoSpaceDN/>
        <w:adjustRightInd/>
        <w:spacing w:before="0" w:beforeAutospacing="0" w:after="200" w:afterAutospacing="0" w:line="276" w:lineRule="auto"/>
        <w:ind w:left="1080"/>
        <w:textAlignment w:val="auto"/>
        <w:rPr>
          <w:b/>
        </w:rPr>
      </w:pPr>
      <w:bookmarkStart w:id="27" w:name="_Hlk63087720"/>
      <w:r w:rsidRPr="00295755">
        <w:rPr>
          <w:b/>
        </w:rPr>
        <w:t>Explain each exception to the topics of the certification statement identified in "Certification for Paperwork Reduction Act Submissions." The required certifications can be found at 5 CFR 1320.9.</w:t>
      </w:r>
      <w:bookmarkStart w:id="28" w:name="_Hlk45889134"/>
      <w:r>
        <w:rPr>
          <w:vertAlign w:val="superscript"/>
        </w:rPr>
        <w:footnoteReference w:id="10"/>
      </w:r>
      <w:bookmarkEnd w:id="27"/>
      <w:r w:rsidRPr="00295755">
        <w:rPr>
          <w:b/>
        </w:rPr>
        <w:t xml:space="preserve"> </w:t>
      </w:r>
      <w:bookmarkEnd w:id="28"/>
    </w:p>
    <w:p w:rsidR="00572274" w:rsidP="00A577DC" w14:paraId="1D4FDA84" w14:textId="0BFEE96C">
      <w:r w:rsidRPr="00F210B9">
        <w:t>There are no exceptions.</w:t>
      </w:r>
    </w:p>
    <w:p w:rsidR="00A00531" w:rsidRPr="00F210B9" w:rsidP="00A577DC" w14:paraId="27C34BEB" w14:textId="09EECA3E">
      <w:r w:rsidRPr="00545C68">
        <w:t>A</w:t>
      </w:r>
      <w:r w:rsidR="000572DB">
        <w:t>ttachments</w:t>
      </w:r>
      <w:r w:rsidRPr="00545C68">
        <w:t>:</w:t>
      </w:r>
    </w:p>
    <w:p w:rsidR="00A00531" w:rsidRPr="00D53943" w:rsidP="00A577DC" w14:paraId="0A4437DD" w14:textId="5EF60422">
      <w:pPr>
        <w:pStyle w:val="ListParagraph"/>
        <w:numPr>
          <w:ilvl w:val="1"/>
          <w:numId w:val="9"/>
        </w:numPr>
      </w:pPr>
      <w:r w:rsidRPr="00D53943">
        <w:t>49 U.S.C. 30111, 30112 and 30117</w:t>
      </w:r>
    </w:p>
    <w:p w:rsidR="00ED398F" w:rsidP="00A577DC" w14:paraId="7739D42E" w14:textId="6D22C30C">
      <w:pPr>
        <w:pStyle w:val="ListParagraph"/>
        <w:numPr>
          <w:ilvl w:val="1"/>
          <w:numId w:val="9"/>
        </w:numPr>
      </w:pPr>
      <w:r w:rsidRPr="00D53943">
        <w:t>Federal Register Notice Requesting Public Comments</w:t>
      </w:r>
    </w:p>
    <w:p w:rsidR="0081077A" w:rsidRPr="00837905" w:rsidP="00A577DC" w14:paraId="4F5211D8" w14:textId="4EC45004">
      <w:pPr>
        <w:pStyle w:val="ListParagraph"/>
        <w:numPr>
          <w:ilvl w:val="1"/>
          <w:numId w:val="9"/>
        </w:numPr>
      </w:pPr>
      <w:r w:rsidRPr="00837905">
        <w:t xml:space="preserve">49 CFR 585 </w:t>
      </w:r>
      <w:r w:rsidRPr="00837905" w:rsidR="00837905">
        <w:t xml:space="preserve">Subpart </w:t>
      </w:r>
      <w:r w:rsidR="002A78EB">
        <w:t>P</w:t>
      </w:r>
      <w:r w:rsidRPr="00837905" w:rsidR="00837905">
        <w:t xml:space="preserve"> </w:t>
      </w:r>
      <w:r w:rsidRPr="000C6269" w:rsidR="00837905">
        <w:t>—</w:t>
      </w:r>
      <w:r w:rsidR="002A78EB">
        <w:t>Event Data Recorders</w:t>
      </w:r>
      <w:r w:rsidRPr="000C6269" w:rsidR="00837905">
        <w:t xml:space="preserve"> Phase-</w:t>
      </w:r>
      <w:r w:rsidR="002A78EB">
        <w:t>I</w:t>
      </w:r>
      <w:r w:rsidRPr="000C6269" w:rsidR="00837905">
        <w:t>n Reporting Requirements</w:t>
      </w:r>
    </w:p>
    <w:sectPr>
      <w:headerReference w:type="default" r:id="rId10"/>
      <w:headerReference w:type="first" r:id="rId11"/>
      <w:endnotePr>
        <w:numFmt w:val="decimal"/>
      </w:endnotePr>
      <w:pgSz w:w="12240" w:h="15840" w:code="1"/>
      <w:pgMar w:top="1440" w:right="1440" w:bottom="1440" w:left="1440" w:header="720" w:footer="720" w:gutter="0"/>
      <w:cols w:space="720"/>
      <w:vAlign w:val="center"/>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B26ED" w:rsidP="00A577DC" w14:paraId="2848F501" w14:textId="77777777">
      <w:r>
        <w:separator/>
      </w:r>
    </w:p>
  </w:endnote>
  <w:endnote w:type="continuationSeparator" w:id="1">
    <w:p w:rsidR="002B26ED" w:rsidP="00A577DC" w14:paraId="25B1FCAB" w14:textId="77777777">
      <w:r>
        <w:continuationSeparator/>
      </w:r>
    </w:p>
  </w:endnote>
  <w:endnote w:type="continuationNotice" w:id="2">
    <w:p w:rsidR="002B26ED" w14:paraId="2F6E5CC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26ED" w:rsidP="00A577DC" w14:paraId="7C6C706A" w14:textId="77777777">
      <w:r>
        <w:separator/>
      </w:r>
    </w:p>
  </w:footnote>
  <w:footnote w:type="continuationSeparator" w:id="1">
    <w:p w:rsidR="002B26ED" w:rsidP="00A577DC" w14:paraId="0E9B9B24" w14:textId="77777777">
      <w:r>
        <w:continuationSeparator/>
      </w:r>
    </w:p>
  </w:footnote>
  <w:footnote w:type="continuationNotice" w:id="2">
    <w:p w:rsidR="002B26ED" w14:paraId="223BFD97" w14:textId="77777777">
      <w:pPr>
        <w:spacing w:before="0" w:after="0"/>
      </w:pPr>
    </w:p>
  </w:footnote>
  <w:footnote w:id="3">
    <w:p w:rsidR="00257C85" w:rsidRPr="009F09C5" w:rsidP="009F09C5" w14:paraId="30C89A98" w14:textId="77777777">
      <w:pPr>
        <w:pStyle w:val="FootnoteText"/>
        <w:spacing w:before="0" w:beforeAutospacing="0" w:after="0" w:afterAutospacing="0"/>
        <w:rPr>
          <w:sz w:val="20"/>
          <w:szCs w:val="20"/>
        </w:rPr>
      </w:pPr>
      <w:r w:rsidRPr="009F09C5">
        <w:rPr>
          <w:rStyle w:val="FootnoteReference"/>
          <w:sz w:val="20"/>
          <w:szCs w:val="20"/>
        </w:rPr>
        <w:footnoteRef/>
      </w:r>
      <w:r w:rsidRPr="009F09C5">
        <w:rPr>
          <w:sz w:val="20"/>
          <w:szCs w:val="20"/>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4">
    <w:p w:rsidR="004226C5" w:rsidRPr="009F09C5" w:rsidP="009F09C5" w14:paraId="092A071D" w14:textId="300A0AA0">
      <w:pPr>
        <w:pStyle w:val="FootnoteText"/>
        <w:spacing w:before="0" w:beforeAutospacing="0" w:after="0" w:afterAutospacing="0"/>
        <w:rPr>
          <w:sz w:val="20"/>
          <w:szCs w:val="20"/>
        </w:rPr>
      </w:pPr>
      <w:r w:rsidRPr="009F09C5">
        <w:rPr>
          <w:rStyle w:val="FootnoteReference"/>
          <w:sz w:val="20"/>
          <w:szCs w:val="20"/>
        </w:rPr>
        <w:footnoteRef/>
      </w:r>
      <w:r w:rsidRPr="009F09C5">
        <w:rPr>
          <w:sz w:val="20"/>
          <w:szCs w:val="20"/>
        </w:rPr>
        <w:t xml:space="preserve"> </w:t>
      </w:r>
      <w:r w:rsidR="00F02D54">
        <w:rPr>
          <w:sz w:val="20"/>
          <w:szCs w:val="20"/>
        </w:rPr>
        <w:t>This estimate is similar to w</w:t>
      </w:r>
      <w:r w:rsidRPr="009F09C5">
        <w:rPr>
          <w:sz w:val="20"/>
          <w:szCs w:val="20"/>
        </w:rPr>
        <w:t xml:space="preserve">hen FMVSS No. 208 Appendix A was previously </w:t>
      </w:r>
      <w:r w:rsidRPr="009F09C5" w:rsidR="00FE4A0C">
        <w:rPr>
          <w:sz w:val="20"/>
          <w:szCs w:val="20"/>
        </w:rPr>
        <w:t xml:space="preserve">updated </w:t>
      </w:r>
      <w:r w:rsidRPr="009F09C5">
        <w:rPr>
          <w:sz w:val="20"/>
          <w:szCs w:val="20"/>
        </w:rPr>
        <w:t>with a separate ICR OMB #2127-0666</w:t>
      </w:r>
      <w:r w:rsidRPr="009F09C5" w:rsidR="00686CA9">
        <w:rPr>
          <w:sz w:val="20"/>
          <w:szCs w:val="20"/>
        </w:rPr>
        <w:t xml:space="preserve"> (expired May 31, 2013)</w:t>
      </w:r>
      <w:r w:rsidR="00F02D54">
        <w:rPr>
          <w:sz w:val="20"/>
          <w:szCs w:val="20"/>
        </w:rPr>
        <w:t>. T</w:t>
      </w:r>
      <w:r w:rsidRPr="009F09C5">
        <w:rPr>
          <w:sz w:val="20"/>
          <w:szCs w:val="20"/>
        </w:rPr>
        <w:t xml:space="preserve">he approved information </w:t>
      </w:r>
      <w:r w:rsidRPr="009F09C5" w:rsidR="00686CA9">
        <w:rPr>
          <w:sz w:val="20"/>
          <w:szCs w:val="20"/>
        </w:rPr>
        <w:t>total annual burden then was 22 hours</w:t>
      </w:r>
      <w:r w:rsidRPr="009F09C5" w:rsidR="001C1743">
        <w:rPr>
          <w:sz w:val="20"/>
          <w:szCs w:val="20"/>
        </w:rPr>
        <w:t xml:space="preserve"> and $0 in cost</w:t>
      </w:r>
      <w:r w:rsidRPr="009F09C5" w:rsidR="00686CA9">
        <w:rPr>
          <w:sz w:val="20"/>
          <w:szCs w:val="20"/>
        </w:rPr>
        <w:t>.</w:t>
      </w:r>
    </w:p>
  </w:footnote>
  <w:footnote w:id="5">
    <w:p w:rsidR="00651118" w:rsidRPr="00F2581B" w14:paraId="1DD516A3" w14:textId="42901399">
      <w:pPr>
        <w:pStyle w:val="FootnoteText"/>
        <w:rPr>
          <w:sz w:val="20"/>
          <w:szCs w:val="20"/>
        </w:rPr>
      </w:pPr>
      <w:r w:rsidRPr="00F2581B">
        <w:rPr>
          <w:rStyle w:val="FootnoteReference"/>
          <w:sz w:val="20"/>
          <w:szCs w:val="20"/>
        </w:rPr>
        <w:footnoteRef/>
      </w:r>
      <w:r w:rsidRPr="00F2581B" w:rsidR="00F2581B">
        <w:rPr>
          <w:sz w:val="20"/>
          <w:szCs w:val="20"/>
        </w:rPr>
        <w:t xml:space="preserve"> </w:t>
      </w:r>
      <w:r w:rsidR="00F2581B">
        <w:rPr>
          <w:sz w:val="20"/>
          <w:szCs w:val="20"/>
        </w:rPr>
        <w:t xml:space="preserve">NHTSA defines an “event data recorder” in 49 CFR 563 as “ a </w:t>
      </w:r>
      <w:r w:rsidRPr="00F2581B" w:rsidR="00F2581B">
        <w:rPr>
          <w:sz w:val="20"/>
          <w:szCs w:val="20"/>
        </w:rPr>
        <w:t>device or function in a vehicle that records the vehicle's dynamic time-series data during the time period just prior to a crash event (e.g., vehicle speed vs. time) or during a crash event (e.g., delta-V vs. time), intended for retrieval after the crash event. For the purposes of this definition, the event data do not include audio and video data.</w:t>
      </w:r>
      <w:r w:rsidR="00F2581B">
        <w:rPr>
          <w:sz w:val="20"/>
          <w:szCs w:val="20"/>
        </w:rPr>
        <w:t>”</w:t>
      </w:r>
      <w:r w:rsidRPr="00F2581B">
        <w:rPr>
          <w:sz w:val="20"/>
          <w:szCs w:val="20"/>
        </w:rPr>
        <w:t xml:space="preserve"> </w:t>
      </w:r>
    </w:p>
  </w:footnote>
  <w:footnote w:id="6">
    <w:p w:rsidR="00A02618" w:rsidRPr="009F09C5" w:rsidP="009F09C5" w14:paraId="6FD72D5C" w14:textId="5BED81BA">
      <w:pPr>
        <w:pStyle w:val="FootnoteText"/>
        <w:spacing w:before="0" w:beforeAutospacing="0" w:after="0" w:afterAutospacing="0"/>
        <w:rPr>
          <w:sz w:val="20"/>
          <w:szCs w:val="20"/>
        </w:rPr>
      </w:pPr>
      <w:r w:rsidRPr="009F09C5">
        <w:rPr>
          <w:rStyle w:val="FootnoteReference"/>
          <w:sz w:val="20"/>
          <w:szCs w:val="20"/>
        </w:rPr>
        <w:footnoteRef/>
      </w:r>
      <w:r w:rsidRPr="009F09C5">
        <w:rPr>
          <w:sz w:val="20"/>
          <w:szCs w:val="20"/>
          <w:vertAlign w:val="superscript"/>
        </w:rPr>
        <w:t xml:space="preserve"> </w:t>
      </w:r>
      <w:r w:rsidRPr="009F09C5">
        <w:rPr>
          <w:i/>
          <w:sz w:val="20"/>
          <w:szCs w:val="20"/>
        </w:rPr>
        <w:t>See</w:t>
      </w:r>
      <w:r w:rsidRPr="009F09C5">
        <w:rPr>
          <w:sz w:val="20"/>
          <w:szCs w:val="20"/>
        </w:rPr>
        <w:t xml:space="preserve"> Table 1. Employer Costs for Employee Compensation by ownership (</w:t>
      </w:r>
      <w:r w:rsidR="00542638">
        <w:rPr>
          <w:sz w:val="20"/>
          <w:szCs w:val="20"/>
        </w:rPr>
        <w:t>June</w:t>
      </w:r>
      <w:r w:rsidRPr="009F09C5">
        <w:rPr>
          <w:sz w:val="20"/>
          <w:szCs w:val="20"/>
        </w:rPr>
        <w:t xml:space="preserve"> 202</w:t>
      </w:r>
      <w:r w:rsidR="00542638">
        <w:rPr>
          <w:sz w:val="20"/>
          <w:szCs w:val="20"/>
        </w:rPr>
        <w:t>5</w:t>
      </w:r>
      <w:r w:rsidRPr="009F09C5">
        <w:rPr>
          <w:sz w:val="20"/>
          <w:szCs w:val="20"/>
        </w:rPr>
        <w:t xml:space="preserve">), available at </w:t>
      </w:r>
      <w:hyperlink r:id="rId1" w:history="1">
        <w:r w:rsidRPr="009F09C5" w:rsidR="00A95E1D">
          <w:rPr>
            <w:rStyle w:val="Hyperlink"/>
            <w:sz w:val="20"/>
            <w:szCs w:val="20"/>
          </w:rPr>
          <w:t>https://www.bls.gov/news.release/pdf/ecec.pdf</w:t>
        </w:r>
      </w:hyperlink>
      <w:r w:rsidRPr="009F09C5" w:rsidR="00A95E1D">
        <w:rPr>
          <w:sz w:val="20"/>
          <w:szCs w:val="20"/>
        </w:rPr>
        <w:t xml:space="preserve"> </w:t>
      </w:r>
      <w:r w:rsidRPr="009F09C5">
        <w:rPr>
          <w:sz w:val="20"/>
          <w:szCs w:val="20"/>
        </w:rPr>
        <w:t xml:space="preserve">(accessed </w:t>
      </w:r>
      <w:r w:rsidR="00542638">
        <w:rPr>
          <w:sz w:val="20"/>
          <w:szCs w:val="20"/>
        </w:rPr>
        <w:t>September 12</w:t>
      </w:r>
      <w:r w:rsidRPr="009F09C5" w:rsidR="000E6EE2">
        <w:rPr>
          <w:sz w:val="20"/>
          <w:szCs w:val="20"/>
        </w:rPr>
        <w:t>, 2025</w:t>
      </w:r>
      <w:r w:rsidRPr="009F09C5">
        <w:rPr>
          <w:sz w:val="20"/>
          <w:szCs w:val="20"/>
        </w:rPr>
        <w:t xml:space="preserve">). </w:t>
      </w:r>
    </w:p>
  </w:footnote>
  <w:footnote w:id="7">
    <w:p w:rsidR="00F85FEC" w:rsidRPr="00545C68" w:rsidP="009F09C5" w14:paraId="47812AF6" w14:textId="52EEF14A">
      <w:pPr>
        <w:pStyle w:val="FootnoteText"/>
        <w:spacing w:before="0" w:beforeAutospacing="0" w:after="0" w:afterAutospacing="0"/>
      </w:pPr>
      <w:r w:rsidRPr="009F09C5">
        <w:rPr>
          <w:rStyle w:val="FootnoteReference"/>
          <w:sz w:val="20"/>
          <w:szCs w:val="20"/>
        </w:rPr>
        <w:footnoteRef/>
      </w:r>
      <w:r w:rsidRPr="009F09C5">
        <w:rPr>
          <w:sz w:val="20"/>
          <w:szCs w:val="20"/>
          <w:vertAlign w:val="superscript"/>
        </w:rPr>
        <w:t xml:space="preserve">  </w:t>
      </w:r>
      <w:bookmarkStart w:id="19" w:name="_Hlk117254235"/>
      <w:r w:rsidRPr="009F09C5" w:rsidR="00A02618">
        <w:rPr>
          <w:i/>
          <w:sz w:val="20"/>
          <w:szCs w:val="20"/>
        </w:rPr>
        <w:t>See</w:t>
      </w:r>
      <w:r w:rsidRPr="009F09C5" w:rsidR="00A02618">
        <w:rPr>
          <w:sz w:val="20"/>
          <w:szCs w:val="20"/>
        </w:rPr>
        <w:t xml:space="preserve"> May 202</w:t>
      </w:r>
      <w:r w:rsidRPr="009F09C5" w:rsidR="00F04530">
        <w:rPr>
          <w:sz w:val="20"/>
          <w:szCs w:val="20"/>
        </w:rPr>
        <w:t>3</w:t>
      </w:r>
      <w:r w:rsidRPr="009F09C5" w:rsidR="00A02618">
        <w:rPr>
          <w:sz w:val="20"/>
          <w:szCs w:val="20"/>
        </w:rPr>
        <w:t xml:space="preserve"> National Industry-Specific Occupational Employment and Wage Estimates, NAICS 336100 - Motor Vehicle Manufacturing, available at </w:t>
      </w:r>
      <w:hyperlink r:id="rId2" w:anchor="27-0000" w:history="1">
        <w:r w:rsidRPr="009F09C5" w:rsidR="00E0435A">
          <w:rPr>
            <w:rStyle w:val="Hyperlink"/>
            <w:sz w:val="20"/>
            <w:szCs w:val="20"/>
          </w:rPr>
          <w:t>https://www.bls.gov/oes/2023/may/naics4_336100.htm#27-0000</w:t>
        </w:r>
      </w:hyperlink>
      <w:r w:rsidRPr="009F09C5" w:rsidR="00E0435A">
        <w:rPr>
          <w:sz w:val="20"/>
          <w:szCs w:val="20"/>
        </w:rPr>
        <w:t xml:space="preserve"> </w:t>
      </w:r>
      <w:r w:rsidRPr="009F09C5" w:rsidR="00A02618">
        <w:rPr>
          <w:sz w:val="20"/>
          <w:szCs w:val="20"/>
        </w:rPr>
        <w:t xml:space="preserve">(accessed </w:t>
      </w:r>
      <w:r w:rsidRPr="009F09C5" w:rsidR="001D0232">
        <w:rPr>
          <w:sz w:val="20"/>
          <w:szCs w:val="20"/>
        </w:rPr>
        <w:t>April 1, 2025</w:t>
      </w:r>
      <w:r w:rsidRPr="009F09C5" w:rsidR="00A02618">
        <w:rPr>
          <w:sz w:val="20"/>
          <w:szCs w:val="20"/>
        </w:rPr>
        <w:t>)</w:t>
      </w:r>
      <w:r w:rsidRPr="009F09C5">
        <w:rPr>
          <w:sz w:val="20"/>
          <w:szCs w:val="20"/>
        </w:rPr>
        <w:t>.</w:t>
      </w:r>
      <w:bookmarkEnd w:id="19"/>
    </w:p>
  </w:footnote>
  <w:footnote w:id="8">
    <w:p w:rsidR="00B22CAB" w:rsidRPr="009F09C5" w:rsidP="009F09C5" w14:paraId="152A7838" w14:textId="54CF3635">
      <w:pPr>
        <w:pStyle w:val="FootnoteText"/>
        <w:spacing w:before="0" w:beforeAutospacing="0" w:after="0" w:afterAutospacing="0"/>
        <w:rPr>
          <w:sz w:val="20"/>
          <w:szCs w:val="20"/>
        </w:rPr>
      </w:pPr>
      <w:r w:rsidRPr="009F09C5">
        <w:rPr>
          <w:rStyle w:val="FootnoteReference"/>
          <w:sz w:val="20"/>
          <w:szCs w:val="20"/>
        </w:rPr>
        <w:footnoteRef/>
      </w:r>
      <w:r w:rsidRPr="009F09C5">
        <w:rPr>
          <w:sz w:val="20"/>
          <w:szCs w:val="20"/>
        </w:rPr>
        <w:t xml:space="preserve"> </w:t>
      </w:r>
      <w:hyperlink r:id="rId3" w:history="1">
        <w:r w:rsidRPr="009F09C5" w:rsidR="00DE7D28">
          <w:rPr>
            <w:rStyle w:val="Hyperlink"/>
            <w:sz w:val="20"/>
            <w:szCs w:val="20"/>
          </w:rPr>
          <w:t>https://www.opm.gov/policy-data-oversight/pay-leave/salaries-wages/salary-tables/pdf/2024/DCB_h.pdf</w:t>
        </w:r>
      </w:hyperlink>
      <w:r w:rsidRPr="009F09C5" w:rsidR="00A95E1D">
        <w:rPr>
          <w:sz w:val="20"/>
          <w:szCs w:val="20"/>
        </w:rPr>
        <w:t xml:space="preserve"> </w:t>
      </w:r>
      <w:r w:rsidRPr="009F09C5" w:rsidR="00DE7D28">
        <w:rPr>
          <w:sz w:val="20"/>
          <w:szCs w:val="20"/>
        </w:rPr>
        <w:t>(accessed April 1, 2025).</w:t>
      </w:r>
    </w:p>
  </w:footnote>
  <w:footnote w:id="9">
    <w:p w:rsidR="00B22CAB" w:rsidP="009F09C5" w14:paraId="1952C28E" w14:textId="790080F4">
      <w:pPr>
        <w:pStyle w:val="FootnoteText"/>
        <w:spacing w:before="0" w:beforeAutospacing="0" w:after="0" w:afterAutospacing="0"/>
      </w:pPr>
      <w:r w:rsidRPr="009F09C5">
        <w:rPr>
          <w:rStyle w:val="FootnoteReference"/>
          <w:sz w:val="20"/>
          <w:szCs w:val="20"/>
        </w:rPr>
        <w:footnoteRef/>
      </w:r>
      <w:r w:rsidRPr="009F09C5">
        <w:rPr>
          <w:sz w:val="20"/>
          <w:szCs w:val="20"/>
        </w:rPr>
        <w:t xml:space="preserve"> </w:t>
      </w:r>
      <w:r w:rsidRPr="009F09C5">
        <w:rPr>
          <w:i/>
          <w:sz w:val="20"/>
          <w:szCs w:val="20"/>
        </w:rPr>
        <w:t>See</w:t>
      </w:r>
      <w:r w:rsidRPr="009F09C5">
        <w:rPr>
          <w:sz w:val="20"/>
          <w:szCs w:val="20"/>
        </w:rPr>
        <w:t xml:space="preserve"> Table 1. Employer Costs for Employee Compensation by ownership (</w:t>
      </w:r>
      <w:r w:rsidRPr="009F09C5" w:rsidR="000E6EE2">
        <w:rPr>
          <w:sz w:val="20"/>
          <w:szCs w:val="20"/>
        </w:rPr>
        <w:t>Dec. 2024</w:t>
      </w:r>
      <w:r w:rsidRPr="009F09C5">
        <w:rPr>
          <w:sz w:val="20"/>
          <w:szCs w:val="20"/>
        </w:rPr>
        <w:t xml:space="preserve">), available at </w:t>
      </w:r>
      <w:hyperlink r:id="rId1" w:history="1">
        <w:r w:rsidRPr="009F09C5" w:rsidR="00A95E1D">
          <w:rPr>
            <w:rStyle w:val="Hyperlink"/>
            <w:sz w:val="20"/>
            <w:szCs w:val="20"/>
          </w:rPr>
          <w:t>https://www.bls.gov/news.release/pdf/ecec.pdf</w:t>
        </w:r>
      </w:hyperlink>
      <w:r w:rsidRPr="009F09C5" w:rsidR="00A95E1D">
        <w:rPr>
          <w:sz w:val="20"/>
          <w:szCs w:val="20"/>
        </w:rPr>
        <w:t xml:space="preserve"> </w:t>
      </w:r>
      <w:r w:rsidRPr="009F09C5">
        <w:rPr>
          <w:sz w:val="20"/>
          <w:szCs w:val="20"/>
        </w:rPr>
        <w:t xml:space="preserve">(accessed </w:t>
      </w:r>
      <w:r w:rsidRPr="009F09C5" w:rsidR="000E6EE2">
        <w:rPr>
          <w:sz w:val="20"/>
          <w:szCs w:val="20"/>
        </w:rPr>
        <w:t>April 1, 2025</w:t>
      </w:r>
      <w:r w:rsidRPr="009F09C5">
        <w:rPr>
          <w:sz w:val="20"/>
          <w:szCs w:val="20"/>
        </w:rPr>
        <w:t xml:space="preserve">). </w:t>
      </w:r>
    </w:p>
  </w:footnote>
  <w:footnote w:id="10">
    <w:p w:rsidR="00295755" w:rsidRPr="009F09C5" w:rsidP="00295755" w14:paraId="3CEB2060" w14:textId="77777777">
      <w:pPr>
        <w:pStyle w:val="FootnoteText"/>
        <w:rPr>
          <w:sz w:val="20"/>
          <w:szCs w:val="20"/>
        </w:rPr>
      </w:pPr>
      <w:r w:rsidRPr="009F09C5">
        <w:rPr>
          <w:rStyle w:val="FootnoteReference"/>
          <w:sz w:val="20"/>
          <w:szCs w:val="20"/>
        </w:rPr>
        <w:footnoteRef/>
      </w:r>
      <w:r w:rsidRPr="009F09C5">
        <w:rPr>
          <w:sz w:val="20"/>
          <w:szCs w:val="20"/>
        </w:rPr>
        <w:t xml:space="preserve"> Specifically explain how the agency display the OMB control number and expiration date and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AF9" w:rsidP="00A577DC" w14:paraId="5EAED7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AF9" w:rsidP="00A577DC" w14:paraId="45AFBB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E28FF"/>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274DBB"/>
    <w:multiLevelType w:val="hybridMultilevel"/>
    <w:tmpl w:val="0194F1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E32F47"/>
    <w:multiLevelType w:val="hybridMultilevel"/>
    <w:tmpl w:val="FECA2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511F87"/>
    <w:multiLevelType w:val="hybridMultilevel"/>
    <w:tmpl w:val="0B0AD0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7E70DC"/>
    <w:multiLevelType w:val="multilevel"/>
    <w:tmpl w:val="0A7E0018"/>
    <w:styleLink w:val="CurrentList1"/>
    <w:lvl w:ilvl="0">
      <w:start w:val="8"/>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8C66F6"/>
    <w:multiLevelType w:val="hybridMultilevel"/>
    <w:tmpl w:val="0FFA4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90C1F"/>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5259D0"/>
    <w:multiLevelType w:val="hybridMultilevel"/>
    <w:tmpl w:val="97AAEAF8"/>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AA6C33"/>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D55455"/>
    <w:multiLevelType w:val="hybridMultilevel"/>
    <w:tmpl w:val="BE984F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6752D7"/>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5E1D31"/>
    <w:multiLevelType w:val="hybridMultilevel"/>
    <w:tmpl w:val="1368EE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E5059E"/>
    <w:multiLevelType w:val="hybridMultilevel"/>
    <w:tmpl w:val="AB72A8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2C6727"/>
    <w:multiLevelType w:val="hybridMultilevel"/>
    <w:tmpl w:val="620C06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CE6E3C"/>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A31286"/>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3F6062"/>
    <w:multiLevelType w:val="hybridMultilevel"/>
    <w:tmpl w:val="3BF697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330611"/>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E66886"/>
    <w:multiLevelType w:val="hybridMultilevel"/>
    <w:tmpl w:val="580C5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704B98"/>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792E0B"/>
    <w:multiLevelType w:val="hybridMultilevel"/>
    <w:tmpl w:val="44CA7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0F0FF9"/>
    <w:multiLevelType w:val="multilevel"/>
    <w:tmpl w:val="8C9EF262"/>
    <w:lvl w:ilvl="0">
      <w:start w:val="1"/>
      <w:numFmt w:val="upperLetter"/>
      <w:lvlText w:val="%1."/>
      <w:legacy w:legacy="1" w:legacySpace="0" w:legacyIndent="0"/>
      <w:lvlJc w:val="left"/>
    </w:lvl>
    <w:lvl w:ilvl="1">
      <w:start w:val="1"/>
      <w:numFmt w:val="upperLetter"/>
      <w:lvlText w:val="%1.%2."/>
      <w:legacy w:legacy="1" w:legacySpace="0" w:legacyIndent="0"/>
      <w:lvlJc w:val="left"/>
    </w:lvl>
    <w:lvl w:ilvl="2">
      <w:start w:val="1"/>
      <w:numFmt w:val="upperLetter"/>
      <w:lvlText w:val="%1.%2.%3."/>
      <w:legacy w:legacy="1" w:legacySpace="0" w:legacyIndent="0"/>
      <w:lvlJc w:val="left"/>
    </w:lvl>
    <w:lvl w:ilvl="3">
      <w:start w:val="1"/>
      <w:numFmt w:val="upperLetter"/>
      <w:lvlText w:val="%1.%2.%3.%4."/>
      <w:legacy w:legacy="1" w:legacySpace="0" w:legacyIndent="0"/>
      <w:lvlJc w:val="left"/>
    </w:lvl>
    <w:lvl w:ilvl="4">
      <w:start w:val="1"/>
      <w:numFmt w:val="upperLetter"/>
      <w:lvlText w:val="%1.%2.%3.%4.%5."/>
      <w:legacy w:legacy="1" w:legacySpace="0" w:legacyIndent="0"/>
      <w:lvlJc w:val="left"/>
    </w:lvl>
    <w:lvl w:ilvl="5">
      <w:start w:val="1"/>
      <w:numFmt w:val="upperLetter"/>
      <w:lvlText w:val="%1.%2.%3.%4.%5.%6."/>
      <w:legacy w:legacy="1" w:legacySpace="0" w:legacyIndent="0"/>
      <w:lvlJc w:val="left"/>
    </w:lvl>
    <w:lvl w:ilvl="6">
      <w:start w:val="1"/>
      <w:numFmt w:val="upperLetter"/>
      <w:lvlText w:val="%1.%2.%3.%4.%5.%6.%7."/>
      <w:legacy w:legacy="1" w:legacySpace="0" w:legacyIndent="0"/>
      <w:lvlJc w:val="left"/>
    </w:lvl>
    <w:lvl w:ilvl="7">
      <w:start w:val="1"/>
      <w:numFmt w:val="upperLetter"/>
      <w:lvlText w:val="%1.%2.%3.%4.%5.%6.%7.%8."/>
      <w:legacy w:legacy="1" w:legacySpace="0" w:legacyIndent="0"/>
      <w:lvlJc w:val="left"/>
    </w:lvl>
    <w:lvl w:ilvl="8">
      <w:start w:val="1"/>
      <w:numFmt w:val="decimal"/>
      <w:lvlText w:val="%1.%2.%3.%4.%5.%6.%7.%8.%9"/>
      <w:legacy w:legacy="1" w:legacySpace="120" w:legacyIndent="0"/>
      <w:lvlJc w:val="left"/>
    </w:lvl>
  </w:abstractNum>
  <w:abstractNum w:abstractNumId="23">
    <w:nsid w:val="5BC25F63"/>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585C34"/>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A07D54"/>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FB15345"/>
    <w:multiLevelType w:val="hybridMultilevel"/>
    <w:tmpl w:val="B5FAD2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D1190D"/>
    <w:multiLevelType w:val="hybridMultilevel"/>
    <w:tmpl w:val="0FFA4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3FC6B45"/>
    <w:multiLevelType w:val="hybridMultilevel"/>
    <w:tmpl w:val="083A06F2"/>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162F2D"/>
    <w:multiLevelType w:val="hybridMultilevel"/>
    <w:tmpl w:val="D2720E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2182805">
    <w:abstractNumId w:val="22"/>
  </w:num>
  <w:num w:numId="2" w16cid:durableId="772211669">
    <w:abstractNumId w:val="11"/>
  </w:num>
  <w:num w:numId="3" w16cid:durableId="1805074281">
    <w:abstractNumId w:val="2"/>
  </w:num>
  <w:num w:numId="4" w16cid:durableId="1412046786">
    <w:abstractNumId w:val="2"/>
  </w:num>
  <w:num w:numId="5" w16cid:durableId="296836071">
    <w:abstractNumId w:val="7"/>
  </w:num>
  <w:num w:numId="6" w16cid:durableId="1892500297">
    <w:abstractNumId w:val="26"/>
  </w:num>
  <w:num w:numId="7" w16cid:durableId="779105076">
    <w:abstractNumId w:val="27"/>
  </w:num>
  <w:num w:numId="8" w16cid:durableId="1192765093">
    <w:abstractNumId w:val="19"/>
  </w:num>
  <w:num w:numId="9" w16cid:durableId="618685763">
    <w:abstractNumId w:val="3"/>
  </w:num>
  <w:num w:numId="10" w16cid:durableId="1579559725">
    <w:abstractNumId w:val="12"/>
  </w:num>
  <w:num w:numId="11" w16cid:durableId="1256591182">
    <w:abstractNumId w:val="5"/>
  </w:num>
  <w:num w:numId="12" w16cid:durableId="970289375">
    <w:abstractNumId w:val="13"/>
  </w:num>
  <w:num w:numId="13" w16cid:durableId="356128807">
    <w:abstractNumId w:val="14"/>
  </w:num>
  <w:num w:numId="14" w16cid:durableId="1369332940">
    <w:abstractNumId w:val="1"/>
  </w:num>
  <w:num w:numId="15" w16cid:durableId="488401714">
    <w:abstractNumId w:val="29"/>
  </w:num>
  <w:num w:numId="16" w16cid:durableId="25713238">
    <w:abstractNumId w:val="9"/>
  </w:num>
  <w:num w:numId="17" w16cid:durableId="1214847151">
    <w:abstractNumId w:val="17"/>
  </w:num>
  <w:num w:numId="18" w16cid:durableId="1696345690">
    <w:abstractNumId w:val="18"/>
  </w:num>
  <w:num w:numId="19" w16cid:durableId="1612399940">
    <w:abstractNumId w:val="28"/>
  </w:num>
  <w:num w:numId="20" w16cid:durableId="904147383">
    <w:abstractNumId w:val="23"/>
  </w:num>
  <w:num w:numId="21" w16cid:durableId="1443112449">
    <w:abstractNumId w:val="15"/>
  </w:num>
  <w:num w:numId="22" w16cid:durableId="960234116">
    <w:abstractNumId w:val="8"/>
  </w:num>
  <w:num w:numId="23" w16cid:durableId="2047368830">
    <w:abstractNumId w:val="0"/>
  </w:num>
  <w:num w:numId="24" w16cid:durableId="98987755">
    <w:abstractNumId w:val="4"/>
  </w:num>
  <w:num w:numId="25" w16cid:durableId="1546797667">
    <w:abstractNumId w:val="10"/>
  </w:num>
  <w:num w:numId="26" w16cid:durableId="1234000098">
    <w:abstractNumId w:val="20"/>
  </w:num>
  <w:num w:numId="27" w16cid:durableId="1466313255">
    <w:abstractNumId w:val="16"/>
  </w:num>
  <w:num w:numId="28" w16cid:durableId="313067973">
    <w:abstractNumId w:val="24"/>
  </w:num>
  <w:num w:numId="29" w16cid:durableId="743457339">
    <w:abstractNumId w:val="6"/>
  </w:num>
  <w:num w:numId="30" w16cid:durableId="1224634012">
    <w:abstractNumId w:val="25"/>
  </w:num>
  <w:num w:numId="31" w16cid:durableId="3537294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onsecutiveHyphenLimit w:val="2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 w:id="2"/>
  </w:footnotePr>
  <w:endnotePr>
    <w:numFmt w:val="decimal"/>
    <w:endnote w:id="0"/>
    <w:endnote w:id="1"/>
    <w:endnote w:id="2"/>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31"/>
    <w:rsid w:val="00000954"/>
    <w:rsid w:val="00002862"/>
    <w:rsid w:val="00002C64"/>
    <w:rsid w:val="00002D35"/>
    <w:rsid w:val="000127B4"/>
    <w:rsid w:val="00014E53"/>
    <w:rsid w:val="000407C1"/>
    <w:rsid w:val="0004759B"/>
    <w:rsid w:val="00050CA9"/>
    <w:rsid w:val="00056B43"/>
    <w:rsid w:val="00057291"/>
    <w:rsid w:val="000572DB"/>
    <w:rsid w:val="00060FDE"/>
    <w:rsid w:val="00061E6C"/>
    <w:rsid w:val="00064C56"/>
    <w:rsid w:val="00071D38"/>
    <w:rsid w:val="00085677"/>
    <w:rsid w:val="00096118"/>
    <w:rsid w:val="000B6908"/>
    <w:rsid w:val="000C2312"/>
    <w:rsid w:val="000C6269"/>
    <w:rsid w:val="000C688F"/>
    <w:rsid w:val="000D3DC0"/>
    <w:rsid w:val="000D4273"/>
    <w:rsid w:val="000D44BC"/>
    <w:rsid w:val="000D6F19"/>
    <w:rsid w:val="000E218B"/>
    <w:rsid w:val="000E303E"/>
    <w:rsid w:val="000E461B"/>
    <w:rsid w:val="000E4FE7"/>
    <w:rsid w:val="000E6EE2"/>
    <w:rsid w:val="000E71E6"/>
    <w:rsid w:val="00103899"/>
    <w:rsid w:val="001051FC"/>
    <w:rsid w:val="00106BD8"/>
    <w:rsid w:val="00112269"/>
    <w:rsid w:val="00114C3D"/>
    <w:rsid w:val="00116345"/>
    <w:rsid w:val="001219CC"/>
    <w:rsid w:val="001256E7"/>
    <w:rsid w:val="001305C2"/>
    <w:rsid w:val="00136356"/>
    <w:rsid w:val="00140092"/>
    <w:rsid w:val="00142D1D"/>
    <w:rsid w:val="0014692B"/>
    <w:rsid w:val="001545CE"/>
    <w:rsid w:val="00155DE2"/>
    <w:rsid w:val="001579C4"/>
    <w:rsid w:val="001714E0"/>
    <w:rsid w:val="001716EA"/>
    <w:rsid w:val="001758EF"/>
    <w:rsid w:val="00177178"/>
    <w:rsid w:val="0017778D"/>
    <w:rsid w:val="00177E20"/>
    <w:rsid w:val="00183015"/>
    <w:rsid w:val="001841FF"/>
    <w:rsid w:val="00185643"/>
    <w:rsid w:val="001A0FD3"/>
    <w:rsid w:val="001A1FF0"/>
    <w:rsid w:val="001A569D"/>
    <w:rsid w:val="001B3108"/>
    <w:rsid w:val="001B64DF"/>
    <w:rsid w:val="001C0073"/>
    <w:rsid w:val="001C1743"/>
    <w:rsid w:val="001C7EB5"/>
    <w:rsid w:val="001C7F3B"/>
    <w:rsid w:val="001D0232"/>
    <w:rsid w:val="001D5E49"/>
    <w:rsid w:val="001D7646"/>
    <w:rsid w:val="001E20C6"/>
    <w:rsid w:val="001E22D2"/>
    <w:rsid w:val="001E2AFC"/>
    <w:rsid w:val="001E499D"/>
    <w:rsid w:val="001F2CD5"/>
    <w:rsid w:val="001F4B4B"/>
    <w:rsid w:val="001F7F15"/>
    <w:rsid w:val="00203CD9"/>
    <w:rsid w:val="00210B5C"/>
    <w:rsid w:val="002131EC"/>
    <w:rsid w:val="00213D02"/>
    <w:rsid w:val="00216BF3"/>
    <w:rsid w:val="00221430"/>
    <w:rsid w:val="00223441"/>
    <w:rsid w:val="0022707F"/>
    <w:rsid w:val="00232AFF"/>
    <w:rsid w:val="00235989"/>
    <w:rsid w:val="00235F8F"/>
    <w:rsid w:val="00237B55"/>
    <w:rsid w:val="00244718"/>
    <w:rsid w:val="00250BFB"/>
    <w:rsid w:val="00253C1C"/>
    <w:rsid w:val="00253DD6"/>
    <w:rsid w:val="00254E00"/>
    <w:rsid w:val="00256E17"/>
    <w:rsid w:val="00257C85"/>
    <w:rsid w:val="00263329"/>
    <w:rsid w:val="00264128"/>
    <w:rsid w:val="002656A5"/>
    <w:rsid w:val="00277E83"/>
    <w:rsid w:val="002863FC"/>
    <w:rsid w:val="00287393"/>
    <w:rsid w:val="002924A5"/>
    <w:rsid w:val="002942E9"/>
    <w:rsid w:val="00295755"/>
    <w:rsid w:val="00296CE4"/>
    <w:rsid w:val="002A0DAE"/>
    <w:rsid w:val="002A78EB"/>
    <w:rsid w:val="002B1BFA"/>
    <w:rsid w:val="002B26ED"/>
    <w:rsid w:val="002B643A"/>
    <w:rsid w:val="002C6EA3"/>
    <w:rsid w:val="002D186E"/>
    <w:rsid w:val="002D5E98"/>
    <w:rsid w:val="002D7A5E"/>
    <w:rsid w:val="002E1375"/>
    <w:rsid w:val="002E177A"/>
    <w:rsid w:val="002E75BB"/>
    <w:rsid w:val="002E7A12"/>
    <w:rsid w:val="002F4B4F"/>
    <w:rsid w:val="002F4D7A"/>
    <w:rsid w:val="003009F4"/>
    <w:rsid w:val="00301F04"/>
    <w:rsid w:val="00304202"/>
    <w:rsid w:val="00310F8E"/>
    <w:rsid w:val="00311025"/>
    <w:rsid w:val="00314ED9"/>
    <w:rsid w:val="003169A5"/>
    <w:rsid w:val="0032064A"/>
    <w:rsid w:val="00325C60"/>
    <w:rsid w:val="003309FA"/>
    <w:rsid w:val="00333C63"/>
    <w:rsid w:val="00335D59"/>
    <w:rsid w:val="00335F41"/>
    <w:rsid w:val="00336B52"/>
    <w:rsid w:val="00340DAC"/>
    <w:rsid w:val="00341949"/>
    <w:rsid w:val="003423A4"/>
    <w:rsid w:val="00347DF2"/>
    <w:rsid w:val="00352B42"/>
    <w:rsid w:val="00354C6B"/>
    <w:rsid w:val="00355F56"/>
    <w:rsid w:val="00363D86"/>
    <w:rsid w:val="0038109E"/>
    <w:rsid w:val="003856AA"/>
    <w:rsid w:val="00385B27"/>
    <w:rsid w:val="00387FC5"/>
    <w:rsid w:val="003961AB"/>
    <w:rsid w:val="003A79A3"/>
    <w:rsid w:val="003A7FC9"/>
    <w:rsid w:val="003B0E99"/>
    <w:rsid w:val="003B2B59"/>
    <w:rsid w:val="003B2BBB"/>
    <w:rsid w:val="003B5DBE"/>
    <w:rsid w:val="003B75BE"/>
    <w:rsid w:val="003D1353"/>
    <w:rsid w:val="003D1D45"/>
    <w:rsid w:val="003D6B10"/>
    <w:rsid w:val="003D74A9"/>
    <w:rsid w:val="003F6B58"/>
    <w:rsid w:val="00401369"/>
    <w:rsid w:val="0040444F"/>
    <w:rsid w:val="00410EBA"/>
    <w:rsid w:val="00421012"/>
    <w:rsid w:val="004226C5"/>
    <w:rsid w:val="00427401"/>
    <w:rsid w:val="004349AB"/>
    <w:rsid w:val="00435518"/>
    <w:rsid w:val="00435F95"/>
    <w:rsid w:val="00437897"/>
    <w:rsid w:val="00445556"/>
    <w:rsid w:val="00451C35"/>
    <w:rsid w:val="004564F6"/>
    <w:rsid w:val="004632A7"/>
    <w:rsid w:val="004634C9"/>
    <w:rsid w:val="0046503C"/>
    <w:rsid w:val="00466ABA"/>
    <w:rsid w:val="00471270"/>
    <w:rsid w:val="0047174D"/>
    <w:rsid w:val="00472231"/>
    <w:rsid w:val="00473DFB"/>
    <w:rsid w:val="00474CE9"/>
    <w:rsid w:val="004801E5"/>
    <w:rsid w:val="004901DD"/>
    <w:rsid w:val="00491462"/>
    <w:rsid w:val="0049779D"/>
    <w:rsid w:val="00497CB1"/>
    <w:rsid w:val="004A0DE4"/>
    <w:rsid w:val="004A1B63"/>
    <w:rsid w:val="004A63F6"/>
    <w:rsid w:val="004A69C3"/>
    <w:rsid w:val="004C5A5F"/>
    <w:rsid w:val="004D06F4"/>
    <w:rsid w:val="004D3CF8"/>
    <w:rsid w:val="004D6F77"/>
    <w:rsid w:val="004E3F47"/>
    <w:rsid w:val="004F0A3D"/>
    <w:rsid w:val="004F17A4"/>
    <w:rsid w:val="004F2C28"/>
    <w:rsid w:val="004F4DD4"/>
    <w:rsid w:val="0050481F"/>
    <w:rsid w:val="00504EEF"/>
    <w:rsid w:val="00506701"/>
    <w:rsid w:val="0051141F"/>
    <w:rsid w:val="00513AB7"/>
    <w:rsid w:val="00516678"/>
    <w:rsid w:val="00521262"/>
    <w:rsid w:val="0052247E"/>
    <w:rsid w:val="005237E1"/>
    <w:rsid w:val="005271A9"/>
    <w:rsid w:val="0053051A"/>
    <w:rsid w:val="00534A0A"/>
    <w:rsid w:val="0053552C"/>
    <w:rsid w:val="00541F26"/>
    <w:rsid w:val="0054217C"/>
    <w:rsid w:val="00542638"/>
    <w:rsid w:val="00545C68"/>
    <w:rsid w:val="005473B7"/>
    <w:rsid w:val="005476A4"/>
    <w:rsid w:val="0054791A"/>
    <w:rsid w:val="00556829"/>
    <w:rsid w:val="00565456"/>
    <w:rsid w:val="0056657A"/>
    <w:rsid w:val="00572274"/>
    <w:rsid w:val="00572BAB"/>
    <w:rsid w:val="00573A5A"/>
    <w:rsid w:val="00581C96"/>
    <w:rsid w:val="00583ADA"/>
    <w:rsid w:val="00583F8A"/>
    <w:rsid w:val="00585F41"/>
    <w:rsid w:val="00587F33"/>
    <w:rsid w:val="00595214"/>
    <w:rsid w:val="00596DFF"/>
    <w:rsid w:val="005A02D6"/>
    <w:rsid w:val="005A648C"/>
    <w:rsid w:val="005B5A3D"/>
    <w:rsid w:val="005C4594"/>
    <w:rsid w:val="005C64FD"/>
    <w:rsid w:val="005C6CB1"/>
    <w:rsid w:val="005D1054"/>
    <w:rsid w:val="005D42DD"/>
    <w:rsid w:val="005D484B"/>
    <w:rsid w:val="005E3E02"/>
    <w:rsid w:val="005E51FA"/>
    <w:rsid w:val="005E728C"/>
    <w:rsid w:val="005F37A1"/>
    <w:rsid w:val="005F4500"/>
    <w:rsid w:val="00602462"/>
    <w:rsid w:val="00604692"/>
    <w:rsid w:val="00614224"/>
    <w:rsid w:val="0061445B"/>
    <w:rsid w:val="00615508"/>
    <w:rsid w:val="00630F4C"/>
    <w:rsid w:val="00633847"/>
    <w:rsid w:val="006367D7"/>
    <w:rsid w:val="00637ECE"/>
    <w:rsid w:val="006417CD"/>
    <w:rsid w:val="00641E14"/>
    <w:rsid w:val="00643164"/>
    <w:rsid w:val="00651118"/>
    <w:rsid w:val="00651CBD"/>
    <w:rsid w:val="0065294E"/>
    <w:rsid w:val="00653365"/>
    <w:rsid w:val="00654D94"/>
    <w:rsid w:val="00655A7C"/>
    <w:rsid w:val="00656F69"/>
    <w:rsid w:val="00666934"/>
    <w:rsid w:val="00667DE0"/>
    <w:rsid w:val="00676E5A"/>
    <w:rsid w:val="00686CA9"/>
    <w:rsid w:val="00691FB6"/>
    <w:rsid w:val="00694500"/>
    <w:rsid w:val="006969A9"/>
    <w:rsid w:val="00696AB1"/>
    <w:rsid w:val="006971A7"/>
    <w:rsid w:val="006A19AB"/>
    <w:rsid w:val="006A4510"/>
    <w:rsid w:val="006A4AE1"/>
    <w:rsid w:val="006A6ED4"/>
    <w:rsid w:val="006A74F2"/>
    <w:rsid w:val="006C142E"/>
    <w:rsid w:val="006D0B99"/>
    <w:rsid w:val="006D2F30"/>
    <w:rsid w:val="006D3FC5"/>
    <w:rsid w:val="006D794E"/>
    <w:rsid w:val="006E0363"/>
    <w:rsid w:val="006E2C76"/>
    <w:rsid w:val="006E4E6E"/>
    <w:rsid w:val="006E63CB"/>
    <w:rsid w:val="006F3013"/>
    <w:rsid w:val="006F5122"/>
    <w:rsid w:val="006F5BF1"/>
    <w:rsid w:val="00711352"/>
    <w:rsid w:val="00717951"/>
    <w:rsid w:val="0072046B"/>
    <w:rsid w:val="0072274B"/>
    <w:rsid w:val="007244F2"/>
    <w:rsid w:val="00727326"/>
    <w:rsid w:val="0072B6A1"/>
    <w:rsid w:val="00730B3E"/>
    <w:rsid w:val="007320CD"/>
    <w:rsid w:val="0073499B"/>
    <w:rsid w:val="00734EFA"/>
    <w:rsid w:val="00741B07"/>
    <w:rsid w:val="0074491B"/>
    <w:rsid w:val="00747497"/>
    <w:rsid w:val="0075053C"/>
    <w:rsid w:val="00770119"/>
    <w:rsid w:val="00771B02"/>
    <w:rsid w:val="0077369C"/>
    <w:rsid w:val="00773B7F"/>
    <w:rsid w:val="007764F1"/>
    <w:rsid w:val="0078010C"/>
    <w:rsid w:val="00790B36"/>
    <w:rsid w:val="007A04FE"/>
    <w:rsid w:val="007A1003"/>
    <w:rsid w:val="007A1789"/>
    <w:rsid w:val="007A6D06"/>
    <w:rsid w:val="007B1035"/>
    <w:rsid w:val="007B356E"/>
    <w:rsid w:val="007B3B8C"/>
    <w:rsid w:val="007B53A3"/>
    <w:rsid w:val="007C37AE"/>
    <w:rsid w:val="007C7896"/>
    <w:rsid w:val="007D0FB8"/>
    <w:rsid w:val="007E03D6"/>
    <w:rsid w:val="007E0CC7"/>
    <w:rsid w:val="007E2AF9"/>
    <w:rsid w:val="007E300D"/>
    <w:rsid w:val="007E31C7"/>
    <w:rsid w:val="007E3DA4"/>
    <w:rsid w:val="007E73AD"/>
    <w:rsid w:val="007E7F83"/>
    <w:rsid w:val="007F2B95"/>
    <w:rsid w:val="007F7FFA"/>
    <w:rsid w:val="00803841"/>
    <w:rsid w:val="00806139"/>
    <w:rsid w:val="0081077A"/>
    <w:rsid w:val="00811A8D"/>
    <w:rsid w:val="00812F95"/>
    <w:rsid w:val="00814F54"/>
    <w:rsid w:val="008168A6"/>
    <w:rsid w:val="00822BB4"/>
    <w:rsid w:val="0082477B"/>
    <w:rsid w:val="00837905"/>
    <w:rsid w:val="008408CE"/>
    <w:rsid w:val="00841BE1"/>
    <w:rsid w:val="00845C37"/>
    <w:rsid w:val="008461B1"/>
    <w:rsid w:val="00847D9E"/>
    <w:rsid w:val="00850DE6"/>
    <w:rsid w:val="00853212"/>
    <w:rsid w:val="00854CF5"/>
    <w:rsid w:val="00856256"/>
    <w:rsid w:val="008569CC"/>
    <w:rsid w:val="00867A49"/>
    <w:rsid w:val="008822E8"/>
    <w:rsid w:val="008833D8"/>
    <w:rsid w:val="0089693E"/>
    <w:rsid w:val="008A03F9"/>
    <w:rsid w:val="008B0287"/>
    <w:rsid w:val="008B3A66"/>
    <w:rsid w:val="008C0F6C"/>
    <w:rsid w:val="008D69E7"/>
    <w:rsid w:val="008E1B6E"/>
    <w:rsid w:val="008E3434"/>
    <w:rsid w:val="008E5CAB"/>
    <w:rsid w:val="008F0A5C"/>
    <w:rsid w:val="008F7C72"/>
    <w:rsid w:val="00901850"/>
    <w:rsid w:val="00902F8C"/>
    <w:rsid w:val="00912368"/>
    <w:rsid w:val="00914CE3"/>
    <w:rsid w:val="00914F22"/>
    <w:rsid w:val="00920D53"/>
    <w:rsid w:val="0092268B"/>
    <w:rsid w:val="00923D8F"/>
    <w:rsid w:val="00925D46"/>
    <w:rsid w:val="00926939"/>
    <w:rsid w:val="00927B65"/>
    <w:rsid w:val="00932EAA"/>
    <w:rsid w:val="009330EE"/>
    <w:rsid w:val="00937B19"/>
    <w:rsid w:val="00942B48"/>
    <w:rsid w:val="00946262"/>
    <w:rsid w:val="009462B2"/>
    <w:rsid w:val="009475D4"/>
    <w:rsid w:val="00957641"/>
    <w:rsid w:val="00960A5C"/>
    <w:rsid w:val="00960D98"/>
    <w:rsid w:val="009629A5"/>
    <w:rsid w:val="00971939"/>
    <w:rsid w:val="009725E6"/>
    <w:rsid w:val="009758FF"/>
    <w:rsid w:val="00980578"/>
    <w:rsid w:val="00980913"/>
    <w:rsid w:val="00984276"/>
    <w:rsid w:val="00990D91"/>
    <w:rsid w:val="00991B7D"/>
    <w:rsid w:val="00994DDF"/>
    <w:rsid w:val="00995323"/>
    <w:rsid w:val="009A01FA"/>
    <w:rsid w:val="009B1186"/>
    <w:rsid w:val="009B2C8D"/>
    <w:rsid w:val="009B6D92"/>
    <w:rsid w:val="009B7568"/>
    <w:rsid w:val="009C0C39"/>
    <w:rsid w:val="009C17F6"/>
    <w:rsid w:val="009C483B"/>
    <w:rsid w:val="009C54B1"/>
    <w:rsid w:val="009C7360"/>
    <w:rsid w:val="009C781D"/>
    <w:rsid w:val="009D0AD4"/>
    <w:rsid w:val="009E1815"/>
    <w:rsid w:val="009E6BF4"/>
    <w:rsid w:val="009F08F8"/>
    <w:rsid w:val="009F09C5"/>
    <w:rsid w:val="009F208F"/>
    <w:rsid w:val="00A00307"/>
    <w:rsid w:val="00A00531"/>
    <w:rsid w:val="00A01098"/>
    <w:rsid w:val="00A02618"/>
    <w:rsid w:val="00A02B1A"/>
    <w:rsid w:val="00A13D21"/>
    <w:rsid w:val="00A154D2"/>
    <w:rsid w:val="00A15951"/>
    <w:rsid w:val="00A20167"/>
    <w:rsid w:val="00A2230F"/>
    <w:rsid w:val="00A24259"/>
    <w:rsid w:val="00A25D6D"/>
    <w:rsid w:val="00A42931"/>
    <w:rsid w:val="00A52038"/>
    <w:rsid w:val="00A52861"/>
    <w:rsid w:val="00A577DC"/>
    <w:rsid w:val="00A621C9"/>
    <w:rsid w:val="00A62A5D"/>
    <w:rsid w:val="00A727B4"/>
    <w:rsid w:val="00A80367"/>
    <w:rsid w:val="00A81F25"/>
    <w:rsid w:val="00A86AFF"/>
    <w:rsid w:val="00A86CBC"/>
    <w:rsid w:val="00A87C37"/>
    <w:rsid w:val="00A90DD8"/>
    <w:rsid w:val="00A910B1"/>
    <w:rsid w:val="00A95E1D"/>
    <w:rsid w:val="00A96FC5"/>
    <w:rsid w:val="00AA21F0"/>
    <w:rsid w:val="00AA280C"/>
    <w:rsid w:val="00AA3039"/>
    <w:rsid w:val="00AA6DFE"/>
    <w:rsid w:val="00AB3389"/>
    <w:rsid w:val="00AB42D9"/>
    <w:rsid w:val="00AB495C"/>
    <w:rsid w:val="00AC0CA2"/>
    <w:rsid w:val="00AC222E"/>
    <w:rsid w:val="00AC2FA2"/>
    <w:rsid w:val="00AC34DC"/>
    <w:rsid w:val="00AC39E9"/>
    <w:rsid w:val="00AC6F08"/>
    <w:rsid w:val="00AC7BB8"/>
    <w:rsid w:val="00AD2A67"/>
    <w:rsid w:val="00AD4A98"/>
    <w:rsid w:val="00AE5789"/>
    <w:rsid w:val="00AE623D"/>
    <w:rsid w:val="00AE7FA0"/>
    <w:rsid w:val="00AF6DBA"/>
    <w:rsid w:val="00B01D57"/>
    <w:rsid w:val="00B03042"/>
    <w:rsid w:val="00B05C70"/>
    <w:rsid w:val="00B13E27"/>
    <w:rsid w:val="00B1404A"/>
    <w:rsid w:val="00B2020E"/>
    <w:rsid w:val="00B224FD"/>
    <w:rsid w:val="00B22CAB"/>
    <w:rsid w:val="00B2757F"/>
    <w:rsid w:val="00B30347"/>
    <w:rsid w:val="00B312A8"/>
    <w:rsid w:val="00B3133E"/>
    <w:rsid w:val="00B33C39"/>
    <w:rsid w:val="00B34BC1"/>
    <w:rsid w:val="00B34BF3"/>
    <w:rsid w:val="00B36ADE"/>
    <w:rsid w:val="00B55D93"/>
    <w:rsid w:val="00B56BD3"/>
    <w:rsid w:val="00B63A4E"/>
    <w:rsid w:val="00B66C24"/>
    <w:rsid w:val="00B70776"/>
    <w:rsid w:val="00B71CC3"/>
    <w:rsid w:val="00B916C9"/>
    <w:rsid w:val="00B94C72"/>
    <w:rsid w:val="00B964FE"/>
    <w:rsid w:val="00BA165B"/>
    <w:rsid w:val="00BA5C48"/>
    <w:rsid w:val="00BA695C"/>
    <w:rsid w:val="00BA702C"/>
    <w:rsid w:val="00BB0C32"/>
    <w:rsid w:val="00BB7894"/>
    <w:rsid w:val="00BC3EC7"/>
    <w:rsid w:val="00BD00E7"/>
    <w:rsid w:val="00BD67B3"/>
    <w:rsid w:val="00BE01A5"/>
    <w:rsid w:val="00BE1EF9"/>
    <w:rsid w:val="00BE7C93"/>
    <w:rsid w:val="00BF6A65"/>
    <w:rsid w:val="00C0231E"/>
    <w:rsid w:val="00C11557"/>
    <w:rsid w:val="00C12935"/>
    <w:rsid w:val="00C13484"/>
    <w:rsid w:val="00C15444"/>
    <w:rsid w:val="00C16A92"/>
    <w:rsid w:val="00C17FFD"/>
    <w:rsid w:val="00C209A0"/>
    <w:rsid w:val="00C23055"/>
    <w:rsid w:val="00C27E0A"/>
    <w:rsid w:val="00C31F37"/>
    <w:rsid w:val="00C32A2F"/>
    <w:rsid w:val="00C37722"/>
    <w:rsid w:val="00C51B3E"/>
    <w:rsid w:val="00C5366E"/>
    <w:rsid w:val="00C57756"/>
    <w:rsid w:val="00C614C1"/>
    <w:rsid w:val="00C64736"/>
    <w:rsid w:val="00C67A42"/>
    <w:rsid w:val="00C73E0C"/>
    <w:rsid w:val="00C74C26"/>
    <w:rsid w:val="00C75292"/>
    <w:rsid w:val="00C7603A"/>
    <w:rsid w:val="00C810A5"/>
    <w:rsid w:val="00CA18A9"/>
    <w:rsid w:val="00CA1AB0"/>
    <w:rsid w:val="00CA1C18"/>
    <w:rsid w:val="00CB115F"/>
    <w:rsid w:val="00CB339E"/>
    <w:rsid w:val="00CB3422"/>
    <w:rsid w:val="00CB4D04"/>
    <w:rsid w:val="00CB595E"/>
    <w:rsid w:val="00CC13F9"/>
    <w:rsid w:val="00CC636F"/>
    <w:rsid w:val="00CD089A"/>
    <w:rsid w:val="00CE00FB"/>
    <w:rsid w:val="00CE14F6"/>
    <w:rsid w:val="00CE28D6"/>
    <w:rsid w:val="00CF21E5"/>
    <w:rsid w:val="00CF23A2"/>
    <w:rsid w:val="00CF342B"/>
    <w:rsid w:val="00D0611A"/>
    <w:rsid w:val="00D24069"/>
    <w:rsid w:val="00D2461F"/>
    <w:rsid w:val="00D251AA"/>
    <w:rsid w:val="00D26DCA"/>
    <w:rsid w:val="00D33BC9"/>
    <w:rsid w:val="00D408B7"/>
    <w:rsid w:val="00D46D56"/>
    <w:rsid w:val="00D51D01"/>
    <w:rsid w:val="00D53943"/>
    <w:rsid w:val="00D57840"/>
    <w:rsid w:val="00D60323"/>
    <w:rsid w:val="00D60953"/>
    <w:rsid w:val="00D62065"/>
    <w:rsid w:val="00D62897"/>
    <w:rsid w:val="00D6584F"/>
    <w:rsid w:val="00D703C3"/>
    <w:rsid w:val="00D714CC"/>
    <w:rsid w:val="00D72C03"/>
    <w:rsid w:val="00D7511C"/>
    <w:rsid w:val="00D764EB"/>
    <w:rsid w:val="00D81C0E"/>
    <w:rsid w:val="00D825EF"/>
    <w:rsid w:val="00D855CB"/>
    <w:rsid w:val="00DA3DE8"/>
    <w:rsid w:val="00DB1640"/>
    <w:rsid w:val="00DB2DF8"/>
    <w:rsid w:val="00DC366D"/>
    <w:rsid w:val="00DD4566"/>
    <w:rsid w:val="00DD57D3"/>
    <w:rsid w:val="00DE7631"/>
    <w:rsid w:val="00DE7D28"/>
    <w:rsid w:val="00DE7E9B"/>
    <w:rsid w:val="00DF01EC"/>
    <w:rsid w:val="00DF1C34"/>
    <w:rsid w:val="00DF1D54"/>
    <w:rsid w:val="00DF4785"/>
    <w:rsid w:val="00DF5A8A"/>
    <w:rsid w:val="00E00654"/>
    <w:rsid w:val="00E01928"/>
    <w:rsid w:val="00E02969"/>
    <w:rsid w:val="00E02FC4"/>
    <w:rsid w:val="00E035EE"/>
    <w:rsid w:val="00E0435A"/>
    <w:rsid w:val="00E04CD4"/>
    <w:rsid w:val="00E052DA"/>
    <w:rsid w:val="00E13551"/>
    <w:rsid w:val="00E15449"/>
    <w:rsid w:val="00E22374"/>
    <w:rsid w:val="00E27E4E"/>
    <w:rsid w:val="00E31449"/>
    <w:rsid w:val="00E36FD4"/>
    <w:rsid w:val="00E3729A"/>
    <w:rsid w:val="00E37317"/>
    <w:rsid w:val="00E43864"/>
    <w:rsid w:val="00E43F3F"/>
    <w:rsid w:val="00E47698"/>
    <w:rsid w:val="00E55AC7"/>
    <w:rsid w:val="00E561C8"/>
    <w:rsid w:val="00E6287D"/>
    <w:rsid w:val="00E631D0"/>
    <w:rsid w:val="00E64B35"/>
    <w:rsid w:val="00E67168"/>
    <w:rsid w:val="00E72BC5"/>
    <w:rsid w:val="00E72FDF"/>
    <w:rsid w:val="00E74370"/>
    <w:rsid w:val="00E779F4"/>
    <w:rsid w:val="00E9260E"/>
    <w:rsid w:val="00E9382E"/>
    <w:rsid w:val="00E96AA2"/>
    <w:rsid w:val="00EA603A"/>
    <w:rsid w:val="00EB0BE0"/>
    <w:rsid w:val="00EB1685"/>
    <w:rsid w:val="00EB595C"/>
    <w:rsid w:val="00EB68DF"/>
    <w:rsid w:val="00EC4072"/>
    <w:rsid w:val="00ED398F"/>
    <w:rsid w:val="00ED41A7"/>
    <w:rsid w:val="00EE19E6"/>
    <w:rsid w:val="00EF01A4"/>
    <w:rsid w:val="00EF1006"/>
    <w:rsid w:val="00EF6E78"/>
    <w:rsid w:val="00F010D4"/>
    <w:rsid w:val="00F02D54"/>
    <w:rsid w:val="00F03F03"/>
    <w:rsid w:val="00F04530"/>
    <w:rsid w:val="00F0582E"/>
    <w:rsid w:val="00F210B9"/>
    <w:rsid w:val="00F2111F"/>
    <w:rsid w:val="00F2581B"/>
    <w:rsid w:val="00F2702E"/>
    <w:rsid w:val="00F277F5"/>
    <w:rsid w:val="00F318B5"/>
    <w:rsid w:val="00F413C7"/>
    <w:rsid w:val="00F420E0"/>
    <w:rsid w:val="00F51A8F"/>
    <w:rsid w:val="00F52BC4"/>
    <w:rsid w:val="00F54CD8"/>
    <w:rsid w:val="00F60817"/>
    <w:rsid w:val="00F627F6"/>
    <w:rsid w:val="00F63B21"/>
    <w:rsid w:val="00F67CD4"/>
    <w:rsid w:val="00F76A47"/>
    <w:rsid w:val="00F81367"/>
    <w:rsid w:val="00F85FEC"/>
    <w:rsid w:val="00F879F8"/>
    <w:rsid w:val="00FA0295"/>
    <w:rsid w:val="00FA14E3"/>
    <w:rsid w:val="00FA2A5C"/>
    <w:rsid w:val="00FA60F2"/>
    <w:rsid w:val="00FB04AD"/>
    <w:rsid w:val="00FB18B9"/>
    <w:rsid w:val="00FB5330"/>
    <w:rsid w:val="00FC12AD"/>
    <w:rsid w:val="00FC3D32"/>
    <w:rsid w:val="00FC57F9"/>
    <w:rsid w:val="00FC5B18"/>
    <w:rsid w:val="00FD1391"/>
    <w:rsid w:val="00FD1A44"/>
    <w:rsid w:val="00FD2856"/>
    <w:rsid w:val="00FD35FA"/>
    <w:rsid w:val="00FD75E4"/>
    <w:rsid w:val="00FE22B3"/>
    <w:rsid w:val="00FE4A0C"/>
    <w:rsid w:val="01B11862"/>
    <w:rsid w:val="022C0F02"/>
    <w:rsid w:val="055FAEA5"/>
    <w:rsid w:val="06559C43"/>
    <w:rsid w:val="0AB14A61"/>
    <w:rsid w:val="0AE1AB33"/>
    <w:rsid w:val="0D74FDB6"/>
    <w:rsid w:val="11582177"/>
    <w:rsid w:val="11BBC19C"/>
    <w:rsid w:val="1227DAF3"/>
    <w:rsid w:val="137F3F8E"/>
    <w:rsid w:val="138A3613"/>
    <w:rsid w:val="151274B0"/>
    <w:rsid w:val="152A4AD8"/>
    <w:rsid w:val="1618040E"/>
    <w:rsid w:val="164FC56B"/>
    <w:rsid w:val="17744936"/>
    <w:rsid w:val="17FE79C0"/>
    <w:rsid w:val="1B0C3A07"/>
    <w:rsid w:val="1B63654A"/>
    <w:rsid w:val="1C95BF17"/>
    <w:rsid w:val="1D3FD51C"/>
    <w:rsid w:val="1D71AA7E"/>
    <w:rsid w:val="1D78E841"/>
    <w:rsid w:val="1E15A77F"/>
    <w:rsid w:val="1FB5671A"/>
    <w:rsid w:val="1FBEF3C2"/>
    <w:rsid w:val="2057F48F"/>
    <w:rsid w:val="20F36433"/>
    <w:rsid w:val="23F8C240"/>
    <w:rsid w:val="252B2593"/>
    <w:rsid w:val="2565E79E"/>
    <w:rsid w:val="26CA6217"/>
    <w:rsid w:val="27DE8C67"/>
    <w:rsid w:val="29399005"/>
    <w:rsid w:val="2B2E0FB9"/>
    <w:rsid w:val="3031D9ED"/>
    <w:rsid w:val="30689B59"/>
    <w:rsid w:val="35544E91"/>
    <w:rsid w:val="360A9EAC"/>
    <w:rsid w:val="3BF34821"/>
    <w:rsid w:val="3D0AD810"/>
    <w:rsid w:val="3E1F4D10"/>
    <w:rsid w:val="3E42DDCE"/>
    <w:rsid w:val="3F892AC0"/>
    <w:rsid w:val="40EEF261"/>
    <w:rsid w:val="41AEA575"/>
    <w:rsid w:val="41CE4D4B"/>
    <w:rsid w:val="43215D9F"/>
    <w:rsid w:val="43DFAADA"/>
    <w:rsid w:val="44B951CD"/>
    <w:rsid w:val="44DEA76F"/>
    <w:rsid w:val="45429B0F"/>
    <w:rsid w:val="45EB183C"/>
    <w:rsid w:val="45F842E7"/>
    <w:rsid w:val="4662BBC3"/>
    <w:rsid w:val="46E404FE"/>
    <w:rsid w:val="4841DC10"/>
    <w:rsid w:val="4844FBA3"/>
    <w:rsid w:val="4ADDCBC8"/>
    <w:rsid w:val="4DCFC590"/>
    <w:rsid w:val="4DDA3523"/>
    <w:rsid w:val="52CD5D2F"/>
    <w:rsid w:val="53FFABCD"/>
    <w:rsid w:val="545DA5B8"/>
    <w:rsid w:val="5468787C"/>
    <w:rsid w:val="56327123"/>
    <w:rsid w:val="5674288E"/>
    <w:rsid w:val="57A7B648"/>
    <w:rsid w:val="593629BC"/>
    <w:rsid w:val="5BB807C3"/>
    <w:rsid w:val="5DD4A75C"/>
    <w:rsid w:val="5E2F294E"/>
    <w:rsid w:val="5EA405AE"/>
    <w:rsid w:val="601AE4DC"/>
    <w:rsid w:val="612A675D"/>
    <w:rsid w:val="61FCD638"/>
    <w:rsid w:val="620B15C6"/>
    <w:rsid w:val="63C9A5E8"/>
    <w:rsid w:val="64CE3A6C"/>
    <w:rsid w:val="6748ACD2"/>
    <w:rsid w:val="69E6AB0D"/>
    <w:rsid w:val="6A746026"/>
    <w:rsid w:val="6ADF05F3"/>
    <w:rsid w:val="6B0E7A3D"/>
    <w:rsid w:val="6B5C0D5E"/>
    <w:rsid w:val="6B7CEB6B"/>
    <w:rsid w:val="6BF54CF7"/>
    <w:rsid w:val="6D6E4384"/>
    <w:rsid w:val="6DEEB0E6"/>
    <w:rsid w:val="6EA3E743"/>
    <w:rsid w:val="6EAD6D74"/>
    <w:rsid w:val="6F4701DC"/>
    <w:rsid w:val="6F731EE9"/>
    <w:rsid w:val="7033B8FE"/>
    <w:rsid w:val="73E90F4D"/>
    <w:rsid w:val="753C26D2"/>
    <w:rsid w:val="77625DF9"/>
    <w:rsid w:val="7C2EB2E7"/>
    <w:rsid w:val="7D33FD4E"/>
    <w:rsid w:val="7E085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D83724"/>
  <w15:chartTrackingRefBased/>
  <w15:docId w15:val="{6700F3CE-4616-4A95-B009-31C2C270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7DC"/>
    <w:pPr>
      <w:overflowPunct w:val="0"/>
      <w:autoSpaceDE w:val="0"/>
      <w:autoSpaceDN w:val="0"/>
      <w:adjustRightInd w:val="0"/>
      <w:spacing w:before="100" w:beforeAutospacing="1" w:after="100" w:afterAutospacing="1"/>
      <w:textAlignment w:val="baseline"/>
    </w:pPr>
    <w:rPr>
      <w:sz w:val="24"/>
      <w:szCs w:val="24"/>
    </w:rPr>
  </w:style>
  <w:style w:type="paragraph" w:styleId="Heading1">
    <w:name w:val="heading 1"/>
    <w:basedOn w:val="Normal"/>
    <w:next w:val="Normal"/>
    <w:qFormat/>
    <w:pPr>
      <w:keepNext/>
      <w:tabs>
        <w:tab w:val="left" w:pos="2880"/>
      </w:tabs>
      <w:ind w:left="2880"/>
      <w:outlineLvl w:val="0"/>
    </w:pPr>
    <w:rPr>
      <w:rFonts w:ascii="Courier New" w:hAnsi="Courier New"/>
      <w:b/>
    </w:rPr>
  </w:style>
  <w:style w:type="paragraph" w:styleId="Heading2">
    <w:name w:val="heading 2"/>
    <w:basedOn w:val="Normal"/>
    <w:next w:val="Normal"/>
    <w:qFormat/>
    <w:pPr>
      <w:keepNext/>
      <w:jc w:val="center"/>
      <w:outlineLvl w:val="1"/>
    </w:pPr>
    <w:rPr>
      <w:rFonts w:ascii="Courier New" w:hAnsi="Courier New"/>
    </w:rPr>
  </w:style>
  <w:style w:type="paragraph" w:styleId="Heading3">
    <w:name w:val="heading 3"/>
    <w:basedOn w:val="Normal"/>
    <w:next w:val="Normal"/>
    <w:qFormat/>
    <w:pPr>
      <w:keepNext/>
      <w:tabs>
        <w:tab w:val="left" w:pos="2160"/>
      </w:tabs>
      <w:ind w:left="2160" w:hanging="2160"/>
      <w:jc w:val="center"/>
      <w:outlineLvl w:val="2"/>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rPr>
  </w:style>
  <w:style w:type="paragraph" w:styleId="BodyText2">
    <w:name w:val="Body Text 2"/>
    <w:basedOn w:val="Normal"/>
    <w:pPr>
      <w:tabs>
        <w:tab w:val="left" w:pos="2160"/>
      </w:tabs>
      <w:jc w:val="center"/>
    </w:pPr>
    <w:rPr>
      <w:rFonts w:ascii="Courier New" w:hAnsi="Courier New"/>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CommentReference">
    <w:name w:val="annotation reference"/>
    <w:semiHidden/>
    <w:rsid w:val="00C11557"/>
    <w:rPr>
      <w:sz w:val="16"/>
      <w:szCs w:val="16"/>
    </w:rPr>
  </w:style>
  <w:style w:type="paragraph" w:styleId="CommentText">
    <w:name w:val="annotation text"/>
    <w:basedOn w:val="Normal"/>
    <w:semiHidden/>
    <w:rsid w:val="00C11557"/>
  </w:style>
  <w:style w:type="paragraph" w:styleId="CommentSubject">
    <w:name w:val="annotation subject"/>
    <w:basedOn w:val="CommentText"/>
    <w:next w:val="CommentText"/>
    <w:semiHidden/>
    <w:rsid w:val="00C11557"/>
    <w:rPr>
      <w:b/>
      <w:bCs/>
    </w:rPr>
  </w:style>
  <w:style w:type="paragraph" w:styleId="BalloonText">
    <w:name w:val="Balloon Text"/>
    <w:basedOn w:val="Normal"/>
    <w:semiHidden/>
    <w:rsid w:val="00C11557"/>
    <w:rPr>
      <w:rFonts w:ascii="Tahoma" w:hAnsi="Tahoma" w:cs="Tahoma"/>
      <w:sz w:val="16"/>
      <w:szCs w:val="16"/>
    </w:rPr>
  </w:style>
  <w:style w:type="paragraph" w:styleId="FootnoteText">
    <w:name w:val="footnote text"/>
    <w:aliases w:val="F1,F1),Footnote Westat Style (Text"/>
    <w:basedOn w:val="Normal"/>
    <w:link w:val="FootnoteTextChar"/>
    <w:uiPriority w:val="99"/>
    <w:unhideWhenUsed/>
    <w:rsid w:val="00CB115F"/>
    <w:pPr>
      <w:overflowPunct/>
      <w:autoSpaceDE/>
      <w:autoSpaceDN/>
      <w:adjustRightInd/>
      <w:textAlignment w:val="auto"/>
    </w:pPr>
    <w:rPr>
      <w:rFonts w:eastAsia="Calibri"/>
    </w:rPr>
  </w:style>
  <w:style w:type="character" w:customStyle="1" w:styleId="FootnoteTextChar">
    <w:name w:val="Footnote Text Char"/>
    <w:aliases w:val="F1 Char,F1) Char,Footnote Westat Style (Text Char"/>
    <w:link w:val="FootnoteText"/>
    <w:uiPriority w:val="99"/>
    <w:rsid w:val="00CB115F"/>
    <w:rPr>
      <w:rFonts w:eastAsia="Calibri"/>
    </w:rPr>
  </w:style>
  <w:style w:type="character" w:styleId="FootnoteReference">
    <w:name w:val="footnote reference"/>
    <w:aliases w:val="Appel note de bas de p,Appel note de bas de p + 11 pt,Footnote,Italic"/>
    <w:uiPriority w:val="99"/>
    <w:unhideWhenUsed/>
    <w:qFormat/>
    <w:rsid w:val="00CB115F"/>
    <w:rPr>
      <w:vertAlign w:val="superscript"/>
    </w:rPr>
  </w:style>
  <w:style w:type="paragraph" w:styleId="ListParagraph">
    <w:name w:val="List Paragraph"/>
    <w:basedOn w:val="Normal"/>
    <w:uiPriority w:val="34"/>
    <w:qFormat/>
    <w:rsid w:val="00301F04"/>
    <w:pPr>
      <w:ind w:left="720"/>
      <w:contextualSpacing/>
    </w:pPr>
  </w:style>
  <w:style w:type="character" w:styleId="Hyperlink">
    <w:name w:val="Hyperlink"/>
    <w:rsid w:val="00F85FEC"/>
    <w:rPr>
      <w:color w:val="0563C1"/>
      <w:u w:val="single"/>
    </w:rPr>
  </w:style>
  <w:style w:type="character" w:styleId="FollowedHyperlink">
    <w:name w:val="FollowedHyperlink"/>
    <w:basedOn w:val="DefaultParagraphFont"/>
    <w:rsid w:val="00F85FEC"/>
    <w:rPr>
      <w:color w:val="954F72" w:themeColor="followedHyperlink"/>
      <w:u w:val="single"/>
    </w:rPr>
  </w:style>
  <w:style w:type="character" w:styleId="UnresolvedMention">
    <w:name w:val="Unresolved Mention"/>
    <w:basedOn w:val="DefaultParagraphFont"/>
    <w:uiPriority w:val="99"/>
    <w:semiHidden/>
    <w:unhideWhenUsed/>
    <w:rsid w:val="00A02618"/>
    <w:rPr>
      <w:color w:val="605E5C"/>
      <w:shd w:val="clear" w:color="auto" w:fill="E1DFDD"/>
    </w:rPr>
  </w:style>
  <w:style w:type="paragraph" w:styleId="Revision">
    <w:name w:val="Revision"/>
    <w:hidden/>
    <w:uiPriority w:val="99"/>
    <w:semiHidden/>
    <w:rsid w:val="00257C85"/>
  </w:style>
  <w:style w:type="numbering" w:customStyle="1" w:styleId="CurrentList1">
    <w:name w:val="Current List1"/>
    <w:uiPriority w:val="99"/>
    <w:rsid w:val="00D72C03"/>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bls.gov/oes/2023/may/naics4_336100.htm" TargetMode="External" /><Relationship Id="rId3"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B287E666B524C968E88727B43D539" ma:contentTypeVersion="18" ma:contentTypeDescription="Create a new document." ma:contentTypeScope="" ma:versionID="e0f4e4e97c7c3682cebbd7cbdb91134a">
  <xsd:schema xmlns:xsd="http://www.w3.org/2001/XMLSchema" xmlns:xs="http://www.w3.org/2001/XMLSchema" xmlns:p="http://schemas.microsoft.com/office/2006/metadata/properties" xmlns:ns2="9ae005eb-6cba-4f06-839c-6bd9d6208cec" xmlns:ns3="61be96ac-d22f-4e6c-b84a-017c9bb09164" targetNamespace="http://schemas.microsoft.com/office/2006/metadata/properties" ma:root="true" ma:fieldsID="309a145e6f52d728fd90f70ff66d0277" ns2:_="" ns3:_="">
    <xsd:import namespace="9ae005eb-6cba-4f06-839c-6bd9d6208cec"/>
    <xsd:import namespace="61be96ac-d22f-4e6c-b84a-017c9bb091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05eb-6cba-4f06-839c-6bd9d6208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e96ac-d22f-4e6c-b84a-017c9bb091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006e85f-a9df-4fc1-b314-1d124ec1e11a}" ma:internalName="TaxCatchAll" ma:showField="CatchAllData" ma:web="61be96ac-d22f-4e6c-b84a-017c9bb091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be96ac-d22f-4e6c-b84a-017c9bb09164" xsi:nil="true"/>
    <lcf76f155ced4ddcb4097134ff3c332f xmlns="9ae005eb-6cba-4f06-839c-6bd9d6208c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A90BC4-F7A6-4961-B45D-1168F37E7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05eb-6cba-4f06-839c-6bd9d6208cec"/>
    <ds:schemaRef ds:uri="61be96ac-d22f-4e6c-b84a-017c9bb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1E639-F8B4-4362-81BD-5C29AA553BA4}">
  <ds:schemaRefs>
    <ds:schemaRef ds:uri="http://schemas.microsoft.com/sharepoint/v3/contenttype/forms"/>
  </ds:schemaRefs>
</ds:datastoreItem>
</file>

<file path=customXml/itemProps3.xml><?xml version="1.0" encoding="utf-8"?>
<ds:datastoreItem xmlns:ds="http://schemas.openxmlformats.org/officeDocument/2006/customXml" ds:itemID="{C002007F-6258-4A06-BEE6-443740587F89}">
  <ds:schemaRefs>
    <ds:schemaRef ds:uri="http://schemas.openxmlformats.org/officeDocument/2006/bibliography"/>
  </ds:schemaRefs>
</ds:datastoreItem>
</file>

<file path=customXml/itemProps4.xml><?xml version="1.0" encoding="utf-8"?>
<ds:datastoreItem xmlns:ds="http://schemas.openxmlformats.org/officeDocument/2006/customXml" ds:itemID="{0AA91BFC-8ED8-4BD9-93FA-88308E763723}">
  <ds:schemaRefs>
    <ds:schemaRef ds:uri="http://schemas.microsoft.com/office/2006/metadata/properties"/>
    <ds:schemaRef ds:uri="http://schemas.microsoft.com/office/infopath/2007/PartnerControls"/>
    <ds:schemaRef ds:uri="61be96ac-d22f-4e6c-b84a-017c9bb09164"/>
    <ds:schemaRef ds:uri="9ae005eb-6cba-4f06-839c-6bd9d6208ce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NCC edits</vt:lpstr>
    </vt:vector>
  </TitlesOfParts>
  <Company>NPS-AA</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edits</dc:title>
  <dc:creator>NPS</dc:creator>
  <cp:lastModifiedBy>Thurgood, Neil (NHTSA)</cp:lastModifiedBy>
  <cp:revision>4</cp:revision>
  <cp:lastPrinted>2008-09-25T18:03:00Z</cp:lastPrinted>
  <dcterms:created xsi:type="dcterms:W3CDTF">2025-11-18T19:18:00Z</dcterms:created>
  <dcterms:modified xsi:type="dcterms:W3CDTF">2026-02-17T16:12:00Z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0x010100418B287E666B524C968E88727B43D539</vt:lpwstr>
  </property>
  <property fmtid="{D5CDD505-2E9C-101B-9397-08002B2CF9AE}" pid="3" name="MediaServiceImageTags">
    <vt:lpwstr/>
  </property>
</Properties>
</file>